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6B23" w14:textId="77777777" w:rsidR="005B14A6" w:rsidRDefault="00E36509" w:rsidP="00E36509">
      <w:pPr>
        <w:rPr>
          <w:rFonts w:asciiTheme="majorHAnsi" w:hAnsiTheme="majorHAnsi"/>
          <w:sz w:val="32"/>
          <w:szCs w:val="32"/>
        </w:rPr>
      </w:pPr>
      <w:r w:rsidRPr="001C3B4A">
        <w:rPr>
          <w:rFonts w:asciiTheme="majorHAnsi" w:hAnsiTheme="majorHAnsi"/>
          <w:sz w:val="32"/>
          <w:szCs w:val="32"/>
        </w:rPr>
        <w:tab/>
      </w:r>
    </w:p>
    <w:p w14:paraId="0CCB8ED4" w14:textId="77777777" w:rsidR="005B14A6" w:rsidRDefault="005B14A6" w:rsidP="00E36509">
      <w:pPr>
        <w:rPr>
          <w:rFonts w:asciiTheme="majorHAnsi" w:hAnsiTheme="majorHAnsi"/>
          <w:sz w:val="32"/>
          <w:szCs w:val="32"/>
        </w:rPr>
      </w:pPr>
    </w:p>
    <w:p w14:paraId="623B113A" w14:textId="77777777" w:rsidR="005B14A6" w:rsidRPr="00E25E78" w:rsidRDefault="005B14A6" w:rsidP="005B14A6">
      <w:pPr>
        <w:rPr>
          <w:rFonts w:ascii="Arial" w:eastAsia="Times New Roman" w:hAnsi="Arial" w:cs="Times New Roman"/>
          <w:b/>
          <w:bCs/>
        </w:rPr>
      </w:pPr>
      <w:r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10EBA5BC" wp14:editId="0924AF20">
            <wp:simplePos x="0" y="0"/>
            <wp:positionH relativeFrom="column">
              <wp:posOffset>3144832</wp:posOffset>
            </wp:positionH>
            <wp:positionV relativeFrom="paragraph">
              <wp:posOffset>-520005</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0C64D" w14:textId="77777777" w:rsidR="005B14A6" w:rsidRPr="00E25E78" w:rsidRDefault="005B14A6" w:rsidP="005B14A6">
      <w:pPr>
        <w:jc w:val="center"/>
        <w:rPr>
          <w:rFonts w:ascii="Arial" w:eastAsia="Times New Roman" w:hAnsi="Arial" w:cs="Arial"/>
          <w:b/>
          <w:bCs/>
          <w:iCs/>
          <w:color w:val="000000"/>
          <w:sz w:val="32"/>
          <w:szCs w:val="32"/>
          <w:lang w:val="en-US"/>
        </w:rPr>
      </w:pPr>
    </w:p>
    <w:p w14:paraId="11941E7D" w14:textId="77777777" w:rsidR="005B14A6" w:rsidRPr="00E25E78" w:rsidRDefault="005B14A6" w:rsidP="005B14A6">
      <w:pPr>
        <w:jc w:val="center"/>
        <w:rPr>
          <w:rFonts w:ascii="Arial" w:eastAsia="Times New Roman" w:hAnsi="Arial" w:cs="Arial"/>
          <w:b/>
          <w:bCs/>
          <w:iCs/>
          <w:color w:val="000000"/>
          <w:sz w:val="32"/>
          <w:szCs w:val="32"/>
          <w:lang w:val="en-US"/>
        </w:rPr>
      </w:pPr>
    </w:p>
    <w:p w14:paraId="7A6262D2" w14:textId="77777777" w:rsidR="005B14A6" w:rsidRPr="00E25E78" w:rsidRDefault="005B14A6" w:rsidP="005B14A6">
      <w:pPr>
        <w:rPr>
          <w:rFonts w:ascii="Arial" w:eastAsia="Times New Roman" w:hAnsi="Arial" w:cs="Arial"/>
          <w:b/>
          <w:bCs/>
          <w:iCs/>
          <w:color w:val="000000"/>
          <w:sz w:val="40"/>
          <w:szCs w:val="40"/>
          <w:lang w:val="en-US"/>
        </w:rPr>
      </w:pPr>
    </w:p>
    <w:p w14:paraId="2B760215" w14:textId="35D2BFD0" w:rsidR="005B14A6" w:rsidRDefault="00086E91" w:rsidP="00086E91">
      <w:pPr>
        <w:pStyle w:val="Title"/>
        <w:rPr>
          <w:lang w:val="en-US"/>
        </w:rPr>
      </w:pPr>
      <w:sdt>
        <w:sdtPr>
          <w:rPr>
            <w:lang w:val="en-US"/>
          </w:rPr>
          <w:alias w:val="Title"/>
          <w:tag w:val=""/>
          <w:id w:val="-715131991"/>
          <w:placeholder>
            <w:docPart w:val="77FF71D887C74D2F9384F106E595D477"/>
          </w:placeholder>
          <w:dataBinding w:prefixMappings="xmlns:ns0='http://purl.org/dc/elements/1.1/' xmlns:ns1='http://schemas.openxmlformats.org/package/2006/metadata/core-properties' " w:xpath="/ns1:coreProperties[1]/ns0:title[1]" w:storeItemID="{6C3C8BC8-F283-45AE-878A-BAB7291924A1}"/>
          <w:text/>
        </w:sdtPr>
        <w:sdtEndPr/>
        <w:sdtContent>
          <w:r w:rsidR="00E70562">
            <w:rPr>
              <w:lang w:val="en-US"/>
            </w:rPr>
            <w:t>Safeguarding Adults Review</w:t>
          </w:r>
        </w:sdtContent>
      </w:sdt>
      <w:r w:rsidR="005B14A6">
        <w:rPr>
          <w:lang w:val="en-US"/>
        </w:rPr>
        <w:t xml:space="preserve"> </w:t>
      </w:r>
      <w:bookmarkStart w:id="0" w:name="_GoBack"/>
      <w:bookmarkEnd w:id="0"/>
    </w:p>
    <w:p w14:paraId="77F2D358" w14:textId="021DBCA7" w:rsidR="005B14A6" w:rsidRPr="00E25E78" w:rsidRDefault="005B14A6" w:rsidP="00086E91">
      <w:pPr>
        <w:pStyle w:val="Title"/>
        <w:rPr>
          <w:lang w:val="en-US"/>
        </w:rPr>
      </w:pPr>
      <w:r>
        <w:rPr>
          <w:lang w:val="en-US"/>
        </w:rPr>
        <w:t>Executive Summary</w:t>
      </w:r>
    </w:p>
    <w:p w14:paraId="693AB9C4" w14:textId="77777777" w:rsidR="005B14A6" w:rsidRPr="00E25E78" w:rsidRDefault="005B14A6" w:rsidP="005B14A6">
      <w:pPr>
        <w:rPr>
          <w:rFonts w:ascii="Arial" w:eastAsia="Times New Roman" w:hAnsi="Arial" w:cs="Arial"/>
          <w:b/>
          <w:bCs/>
          <w:iCs/>
          <w:color w:val="1F497D"/>
          <w:sz w:val="32"/>
          <w:szCs w:val="32"/>
          <w:lang w:val="en-US"/>
        </w:rPr>
      </w:pPr>
    </w:p>
    <w:p w14:paraId="0CF581C0" w14:textId="77777777" w:rsidR="005B14A6" w:rsidRPr="00E25E78" w:rsidRDefault="005B14A6" w:rsidP="005B14A6">
      <w:pPr>
        <w:rPr>
          <w:rFonts w:ascii="Arial" w:eastAsia="Times New Roman" w:hAnsi="Arial" w:cs="Arial"/>
          <w:b/>
          <w:bCs/>
          <w:iCs/>
          <w:color w:val="1F497D"/>
          <w:sz w:val="32"/>
          <w:szCs w:val="32"/>
          <w:lang w:val="en-US"/>
        </w:rPr>
      </w:pPr>
      <w:r w:rsidRPr="00E25E78">
        <w:rPr>
          <w:rFonts w:ascii="Arial" w:eastAsia="Times New Roman" w:hAnsi="Arial" w:cs="Arial"/>
          <w:b/>
          <w:bCs/>
          <w:iCs/>
          <w:color w:val="1F497D"/>
          <w:sz w:val="32"/>
          <w:szCs w:val="32"/>
          <w:lang w:val="en-US"/>
        </w:rPr>
        <w:t>Tower Hamlets Safeguarding Adults Board</w:t>
      </w:r>
    </w:p>
    <w:p w14:paraId="417F6BA8" w14:textId="77777777" w:rsidR="005B14A6" w:rsidRPr="00E25E78" w:rsidRDefault="005B14A6" w:rsidP="005B14A6">
      <w:pPr>
        <w:jc w:val="both"/>
        <w:rPr>
          <w:rFonts w:ascii="Arial" w:eastAsia="Times New Roman" w:hAnsi="Arial" w:cs="Times New Roman"/>
        </w:rPr>
      </w:pPr>
    </w:p>
    <w:p w14:paraId="5051DBC1" w14:textId="77777777" w:rsidR="005B14A6" w:rsidRDefault="005B14A6" w:rsidP="005B14A6">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Pr>
          <w:rFonts w:ascii="Arial" w:hAnsi="Arial" w:cs="Arial"/>
          <w:lang w:val="en-GB"/>
        </w:rPr>
        <w:t>Mr B</w:t>
      </w:r>
    </w:p>
    <w:p w14:paraId="6F685F24" w14:textId="77777777" w:rsidR="005B14A6" w:rsidRPr="00E25E78" w:rsidRDefault="005B14A6" w:rsidP="005B14A6">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1216D4BA" w14:textId="3CC33AF5" w:rsidR="005B14A6" w:rsidRPr="00E25E78" w:rsidRDefault="005B14A6" w:rsidP="005B14A6">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Pr>
          <w:rFonts w:ascii="Arial" w:eastAsia="Times New Roman" w:hAnsi="Arial" w:cs="Arial"/>
        </w:rPr>
        <w:t>2</w:t>
      </w:r>
      <w:r w:rsidR="00E70562">
        <w:rPr>
          <w:rFonts w:ascii="Arial" w:eastAsia="Times New Roman" w:hAnsi="Arial" w:cs="Arial"/>
        </w:rPr>
        <w:t>8</w:t>
      </w:r>
      <w:r>
        <w:rPr>
          <w:rFonts w:ascii="Arial" w:eastAsia="Times New Roman" w:hAnsi="Arial" w:cs="Arial"/>
        </w:rPr>
        <w:t xml:space="preserve"> September 2020</w:t>
      </w:r>
    </w:p>
    <w:p w14:paraId="5C7D29E3" w14:textId="77777777" w:rsidR="005B14A6" w:rsidRDefault="005B14A6" w:rsidP="00E36509">
      <w:pPr>
        <w:rPr>
          <w:rFonts w:asciiTheme="majorHAnsi" w:hAnsiTheme="majorHAnsi"/>
          <w:sz w:val="32"/>
          <w:szCs w:val="32"/>
        </w:rPr>
      </w:pPr>
    </w:p>
    <w:p w14:paraId="111B2548" w14:textId="77777777" w:rsidR="005B14A6" w:rsidRDefault="005B14A6" w:rsidP="00E36509">
      <w:pPr>
        <w:rPr>
          <w:rFonts w:asciiTheme="majorHAnsi" w:hAnsiTheme="majorHAnsi"/>
          <w:sz w:val="32"/>
          <w:szCs w:val="32"/>
        </w:rPr>
      </w:pPr>
    </w:p>
    <w:p w14:paraId="02F94D3C" w14:textId="77777777" w:rsidR="005B14A6" w:rsidRDefault="005B14A6" w:rsidP="00E36509">
      <w:pPr>
        <w:rPr>
          <w:rFonts w:asciiTheme="majorHAnsi" w:hAnsiTheme="majorHAnsi"/>
          <w:sz w:val="32"/>
          <w:szCs w:val="32"/>
        </w:rPr>
      </w:pPr>
    </w:p>
    <w:p w14:paraId="005696CC" w14:textId="77777777" w:rsidR="005B14A6" w:rsidRDefault="005B14A6" w:rsidP="00E36509">
      <w:pPr>
        <w:rPr>
          <w:rFonts w:asciiTheme="majorHAnsi" w:hAnsiTheme="majorHAnsi"/>
          <w:sz w:val="32"/>
          <w:szCs w:val="32"/>
        </w:rPr>
      </w:pPr>
    </w:p>
    <w:p w14:paraId="02A1EE59" w14:textId="77777777" w:rsidR="005B14A6" w:rsidRDefault="005B14A6" w:rsidP="00E36509">
      <w:pPr>
        <w:rPr>
          <w:rFonts w:asciiTheme="majorHAnsi" w:hAnsiTheme="majorHAnsi"/>
          <w:sz w:val="32"/>
          <w:szCs w:val="32"/>
        </w:rPr>
      </w:pPr>
    </w:p>
    <w:p w14:paraId="0134DD62" w14:textId="77777777" w:rsidR="005B14A6" w:rsidRDefault="005B14A6" w:rsidP="00E36509">
      <w:pPr>
        <w:rPr>
          <w:rFonts w:asciiTheme="majorHAnsi" w:hAnsiTheme="majorHAnsi"/>
          <w:sz w:val="32"/>
          <w:szCs w:val="32"/>
        </w:rPr>
      </w:pPr>
    </w:p>
    <w:p w14:paraId="61F9CDFC" w14:textId="341F9AEC" w:rsidR="005B14A6" w:rsidRDefault="005B14A6" w:rsidP="00E36509">
      <w:pPr>
        <w:rPr>
          <w:rFonts w:asciiTheme="majorHAnsi" w:hAnsiTheme="majorHAnsi"/>
          <w:sz w:val="32"/>
          <w:szCs w:val="32"/>
        </w:rPr>
      </w:pPr>
    </w:p>
    <w:p w14:paraId="3B871EC9" w14:textId="49B4D0B2" w:rsidR="005B14A6" w:rsidRDefault="005B14A6" w:rsidP="00E36509">
      <w:pPr>
        <w:rPr>
          <w:rFonts w:asciiTheme="majorHAnsi" w:hAnsiTheme="majorHAnsi"/>
          <w:sz w:val="32"/>
          <w:szCs w:val="32"/>
        </w:rPr>
      </w:pPr>
    </w:p>
    <w:p w14:paraId="38B72809" w14:textId="6587C645" w:rsidR="005B14A6" w:rsidRDefault="005B14A6" w:rsidP="00E36509">
      <w:pPr>
        <w:rPr>
          <w:rFonts w:asciiTheme="majorHAnsi" w:hAnsiTheme="majorHAnsi"/>
          <w:sz w:val="32"/>
          <w:szCs w:val="32"/>
        </w:rPr>
      </w:pPr>
    </w:p>
    <w:p w14:paraId="24CE3F93" w14:textId="1769C392" w:rsidR="005B14A6" w:rsidRDefault="005B14A6" w:rsidP="00E36509">
      <w:pPr>
        <w:rPr>
          <w:rFonts w:asciiTheme="majorHAnsi" w:hAnsiTheme="majorHAnsi"/>
          <w:sz w:val="32"/>
          <w:szCs w:val="32"/>
        </w:rPr>
      </w:pPr>
    </w:p>
    <w:p w14:paraId="4F80715C" w14:textId="0D89AE8A" w:rsidR="005B14A6" w:rsidRDefault="005B14A6" w:rsidP="00E36509">
      <w:pPr>
        <w:rPr>
          <w:rFonts w:asciiTheme="majorHAnsi" w:hAnsiTheme="majorHAnsi"/>
          <w:sz w:val="32"/>
          <w:szCs w:val="32"/>
        </w:rPr>
      </w:pPr>
    </w:p>
    <w:p w14:paraId="75F9AEFC" w14:textId="06BAE4FF" w:rsidR="005B14A6" w:rsidRDefault="005B14A6" w:rsidP="00E36509">
      <w:pPr>
        <w:rPr>
          <w:rFonts w:asciiTheme="majorHAnsi" w:hAnsiTheme="majorHAnsi"/>
          <w:sz w:val="32"/>
          <w:szCs w:val="32"/>
        </w:rPr>
      </w:pPr>
    </w:p>
    <w:p w14:paraId="4AEFD065" w14:textId="6D1A90A6" w:rsidR="005B14A6" w:rsidRDefault="005B14A6" w:rsidP="00E36509">
      <w:pPr>
        <w:rPr>
          <w:rFonts w:asciiTheme="majorHAnsi" w:hAnsiTheme="majorHAnsi"/>
          <w:sz w:val="32"/>
          <w:szCs w:val="32"/>
        </w:rPr>
      </w:pPr>
    </w:p>
    <w:p w14:paraId="2F2C27F7" w14:textId="4C060BB7" w:rsidR="005B14A6" w:rsidRDefault="005B14A6" w:rsidP="00E36509">
      <w:pPr>
        <w:rPr>
          <w:rFonts w:asciiTheme="majorHAnsi" w:hAnsiTheme="majorHAnsi"/>
          <w:sz w:val="32"/>
          <w:szCs w:val="32"/>
        </w:rPr>
      </w:pPr>
    </w:p>
    <w:p w14:paraId="1EFC5548" w14:textId="516070EA" w:rsidR="005B14A6" w:rsidRDefault="005B14A6" w:rsidP="00E36509">
      <w:pPr>
        <w:rPr>
          <w:rFonts w:asciiTheme="majorHAnsi" w:hAnsiTheme="majorHAnsi"/>
          <w:sz w:val="32"/>
          <w:szCs w:val="32"/>
        </w:rPr>
      </w:pPr>
    </w:p>
    <w:p w14:paraId="7BD89EF7" w14:textId="40576164" w:rsidR="005B14A6" w:rsidRDefault="005B14A6" w:rsidP="00E36509">
      <w:pPr>
        <w:rPr>
          <w:rFonts w:asciiTheme="majorHAnsi" w:hAnsiTheme="majorHAnsi"/>
          <w:sz w:val="32"/>
          <w:szCs w:val="32"/>
        </w:rPr>
      </w:pPr>
    </w:p>
    <w:p w14:paraId="73401650" w14:textId="7CA4E4DC" w:rsidR="005B14A6" w:rsidRDefault="005B14A6" w:rsidP="00E36509">
      <w:pPr>
        <w:rPr>
          <w:rFonts w:asciiTheme="majorHAnsi" w:hAnsiTheme="majorHAnsi"/>
          <w:sz w:val="32"/>
          <w:szCs w:val="32"/>
        </w:rPr>
      </w:pPr>
    </w:p>
    <w:p w14:paraId="5CECB80B" w14:textId="77777777" w:rsidR="005B14A6" w:rsidRDefault="005B14A6" w:rsidP="00E36509">
      <w:pPr>
        <w:rPr>
          <w:rFonts w:asciiTheme="majorHAnsi" w:hAnsiTheme="majorHAnsi"/>
          <w:sz w:val="32"/>
          <w:szCs w:val="32"/>
        </w:rPr>
      </w:pPr>
    </w:p>
    <w:p w14:paraId="50AB9312" w14:textId="77777777" w:rsidR="005B14A6" w:rsidRDefault="005B14A6" w:rsidP="00E36509">
      <w:pPr>
        <w:rPr>
          <w:rFonts w:asciiTheme="majorHAnsi" w:hAnsiTheme="majorHAnsi"/>
          <w:sz w:val="32"/>
          <w:szCs w:val="32"/>
        </w:rPr>
      </w:pPr>
    </w:p>
    <w:p w14:paraId="6DB282D0" w14:textId="77777777" w:rsidR="005B14A6" w:rsidRDefault="005B14A6" w:rsidP="00E36509">
      <w:pPr>
        <w:rPr>
          <w:rFonts w:asciiTheme="majorHAnsi" w:hAnsiTheme="majorHAnsi"/>
          <w:sz w:val="32"/>
          <w:szCs w:val="32"/>
        </w:rPr>
      </w:pPr>
    </w:p>
    <w:p w14:paraId="703B9339" w14:textId="77777777" w:rsidR="005B14A6" w:rsidRDefault="005B14A6" w:rsidP="00E36509">
      <w:pPr>
        <w:rPr>
          <w:rFonts w:asciiTheme="majorHAnsi" w:hAnsiTheme="majorHAnsi"/>
          <w:sz w:val="32"/>
          <w:szCs w:val="32"/>
        </w:rPr>
      </w:pPr>
    </w:p>
    <w:p w14:paraId="69BB612F" w14:textId="77777777" w:rsidR="005B14A6" w:rsidRDefault="005B14A6" w:rsidP="00E36509">
      <w:pPr>
        <w:rPr>
          <w:rFonts w:asciiTheme="majorHAnsi" w:hAnsiTheme="majorHAnsi"/>
          <w:sz w:val="32"/>
          <w:szCs w:val="32"/>
        </w:rPr>
      </w:pPr>
    </w:p>
    <w:p w14:paraId="011BC1A7" w14:textId="1EDBD42A" w:rsidR="00E70562" w:rsidRPr="00086E91" w:rsidRDefault="00E36509" w:rsidP="00086E91">
      <w:pPr>
        <w:pStyle w:val="Heading1"/>
      </w:pPr>
      <w:r w:rsidRPr="00086E91">
        <w:lastRenderedPageBreak/>
        <w:t xml:space="preserve">Safeguarding Adults Review concerning Mr </w:t>
      </w:r>
      <w:r w:rsidR="00C837BC" w:rsidRPr="00086E91">
        <w:t>B</w:t>
      </w:r>
      <w:r w:rsidRPr="00086E91">
        <w:t xml:space="preserve"> for Tower Hamlets Safeguarding Adults Board</w:t>
      </w:r>
    </w:p>
    <w:p w14:paraId="4148DFC0" w14:textId="77777777" w:rsidR="00E36509" w:rsidRPr="00086E91" w:rsidRDefault="00E36509" w:rsidP="00086E91">
      <w:pPr>
        <w:pStyle w:val="Heading1"/>
      </w:pPr>
      <w:r>
        <w:tab/>
      </w:r>
      <w:r w:rsidRPr="00086E91">
        <w:t>Executive summary</w:t>
      </w:r>
    </w:p>
    <w:p w14:paraId="23BCB1E0" w14:textId="77777777" w:rsidR="00E36509" w:rsidRPr="001C3B4A" w:rsidRDefault="00E36509" w:rsidP="00E36509">
      <w:pPr>
        <w:rPr>
          <w:rFonts w:asciiTheme="majorHAnsi" w:hAnsiTheme="majorHAnsi"/>
        </w:rPr>
      </w:pPr>
    </w:p>
    <w:p w14:paraId="56A83352" w14:textId="77777777" w:rsidR="00C837BC" w:rsidRPr="005E4B03" w:rsidRDefault="00E36509" w:rsidP="00C837BC">
      <w:pPr>
        <w:ind w:left="720" w:hanging="720"/>
        <w:rPr>
          <w:rFonts w:asciiTheme="majorHAnsi" w:hAnsiTheme="majorHAnsi" w:cstheme="majorHAnsi"/>
        </w:rPr>
      </w:pPr>
      <w:r w:rsidRPr="001C3B4A">
        <w:rPr>
          <w:rFonts w:asciiTheme="majorHAnsi" w:hAnsiTheme="majorHAnsi"/>
        </w:rPr>
        <w:t>1.1</w:t>
      </w:r>
      <w:r w:rsidRPr="001C3B4A">
        <w:rPr>
          <w:rFonts w:asciiTheme="majorHAnsi" w:hAnsiTheme="majorHAnsi"/>
        </w:rPr>
        <w:tab/>
      </w:r>
      <w:r w:rsidR="00C837BC" w:rsidRPr="005E4B03">
        <w:rPr>
          <w:rFonts w:asciiTheme="majorHAnsi" w:hAnsiTheme="majorHAnsi" w:cstheme="majorHAnsi"/>
        </w:rPr>
        <w:t>This Safeguarding Adults Review has considered the care and support Mr B received from the London Borough of Tower Hamlet’s (LBTH) adult social care service and Tower Hamlets Clinical Commissioning Group (THCCG) and their partners</w:t>
      </w:r>
      <w:r w:rsidR="00C837BC">
        <w:rPr>
          <w:rFonts w:asciiTheme="majorHAnsi" w:hAnsiTheme="majorHAnsi" w:cstheme="majorHAnsi"/>
        </w:rPr>
        <w:t>,</w:t>
      </w:r>
      <w:r w:rsidR="00C837BC" w:rsidRPr="005E4B03">
        <w:rPr>
          <w:rFonts w:asciiTheme="majorHAnsi" w:hAnsiTheme="majorHAnsi" w:cstheme="majorHAnsi"/>
        </w:rPr>
        <w:t xml:space="preserve"> commissioned </w:t>
      </w:r>
      <w:r w:rsidR="00C837BC">
        <w:rPr>
          <w:rFonts w:asciiTheme="majorHAnsi" w:hAnsiTheme="majorHAnsi" w:cstheme="majorHAnsi"/>
        </w:rPr>
        <w:t xml:space="preserve">both </w:t>
      </w:r>
      <w:r w:rsidR="00C837BC" w:rsidRPr="005E4B03">
        <w:rPr>
          <w:rFonts w:asciiTheme="majorHAnsi" w:hAnsiTheme="majorHAnsi" w:cstheme="majorHAnsi"/>
        </w:rPr>
        <w:t xml:space="preserve">directly and indirectly. </w:t>
      </w:r>
    </w:p>
    <w:p w14:paraId="0DC5B6FF" w14:textId="77777777" w:rsidR="00C837BC" w:rsidRDefault="00C837BC" w:rsidP="00C837BC">
      <w:pPr>
        <w:ind w:left="720" w:hanging="720"/>
        <w:rPr>
          <w:rFonts w:asciiTheme="majorHAnsi" w:hAnsiTheme="majorHAnsi"/>
        </w:rPr>
      </w:pPr>
    </w:p>
    <w:p w14:paraId="7509FED2" w14:textId="13A521BB" w:rsidR="00C837BC" w:rsidRDefault="00C837BC" w:rsidP="00C837BC">
      <w:pPr>
        <w:ind w:left="720" w:hanging="720"/>
        <w:rPr>
          <w:rFonts w:asciiTheme="majorHAnsi" w:hAnsiTheme="majorHAnsi"/>
        </w:rPr>
      </w:pPr>
      <w:r>
        <w:rPr>
          <w:rFonts w:asciiTheme="majorHAnsi" w:hAnsiTheme="majorHAnsi"/>
        </w:rPr>
        <w:t>1.</w:t>
      </w:r>
      <w:r w:rsidR="003778D5">
        <w:rPr>
          <w:rFonts w:asciiTheme="majorHAnsi" w:hAnsiTheme="majorHAnsi"/>
        </w:rPr>
        <w:t>2</w:t>
      </w:r>
      <w:r>
        <w:rPr>
          <w:rFonts w:asciiTheme="majorHAnsi" w:hAnsiTheme="majorHAnsi"/>
        </w:rPr>
        <w:tab/>
        <w:t>The review primarily focuses on the care and support Mr B received for the two years prior to his death (January 2015 to December 2016) but does include relevant information from before that time, to assist in giving a wider context to the events.</w:t>
      </w:r>
    </w:p>
    <w:p w14:paraId="1B81A23F" w14:textId="77777777" w:rsidR="00C837BC" w:rsidRDefault="00C837BC" w:rsidP="00C837BC">
      <w:pPr>
        <w:ind w:left="720" w:hanging="720"/>
        <w:rPr>
          <w:rFonts w:asciiTheme="majorHAnsi" w:hAnsiTheme="majorHAnsi"/>
        </w:rPr>
      </w:pPr>
    </w:p>
    <w:p w14:paraId="573A0A5A" w14:textId="7AFCB952" w:rsidR="00C837BC" w:rsidRPr="00BB1A22" w:rsidRDefault="00C837BC" w:rsidP="00C837BC">
      <w:pPr>
        <w:ind w:left="720" w:hanging="720"/>
        <w:rPr>
          <w:rFonts w:asciiTheme="majorHAnsi" w:hAnsiTheme="majorHAnsi"/>
        </w:rPr>
      </w:pPr>
      <w:r>
        <w:rPr>
          <w:rFonts w:asciiTheme="majorHAnsi" w:hAnsiTheme="majorHAnsi"/>
        </w:rPr>
        <w:t>1.</w:t>
      </w:r>
      <w:r w:rsidR="003778D5">
        <w:rPr>
          <w:rFonts w:asciiTheme="majorHAnsi" w:hAnsiTheme="majorHAnsi"/>
        </w:rPr>
        <w:t>3</w:t>
      </w:r>
      <w:r>
        <w:rPr>
          <w:rFonts w:asciiTheme="majorHAnsi" w:hAnsiTheme="majorHAnsi"/>
        </w:rPr>
        <w:tab/>
        <w:t>Mr B</w:t>
      </w:r>
      <w:r w:rsidRPr="00BB1A22">
        <w:rPr>
          <w:rFonts w:asciiTheme="majorHAnsi" w:hAnsiTheme="majorHAnsi"/>
        </w:rPr>
        <w:t xml:space="preserve"> was </w:t>
      </w:r>
      <w:r>
        <w:rPr>
          <w:rFonts w:asciiTheme="majorHAnsi" w:hAnsiTheme="majorHAnsi"/>
        </w:rPr>
        <w:t xml:space="preserve">described by his family as an angel in the family. </w:t>
      </w:r>
      <w:r w:rsidRPr="005E4B03">
        <w:rPr>
          <w:rFonts w:asciiTheme="majorHAnsi" w:hAnsiTheme="majorHAnsi" w:cstheme="majorHAnsi"/>
        </w:rPr>
        <w:t>While he couldn’t hear</w:t>
      </w:r>
      <w:r>
        <w:rPr>
          <w:rFonts w:asciiTheme="majorHAnsi" w:hAnsiTheme="majorHAnsi" w:cstheme="majorHAnsi"/>
        </w:rPr>
        <w:t xml:space="preserve">, </w:t>
      </w:r>
      <w:r w:rsidRPr="005E4B03">
        <w:rPr>
          <w:rFonts w:asciiTheme="majorHAnsi" w:hAnsiTheme="majorHAnsi" w:cstheme="majorHAnsi"/>
        </w:rPr>
        <w:t>couldn’t see and couldn’t speak he was ‘a very happy person’</w:t>
      </w:r>
      <w:r>
        <w:rPr>
          <w:rFonts w:asciiTheme="majorHAnsi" w:hAnsiTheme="majorHAnsi"/>
        </w:rPr>
        <w:t xml:space="preserve">. </w:t>
      </w:r>
    </w:p>
    <w:p w14:paraId="68ABF2C3" w14:textId="77777777" w:rsidR="00C837BC" w:rsidRPr="00BB1A22" w:rsidRDefault="00C837BC" w:rsidP="00C837BC">
      <w:pPr>
        <w:rPr>
          <w:rFonts w:asciiTheme="majorHAnsi" w:hAnsiTheme="majorHAnsi"/>
        </w:rPr>
      </w:pPr>
    </w:p>
    <w:p w14:paraId="278D1B67" w14:textId="5E15A0A5" w:rsidR="00C837BC" w:rsidRDefault="00C837BC" w:rsidP="00C837BC">
      <w:pPr>
        <w:ind w:left="720" w:hanging="720"/>
        <w:rPr>
          <w:rFonts w:asciiTheme="majorHAnsi" w:hAnsiTheme="majorHAnsi"/>
        </w:rPr>
      </w:pPr>
      <w:r>
        <w:rPr>
          <w:rFonts w:asciiTheme="majorHAnsi" w:hAnsiTheme="majorHAnsi"/>
        </w:rPr>
        <w:t>1.</w:t>
      </w:r>
      <w:r w:rsidR="003778D5">
        <w:rPr>
          <w:rFonts w:asciiTheme="majorHAnsi" w:hAnsiTheme="majorHAnsi"/>
        </w:rPr>
        <w:t>4</w:t>
      </w:r>
      <w:r w:rsidRPr="00BB1A22">
        <w:rPr>
          <w:rFonts w:asciiTheme="majorHAnsi" w:hAnsiTheme="majorHAnsi"/>
        </w:rPr>
        <w:tab/>
      </w:r>
      <w:r w:rsidRPr="009B0996">
        <w:rPr>
          <w:rFonts w:asciiTheme="majorHAnsi" w:hAnsiTheme="majorHAnsi"/>
        </w:rPr>
        <w:t xml:space="preserve">Mr. B was a British born man of </w:t>
      </w:r>
      <w:r w:rsidRPr="005E4B03">
        <w:rPr>
          <w:rFonts w:asciiTheme="majorHAnsi" w:hAnsiTheme="majorHAnsi" w:cstheme="majorHAnsi"/>
        </w:rPr>
        <w:t xml:space="preserve">Bangladeshi </w:t>
      </w:r>
      <w:r w:rsidRPr="009B0996">
        <w:rPr>
          <w:rFonts w:asciiTheme="majorHAnsi" w:hAnsiTheme="majorHAnsi"/>
        </w:rPr>
        <w:t>origin. He ha</w:t>
      </w:r>
      <w:r>
        <w:rPr>
          <w:rFonts w:asciiTheme="majorHAnsi" w:hAnsiTheme="majorHAnsi"/>
        </w:rPr>
        <w:t>d</w:t>
      </w:r>
      <w:r w:rsidRPr="009B0996">
        <w:rPr>
          <w:rFonts w:asciiTheme="majorHAnsi" w:hAnsiTheme="majorHAnsi"/>
        </w:rPr>
        <w:t xml:space="preserve"> had severe complex disabilities since birth. Mr. B had always accessed specialist services due to the complexity of his disability. Mr. B lived at home with his family and received a </w:t>
      </w:r>
      <w:r>
        <w:rPr>
          <w:rFonts w:asciiTheme="majorHAnsi" w:hAnsiTheme="majorHAnsi"/>
        </w:rPr>
        <w:t>range of</w:t>
      </w:r>
      <w:r w:rsidRPr="009B0996">
        <w:rPr>
          <w:rFonts w:asciiTheme="majorHAnsi" w:hAnsiTheme="majorHAnsi"/>
        </w:rPr>
        <w:t xml:space="preserve"> support </w:t>
      </w:r>
      <w:r>
        <w:rPr>
          <w:rFonts w:asciiTheme="majorHAnsi" w:hAnsiTheme="majorHAnsi"/>
        </w:rPr>
        <w:t xml:space="preserve">to assist </w:t>
      </w:r>
      <w:r w:rsidRPr="009B0996">
        <w:rPr>
          <w:rFonts w:asciiTheme="majorHAnsi" w:hAnsiTheme="majorHAnsi"/>
        </w:rPr>
        <w:t>them in caring for him</w:t>
      </w:r>
      <w:r>
        <w:rPr>
          <w:rFonts w:asciiTheme="majorHAnsi" w:hAnsiTheme="majorHAnsi"/>
        </w:rPr>
        <w:t>.</w:t>
      </w:r>
    </w:p>
    <w:p w14:paraId="6B60FBDB" w14:textId="77777777" w:rsidR="00C837BC" w:rsidRPr="00BB1A22" w:rsidRDefault="00C837BC" w:rsidP="00C837BC">
      <w:pPr>
        <w:rPr>
          <w:rFonts w:asciiTheme="majorHAnsi" w:hAnsiTheme="majorHAnsi"/>
        </w:rPr>
      </w:pPr>
    </w:p>
    <w:p w14:paraId="02AAFEAB" w14:textId="44A64FD5" w:rsidR="00C837BC" w:rsidRPr="00BB1A22" w:rsidRDefault="00C837BC" w:rsidP="00C837BC">
      <w:pPr>
        <w:ind w:left="720" w:hanging="720"/>
        <w:rPr>
          <w:rFonts w:asciiTheme="majorHAnsi" w:hAnsiTheme="majorHAnsi"/>
        </w:rPr>
      </w:pPr>
      <w:r>
        <w:rPr>
          <w:rFonts w:asciiTheme="majorHAnsi" w:hAnsiTheme="majorHAnsi"/>
        </w:rPr>
        <w:t>1.</w:t>
      </w:r>
      <w:r w:rsidR="003778D5">
        <w:rPr>
          <w:rFonts w:asciiTheme="majorHAnsi" w:hAnsiTheme="majorHAnsi"/>
        </w:rPr>
        <w:t>5</w:t>
      </w:r>
      <w:r w:rsidRPr="00BB1A22">
        <w:rPr>
          <w:rFonts w:asciiTheme="majorHAnsi" w:hAnsiTheme="majorHAnsi"/>
        </w:rPr>
        <w:tab/>
      </w:r>
      <w:r>
        <w:rPr>
          <w:rFonts w:asciiTheme="majorHAnsi" w:hAnsiTheme="majorHAnsi"/>
        </w:rPr>
        <w:t>Mr B had a large number of health and care needs and was supported by the Tower Hamlets Community Learning Disability Service (CLDS)</w:t>
      </w:r>
      <w:r>
        <w:rPr>
          <w:rStyle w:val="FootnoteReference"/>
          <w:rFonts w:asciiTheme="majorHAnsi" w:hAnsiTheme="majorHAnsi"/>
        </w:rPr>
        <w:footnoteReference w:id="1"/>
      </w:r>
      <w:r>
        <w:rPr>
          <w:rFonts w:asciiTheme="majorHAnsi" w:hAnsiTheme="majorHAnsi"/>
        </w:rPr>
        <w:t>, his GP and other NHS services. He also attended a day centre and had respite and outreach support.</w:t>
      </w:r>
    </w:p>
    <w:p w14:paraId="74F88E34" w14:textId="77777777" w:rsidR="00C837BC" w:rsidRPr="00BB1A22" w:rsidRDefault="00C837BC" w:rsidP="00C837BC">
      <w:pPr>
        <w:rPr>
          <w:rFonts w:asciiTheme="majorHAnsi" w:hAnsiTheme="majorHAnsi"/>
        </w:rPr>
      </w:pPr>
    </w:p>
    <w:p w14:paraId="7E7467E9" w14:textId="407502E5" w:rsidR="00C837BC" w:rsidRDefault="00C837BC" w:rsidP="00C837BC">
      <w:pPr>
        <w:ind w:left="720" w:hanging="720"/>
        <w:rPr>
          <w:rFonts w:asciiTheme="majorHAnsi" w:hAnsiTheme="majorHAnsi" w:cstheme="majorHAnsi"/>
        </w:rPr>
      </w:pPr>
      <w:r>
        <w:rPr>
          <w:rFonts w:asciiTheme="majorHAnsi" w:hAnsiTheme="majorHAnsi"/>
        </w:rPr>
        <w:t>1.</w:t>
      </w:r>
      <w:r w:rsidR="003778D5">
        <w:rPr>
          <w:rFonts w:asciiTheme="majorHAnsi" w:hAnsiTheme="majorHAnsi"/>
        </w:rPr>
        <w:t>6</w:t>
      </w:r>
      <w:r w:rsidRPr="00BB1A22">
        <w:rPr>
          <w:rFonts w:asciiTheme="majorHAnsi" w:hAnsiTheme="majorHAnsi"/>
        </w:rPr>
        <w:tab/>
      </w:r>
      <w:r w:rsidRPr="005E4B03">
        <w:rPr>
          <w:rFonts w:asciiTheme="majorHAnsi" w:hAnsiTheme="majorHAnsi" w:cstheme="majorHAnsi"/>
        </w:rPr>
        <w:t xml:space="preserve">All </w:t>
      </w:r>
      <w:r>
        <w:rPr>
          <w:rFonts w:asciiTheme="majorHAnsi" w:hAnsiTheme="majorHAnsi" w:cstheme="majorHAnsi"/>
        </w:rPr>
        <w:t>Mr</w:t>
      </w:r>
      <w:r w:rsidRPr="005E4B03">
        <w:rPr>
          <w:rFonts w:asciiTheme="majorHAnsi" w:hAnsiTheme="majorHAnsi" w:cstheme="majorHAnsi"/>
        </w:rPr>
        <w:t xml:space="preserve"> B’s nutrition, fluid and medication was via percutaneous endoscopic gastrostomy (</w:t>
      </w:r>
      <w:r>
        <w:rPr>
          <w:rFonts w:asciiTheme="majorHAnsi" w:hAnsiTheme="majorHAnsi" w:cstheme="majorHAnsi"/>
        </w:rPr>
        <w:t>PEG</w:t>
      </w:r>
      <w:r w:rsidRPr="005E4B03">
        <w:rPr>
          <w:rFonts w:asciiTheme="majorHAnsi" w:hAnsiTheme="majorHAnsi" w:cstheme="majorHAnsi"/>
        </w:rPr>
        <w:t>)</w:t>
      </w:r>
      <w:r w:rsidRPr="005E4B03">
        <w:rPr>
          <w:rStyle w:val="FootnoteReference"/>
          <w:rFonts w:asciiTheme="majorHAnsi" w:hAnsiTheme="majorHAnsi" w:cstheme="majorHAnsi"/>
        </w:rPr>
        <w:footnoteReference w:id="2"/>
      </w:r>
      <w:r w:rsidRPr="005E4B03">
        <w:rPr>
          <w:rFonts w:asciiTheme="majorHAnsi" w:hAnsiTheme="majorHAnsi" w:cstheme="majorHAnsi"/>
        </w:rPr>
        <w:t>.</w:t>
      </w:r>
      <w:r>
        <w:rPr>
          <w:rFonts w:asciiTheme="majorHAnsi" w:hAnsiTheme="majorHAnsi" w:cstheme="majorHAnsi"/>
        </w:rPr>
        <w:t xml:space="preserve"> His hospital passport dated </w:t>
      </w:r>
      <w:r w:rsidRPr="00CF05D4">
        <w:rPr>
          <w:rFonts w:asciiTheme="majorHAnsi" w:hAnsiTheme="majorHAnsi" w:cstheme="majorHAnsi"/>
        </w:rPr>
        <w:t>07/08/2015</w:t>
      </w:r>
      <w:r>
        <w:rPr>
          <w:rFonts w:asciiTheme="majorHAnsi" w:hAnsiTheme="majorHAnsi" w:cstheme="majorHAnsi"/>
        </w:rPr>
        <w:t xml:space="preserve"> noted he had a PEG inserted in 2004.</w:t>
      </w:r>
    </w:p>
    <w:p w14:paraId="52C352B3" w14:textId="77777777" w:rsidR="00C837BC" w:rsidRPr="009B0996" w:rsidRDefault="00C837BC" w:rsidP="00C837BC">
      <w:pPr>
        <w:ind w:left="720" w:hanging="720"/>
        <w:rPr>
          <w:rFonts w:asciiTheme="majorHAnsi" w:hAnsiTheme="majorHAnsi"/>
          <w:color w:val="18161F"/>
          <w:spacing w:val="-1"/>
          <w:w w:val="103"/>
          <w:lang w:val="en-US"/>
        </w:rPr>
      </w:pPr>
      <w:r w:rsidRPr="00BB1A22">
        <w:rPr>
          <w:rFonts w:asciiTheme="majorHAnsi" w:hAnsiTheme="majorHAnsi"/>
        </w:rPr>
        <w:tab/>
      </w:r>
    </w:p>
    <w:p w14:paraId="2A487D03" w14:textId="767B4621" w:rsidR="00C837BC" w:rsidRDefault="00C837BC" w:rsidP="00C837BC">
      <w:pPr>
        <w:ind w:left="720" w:hanging="720"/>
        <w:rPr>
          <w:rFonts w:asciiTheme="majorHAnsi" w:hAnsiTheme="majorHAnsi"/>
        </w:rPr>
      </w:pPr>
      <w:r>
        <w:rPr>
          <w:rFonts w:asciiTheme="majorHAnsi" w:hAnsiTheme="majorHAnsi"/>
        </w:rPr>
        <w:t>1.</w:t>
      </w:r>
      <w:r w:rsidR="003778D5">
        <w:rPr>
          <w:rFonts w:asciiTheme="majorHAnsi" w:hAnsiTheme="majorHAnsi"/>
        </w:rPr>
        <w:t>7</w:t>
      </w:r>
      <w:r>
        <w:rPr>
          <w:rFonts w:asciiTheme="majorHAnsi" w:hAnsiTheme="majorHAnsi"/>
        </w:rPr>
        <w:tab/>
        <w:t>Mr B</w:t>
      </w:r>
      <w:r w:rsidRPr="00BB1A22">
        <w:rPr>
          <w:rFonts w:asciiTheme="majorHAnsi" w:hAnsiTheme="majorHAnsi"/>
        </w:rPr>
        <w:t xml:space="preserve"> died in </w:t>
      </w:r>
      <w:r>
        <w:rPr>
          <w:rFonts w:asciiTheme="majorHAnsi" w:hAnsiTheme="majorHAnsi"/>
        </w:rPr>
        <w:t xml:space="preserve">December </w:t>
      </w:r>
      <w:r w:rsidRPr="00BB1A22">
        <w:rPr>
          <w:rFonts w:asciiTheme="majorHAnsi" w:hAnsiTheme="majorHAnsi"/>
        </w:rPr>
        <w:t xml:space="preserve">2016 </w:t>
      </w:r>
      <w:r>
        <w:rPr>
          <w:rFonts w:asciiTheme="majorHAnsi" w:hAnsiTheme="majorHAnsi"/>
        </w:rPr>
        <w:t>in The Royal London Hospital.</w:t>
      </w:r>
      <w:r w:rsidRPr="00BB1A22">
        <w:rPr>
          <w:rFonts w:asciiTheme="majorHAnsi" w:hAnsiTheme="majorHAnsi"/>
        </w:rPr>
        <w:t xml:space="preserve"> </w:t>
      </w:r>
      <w:r>
        <w:rPr>
          <w:rFonts w:asciiTheme="majorHAnsi" w:hAnsiTheme="majorHAnsi"/>
        </w:rPr>
        <w:t xml:space="preserve">The </w:t>
      </w:r>
      <w:r w:rsidRPr="00BB1A22">
        <w:rPr>
          <w:rFonts w:asciiTheme="majorHAnsi" w:hAnsiTheme="majorHAnsi"/>
        </w:rPr>
        <w:t xml:space="preserve">cause of death was </w:t>
      </w:r>
      <w:r>
        <w:rPr>
          <w:rFonts w:asciiTheme="majorHAnsi" w:hAnsiTheme="majorHAnsi"/>
        </w:rPr>
        <w:t>pneumonia.</w:t>
      </w:r>
    </w:p>
    <w:p w14:paraId="39F0A9B7" w14:textId="77777777" w:rsidR="00C837BC" w:rsidRDefault="00C837BC" w:rsidP="00C837BC">
      <w:pPr>
        <w:rPr>
          <w:rFonts w:asciiTheme="majorHAnsi" w:hAnsiTheme="majorHAnsi"/>
        </w:rPr>
      </w:pPr>
    </w:p>
    <w:p w14:paraId="60ABB236" w14:textId="5C7BDAE0" w:rsidR="00C837BC" w:rsidRDefault="00C837BC" w:rsidP="00C837BC">
      <w:pPr>
        <w:ind w:left="720" w:hanging="720"/>
        <w:rPr>
          <w:rFonts w:asciiTheme="majorHAnsi" w:hAnsiTheme="majorHAnsi"/>
        </w:rPr>
      </w:pPr>
      <w:r>
        <w:rPr>
          <w:rFonts w:asciiTheme="majorHAnsi" w:hAnsiTheme="majorHAnsi"/>
        </w:rPr>
        <w:t>1.</w:t>
      </w:r>
      <w:r w:rsidR="003778D5">
        <w:rPr>
          <w:rFonts w:asciiTheme="majorHAnsi" w:hAnsiTheme="majorHAnsi"/>
        </w:rPr>
        <w:t>8</w:t>
      </w:r>
      <w:r>
        <w:rPr>
          <w:rFonts w:asciiTheme="majorHAnsi" w:hAnsiTheme="majorHAnsi"/>
        </w:rPr>
        <w:tab/>
        <w:t>It is unclear what caused Mr B’s pneumonia, but in the months leading to his death there were safeguarding concerns about his PEG feeding and how this was delivered and managed. The Safeguarding Adults Review (SAR) report evidences:</w:t>
      </w:r>
    </w:p>
    <w:p w14:paraId="35E0AE90" w14:textId="77777777" w:rsidR="00C837BC" w:rsidRPr="006E0F3C" w:rsidRDefault="00C837BC" w:rsidP="00C837BC">
      <w:pPr>
        <w:pStyle w:val="ListParagraph"/>
        <w:numPr>
          <w:ilvl w:val="0"/>
          <w:numId w:val="2"/>
        </w:numPr>
        <w:rPr>
          <w:rFonts w:asciiTheme="majorHAnsi" w:hAnsiTheme="majorHAnsi"/>
        </w:rPr>
      </w:pPr>
      <w:r w:rsidRPr="006E0F3C">
        <w:rPr>
          <w:rFonts w:asciiTheme="majorHAnsi" w:hAnsiTheme="majorHAnsi"/>
        </w:rPr>
        <w:t xml:space="preserve">a lack of integrated and coordinated services across social care and health; </w:t>
      </w:r>
    </w:p>
    <w:p w14:paraId="0795A834" w14:textId="77777777" w:rsidR="00C837BC" w:rsidRDefault="00C837BC" w:rsidP="00C837BC">
      <w:pPr>
        <w:pStyle w:val="ListParagraph"/>
        <w:numPr>
          <w:ilvl w:val="0"/>
          <w:numId w:val="2"/>
        </w:numPr>
        <w:rPr>
          <w:rFonts w:asciiTheme="majorHAnsi" w:hAnsiTheme="majorHAnsi"/>
        </w:rPr>
      </w:pPr>
      <w:r w:rsidRPr="006E0F3C">
        <w:rPr>
          <w:rFonts w:asciiTheme="majorHAnsi" w:hAnsiTheme="majorHAnsi"/>
        </w:rPr>
        <w:lastRenderedPageBreak/>
        <w:t xml:space="preserve">a lack of </w:t>
      </w:r>
      <w:r>
        <w:rPr>
          <w:rFonts w:asciiTheme="majorHAnsi" w:hAnsiTheme="majorHAnsi"/>
        </w:rPr>
        <w:t>published PEG feeding standards and guidance;</w:t>
      </w:r>
    </w:p>
    <w:p w14:paraId="136276DC" w14:textId="77777777" w:rsidR="00C837BC" w:rsidRPr="006E0F3C" w:rsidRDefault="00C837BC" w:rsidP="00C837BC">
      <w:pPr>
        <w:pStyle w:val="ListParagraph"/>
        <w:numPr>
          <w:ilvl w:val="0"/>
          <w:numId w:val="2"/>
        </w:numPr>
        <w:rPr>
          <w:rFonts w:asciiTheme="majorHAnsi" w:hAnsiTheme="majorHAnsi"/>
        </w:rPr>
      </w:pPr>
      <w:r w:rsidRPr="006E0F3C">
        <w:rPr>
          <w:rFonts w:asciiTheme="majorHAnsi" w:hAnsiTheme="majorHAnsi"/>
        </w:rPr>
        <w:t>coordination in commissioning and contract monitoring</w:t>
      </w:r>
      <w:r>
        <w:rPr>
          <w:rFonts w:asciiTheme="majorHAnsi" w:hAnsiTheme="majorHAnsi"/>
        </w:rPr>
        <w:t>; and</w:t>
      </w:r>
    </w:p>
    <w:p w14:paraId="43769097" w14:textId="77777777" w:rsidR="00C837BC" w:rsidRPr="006E0F3C" w:rsidRDefault="00C837BC" w:rsidP="00C837BC">
      <w:pPr>
        <w:pStyle w:val="ListParagraph"/>
        <w:numPr>
          <w:ilvl w:val="0"/>
          <w:numId w:val="2"/>
        </w:numPr>
        <w:rPr>
          <w:rFonts w:asciiTheme="majorHAnsi" w:hAnsiTheme="majorHAnsi"/>
        </w:rPr>
      </w:pPr>
      <w:r w:rsidRPr="006E0F3C">
        <w:rPr>
          <w:rFonts w:asciiTheme="majorHAnsi" w:hAnsiTheme="majorHAnsi"/>
        </w:rPr>
        <w:t>care provider</w:t>
      </w:r>
      <w:r>
        <w:rPr>
          <w:rFonts w:asciiTheme="majorHAnsi" w:hAnsiTheme="majorHAnsi"/>
        </w:rPr>
        <w:t>s</w:t>
      </w:r>
      <w:r w:rsidRPr="006E0F3C">
        <w:rPr>
          <w:rFonts w:asciiTheme="majorHAnsi" w:hAnsiTheme="majorHAnsi"/>
        </w:rPr>
        <w:t xml:space="preserve"> who failed to provide appropriate and consistent support</w:t>
      </w:r>
      <w:r>
        <w:rPr>
          <w:rFonts w:asciiTheme="majorHAnsi" w:hAnsiTheme="majorHAnsi"/>
        </w:rPr>
        <w:t>.</w:t>
      </w:r>
    </w:p>
    <w:p w14:paraId="3695D350" w14:textId="77777777" w:rsidR="00C837BC" w:rsidRDefault="00C837BC" w:rsidP="00C837BC">
      <w:pPr>
        <w:rPr>
          <w:rFonts w:asciiTheme="majorHAnsi" w:hAnsiTheme="majorHAnsi"/>
        </w:rPr>
      </w:pPr>
    </w:p>
    <w:p w14:paraId="2CD87177" w14:textId="1545B327" w:rsidR="00C837BC" w:rsidRDefault="00C837BC" w:rsidP="00C837BC">
      <w:pPr>
        <w:rPr>
          <w:rFonts w:asciiTheme="majorHAnsi" w:hAnsiTheme="majorHAnsi"/>
        </w:rPr>
      </w:pPr>
      <w:r>
        <w:rPr>
          <w:rFonts w:asciiTheme="majorHAnsi" w:hAnsiTheme="majorHAnsi"/>
        </w:rPr>
        <w:t>1.</w:t>
      </w:r>
      <w:r w:rsidR="003778D5">
        <w:rPr>
          <w:rFonts w:asciiTheme="majorHAnsi" w:hAnsiTheme="majorHAnsi"/>
        </w:rPr>
        <w:t>9</w:t>
      </w:r>
      <w:r>
        <w:rPr>
          <w:rFonts w:asciiTheme="majorHAnsi" w:hAnsiTheme="majorHAnsi"/>
        </w:rPr>
        <w:tab/>
        <w:t>The report makes recommendations for health and social care partners on:</w:t>
      </w:r>
    </w:p>
    <w:p w14:paraId="0685AE10" w14:textId="77777777" w:rsidR="00C837BC" w:rsidRDefault="00C837BC" w:rsidP="00C837BC">
      <w:pPr>
        <w:pStyle w:val="ListParagraph"/>
        <w:numPr>
          <w:ilvl w:val="0"/>
          <w:numId w:val="3"/>
        </w:numPr>
        <w:rPr>
          <w:rFonts w:asciiTheme="majorHAnsi" w:hAnsiTheme="majorHAnsi" w:cstheme="majorHAnsi"/>
        </w:rPr>
      </w:pPr>
      <w:r w:rsidRPr="006E0F3C">
        <w:rPr>
          <w:rFonts w:asciiTheme="majorHAnsi" w:hAnsiTheme="majorHAnsi" w:cstheme="majorHAnsi"/>
        </w:rPr>
        <w:t>developing good practice guideline</w:t>
      </w:r>
      <w:r>
        <w:rPr>
          <w:rFonts w:asciiTheme="majorHAnsi" w:hAnsiTheme="majorHAnsi" w:cstheme="majorHAnsi"/>
        </w:rPr>
        <w:t>s</w:t>
      </w:r>
      <w:r w:rsidRPr="006E0F3C">
        <w:rPr>
          <w:rFonts w:asciiTheme="majorHAnsi" w:hAnsiTheme="majorHAnsi" w:cstheme="majorHAnsi"/>
        </w:rPr>
        <w:t xml:space="preserve"> for adults that are tube fed and </w:t>
      </w:r>
      <w:r>
        <w:rPr>
          <w:rFonts w:asciiTheme="majorHAnsi" w:hAnsiTheme="majorHAnsi" w:cstheme="majorHAnsi"/>
        </w:rPr>
        <w:t>supported</w:t>
      </w:r>
      <w:r w:rsidRPr="006E0F3C">
        <w:rPr>
          <w:rFonts w:asciiTheme="majorHAnsi" w:hAnsiTheme="majorHAnsi" w:cstheme="majorHAnsi"/>
        </w:rPr>
        <w:t xml:space="preserve"> in the community</w:t>
      </w:r>
      <w:r>
        <w:rPr>
          <w:rFonts w:asciiTheme="majorHAnsi" w:hAnsiTheme="majorHAnsi" w:cstheme="majorHAnsi"/>
        </w:rPr>
        <w:t>;</w:t>
      </w:r>
      <w:r w:rsidRPr="006E0F3C">
        <w:rPr>
          <w:rFonts w:asciiTheme="majorHAnsi" w:hAnsiTheme="majorHAnsi" w:cstheme="majorHAnsi"/>
        </w:rPr>
        <w:t xml:space="preserve"> </w:t>
      </w:r>
    </w:p>
    <w:p w14:paraId="51734865" w14:textId="77777777" w:rsidR="00C837BC" w:rsidRPr="007A5F7A" w:rsidRDefault="00C837BC" w:rsidP="00C837BC">
      <w:pPr>
        <w:pStyle w:val="ListParagraph"/>
        <w:numPr>
          <w:ilvl w:val="0"/>
          <w:numId w:val="3"/>
        </w:numPr>
        <w:rPr>
          <w:rFonts w:asciiTheme="majorHAnsi" w:hAnsiTheme="majorHAnsi" w:cstheme="majorHAnsi"/>
        </w:rPr>
      </w:pPr>
      <w:r w:rsidRPr="006E0F3C">
        <w:rPr>
          <w:rFonts w:asciiTheme="majorHAnsi" w:hAnsiTheme="majorHAnsi" w:cstheme="majorHAnsi"/>
        </w:rPr>
        <w:t xml:space="preserve">reviewing how PEG feeding support </w:t>
      </w:r>
      <w:r>
        <w:rPr>
          <w:rFonts w:asciiTheme="majorHAnsi" w:hAnsiTheme="majorHAnsi" w:cstheme="majorHAnsi"/>
        </w:rPr>
        <w:t xml:space="preserve">and training </w:t>
      </w:r>
      <w:r w:rsidRPr="006E0F3C">
        <w:rPr>
          <w:rFonts w:asciiTheme="majorHAnsi" w:hAnsiTheme="majorHAnsi" w:cstheme="majorHAnsi"/>
        </w:rPr>
        <w:t>is commissioned</w:t>
      </w:r>
      <w:r>
        <w:rPr>
          <w:rFonts w:asciiTheme="majorHAnsi" w:hAnsiTheme="majorHAnsi" w:cstheme="majorHAnsi"/>
        </w:rPr>
        <w:t>;</w:t>
      </w:r>
    </w:p>
    <w:p w14:paraId="4EAD2774" w14:textId="77777777" w:rsidR="00C837BC" w:rsidRPr="006E0F3C" w:rsidRDefault="00C837BC" w:rsidP="00C837BC">
      <w:pPr>
        <w:pStyle w:val="ListParagraph"/>
        <w:numPr>
          <w:ilvl w:val="0"/>
          <w:numId w:val="3"/>
        </w:numPr>
        <w:rPr>
          <w:rFonts w:asciiTheme="majorHAnsi" w:hAnsiTheme="majorHAnsi" w:cstheme="majorHAnsi"/>
        </w:rPr>
      </w:pPr>
      <w:r w:rsidRPr="006E0F3C">
        <w:rPr>
          <w:rFonts w:asciiTheme="majorHAnsi" w:hAnsiTheme="majorHAnsi" w:cstheme="majorHAnsi"/>
        </w:rPr>
        <w:t>ensuring that there are clear lines of accountability between health and social care when commissioning</w:t>
      </w:r>
      <w:r>
        <w:rPr>
          <w:rFonts w:asciiTheme="majorHAnsi" w:hAnsiTheme="majorHAnsi" w:cstheme="majorHAnsi"/>
        </w:rPr>
        <w:t xml:space="preserve"> support services;</w:t>
      </w:r>
      <w:r w:rsidRPr="006E0F3C">
        <w:rPr>
          <w:rFonts w:asciiTheme="majorHAnsi" w:hAnsiTheme="majorHAnsi" w:cstheme="majorHAnsi"/>
        </w:rPr>
        <w:t xml:space="preserve"> </w:t>
      </w:r>
    </w:p>
    <w:p w14:paraId="63CF6208" w14:textId="77777777" w:rsidR="00C837BC" w:rsidRPr="006E0F3C" w:rsidRDefault="00C837BC" w:rsidP="00C837BC">
      <w:pPr>
        <w:pStyle w:val="ListParagraph"/>
        <w:numPr>
          <w:ilvl w:val="0"/>
          <w:numId w:val="3"/>
        </w:numPr>
        <w:rPr>
          <w:rFonts w:asciiTheme="majorHAnsi" w:hAnsiTheme="majorHAnsi" w:cstheme="majorHAnsi"/>
        </w:rPr>
      </w:pPr>
      <w:r>
        <w:rPr>
          <w:rFonts w:asciiTheme="majorHAnsi" w:hAnsiTheme="majorHAnsi" w:cstheme="majorHAnsi"/>
        </w:rPr>
        <w:t>ensuring</w:t>
      </w:r>
      <w:r w:rsidRPr="006E0F3C">
        <w:rPr>
          <w:rFonts w:asciiTheme="majorHAnsi" w:hAnsiTheme="majorHAnsi" w:cstheme="majorHAnsi"/>
        </w:rPr>
        <w:t xml:space="preserve"> </w:t>
      </w:r>
      <w:r>
        <w:rPr>
          <w:rFonts w:asciiTheme="majorHAnsi" w:hAnsiTheme="majorHAnsi" w:cstheme="majorHAnsi"/>
        </w:rPr>
        <w:t xml:space="preserve">there are understood and robust systems in place where statutory </w:t>
      </w:r>
      <w:r w:rsidRPr="006E0F3C">
        <w:rPr>
          <w:rFonts w:asciiTheme="majorHAnsi" w:hAnsiTheme="majorHAnsi" w:cstheme="majorHAnsi"/>
        </w:rPr>
        <w:t xml:space="preserve">responsibilities </w:t>
      </w:r>
      <w:r>
        <w:rPr>
          <w:rFonts w:asciiTheme="majorHAnsi" w:hAnsiTheme="majorHAnsi" w:cstheme="majorHAnsi"/>
        </w:rPr>
        <w:t>are delegated between organisations;</w:t>
      </w:r>
    </w:p>
    <w:p w14:paraId="25F0C565" w14:textId="13C233A5" w:rsidR="00C837BC" w:rsidRPr="007A5F7A" w:rsidRDefault="00C837BC" w:rsidP="00C837BC">
      <w:pPr>
        <w:pStyle w:val="ListParagraph"/>
        <w:numPr>
          <w:ilvl w:val="0"/>
          <w:numId w:val="3"/>
        </w:numPr>
        <w:rPr>
          <w:rFonts w:asciiTheme="majorHAnsi" w:hAnsiTheme="majorHAnsi" w:cstheme="majorHAnsi"/>
        </w:rPr>
      </w:pPr>
      <w:r>
        <w:rPr>
          <w:rFonts w:asciiTheme="majorHAnsi" w:hAnsiTheme="majorHAnsi" w:cstheme="majorHAnsi"/>
          <w:lang w:val="en-US"/>
        </w:rPr>
        <w:t xml:space="preserve">for </w:t>
      </w:r>
      <w:r w:rsidRPr="007A5F7A">
        <w:rPr>
          <w:rFonts w:asciiTheme="majorHAnsi" w:hAnsiTheme="majorHAnsi" w:cstheme="majorHAnsi"/>
          <w:lang w:val="en-US"/>
        </w:rPr>
        <w:t xml:space="preserve">CLDS working with partners </w:t>
      </w:r>
      <w:r>
        <w:rPr>
          <w:rFonts w:asciiTheme="majorHAnsi" w:hAnsiTheme="majorHAnsi" w:cstheme="majorHAnsi"/>
          <w:lang w:val="en-US"/>
        </w:rPr>
        <w:t>to</w:t>
      </w:r>
      <w:r w:rsidRPr="007A5F7A">
        <w:rPr>
          <w:rFonts w:asciiTheme="majorHAnsi" w:hAnsiTheme="majorHAnsi" w:cstheme="majorHAnsi"/>
          <w:lang w:val="en-US"/>
        </w:rPr>
        <w:t xml:space="preserve"> review the opportunities for enhancing integrated working at a practical and operational level</w:t>
      </w:r>
      <w:r>
        <w:rPr>
          <w:rFonts w:asciiTheme="majorHAnsi" w:hAnsiTheme="majorHAnsi" w:cstheme="majorHAnsi"/>
          <w:lang w:val="en-US"/>
        </w:rPr>
        <w:t>;</w:t>
      </w:r>
    </w:p>
    <w:p w14:paraId="20D16A2B" w14:textId="77777777" w:rsidR="00C837BC" w:rsidRPr="006E0F3C" w:rsidRDefault="00C837BC" w:rsidP="00C837BC">
      <w:pPr>
        <w:pStyle w:val="ListParagraph"/>
        <w:numPr>
          <w:ilvl w:val="0"/>
          <w:numId w:val="3"/>
        </w:numPr>
        <w:rPr>
          <w:rFonts w:asciiTheme="majorHAnsi" w:hAnsiTheme="majorHAnsi" w:cstheme="majorHAnsi"/>
        </w:rPr>
      </w:pPr>
      <w:r w:rsidRPr="006E0F3C">
        <w:rPr>
          <w:rFonts w:asciiTheme="majorHAnsi" w:hAnsiTheme="majorHAnsi" w:cstheme="majorHAnsi"/>
        </w:rPr>
        <w:t xml:space="preserve">enhancing integrated </w:t>
      </w:r>
      <w:r>
        <w:rPr>
          <w:rFonts w:asciiTheme="majorHAnsi" w:hAnsiTheme="majorHAnsi" w:cstheme="majorHAnsi"/>
        </w:rPr>
        <w:t>support</w:t>
      </w:r>
      <w:r w:rsidRPr="006E0F3C">
        <w:rPr>
          <w:rFonts w:asciiTheme="majorHAnsi" w:hAnsiTheme="majorHAnsi" w:cstheme="majorHAnsi"/>
        </w:rPr>
        <w:t xml:space="preserve"> </w:t>
      </w:r>
      <w:r>
        <w:rPr>
          <w:rFonts w:asciiTheme="majorHAnsi" w:hAnsiTheme="majorHAnsi" w:cstheme="majorHAnsi"/>
        </w:rPr>
        <w:t xml:space="preserve">planning </w:t>
      </w:r>
      <w:r w:rsidRPr="006E0F3C">
        <w:rPr>
          <w:rFonts w:asciiTheme="majorHAnsi" w:hAnsiTheme="majorHAnsi" w:cstheme="majorHAnsi"/>
        </w:rPr>
        <w:t xml:space="preserve">for people with </w:t>
      </w:r>
      <w:r>
        <w:rPr>
          <w:rFonts w:asciiTheme="majorHAnsi" w:hAnsiTheme="majorHAnsi" w:cstheme="majorHAnsi"/>
        </w:rPr>
        <w:t xml:space="preserve">complex </w:t>
      </w:r>
      <w:r w:rsidRPr="006E0F3C">
        <w:rPr>
          <w:rFonts w:asciiTheme="majorHAnsi" w:hAnsiTheme="majorHAnsi" w:cstheme="majorHAnsi"/>
        </w:rPr>
        <w:t xml:space="preserve">health and social </w:t>
      </w:r>
      <w:r>
        <w:rPr>
          <w:rFonts w:asciiTheme="majorHAnsi" w:hAnsiTheme="majorHAnsi" w:cstheme="majorHAnsi"/>
        </w:rPr>
        <w:t>needs;</w:t>
      </w:r>
    </w:p>
    <w:p w14:paraId="1CE2A91F" w14:textId="18B41711" w:rsidR="00C837BC" w:rsidRDefault="00C837BC" w:rsidP="00C837BC">
      <w:pPr>
        <w:pStyle w:val="ListParagraph"/>
        <w:numPr>
          <w:ilvl w:val="0"/>
          <w:numId w:val="3"/>
        </w:numPr>
        <w:rPr>
          <w:rFonts w:asciiTheme="majorHAnsi" w:hAnsiTheme="majorHAnsi" w:cstheme="majorHAnsi"/>
        </w:rPr>
      </w:pPr>
      <w:r>
        <w:rPr>
          <w:rFonts w:asciiTheme="majorHAnsi" w:hAnsiTheme="majorHAnsi" w:cstheme="majorHAnsi"/>
        </w:rPr>
        <w:t>reviewing the support available to family carers when they are caring for someone with complex needs;</w:t>
      </w:r>
    </w:p>
    <w:p w14:paraId="3E7ED843" w14:textId="77777777" w:rsidR="00C837BC" w:rsidRPr="006E0F3C" w:rsidRDefault="00C837BC" w:rsidP="00C837BC">
      <w:pPr>
        <w:pStyle w:val="ListParagraph"/>
        <w:numPr>
          <w:ilvl w:val="0"/>
          <w:numId w:val="3"/>
        </w:numPr>
        <w:rPr>
          <w:rFonts w:asciiTheme="majorHAnsi" w:hAnsiTheme="majorHAnsi" w:cstheme="majorHAnsi"/>
        </w:rPr>
      </w:pPr>
      <w:r>
        <w:rPr>
          <w:rFonts w:asciiTheme="majorHAnsi" w:hAnsiTheme="majorHAnsi" w:cstheme="majorHAnsi"/>
        </w:rPr>
        <w:t xml:space="preserve">reviewing the local processes around CHC funding; and </w:t>
      </w:r>
    </w:p>
    <w:p w14:paraId="233B5F8D" w14:textId="77777777" w:rsidR="00C837BC" w:rsidRPr="006E0F3C" w:rsidRDefault="00C837BC" w:rsidP="00C837BC">
      <w:pPr>
        <w:pStyle w:val="ListParagraph"/>
        <w:numPr>
          <w:ilvl w:val="0"/>
          <w:numId w:val="3"/>
        </w:numPr>
        <w:rPr>
          <w:rFonts w:asciiTheme="majorHAnsi" w:hAnsiTheme="majorHAnsi" w:cstheme="majorHAnsi"/>
        </w:rPr>
      </w:pPr>
      <w:r w:rsidRPr="006E0F3C">
        <w:rPr>
          <w:rFonts w:asciiTheme="majorHAnsi" w:hAnsiTheme="majorHAnsi" w:cstheme="majorHAnsi"/>
        </w:rPr>
        <w:t>auditing care records</w:t>
      </w:r>
      <w:r>
        <w:rPr>
          <w:rFonts w:asciiTheme="majorHAnsi" w:hAnsiTheme="majorHAnsi" w:cstheme="majorHAnsi"/>
        </w:rPr>
        <w:t>.</w:t>
      </w:r>
    </w:p>
    <w:p w14:paraId="37CD7C90" w14:textId="0E0E238A" w:rsidR="00C837BC" w:rsidRDefault="00C837BC" w:rsidP="00C837BC">
      <w:pPr>
        <w:rPr>
          <w:rFonts w:asciiTheme="majorHAnsi" w:hAnsiTheme="majorHAnsi" w:cstheme="majorHAnsi"/>
        </w:rPr>
      </w:pPr>
    </w:p>
    <w:p w14:paraId="4F761084" w14:textId="00A55ADC" w:rsidR="00C8089C" w:rsidRPr="005E4B03" w:rsidRDefault="00C8089C" w:rsidP="00C8089C">
      <w:pPr>
        <w:ind w:left="720" w:hanging="720"/>
        <w:rPr>
          <w:rFonts w:asciiTheme="majorHAnsi" w:hAnsiTheme="majorHAnsi" w:cstheme="majorHAnsi"/>
        </w:rPr>
      </w:pPr>
      <w:r>
        <w:rPr>
          <w:rFonts w:asciiTheme="majorHAnsi" w:hAnsiTheme="majorHAnsi" w:cstheme="majorHAnsi"/>
        </w:rPr>
        <w:t>2.0</w:t>
      </w:r>
      <w:r>
        <w:rPr>
          <w:rFonts w:asciiTheme="majorHAnsi" w:hAnsiTheme="majorHAnsi" w:cstheme="majorHAnsi"/>
        </w:rPr>
        <w:tab/>
        <w:t xml:space="preserve">Mr B’s family were involved in the creation of this </w:t>
      </w:r>
      <w:r w:rsidR="009669F1">
        <w:rPr>
          <w:rFonts w:asciiTheme="majorHAnsi" w:hAnsiTheme="majorHAnsi" w:cstheme="majorHAnsi"/>
        </w:rPr>
        <w:t>report</w:t>
      </w:r>
      <w:r>
        <w:rPr>
          <w:rFonts w:asciiTheme="majorHAnsi" w:hAnsiTheme="majorHAnsi" w:cstheme="majorHAnsi"/>
        </w:rPr>
        <w:t xml:space="preserve"> and the author would like to thank them for their invaluable contribution and insights. The final report was shared </w:t>
      </w:r>
      <w:r w:rsidR="00371CA5">
        <w:rPr>
          <w:rFonts w:asciiTheme="majorHAnsi" w:hAnsiTheme="majorHAnsi" w:cstheme="majorHAnsi"/>
        </w:rPr>
        <w:t xml:space="preserve">and discussed </w:t>
      </w:r>
      <w:r>
        <w:rPr>
          <w:rFonts w:asciiTheme="majorHAnsi" w:hAnsiTheme="majorHAnsi" w:cstheme="majorHAnsi"/>
        </w:rPr>
        <w:t>with Mr B’s family by the author prior to publication.</w:t>
      </w:r>
    </w:p>
    <w:p w14:paraId="39B8AE89" w14:textId="005D5C09" w:rsidR="003F06C6" w:rsidRDefault="003F06C6" w:rsidP="00C837BC"/>
    <w:p w14:paraId="18A0772D" w14:textId="5F08ABC6" w:rsidR="005B14A6" w:rsidRDefault="005B14A6" w:rsidP="00C837BC"/>
    <w:p w14:paraId="6AB2BC80" w14:textId="65F66A4B" w:rsidR="005B14A6" w:rsidRDefault="005B14A6" w:rsidP="00C837BC"/>
    <w:p w14:paraId="39589963" w14:textId="17013226" w:rsidR="005B14A6" w:rsidRDefault="005B14A6" w:rsidP="00C837BC"/>
    <w:p w14:paraId="10F900F4" w14:textId="77777777" w:rsidR="005B14A6" w:rsidRDefault="005B14A6" w:rsidP="00C837BC"/>
    <w:sectPr w:rsidR="005B14A6" w:rsidSect="002D208E">
      <w:footerReference w:type="default" r:id="rId11"/>
      <w:pgSz w:w="11904" w:h="16835"/>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9F5B3" w14:textId="77777777" w:rsidR="009341A6" w:rsidRDefault="009341A6" w:rsidP="00E36509">
      <w:r>
        <w:separator/>
      </w:r>
    </w:p>
  </w:endnote>
  <w:endnote w:type="continuationSeparator" w:id="0">
    <w:p w14:paraId="22A5E2E8" w14:textId="77777777" w:rsidR="009341A6" w:rsidRDefault="009341A6" w:rsidP="00E3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242B" w14:textId="4B762249" w:rsidR="00C8089C" w:rsidRPr="00C8089C" w:rsidRDefault="00C8089C" w:rsidP="00C8089C">
    <w:pPr>
      <w:pStyle w:val="Footer"/>
      <w:rPr>
        <w:rFonts w:asciiTheme="majorHAnsi" w:hAnsiTheme="majorHAnsi" w:cstheme="majorHAnsi"/>
        <w:sz w:val="20"/>
        <w:szCs w:val="20"/>
      </w:rPr>
    </w:pPr>
    <w:r w:rsidRPr="00C8089C">
      <w:rPr>
        <w:rFonts w:asciiTheme="majorHAnsi" w:hAnsiTheme="majorHAnsi" w:cstheme="majorHAnsi"/>
        <w:sz w:val="20"/>
        <w:szCs w:val="20"/>
      </w:rPr>
      <w:t>Mr B Executive Summary 180820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6BB99" w14:textId="77777777" w:rsidR="009341A6" w:rsidRDefault="009341A6" w:rsidP="00E36509">
      <w:r>
        <w:separator/>
      </w:r>
    </w:p>
  </w:footnote>
  <w:footnote w:type="continuationSeparator" w:id="0">
    <w:p w14:paraId="40AAC2A8" w14:textId="77777777" w:rsidR="009341A6" w:rsidRDefault="009341A6" w:rsidP="00E36509">
      <w:r>
        <w:continuationSeparator/>
      </w:r>
    </w:p>
  </w:footnote>
  <w:footnote w:id="1">
    <w:p w14:paraId="61308012" w14:textId="77777777" w:rsidR="00C837BC" w:rsidRPr="007A5F7A" w:rsidRDefault="00C837BC" w:rsidP="00C837BC">
      <w:pPr>
        <w:pStyle w:val="FootnoteText"/>
        <w:rPr>
          <w:rFonts w:asciiTheme="majorHAnsi" w:hAnsiTheme="majorHAnsi"/>
          <w:sz w:val="20"/>
          <w:szCs w:val="20"/>
        </w:rPr>
      </w:pPr>
      <w:r w:rsidRPr="007A5F7A">
        <w:rPr>
          <w:rStyle w:val="FootnoteReference"/>
          <w:rFonts w:asciiTheme="majorHAnsi" w:hAnsiTheme="majorHAnsi"/>
          <w:sz w:val="20"/>
          <w:szCs w:val="20"/>
        </w:rPr>
        <w:footnoteRef/>
      </w:r>
      <w:r w:rsidRPr="007A5F7A">
        <w:rPr>
          <w:rFonts w:asciiTheme="majorHAnsi" w:hAnsiTheme="majorHAnsi"/>
          <w:sz w:val="20"/>
          <w:szCs w:val="20"/>
        </w:rPr>
        <w:t xml:space="preserve"> CLDS is a multi-agency multi-disciplinary team</w:t>
      </w:r>
      <w:r>
        <w:rPr>
          <w:rFonts w:asciiTheme="majorHAnsi" w:hAnsiTheme="majorHAnsi"/>
          <w:sz w:val="20"/>
          <w:szCs w:val="20"/>
        </w:rPr>
        <w:t xml:space="preserve"> made up of health staff and social workers</w:t>
      </w:r>
      <w:r w:rsidRPr="007A5F7A">
        <w:rPr>
          <w:rFonts w:asciiTheme="majorHAnsi" w:hAnsiTheme="majorHAnsi"/>
          <w:sz w:val="20"/>
          <w:szCs w:val="20"/>
        </w:rPr>
        <w:t>.</w:t>
      </w:r>
      <w:r>
        <w:rPr>
          <w:rFonts w:asciiTheme="majorHAnsi" w:hAnsiTheme="majorHAnsi"/>
          <w:sz w:val="20"/>
          <w:szCs w:val="20"/>
        </w:rPr>
        <w:t xml:space="preserve"> </w:t>
      </w:r>
      <w:r w:rsidRPr="007A5F7A">
        <w:rPr>
          <w:rFonts w:ascii="Calibri" w:hAnsi="Calibri" w:cs="Calibri"/>
          <w:sz w:val="20"/>
          <w:szCs w:val="20"/>
        </w:rPr>
        <w:t>Th</w:t>
      </w:r>
      <w:r>
        <w:rPr>
          <w:rFonts w:ascii="Calibri" w:hAnsi="Calibri" w:cs="Calibri"/>
          <w:sz w:val="20"/>
          <w:szCs w:val="20"/>
        </w:rPr>
        <w:t>e</w:t>
      </w:r>
      <w:r w:rsidRPr="007A5F7A">
        <w:rPr>
          <w:rFonts w:ascii="Calibri" w:hAnsi="Calibri" w:cs="Calibri"/>
          <w:sz w:val="20"/>
          <w:szCs w:val="20"/>
        </w:rPr>
        <w:t xml:space="preserve"> service has been managed by different providers. At the time of the safeguarding referrals the service was managed by </w:t>
      </w:r>
      <w:proofErr w:type="spellStart"/>
      <w:r w:rsidRPr="007A5F7A">
        <w:rPr>
          <w:rFonts w:ascii="Calibri" w:hAnsi="Calibri" w:cs="Calibri"/>
          <w:sz w:val="20"/>
          <w:szCs w:val="20"/>
        </w:rPr>
        <w:t>Barts</w:t>
      </w:r>
      <w:proofErr w:type="spellEnd"/>
      <w:r w:rsidRPr="007A5F7A">
        <w:rPr>
          <w:rFonts w:ascii="Calibri" w:hAnsi="Calibri" w:cs="Calibri"/>
          <w:sz w:val="20"/>
          <w:szCs w:val="20"/>
        </w:rPr>
        <w:t xml:space="preserve"> Health NHS Trust </w:t>
      </w:r>
      <w:r>
        <w:rPr>
          <w:rFonts w:ascii="Calibri" w:hAnsi="Calibri" w:cs="Calibri"/>
          <w:sz w:val="20"/>
          <w:szCs w:val="20"/>
        </w:rPr>
        <w:t>but</w:t>
      </w:r>
      <w:r w:rsidRPr="007A5F7A">
        <w:rPr>
          <w:rFonts w:ascii="Calibri" w:hAnsi="Calibri" w:cs="Calibri"/>
          <w:sz w:val="20"/>
          <w:szCs w:val="20"/>
        </w:rPr>
        <w:t xml:space="preserve"> is now managed by the East London Foundation Trust.</w:t>
      </w:r>
    </w:p>
  </w:footnote>
  <w:footnote w:id="2">
    <w:p w14:paraId="1CAE11A0" w14:textId="77777777" w:rsidR="00C837BC" w:rsidRPr="007A5F7A" w:rsidRDefault="00C837BC" w:rsidP="00C837BC">
      <w:pPr>
        <w:pStyle w:val="FootnoteText"/>
        <w:rPr>
          <w:rFonts w:asciiTheme="majorHAnsi" w:hAnsiTheme="majorHAnsi" w:cs="Calibri"/>
          <w:sz w:val="20"/>
          <w:szCs w:val="20"/>
        </w:rPr>
      </w:pPr>
      <w:r w:rsidRPr="007A5F7A">
        <w:rPr>
          <w:rStyle w:val="FootnoteReference"/>
          <w:rFonts w:asciiTheme="majorHAnsi" w:hAnsiTheme="majorHAnsi" w:cs="Calibri"/>
          <w:sz w:val="20"/>
          <w:szCs w:val="20"/>
        </w:rPr>
        <w:footnoteRef/>
      </w:r>
      <w:r w:rsidRPr="007A5F7A">
        <w:rPr>
          <w:rFonts w:asciiTheme="majorHAnsi" w:hAnsiTheme="majorHAnsi" w:cs="Calibri"/>
          <w:sz w:val="20"/>
          <w:szCs w:val="20"/>
        </w:rPr>
        <w:t xml:space="preserve"> A percutaneous endoscopic gastrostomy (PEG) is a procedure to place a feeding tube through the skin and into the stomach to give the person the nutrients and fluids they need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410"/>
    <w:multiLevelType w:val="hybridMultilevel"/>
    <w:tmpl w:val="161E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AA1EFF"/>
    <w:multiLevelType w:val="hybridMultilevel"/>
    <w:tmpl w:val="8DFC6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3444350"/>
    <w:multiLevelType w:val="hybridMultilevel"/>
    <w:tmpl w:val="FFB80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09"/>
    <w:rsid w:val="00086E91"/>
    <w:rsid w:val="002D208E"/>
    <w:rsid w:val="00371CA5"/>
    <w:rsid w:val="003778D5"/>
    <w:rsid w:val="003F06C6"/>
    <w:rsid w:val="004E44C2"/>
    <w:rsid w:val="005A6F98"/>
    <w:rsid w:val="005B14A6"/>
    <w:rsid w:val="006A5D1B"/>
    <w:rsid w:val="009341A6"/>
    <w:rsid w:val="009669F1"/>
    <w:rsid w:val="00A14220"/>
    <w:rsid w:val="00BD6EA7"/>
    <w:rsid w:val="00C12B5F"/>
    <w:rsid w:val="00C56ABF"/>
    <w:rsid w:val="00C8089C"/>
    <w:rsid w:val="00C837BC"/>
    <w:rsid w:val="00D321B6"/>
    <w:rsid w:val="00DD1795"/>
    <w:rsid w:val="00DF73B7"/>
    <w:rsid w:val="00E36509"/>
    <w:rsid w:val="00E70562"/>
    <w:rsid w:val="00FB4D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09B5F"/>
  <w14:defaultImageDpi w14:val="300"/>
  <w15:docId w15:val="{3BC5ED0F-C4FC-164E-8205-EA4C2CCB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09"/>
  </w:style>
  <w:style w:type="paragraph" w:styleId="Heading1">
    <w:name w:val="heading 1"/>
    <w:basedOn w:val="Normal"/>
    <w:next w:val="Normal"/>
    <w:link w:val="Heading1Char"/>
    <w:uiPriority w:val="9"/>
    <w:qFormat/>
    <w:rsid w:val="00E705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509"/>
    <w:pPr>
      <w:ind w:left="720"/>
      <w:contextualSpacing/>
    </w:pPr>
  </w:style>
  <w:style w:type="paragraph" w:styleId="FootnoteText">
    <w:name w:val="footnote text"/>
    <w:basedOn w:val="Normal"/>
    <w:link w:val="FootnoteTextChar"/>
    <w:uiPriority w:val="99"/>
    <w:unhideWhenUsed/>
    <w:rsid w:val="00E36509"/>
  </w:style>
  <w:style w:type="character" w:customStyle="1" w:styleId="FootnoteTextChar">
    <w:name w:val="Footnote Text Char"/>
    <w:basedOn w:val="DefaultParagraphFont"/>
    <w:link w:val="FootnoteText"/>
    <w:uiPriority w:val="99"/>
    <w:rsid w:val="00E36509"/>
  </w:style>
  <w:style w:type="character" w:styleId="FootnoteReference">
    <w:name w:val="footnote reference"/>
    <w:basedOn w:val="DefaultParagraphFont"/>
    <w:uiPriority w:val="99"/>
    <w:unhideWhenUsed/>
    <w:rsid w:val="00E36509"/>
    <w:rPr>
      <w:vertAlign w:val="superscript"/>
    </w:rPr>
  </w:style>
  <w:style w:type="character" w:styleId="Hyperlink">
    <w:name w:val="Hyperlink"/>
    <w:basedOn w:val="DefaultParagraphFont"/>
    <w:uiPriority w:val="99"/>
    <w:unhideWhenUsed/>
    <w:rsid w:val="00E36509"/>
    <w:rPr>
      <w:color w:val="0000FF" w:themeColor="hyperlink"/>
      <w:u w:val="single"/>
    </w:rPr>
  </w:style>
  <w:style w:type="paragraph" w:styleId="Header">
    <w:name w:val="header"/>
    <w:basedOn w:val="Normal"/>
    <w:link w:val="HeaderChar"/>
    <w:uiPriority w:val="99"/>
    <w:unhideWhenUsed/>
    <w:rsid w:val="00C8089C"/>
    <w:pPr>
      <w:tabs>
        <w:tab w:val="center" w:pos="4680"/>
        <w:tab w:val="right" w:pos="9360"/>
      </w:tabs>
    </w:pPr>
  </w:style>
  <w:style w:type="character" w:customStyle="1" w:styleId="HeaderChar">
    <w:name w:val="Header Char"/>
    <w:basedOn w:val="DefaultParagraphFont"/>
    <w:link w:val="Header"/>
    <w:uiPriority w:val="99"/>
    <w:rsid w:val="00C8089C"/>
  </w:style>
  <w:style w:type="paragraph" w:styleId="Footer">
    <w:name w:val="footer"/>
    <w:basedOn w:val="Normal"/>
    <w:link w:val="FooterChar"/>
    <w:uiPriority w:val="99"/>
    <w:unhideWhenUsed/>
    <w:rsid w:val="00C8089C"/>
    <w:pPr>
      <w:tabs>
        <w:tab w:val="center" w:pos="4680"/>
        <w:tab w:val="right" w:pos="9360"/>
      </w:tabs>
    </w:pPr>
  </w:style>
  <w:style w:type="character" w:customStyle="1" w:styleId="FooterChar">
    <w:name w:val="Footer Char"/>
    <w:basedOn w:val="DefaultParagraphFont"/>
    <w:link w:val="Footer"/>
    <w:uiPriority w:val="99"/>
    <w:rsid w:val="00C8089C"/>
  </w:style>
  <w:style w:type="paragraph" w:customStyle="1" w:styleId="Default">
    <w:name w:val="Default"/>
    <w:rsid w:val="005B14A6"/>
    <w:pPr>
      <w:widowControl w:val="0"/>
      <w:autoSpaceDE w:val="0"/>
      <w:autoSpaceDN w:val="0"/>
      <w:adjustRightInd w:val="0"/>
    </w:pPr>
    <w:rPr>
      <w:rFonts w:ascii="Calibri" w:hAnsi="Calibri" w:cs="Calibri"/>
      <w:color w:val="000000"/>
      <w:lang w:val="en-US"/>
    </w:rPr>
  </w:style>
  <w:style w:type="table" w:styleId="TableGrid">
    <w:name w:val="Table Grid"/>
    <w:basedOn w:val="TableNormal"/>
    <w:rsid w:val="005B14A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1B6"/>
    <w:rPr>
      <w:rFonts w:ascii="Segoe UI" w:hAnsi="Segoe UI" w:cs="Segoe UI"/>
      <w:sz w:val="18"/>
      <w:szCs w:val="18"/>
    </w:rPr>
  </w:style>
  <w:style w:type="character" w:styleId="PlaceholderText">
    <w:name w:val="Placeholder Text"/>
    <w:basedOn w:val="DefaultParagraphFont"/>
    <w:uiPriority w:val="99"/>
    <w:semiHidden/>
    <w:rsid w:val="00E70562"/>
    <w:rPr>
      <w:color w:val="808080"/>
    </w:rPr>
  </w:style>
  <w:style w:type="character" w:customStyle="1" w:styleId="Heading1Char">
    <w:name w:val="Heading 1 Char"/>
    <w:basedOn w:val="DefaultParagraphFont"/>
    <w:link w:val="Heading1"/>
    <w:uiPriority w:val="9"/>
    <w:rsid w:val="00E7056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86E91"/>
    <w:pPr>
      <w:contextualSpacing/>
    </w:pPr>
    <w:rPr>
      <w:rFonts w:ascii="Arial" w:eastAsiaTheme="majorEastAsia" w:hAnsi="Arial" w:cstheme="majorBidi"/>
      <w:b/>
      <w:color w:val="1F497D" w:themeColor="text2"/>
      <w:spacing w:val="-10"/>
      <w:kern w:val="28"/>
      <w:sz w:val="40"/>
      <w:szCs w:val="56"/>
    </w:rPr>
  </w:style>
  <w:style w:type="character" w:customStyle="1" w:styleId="TitleChar">
    <w:name w:val="Title Char"/>
    <w:basedOn w:val="DefaultParagraphFont"/>
    <w:link w:val="Title"/>
    <w:uiPriority w:val="10"/>
    <w:rsid w:val="00086E91"/>
    <w:rPr>
      <w:rFonts w:ascii="Arial" w:eastAsiaTheme="majorEastAsia" w:hAnsi="Arial" w:cstheme="majorBidi"/>
      <w:b/>
      <w:color w:val="1F497D" w:themeColor="text2"/>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FF71D887C74D2F9384F106E595D477"/>
        <w:category>
          <w:name w:val="General"/>
          <w:gallery w:val="placeholder"/>
        </w:category>
        <w:types>
          <w:type w:val="bbPlcHdr"/>
        </w:types>
        <w:behaviors>
          <w:behavior w:val="content"/>
        </w:behaviors>
        <w:guid w:val="{D2E61B2A-A006-4882-9A04-5490A13A6CF5}"/>
      </w:docPartPr>
      <w:docPartBody>
        <w:p w:rsidR="001B1709" w:rsidRDefault="00741100">
          <w:r w:rsidRPr="00F22A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00"/>
    <w:rsid w:val="001B1709"/>
    <w:rsid w:val="00741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1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EFE1D-6E2D-4C17-A41B-E5BF96589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31CA-EA90-4B7D-8591-CD6A05223EE3}">
  <ds:schemaRefs>
    <ds:schemaRef ds:uri="http://schemas.microsoft.com/sharepoint/v3/contenttype/forms"/>
  </ds:schemaRefs>
</ds:datastoreItem>
</file>

<file path=customXml/itemProps3.xml><?xml version="1.0" encoding="utf-8"?>
<ds:datastoreItem xmlns:ds="http://schemas.openxmlformats.org/officeDocument/2006/customXml" ds:itemID="{5E137F67-65B5-4AD9-AF64-F5469A985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513</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subject/>
  <dc:creator>Tim Bishop</dc:creator>
  <cp:keywords/>
  <dc:description/>
  <cp:lastModifiedBy>Daynia Townsend</cp:lastModifiedBy>
  <cp:revision>2</cp:revision>
  <dcterms:created xsi:type="dcterms:W3CDTF">2020-09-25T15:23:00Z</dcterms:created>
  <dcterms:modified xsi:type="dcterms:W3CDTF">2020-09-25T15:23:00Z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