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C2B5" w14:textId="61AB2C18" w:rsidR="008702CB" w:rsidRDefault="00E51132" w:rsidP="00357255">
      <w:pPr>
        <w:jc w:val="center"/>
        <w:rPr>
          <w:b/>
          <w:bCs/>
          <w:color w:val="002060"/>
          <w:sz w:val="28"/>
          <w:szCs w:val="28"/>
        </w:rPr>
      </w:pPr>
      <w:r w:rsidRPr="008E37D5">
        <w:rPr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FE670B" wp14:editId="63C0F8B8">
                <wp:simplePos x="0" y="0"/>
                <wp:positionH relativeFrom="column">
                  <wp:posOffset>466725</wp:posOffset>
                </wp:positionH>
                <wp:positionV relativeFrom="paragraph">
                  <wp:posOffset>-304800</wp:posOffset>
                </wp:positionV>
                <wp:extent cx="5791200" cy="876300"/>
                <wp:effectExtent l="0" t="0" r="0" b="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E0609" w14:textId="77777777" w:rsidR="008E37D5" w:rsidRPr="00E51132" w:rsidRDefault="008E37D5" w:rsidP="008E37D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51132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Tower Hamlets Safeguarding Children Partnership (THSCP)</w:t>
                            </w:r>
                          </w:p>
                          <w:p w14:paraId="12F25CDF" w14:textId="22A91BD9" w:rsidR="008E37D5" w:rsidRPr="00E51132" w:rsidRDefault="008E37D5" w:rsidP="008E37D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51132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Annual Report 22-23 Summary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E67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36.75pt;margin-top:-24pt;width:456pt;height:6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" filled="f" stroked="f">
                <v:textbox>
                  <w:txbxContent>
                    <w:p w14:paraId="4C9E0609" w14:textId="77777777" w:rsidR="008E37D5" w:rsidRPr="00E51132" w:rsidRDefault="008E37D5" w:rsidP="008E37D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E51132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Tower Hamlets Safeguarding Children Partnership (THSCP)</w:t>
                      </w:r>
                    </w:p>
                    <w:p w14:paraId="12F25CDF" w14:textId="22A91BD9" w:rsidR="008E37D5" w:rsidRPr="00E51132" w:rsidRDefault="008E37D5" w:rsidP="008E37D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E51132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Annual Report 22-23 Summary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4F2FAE6" wp14:editId="3E34C122">
                <wp:simplePos x="0" y="0"/>
                <wp:positionH relativeFrom="column">
                  <wp:posOffset>-466725</wp:posOffset>
                </wp:positionH>
                <wp:positionV relativeFrom="paragraph">
                  <wp:posOffset>-571500</wp:posOffset>
                </wp:positionV>
                <wp:extent cx="7610475" cy="1143000"/>
                <wp:effectExtent l="0" t="0" r="9525" b="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1143000"/>
                        </a:xfrm>
                        <a:prstGeom prst="rect">
                          <a:avLst/>
                        </a:prstGeom>
                        <a:solidFill>
                          <a:srgbClr val="21A5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A447F" id="Rectangle 2" o:spid="_x0000_s1026" alt="&quot;&quot;" style="position:absolute;margin-left:-36.75pt;margin-top:-45pt;width:599.25pt;height:90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" fillcolor="#21a5dd" stroked="f" strokeweight="1pt"/>
            </w:pict>
          </mc:Fallback>
        </mc:AlternateContent>
      </w:r>
    </w:p>
    <w:p w14:paraId="285A9913" w14:textId="77777777" w:rsidR="008E37D5" w:rsidRDefault="008E37D5" w:rsidP="00357255">
      <w:pPr>
        <w:rPr>
          <w:b/>
          <w:bCs/>
          <w:color w:val="A41C64"/>
        </w:rPr>
      </w:pPr>
    </w:p>
    <w:p w14:paraId="38B91556" w14:textId="7DF624F7" w:rsidR="00357255" w:rsidRPr="007B442D" w:rsidRDefault="00357255" w:rsidP="00357255">
      <w:pPr>
        <w:rPr>
          <w:b/>
          <w:bCs/>
          <w:color w:val="000000" w:themeColor="text1"/>
        </w:rPr>
      </w:pPr>
      <w:r w:rsidRPr="008E37D5">
        <w:rPr>
          <w:b/>
          <w:bCs/>
          <w:color w:val="A41C64"/>
        </w:rPr>
        <w:t>Purpose of the Report:</w:t>
      </w:r>
      <w:r w:rsidR="007B442D" w:rsidRPr="008E37D5">
        <w:rPr>
          <w:color w:val="A41C64"/>
        </w:rPr>
        <w:t xml:space="preserve"> </w:t>
      </w:r>
      <w:r w:rsidR="00914A88" w:rsidRPr="00914A88">
        <w:rPr>
          <w:color w:val="000000" w:themeColor="text1"/>
        </w:rPr>
        <w:t xml:space="preserve">The Working Together 2018 </w:t>
      </w:r>
      <w:r w:rsidR="0080401D">
        <w:rPr>
          <w:color w:val="000000" w:themeColor="text1"/>
        </w:rPr>
        <w:t xml:space="preserve">(WT18) </w:t>
      </w:r>
      <w:r w:rsidR="00914A88" w:rsidRPr="00914A88">
        <w:rPr>
          <w:color w:val="000000" w:themeColor="text1"/>
        </w:rPr>
        <w:t>Arrangements stipulates in that safeguarding partners must publish a report within every 12-month period</w:t>
      </w:r>
      <w:r w:rsidR="001D2162">
        <w:rPr>
          <w:color w:val="000000" w:themeColor="text1"/>
        </w:rPr>
        <w:t xml:space="preserve"> which demonstrates </w:t>
      </w:r>
      <w:r w:rsidR="005B5BDD">
        <w:rPr>
          <w:color w:val="000000" w:themeColor="text1"/>
        </w:rPr>
        <w:t>local safeguarding activity</w:t>
      </w:r>
      <w:r w:rsidR="00747EA9">
        <w:rPr>
          <w:color w:val="000000" w:themeColor="text1"/>
        </w:rPr>
        <w:t xml:space="preserve">. </w:t>
      </w:r>
    </w:p>
    <w:p w14:paraId="6F6E1B72" w14:textId="1B6D1C15" w:rsidR="00525AAA" w:rsidRDefault="00357255" w:rsidP="00357255">
      <w:pPr>
        <w:rPr>
          <w:color w:val="000000" w:themeColor="text1"/>
        </w:rPr>
      </w:pPr>
      <w:r w:rsidRPr="008E37D5">
        <w:rPr>
          <w:b/>
          <w:bCs/>
          <w:color w:val="A41C64"/>
        </w:rPr>
        <w:t>Governance</w:t>
      </w:r>
      <w:r w:rsidR="00DA200F" w:rsidRPr="008E37D5">
        <w:rPr>
          <w:b/>
          <w:bCs/>
          <w:color w:val="A41C64"/>
        </w:rPr>
        <w:t xml:space="preserve"> </w:t>
      </w:r>
      <w:r w:rsidRPr="008E37D5">
        <w:rPr>
          <w:b/>
          <w:bCs/>
          <w:color w:val="A41C64"/>
        </w:rPr>
        <w:t xml:space="preserve">Structure:  </w:t>
      </w:r>
      <w:r w:rsidR="00CB7722" w:rsidRPr="000915A4">
        <w:rPr>
          <w:color w:val="000000" w:themeColor="text1"/>
        </w:rPr>
        <w:t xml:space="preserve">In Tower Hamlets, </w:t>
      </w:r>
      <w:r w:rsidR="000915A4" w:rsidRPr="000915A4">
        <w:rPr>
          <w:color w:val="000000" w:themeColor="text1"/>
        </w:rPr>
        <w:t xml:space="preserve">Executive Group </w:t>
      </w:r>
      <w:r w:rsidR="00491629">
        <w:rPr>
          <w:color w:val="000000" w:themeColor="text1"/>
        </w:rPr>
        <w:t>overseas all activity, this</w:t>
      </w:r>
      <w:r w:rsidR="000915A4" w:rsidRPr="000915A4">
        <w:rPr>
          <w:color w:val="000000" w:themeColor="text1"/>
        </w:rPr>
        <w:t xml:space="preserve"> consists </w:t>
      </w:r>
      <w:r w:rsidR="005B5BDD" w:rsidRPr="000915A4">
        <w:rPr>
          <w:color w:val="000000" w:themeColor="text1"/>
        </w:rPr>
        <w:t>of</w:t>
      </w:r>
      <w:r w:rsidR="000915A4" w:rsidRPr="000915A4">
        <w:rPr>
          <w:color w:val="000000" w:themeColor="text1"/>
        </w:rPr>
        <w:t xml:space="preserve"> </w:t>
      </w:r>
      <w:r w:rsidR="001817C7" w:rsidRPr="001817C7">
        <w:rPr>
          <w:color w:val="000000" w:themeColor="text1"/>
        </w:rPr>
        <w:t xml:space="preserve">James Thomas </w:t>
      </w:r>
      <w:r w:rsidR="009F6F6F">
        <w:rPr>
          <w:color w:val="000000" w:themeColor="text1"/>
        </w:rPr>
        <w:t xml:space="preserve">- </w:t>
      </w:r>
      <w:r w:rsidR="00B674A4">
        <w:rPr>
          <w:color w:val="000000" w:themeColor="text1"/>
        </w:rPr>
        <w:t xml:space="preserve">Director of Childrens Services (Local Authority), </w:t>
      </w:r>
      <w:proofErr w:type="spellStart"/>
      <w:r w:rsidR="001817C7">
        <w:rPr>
          <w:color w:val="000000" w:themeColor="text1"/>
        </w:rPr>
        <w:t>Ko</w:t>
      </w:r>
      <w:r w:rsidR="009F6F6F">
        <w:rPr>
          <w:color w:val="000000" w:themeColor="text1"/>
        </w:rPr>
        <w:t>r</w:t>
      </w:r>
      <w:r w:rsidR="001817C7">
        <w:rPr>
          <w:color w:val="000000" w:themeColor="text1"/>
        </w:rPr>
        <w:t>kor</w:t>
      </w:r>
      <w:proofErr w:type="spellEnd"/>
      <w:r w:rsidR="001817C7">
        <w:rPr>
          <w:color w:val="000000" w:themeColor="text1"/>
        </w:rPr>
        <w:t xml:space="preserve"> Ceasar</w:t>
      </w:r>
      <w:r w:rsidR="009F6F6F">
        <w:rPr>
          <w:color w:val="000000" w:themeColor="text1"/>
        </w:rPr>
        <w:t xml:space="preserve"> - </w:t>
      </w:r>
      <w:r w:rsidR="00B674A4">
        <w:rPr>
          <w:color w:val="000000" w:themeColor="text1"/>
        </w:rPr>
        <w:t>Associate Dire</w:t>
      </w:r>
      <w:r w:rsidR="009E0039">
        <w:rPr>
          <w:color w:val="000000" w:themeColor="text1"/>
        </w:rPr>
        <w:t>ctor for Safeguarding Children (Integrated Care Board)</w:t>
      </w:r>
      <w:r w:rsidR="0038038E">
        <w:rPr>
          <w:color w:val="000000" w:themeColor="text1"/>
        </w:rPr>
        <w:t xml:space="preserve">, </w:t>
      </w:r>
      <w:r w:rsidR="009F6F6F">
        <w:rPr>
          <w:color w:val="000000" w:themeColor="text1"/>
        </w:rPr>
        <w:t xml:space="preserve">James Conway </w:t>
      </w:r>
      <w:r w:rsidR="00593A9A">
        <w:rPr>
          <w:color w:val="000000" w:themeColor="text1"/>
        </w:rPr>
        <w:t xml:space="preserve">- </w:t>
      </w:r>
      <w:r w:rsidR="0038038E">
        <w:rPr>
          <w:color w:val="000000" w:themeColor="text1"/>
        </w:rPr>
        <w:t xml:space="preserve">Detective Chief Superintendent (Metropolitan Police), their deputies and </w:t>
      </w:r>
      <w:r w:rsidR="00497963">
        <w:rPr>
          <w:color w:val="000000" w:themeColor="text1"/>
        </w:rPr>
        <w:t xml:space="preserve">an Independent Scrutineer. </w:t>
      </w:r>
      <w:r w:rsidR="00BB390F">
        <w:rPr>
          <w:color w:val="000000" w:themeColor="text1"/>
        </w:rPr>
        <w:t xml:space="preserve"> </w:t>
      </w:r>
      <w:r w:rsidR="00525AAA">
        <w:rPr>
          <w:color w:val="000000" w:themeColor="text1"/>
        </w:rPr>
        <w:t xml:space="preserve">The following Groups sit underneath containing a mix of safeguarding partners: </w:t>
      </w:r>
    </w:p>
    <w:p w14:paraId="73ECB7BD" w14:textId="77777777" w:rsidR="001817C7" w:rsidRDefault="001817C7" w:rsidP="00525AAA">
      <w:pPr>
        <w:pStyle w:val="ListParagraph"/>
        <w:numPr>
          <w:ilvl w:val="0"/>
          <w:numId w:val="1"/>
        </w:numPr>
        <w:rPr>
          <w:color w:val="000000" w:themeColor="text1"/>
        </w:rPr>
        <w:sectPr w:rsidR="001817C7" w:rsidSect="008702C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9407BAD" w14:textId="767E8E3A" w:rsidR="00525AAA" w:rsidRDefault="00525AAA" w:rsidP="00525AAA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Quality Assurance &amp; Performance Sub-Group </w:t>
      </w:r>
      <w:r w:rsidR="002819BA">
        <w:rPr>
          <w:color w:val="000000" w:themeColor="text1"/>
        </w:rPr>
        <w:t xml:space="preserve">(QA&amp;P) </w:t>
      </w:r>
    </w:p>
    <w:p w14:paraId="668D7092" w14:textId="4AC7EEF0" w:rsidR="00525AAA" w:rsidRDefault="00525AAA" w:rsidP="00525AAA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Rapid Review Panel </w:t>
      </w:r>
    </w:p>
    <w:p w14:paraId="1CE77B95" w14:textId="09B6D98B" w:rsidR="00525AAA" w:rsidRDefault="00525AAA" w:rsidP="00525AAA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Rapid Review Working Group</w:t>
      </w:r>
    </w:p>
    <w:p w14:paraId="77DBDADB" w14:textId="193F27BB" w:rsidR="00525AAA" w:rsidRDefault="00525AAA" w:rsidP="00525AAA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Education Safeguarding Forum </w:t>
      </w:r>
    </w:p>
    <w:p w14:paraId="0ECFCC8E" w14:textId="79D61909" w:rsidR="00525AAA" w:rsidRDefault="00525AAA" w:rsidP="00525AAA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Priority area 1: </w:t>
      </w:r>
      <w:r w:rsidR="00744D0B">
        <w:rPr>
          <w:color w:val="000000" w:themeColor="text1"/>
        </w:rPr>
        <w:t xml:space="preserve">Vulnerable Young People &amp; Exploitation </w:t>
      </w:r>
    </w:p>
    <w:p w14:paraId="6DAD3138" w14:textId="12814539" w:rsidR="00744D0B" w:rsidRDefault="00744D0B" w:rsidP="00525AAA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Priority area 2: Domestic Abuse &amp; the Impact on Children and Young People </w:t>
      </w:r>
    </w:p>
    <w:p w14:paraId="017FDDBD" w14:textId="77777777" w:rsidR="001817C7" w:rsidRDefault="00744D0B" w:rsidP="00357255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Priority area 3: </w:t>
      </w:r>
      <w:r w:rsidR="003879FE">
        <w:rPr>
          <w:color w:val="000000" w:themeColor="text1"/>
        </w:rPr>
        <w:t>Staying Safe Online</w:t>
      </w:r>
    </w:p>
    <w:p w14:paraId="5B51CB9D" w14:textId="1FC87D62" w:rsidR="009602AB" w:rsidRPr="00C93F06" w:rsidRDefault="009602AB" w:rsidP="00C93F06">
      <w:pPr>
        <w:ind w:left="360"/>
        <w:rPr>
          <w:color w:val="000000" w:themeColor="text1"/>
        </w:rPr>
        <w:sectPr w:rsidR="009602AB" w:rsidRPr="00C93F06" w:rsidSect="008702C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2C1D6DF" w14:textId="39811336" w:rsidR="00747EA9" w:rsidRPr="00747EA9" w:rsidRDefault="00DA200F" w:rsidP="00357255">
      <w:pPr>
        <w:rPr>
          <w:color w:val="000000" w:themeColor="text1"/>
        </w:rPr>
      </w:pPr>
      <w:r w:rsidRPr="008E37D5">
        <w:rPr>
          <w:b/>
          <w:bCs/>
          <w:color w:val="A41C64"/>
        </w:rPr>
        <w:t>Scrutiny</w:t>
      </w:r>
      <w:r>
        <w:rPr>
          <w:b/>
          <w:bCs/>
          <w:color w:val="002060"/>
        </w:rPr>
        <w:t xml:space="preserve">: </w:t>
      </w:r>
      <w:r w:rsidR="0080401D" w:rsidRPr="00BD735A">
        <w:rPr>
          <w:color w:val="000000" w:themeColor="text1"/>
        </w:rPr>
        <w:t xml:space="preserve">WT18 </w:t>
      </w:r>
      <w:r w:rsidR="00B83C27" w:rsidRPr="00BD735A">
        <w:rPr>
          <w:color w:val="000000" w:themeColor="text1"/>
        </w:rPr>
        <w:t xml:space="preserve">requires Safeguarding Partnerships to </w:t>
      </w:r>
      <w:r w:rsidR="00BD735A" w:rsidRPr="00BD735A">
        <w:rPr>
          <w:color w:val="000000" w:themeColor="text1"/>
        </w:rPr>
        <w:t>have an Independent Scrutineer</w:t>
      </w:r>
      <w:r w:rsidR="00BB390F">
        <w:rPr>
          <w:color w:val="000000" w:themeColor="text1"/>
        </w:rPr>
        <w:t xml:space="preserve"> - </w:t>
      </w:r>
      <w:r w:rsidR="00BD735A" w:rsidRPr="00BD735A">
        <w:rPr>
          <w:color w:val="000000" w:themeColor="text1"/>
        </w:rPr>
        <w:t xml:space="preserve">Laurelle Brown. </w:t>
      </w:r>
      <w:r w:rsidR="00584A08">
        <w:rPr>
          <w:color w:val="000000" w:themeColor="text1"/>
        </w:rPr>
        <w:t xml:space="preserve">Her role is to judge the effectiveness of </w:t>
      </w:r>
      <w:r w:rsidR="00747EA9">
        <w:rPr>
          <w:color w:val="000000" w:themeColor="text1"/>
        </w:rPr>
        <w:t>multi-agency arrangements and prom</w:t>
      </w:r>
      <w:r w:rsidR="008E505D">
        <w:rPr>
          <w:color w:val="000000" w:themeColor="text1"/>
        </w:rPr>
        <w:t xml:space="preserve">ote the welfare of children. </w:t>
      </w:r>
      <w:r w:rsidR="00BB390F">
        <w:rPr>
          <w:color w:val="000000" w:themeColor="text1"/>
        </w:rPr>
        <w:t>T</w:t>
      </w:r>
      <w:r w:rsidR="008E505D">
        <w:rPr>
          <w:color w:val="000000" w:themeColor="text1"/>
        </w:rPr>
        <w:t>hree Young Scrutineers have joined us this year and their role is to ensure the voice of the child is present in all aspects of the</w:t>
      </w:r>
      <w:r w:rsidR="002819BA">
        <w:rPr>
          <w:color w:val="000000" w:themeColor="text1"/>
        </w:rPr>
        <w:t xml:space="preserve"> THSCP</w:t>
      </w:r>
      <w:r w:rsidR="008E505D">
        <w:rPr>
          <w:color w:val="000000" w:themeColor="text1"/>
        </w:rPr>
        <w:t xml:space="preserve"> work. </w:t>
      </w:r>
    </w:p>
    <w:p w14:paraId="64A5E0EA" w14:textId="676AA600" w:rsidR="00357255" w:rsidRPr="008E37D5" w:rsidRDefault="00C93F06" w:rsidP="002F40E8">
      <w:pPr>
        <w:spacing w:after="0"/>
        <w:rPr>
          <w:b/>
          <w:bCs/>
          <w:color w:val="A41C64"/>
        </w:rPr>
      </w:pPr>
      <w:r w:rsidRPr="008E37D5">
        <w:rPr>
          <w:b/>
          <w:bCs/>
          <w:color w:val="A41C64"/>
        </w:rPr>
        <w:t xml:space="preserve">Some </w:t>
      </w:r>
      <w:r w:rsidR="00357255" w:rsidRPr="008E37D5">
        <w:rPr>
          <w:b/>
          <w:bCs/>
          <w:color w:val="A41C64"/>
        </w:rPr>
        <w:t xml:space="preserve">Key Achievements:  </w:t>
      </w:r>
    </w:p>
    <w:p w14:paraId="724DD7D1" w14:textId="77777777" w:rsidR="00E86038" w:rsidRDefault="00E86038" w:rsidP="00350246">
      <w:pPr>
        <w:pStyle w:val="ListParagraph"/>
        <w:spacing w:after="0"/>
        <w:ind w:left="360"/>
        <w:rPr>
          <w:color w:val="000000" w:themeColor="text1"/>
        </w:rPr>
        <w:sectPr w:rsidR="00E86038" w:rsidSect="008E505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73640BF" w14:textId="1B2F994F" w:rsidR="00BF7842" w:rsidRDefault="00BF7842" w:rsidP="00774AB6">
      <w:pPr>
        <w:spacing w:after="0"/>
        <w:rPr>
          <w:b/>
          <w:bCs/>
          <w:color w:val="000000" w:themeColor="text1"/>
        </w:rPr>
      </w:pPr>
      <w:r w:rsidRPr="00BF7842">
        <w:rPr>
          <w:b/>
          <w:bCs/>
          <w:color w:val="000000" w:themeColor="text1"/>
        </w:rPr>
        <w:t xml:space="preserve">Increased </w:t>
      </w:r>
      <w:r w:rsidR="000263CA" w:rsidRPr="00D43DFF">
        <w:rPr>
          <w:b/>
          <w:bCs/>
          <w:color w:val="000000" w:themeColor="text1"/>
        </w:rPr>
        <w:t xml:space="preserve">Training </w:t>
      </w:r>
      <w:r w:rsidR="000C6BEA" w:rsidRPr="00D43DFF">
        <w:rPr>
          <w:b/>
          <w:bCs/>
          <w:color w:val="000000" w:themeColor="text1"/>
        </w:rPr>
        <w:t xml:space="preserve">&amp; Awareness Programme and </w:t>
      </w:r>
    </w:p>
    <w:p w14:paraId="5484D281" w14:textId="3C5C97BF" w:rsidR="000263CA" w:rsidRPr="00D43DFF" w:rsidRDefault="000C6BEA" w:rsidP="00774AB6">
      <w:pPr>
        <w:spacing w:after="0"/>
        <w:rPr>
          <w:b/>
          <w:bCs/>
          <w:color w:val="000000" w:themeColor="text1"/>
        </w:rPr>
      </w:pPr>
      <w:r w:rsidRPr="00D43DFF">
        <w:rPr>
          <w:b/>
          <w:bCs/>
          <w:color w:val="000000" w:themeColor="text1"/>
        </w:rPr>
        <w:t>E-Bulletin Activity</w:t>
      </w:r>
      <w:r w:rsidR="00370E70" w:rsidRPr="00D43DFF">
        <w:rPr>
          <w:b/>
          <w:bCs/>
          <w:color w:val="000000" w:themeColor="text1"/>
        </w:rPr>
        <w:t xml:space="preserve">: </w:t>
      </w:r>
    </w:p>
    <w:p w14:paraId="13FC8E3E" w14:textId="4E48BC9D" w:rsidR="00370E70" w:rsidRPr="00D6010D" w:rsidRDefault="008C15C2" w:rsidP="00D6010D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 w:rsidRPr="00B546E8">
        <w:rPr>
          <w:b/>
          <w:bCs/>
          <w:color w:val="000000" w:themeColor="text1"/>
        </w:rPr>
        <w:t>21</w:t>
      </w:r>
      <w:r>
        <w:rPr>
          <w:color w:val="000000" w:themeColor="text1"/>
        </w:rPr>
        <w:t xml:space="preserve"> </w:t>
      </w:r>
      <w:r w:rsidR="00B546E8">
        <w:rPr>
          <w:color w:val="000000" w:themeColor="text1"/>
        </w:rPr>
        <w:t>multi-agency</w:t>
      </w:r>
      <w:r>
        <w:rPr>
          <w:color w:val="000000" w:themeColor="text1"/>
        </w:rPr>
        <w:t xml:space="preserve"> </w:t>
      </w:r>
      <w:r w:rsidR="00B546E8">
        <w:rPr>
          <w:color w:val="000000" w:themeColor="text1"/>
        </w:rPr>
        <w:t>t</w:t>
      </w:r>
      <w:r>
        <w:rPr>
          <w:color w:val="000000" w:themeColor="text1"/>
        </w:rPr>
        <w:t xml:space="preserve">raining </w:t>
      </w:r>
      <w:r w:rsidR="00B546E8">
        <w:rPr>
          <w:color w:val="000000" w:themeColor="text1"/>
        </w:rPr>
        <w:t>c</w:t>
      </w:r>
      <w:r>
        <w:rPr>
          <w:color w:val="000000" w:themeColor="text1"/>
        </w:rPr>
        <w:t xml:space="preserve">ourses offered and </w:t>
      </w:r>
      <w:r w:rsidR="00B546E8">
        <w:rPr>
          <w:color w:val="000000" w:themeColor="text1"/>
        </w:rPr>
        <w:t>delivered.</w:t>
      </w:r>
      <w:r>
        <w:rPr>
          <w:color w:val="000000" w:themeColor="text1"/>
        </w:rPr>
        <w:t xml:space="preserve"> </w:t>
      </w:r>
      <w:r w:rsidR="00D6010D">
        <w:rPr>
          <w:color w:val="000000" w:themeColor="text1"/>
        </w:rPr>
        <w:t xml:space="preserve"> </w:t>
      </w:r>
      <w:r w:rsidR="00B546E8" w:rsidRPr="00D6010D">
        <w:rPr>
          <w:b/>
          <w:bCs/>
          <w:color w:val="000000" w:themeColor="text1"/>
        </w:rPr>
        <w:t>4</w:t>
      </w:r>
      <w:r w:rsidR="00B546E8" w:rsidRPr="00D6010D">
        <w:rPr>
          <w:color w:val="000000" w:themeColor="text1"/>
        </w:rPr>
        <w:t xml:space="preserve"> </w:t>
      </w:r>
      <w:r w:rsidR="002819BA">
        <w:rPr>
          <w:color w:val="000000" w:themeColor="text1"/>
        </w:rPr>
        <w:t>p</w:t>
      </w:r>
      <w:r w:rsidR="00B546E8" w:rsidRPr="00D6010D">
        <w:rPr>
          <w:color w:val="000000" w:themeColor="text1"/>
        </w:rPr>
        <w:t xml:space="preserve">artnership </w:t>
      </w:r>
      <w:r w:rsidR="004952F1">
        <w:rPr>
          <w:color w:val="000000" w:themeColor="text1"/>
        </w:rPr>
        <w:t>e</w:t>
      </w:r>
      <w:r w:rsidR="00B546E8" w:rsidRPr="00D6010D">
        <w:rPr>
          <w:color w:val="000000" w:themeColor="text1"/>
        </w:rPr>
        <w:t>vents delivered.</w:t>
      </w:r>
      <w:r w:rsidR="00D6010D">
        <w:rPr>
          <w:color w:val="000000" w:themeColor="text1"/>
        </w:rPr>
        <w:t xml:space="preserve"> </w:t>
      </w:r>
      <w:r w:rsidR="00370E70" w:rsidRPr="00D6010D">
        <w:rPr>
          <w:b/>
          <w:bCs/>
          <w:color w:val="000000" w:themeColor="text1"/>
        </w:rPr>
        <w:t xml:space="preserve">23 </w:t>
      </w:r>
      <w:r w:rsidR="00370E70" w:rsidRPr="00D6010D">
        <w:rPr>
          <w:color w:val="000000" w:themeColor="text1"/>
        </w:rPr>
        <w:t>E-Bulletins sent out to over 200 partners.</w:t>
      </w:r>
      <w:r w:rsidR="00370E70" w:rsidRPr="00D6010D">
        <w:rPr>
          <w:b/>
          <w:bCs/>
          <w:color w:val="000000" w:themeColor="text1"/>
        </w:rPr>
        <w:t xml:space="preserve"> </w:t>
      </w:r>
    </w:p>
    <w:p w14:paraId="48104E7E" w14:textId="0B741102" w:rsidR="000C6BEA" w:rsidRPr="00D43DFF" w:rsidRDefault="003A54FE" w:rsidP="00774AB6">
      <w:pPr>
        <w:spacing w:after="0"/>
        <w:rPr>
          <w:b/>
          <w:bCs/>
          <w:color w:val="000000" w:themeColor="text1"/>
        </w:rPr>
      </w:pPr>
      <w:r w:rsidRPr="00D43DFF">
        <w:rPr>
          <w:b/>
          <w:bCs/>
          <w:color w:val="000000" w:themeColor="text1"/>
        </w:rPr>
        <w:t xml:space="preserve">Delivered Safeguarding Month </w:t>
      </w:r>
      <w:r w:rsidR="00B546E8" w:rsidRPr="00D43DFF">
        <w:rPr>
          <w:b/>
          <w:bCs/>
          <w:color w:val="000000" w:themeColor="text1"/>
        </w:rPr>
        <w:t>(Additional Events)</w:t>
      </w:r>
      <w:r w:rsidR="00370E70" w:rsidRPr="00D43DFF">
        <w:rPr>
          <w:b/>
          <w:bCs/>
          <w:color w:val="000000" w:themeColor="text1"/>
        </w:rPr>
        <w:t xml:space="preserve">: </w:t>
      </w:r>
    </w:p>
    <w:p w14:paraId="4E859710" w14:textId="4E4A3F7E" w:rsidR="00350246" w:rsidRPr="00D43DFF" w:rsidRDefault="00D55669" w:rsidP="00774AB6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 w:rsidRPr="00B546E8">
        <w:rPr>
          <w:b/>
          <w:bCs/>
          <w:color w:val="000000" w:themeColor="text1"/>
        </w:rPr>
        <w:t xml:space="preserve">1 </w:t>
      </w:r>
      <w:r w:rsidR="002819BA">
        <w:rPr>
          <w:color w:val="000000" w:themeColor="text1"/>
        </w:rPr>
        <w:t>c</w:t>
      </w:r>
      <w:r>
        <w:rPr>
          <w:color w:val="000000" w:themeColor="text1"/>
        </w:rPr>
        <w:t>onference (Infant Safety) and</w:t>
      </w:r>
      <w:r w:rsidRPr="00B546E8">
        <w:rPr>
          <w:b/>
          <w:bCs/>
          <w:color w:val="000000" w:themeColor="text1"/>
        </w:rPr>
        <w:t xml:space="preserve"> 4</w:t>
      </w:r>
      <w:r>
        <w:rPr>
          <w:color w:val="000000" w:themeColor="text1"/>
        </w:rPr>
        <w:t xml:space="preserve"> </w:t>
      </w:r>
      <w:r w:rsidR="002819BA">
        <w:rPr>
          <w:color w:val="000000" w:themeColor="text1"/>
        </w:rPr>
        <w:t>a</w:t>
      </w:r>
      <w:r>
        <w:rPr>
          <w:color w:val="000000" w:themeColor="text1"/>
        </w:rPr>
        <w:t xml:space="preserve">wareness </w:t>
      </w:r>
      <w:r w:rsidR="002819BA">
        <w:rPr>
          <w:color w:val="000000" w:themeColor="text1"/>
        </w:rPr>
        <w:t>s</w:t>
      </w:r>
      <w:r>
        <w:rPr>
          <w:color w:val="000000" w:themeColor="text1"/>
        </w:rPr>
        <w:t xml:space="preserve">essions delivered. </w:t>
      </w:r>
    </w:p>
    <w:p w14:paraId="228B7028" w14:textId="281792EB" w:rsidR="00350246" w:rsidRPr="00D43DFF" w:rsidRDefault="005F667D" w:rsidP="00774AB6">
      <w:pPr>
        <w:spacing w:after="0"/>
        <w:rPr>
          <w:b/>
          <w:bCs/>
          <w:color w:val="000000" w:themeColor="text1"/>
        </w:rPr>
      </w:pPr>
      <w:r w:rsidRPr="00D43DFF">
        <w:rPr>
          <w:b/>
          <w:bCs/>
          <w:color w:val="000000" w:themeColor="text1"/>
        </w:rPr>
        <w:t>6- Steps</w:t>
      </w:r>
      <w:r w:rsidR="00350246" w:rsidRPr="00D43DFF">
        <w:rPr>
          <w:b/>
          <w:bCs/>
          <w:color w:val="000000" w:themeColor="text1"/>
        </w:rPr>
        <w:t xml:space="preserve"> of Scrutiny: </w:t>
      </w:r>
    </w:p>
    <w:p w14:paraId="0950F024" w14:textId="3E4C0AE4" w:rsidR="00350246" w:rsidRDefault="00350246" w:rsidP="00774AB6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Full review of the effectiveness of the THSCP. </w:t>
      </w:r>
    </w:p>
    <w:p w14:paraId="03029152" w14:textId="54D4A830" w:rsidR="00D43DFF" w:rsidRPr="00774AB6" w:rsidRDefault="00AD7BAC" w:rsidP="00774AB6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A </w:t>
      </w:r>
      <w:r w:rsidR="003A54FE" w:rsidRPr="00774AB6">
        <w:rPr>
          <w:b/>
          <w:bCs/>
          <w:color w:val="000000" w:themeColor="text1"/>
        </w:rPr>
        <w:t>Thematic Review into Serious Youth Violence</w:t>
      </w:r>
      <w:r w:rsidR="00BA76B8">
        <w:rPr>
          <w:b/>
          <w:bCs/>
          <w:color w:val="000000" w:themeColor="text1"/>
        </w:rPr>
        <w:t xml:space="preserve">: </w:t>
      </w:r>
    </w:p>
    <w:p w14:paraId="6212AA89" w14:textId="45467908" w:rsidR="00EE79CE" w:rsidRPr="00EE79CE" w:rsidRDefault="002E571D" w:rsidP="00EE79CE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Reviewed </w:t>
      </w:r>
      <w:r w:rsidR="00774AB6">
        <w:rPr>
          <w:color w:val="000000" w:themeColor="text1"/>
        </w:rPr>
        <w:t xml:space="preserve">common themes of older children subject to serious </w:t>
      </w:r>
      <w:r w:rsidR="004952F1">
        <w:rPr>
          <w:color w:val="000000" w:themeColor="text1"/>
        </w:rPr>
        <w:t>violence.</w:t>
      </w:r>
    </w:p>
    <w:p w14:paraId="52A6FDE5" w14:textId="548914E9" w:rsidR="00E86038" w:rsidRDefault="002F40E8" w:rsidP="00774AB6">
      <w:pPr>
        <w:spacing w:after="0"/>
        <w:rPr>
          <w:b/>
          <w:bCs/>
          <w:color w:val="000000" w:themeColor="text1"/>
        </w:rPr>
      </w:pPr>
      <w:r w:rsidRPr="00774AB6">
        <w:rPr>
          <w:b/>
          <w:bCs/>
          <w:color w:val="000000" w:themeColor="text1"/>
        </w:rPr>
        <w:t>Closed</w:t>
      </w:r>
      <w:r w:rsidR="00E86038" w:rsidRPr="00774AB6">
        <w:rPr>
          <w:b/>
          <w:bCs/>
          <w:color w:val="000000" w:themeColor="text1"/>
        </w:rPr>
        <w:t xml:space="preserve"> </w:t>
      </w:r>
      <w:r w:rsidR="002819BA">
        <w:rPr>
          <w:b/>
          <w:bCs/>
          <w:color w:val="000000" w:themeColor="text1"/>
        </w:rPr>
        <w:t xml:space="preserve">Priority </w:t>
      </w:r>
      <w:r w:rsidR="002819BA">
        <w:rPr>
          <w:b/>
          <w:bCs/>
          <w:color w:val="000000" w:themeColor="text1"/>
        </w:rPr>
        <w:tab/>
        <w:t>T</w:t>
      </w:r>
      <w:r w:rsidR="00E86038" w:rsidRPr="00774AB6">
        <w:rPr>
          <w:b/>
          <w:bCs/>
          <w:color w:val="000000" w:themeColor="text1"/>
        </w:rPr>
        <w:t xml:space="preserve">ask and </w:t>
      </w:r>
      <w:r w:rsidR="002819BA">
        <w:rPr>
          <w:b/>
          <w:bCs/>
          <w:color w:val="000000" w:themeColor="text1"/>
        </w:rPr>
        <w:t>F</w:t>
      </w:r>
      <w:r w:rsidR="00E86038" w:rsidRPr="00774AB6">
        <w:rPr>
          <w:b/>
          <w:bCs/>
          <w:color w:val="000000" w:themeColor="text1"/>
        </w:rPr>
        <w:t xml:space="preserve">inish </w:t>
      </w:r>
      <w:r w:rsidR="002819BA">
        <w:rPr>
          <w:b/>
          <w:bCs/>
          <w:color w:val="000000" w:themeColor="text1"/>
        </w:rPr>
        <w:t>G</w:t>
      </w:r>
      <w:r w:rsidR="00E86038" w:rsidRPr="00774AB6">
        <w:rPr>
          <w:b/>
          <w:bCs/>
          <w:color w:val="000000" w:themeColor="text1"/>
        </w:rPr>
        <w:t>roups</w:t>
      </w:r>
      <w:r w:rsidR="00BA76B8">
        <w:rPr>
          <w:b/>
          <w:bCs/>
          <w:color w:val="000000" w:themeColor="text1"/>
        </w:rPr>
        <w:t>:</w:t>
      </w:r>
    </w:p>
    <w:p w14:paraId="77BF2736" w14:textId="426F02D0" w:rsidR="00774AB6" w:rsidRPr="003B4A27" w:rsidRDefault="003B4A27" w:rsidP="00F451AC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>P</w:t>
      </w:r>
      <w:r w:rsidR="00774AB6" w:rsidRPr="003B4A27">
        <w:rPr>
          <w:color w:val="000000" w:themeColor="text1"/>
        </w:rPr>
        <w:t>rod</w:t>
      </w:r>
      <w:r w:rsidR="00460D13" w:rsidRPr="003B4A27">
        <w:rPr>
          <w:color w:val="000000" w:themeColor="text1"/>
        </w:rPr>
        <w:t xml:space="preserve">uced outcomes such as awareness campaigns, </w:t>
      </w:r>
      <w:r w:rsidRPr="003B4A27">
        <w:rPr>
          <w:color w:val="000000" w:themeColor="text1"/>
        </w:rPr>
        <w:t>survey</w:t>
      </w:r>
      <w:r w:rsidR="00460D13" w:rsidRPr="003B4A27">
        <w:rPr>
          <w:color w:val="000000" w:themeColor="text1"/>
        </w:rPr>
        <w:t xml:space="preserve"> of</w:t>
      </w:r>
      <w:r w:rsidRPr="003B4A27">
        <w:rPr>
          <w:color w:val="000000" w:themeColor="text1"/>
        </w:rPr>
        <w:t xml:space="preserve"> 2000 children and young people, and new tool kits.</w:t>
      </w:r>
    </w:p>
    <w:p w14:paraId="2931092E" w14:textId="1D7F44AA" w:rsidR="003A54FE" w:rsidRDefault="002B2730" w:rsidP="00F451AC">
      <w:pPr>
        <w:spacing w:after="0"/>
        <w:rPr>
          <w:b/>
          <w:bCs/>
          <w:color w:val="000000" w:themeColor="text1"/>
        </w:rPr>
      </w:pPr>
      <w:r w:rsidRPr="003B4A27">
        <w:rPr>
          <w:b/>
          <w:bCs/>
          <w:color w:val="000000" w:themeColor="text1"/>
        </w:rPr>
        <w:t>Improvements to Rapid Review and CSPR Processes &amp; Embedding Learning</w:t>
      </w:r>
      <w:r w:rsidR="00BA76B8">
        <w:rPr>
          <w:b/>
          <w:bCs/>
          <w:color w:val="000000" w:themeColor="text1"/>
        </w:rPr>
        <w:t>:</w:t>
      </w:r>
    </w:p>
    <w:p w14:paraId="0B9A2C96" w14:textId="1145EC5E" w:rsidR="003B4A27" w:rsidRPr="006B6F75" w:rsidRDefault="00AA2311" w:rsidP="00F451AC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 w:rsidRPr="006B6F75">
        <w:rPr>
          <w:color w:val="000000" w:themeColor="text1"/>
        </w:rPr>
        <w:t xml:space="preserve">New </w:t>
      </w:r>
      <w:r w:rsidR="00953950">
        <w:rPr>
          <w:color w:val="000000" w:themeColor="text1"/>
        </w:rPr>
        <w:t xml:space="preserve">Rapid Review &amp; CSPR </w:t>
      </w:r>
      <w:r w:rsidRPr="006B6F75">
        <w:rPr>
          <w:color w:val="000000" w:themeColor="text1"/>
        </w:rPr>
        <w:t>protocol, templates</w:t>
      </w:r>
      <w:r w:rsidR="00AD2654" w:rsidRPr="006B6F75">
        <w:rPr>
          <w:color w:val="000000" w:themeColor="text1"/>
        </w:rPr>
        <w:t xml:space="preserve">, </w:t>
      </w:r>
      <w:r w:rsidRPr="006B6F75">
        <w:rPr>
          <w:color w:val="000000" w:themeColor="text1"/>
        </w:rPr>
        <w:t xml:space="preserve">working group set up to embed learning, </w:t>
      </w:r>
      <w:r w:rsidR="00953950">
        <w:rPr>
          <w:color w:val="000000" w:themeColor="text1"/>
        </w:rPr>
        <w:t xml:space="preserve">new CSPR approach </w:t>
      </w:r>
      <w:r w:rsidR="000B44DF" w:rsidRPr="006B6F75">
        <w:rPr>
          <w:color w:val="000000" w:themeColor="text1"/>
        </w:rPr>
        <w:t xml:space="preserve">nationally praised, </w:t>
      </w:r>
      <w:r w:rsidR="00AD2654" w:rsidRPr="006B6F75">
        <w:rPr>
          <w:color w:val="000000" w:themeColor="text1"/>
        </w:rPr>
        <w:t xml:space="preserve">and </w:t>
      </w:r>
      <w:r w:rsidR="006B6F75" w:rsidRPr="006B6F75">
        <w:rPr>
          <w:color w:val="000000" w:themeColor="text1"/>
        </w:rPr>
        <w:t xml:space="preserve">received a positive audit result. </w:t>
      </w:r>
    </w:p>
    <w:p w14:paraId="63FFF5D5" w14:textId="7B485E00" w:rsidR="00975DFD" w:rsidRDefault="00975DFD" w:rsidP="00F451AC">
      <w:pPr>
        <w:spacing w:after="0"/>
        <w:rPr>
          <w:b/>
          <w:bCs/>
          <w:color w:val="000000" w:themeColor="text1"/>
        </w:rPr>
      </w:pPr>
      <w:r w:rsidRPr="006B6F75">
        <w:rPr>
          <w:b/>
          <w:bCs/>
          <w:color w:val="000000" w:themeColor="text1"/>
        </w:rPr>
        <w:t xml:space="preserve">Produced </w:t>
      </w:r>
      <w:r w:rsidR="00953950">
        <w:rPr>
          <w:b/>
          <w:bCs/>
          <w:color w:val="000000" w:themeColor="text1"/>
        </w:rPr>
        <w:t>N</w:t>
      </w:r>
      <w:r w:rsidRPr="006B6F75">
        <w:rPr>
          <w:b/>
          <w:bCs/>
          <w:color w:val="000000" w:themeColor="text1"/>
        </w:rPr>
        <w:t xml:space="preserve">ew </w:t>
      </w:r>
      <w:r w:rsidR="00953950">
        <w:rPr>
          <w:b/>
          <w:bCs/>
          <w:color w:val="000000" w:themeColor="text1"/>
        </w:rPr>
        <w:t>P</w:t>
      </w:r>
      <w:r w:rsidRPr="006B6F75">
        <w:rPr>
          <w:b/>
          <w:bCs/>
          <w:color w:val="000000" w:themeColor="text1"/>
        </w:rPr>
        <w:t xml:space="preserve">olicies and </w:t>
      </w:r>
      <w:r w:rsidR="00953950">
        <w:rPr>
          <w:b/>
          <w:bCs/>
          <w:color w:val="000000" w:themeColor="text1"/>
        </w:rPr>
        <w:t>Pr</w:t>
      </w:r>
      <w:r w:rsidR="00FD2DF4" w:rsidRPr="006B6F75">
        <w:rPr>
          <w:b/>
          <w:bCs/>
          <w:color w:val="000000" w:themeColor="text1"/>
        </w:rPr>
        <w:t>ocedures</w:t>
      </w:r>
      <w:r w:rsidR="00BA76B8">
        <w:rPr>
          <w:b/>
          <w:bCs/>
          <w:color w:val="000000" w:themeColor="text1"/>
        </w:rPr>
        <w:t xml:space="preserve">: </w:t>
      </w:r>
    </w:p>
    <w:p w14:paraId="01AA62C7" w14:textId="798EA69C" w:rsidR="006B6F75" w:rsidRPr="00FD2DF4" w:rsidRDefault="006B6F75" w:rsidP="00F451AC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 w:rsidRPr="00FD2DF4">
        <w:rPr>
          <w:color w:val="000000" w:themeColor="text1"/>
        </w:rPr>
        <w:t xml:space="preserve">Including, </w:t>
      </w:r>
      <w:r w:rsidR="00FD2DF4" w:rsidRPr="00FD2DF4">
        <w:rPr>
          <w:color w:val="000000" w:themeColor="text1"/>
        </w:rPr>
        <w:t xml:space="preserve">multi-agency </w:t>
      </w:r>
      <w:r w:rsidR="002B6F0B" w:rsidRPr="00FD2DF4">
        <w:rPr>
          <w:color w:val="000000" w:themeColor="text1"/>
        </w:rPr>
        <w:t>escalation policy, non-recent abuse allegations procedure</w:t>
      </w:r>
      <w:r w:rsidR="002819BA">
        <w:rPr>
          <w:color w:val="000000" w:themeColor="text1"/>
        </w:rPr>
        <w:t xml:space="preserve"> and private </w:t>
      </w:r>
      <w:r w:rsidR="00FD2DF4" w:rsidRPr="00FD2DF4">
        <w:rPr>
          <w:color w:val="000000" w:themeColor="text1"/>
        </w:rPr>
        <w:t xml:space="preserve">fostering guidance. </w:t>
      </w:r>
    </w:p>
    <w:p w14:paraId="4B39529D" w14:textId="6496AE40" w:rsidR="00D6010D" w:rsidRPr="00675471" w:rsidRDefault="00975DFD" w:rsidP="00F451AC">
      <w:pPr>
        <w:spacing w:after="0"/>
        <w:rPr>
          <w:b/>
          <w:bCs/>
          <w:color w:val="000000" w:themeColor="text1"/>
        </w:rPr>
      </w:pPr>
      <w:r w:rsidRPr="00675471">
        <w:rPr>
          <w:b/>
          <w:bCs/>
          <w:color w:val="000000" w:themeColor="text1"/>
        </w:rPr>
        <w:t>Improvements to Muli-Agency Data Set</w:t>
      </w:r>
      <w:r w:rsidR="00BA76B8">
        <w:rPr>
          <w:b/>
          <w:bCs/>
          <w:color w:val="000000" w:themeColor="text1"/>
        </w:rPr>
        <w:t xml:space="preserve">: </w:t>
      </w:r>
      <w:r w:rsidRPr="00675471">
        <w:rPr>
          <w:b/>
          <w:bCs/>
          <w:color w:val="000000" w:themeColor="text1"/>
        </w:rPr>
        <w:t xml:space="preserve"> </w:t>
      </w:r>
    </w:p>
    <w:p w14:paraId="6707A823" w14:textId="02AB60B9" w:rsidR="00457198" w:rsidRDefault="00457198" w:rsidP="00F451AC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>Data now collected on a quarterly basis from</w:t>
      </w:r>
      <w:r w:rsidRPr="00C56536">
        <w:rPr>
          <w:b/>
          <w:bCs/>
          <w:color w:val="000000" w:themeColor="text1"/>
        </w:rPr>
        <w:t xml:space="preserve"> 10 </w:t>
      </w:r>
      <w:r>
        <w:rPr>
          <w:color w:val="000000" w:themeColor="text1"/>
        </w:rPr>
        <w:t>agencies and teams</w:t>
      </w:r>
      <w:r w:rsidR="00675471">
        <w:rPr>
          <w:color w:val="000000" w:themeColor="text1"/>
        </w:rPr>
        <w:t xml:space="preserve"> and key partners scrutinise</w:t>
      </w:r>
      <w:r w:rsidR="002819BA">
        <w:rPr>
          <w:color w:val="000000" w:themeColor="text1"/>
        </w:rPr>
        <w:t xml:space="preserve"> at QA&amp;P. </w:t>
      </w:r>
    </w:p>
    <w:p w14:paraId="3CED8614" w14:textId="3B03653A" w:rsidR="00BA76B8" w:rsidRPr="006737C9" w:rsidRDefault="00BA76B8" w:rsidP="00F451AC">
      <w:pPr>
        <w:spacing w:after="0"/>
        <w:rPr>
          <w:b/>
          <w:bCs/>
          <w:color w:val="000000" w:themeColor="text1"/>
        </w:rPr>
      </w:pPr>
      <w:r w:rsidRPr="006737C9">
        <w:rPr>
          <w:b/>
          <w:bCs/>
          <w:color w:val="000000" w:themeColor="text1"/>
        </w:rPr>
        <w:t xml:space="preserve">Quality Assurance Improvement: </w:t>
      </w:r>
    </w:p>
    <w:p w14:paraId="5766A38E" w14:textId="463A90FE" w:rsidR="00BA76B8" w:rsidRPr="002819BA" w:rsidRDefault="006737C9" w:rsidP="002819BA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 w:rsidRPr="002819BA">
        <w:rPr>
          <w:color w:val="000000" w:themeColor="text1"/>
        </w:rPr>
        <w:t xml:space="preserve">QA forward plan now available and multi-agency audit into exploitation took place. </w:t>
      </w:r>
    </w:p>
    <w:p w14:paraId="2F5D712D" w14:textId="30C78519" w:rsidR="00675471" w:rsidRPr="00E86038" w:rsidRDefault="00675471" w:rsidP="00F451AC">
      <w:pPr>
        <w:spacing w:after="0"/>
        <w:rPr>
          <w:color w:val="000000" w:themeColor="text1"/>
        </w:rPr>
        <w:sectPr w:rsidR="00675471" w:rsidRPr="00E86038" w:rsidSect="00BB390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29A6DB2" w14:textId="4C1313C8" w:rsidR="00F451AC" w:rsidRDefault="00F451AC" w:rsidP="00F451AC">
      <w:pPr>
        <w:spacing w:after="0"/>
        <w:rPr>
          <w:b/>
          <w:bCs/>
          <w:color w:val="002060"/>
        </w:rPr>
      </w:pPr>
    </w:p>
    <w:p w14:paraId="45E1D07D" w14:textId="5B52CD4A" w:rsidR="00357255" w:rsidRPr="008E37D5" w:rsidRDefault="00F451AC" w:rsidP="00F451AC">
      <w:pPr>
        <w:spacing w:after="0"/>
        <w:rPr>
          <w:b/>
          <w:bCs/>
          <w:color w:val="A41C64"/>
        </w:rPr>
      </w:pPr>
      <w:r w:rsidRPr="008E37D5">
        <w:rPr>
          <w:b/>
          <w:bCs/>
          <w:color w:val="A41C64"/>
        </w:rPr>
        <w:t xml:space="preserve">Some </w:t>
      </w:r>
      <w:r w:rsidR="00357255" w:rsidRPr="008E37D5">
        <w:rPr>
          <w:b/>
          <w:bCs/>
          <w:color w:val="A41C64"/>
        </w:rPr>
        <w:t xml:space="preserve">Key Challenges: </w:t>
      </w:r>
    </w:p>
    <w:p w14:paraId="36FEF21B" w14:textId="77777777" w:rsidR="00EE79CE" w:rsidRDefault="00EE79CE" w:rsidP="008B50E7">
      <w:pPr>
        <w:pStyle w:val="ListParagraph"/>
        <w:numPr>
          <w:ilvl w:val="0"/>
          <w:numId w:val="2"/>
        </w:numPr>
        <w:rPr>
          <w:b/>
          <w:bCs/>
          <w:color w:val="002060"/>
        </w:rPr>
        <w:sectPr w:rsidR="00EE79CE" w:rsidSect="008E505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18D6333" w14:textId="0E3DC511" w:rsidR="008B50E7" w:rsidRPr="00EE79CE" w:rsidRDefault="008B50E7" w:rsidP="008B50E7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EE79CE">
        <w:rPr>
          <w:color w:val="000000" w:themeColor="text1"/>
        </w:rPr>
        <w:t>Partners feeling a disconnect from the THSCP Executive</w:t>
      </w:r>
      <w:r w:rsidR="002819BA">
        <w:rPr>
          <w:color w:val="000000" w:themeColor="text1"/>
        </w:rPr>
        <w:t>.</w:t>
      </w:r>
    </w:p>
    <w:p w14:paraId="1EABBCCC" w14:textId="6F2322C5" w:rsidR="002F40E8" w:rsidRPr="00EE79CE" w:rsidRDefault="00C90E17" w:rsidP="00C90E17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EE79CE">
        <w:rPr>
          <w:color w:val="000000" w:themeColor="text1"/>
        </w:rPr>
        <w:t>Delays with commissioning CSPR author</w:t>
      </w:r>
      <w:r w:rsidR="002819BA">
        <w:rPr>
          <w:color w:val="000000" w:themeColor="text1"/>
        </w:rPr>
        <w:t xml:space="preserve">s. </w:t>
      </w:r>
    </w:p>
    <w:p w14:paraId="165420BF" w14:textId="55F6E92F" w:rsidR="00C90E17" w:rsidRPr="00EE79CE" w:rsidRDefault="00BD0B2E" w:rsidP="00C90E17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EE79CE">
        <w:rPr>
          <w:color w:val="000000" w:themeColor="text1"/>
        </w:rPr>
        <w:t>Attendance</w:t>
      </w:r>
      <w:r w:rsidR="00C90E17" w:rsidRPr="00EE79CE">
        <w:rPr>
          <w:color w:val="000000" w:themeColor="text1"/>
        </w:rPr>
        <w:t xml:space="preserve"> at training &amp; awareness eve</w:t>
      </w:r>
      <w:r w:rsidR="00DE1245" w:rsidRPr="00EE79CE">
        <w:rPr>
          <w:color w:val="000000" w:themeColor="text1"/>
        </w:rPr>
        <w:t>nts</w:t>
      </w:r>
      <w:r w:rsidR="002819BA">
        <w:rPr>
          <w:color w:val="000000" w:themeColor="text1"/>
        </w:rPr>
        <w:t xml:space="preserve">. </w:t>
      </w:r>
    </w:p>
    <w:p w14:paraId="72EF1902" w14:textId="5262B613" w:rsidR="00DE1245" w:rsidRPr="00EE79CE" w:rsidRDefault="00556FD9" w:rsidP="00C90E17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EE79CE">
        <w:rPr>
          <w:color w:val="000000" w:themeColor="text1"/>
        </w:rPr>
        <w:t xml:space="preserve">Capacity and </w:t>
      </w:r>
      <w:r w:rsidR="007575FB">
        <w:rPr>
          <w:color w:val="000000" w:themeColor="text1"/>
        </w:rPr>
        <w:t>f</w:t>
      </w:r>
      <w:r w:rsidRPr="00EE79CE">
        <w:rPr>
          <w:color w:val="000000" w:themeColor="text1"/>
        </w:rPr>
        <w:t>unding</w:t>
      </w:r>
      <w:r w:rsidR="002819BA">
        <w:rPr>
          <w:color w:val="000000" w:themeColor="text1"/>
        </w:rPr>
        <w:t xml:space="preserve">. </w:t>
      </w:r>
    </w:p>
    <w:p w14:paraId="0821D7CE" w14:textId="4F5EB937" w:rsidR="00556FD9" w:rsidRPr="00EE79CE" w:rsidRDefault="008B50E7" w:rsidP="00C90E17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EE79CE">
        <w:rPr>
          <w:color w:val="000000" w:themeColor="text1"/>
        </w:rPr>
        <w:t xml:space="preserve">Infant </w:t>
      </w:r>
      <w:r w:rsidR="007575FB">
        <w:rPr>
          <w:color w:val="000000" w:themeColor="text1"/>
        </w:rPr>
        <w:t>s</w:t>
      </w:r>
      <w:r w:rsidRPr="00EE79CE">
        <w:rPr>
          <w:color w:val="000000" w:themeColor="text1"/>
        </w:rPr>
        <w:t xml:space="preserve">afety – A key concern coming through reviews. </w:t>
      </w:r>
    </w:p>
    <w:p w14:paraId="08D59C8C" w14:textId="3821DC7C" w:rsidR="00EE79CE" w:rsidRPr="00EE79CE" w:rsidRDefault="00EE79CE" w:rsidP="00C90E17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Pace of </w:t>
      </w:r>
      <w:r w:rsidR="007575FB">
        <w:rPr>
          <w:color w:val="000000" w:themeColor="text1"/>
        </w:rPr>
        <w:t>p</w:t>
      </w:r>
      <w:r w:rsidRPr="00EE79CE">
        <w:rPr>
          <w:color w:val="000000" w:themeColor="text1"/>
        </w:rPr>
        <w:t xml:space="preserve">riority </w:t>
      </w:r>
      <w:r w:rsidR="007575FB">
        <w:rPr>
          <w:color w:val="000000" w:themeColor="text1"/>
        </w:rPr>
        <w:t>g</w:t>
      </w:r>
      <w:r w:rsidRPr="00EE79CE">
        <w:rPr>
          <w:color w:val="000000" w:themeColor="text1"/>
        </w:rPr>
        <w:t xml:space="preserve">roup delivery. </w:t>
      </w:r>
    </w:p>
    <w:p w14:paraId="6D9AC827" w14:textId="77777777" w:rsidR="00EE79CE" w:rsidRDefault="00EE79CE" w:rsidP="00357255">
      <w:pPr>
        <w:rPr>
          <w:b/>
          <w:bCs/>
          <w:color w:val="002060"/>
        </w:rPr>
        <w:sectPr w:rsidR="00EE79CE" w:rsidSect="00EE79C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44707AC" w14:textId="707F234C" w:rsidR="007575FB" w:rsidRPr="00843100" w:rsidRDefault="007B442D" w:rsidP="00357255">
      <w:pPr>
        <w:rPr>
          <w:b/>
          <w:bCs/>
          <w:color w:val="002060"/>
        </w:rPr>
      </w:pPr>
      <w:r w:rsidRPr="008E37D5">
        <w:rPr>
          <w:b/>
          <w:bCs/>
          <w:color w:val="A41C64"/>
        </w:rPr>
        <w:t>Child Safeguarding Practice Reviews</w:t>
      </w:r>
      <w:r w:rsidR="00812C09">
        <w:rPr>
          <w:b/>
          <w:bCs/>
          <w:color w:val="A41C64"/>
        </w:rPr>
        <w:t xml:space="preserve"> (CSPR)</w:t>
      </w:r>
      <w:r w:rsidRPr="008E37D5">
        <w:rPr>
          <w:b/>
          <w:bCs/>
          <w:color w:val="A41C64"/>
        </w:rPr>
        <w:t xml:space="preserve">: </w:t>
      </w:r>
      <w:r w:rsidR="007575FB" w:rsidRPr="00C47FEA">
        <w:rPr>
          <w:color w:val="000000" w:themeColor="text1"/>
        </w:rPr>
        <w:t xml:space="preserve">One review under the </w:t>
      </w:r>
      <w:r w:rsidR="002A6B79" w:rsidRPr="00C47FEA">
        <w:rPr>
          <w:color w:val="000000" w:themeColor="text1"/>
        </w:rPr>
        <w:t xml:space="preserve">pseudonym </w:t>
      </w:r>
      <w:hyperlink r:id="rId9" w:history="1">
        <w:r w:rsidR="002A6B79" w:rsidRPr="00EB1C41">
          <w:rPr>
            <w:rStyle w:val="Hyperlink"/>
          </w:rPr>
          <w:t>Julie</w:t>
        </w:r>
      </w:hyperlink>
      <w:r w:rsidR="002A6B79" w:rsidRPr="00C47FEA">
        <w:rPr>
          <w:color w:val="000000" w:themeColor="text1"/>
        </w:rPr>
        <w:t xml:space="preserve"> published</w:t>
      </w:r>
      <w:r w:rsidR="00512314">
        <w:rPr>
          <w:color w:val="000000" w:themeColor="text1"/>
        </w:rPr>
        <w:t xml:space="preserve"> containing</w:t>
      </w:r>
      <w:r w:rsidR="00BA28D4" w:rsidRPr="00C47FEA">
        <w:rPr>
          <w:color w:val="000000" w:themeColor="text1"/>
        </w:rPr>
        <w:t xml:space="preserve"> themes of </w:t>
      </w:r>
      <w:r w:rsidR="00512314">
        <w:rPr>
          <w:color w:val="000000" w:themeColor="text1"/>
        </w:rPr>
        <w:t>i</w:t>
      </w:r>
      <w:r w:rsidR="00BA28D4" w:rsidRPr="00C47FEA">
        <w:rPr>
          <w:color w:val="000000" w:themeColor="text1"/>
        </w:rPr>
        <w:t xml:space="preserve">nfant </w:t>
      </w:r>
      <w:r w:rsidR="00512314">
        <w:rPr>
          <w:color w:val="000000" w:themeColor="text1"/>
        </w:rPr>
        <w:t>s</w:t>
      </w:r>
      <w:r w:rsidR="00BA28D4" w:rsidRPr="00C47FEA">
        <w:rPr>
          <w:color w:val="000000" w:themeColor="text1"/>
        </w:rPr>
        <w:t xml:space="preserve">afety, </w:t>
      </w:r>
      <w:r w:rsidR="00056D84" w:rsidRPr="00C47FEA">
        <w:rPr>
          <w:color w:val="000000" w:themeColor="text1"/>
        </w:rPr>
        <w:t xml:space="preserve">safe sleeping, neglect, </w:t>
      </w:r>
      <w:r w:rsidR="00C47FEA" w:rsidRPr="00C47FEA">
        <w:rPr>
          <w:color w:val="000000" w:themeColor="text1"/>
        </w:rPr>
        <w:t xml:space="preserve">step down </w:t>
      </w:r>
      <w:r w:rsidR="00056D84" w:rsidRPr="00C47FEA">
        <w:rPr>
          <w:color w:val="000000" w:themeColor="text1"/>
        </w:rPr>
        <w:t xml:space="preserve">decision making, covid-19, use of </w:t>
      </w:r>
      <w:r w:rsidR="00C47FEA" w:rsidRPr="00C47FEA">
        <w:rPr>
          <w:color w:val="000000" w:themeColor="text1"/>
        </w:rPr>
        <w:t>interpreters</w:t>
      </w:r>
      <w:r w:rsidR="00056D84" w:rsidRPr="00C47FEA">
        <w:rPr>
          <w:color w:val="000000" w:themeColor="text1"/>
        </w:rPr>
        <w:t xml:space="preserve">, </w:t>
      </w:r>
      <w:r w:rsidR="00C47FEA" w:rsidRPr="00C47FEA">
        <w:rPr>
          <w:color w:val="000000" w:themeColor="text1"/>
        </w:rPr>
        <w:t>parental vulnerabilities, and domestic abuse. Another live review will be published end of July</w:t>
      </w:r>
      <w:r w:rsidR="006E6F7A">
        <w:rPr>
          <w:color w:val="000000" w:themeColor="text1"/>
        </w:rPr>
        <w:t xml:space="preserve"> 23</w:t>
      </w:r>
      <w:r w:rsidR="00C47FEA" w:rsidRPr="00C47FEA">
        <w:rPr>
          <w:color w:val="000000" w:themeColor="text1"/>
        </w:rPr>
        <w:t>, contain</w:t>
      </w:r>
      <w:r w:rsidR="00512314">
        <w:rPr>
          <w:color w:val="000000" w:themeColor="text1"/>
        </w:rPr>
        <w:t>ing</w:t>
      </w:r>
      <w:r w:rsidR="00C47FEA" w:rsidRPr="00C47FEA">
        <w:rPr>
          <w:color w:val="000000" w:themeColor="text1"/>
        </w:rPr>
        <w:t xml:space="preserve"> themes of </w:t>
      </w:r>
      <w:r w:rsidR="00512314">
        <w:rPr>
          <w:color w:val="000000" w:themeColor="text1"/>
        </w:rPr>
        <w:t xml:space="preserve">infant safety, </w:t>
      </w:r>
      <w:r w:rsidR="00C47FEA" w:rsidRPr="00C47FEA">
        <w:rPr>
          <w:color w:val="000000" w:themeColor="text1"/>
        </w:rPr>
        <w:t>overcrowding, neglect, domestic abuse, and step-down decision making</w:t>
      </w:r>
      <w:r w:rsidR="00C47FEA" w:rsidRPr="00C47FEA">
        <w:rPr>
          <w:color w:val="002060"/>
        </w:rPr>
        <w:t xml:space="preserve">. </w:t>
      </w:r>
    </w:p>
    <w:p w14:paraId="39264298" w14:textId="79156303" w:rsidR="00357255" w:rsidRPr="00567164" w:rsidRDefault="00E51132" w:rsidP="00357255">
      <w:pPr>
        <w:rPr>
          <w:b/>
          <w:bCs/>
          <w:color w:val="002060"/>
        </w:rPr>
      </w:pPr>
      <w:r w:rsidRPr="007B442D">
        <w:rPr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857BCCD" wp14:editId="08E2115E">
            <wp:simplePos x="0" y="0"/>
            <wp:positionH relativeFrom="column">
              <wp:posOffset>5721350</wp:posOffset>
            </wp:positionH>
            <wp:positionV relativeFrom="paragraph">
              <wp:posOffset>419735</wp:posOffset>
            </wp:positionV>
            <wp:extent cx="1279970" cy="719187"/>
            <wp:effectExtent l="0" t="0" r="0" b="508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970" cy="719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42D" w:rsidRPr="008E37D5">
        <w:rPr>
          <w:b/>
          <w:bCs/>
          <w:color w:val="A41C64"/>
        </w:rPr>
        <w:t xml:space="preserve">Forward Plan: </w:t>
      </w:r>
      <w:r w:rsidR="00512314">
        <w:rPr>
          <w:color w:val="000000" w:themeColor="text1"/>
        </w:rPr>
        <w:t>Setting and d</w:t>
      </w:r>
      <w:r w:rsidR="00843100" w:rsidRPr="00567164">
        <w:rPr>
          <w:color w:val="000000" w:themeColor="text1"/>
        </w:rPr>
        <w:t xml:space="preserve">elivering new priorities, embedding learning from CSPRs, </w:t>
      </w:r>
      <w:r w:rsidR="00512314">
        <w:rPr>
          <w:color w:val="000000" w:themeColor="text1"/>
        </w:rPr>
        <w:t xml:space="preserve">improvement to </w:t>
      </w:r>
      <w:r w:rsidR="00843100" w:rsidRPr="00567164">
        <w:rPr>
          <w:color w:val="000000" w:themeColor="text1"/>
        </w:rPr>
        <w:t>partner engagement, training offer</w:t>
      </w:r>
      <w:r w:rsidR="00512314">
        <w:rPr>
          <w:color w:val="000000" w:themeColor="text1"/>
        </w:rPr>
        <w:t xml:space="preserve"> expansion, </w:t>
      </w:r>
      <w:r w:rsidR="00567164" w:rsidRPr="00567164">
        <w:rPr>
          <w:color w:val="000000" w:themeColor="text1"/>
        </w:rPr>
        <w:t>formal improvement plan and improvements to the THSCP digital presence</w:t>
      </w:r>
      <w:r w:rsidR="00567164" w:rsidRPr="00567164">
        <w:rPr>
          <w:b/>
          <w:bCs/>
          <w:color w:val="000000" w:themeColor="text1"/>
        </w:rPr>
        <w:t xml:space="preserve">. </w:t>
      </w:r>
    </w:p>
    <w:sectPr w:rsidR="00357255" w:rsidRPr="00567164" w:rsidSect="008E505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67F34"/>
    <w:multiLevelType w:val="hybridMultilevel"/>
    <w:tmpl w:val="0EFE8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B542C6"/>
    <w:multiLevelType w:val="hybridMultilevel"/>
    <w:tmpl w:val="B4D86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441170">
    <w:abstractNumId w:val="1"/>
  </w:num>
  <w:num w:numId="2" w16cid:durableId="17538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07"/>
    <w:rsid w:val="000263CA"/>
    <w:rsid w:val="00056D84"/>
    <w:rsid w:val="000915A4"/>
    <w:rsid w:val="000B44DF"/>
    <w:rsid w:val="000C6BEA"/>
    <w:rsid w:val="001817C7"/>
    <w:rsid w:val="001D2162"/>
    <w:rsid w:val="001E7A98"/>
    <w:rsid w:val="002819BA"/>
    <w:rsid w:val="002A6B79"/>
    <w:rsid w:val="002B2730"/>
    <w:rsid w:val="002B6F0B"/>
    <w:rsid w:val="002E571D"/>
    <w:rsid w:val="002E71FA"/>
    <w:rsid w:val="002F40E8"/>
    <w:rsid w:val="00350246"/>
    <w:rsid w:val="00357255"/>
    <w:rsid w:val="00370E70"/>
    <w:rsid w:val="0038038E"/>
    <w:rsid w:val="003879FE"/>
    <w:rsid w:val="003A54FE"/>
    <w:rsid w:val="003B4A27"/>
    <w:rsid w:val="00425307"/>
    <w:rsid w:val="00457198"/>
    <w:rsid w:val="00460D13"/>
    <w:rsid w:val="00491629"/>
    <w:rsid w:val="004952F1"/>
    <w:rsid w:val="00497963"/>
    <w:rsid w:val="00512314"/>
    <w:rsid w:val="00525AAA"/>
    <w:rsid w:val="00556FD9"/>
    <w:rsid w:val="00567164"/>
    <w:rsid w:val="00584A08"/>
    <w:rsid w:val="00593A9A"/>
    <w:rsid w:val="005B5BDD"/>
    <w:rsid w:val="005F667D"/>
    <w:rsid w:val="006737C9"/>
    <w:rsid w:val="00675471"/>
    <w:rsid w:val="006B6F75"/>
    <w:rsid w:val="006E6F7A"/>
    <w:rsid w:val="00744D0B"/>
    <w:rsid w:val="00747EA9"/>
    <w:rsid w:val="007575FB"/>
    <w:rsid w:val="00774AB6"/>
    <w:rsid w:val="007755FE"/>
    <w:rsid w:val="007B442D"/>
    <w:rsid w:val="0080401D"/>
    <w:rsid w:val="00812C09"/>
    <w:rsid w:val="00843100"/>
    <w:rsid w:val="008702CB"/>
    <w:rsid w:val="008B50E7"/>
    <w:rsid w:val="008C15C2"/>
    <w:rsid w:val="008E2ACD"/>
    <w:rsid w:val="008E37D5"/>
    <w:rsid w:val="008E505D"/>
    <w:rsid w:val="008F16A3"/>
    <w:rsid w:val="00914A88"/>
    <w:rsid w:val="00953950"/>
    <w:rsid w:val="009602AB"/>
    <w:rsid w:val="00964CF4"/>
    <w:rsid w:val="00975DFD"/>
    <w:rsid w:val="009E0039"/>
    <w:rsid w:val="009F6F6F"/>
    <w:rsid w:val="00A9353F"/>
    <w:rsid w:val="00AA2311"/>
    <w:rsid w:val="00AD2654"/>
    <w:rsid w:val="00AD7BAC"/>
    <w:rsid w:val="00B546E8"/>
    <w:rsid w:val="00B674A4"/>
    <w:rsid w:val="00B83C27"/>
    <w:rsid w:val="00BA28D4"/>
    <w:rsid w:val="00BA76B8"/>
    <w:rsid w:val="00BB390F"/>
    <w:rsid w:val="00BD0B2E"/>
    <w:rsid w:val="00BD735A"/>
    <w:rsid w:val="00BE652B"/>
    <w:rsid w:val="00BF7842"/>
    <w:rsid w:val="00C47FEA"/>
    <w:rsid w:val="00C56536"/>
    <w:rsid w:val="00C90E17"/>
    <w:rsid w:val="00C93F06"/>
    <w:rsid w:val="00CB7722"/>
    <w:rsid w:val="00CE1A9F"/>
    <w:rsid w:val="00D43DFF"/>
    <w:rsid w:val="00D470D5"/>
    <w:rsid w:val="00D55669"/>
    <w:rsid w:val="00D6010D"/>
    <w:rsid w:val="00DA200F"/>
    <w:rsid w:val="00DE1245"/>
    <w:rsid w:val="00E51132"/>
    <w:rsid w:val="00E86038"/>
    <w:rsid w:val="00EB1C41"/>
    <w:rsid w:val="00EE79CE"/>
    <w:rsid w:val="00F111D0"/>
    <w:rsid w:val="00F451AC"/>
    <w:rsid w:val="00FD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DD076"/>
  <w15:chartTrackingRefBased/>
  <w15:docId w15:val="{1A490829-E484-4281-A546-6B519118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A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C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://www.childrenandfamiliestrust.co.uk/wp-content/uploads/2010/09/Local-Child-Safeguarding-Practice-Review-Juli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0D4DC70A4774F80B391EEC0B22705" ma:contentTypeVersion="13" ma:contentTypeDescription="Create a new document." ma:contentTypeScope="" ma:versionID="5461b65f1e864a50e9056a3b108cdb8d">
  <xsd:schema xmlns:xsd="http://www.w3.org/2001/XMLSchema" xmlns:xs="http://www.w3.org/2001/XMLSchema" xmlns:p="http://schemas.microsoft.com/office/2006/metadata/properties" xmlns:ns3="a0fc1614-601a-40be-8739-d7cfef4a7178" xmlns:ns4="7f693196-bdd7-4f6f-b249-3a1f62a08ac1" targetNamespace="http://schemas.microsoft.com/office/2006/metadata/properties" ma:root="true" ma:fieldsID="d76602b577e78740029058c7407e442c" ns3:_="" ns4:_="">
    <xsd:import namespace="a0fc1614-601a-40be-8739-d7cfef4a7178"/>
    <xsd:import namespace="7f693196-bdd7-4f6f-b249-3a1f62a08a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c1614-601a-40be-8739-d7cfef4a7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93196-bdd7-4f6f-b249-3a1f62a08a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58BFF9-182E-4AC4-8674-D22F4E5D3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7D1A15-3E86-41F4-BD10-C8AC5E07AB21}">
  <ds:schemaRefs>
    <ds:schemaRef ds:uri="http://schemas.microsoft.com/office/2006/metadata/properties"/>
    <ds:schemaRef ds:uri="7f693196-bdd7-4f6f-b249-3a1f62a08ac1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0fc1614-601a-40be-8739-d7cfef4a7178"/>
  </ds:schemaRefs>
</ds:datastoreItem>
</file>

<file path=customXml/itemProps3.xml><?xml version="1.0" encoding="utf-8"?>
<ds:datastoreItem xmlns:ds="http://schemas.openxmlformats.org/officeDocument/2006/customXml" ds:itemID="{B1FD9981-26F4-4B8D-9FBB-9F842E6130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24B588-240B-4667-8148-0E30A4D97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c1614-601a-40be-8739-d7cfef4a7178"/>
    <ds:schemaRef ds:uri="7f693196-bdd7-4f6f-b249-3a1f62a08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3173</Characters>
  <Application>Microsoft Office Word</Application>
  <DocSecurity>4</DocSecurity>
  <Lines>83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22-23 summary</dc:title>
  <dc:subject/>
  <dc:creator>Louise Griffiths</dc:creator>
  <cp:keywords/>
  <dc:description/>
  <cp:lastModifiedBy>Phillip Nduoyo</cp:lastModifiedBy>
  <cp:revision>2</cp:revision>
  <dcterms:created xsi:type="dcterms:W3CDTF">2023-09-26T16:37:00Z</dcterms:created>
  <dcterms:modified xsi:type="dcterms:W3CDTF">2023-09-26T16:37:00Z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0x0101007A30D4DC70A4774F80B391EEC0B22705</vt:lpwstr>
  </property>
  <property fmtid="{D5CDD505-2E9C-101B-9397-08002B2CF9AE}" pid="3" name="GrammarlyDocumentId">
    <vt:lpwstr>7450caf3b7c78f7a239ff94bfafdaf63503af3e11aff4b2f7542524ab3387e55</vt:lpwstr>
  </property>
</Properties>
</file>