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4C6A" w14:textId="64866FA0" w:rsidR="009763E8" w:rsidRDefault="009763E8" w:rsidP="009763E8">
      <w:pPr>
        <w:jc w:val="right"/>
        <w:rPr>
          <w:b/>
          <w:bCs/>
          <w:color w:val="A41C64"/>
          <w:sz w:val="32"/>
          <w:szCs w:val="32"/>
        </w:rPr>
      </w:pPr>
      <w:r>
        <w:rPr>
          <w:noProof/>
        </w:rPr>
        <w:drawing>
          <wp:inline distT="0" distB="0" distL="0" distR="0" wp14:anchorId="14754204" wp14:editId="717254B7">
            <wp:extent cx="1852295" cy="1040130"/>
            <wp:effectExtent l="0" t="0" r="0" b="7620"/>
            <wp:docPr id="6" name="Picture 6" descr="Tower Hamlets Safeguarding Children Partnership logo&#10;"/>
            <wp:cNvGraphicFramePr/>
            <a:graphic xmlns:a="http://schemas.openxmlformats.org/drawingml/2006/main">
              <a:graphicData uri="http://schemas.openxmlformats.org/drawingml/2006/picture">
                <pic:pic xmlns:pic="http://schemas.openxmlformats.org/drawingml/2006/picture">
                  <pic:nvPicPr>
                    <pic:cNvPr id="6" name="Picture 6" descr="Tower Hamlets Safeguarding Children Partnership logo&#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295" cy="1040130"/>
                    </a:xfrm>
                    <a:prstGeom prst="rect">
                      <a:avLst/>
                    </a:prstGeom>
                    <a:noFill/>
                  </pic:spPr>
                </pic:pic>
              </a:graphicData>
            </a:graphic>
          </wp:inline>
        </w:drawing>
      </w:r>
    </w:p>
    <w:p w14:paraId="7F66FDCC" w14:textId="615014C2" w:rsidR="009763E8" w:rsidRPr="0075167B" w:rsidRDefault="009763E8" w:rsidP="009763E8">
      <w:pPr>
        <w:jc w:val="center"/>
        <w:rPr>
          <w:b/>
          <w:bCs/>
          <w:color w:val="A41C64"/>
          <w:sz w:val="32"/>
          <w:szCs w:val="32"/>
        </w:rPr>
      </w:pPr>
      <w:r w:rsidRPr="0075167B">
        <w:rPr>
          <w:b/>
          <w:bCs/>
          <w:color w:val="A41C64"/>
          <w:sz w:val="32"/>
          <w:szCs w:val="32"/>
        </w:rPr>
        <w:t>Tower Hamlets Multi-Agency Escalation and Resolution Policy</w:t>
      </w:r>
    </w:p>
    <w:p w14:paraId="2D238401" w14:textId="77777777" w:rsidR="009763E8" w:rsidRPr="009763E8" w:rsidRDefault="009763E8" w:rsidP="009763E8">
      <w:pPr>
        <w:rPr>
          <w:b/>
          <w:bCs/>
          <w:color w:val="0070C0"/>
          <w:sz w:val="24"/>
          <w:szCs w:val="24"/>
        </w:rPr>
      </w:pPr>
      <w:r w:rsidRPr="009763E8">
        <w:rPr>
          <w:b/>
          <w:bCs/>
          <w:color w:val="0070C0"/>
          <w:sz w:val="24"/>
          <w:szCs w:val="24"/>
        </w:rPr>
        <w:t>Introduction</w:t>
      </w:r>
    </w:p>
    <w:p w14:paraId="468BEECF" w14:textId="77777777" w:rsidR="009763E8" w:rsidRPr="009763E8" w:rsidRDefault="009763E8" w:rsidP="009763E8">
      <w:pPr>
        <w:rPr>
          <w:sz w:val="24"/>
          <w:szCs w:val="24"/>
        </w:rPr>
      </w:pPr>
      <w:r w:rsidRPr="009763E8">
        <w:rPr>
          <w:sz w:val="24"/>
          <w:szCs w:val="24"/>
        </w:rPr>
        <w:t xml:space="preserve">When working with practitioners from other agencies, at times there will be differences of opinion or concerns about professional practice in relation to a child, young person or family. Throughout our work the safety and wellbeing of the child or young person is always the primary concern, and professional disagreements must not obstruct this. If you feel that a practitioner, or an agency, is not acting in the best interests of the child, young person or family, you have a responsibility to respectfully challenge the practitioner, or agency, and escalate that concern if resolution is not achieved. All agencies are responsible for ensuring that their staff are supported, and know how to appropriately challenge, escalate and resolve intra-agency concerns and challenges about a child or young person’s wellbeing and the response to their safeguarding needs. This procedure is not designed to replace the statutory complaints processes established within partner agencies including the Local Authority Designated Officer (LADO) process. It is important that practitioners feel empowered and supported within their agencies to challenge aspects of practice that they do not feel are in the best interests of the child or young person. </w:t>
      </w:r>
    </w:p>
    <w:p w14:paraId="015549E1" w14:textId="77777777" w:rsidR="009763E8" w:rsidRPr="009763E8" w:rsidRDefault="009763E8" w:rsidP="009763E8">
      <w:pPr>
        <w:jc w:val="center"/>
        <w:rPr>
          <w:b/>
          <w:bCs/>
          <w:sz w:val="24"/>
          <w:szCs w:val="24"/>
        </w:rPr>
      </w:pPr>
      <w:r w:rsidRPr="009763E8">
        <w:rPr>
          <w:b/>
          <w:bCs/>
          <w:sz w:val="24"/>
          <w:szCs w:val="24"/>
        </w:rPr>
        <w:t>The escalation must be complete within that time scale or a timescale that protects the child from harm (whichever is less).</w:t>
      </w:r>
    </w:p>
    <w:p w14:paraId="3FFFE593" w14:textId="77777777" w:rsidR="009763E8" w:rsidRPr="009763E8" w:rsidRDefault="009763E8" w:rsidP="009763E8">
      <w:pPr>
        <w:rPr>
          <w:b/>
          <w:bCs/>
          <w:color w:val="0070C0"/>
          <w:sz w:val="24"/>
          <w:szCs w:val="24"/>
        </w:rPr>
      </w:pPr>
      <w:r w:rsidRPr="009763E8">
        <w:rPr>
          <w:b/>
          <w:bCs/>
          <w:color w:val="0070C0"/>
          <w:sz w:val="24"/>
          <w:szCs w:val="24"/>
        </w:rPr>
        <w:t xml:space="preserve">Step-by-Step Process </w:t>
      </w:r>
    </w:p>
    <w:p w14:paraId="57171204" w14:textId="77777777" w:rsidR="009763E8" w:rsidRPr="009763E8" w:rsidRDefault="009763E8" w:rsidP="009763E8">
      <w:pPr>
        <w:rPr>
          <w:sz w:val="24"/>
          <w:szCs w:val="24"/>
        </w:rPr>
      </w:pPr>
      <w:r w:rsidRPr="009763E8">
        <w:rPr>
          <w:b/>
          <w:bCs/>
          <w:sz w:val="24"/>
          <w:szCs w:val="24"/>
        </w:rPr>
        <w:t>Step 1 (day 1):</w:t>
      </w:r>
      <w:r w:rsidRPr="009763E8">
        <w:rPr>
          <w:sz w:val="24"/>
          <w:szCs w:val="24"/>
        </w:rPr>
        <w:t xml:space="preserve">  Most professional disagreements can be resolved between professionals by having a </w:t>
      </w:r>
      <w:r w:rsidRPr="009763E8">
        <w:rPr>
          <w:b/>
          <w:bCs/>
          <w:sz w:val="24"/>
          <w:szCs w:val="24"/>
        </w:rPr>
        <w:t>conversation about the reasons for the difference of opinion</w:t>
      </w:r>
      <w:r w:rsidRPr="009763E8">
        <w:rPr>
          <w:sz w:val="24"/>
          <w:szCs w:val="24"/>
        </w:rPr>
        <w:t xml:space="preserve"> and without having to escalate. The matter should be recorded within each agency on the child’s record. When concerns arise, the worker must raise the issue with the other agency within one working day. If the matter remains unresolved, it is the individual’s responsibility to notify their line manager/ designated/ named safeguarding lead who will move to step 2.</w:t>
      </w:r>
    </w:p>
    <w:p w14:paraId="2B1B120D" w14:textId="77777777" w:rsidR="009763E8" w:rsidRPr="009763E8" w:rsidRDefault="009763E8" w:rsidP="009763E8">
      <w:pPr>
        <w:rPr>
          <w:sz w:val="24"/>
          <w:szCs w:val="24"/>
        </w:rPr>
      </w:pPr>
    </w:p>
    <w:p w14:paraId="48903418" w14:textId="77777777" w:rsidR="009763E8" w:rsidRPr="009763E8" w:rsidRDefault="009763E8" w:rsidP="009763E8">
      <w:pPr>
        <w:rPr>
          <w:sz w:val="24"/>
          <w:szCs w:val="24"/>
        </w:rPr>
      </w:pPr>
      <w:r w:rsidRPr="009763E8">
        <w:rPr>
          <w:b/>
          <w:bCs/>
          <w:sz w:val="24"/>
          <w:szCs w:val="24"/>
        </w:rPr>
        <w:t>Step 2 (no later than day 3):</w:t>
      </w:r>
      <w:r w:rsidRPr="009763E8">
        <w:rPr>
          <w:sz w:val="24"/>
          <w:szCs w:val="24"/>
        </w:rPr>
        <w:t xml:space="preserve"> </w:t>
      </w:r>
      <w:r w:rsidRPr="009763E8">
        <w:rPr>
          <w:rFonts w:cstheme="minorHAnsi"/>
          <w:sz w:val="24"/>
          <w:szCs w:val="24"/>
        </w:rPr>
        <w:t xml:space="preserve">Escalation to the </w:t>
      </w:r>
      <w:r w:rsidRPr="009763E8">
        <w:rPr>
          <w:rFonts w:cstheme="minorHAnsi"/>
          <w:b/>
          <w:bCs/>
          <w:sz w:val="24"/>
          <w:szCs w:val="24"/>
        </w:rPr>
        <w:t>Line Manager/ Safeguarding Leads</w:t>
      </w:r>
      <w:r w:rsidRPr="009763E8">
        <w:rPr>
          <w:rFonts w:cstheme="minorHAnsi"/>
          <w:sz w:val="24"/>
          <w:szCs w:val="24"/>
        </w:rPr>
        <w:t xml:space="preserve">. </w:t>
      </w:r>
      <w:r w:rsidRPr="009763E8">
        <w:rPr>
          <w:sz w:val="24"/>
          <w:szCs w:val="24"/>
        </w:rPr>
        <w:t xml:space="preserve">The respective parties must identify explicitly what the problem is and what the practitioners aim to achieve. This challenge and the outcome should be recorded and fed back to the practitioner who raised the concern. </w:t>
      </w:r>
    </w:p>
    <w:p w14:paraId="5F2B5F79" w14:textId="77777777" w:rsidR="009763E8" w:rsidRPr="009763E8" w:rsidRDefault="009763E8" w:rsidP="009763E8">
      <w:pPr>
        <w:rPr>
          <w:color w:val="21A5DD"/>
          <w:sz w:val="24"/>
          <w:szCs w:val="24"/>
        </w:rPr>
      </w:pPr>
    </w:p>
    <w:p w14:paraId="1DFA8E3C" w14:textId="77777777" w:rsidR="009763E8" w:rsidRPr="009763E8" w:rsidRDefault="009763E8" w:rsidP="009763E8">
      <w:pPr>
        <w:rPr>
          <w:sz w:val="24"/>
          <w:szCs w:val="24"/>
        </w:rPr>
      </w:pPr>
      <w:r w:rsidRPr="009763E8">
        <w:rPr>
          <w:b/>
          <w:bCs/>
          <w:sz w:val="24"/>
          <w:szCs w:val="24"/>
        </w:rPr>
        <w:t>Step 3 (no later than day 9):</w:t>
      </w:r>
      <w:r w:rsidRPr="009763E8">
        <w:rPr>
          <w:sz w:val="24"/>
          <w:szCs w:val="24"/>
        </w:rPr>
        <w:t xml:space="preserve"> If safeguarding leads/line managers are unable to resolve the concerns, they must be escalated to a </w:t>
      </w:r>
      <w:r w:rsidRPr="009763E8">
        <w:rPr>
          <w:b/>
          <w:bCs/>
          <w:sz w:val="24"/>
          <w:szCs w:val="24"/>
        </w:rPr>
        <w:t>Senior manager/ Director</w:t>
      </w:r>
      <w:r w:rsidRPr="009763E8">
        <w:rPr>
          <w:sz w:val="24"/>
          <w:szCs w:val="24"/>
        </w:rPr>
        <w:t xml:space="preserve"> (or in the case of schools, the Chair of Governors alongside the Head Teacher). The outcome of the challenge should also be fed back to the practitioner who raised the concerns.</w:t>
      </w:r>
    </w:p>
    <w:p w14:paraId="302F4F24" w14:textId="77777777" w:rsidR="009763E8" w:rsidRPr="009763E8" w:rsidRDefault="009763E8" w:rsidP="009763E8">
      <w:pPr>
        <w:rPr>
          <w:sz w:val="24"/>
          <w:szCs w:val="24"/>
        </w:rPr>
      </w:pPr>
    </w:p>
    <w:p w14:paraId="21FBEC86" w14:textId="77777777" w:rsidR="009763E8" w:rsidRPr="009763E8" w:rsidRDefault="009763E8" w:rsidP="009763E8">
      <w:pPr>
        <w:rPr>
          <w:sz w:val="24"/>
          <w:szCs w:val="24"/>
        </w:rPr>
      </w:pPr>
      <w:r w:rsidRPr="009763E8">
        <w:rPr>
          <w:b/>
          <w:bCs/>
          <w:sz w:val="24"/>
          <w:szCs w:val="24"/>
        </w:rPr>
        <w:t>Step 4 (no later than day 15):</w:t>
      </w:r>
      <w:r w:rsidRPr="009763E8">
        <w:rPr>
          <w:sz w:val="24"/>
          <w:szCs w:val="24"/>
        </w:rPr>
        <w:t xml:space="preserve"> In cases where the senior managers are unable to resolve the concern, it should be escalated to the </w:t>
      </w:r>
      <w:r w:rsidRPr="009763E8">
        <w:rPr>
          <w:b/>
          <w:bCs/>
          <w:sz w:val="24"/>
          <w:szCs w:val="24"/>
        </w:rPr>
        <w:t>Statutory Partners Executive</w:t>
      </w:r>
      <w:r w:rsidRPr="009763E8">
        <w:rPr>
          <w:sz w:val="24"/>
          <w:szCs w:val="24"/>
        </w:rPr>
        <w:t xml:space="preserve">. Please send your escalation to </w:t>
      </w:r>
      <w:hyperlink r:id="rId6" w:history="1">
        <w:r w:rsidRPr="009763E8">
          <w:rPr>
            <w:rStyle w:val="Hyperlink"/>
            <w:color w:val="0070C0"/>
            <w:sz w:val="24"/>
            <w:szCs w:val="24"/>
          </w:rPr>
          <w:t>THSCP@towerhamlets.gov.uk</w:t>
        </w:r>
      </w:hyperlink>
      <w:r w:rsidRPr="009763E8">
        <w:rPr>
          <w:color w:val="0070C0"/>
          <w:sz w:val="24"/>
          <w:szCs w:val="24"/>
        </w:rPr>
        <w:t xml:space="preserve"> </w:t>
      </w:r>
      <w:r w:rsidRPr="009763E8">
        <w:rPr>
          <w:sz w:val="24"/>
          <w:szCs w:val="24"/>
        </w:rPr>
        <w:t>under a high importance email titled ‘THSCP Escalation’, this will be sent on the Statutory Partners including the current chair. Note the THSCP chair is rotational between:</w:t>
      </w:r>
    </w:p>
    <w:p w14:paraId="58AD9F5A" w14:textId="3D0AC5B9" w:rsidR="009763E8" w:rsidRPr="009763E8" w:rsidRDefault="009763E8" w:rsidP="009763E8">
      <w:pPr>
        <w:pStyle w:val="ListParagraph"/>
        <w:numPr>
          <w:ilvl w:val="0"/>
          <w:numId w:val="1"/>
        </w:numPr>
        <w:rPr>
          <w:b/>
          <w:bCs/>
          <w:color w:val="21A5DD"/>
          <w:sz w:val="24"/>
          <w:szCs w:val="24"/>
        </w:rPr>
      </w:pPr>
      <w:r w:rsidRPr="009763E8">
        <w:rPr>
          <w:b/>
          <w:bCs/>
          <w:sz w:val="24"/>
          <w:szCs w:val="24"/>
        </w:rPr>
        <w:t xml:space="preserve">Steve Reddy, Director of Children’s Services (London Borough of Tower Hamlets), </w:t>
      </w:r>
    </w:p>
    <w:p w14:paraId="17C73543" w14:textId="77777777" w:rsidR="009763E8" w:rsidRPr="009763E8" w:rsidRDefault="009763E8" w:rsidP="009763E8">
      <w:pPr>
        <w:pStyle w:val="ListParagraph"/>
        <w:numPr>
          <w:ilvl w:val="0"/>
          <w:numId w:val="1"/>
        </w:numPr>
        <w:rPr>
          <w:b/>
          <w:bCs/>
          <w:color w:val="21A5DD"/>
          <w:sz w:val="24"/>
          <w:szCs w:val="24"/>
        </w:rPr>
      </w:pPr>
      <w:proofErr w:type="spellStart"/>
      <w:r w:rsidRPr="009763E8">
        <w:rPr>
          <w:b/>
          <w:bCs/>
          <w:sz w:val="24"/>
          <w:szCs w:val="24"/>
        </w:rPr>
        <w:t>Korkor</w:t>
      </w:r>
      <w:proofErr w:type="spellEnd"/>
      <w:r w:rsidRPr="009763E8">
        <w:rPr>
          <w:b/>
          <w:bCs/>
          <w:sz w:val="24"/>
          <w:szCs w:val="24"/>
        </w:rPr>
        <w:t xml:space="preserve"> Ceasar, Associate Director for Safeguarding Children (NHS </w:t>
      </w:r>
      <w:proofErr w:type="gramStart"/>
      <w:r w:rsidRPr="009763E8">
        <w:rPr>
          <w:b/>
          <w:bCs/>
          <w:sz w:val="24"/>
          <w:szCs w:val="24"/>
        </w:rPr>
        <w:t>North East</w:t>
      </w:r>
      <w:proofErr w:type="gramEnd"/>
      <w:r w:rsidRPr="009763E8">
        <w:rPr>
          <w:b/>
          <w:bCs/>
          <w:sz w:val="24"/>
          <w:szCs w:val="24"/>
        </w:rPr>
        <w:t xml:space="preserve"> London),</w:t>
      </w:r>
    </w:p>
    <w:p w14:paraId="5052FE97" w14:textId="77777777" w:rsidR="009763E8" w:rsidRPr="009763E8" w:rsidRDefault="009763E8" w:rsidP="009763E8">
      <w:pPr>
        <w:pStyle w:val="ListParagraph"/>
        <w:numPr>
          <w:ilvl w:val="0"/>
          <w:numId w:val="1"/>
        </w:numPr>
        <w:rPr>
          <w:b/>
          <w:bCs/>
          <w:color w:val="21A5DD"/>
          <w:sz w:val="24"/>
          <w:szCs w:val="24"/>
        </w:rPr>
      </w:pPr>
      <w:r w:rsidRPr="009763E8">
        <w:rPr>
          <w:b/>
          <w:bCs/>
          <w:sz w:val="24"/>
          <w:szCs w:val="24"/>
        </w:rPr>
        <w:t>James Conway, Detective Chief Superintendent (Met Police</w:t>
      </w:r>
      <w:r w:rsidRPr="009763E8">
        <w:rPr>
          <w:sz w:val="24"/>
          <w:szCs w:val="24"/>
        </w:rPr>
        <w:t>)</w:t>
      </w:r>
    </w:p>
    <w:p w14:paraId="1AFDC9FD" w14:textId="42622E8E" w:rsidR="009763E8" w:rsidRPr="001B2C29" w:rsidRDefault="001B2C29" w:rsidP="001B2C29">
      <w:pPr>
        <w:rPr>
          <w:color w:val="000000" w:themeColor="text1"/>
          <w:sz w:val="24"/>
          <w:szCs w:val="24"/>
        </w:rPr>
      </w:pPr>
      <w:r w:rsidRPr="001B2C29">
        <w:rPr>
          <w:color w:val="000000" w:themeColor="text1"/>
          <w:sz w:val="24"/>
          <w:szCs w:val="24"/>
        </w:rPr>
        <w:t>The Partner escalating should provide a written statement of the issue, what they have done to try and resolve the issue and what they want to happen to resolve the issue. Copies of the Steps 1 - 3 escalations responses should also be included. A copy of the statement should also be sent to the appropriate managers who have been involved   in the escalation.</w:t>
      </w:r>
    </w:p>
    <w:p w14:paraId="153AAE4D" w14:textId="77777777" w:rsidR="009763E8" w:rsidRPr="009763E8" w:rsidRDefault="009763E8" w:rsidP="009763E8">
      <w:pPr>
        <w:rPr>
          <w:b/>
          <w:bCs/>
          <w:color w:val="21A5DD"/>
          <w:sz w:val="24"/>
          <w:szCs w:val="24"/>
        </w:rPr>
      </w:pPr>
      <w:r w:rsidRPr="009763E8">
        <w:rPr>
          <w:b/>
          <w:bCs/>
          <w:color w:val="0070C0"/>
          <w:sz w:val="24"/>
          <w:szCs w:val="24"/>
        </w:rPr>
        <w:t xml:space="preserve">Key Contacts: </w:t>
      </w:r>
    </w:p>
    <w:tbl>
      <w:tblPr>
        <w:tblStyle w:val="TableGrid"/>
        <w:tblW w:w="0" w:type="auto"/>
        <w:tblLook w:val="04A0" w:firstRow="1" w:lastRow="0" w:firstColumn="1" w:lastColumn="0" w:noHBand="0" w:noVBand="1"/>
      </w:tblPr>
      <w:tblGrid>
        <w:gridCol w:w="1894"/>
        <w:gridCol w:w="1645"/>
        <w:gridCol w:w="5103"/>
        <w:gridCol w:w="1814"/>
      </w:tblGrid>
      <w:tr w:rsidR="009763E8" w:rsidRPr="009763E8" w14:paraId="0DB28CC9" w14:textId="77777777" w:rsidTr="00EE2A80">
        <w:tc>
          <w:tcPr>
            <w:tcW w:w="1894" w:type="dxa"/>
          </w:tcPr>
          <w:p w14:paraId="073D8D14" w14:textId="77777777" w:rsidR="009763E8" w:rsidRPr="009763E8" w:rsidRDefault="009763E8" w:rsidP="00EE2A80">
            <w:pPr>
              <w:rPr>
                <w:b/>
                <w:bCs/>
                <w:color w:val="21A5DD"/>
              </w:rPr>
            </w:pPr>
            <w:r w:rsidRPr="009763E8">
              <w:rPr>
                <w:b/>
                <w:bCs/>
                <w:color w:val="0070C0"/>
              </w:rPr>
              <w:t xml:space="preserve">LBTH </w:t>
            </w:r>
          </w:p>
        </w:tc>
        <w:tc>
          <w:tcPr>
            <w:tcW w:w="1645" w:type="dxa"/>
          </w:tcPr>
          <w:p w14:paraId="5F59E838" w14:textId="77777777" w:rsidR="009763E8" w:rsidRPr="009763E8" w:rsidRDefault="009763E8" w:rsidP="00EE2A80">
            <w:pPr>
              <w:rPr>
                <w:b/>
                <w:bCs/>
                <w:color w:val="21A5DD"/>
              </w:rPr>
            </w:pPr>
            <w:r w:rsidRPr="009763E8">
              <w:rPr>
                <w:b/>
                <w:bCs/>
                <w:color w:val="0070C0"/>
              </w:rPr>
              <w:t xml:space="preserve">Name </w:t>
            </w:r>
          </w:p>
        </w:tc>
        <w:tc>
          <w:tcPr>
            <w:tcW w:w="5103" w:type="dxa"/>
          </w:tcPr>
          <w:p w14:paraId="172E8FC7" w14:textId="77777777" w:rsidR="009763E8" w:rsidRPr="009763E8" w:rsidRDefault="009763E8" w:rsidP="00EE2A80">
            <w:pPr>
              <w:rPr>
                <w:b/>
                <w:bCs/>
                <w:color w:val="21A5DD"/>
              </w:rPr>
            </w:pPr>
            <w:r w:rsidRPr="009763E8">
              <w:rPr>
                <w:b/>
                <w:bCs/>
                <w:color w:val="0070C0"/>
              </w:rPr>
              <w:t xml:space="preserve">Email </w:t>
            </w:r>
          </w:p>
        </w:tc>
        <w:tc>
          <w:tcPr>
            <w:tcW w:w="1814" w:type="dxa"/>
          </w:tcPr>
          <w:p w14:paraId="704E7A31" w14:textId="77777777" w:rsidR="009763E8" w:rsidRPr="009763E8" w:rsidRDefault="009763E8" w:rsidP="00EE2A80">
            <w:pPr>
              <w:rPr>
                <w:b/>
                <w:bCs/>
                <w:color w:val="21A5DD"/>
              </w:rPr>
            </w:pPr>
            <w:r w:rsidRPr="009763E8">
              <w:rPr>
                <w:b/>
                <w:bCs/>
                <w:color w:val="0070C0"/>
              </w:rPr>
              <w:t xml:space="preserve">Phone </w:t>
            </w:r>
          </w:p>
        </w:tc>
      </w:tr>
      <w:tr w:rsidR="009763E8" w:rsidRPr="009763E8" w14:paraId="66C49E80" w14:textId="77777777" w:rsidTr="00EE2A80">
        <w:tc>
          <w:tcPr>
            <w:tcW w:w="1894" w:type="dxa"/>
          </w:tcPr>
          <w:p w14:paraId="15CFAC8D" w14:textId="77777777" w:rsidR="009763E8" w:rsidRPr="009763E8" w:rsidRDefault="009763E8" w:rsidP="00EE2A80">
            <w:pPr>
              <w:rPr>
                <w:rFonts w:cs="Calibri"/>
              </w:rPr>
            </w:pPr>
            <w:r w:rsidRPr="009763E8">
              <w:rPr>
                <w:rFonts w:cs="Calibri"/>
              </w:rPr>
              <w:t>Head of Service:</w:t>
            </w:r>
          </w:p>
          <w:p w14:paraId="5B1B532B" w14:textId="77777777" w:rsidR="009763E8" w:rsidRPr="009763E8" w:rsidRDefault="009763E8" w:rsidP="00EE2A80">
            <w:pPr>
              <w:rPr>
                <w:rFonts w:cs="Calibri"/>
              </w:rPr>
            </w:pPr>
            <w:r w:rsidRPr="009763E8">
              <w:rPr>
                <w:rFonts w:cs="Calibri"/>
              </w:rPr>
              <w:t xml:space="preserve">Quality Assurance </w:t>
            </w:r>
          </w:p>
        </w:tc>
        <w:tc>
          <w:tcPr>
            <w:tcW w:w="1645" w:type="dxa"/>
          </w:tcPr>
          <w:p w14:paraId="4252906E" w14:textId="77777777" w:rsidR="009763E8" w:rsidRPr="009763E8" w:rsidRDefault="009763E8" w:rsidP="00EE2A80">
            <w:pPr>
              <w:rPr>
                <w:rFonts w:cs="Calibri"/>
              </w:rPr>
            </w:pPr>
            <w:r w:rsidRPr="009763E8">
              <w:rPr>
                <w:rFonts w:cs="Calibri"/>
              </w:rPr>
              <w:t xml:space="preserve">Geraldine O’Donnell </w:t>
            </w:r>
          </w:p>
        </w:tc>
        <w:tc>
          <w:tcPr>
            <w:tcW w:w="5103" w:type="dxa"/>
          </w:tcPr>
          <w:p w14:paraId="747BB6CE" w14:textId="77777777" w:rsidR="009763E8" w:rsidRPr="009763E8" w:rsidRDefault="009763E8" w:rsidP="00EE2A80">
            <w:pPr>
              <w:rPr>
                <w:rFonts w:cs="Calibri"/>
              </w:rPr>
            </w:pPr>
            <w:r w:rsidRPr="009763E8">
              <w:rPr>
                <w:rFonts w:cs="Calibri"/>
              </w:rPr>
              <w:t>geraldine.o'donnell@towerhamlets.gov.uk</w:t>
            </w:r>
          </w:p>
          <w:p w14:paraId="4920FDCA" w14:textId="77777777" w:rsidR="009763E8" w:rsidRPr="009763E8" w:rsidRDefault="00000000" w:rsidP="00EE2A80">
            <w:pPr>
              <w:rPr>
                <w:rFonts w:cs="Calibri"/>
              </w:rPr>
            </w:pPr>
            <w:hyperlink r:id="rId7" w:history="1">
              <w:r w:rsidR="009763E8" w:rsidRPr="009763E8">
                <w:rPr>
                  <w:rStyle w:val="Hyperlink"/>
                  <w:rFonts w:cs="Calibri"/>
                </w:rPr>
                <w:t>SQA@towerhamlets.gov.uk</w:t>
              </w:r>
            </w:hyperlink>
          </w:p>
        </w:tc>
        <w:tc>
          <w:tcPr>
            <w:tcW w:w="1814" w:type="dxa"/>
          </w:tcPr>
          <w:p w14:paraId="11B4F917" w14:textId="77777777" w:rsidR="009763E8" w:rsidRPr="009763E8" w:rsidRDefault="009763E8" w:rsidP="00EE2A80">
            <w:pPr>
              <w:rPr>
                <w:rFonts w:cs="Calibri"/>
              </w:rPr>
            </w:pPr>
            <w:r w:rsidRPr="009763E8">
              <w:rPr>
                <w:rFonts w:cs="Calibri"/>
              </w:rPr>
              <w:t>020 7364 6030</w:t>
            </w:r>
          </w:p>
        </w:tc>
      </w:tr>
      <w:tr w:rsidR="009763E8" w:rsidRPr="009763E8" w14:paraId="5CA50550" w14:textId="77777777" w:rsidTr="00EE2A80">
        <w:tc>
          <w:tcPr>
            <w:tcW w:w="1894" w:type="dxa"/>
          </w:tcPr>
          <w:p w14:paraId="200188B7" w14:textId="77777777" w:rsidR="009763E8" w:rsidRPr="009763E8" w:rsidRDefault="009763E8" w:rsidP="00EE2A80">
            <w:pPr>
              <w:rPr>
                <w:rFonts w:cs="Calibri"/>
              </w:rPr>
            </w:pPr>
            <w:r w:rsidRPr="009763E8">
              <w:rPr>
                <w:rFonts w:cs="Calibri"/>
              </w:rPr>
              <w:t>Head of Service:</w:t>
            </w:r>
          </w:p>
          <w:p w14:paraId="75E6A3C0" w14:textId="59506C1F" w:rsidR="009763E8" w:rsidRPr="009763E8" w:rsidRDefault="009763E8" w:rsidP="00EE2A80">
            <w:pPr>
              <w:rPr>
                <w:rFonts w:cs="Calibri"/>
              </w:rPr>
            </w:pPr>
            <w:r w:rsidRPr="009763E8">
              <w:rPr>
                <w:rFonts w:cs="Calibri"/>
              </w:rPr>
              <w:t xml:space="preserve">MAST, Assessment &amp; Eva </w:t>
            </w:r>
            <w:proofErr w:type="spellStart"/>
            <w:r w:rsidRPr="009763E8">
              <w:rPr>
                <w:rFonts w:cs="Calibri"/>
              </w:rPr>
              <w:t>Armsby</w:t>
            </w:r>
            <w:proofErr w:type="spellEnd"/>
            <w:r w:rsidRPr="009763E8">
              <w:rPr>
                <w:rFonts w:cs="Calibri"/>
              </w:rPr>
              <w:t>.</w:t>
            </w:r>
          </w:p>
        </w:tc>
        <w:tc>
          <w:tcPr>
            <w:tcW w:w="1645" w:type="dxa"/>
          </w:tcPr>
          <w:p w14:paraId="2C2503B3" w14:textId="77777777" w:rsidR="009763E8" w:rsidRPr="009763E8" w:rsidRDefault="009763E8" w:rsidP="00EE2A80">
            <w:pPr>
              <w:rPr>
                <w:rFonts w:cs="Calibri"/>
              </w:rPr>
            </w:pPr>
            <w:r w:rsidRPr="009763E8">
              <w:rPr>
                <w:rFonts w:cs="Calibri"/>
              </w:rPr>
              <w:t xml:space="preserve">Habon Ibrahim-Osman </w:t>
            </w:r>
          </w:p>
        </w:tc>
        <w:tc>
          <w:tcPr>
            <w:tcW w:w="5103" w:type="dxa"/>
          </w:tcPr>
          <w:p w14:paraId="230BA2C0" w14:textId="77777777" w:rsidR="009763E8" w:rsidRPr="009763E8" w:rsidRDefault="00000000" w:rsidP="00EE2A80">
            <w:pPr>
              <w:rPr>
                <w:rFonts w:cs="Calibri"/>
              </w:rPr>
            </w:pPr>
            <w:hyperlink r:id="rId8" w:history="1">
              <w:r w:rsidR="009763E8" w:rsidRPr="009763E8">
                <w:rPr>
                  <w:rStyle w:val="Hyperlink"/>
                  <w:rFonts w:cs="Calibri"/>
                </w:rPr>
                <w:t>Habon.ibrahim-osman@towerhamlets.gov.uk</w:t>
              </w:r>
            </w:hyperlink>
          </w:p>
          <w:p w14:paraId="106F667C" w14:textId="7CA36B30" w:rsidR="009763E8" w:rsidRPr="009763E8" w:rsidRDefault="00000000" w:rsidP="00EE2A80">
            <w:pPr>
              <w:rPr>
                <w:rFonts w:cs="Calibri"/>
              </w:rPr>
            </w:pPr>
            <w:hyperlink r:id="rId9" w:history="1">
              <w:r w:rsidR="009763E8" w:rsidRPr="009763E8">
                <w:rPr>
                  <w:rStyle w:val="Hyperlink"/>
                  <w:rFonts w:cs="Calibri"/>
                </w:rPr>
                <w:t>MAST@towerhamlets.gov.uk</w:t>
              </w:r>
            </w:hyperlink>
          </w:p>
        </w:tc>
        <w:tc>
          <w:tcPr>
            <w:tcW w:w="1814" w:type="dxa"/>
          </w:tcPr>
          <w:p w14:paraId="1CBB6882" w14:textId="77777777" w:rsidR="009763E8" w:rsidRPr="009763E8" w:rsidRDefault="009763E8" w:rsidP="00EE2A80">
            <w:pPr>
              <w:rPr>
                <w:rFonts w:cs="Calibri"/>
              </w:rPr>
            </w:pPr>
            <w:r w:rsidRPr="009763E8">
              <w:rPr>
                <w:rFonts w:cs="Calibri"/>
              </w:rPr>
              <w:t>0207 364 2257</w:t>
            </w:r>
          </w:p>
        </w:tc>
      </w:tr>
      <w:tr w:rsidR="009763E8" w:rsidRPr="009763E8" w14:paraId="4F806045" w14:textId="77777777" w:rsidTr="00EE2A80">
        <w:tc>
          <w:tcPr>
            <w:tcW w:w="1894" w:type="dxa"/>
          </w:tcPr>
          <w:p w14:paraId="41C9AFD8" w14:textId="77777777" w:rsidR="009763E8" w:rsidRPr="009763E8" w:rsidRDefault="009763E8" w:rsidP="00EE2A80">
            <w:pPr>
              <w:rPr>
                <w:rFonts w:cs="Calibri"/>
              </w:rPr>
            </w:pPr>
            <w:r w:rsidRPr="009763E8">
              <w:rPr>
                <w:rFonts w:cs="Calibri"/>
              </w:rPr>
              <w:t>Education Safeguarding Manager</w:t>
            </w:r>
          </w:p>
        </w:tc>
        <w:tc>
          <w:tcPr>
            <w:tcW w:w="1645" w:type="dxa"/>
          </w:tcPr>
          <w:p w14:paraId="716BCCE1" w14:textId="77777777" w:rsidR="009763E8" w:rsidRPr="009763E8" w:rsidRDefault="009763E8" w:rsidP="00EE2A80">
            <w:pPr>
              <w:rPr>
                <w:rFonts w:cs="Calibri"/>
              </w:rPr>
            </w:pPr>
            <w:r w:rsidRPr="009763E8">
              <w:rPr>
                <w:rFonts w:cs="Calibri"/>
              </w:rPr>
              <w:t>Sharifa Chowdhury</w:t>
            </w:r>
          </w:p>
        </w:tc>
        <w:tc>
          <w:tcPr>
            <w:tcW w:w="5103" w:type="dxa"/>
          </w:tcPr>
          <w:p w14:paraId="4F9FC4A8" w14:textId="77777777" w:rsidR="009763E8" w:rsidRPr="009763E8" w:rsidRDefault="00000000" w:rsidP="00EE2A80">
            <w:pPr>
              <w:rPr>
                <w:rFonts w:cs="Calibri"/>
              </w:rPr>
            </w:pPr>
            <w:hyperlink r:id="rId10" w:history="1">
              <w:r w:rsidR="009763E8" w:rsidRPr="009763E8">
                <w:rPr>
                  <w:rStyle w:val="Hyperlink"/>
                  <w:rFonts w:cs="Calibri"/>
                </w:rPr>
                <w:t>sharifa.chowdhury@towerhamlets.gov.uk</w:t>
              </w:r>
            </w:hyperlink>
            <w:r w:rsidR="009763E8" w:rsidRPr="009763E8">
              <w:rPr>
                <w:rFonts w:cs="Calibri"/>
              </w:rPr>
              <w:t xml:space="preserve"> </w:t>
            </w:r>
          </w:p>
        </w:tc>
        <w:tc>
          <w:tcPr>
            <w:tcW w:w="1814" w:type="dxa"/>
          </w:tcPr>
          <w:p w14:paraId="3F4830AE" w14:textId="77777777" w:rsidR="009763E8" w:rsidRPr="009763E8" w:rsidRDefault="009763E8" w:rsidP="00EE2A80">
            <w:pPr>
              <w:rPr>
                <w:rFonts w:cs="Calibri"/>
              </w:rPr>
            </w:pPr>
            <w:r w:rsidRPr="009763E8">
              <w:rPr>
                <w:rFonts w:cs="Calibri"/>
              </w:rPr>
              <w:t xml:space="preserve">020 7364 3459  </w:t>
            </w:r>
          </w:p>
        </w:tc>
      </w:tr>
      <w:tr w:rsidR="009763E8" w:rsidRPr="009763E8" w14:paraId="708AE304" w14:textId="77777777" w:rsidTr="00EE2A80">
        <w:tc>
          <w:tcPr>
            <w:tcW w:w="1894" w:type="dxa"/>
          </w:tcPr>
          <w:p w14:paraId="0AFA27D6" w14:textId="77777777" w:rsidR="009763E8" w:rsidRPr="009763E8" w:rsidRDefault="009763E8" w:rsidP="00EE2A80">
            <w:pPr>
              <w:rPr>
                <w:rFonts w:cs="Calibri"/>
              </w:rPr>
            </w:pPr>
            <w:r w:rsidRPr="009763E8">
              <w:rPr>
                <w:rFonts w:cs="Calibri"/>
              </w:rPr>
              <w:t xml:space="preserve">Director, </w:t>
            </w:r>
            <w:proofErr w:type="gramStart"/>
            <w:r w:rsidRPr="009763E8">
              <w:rPr>
                <w:rFonts w:cs="Calibri"/>
              </w:rPr>
              <w:t>Supporting  Families</w:t>
            </w:r>
            <w:proofErr w:type="gramEnd"/>
            <w:r w:rsidRPr="009763E8">
              <w:rPr>
                <w:rFonts w:cs="Calibri"/>
              </w:rPr>
              <w:t xml:space="preserve">  </w:t>
            </w:r>
          </w:p>
        </w:tc>
        <w:tc>
          <w:tcPr>
            <w:tcW w:w="1645" w:type="dxa"/>
          </w:tcPr>
          <w:p w14:paraId="39D6FE61" w14:textId="77777777" w:rsidR="009763E8" w:rsidRPr="009763E8" w:rsidRDefault="009763E8" w:rsidP="00EE2A80">
            <w:pPr>
              <w:rPr>
                <w:rFonts w:cs="Calibri"/>
              </w:rPr>
            </w:pPr>
            <w:r w:rsidRPr="009763E8">
              <w:rPr>
                <w:rFonts w:cs="Calibri"/>
              </w:rPr>
              <w:t xml:space="preserve">Susannah Beasley-Murray </w:t>
            </w:r>
          </w:p>
        </w:tc>
        <w:tc>
          <w:tcPr>
            <w:tcW w:w="5103" w:type="dxa"/>
          </w:tcPr>
          <w:p w14:paraId="07E9AD94" w14:textId="77777777" w:rsidR="009763E8" w:rsidRPr="009763E8" w:rsidRDefault="00000000" w:rsidP="00EE2A80">
            <w:pPr>
              <w:rPr>
                <w:rFonts w:cs="Calibri"/>
              </w:rPr>
            </w:pPr>
            <w:hyperlink r:id="rId11" w:history="1">
              <w:r w:rsidR="009763E8" w:rsidRPr="009763E8">
                <w:rPr>
                  <w:rStyle w:val="Hyperlink"/>
                  <w:rFonts w:cs="Calibri"/>
                </w:rPr>
                <w:t>susannah.beasley-murray@towerhamlets.gov.uk</w:t>
              </w:r>
            </w:hyperlink>
          </w:p>
        </w:tc>
        <w:tc>
          <w:tcPr>
            <w:tcW w:w="1814" w:type="dxa"/>
          </w:tcPr>
          <w:p w14:paraId="2AB4AE2E" w14:textId="77777777" w:rsidR="009763E8" w:rsidRPr="009763E8" w:rsidRDefault="009763E8" w:rsidP="00EE2A80">
            <w:pPr>
              <w:rPr>
                <w:rFonts w:cs="Calibri"/>
              </w:rPr>
            </w:pPr>
            <w:r w:rsidRPr="009763E8">
              <w:rPr>
                <w:rFonts w:cs="Calibri"/>
              </w:rPr>
              <w:t>0207 364 2213</w:t>
            </w:r>
          </w:p>
        </w:tc>
      </w:tr>
    </w:tbl>
    <w:p w14:paraId="1B33F529" w14:textId="77777777" w:rsidR="009763E8" w:rsidRPr="009763E8" w:rsidRDefault="009763E8" w:rsidP="009763E8">
      <w:pPr>
        <w:rPr>
          <w:rFonts w:cs="Calibri"/>
        </w:rPr>
      </w:pPr>
    </w:p>
    <w:tbl>
      <w:tblPr>
        <w:tblStyle w:val="TableGrid"/>
        <w:tblW w:w="0" w:type="auto"/>
        <w:tblLook w:val="04A0" w:firstRow="1" w:lastRow="0" w:firstColumn="1" w:lastColumn="0" w:noHBand="0" w:noVBand="1"/>
      </w:tblPr>
      <w:tblGrid>
        <w:gridCol w:w="1980"/>
        <w:gridCol w:w="1559"/>
        <w:gridCol w:w="5103"/>
        <w:gridCol w:w="1814"/>
      </w:tblGrid>
      <w:tr w:rsidR="009763E8" w:rsidRPr="009763E8" w14:paraId="7860D5DE" w14:textId="77777777" w:rsidTr="00EE2A80">
        <w:tc>
          <w:tcPr>
            <w:tcW w:w="1980" w:type="dxa"/>
          </w:tcPr>
          <w:p w14:paraId="3350DE2B" w14:textId="77777777" w:rsidR="009763E8" w:rsidRPr="009763E8" w:rsidRDefault="009763E8" w:rsidP="00EE2A80">
            <w:pPr>
              <w:rPr>
                <w:rFonts w:cs="Calibri"/>
                <w:b/>
                <w:bCs/>
                <w:color w:val="0070C0"/>
              </w:rPr>
            </w:pPr>
            <w:r w:rsidRPr="009763E8">
              <w:rPr>
                <w:rFonts w:cs="Calibri"/>
                <w:b/>
                <w:bCs/>
                <w:color w:val="0070C0"/>
              </w:rPr>
              <w:t>Health</w:t>
            </w:r>
          </w:p>
        </w:tc>
        <w:tc>
          <w:tcPr>
            <w:tcW w:w="1559" w:type="dxa"/>
          </w:tcPr>
          <w:p w14:paraId="4067DAE8" w14:textId="77777777" w:rsidR="009763E8" w:rsidRPr="009763E8" w:rsidRDefault="009763E8" w:rsidP="00EE2A80">
            <w:pPr>
              <w:rPr>
                <w:rFonts w:cs="Calibri"/>
                <w:b/>
                <w:bCs/>
                <w:color w:val="21A5DD"/>
              </w:rPr>
            </w:pPr>
            <w:r w:rsidRPr="009763E8">
              <w:rPr>
                <w:rFonts w:cs="Calibri"/>
                <w:b/>
                <w:bCs/>
                <w:color w:val="0070C0"/>
              </w:rPr>
              <w:t>Name</w:t>
            </w:r>
          </w:p>
        </w:tc>
        <w:tc>
          <w:tcPr>
            <w:tcW w:w="5103" w:type="dxa"/>
          </w:tcPr>
          <w:p w14:paraId="6B45D477" w14:textId="77777777" w:rsidR="009763E8" w:rsidRPr="009763E8" w:rsidRDefault="009763E8" w:rsidP="00EE2A80">
            <w:pPr>
              <w:rPr>
                <w:rFonts w:cs="Calibri"/>
                <w:b/>
                <w:bCs/>
                <w:color w:val="21A5DD"/>
              </w:rPr>
            </w:pPr>
            <w:r w:rsidRPr="009763E8">
              <w:rPr>
                <w:rFonts w:cs="Calibri"/>
                <w:b/>
                <w:bCs/>
                <w:color w:val="0070C0"/>
              </w:rPr>
              <w:t>Email</w:t>
            </w:r>
          </w:p>
        </w:tc>
        <w:tc>
          <w:tcPr>
            <w:tcW w:w="1814" w:type="dxa"/>
          </w:tcPr>
          <w:p w14:paraId="70F4BF6E" w14:textId="77777777" w:rsidR="009763E8" w:rsidRPr="009763E8" w:rsidRDefault="009763E8" w:rsidP="00EE2A80">
            <w:pPr>
              <w:rPr>
                <w:rFonts w:cs="Calibri"/>
                <w:b/>
                <w:bCs/>
                <w:color w:val="21A5DD"/>
              </w:rPr>
            </w:pPr>
            <w:r w:rsidRPr="009763E8">
              <w:rPr>
                <w:rFonts w:cs="Calibri"/>
                <w:b/>
                <w:bCs/>
                <w:color w:val="0070C0"/>
              </w:rPr>
              <w:t>Phone</w:t>
            </w:r>
          </w:p>
        </w:tc>
      </w:tr>
      <w:tr w:rsidR="009763E8" w:rsidRPr="009763E8" w14:paraId="3C66FA78" w14:textId="77777777" w:rsidTr="00EE2A80">
        <w:tc>
          <w:tcPr>
            <w:tcW w:w="1980" w:type="dxa"/>
          </w:tcPr>
          <w:p w14:paraId="35F9B00B" w14:textId="26E6F0B2" w:rsidR="009763E8" w:rsidRPr="009763E8" w:rsidRDefault="009763E8" w:rsidP="00EE2A80">
            <w:pPr>
              <w:rPr>
                <w:rFonts w:cs="Calibri"/>
              </w:rPr>
            </w:pPr>
            <w:r w:rsidRPr="009763E8">
              <w:rPr>
                <w:rFonts w:cs="Calibri"/>
              </w:rPr>
              <w:t xml:space="preserve">ICB Designated Nurse for Safeguarding Children  </w:t>
            </w:r>
          </w:p>
        </w:tc>
        <w:tc>
          <w:tcPr>
            <w:tcW w:w="1559" w:type="dxa"/>
          </w:tcPr>
          <w:p w14:paraId="46E35C5B" w14:textId="77777777" w:rsidR="009763E8" w:rsidRPr="009763E8" w:rsidRDefault="009763E8" w:rsidP="00EE2A80">
            <w:pPr>
              <w:rPr>
                <w:rFonts w:cs="Calibri"/>
              </w:rPr>
            </w:pPr>
            <w:r w:rsidRPr="009763E8">
              <w:rPr>
                <w:rFonts w:cs="Calibri"/>
              </w:rPr>
              <w:t>Lyn Glover</w:t>
            </w:r>
          </w:p>
        </w:tc>
        <w:tc>
          <w:tcPr>
            <w:tcW w:w="5103" w:type="dxa"/>
          </w:tcPr>
          <w:p w14:paraId="1B5AD80B" w14:textId="77777777" w:rsidR="009763E8" w:rsidRPr="009763E8" w:rsidRDefault="00000000" w:rsidP="00EE2A80">
            <w:pPr>
              <w:rPr>
                <w:rFonts w:cs="Calibri"/>
              </w:rPr>
            </w:pPr>
            <w:hyperlink r:id="rId12" w:history="1">
              <w:r w:rsidR="009763E8" w:rsidRPr="009763E8">
                <w:rPr>
                  <w:rStyle w:val="Hyperlink"/>
                  <w:rFonts w:cs="Calibri"/>
                </w:rPr>
                <w:t>lynglover@nhs.net</w:t>
              </w:r>
            </w:hyperlink>
          </w:p>
          <w:p w14:paraId="071ECE54" w14:textId="77777777" w:rsidR="009763E8" w:rsidRPr="009763E8" w:rsidRDefault="009763E8" w:rsidP="00EE2A80">
            <w:pPr>
              <w:rPr>
                <w:rFonts w:cs="Calibri"/>
              </w:rPr>
            </w:pPr>
          </w:p>
        </w:tc>
        <w:tc>
          <w:tcPr>
            <w:tcW w:w="1814" w:type="dxa"/>
          </w:tcPr>
          <w:p w14:paraId="43DE2610" w14:textId="77777777" w:rsidR="009763E8" w:rsidRPr="009763E8" w:rsidRDefault="009763E8" w:rsidP="00EE2A80">
            <w:pPr>
              <w:rPr>
                <w:rFonts w:cs="Calibri"/>
              </w:rPr>
            </w:pPr>
            <w:r w:rsidRPr="009763E8">
              <w:rPr>
                <w:rFonts w:cs="Calibri"/>
              </w:rPr>
              <w:t>07741 377959</w:t>
            </w:r>
          </w:p>
        </w:tc>
      </w:tr>
      <w:tr w:rsidR="009763E8" w:rsidRPr="009763E8" w14:paraId="63FDE629" w14:textId="77777777" w:rsidTr="00EE2A80">
        <w:tc>
          <w:tcPr>
            <w:tcW w:w="1980" w:type="dxa"/>
          </w:tcPr>
          <w:p w14:paraId="55A3B272" w14:textId="4AC72EBB" w:rsidR="009763E8" w:rsidRPr="009763E8" w:rsidRDefault="009763E8" w:rsidP="00EE2A80">
            <w:pPr>
              <w:rPr>
                <w:rFonts w:cs="Calibri"/>
              </w:rPr>
            </w:pPr>
            <w:r w:rsidRPr="009763E8">
              <w:rPr>
                <w:rFonts w:cs="Calibri"/>
              </w:rPr>
              <w:t>ELFT Named Professional for Safeguarding Children</w:t>
            </w:r>
          </w:p>
        </w:tc>
        <w:tc>
          <w:tcPr>
            <w:tcW w:w="1559" w:type="dxa"/>
          </w:tcPr>
          <w:p w14:paraId="0401ABFD" w14:textId="77777777" w:rsidR="009763E8" w:rsidRPr="009763E8" w:rsidRDefault="009763E8" w:rsidP="00EE2A80">
            <w:pPr>
              <w:rPr>
                <w:rFonts w:cs="Calibri"/>
              </w:rPr>
            </w:pPr>
            <w:r w:rsidRPr="009763E8">
              <w:rPr>
                <w:rFonts w:cs="Calibri"/>
              </w:rPr>
              <w:t>Gurinder Lall</w:t>
            </w:r>
          </w:p>
        </w:tc>
        <w:tc>
          <w:tcPr>
            <w:tcW w:w="5103" w:type="dxa"/>
          </w:tcPr>
          <w:p w14:paraId="4F2FC3F4" w14:textId="77777777" w:rsidR="009763E8" w:rsidRPr="009763E8" w:rsidRDefault="00000000" w:rsidP="00EE2A80">
            <w:pPr>
              <w:rPr>
                <w:rFonts w:cs="Calibri"/>
              </w:rPr>
            </w:pPr>
            <w:hyperlink r:id="rId13" w:history="1">
              <w:r w:rsidR="009763E8" w:rsidRPr="009763E8">
                <w:rPr>
                  <w:rStyle w:val="Hyperlink"/>
                  <w:rFonts w:cs="Calibri"/>
                </w:rPr>
                <w:t>gurinder.lall@nhs.net</w:t>
              </w:r>
            </w:hyperlink>
          </w:p>
          <w:p w14:paraId="767D4692" w14:textId="77777777" w:rsidR="009763E8" w:rsidRPr="009763E8" w:rsidRDefault="009763E8" w:rsidP="00EE2A80">
            <w:pPr>
              <w:rPr>
                <w:rFonts w:cs="Calibri"/>
              </w:rPr>
            </w:pPr>
          </w:p>
        </w:tc>
        <w:tc>
          <w:tcPr>
            <w:tcW w:w="1814" w:type="dxa"/>
          </w:tcPr>
          <w:p w14:paraId="3F095490" w14:textId="77777777" w:rsidR="009763E8" w:rsidRPr="009763E8" w:rsidRDefault="009763E8" w:rsidP="00EE2A80">
            <w:pPr>
              <w:rPr>
                <w:rFonts w:cs="Calibri"/>
              </w:rPr>
            </w:pPr>
            <w:r w:rsidRPr="009763E8">
              <w:rPr>
                <w:rFonts w:cs="Calibri"/>
              </w:rPr>
              <w:t>020 8121 5356</w:t>
            </w:r>
          </w:p>
        </w:tc>
      </w:tr>
      <w:tr w:rsidR="009763E8" w:rsidRPr="009763E8" w14:paraId="2AE1F615" w14:textId="77777777" w:rsidTr="00EE2A80">
        <w:tc>
          <w:tcPr>
            <w:tcW w:w="1980" w:type="dxa"/>
          </w:tcPr>
          <w:p w14:paraId="1E73A889" w14:textId="77777777" w:rsidR="009763E8" w:rsidRPr="009763E8" w:rsidRDefault="009763E8" w:rsidP="00EE2A80">
            <w:pPr>
              <w:rPr>
                <w:rFonts w:cs="Calibri"/>
              </w:rPr>
            </w:pPr>
            <w:r w:rsidRPr="009763E8">
              <w:rPr>
                <w:rFonts w:cs="Calibri"/>
              </w:rPr>
              <w:t>Barts Health Head of Safeguarding Adults and Children</w:t>
            </w:r>
          </w:p>
        </w:tc>
        <w:tc>
          <w:tcPr>
            <w:tcW w:w="1559" w:type="dxa"/>
          </w:tcPr>
          <w:p w14:paraId="561549FD" w14:textId="77777777" w:rsidR="009763E8" w:rsidRPr="009763E8" w:rsidRDefault="009763E8" w:rsidP="00EE2A80">
            <w:pPr>
              <w:rPr>
                <w:rFonts w:cs="Calibri"/>
              </w:rPr>
            </w:pPr>
            <w:r w:rsidRPr="009763E8">
              <w:rPr>
                <w:rFonts w:cs="Calibri"/>
              </w:rPr>
              <w:t xml:space="preserve">Clare Hughes </w:t>
            </w:r>
          </w:p>
        </w:tc>
        <w:tc>
          <w:tcPr>
            <w:tcW w:w="5103" w:type="dxa"/>
          </w:tcPr>
          <w:p w14:paraId="09C44DEC" w14:textId="77777777" w:rsidR="009763E8" w:rsidRPr="009763E8" w:rsidRDefault="00000000" w:rsidP="00EE2A80">
            <w:pPr>
              <w:rPr>
                <w:rFonts w:cs="Calibri"/>
              </w:rPr>
            </w:pPr>
            <w:hyperlink r:id="rId14" w:history="1">
              <w:r w:rsidR="009763E8" w:rsidRPr="009763E8">
                <w:rPr>
                  <w:rStyle w:val="Hyperlink"/>
                  <w:rFonts w:cs="Calibri"/>
                </w:rPr>
                <w:t>clare.hughes@nhs.net</w:t>
              </w:r>
            </w:hyperlink>
            <w:r w:rsidR="009763E8" w:rsidRPr="009763E8">
              <w:rPr>
                <w:rFonts w:cs="Calibri"/>
              </w:rPr>
              <w:t xml:space="preserve"> </w:t>
            </w:r>
          </w:p>
        </w:tc>
        <w:tc>
          <w:tcPr>
            <w:tcW w:w="1814" w:type="dxa"/>
          </w:tcPr>
          <w:p w14:paraId="4AEE167F" w14:textId="77777777" w:rsidR="009763E8" w:rsidRPr="009763E8" w:rsidRDefault="009763E8" w:rsidP="00EE2A80">
            <w:pPr>
              <w:rPr>
                <w:rFonts w:cs="Calibri"/>
              </w:rPr>
            </w:pPr>
            <w:r w:rsidRPr="009763E8">
              <w:rPr>
                <w:rFonts w:cs="Calibri"/>
              </w:rPr>
              <w:t>07917266621</w:t>
            </w:r>
          </w:p>
        </w:tc>
      </w:tr>
      <w:tr w:rsidR="009763E8" w:rsidRPr="009763E8" w14:paraId="2F5CDBCC" w14:textId="77777777" w:rsidTr="00EE2A80">
        <w:tc>
          <w:tcPr>
            <w:tcW w:w="1980" w:type="dxa"/>
          </w:tcPr>
          <w:p w14:paraId="3EA4232D" w14:textId="61A743F0" w:rsidR="009763E8" w:rsidRPr="009763E8" w:rsidRDefault="009763E8" w:rsidP="00EE2A80">
            <w:pPr>
              <w:rPr>
                <w:rFonts w:cs="Calibri"/>
              </w:rPr>
            </w:pPr>
            <w:r w:rsidRPr="009763E8">
              <w:rPr>
                <w:rFonts w:cs="Calibri"/>
              </w:rPr>
              <w:t>GPCG Named Nurse for Safeguarding Children</w:t>
            </w:r>
          </w:p>
        </w:tc>
        <w:tc>
          <w:tcPr>
            <w:tcW w:w="1559" w:type="dxa"/>
          </w:tcPr>
          <w:p w14:paraId="39E650C3" w14:textId="79881831" w:rsidR="009763E8" w:rsidRPr="009763E8" w:rsidRDefault="009763E8" w:rsidP="00EE2A80">
            <w:pPr>
              <w:rPr>
                <w:rFonts w:cs="Calibri"/>
              </w:rPr>
            </w:pPr>
            <w:r w:rsidRPr="009763E8">
              <w:rPr>
                <w:rFonts w:cs="Calibri"/>
              </w:rPr>
              <w:t>Chris Hahn</w:t>
            </w:r>
          </w:p>
        </w:tc>
        <w:tc>
          <w:tcPr>
            <w:tcW w:w="5103" w:type="dxa"/>
          </w:tcPr>
          <w:p w14:paraId="53B51365" w14:textId="16E55B9E" w:rsidR="009763E8" w:rsidRPr="009763E8" w:rsidRDefault="00000000" w:rsidP="00EE2A80">
            <w:hyperlink r:id="rId15" w:history="1">
              <w:r w:rsidR="009763E8" w:rsidRPr="009763E8">
                <w:rPr>
                  <w:rStyle w:val="Hyperlink"/>
                  <w:lang w:val="en-US"/>
                </w:rPr>
                <w:t>chrishahn@nhs.net</w:t>
              </w:r>
            </w:hyperlink>
          </w:p>
        </w:tc>
        <w:tc>
          <w:tcPr>
            <w:tcW w:w="1814" w:type="dxa"/>
          </w:tcPr>
          <w:p w14:paraId="64B5D943" w14:textId="2C62D576" w:rsidR="009763E8" w:rsidRPr="009763E8" w:rsidRDefault="009763E8" w:rsidP="00EE2A80">
            <w:pPr>
              <w:rPr>
                <w:rFonts w:cs="Calibri"/>
              </w:rPr>
            </w:pPr>
            <w:r w:rsidRPr="009763E8">
              <w:rPr>
                <w:rFonts w:cs="Calibri"/>
                <w:lang w:val="fr-FR"/>
              </w:rPr>
              <w:t>07395790850</w:t>
            </w:r>
          </w:p>
        </w:tc>
      </w:tr>
    </w:tbl>
    <w:p w14:paraId="39AA4557" w14:textId="77777777" w:rsidR="009763E8" w:rsidRPr="009763E8" w:rsidRDefault="009763E8" w:rsidP="009763E8">
      <w:pPr>
        <w:rPr>
          <w:b/>
          <w:bCs/>
          <w:color w:val="21A5DD"/>
        </w:rPr>
      </w:pPr>
    </w:p>
    <w:tbl>
      <w:tblPr>
        <w:tblStyle w:val="TableGrid"/>
        <w:tblW w:w="0" w:type="auto"/>
        <w:tblLook w:val="04A0" w:firstRow="1" w:lastRow="0" w:firstColumn="1" w:lastColumn="0" w:noHBand="0" w:noVBand="1"/>
      </w:tblPr>
      <w:tblGrid>
        <w:gridCol w:w="1980"/>
        <w:gridCol w:w="1559"/>
        <w:gridCol w:w="5103"/>
        <w:gridCol w:w="1814"/>
      </w:tblGrid>
      <w:tr w:rsidR="009763E8" w:rsidRPr="009763E8" w14:paraId="4BA87539" w14:textId="77777777" w:rsidTr="00EE2A80">
        <w:tc>
          <w:tcPr>
            <w:tcW w:w="1980" w:type="dxa"/>
          </w:tcPr>
          <w:p w14:paraId="5432FFE8" w14:textId="77777777" w:rsidR="009763E8" w:rsidRPr="009763E8" w:rsidRDefault="009763E8" w:rsidP="00EE2A80">
            <w:pPr>
              <w:rPr>
                <w:b/>
                <w:bCs/>
                <w:color w:val="21A5DD"/>
              </w:rPr>
            </w:pPr>
            <w:r w:rsidRPr="009763E8">
              <w:rPr>
                <w:b/>
                <w:bCs/>
                <w:color w:val="0070C0"/>
              </w:rPr>
              <w:t>Police</w:t>
            </w:r>
          </w:p>
        </w:tc>
        <w:tc>
          <w:tcPr>
            <w:tcW w:w="1559" w:type="dxa"/>
          </w:tcPr>
          <w:p w14:paraId="4390574D" w14:textId="77777777" w:rsidR="009763E8" w:rsidRPr="009763E8" w:rsidRDefault="009763E8" w:rsidP="00EE2A80">
            <w:pPr>
              <w:rPr>
                <w:b/>
                <w:bCs/>
                <w:color w:val="21A5DD"/>
              </w:rPr>
            </w:pPr>
            <w:r w:rsidRPr="009763E8">
              <w:rPr>
                <w:b/>
                <w:bCs/>
                <w:color w:val="0070C0"/>
              </w:rPr>
              <w:t xml:space="preserve">Name </w:t>
            </w:r>
          </w:p>
        </w:tc>
        <w:tc>
          <w:tcPr>
            <w:tcW w:w="5103" w:type="dxa"/>
          </w:tcPr>
          <w:p w14:paraId="1371EDA8" w14:textId="77777777" w:rsidR="009763E8" w:rsidRPr="009763E8" w:rsidRDefault="009763E8" w:rsidP="00EE2A80">
            <w:pPr>
              <w:rPr>
                <w:b/>
                <w:bCs/>
                <w:color w:val="21A5DD"/>
              </w:rPr>
            </w:pPr>
            <w:r w:rsidRPr="009763E8">
              <w:rPr>
                <w:b/>
                <w:bCs/>
                <w:color w:val="0070C0"/>
              </w:rPr>
              <w:t xml:space="preserve">Email </w:t>
            </w:r>
          </w:p>
        </w:tc>
        <w:tc>
          <w:tcPr>
            <w:tcW w:w="1814" w:type="dxa"/>
          </w:tcPr>
          <w:p w14:paraId="14B700DA" w14:textId="77777777" w:rsidR="009763E8" w:rsidRPr="009763E8" w:rsidRDefault="009763E8" w:rsidP="00EE2A80">
            <w:pPr>
              <w:rPr>
                <w:b/>
                <w:bCs/>
                <w:color w:val="21A5DD"/>
              </w:rPr>
            </w:pPr>
            <w:r w:rsidRPr="009763E8">
              <w:rPr>
                <w:b/>
                <w:bCs/>
                <w:color w:val="0070C0"/>
              </w:rPr>
              <w:t>Phone</w:t>
            </w:r>
            <w:r w:rsidRPr="009763E8">
              <w:rPr>
                <w:b/>
                <w:bCs/>
                <w:color w:val="21A5DD"/>
              </w:rPr>
              <w:t xml:space="preserve"> </w:t>
            </w:r>
          </w:p>
        </w:tc>
      </w:tr>
      <w:tr w:rsidR="009763E8" w:rsidRPr="009763E8" w14:paraId="32E69514" w14:textId="77777777" w:rsidTr="00EE2A80">
        <w:tc>
          <w:tcPr>
            <w:tcW w:w="1980" w:type="dxa"/>
          </w:tcPr>
          <w:p w14:paraId="18A5F73B" w14:textId="77777777" w:rsidR="009763E8" w:rsidRPr="009763E8" w:rsidRDefault="009763E8" w:rsidP="00EE2A80">
            <w:pPr>
              <w:autoSpaceDE w:val="0"/>
              <w:autoSpaceDN w:val="0"/>
              <w:spacing w:after="160"/>
              <w:rPr>
                <w:rFonts w:cstheme="minorHAnsi"/>
                <w:color w:val="0E478C"/>
              </w:rPr>
            </w:pPr>
            <w:r w:rsidRPr="009763E8">
              <w:rPr>
                <w:rFonts w:cstheme="minorHAnsi"/>
              </w:rPr>
              <w:t>Detective Chief Superintendent</w:t>
            </w:r>
          </w:p>
        </w:tc>
        <w:tc>
          <w:tcPr>
            <w:tcW w:w="1559" w:type="dxa"/>
          </w:tcPr>
          <w:p w14:paraId="320A5F03" w14:textId="77777777" w:rsidR="009763E8" w:rsidRPr="009763E8" w:rsidRDefault="009763E8" w:rsidP="00EE2A80">
            <w:r w:rsidRPr="009763E8">
              <w:t>James Conway</w:t>
            </w:r>
          </w:p>
        </w:tc>
        <w:tc>
          <w:tcPr>
            <w:tcW w:w="5103" w:type="dxa"/>
          </w:tcPr>
          <w:p w14:paraId="52EBC1FE" w14:textId="77777777" w:rsidR="009763E8" w:rsidRPr="009763E8" w:rsidRDefault="00000000" w:rsidP="00EE2A80">
            <w:hyperlink r:id="rId16" w:history="1">
              <w:r w:rsidR="009763E8" w:rsidRPr="009763E8">
                <w:rPr>
                  <w:rStyle w:val="Hyperlink"/>
                </w:rPr>
                <w:t>James.Conway@met.police.uk</w:t>
              </w:r>
            </w:hyperlink>
            <w:r w:rsidR="009763E8" w:rsidRPr="009763E8">
              <w:t xml:space="preserve"> </w:t>
            </w:r>
          </w:p>
        </w:tc>
        <w:tc>
          <w:tcPr>
            <w:tcW w:w="1814" w:type="dxa"/>
          </w:tcPr>
          <w:p w14:paraId="397E0730" w14:textId="77777777" w:rsidR="009763E8" w:rsidRPr="009763E8" w:rsidRDefault="009763E8" w:rsidP="00EE2A80">
            <w:r w:rsidRPr="009763E8">
              <w:t>020 7230 3111</w:t>
            </w:r>
          </w:p>
        </w:tc>
      </w:tr>
      <w:tr w:rsidR="009763E8" w:rsidRPr="009763E8" w14:paraId="780F0A4E" w14:textId="77777777" w:rsidTr="00EE2A80">
        <w:tc>
          <w:tcPr>
            <w:tcW w:w="1980" w:type="dxa"/>
          </w:tcPr>
          <w:p w14:paraId="52F1F588" w14:textId="77777777" w:rsidR="009763E8" w:rsidRPr="009763E8" w:rsidRDefault="009763E8" w:rsidP="00EE2A80">
            <w:r w:rsidRPr="009763E8">
              <w:lastRenderedPageBreak/>
              <w:t>Detective Chief Inspector</w:t>
            </w:r>
          </w:p>
        </w:tc>
        <w:tc>
          <w:tcPr>
            <w:tcW w:w="1559" w:type="dxa"/>
          </w:tcPr>
          <w:p w14:paraId="2765575F" w14:textId="77777777" w:rsidR="009763E8" w:rsidRPr="009763E8" w:rsidRDefault="009763E8" w:rsidP="00EE2A80">
            <w:r w:rsidRPr="009763E8">
              <w:t>Ralph Coates</w:t>
            </w:r>
          </w:p>
        </w:tc>
        <w:tc>
          <w:tcPr>
            <w:tcW w:w="5103" w:type="dxa"/>
          </w:tcPr>
          <w:p w14:paraId="75D59FBD" w14:textId="77777777" w:rsidR="009763E8" w:rsidRPr="009763E8" w:rsidRDefault="00000000" w:rsidP="00EE2A80">
            <w:hyperlink r:id="rId17" w:history="1">
              <w:r w:rsidR="009763E8" w:rsidRPr="009763E8">
                <w:rPr>
                  <w:rStyle w:val="Hyperlink"/>
                </w:rPr>
                <w:t>Ralph.Coates@met.police.uk</w:t>
              </w:r>
            </w:hyperlink>
            <w:r w:rsidR="009763E8" w:rsidRPr="009763E8">
              <w:t xml:space="preserve"> </w:t>
            </w:r>
          </w:p>
        </w:tc>
        <w:tc>
          <w:tcPr>
            <w:tcW w:w="1814" w:type="dxa"/>
          </w:tcPr>
          <w:p w14:paraId="1F5E19C3" w14:textId="77777777" w:rsidR="009763E8" w:rsidRPr="009763E8" w:rsidRDefault="009763E8" w:rsidP="00EE2A80"/>
        </w:tc>
      </w:tr>
    </w:tbl>
    <w:p w14:paraId="765DB8E6" w14:textId="77777777" w:rsidR="00491F58" w:rsidRDefault="00491F58"/>
    <w:sectPr w:rsidR="00491F58" w:rsidSect="00976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73C8"/>
    <w:multiLevelType w:val="hybridMultilevel"/>
    <w:tmpl w:val="FB20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41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E8"/>
    <w:rsid w:val="00132A01"/>
    <w:rsid w:val="001B2C29"/>
    <w:rsid w:val="003E6266"/>
    <w:rsid w:val="00491F58"/>
    <w:rsid w:val="009763E8"/>
    <w:rsid w:val="00AA38BA"/>
    <w:rsid w:val="00F10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3135"/>
  <w15:chartTrackingRefBased/>
  <w15:docId w15:val="{6D8380BD-D20C-4C6F-9D47-6F27EEBF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E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76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3E8"/>
    <w:rPr>
      <w:rFonts w:eastAsiaTheme="majorEastAsia" w:cstheme="majorBidi"/>
      <w:color w:val="272727" w:themeColor="text1" w:themeTint="D8"/>
    </w:rPr>
  </w:style>
  <w:style w:type="paragraph" w:styleId="Title">
    <w:name w:val="Title"/>
    <w:basedOn w:val="Normal"/>
    <w:next w:val="Normal"/>
    <w:link w:val="TitleChar"/>
    <w:uiPriority w:val="10"/>
    <w:qFormat/>
    <w:rsid w:val="00976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3E8"/>
    <w:pPr>
      <w:spacing w:before="160"/>
      <w:jc w:val="center"/>
    </w:pPr>
    <w:rPr>
      <w:i/>
      <w:iCs/>
      <w:color w:val="404040" w:themeColor="text1" w:themeTint="BF"/>
    </w:rPr>
  </w:style>
  <w:style w:type="character" w:customStyle="1" w:styleId="QuoteChar">
    <w:name w:val="Quote Char"/>
    <w:basedOn w:val="DefaultParagraphFont"/>
    <w:link w:val="Quote"/>
    <w:uiPriority w:val="29"/>
    <w:rsid w:val="009763E8"/>
    <w:rPr>
      <w:i/>
      <w:iCs/>
      <w:color w:val="404040" w:themeColor="text1" w:themeTint="BF"/>
    </w:rPr>
  </w:style>
  <w:style w:type="paragraph" w:styleId="ListParagraph">
    <w:name w:val="List Paragraph"/>
    <w:basedOn w:val="Normal"/>
    <w:uiPriority w:val="34"/>
    <w:qFormat/>
    <w:rsid w:val="009763E8"/>
    <w:pPr>
      <w:ind w:left="720"/>
      <w:contextualSpacing/>
    </w:pPr>
  </w:style>
  <w:style w:type="character" w:styleId="IntenseEmphasis">
    <w:name w:val="Intense Emphasis"/>
    <w:basedOn w:val="DefaultParagraphFont"/>
    <w:uiPriority w:val="21"/>
    <w:qFormat/>
    <w:rsid w:val="009763E8"/>
    <w:rPr>
      <w:i/>
      <w:iCs/>
      <w:color w:val="0F4761" w:themeColor="accent1" w:themeShade="BF"/>
    </w:rPr>
  </w:style>
  <w:style w:type="paragraph" w:styleId="IntenseQuote">
    <w:name w:val="Intense Quote"/>
    <w:basedOn w:val="Normal"/>
    <w:next w:val="Normal"/>
    <w:link w:val="IntenseQuoteChar"/>
    <w:uiPriority w:val="30"/>
    <w:qFormat/>
    <w:rsid w:val="00976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3E8"/>
    <w:rPr>
      <w:i/>
      <w:iCs/>
      <w:color w:val="0F4761" w:themeColor="accent1" w:themeShade="BF"/>
    </w:rPr>
  </w:style>
  <w:style w:type="character" w:styleId="IntenseReference">
    <w:name w:val="Intense Reference"/>
    <w:basedOn w:val="DefaultParagraphFont"/>
    <w:uiPriority w:val="32"/>
    <w:qFormat/>
    <w:rsid w:val="009763E8"/>
    <w:rPr>
      <w:b/>
      <w:bCs/>
      <w:smallCaps/>
      <w:color w:val="0F4761" w:themeColor="accent1" w:themeShade="BF"/>
      <w:spacing w:val="5"/>
    </w:rPr>
  </w:style>
  <w:style w:type="table" w:styleId="TableGrid">
    <w:name w:val="Table Grid"/>
    <w:basedOn w:val="TableNormal"/>
    <w:uiPriority w:val="39"/>
    <w:rsid w:val="009763E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3E8"/>
    <w:rPr>
      <w:color w:val="467886" w:themeColor="hyperlink"/>
      <w:u w:val="single"/>
    </w:rPr>
  </w:style>
  <w:style w:type="character" w:styleId="UnresolvedMention">
    <w:name w:val="Unresolved Mention"/>
    <w:basedOn w:val="DefaultParagraphFont"/>
    <w:uiPriority w:val="99"/>
    <w:semiHidden/>
    <w:unhideWhenUsed/>
    <w:rsid w:val="0097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1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on.ibrahim-osman@towerhamlets.gov.uk" TargetMode="External"/><Relationship Id="rId13" Type="http://schemas.openxmlformats.org/officeDocument/2006/relationships/hyperlink" Target="mailto:gurinder.lall@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QA@towerhamlets.gov.uk" TargetMode="External"/><Relationship Id="rId12" Type="http://schemas.openxmlformats.org/officeDocument/2006/relationships/hyperlink" Target="mailto:lynglover@nhs.net" TargetMode="External"/><Relationship Id="rId17" Type="http://schemas.openxmlformats.org/officeDocument/2006/relationships/hyperlink" Target="mailto:Ralph.Coates@met.police.uk" TargetMode="External"/><Relationship Id="rId2" Type="http://schemas.openxmlformats.org/officeDocument/2006/relationships/styles" Target="styles.xml"/><Relationship Id="rId16" Type="http://schemas.openxmlformats.org/officeDocument/2006/relationships/hyperlink" Target="mailto:James.Conway@met.police.uk" TargetMode="External"/><Relationship Id="rId1" Type="http://schemas.openxmlformats.org/officeDocument/2006/relationships/numbering" Target="numbering.xml"/><Relationship Id="rId6" Type="http://schemas.openxmlformats.org/officeDocument/2006/relationships/hyperlink" Target="mailto:THSCP@towerhamlets.gov.uk" TargetMode="External"/><Relationship Id="rId11" Type="http://schemas.openxmlformats.org/officeDocument/2006/relationships/hyperlink" Target="mailto:susannah.beasley-murray@towerhamlets.gov.uk" TargetMode="External"/><Relationship Id="rId5" Type="http://schemas.openxmlformats.org/officeDocument/2006/relationships/image" Target="media/image1.png"/><Relationship Id="rId15" Type="http://schemas.openxmlformats.org/officeDocument/2006/relationships/hyperlink" Target="mailto:chrishahn@nhs.net" TargetMode="External"/><Relationship Id="rId10" Type="http://schemas.openxmlformats.org/officeDocument/2006/relationships/hyperlink" Target="mailto:sharifa.chowdhury@towerhamlets.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T@towerhamlets.gov.uk" TargetMode="External"/><Relationship Id="rId14" Type="http://schemas.openxmlformats.org/officeDocument/2006/relationships/hyperlink" Target="mailto:clare.hugh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Multi-Agency Escalation Policy</dc:title>
  <dc:subject/>
  <dc:creator>Alice Jones</dc:creator>
  <cp:keywords/>
  <dc:description/>
  <cp:lastModifiedBy>Phillip Nduoyo</cp:lastModifiedBy>
  <cp:revision>3</cp:revision>
  <dcterms:created xsi:type="dcterms:W3CDTF">2024-09-24T12:54:00Z</dcterms:created>
  <dcterms:modified xsi:type="dcterms:W3CDTF">2024-09-30T14:29:00Z</dcterms:modified>
</cp:coreProperties>
</file>