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B58C" w14:textId="77777777" w:rsidR="00F96AFF" w:rsidRPr="009A163F" w:rsidRDefault="00F96AFF">
      <w:pPr>
        <w:spacing w:before="120" w:line="240" w:lineRule="auto"/>
        <w:jc w:val="center"/>
        <w:rPr>
          <w:b/>
          <w:color w:val="000000"/>
        </w:rPr>
      </w:pPr>
      <w:bookmarkStart w:id="0" w:name="DOC_ID_0"/>
      <w:bookmarkStart w:id="1" w:name="DOC_ID_0_0"/>
      <w:bookmarkEnd w:id="0"/>
      <w:bookmarkEnd w:id="1"/>
      <w:r w:rsidRPr="009A163F">
        <w:rPr>
          <w:b/>
          <w:color w:val="000000"/>
        </w:rPr>
        <w:t xml:space="preserve">THE LONDON BOROUGH OF TOWER HAMLETS (CHRISP STREET) </w:t>
      </w:r>
    </w:p>
    <w:p w14:paraId="4B8477F4" w14:textId="77777777" w:rsidR="00F96AFF" w:rsidRPr="009A163F" w:rsidRDefault="00F96AFF">
      <w:pPr>
        <w:spacing w:before="120" w:line="240" w:lineRule="auto"/>
        <w:jc w:val="center"/>
        <w:rPr>
          <w:b/>
          <w:color w:val="000000"/>
        </w:rPr>
      </w:pPr>
      <w:r w:rsidRPr="009A163F">
        <w:rPr>
          <w:b/>
          <w:color w:val="000000"/>
        </w:rPr>
        <w:t>COMPULSORY PURCHASE ORDER 2021</w:t>
      </w:r>
    </w:p>
    <w:p w14:paraId="33FA990B" w14:textId="77777777" w:rsidR="00F96AFF" w:rsidRPr="009A163F" w:rsidRDefault="00F96AFF">
      <w:pPr>
        <w:spacing w:before="120" w:line="240" w:lineRule="auto"/>
        <w:jc w:val="center"/>
        <w:rPr>
          <w:b/>
          <w:color w:val="000000"/>
        </w:rPr>
      </w:pPr>
    </w:p>
    <w:p w14:paraId="2FCE06D3" w14:textId="3B325CF5" w:rsidR="00D60D9E" w:rsidRPr="009A163F" w:rsidRDefault="00D60D9E">
      <w:pPr>
        <w:spacing w:before="120" w:line="240" w:lineRule="auto"/>
        <w:jc w:val="center"/>
        <w:rPr>
          <w:color w:val="000000"/>
        </w:rPr>
      </w:pPr>
      <w:r w:rsidRPr="009A163F">
        <w:rPr>
          <w:b/>
          <w:color w:val="000000"/>
        </w:rPr>
        <w:t>GENERAL VESTING DECLARATION</w:t>
      </w:r>
      <w:r w:rsidR="00F96AFF" w:rsidRPr="009A163F">
        <w:rPr>
          <w:b/>
          <w:color w:val="000000"/>
        </w:rPr>
        <w:t xml:space="preserve"> </w:t>
      </w:r>
      <w:r w:rsidR="00140B01">
        <w:rPr>
          <w:b/>
          <w:color w:val="000000"/>
        </w:rPr>
        <w:t>2</w:t>
      </w:r>
    </w:p>
    <w:p w14:paraId="0DE89F9A" w14:textId="77777777" w:rsidR="00307778" w:rsidRPr="009A163F" w:rsidRDefault="00307778">
      <w:pPr>
        <w:spacing w:before="120" w:line="240" w:lineRule="auto"/>
        <w:jc w:val="center"/>
        <w:rPr>
          <w:color w:val="000000"/>
        </w:rPr>
      </w:pPr>
    </w:p>
    <w:p w14:paraId="111E3DDE" w14:textId="60392B81" w:rsidR="00DF26C8" w:rsidRPr="00496159" w:rsidRDefault="009A163F" w:rsidP="00496159">
      <w:pPr>
        <w:spacing w:after="240"/>
      </w:pPr>
      <w:r w:rsidRPr="009A163F">
        <w:rPr>
          <w:color w:val="000000"/>
        </w:rPr>
        <w:t xml:space="preserve">This </w:t>
      </w:r>
      <w:r w:rsidRPr="009A163F">
        <w:rPr>
          <w:b/>
          <w:color w:val="000000"/>
        </w:rPr>
        <w:t>GENERAL VESTING</w:t>
      </w:r>
      <w:r w:rsidRPr="009A163F">
        <w:rPr>
          <w:color w:val="000000"/>
        </w:rPr>
        <w:t xml:space="preserve"> </w:t>
      </w:r>
      <w:r w:rsidRPr="009A163F">
        <w:rPr>
          <w:b/>
          <w:color w:val="000000"/>
        </w:rPr>
        <w:t>DECLARATION</w:t>
      </w:r>
      <w:r w:rsidRPr="009A163F">
        <w:rPr>
          <w:color w:val="000000"/>
        </w:rPr>
        <w:t xml:space="preserve"> is executed on the day of </w:t>
      </w:r>
      <w:r w:rsidR="001F6B45">
        <w:rPr>
          <w:color w:val="000000"/>
        </w:rPr>
        <w:t xml:space="preserve">November </w:t>
      </w:r>
      <w:r w:rsidRPr="009A163F">
        <w:rPr>
          <w:color w:val="000000"/>
        </w:rPr>
        <w:t>2022 by the London Borough of Tower Hamlets ('the Authority')</w:t>
      </w:r>
      <w:r w:rsidR="001F6B45">
        <w:rPr>
          <w:color w:val="000000"/>
        </w:rPr>
        <w:t>.</w:t>
      </w:r>
    </w:p>
    <w:p w14:paraId="50381968" w14:textId="77777777" w:rsidR="00D60D9E" w:rsidRPr="009A163F" w:rsidRDefault="009A163F" w:rsidP="009A163F">
      <w:pPr>
        <w:keepNext/>
        <w:spacing w:after="240"/>
      </w:pPr>
      <w:r w:rsidRPr="009A163F">
        <w:rPr>
          <w:b/>
          <w:color w:val="000000"/>
        </w:rPr>
        <w:t>WHEREAS:</w:t>
      </w:r>
    </w:p>
    <w:p w14:paraId="1333879F" w14:textId="77777777" w:rsidR="00D60D9E" w:rsidRPr="009A163F" w:rsidRDefault="004B0912" w:rsidP="004B0912">
      <w:pPr>
        <w:spacing w:after="240"/>
        <w:ind w:left="992" w:hanging="992"/>
      </w:pPr>
      <w:r w:rsidRPr="009A163F">
        <w:t>(1)</w:t>
      </w:r>
      <w:r w:rsidRPr="009A163F">
        <w:tab/>
      </w:r>
      <w:r w:rsidR="00D60D9E" w:rsidRPr="009A163F">
        <w:t xml:space="preserve">On </w:t>
      </w:r>
      <w:r w:rsidR="00DF26C8" w:rsidRPr="009A163F">
        <w:t>14 July 202</w:t>
      </w:r>
      <w:r w:rsidR="0025625F" w:rsidRPr="009A163F">
        <w:t>2</w:t>
      </w:r>
      <w:r w:rsidR="00DF26C8" w:rsidRPr="009A163F">
        <w:t xml:space="preserve"> </w:t>
      </w:r>
      <w:r w:rsidR="00D60D9E" w:rsidRPr="009A163F">
        <w:t>an order entitled the</w:t>
      </w:r>
      <w:r w:rsidR="00DF26C8" w:rsidRPr="009A163F">
        <w:rPr>
          <w:b/>
        </w:rPr>
        <w:t xml:space="preserve"> </w:t>
      </w:r>
      <w:r w:rsidR="00DF26C8" w:rsidRPr="009A163F">
        <w:t>London Borough of Tower Hamlets (Chrisp Street) Compulsory Purchase Order 2021</w:t>
      </w:r>
      <w:r w:rsidR="00DF26C8" w:rsidRPr="009A163F">
        <w:rPr>
          <w:b/>
        </w:rPr>
        <w:t xml:space="preserve"> </w:t>
      </w:r>
      <w:r w:rsidR="00D60D9E" w:rsidRPr="009A163F">
        <w:t>was confirmed by</w:t>
      </w:r>
      <w:r w:rsidR="00DF26C8" w:rsidRPr="009A163F">
        <w:t xml:space="preserve"> </w:t>
      </w:r>
      <w:r w:rsidR="0025625F" w:rsidRPr="009A163F">
        <w:t xml:space="preserve">the </w:t>
      </w:r>
      <w:r w:rsidR="00DF26C8" w:rsidRPr="009A163F">
        <w:t>London Borough of Tower Hamlets</w:t>
      </w:r>
      <w:r w:rsidR="00D60D9E" w:rsidRPr="009A163F">
        <w:t xml:space="preserve"> under the powers conferred on them by the </w:t>
      </w:r>
      <w:r w:rsidR="00DF26C8" w:rsidRPr="009A163F">
        <w:t>Town and C</w:t>
      </w:r>
      <w:r w:rsidR="008A15C3" w:rsidRPr="009A163F">
        <w:t xml:space="preserve">ountry Planning Act 1990 and the Local Government (Miscellaneous Provisions) Act 1976 </w:t>
      </w:r>
      <w:r w:rsidR="00D60D9E" w:rsidRPr="009A163F">
        <w:t>authorising the Authority to acquire the land specified in the Schedule hereto.</w:t>
      </w:r>
    </w:p>
    <w:p w14:paraId="3AE69443" w14:textId="77777777" w:rsidR="00D60D9E" w:rsidRPr="009A163F" w:rsidRDefault="004B0912" w:rsidP="004B0912">
      <w:pPr>
        <w:spacing w:after="240"/>
        <w:ind w:left="992" w:hanging="992"/>
      </w:pPr>
      <w:r w:rsidRPr="009A163F">
        <w:t>(2)</w:t>
      </w:r>
      <w:r w:rsidRPr="009A163F">
        <w:tab/>
      </w:r>
      <w:r w:rsidR="00D60D9E" w:rsidRPr="009A163F">
        <w:t xml:space="preserve">Notice of the confirmation of the order was first published in accordance with </w:t>
      </w:r>
      <w:hyperlink r:id="rId7" w:history="1">
        <w:r w:rsidR="00D60D9E" w:rsidRPr="009A163F">
          <w:t>section 15</w:t>
        </w:r>
      </w:hyperlink>
      <w:r w:rsidR="00D60D9E" w:rsidRPr="009A163F">
        <w:t xml:space="preserve"> of the Acquisition of Land Act 1981</w:t>
      </w:r>
      <w:r w:rsidR="00BB1C08" w:rsidRPr="009A163F">
        <w:rPr>
          <w:b/>
        </w:rPr>
        <w:t xml:space="preserve"> </w:t>
      </w:r>
      <w:r w:rsidR="00D60D9E" w:rsidRPr="009A163F">
        <w:t xml:space="preserve">on </w:t>
      </w:r>
      <w:r w:rsidR="00BB1C08" w:rsidRPr="009A163F">
        <w:t>14 July 202</w:t>
      </w:r>
      <w:r w:rsidR="0025625F" w:rsidRPr="009A163F">
        <w:t>2</w:t>
      </w:r>
      <w:r w:rsidR="00BB1C08" w:rsidRPr="009A163F">
        <w:t xml:space="preserve">. </w:t>
      </w:r>
      <w:r w:rsidR="00D60D9E" w:rsidRPr="009A163F">
        <w:t xml:space="preserve"> </w:t>
      </w:r>
    </w:p>
    <w:p w14:paraId="3AD29C57" w14:textId="593C7F25" w:rsidR="00BB1C08" w:rsidRPr="009A163F" w:rsidRDefault="004B0912" w:rsidP="004B0912">
      <w:pPr>
        <w:spacing w:after="240"/>
        <w:ind w:left="992" w:hanging="992"/>
      </w:pPr>
      <w:r w:rsidRPr="009A163F">
        <w:t>(3)</w:t>
      </w:r>
      <w:r w:rsidRPr="009A163F">
        <w:tab/>
      </w:r>
      <w:r w:rsidR="00D60D9E" w:rsidRPr="009A163F">
        <w:t xml:space="preserve">That notice included the statement and form prescribed under </w:t>
      </w:r>
      <w:hyperlink r:id="rId8" w:history="1">
        <w:r w:rsidR="00D60D9E" w:rsidRPr="009A163F">
          <w:t>section 15(4)(e) and (f)</w:t>
        </w:r>
      </w:hyperlink>
      <w:r w:rsidR="00D60D9E" w:rsidRPr="009A163F">
        <w:t xml:space="preserve"> of the Acquisition of Land Act 1981</w:t>
      </w:r>
      <w:r w:rsidR="00BB1C08" w:rsidRPr="009A163F">
        <w:t>.</w:t>
      </w:r>
    </w:p>
    <w:p w14:paraId="3CC492D1" w14:textId="5CEB63F0" w:rsidR="00D60D9E" w:rsidRPr="009A163F" w:rsidRDefault="00D60D9E" w:rsidP="009A163F">
      <w:pPr>
        <w:spacing w:after="240"/>
        <w:rPr>
          <w:color w:val="000000"/>
        </w:rPr>
      </w:pPr>
      <w:r w:rsidRPr="009A163F">
        <w:rPr>
          <w:color w:val="000000"/>
        </w:rPr>
        <w:t xml:space="preserve">NOW THIS DEED WITNESSETH that, in exercise of the powers conferred on them by </w:t>
      </w:r>
      <w:hyperlink r:id="rId9" w:history="1">
        <w:r w:rsidRPr="009A163F">
          <w:rPr>
            <w:color w:val="000000"/>
          </w:rPr>
          <w:t>section 4</w:t>
        </w:r>
      </w:hyperlink>
      <w:r w:rsidRPr="009A163F">
        <w:rPr>
          <w:color w:val="000000"/>
        </w:rPr>
        <w:t xml:space="preserve"> of the Compulsory Purchase (Vesting Declarations) Act 1981 (</w:t>
      </w:r>
      <w:r w:rsidR="009A163F" w:rsidRPr="009A163F">
        <w:rPr>
          <w:color w:val="000000"/>
        </w:rPr>
        <w:t>'</w:t>
      </w:r>
      <w:r w:rsidRPr="009A163F">
        <w:rPr>
          <w:color w:val="000000"/>
        </w:rPr>
        <w:t>the Act</w:t>
      </w:r>
      <w:r w:rsidR="009A163F" w:rsidRPr="009A163F">
        <w:rPr>
          <w:color w:val="000000"/>
        </w:rPr>
        <w:t>'</w:t>
      </w:r>
      <w:r w:rsidRPr="009A163F">
        <w:rPr>
          <w:color w:val="000000"/>
        </w:rPr>
        <w:t>), the Authority hereby declare—</w:t>
      </w:r>
    </w:p>
    <w:p w14:paraId="4C7EF476" w14:textId="2AFD1F44" w:rsidR="00DF26C8" w:rsidRPr="009A163F" w:rsidRDefault="00D60D9E" w:rsidP="00496159">
      <w:pPr>
        <w:spacing w:after="240"/>
      </w:pPr>
      <w:r w:rsidRPr="009A163F">
        <w:t xml:space="preserve">The land described in the Schedule hereto (being part of the land authorised to be acquired by the order) and more particularly delineated on the plan annexed hereto, together with the right to enter and take possession of the land shall vest in the Authority as from the end of the period of </w:t>
      </w:r>
      <w:r w:rsidR="00DF26C8" w:rsidRPr="009A163F">
        <w:t xml:space="preserve">three months from the </w:t>
      </w:r>
      <w:r w:rsidRPr="009A163F">
        <w:t>date on which the service of notices required by section 6 of the Act is completed.</w:t>
      </w:r>
    </w:p>
    <w:p w14:paraId="3D7531F4" w14:textId="77777777" w:rsidR="00D60D9E" w:rsidRPr="009A163F" w:rsidRDefault="004B0912" w:rsidP="00496159">
      <w:pPr>
        <w:keepNext/>
        <w:spacing w:after="240"/>
        <w:jc w:val="center"/>
      </w:pPr>
      <w:r w:rsidRPr="009A163F">
        <w:rPr>
          <w:b/>
        </w:rPr>
        <w:t>Schedule 1</w:t>
      </w:r>
    </w:p>
    <w:tbl>
      <w:tblPr>
        <w:tblStyle w:val="TableGridLight"/>
        <w:tblW w:w="0" w:type="auto"/>
        <w:tblLook w:val="04A0" w:firstRow="1" w:lastRow="0" w:firstColumn="1" w:lastColumn="0" w:noHBand="0" w:noVBand="1"/>
      </w:tblPr>
      <w:tblGrid>
        <w:gridCol w:w="1748"/>
        <w:gridCol w:w="7654"/>
      </w:tblGrid>
      <w:tr w:rsidR="00F96AFF" w:rsidRPr="009A163F" w14:paraId="50717154" w14:textId="77777777" w:rsidTr="00B7652B">
        <w:tc>
          <w:tcPr>
            <w:tcW w:w="1748" w:type="dxa"/>
          </w:tcPr>
          <w:p w14:paraId="540A245F" w14:textId="77777777" w:rsidR="00F96AFF" w:rsidRPr="001F6B45" w:rsidRDefault="009A163F" w:rsidP="001F6B45">
            <w:pPr>
              <w:spacing w:before="120"/>
              <w:rPr>
                <w:b/>
                <w:color w:val="000000"/>
              </w:rPr>
            </w:pPr>
            <w:bookmarkStart w:id="2" w:name="_Hlk117780451"/>
            <w:r w:rsidRPr="009A163F">
              <w:rPr>
                <w:b/>
                <w:color w:val="000000"/>
              </w:rPr>
              <w:t>Plan reference</w:t>
            </w:r>
          </w:p>
        </w:tc>
        <w:tc>
          <w:tcPr>
            <w:tcW w:w="7654" w:type="dxa"/>
          </w:tcPr>
          <w:p w14:paraId="24223C56" w14:textId="77777777" w:rsidR="00F96AFF" w:rsidRPr="009A163F" w:rsidRDefault="00F96AFF" w:rsidP="001F6B45">
            <w:pPr>
              <w:spacing w:before="120"/>
              <w:rPr>
                <w:b/>
                <w:color w:val="000000"/>
              </w:rPr>
            </w:pPr>
            <w:r w:rsidRPr="009A163F">
              <w:rPr>
                <w:b/>
                <w:color w:val="000000"/>
              </w:rPr>
              <w:t>Description</w:t>
            </w:r>
          </w:p>
        </w:tc>
      </w:tr>
      <w:tr w:rsidR="0044659A" w:rsidRPr="009A163F" w14:paraId="03D26E27" w14:textId="77777777" w:rsidTr="00B7652B">
        <w:tc>
          <w:tcPr>
            <w:tcW w:w="1748" w:type="dxa"/>
          </w:tcPr>
          <w:p w14:paraId="44E45268" w14:textId="39FC9066" w:rsidR="0044659A" w:rsidRPr="00165F2D" w:rsidRDefault="0044659A" w:rsidP="00165F2D">
            <w:pPr>
              <w:spacing w:before="120"/>
              <w:jc w:val="center"/>
              <w:rPr>
                <w:color w:val="000000"/>
              </w:rPr>
            </w:pPr>
            <w:r w:rsidRPr="00165F2D">
              <w:t>56</w:t>
            </w:r>
          </w:p>
        </w:tc>
        <w:tc>
          <w:tcPr>
            <w:tcW w:w="7654" w:type="dxa"/>
          </w:tcPr>
          <w:p w14:paraId="063A40BE" w14:textId="293C725F" w:rsidR="0044659A" w:rsidRPr="00165F2D" w:rsidRDefault="0044659A" w:rsidP="0044659A">
            <w:pPr>
              <w:spacing w:before="120"/>
              <w:rPr>
                <w:color w:val="000000"/>
              </w:rPr>
            </w:pPr>
            <w:r w:rsidRPr="00165F2D">
              <w:t>Flat 32, Fitzgerald House, 169 East India Dock Road, London, E14 0HH (in respect of ninth floor flat).</w:t>
            </w:r>
          </w:p>
        </w:tc>
      </w:tr>
      <w:tr w:rsidR="006519A3" w:rsidRPr="009A163F" w14:paraId="07C1ADE5" w14:textId="77777777" w:rsidTr="00B7652B">
        <w:tc>
          <w:tcPr>
            <w:tcW w:w="1748" w:type="dxa"/>
          </w:tcPr>
          <w:p w14:paraId="7C7945F2" w14:textId="77777777" w:rsidR="006519A3" w:rsidRPr="00165F2D" w:rsidRDefault="006519A3" w:rsidP="00165F2D">
            <w:pPr>
              <w:spacing w:before="120"/>
              <w:jc w:val="center"/>
              <w:rPr>
                <w:color w:val="000000"/>
              </w:rPr>
            </w:pPr>
            <w:r w:rsidRPr="00165F2D">
              <w:rPr>
                <w:color w:val="000000"/>
              </w:rPr>
              <w:t>56</w:t>
            </w:r>
          </w:p>
        </w:tc>
        <w:tc>
          <w:tcPr>
            <w:tcW w:w="7654" w:type="dxa"/>
          </w:tcPr>
          <w:p w14:paraId="537D44B5" w14:textId="77777777" w:rsidR="006519A3" w:rsidRPr="00165F2D" w:rsidRDefault="006519A3" w:rsidP="00D81DB3">
            <w:pPr>
              <w:spacing w:before="120"/>
              <w:rPr>
                <w:color w:val="000000"/>
              </w:rPr>
            </w:pPr>
            <w:r w:rsidRPr="00165F2D">
              <w:rPr>
                <w:color w:val="000000"/>
              </w:rPr>
              <w:t>Flat 48 Fitzgerald House, 169 East India Dock Road, London E14 0HH (in respect of thirteenth floor flat).</w:t>
            </w:r>
          </w:p>
        </w:tc>
      </w:tr>
      <w:tr w:rsidR="00D454BD" w:rsidRPr="009A163F" w14:paraId="52AE1C1C" w14:textId="77777777" w:rsidTr="00B7652B">
        <w:tc>
          <w:tcPr>
            <w:tcW w:w="1748" w:type="dxa"/>
          </w:tcPr>
          <w:p w14:paraId="3F9371DA" w14:textId="6E5BFA32" w:rsidR="00D454BD" w:rsidRPr="00165F2D" w:rsidRDefault="00D454BD" w:rsidP="00165F2D">
            <w:pPr>
              <w:spacing w:before="120"/>
              <w:jc w:val="center"/>
              <w:rPr>
                <w:color w:val="000000"/>
              </w:rPr>
            </w:pPr>
            <w:r w:rsidRPr="00165F2D">
              <w:t>48</w:t>
            </w:r>
          </w:p>
        </w:tc>
        <w:tc>
          <w:tcPr>
            <w:tcW w:w="7654" w:type="dxa"/>
          </w:tcPr>
          <w:p w14:paraId="1683A06C" w14:textId="1F35D87F" w:rsidR="00D454BD" w:rsidRPr="00165F2D" w:rsidRDefault="00D454BD" w:rsidP="00D454BD">
            <w:pPr>
              <w:spacing w:before="120"/>
              <w:rPr>
                <w:color w:val="000000"/>
              </w:rPr>
            </w:pPr>
            <w:r w:rsidRPr="00165F2D">
              <w:t xml:space="preserve">37 Market Square, London E14 6BU (in respect of first and second floor flat and roof garden). </w:t>
            </w:r>
          </w:p>
        </w:tc>
      </w:tr>
      <w:tr w:rsidR="002243AE" w:rsidRPr="009A163F" w14:paraId="641DF279" w14:textId="77777777" w:rsidTr="00B7652B">
        <w:tc>
          <w:tcPr>
            <w:tcW w:w="1748" w:type="dxa"/>
          </w:tcPr>
          <w:p w14:paraId="74AB299B" w14:textId="1FE4519E" w:rsidR="002243AE" w:rsidRPr="00165F2D" w:rsidRDefault="002243AE" w:rsidP="00165F2D">
            <w:pPr>
              <w:spacing w:before="120"/>
              <w:jc w:val="center"/>
            </w:pPr>
            <w:r w:rsidRPr="00165F2D">
              <w:t>48</w:t>
            </w:r>
          </w:p>
        </w:tc>
        <w:tc>
          <w:tcPr>
            <w:tcW w:w="7654" w:type="dxa"/>
          </w:tcPr>
          <w:p w14:paraId="65680F40" w14:textId="43F74644" w:rsidR="002243AE" w:rsidRPr="00165F2D" w:rsidRDefault="002243AE" w:rsidP="002243AE">
            <w:pPr>
              <w:spacing w:before="120"/>
            </w:pPr>
            <w:r w:rsidRPr="00165F2D">
              <w:t xml:space="preserve">38 Market Square, London E14 6BU (in respect of first and second floor flat). </w:t>
            </w:r>
          </w:p>
        </w:tc>
      </w:tr>
      <w:tr w:rsidR="00F33C73" w:rsidRPr="009A163F" w14:paraId="7839296E" w14:textId="77777777" w:rsidTr="00B7652B">
        <w:tc>
          <w:tcPr>
            <w:tcW w:w="1748" w:type="dxa"/>
          </w:tcPr>
          <w:p w14:paraId="2213195F" w14:textId="7D172970" w:rsidR="00F33C73" w:rsidRPr="00165F2D" w:rsidRDefault="00F33C73" w:rsidP="00165F2D">
            <w:pPr>
              <w:spacing w:before="120"/>
              <w:jc w:val="center"/>
            </w:pPr>
            <w:r w:rsidRPr="00165F2D">
              <w:t>48</w:t>
            </w:r>
          </w:p>
        </w:tc>
        <w:tc>
          <w:tcPr>
            <w:tcW w:w="7654" w:type="dxa"/>
          </w:tcPr>
          <w:p w14:paraId="51C11B17" w14:textId="15121DD5" w:rsidR="00F33C73" w:rsidRPr="00165F2D" w:rsidRDefault="00F33C73" w:rsidP="00F33C73">
            <w:pPr>
              <w:spacing w:before="120"/>
            </w:pPr>
            <w:r w:rsidRPr="00165F2D">
              <w:t xml:space="preserve">44 Market Square, London E14 6BU (in respect of first and second floors). </w:t>
            </w:r>
          </w:p>
        </w:tc>
      </w:tr>
      <w:tr w:rsidR="009D12F5" w:rsidRPr="009A163F" w14:paraId="7D5A87A1" w14:textId="77777777" w:rsidTr="00B7652B">
        <w:tc>
          <w:tcPr>
            <w:tcW w:w="1748" w:type="dxa"/>
          </w:tcPr>
          <w:p w14:paraId="785DD8E7" w14:textId="3CAA6056" w:rsidR="009D12F5" w:rsidRPr="00165F2D" w:rsidRDefault="009D12F5" w:rsidP="00165F2D">
            <w:pPr>
              <w:spacing w:before="120"/>
              <w:jc w:val="center"/>
            </w:pPr>
            <w:r w:rsidRPr="00165F2D">
              <w:t>48</w:t>
            </w:r>
          </w:p>
        </w:tc>
        <w:tc>
          <w:tcPr>
            <w:tcW w:w="7654" w:type="dxa"/>
          </w:tcPr>
          <w:p w14:paraId="43570B55" w14:textId="6F3E8FD1" w:rsidR="009D12F5" w:rsidRPr="00165F2D" w:rsidRDefault="009D12F5" w:rsidP="009D12F5">
            <w:pPr>
              <w:spacing w:before="120"/>
            </w:pPr>
            <w:r w:rsidRPr="00165F2D">
              <w:t>47 Market Square, Chrisp Street, London, E14 6BU.</w:t>
            </w:r>
          </w:p>
        </w:tc>
      </w:tr>
      <w:bookmarkEnd w:id="2"/>
    </w:tbl>
    <w:p w14:paraId="633A6078" w14:textId="77777777" w:rsidR="00DF26C8" w:rsidRPr="009A163F" w:rsidRDefault="00DF26C8">
      <w:pPr>
        <w:spacing w:line="240" w:lineRule="auto"/>
        <w:rPr>
          <w:b/>
          <w:vertAlign w:val="superscript"/>
        </w:rPr>
      </w:pPr>
    </w:p>
    <w:p w14:paraId="2AC0F3B4" w14:textId="77777777" w:rsidR="00495777" w:rsidRPr="009A163F" w:rsidRDefault="00495777">
      <w:pPr>
        <w:spacing w:line="240" w:lineRule="auto"/>
      </w:pPr>
    </w:p>
    <w:p w14:paraId="475216EF" w14:textId="77777777" w:rsidR="00815526" w:rsidRPr="009A163F" w:rsidRDefault="00495777" w:rsidP="00815526">
      <w:pPr>
        <w:spacing w:line="240" w:lineRule="auto"/>
      </w:pPr>
      <w:bookmarkStart w:id="3" w:name="_Hlk116295972"/>
      <w:r w:rsidRPr="009A163F">
        <w:t>The Common Seal of the Mayor and</w:t>
      </w:r>
      <w:r w:rsidR="00815526" w:rsidRPr="009A163F">
        <w:t xml:space="preserve">  </w:t>
      </w:r>
    </w:p>
    <w:p w14:paraId="3346A0CC" w14:textId="77777777" w:rsidR="00815526" w:rsidRPr="009A163F" w:rsidRDefault="00495777" w:rsidP="00815526">
      <w:pPr>
        <w:spacing w:line="240" w:lineRule="auto"/>
      </w:pPr>
      <w:r w:rsidRPr="009A163F">
        <w:t>Burgesses Of the London Borough of</w:t>
      </w:r>
      <w:r w:rsidR="00815526" w:rsidRPr="009A163F">
        <w:t xml:space="preserve">  </w:t>
      </w:r>
    </w:p>
    <w:p w14:paraId="37938102" w14:textId="77777777" w:rsidR="00815526" w:rsidRPr="009A163F" w:rsidRDefault="00495777" w:rsidP="00815526">
      <w:pPr>
        <w:spacing w:line="240" w:lineRule="auto"/>
      </w:pPr>
      <w:r w:rsidRPr="009A163F">
        <w:t xml:space="preserve">Tower Hamlets was </w:t>
      </w:r>
      <w:r w:rsidR="00815526" w:rsidRPr="009A163F">
        <w:t>h</w:t>
      </w:r>
      <w:r w:rsidRPr="009A163F">
        <w:t xml:space="preserve">ereunto affixed in </w:t>
      </w:r>
    </w:p>
    <w:p w14:paraId="30C90DD5" w14:textId="77777777" w:rsidR="00495777" w:rsidRPr="009A163F" w:rsidRDefault="00495777" w:rsidP="00815526">
      <w:pPr>
        <w:spacing w:line="240" w:lineRule="auto"/>
      </w:pPr>
      <w:r w:rsidRPr="009A163F">
        <w:t xml:space="preserve">the presence </w:t>
      </w:r>
      <w:proofErr w:type="gramStart"/>
      <w:r w:rsidRPr="009A163F">
        <w:t>of:-</w:t>
      </w:r>
      <w:proofErr w:type="gramEnd"/>
      <w:r w:rsidRPr="009A163F">
        <w:t xml:space="preserve">       </w:t>
      </w:r>
      <w:r w:rsidR="00815526" w:rsidRPr="009A163F">
        <w:t xml:space="preserve">           </w:t>
      </w:r>
      <w:r w:rsidRPr="009A163F">
        <w:t xml:space="preserve">    </w:t>
      </w:r>
    </w:p>
    <w:p w14:paraId="2C2471A2" w14:textId="77777777" w:rsidR="00495777" w:rsidRPr="009A163F" w:rsidRDefault="00495777">
      <w:pPr>
        <w:spacing w:line="240" w:lineRule="auto"/>
      </w:pPr>
    </w:p>
    <w:p w14:paraId="0D2811BF" w14:textId="77777777" w:rsidR="00495777" w:rsidRPr="009A163F" w:rsidRDefault="00495777">
      <w:pPr>
        <w:spacing w:line="240" w:lineRule="auto"/>
      </w:pPr>
      <w:r w:rsidRPr="009A163F">
        <w:t>…………………………………………………</w:t>
      </w:r>
    </w:p>
    <w:p w14:paraId="553D8136" w14:textId="77777777" w:rsidR="00495777" w:rsidRPr="009A163F" w:rsidRDefault="00815526">
      <w:pPr>
        <w:spacing w:line="240" w:lineRule="auto"/>
      </w:pPr>
      <w:r w:rsidRPr="009A163F">
        <w:t>Authorised</w:t>
      </w:r>
      <w:r w:rsidR="00495777" w:rsidRPr="009A163F">
        <w:t xml:space="preserve"> </w:t>
      </w:r>
      <w:r w:rsidRPr="009A163F">
        <w:t>signatory</w:t>
      </w:r>
      <w:r w:rsidR="00495777" w:rsidRPr="009A163F">
        <w:t xml:space="preserve"> </w:t>
      </w:r>
    </w:p>
    <w:p w14:paraId="3392D0A1" w14:textId="77777777" w:rsidR="00495777" w:rsidRPr="009A163F" w:rsidRDefault="00495777">
      <w:pPr>
        <w:spacing w:line="240" w:lineRule="auto"/>
      </w:pPr>
    </w:p>
    <w:p w14:paraId="225A8C6D" w14:textId="77777777" w:rsidR="00D60D9E" w:rsidRPr="009A163F" w:rsidRDefault="00495777" w:rsidP="009A163F">
      <w:pPr>
        <w:spacing w:after="240"/>
      </w:pPr>
      <w:r w:rsidRPr="009A163F">
        <w:t>Dated</w:t>
      </w:r>
      <w:r w:rsidR="00815526" w:rsidRPr="009A163F">
        <w:t xml:space="preserve"> is …….</w:t>
      </w:r>
      <w:proofErr w:type="gramStart"/>
      <w:r w:rsidR="00815526" w:rsidRPr="009A163F">
        <w:t>….day</w:t>
      </w:r>
      <w:proofErr w:type="gramEnd"/>
      <w:r w:rsidR="00815526" w:rsidRPr="009A163F">
        <w:t xml:space="preserve"> of …………… …2022</w:t>
      </w:r>
      <w:bookmarkEnd w:id="3"/>
    </w:p>
    <w:sectPr w:rsidR="00D60D9E" w:rsidRPr="009A163F" w:rsidSect="00AE4D63">
      <w:footerReference w:type="default" r:id="rId10"/>
      <w:pgSz w:w="11906" w:h="16838" w:code="9"/>
      <w:pgMar w:top="709" w:right="1247" w:bottom="709" w:left="1247" w:header="709" w:footer="6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01C0" w14:textId="77777777" w:rsidR="00496159" w:rsidRDefault="00496159">
      <w:pPr>
        <w:pStyle w:val="EndnoteText"/>
      </w:pPr>
      <w:r>
        <w:separator/>
      </w:r>
    </w:p>
  </w:endnote>
  <w:endnote w:type="continuationSeparator" w:id="0">
    <w:p w14:paraId="01DD06DD" w14:textId="77777777" w:rsidR="00496159" w:rsidRDefault="00496159">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669B" w14:textId="30F7B083" w:rsidR="001041A6" w:rsidRPr="00487A69" w:rsidRDefault="001338AC">
    <w:pPr>
      <w:pStyle w:val="Footer"/>
      <w:pBdr>
        <w:top w:val="single" w:sz="6" w:space="4" w:color="auto"/>
      </w:pBdr>
    </w:pPr>
    <w:r w:rsidRPr="00487A69">
      <w:fldChar w:fldCharType="begin"/>
    </w:r>
    <w:r w:rsidRPr="00487A69">
      <w:instrText xml:space="preserve"> DOCPROPERTY </w:instrText>
    </w:r>
    <w:r>
      <w:instrText>"Ref"</w:instrText>
    </w:r>
    <w:r w:rsidRPr="00487A69">
      <w:instrText xml:space="preserve"> \* MERGEFORMAT </w:instrText>
    </w:r>
    <w:r w:rsidRPr="00487A69">
      <w:fldChar w:fldCharType="separate"/>
    </w:r>
    <w:r w:rsidR="00CC105E">
      <w:t>THL.157101393.1</w:t>
    </w:r>
    <w:r w:rsidRPr="00487A69">
      <w:fldChar w:fldCharType="end"/>
    </w:r>
    <w:r w:rsidRPr="00487A69">
      <w:tab/>
    </w:r>
    <w:r w:rsidRPr="00487A69">
      <w:fldChar w:fldCharType="begin"/>
    </w:r>
    <w:r w:rsidRPr="00487A69">
      <w:instrText xml:space="preserve"> PAGE </w:instrText>
    </w:r>
    <w:r w:rsidRPr="00487A69">
      <w:fldChar w:fldCharType="separate"/>
    </w:r>
    <w:r>
      <w:rPr>
        <w:noProof/>
      </w:rPr>
      <w:t>1</w:t>
    </w:r>
    <w:r w:rsidRPr="00487A69">
      <w:fldChar w:fldCharType="end"/>
    </w:r>
    <w:r w:rsidRPr="00487A69">
      <w:tab/>
    </w:r>
    <w:r w:rsidRPr="00487A69">
      <w:fldChar w:fldCharType="begin"/>
    </w:r>
    <w:r w:rsidRPr="00487A69">
      <w:instrText xml:space="preserve"> DOCPROPERTY </w:instrText>
    </w:r>
    <w:r>
      <w:instrText>"OurRef"</w:instrText>
    </w:r>
    <w:r w:rsidRPr="00487A69">
      <w:instrText xml:space="preserve"> \* MERGEFORMAT </w:instrText>
    </w:r>
    <w:r w:rsidRPr="00487A69">
      <w:fldChar w:fldCharType="separate"/>
    </w:r>
    <w:r w:rsidR="00496159">
      <w:t>RGB.044425.00183</w:t>
    </w:r>
    <w:r w:rsidRPr="00487A6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2C4D8" w14:textId="77777777" w:rsidR="00496159" w:rsidRDefault="00496159">
      <w:pPr>
        <w:pStyle w:val="FootnoteText"/>
      </w:pPr>
      <w:r>
        <w:separator/>
      </w:r>
    </w:p>
  </w:footnote>
  <w:footnote w:type="continuationSeparator" w:id="0">
    <w:p w14:paraId="489E83FC" w14:textId="77777777" w:rsidR="00496159" w:rsidRDefault="00496159">
      <w:pPr>
        <w:pStyle w:val="Footnot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83E52"/>
    <w:multiLevelType w:val="multilevel"/>
    <w:tmpl w:val="7EC6DD32"/>
    <w:name w:val="Parties and Introduction"/>
    <w:styleLink w:val="PartiesandIntroduction"/>
    <w:lvl w:ilvl="0">
      <w:start w:val="1"/>
      <w:numFmt w:val="decimal"/>
      <w:pStyle w:val="Parties"/>
      <w:lvlText w:val="(%1)"/>
      <w:lvlJc w:val="left"/>
      <w:pPr>
        <w:ind w:left="992" w:hanging="992"/>
      </w:pPr>
      <w:rPr>
        <w:color w:val="auto"/>
      </w:rPr>
    </w:lvl>
    <w:lvl w:ilvl="1">
      <w:start w:val="1"/>
      <w:numFmt w:val="upperLetter"/>
      <w:pStyle w:val="Introduction"/>
      <w:lvlText w:val="(%2)"/>
      <w:lvlJc w:val="left"/>
      <w:pPr>
        <w:ind w:left="992" w:hanging="992"/>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9D63A49"/>
    <w:multiLevelType w:val="multilevel"/>
    <w:tmpl w:val="0CEAD7D4"/>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A7A4AE3"/>
    <w:multiLevelType w:val="multilevel"/>
    <w:tmpl w:val="34D06A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FF87047"/>
    <w:multiLevelType w:val="multilevel"/>
    <w:tmpl w:val="23D88162"/>
    <w:name w:val="Bullets"/>
    <w:styleLink w:val="Bullets"/>
    <w:lvl w:ilvl="0">
      <w:start w:val="1"/>
      <w:numFmt w:val="bullet"/>
      <w:pStyle w:val="Bullet1"/>
      <w:lvlText w:val=""/>
      <w:lvlJc w:val="left"/>
      <w:pPr>
        <w:ind w:left="992" w:hanging="992"/>
      </w:pPr>
      <w:rPr>
        <w:rFonts w:ascii="Symbol" w:hAnsi="Symbol" w:hint="default"/>
        <w:color w:val="auto"/>
      </w:rPr>
    </w:lvl>
    <w:lvl w:ilvl="1">
      <w:start w:val="1"/>
      <w:numFmt w:val="bullet"/>
      <w:pStyle w:val="Bullet2"/>
      <w:lvlText w:val=""/>
      <w:lvlJc w:val="left"/>
      <w:pPr>
        <w:ind w:left="1984" w:hanging="992"/>
      </w:pPr>
      <w:rPr>
        <w:rFonts w:ascii="Symbol" w:hAnsi="Symbol" w:hint="default"/>
        <w:color w:val="auto"/>
      </w:rPr>
    </w:lvl>
    <w:lvl w:ilvl="2">
      <w:start w:val="1"/>
      <w:numFmt w:val="bullet"/>
      <w:pStyle w:val="Bullet3"/>
      <w:lvlText w:val=""/>
      <w:lvlJc w:val="left"/>
      <w:pPr>
        <w:ind w:left="2693" w:hanging="709"/>
      </w:pPr>
      <w:rPr>
        <w:rFonts w:ascii="Symbol" w:hAnsi="Symbol" w:hint="default"/>
        <w:color w:val="auto"/>
      </w:rPr>
    </w:lvl>
    <w:lvl w:ilvl="3">
      <w:start w:val="1"/>
      <w:numFmt w:val="bullet"/>
      <w:pStyle w:val="Bullet4"/>
      <w:lvlText w:val=""/>
      <w:lvlJc w:val="left"/>
      <w:pPr>
        <w:ind w:left="3402" w:hanging="709"/>
      </w:pPr>
      <w:rPr>
        <w:rFonts w:ascii="Symbol" w:hAnsi="Symbol" w:hint="default"/>
        <w:color w:val="auto"/>
      </w:rPr>
    </w:lvl>
    <w:lvl w:ilvl="4">
      <w:start w:val="1"/>
      <w:numFmt w:val="bullet"/>
      <w:lvlText w:val=""/>
      <w:lvlJc w:val="left"/>
      <w:pPr>
        <w:ind w:left="4961" w:hanging="992"/>
      </w:pPr>
      <w:rPr>
        <w:rFonts w:ascii="Symbol" w:hAnsi="Symbol" w:hint="default"/>
        <w:color w:val="auto"/>
      </w:rPr>
    </w:lvl>
    <w:lvl w:ilvl="5">
      <w:start w:val="1"/>
      <w:numFmt w:val="bullet"/>
      <w:lvlText w:val=""/>
      <w:lvlJc w:val="left"/>
      <w:pPr>
        <w:ind w:left="5953" w:hanging="992"/>
      </w:pPr>
      <w:rPr>
        <w:rFonts w:ascii="Symbol" w:hAnsi="Symbol" w:hint="default"/>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C0C50C5"/>
    <w:multiLevelType w:val="multilevel"/>
    <w:tmpl w:val="7E666EA2"/>
    <w:name w:val="Main Numbering"/>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1"/>
  </w:num>
  <w:num w:numId="3">
    <w:abstractNumId w:val="0"/>
  </w:num>
  <w:num w:numId="4">
    <w:abstractNumId w:val="2"/>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NotTrackFormatti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H_Brand" w:val="1"/>
  </w:docVars>
  <w:rsids>
    <w:rsidRoot w:val="00307778"/>
    <w:rsid w:val="000345C9"/>
    <w:rsid w:val="000C553E"/>
    <w:rsid w:val="000F15AE"/>
    <w:rsid w:val="0010177A"/>
    <w:rsid w:val="00115B86"/>
    <w:rsid w:val="001338AC"/>
    <w:rsid w:val="00140B01"/>
    <w:rsid w:val="00153920"/>
    <w:rsid w:val="00165F2D"/>
    <w:rsid w:val="001947FF"/>
    <w:rsid w:val="001C79E6"/>
    <w:rsid w:val="001F6B45"/>
    <w:rsid w:val="002243AE"/>
    <w:rsid w:val="0025625F"/>
    <w:rsid w:val="002B1FC8"/>
    <w:rsid w:val="002C4717"/>
    <w:rsid w:val="00307778"/>
    <w:rsid w:val="003C6D8B"/>
    <w:rsid w:val="0044659A"/>
    <w:rsid w:val="00495777"/>
    <w:rsid w:val="00496159"/>
    <w:rsid w:val="004B0912"/>
    <w:rsid w:val="00540BC7"/>
    <w:rsid w:val="00545053"/>
    <w:rsid w:val="00545D5F"/>
    <w:rsid w:val="00576E29"/>
    <w:rsid w:val="006139D7"/>
    <w:rsid w:val="00645648"/>
    <w:rsid w:val="006519A3"/>
    <w:rsid w:val="006F0677"/>
    <w:rsid w:val="00754C0F"/>
    <w:rsid w:val="00766619"/>
    <w:rsid w:val="00815526"/>
    <w:rsid w:val="008A15C3"/>
    <w:rsid w:val="00991329"/>
    <w:rsid w:val="009A163F"/>
    <w:rsid w:val="009D12F5"/>
    <w:rsid w:val="00A263AC"/>
    <w:rsid w:val="00AE4D63"/>
    <w:rsid w:val="00B724D2"/>
    <w:rsid w:val="00B7652B"/>
    <w:rsid w:val="00B9115C"/>
    <w:rsid w:val="00BB1C08"/>
    <w:rsid w:val="00BF5B09"/>
    <w:rsid w:val="00C33B81"/>
    <w:rsid w:val="00CC105E"/>
    <w:rsid w:val="00CD341D"/>
    <w:rsid w:val="00D454BD"/>
    <w:rsid w:val="00D60D9E"/>
    <w:rsid w:val="00DF26C8"/>
    <w:rsid w:val="00EE5BD4"/>
    <w:rsid w:val="00F33C73"/>
    <w:rsid w:val="00F964C4"/>
    <w:rsid w:val="00F96AFF"/>
    <w:rsid w:val="00FC66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CBE3D24"/>
  <w14:defaultImageDpi w14:val="96"/>
  <w15:docId w15:val="{5A07DBFD-E8C8-42A8-A223-7C146A5D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cs="Arial"/>
      <w:sz w:val="21"/>
    </w:rPr>
  </w:style>
  <w:style w:type="paragraph" w:styleId="Heading1">
    <w:name w:val="heading 1"/>
    <w:basedOn w:val="Normal"/>
    <w:next w:val="Normal"/>
    <w:link w:val="Heading1Char"/>
    <w:uiPriority w:val="9"/>
    <w:semiHidden/>
    <w:rsid w:val="00F20FF1"/>
    <w:pPr>
      <w:keepNext/>
      <w:keepLines/>
      <w:spacing w:before="480"/>
      <w:outlineLvl w:val="0"/>
    </w:pPr>
    <w:rPr>
      <w:rFonts w:asciiTheme="majorHAnsi" w:eastAsiaTheme="majorEastAsia" w:hAnsiTheme="majorHAnsi" w:cstheme="majorBidi"/>
      <w:b/>
      <w:bCs/>
      <w:color w:val="7F0A4B" w:themeColor="accent1" w:themeShade="BF"/>
      <w:sz w:val="28"/>
      <w:szCs w:val="28"/>
    </w:rPr>
  </w:style>
  <w:style w:type="paragraph" w:styleId="Heading2">
    <w:name w:val="heading 2"/>
    <w:basedOn w:val="Normal"/>
    <w:next w:val="Normal"/>
    <w:link w:val="Heading2Char"/>
    <w:uiPriority w:val="9"/>
    <w:semiHidden/>
    <w:unhideWhenUsed/>
    <w:rsid w:val="00F20FF1"/>
    <w:pPr>
      <w:keepNext/>
      <w:keepLines/>
      <w:spacing w:before="200"/>
      <w:outlineLvl w:val="1"/>
    </w:pPr>
    <w:rPr>
      <w:rFonts w:asciiTheme="majorHAnsi" w:eastAsiaTheme="majorEastAsia" w:hAnsiTheme="majorHAnsi" w:cstheme="majorBidi"/>
      <w:b/>
      <w:bCs/>
      <w:color w:val="AB0E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20FF1"/>
    <w:pPr>
      <w:spacing w:after="240"/>
    </w:pPr>
  </w:style>
  <w:style w:type="paragraph" w:customStyle="1" w:styleId="SubHeading">
    <w:name w:val="Sub Heading"/>
    <w:basedOn w:val="Body"/>
    <w:next w:val="Body"/>
    <w:uiPriority w:val="9"/>
    <w:rsid w:val="00F20FF1"/>
    <w:pPr>
      <w:keepNext/>
      <w:jc w:val="center"/>
    </w:pPr>
    <w:rPr>
      <w:b/>
    </w:rPr>
  </w:style>
  <w:style w:type="paragraph" w:customStyle="1" w:styleId="Body1">
    <w:name w:val="Body 1"/>
    <w:basedOn w:val="Body"/>
    <w:uiPriority w:val="14"/>
    <w:rsid w:val="00F20FF1"/>
    <w:pPr>
      <w:ind w:left="992"/>
    </w:pPr>
  </w:style>
  <w:style w:type="paragraph" w:customStyle="1" w:styleId="Body2">
    <w:name w:val="Body 2"/>
    <w:basedOn w:val="Body"/>
    <w:uiPriority w:val="14"/>
    <w:rsid w:val="00F20FF1"/>
    <w:pPr>
      <w:ind w:left="992"/>
    </w:pPr>
  </w:style>
  <w:style w:type="paragraph" w:customStyle="1" w:styleId="Body3">
    <w:name w:val="Body 3"/>
    <w:basedOn w:val="Body"/>
    <w:uiPriority w:val="14"/>
    <w:rsid w:val="00F20FF1"/>
    <w:pPr>
      <w:ind w:left="1984"/>
    </w:pPr>
  </w:style>
  <w:style w:type="paragraph" w:customStyle="1" w:styleId="Body4">
    <w:name w:val="Body 4"/>
    <w:basedOn w:val="Body"/>
    <w:uiPriority w:val="14"/>
    <w:rsid w:val="00F20FF1"/>
    <w:pPr>
      <w:ind w:left="2693"/>
    </w:pPr>
  </w:style>
  <w:style w:type="paragraph" w:customStyle="1" w:styleId="Body5">
    <w:name w:val="Body 5"/>
    <w:basedOn w:val="Body"/>
    <w:uiPriority w:val="14"/>
    <w:rsid w:val="00F20FF1"/>
    <w:pPr>
      <w:ind w:left="2693"/>
    </w:pPr>
  </w:style>
  <w:style w:type="paragraph" w:customStyle="1" w:styleId="Body6">
    <w:name w:val="Body 6"/>
    <w:basedOn w:val="Body"/>
    <w:uiPriority w:val="14"/>
    <w:rsid w:val="00F20FF1"/>
    <w:pPr>
      <w:ind w:left="2693"/>
    </w:pPr>
  </w:style>
  <w:style w:type="paragraph" w:customStyle="1" w:styleId="Body7">
    <w:name w:val="Body 7"/>
    <w:basedOn w:val="Body"/>
    <w:uiPriority w:val="14"/>
    <w:rsid w:val="00F20FF1"/>
    <w:pPr>
      <w:ind w:left="2693"/>
    </w:pPr>
  </w:style>
  <w:style w:type="numbering" w:customStyle="1" w:styleId="MainNumbering">
    <w:name w:val="Main Numbering"/>
    <w:basedOn w:val="NoList"/>
    <w:rsid w:val="00F20FF1"/>
    <w:pPr>
      <w:numPr>
        <w:numId w:val="1"/>
      </w:numPr>
    </w:pPr>
  </w:style>
  <w:style w:type="paragraph" w:customStyle="1" w:styleId="Level1">
    <w:name w:val="Level 1"/>
    <w:basedOn w:val="Body1"/>
    <w:uiPriority w:val="1"/>
    <w:rsid w:val="00F20FF1"/>
    <w:pPr>
      <w:numPr>
        <w:numId w:val="1"/>
      </w:numPr>
    </w:pPr>
  </w:style>
  <w:style w:type="character" w:customStyle="1" w:styleId="Level1asheadingtext">
    <w:name w:val="Level 1 as heading (text)"/>
    <w:basedOn w:val="DefaultParagraphFont"/>
    <w:uiPriority w:val="1"/>
    <w:rsid w:val="00F20FF1"/>
    <w:rPr>
      <w:b/>
    </w:rPr>
  </w:style>
  <w:style w:type="paragraph" w:customStyle="1" w:styleId="Level2">
    <w:name w:val="Level 2"/>
    <w:basedOn w:val="Body2"/>
    <w:uiPriority w:val="1"/>
    <w:rsid w:val="00F20FF1"/>
    <w:pPr>
      <w:numPr>
        <w:ilvl w:val="1"/>
        <w:numId w:val="1"/>
      </w:numPr>
    </w:pPr>
  </w:style>
  <w:style w:type="character" w:customStyle="1" w:styleId="Level2asheadingtext">
    <w:name w:val="Level 2 as heading (text)"/>
    <w:basedOn w:val="DefaultParagraphFont"/>
    <w:uiPriority w:val="1"/>
    <w:rsid w:val="00F20FF1"/>
    <w:rPr>
      <w:b/>
    </w:rPr>
  </w:style>
  <w:style w:type="paragraph" w:customStyle="1" w:styleId="Level3">
    <w:name w:val="Level 3"/>
    <w:basedOn w:val="Body3"/>
    <w:uiPriority w:val="1"/>
    <w:rsid w:val="00F20FF1"/>
    <w:pPr>
      <w:numPr>
        <w:ilvl w:val="2"/>
        <w:numId w:val="1"/>
      </w:numPr>
    </w:pPr>
  </w:style>
  <w:style w:type="character" w:customStyle="1" w:styleId="Level3asheadingtext">
    <w:name w:val="Level 3 as heading (text)"/>
    <w:basedOn w:val="DefaultParagraphFont"/>
    <w:uiPriority w:val="1"/>
    <w:rsid w:val="00F20FF1"/>
    <w:rPr>
      <w:b/>
    </w:rPr>
  </w:style>
  <w:style w:type="paragraph" w:customStyle="1" w:styleId="Level4">
    <w:name w:val="Level 4"/>
    <w:basedOn w:val="Body4"/>
    <w:uiPriority w:val="1"/>
    <w:rsid w:val="00F20FF1"/>
    <w:pPr>
      <w:numPr>
        <w:ilvl w:val="3"/>
        <w:numId w:val="1"/>
      </w:numPr>
    </w:pPr>
  </w:style>
  <w:style w:type="character" w:customStyle="1" w:styleId="Level4asheadingtext">
    <w:name w:val="Level 4 as heading (text)"/>
    <w:basedOn w:val="DefaultParagraphFont"/>
    <w:uiPriority w:val="1"/>
    <w:rsid w:val="00F20FF1"/>
    <w:rPr>
      <w:b/>
    </w:rPr>
  </w:style>
  <w:style w:type="paragraph" w:customStyle="1" w:styleId="Level5">
    <w:name w:val="Level 5"/>
    <w:basedOn w:val="Body5"/>
    <w:uiPriority w:val="1"/>
    <w:rsid w:val="00F20FF1"/>
    <w:pPr>
      <w:numPr>
        <w:ilvl w:val="4"/>
        <w:numId w:val="1"/>
      </w:numPr>
    </w:pPr>
  </w:style>
  <w:style w:type="character" w:customStyle="1" w:styleId="Level5asheadingtext">
    <w:name w:val="Level 5 as heading (text)"/>
    <w:basedOn w:val="DefaultParagraphFont"/>
    <w:uiPriority w:val="1"/>
    <w:rsid w:val="00F20FF1"/>
    <w:rPr>
      <w:b/>
    </w:rPr>
  </w:style>
  <w:style w:type="paragraph" w:customStyle="1" w:styleId="Level6">
    <w:name w:val="Level 6"/>
    <w:basedOn w:val="Body6"/>
    <w:uiPriority w:val="1"/>
    <w:rsid w:val="00F20FF1"/>
    <w:pPr>
      <w:numPr>
        <w:ilvl w:val="5"/>
        <w:numId w:val="1"/>
      </w:numPr>
    </w:pPr>
  </w:style>
  <w:style w:type="character" w:customStyle="1" w:styleId="Level6asheadingtext">
    <w:name w:val="Level 6 as heading (text)"/>
    <w:basedOn w:val="DefaultParagraphFont"/>
    <w:uiPriority w:val="1"/>
    <w:rsid w:val="00F20FF1"/>
    <w:rPr>
      <w:b/>
    </w:rPr>
  </w:style>
  <w:style w:type="paragraph" w:customStyle="1" w:styleId="Level7">
    <w:name w:val="Level 7"/>
    <w:basedOn w:val="Body7"/>
    <w:uiPriority w:val="1"/>
    <w:rsid w:val="00F20FF1"/>
    <w:pPr>
      <w:numPr>
        <w:ilvl w:val="6"/>
        <w:numId w:val="1"/>
      </w:numPr>
    </w:pPr>
  </w:style>
  <w:style w:type="character" w:customStyle="1" w:styleId="Level7asheadingtext">
    <w:name w:val="Level 7 as heading (text)"/>
    <w:basedOn w:val="DefaultParagraphFont"/>
    <w:uiPriority w:val="1"/>
    <w:rsid w:val="00F20FF1"/>
    <w:rPr>
      <w:b/>
    </w:rPr>
  </w:style>
  <w:style w:type="paragraph" w:customStyle="1" w:styleId="AgreedTerms">
    <w:name w:val="Agreed Terms"/>
    <w:basedOn w:val="Body"/>
    <w:next w:val="Body"/>
    <w:uiPriority w:val="99"/>
    <w:rsid w:val="007246F3"/>
    <w:rPr>
      <w:b/>
      <w:bCs/>
    </w:rPr>
  </w:style>
  <w:style w:type="paragraph" w:customStyle="1" w:styleId="AgreementTitle">
    <w:name w:val="Agreement Title"/>
    <w:basedOn w:val="Body"/>
    <w:next w:val="Body"/>
    <w:uiPriority w:val="99"/>
    <w:rsid w:val="007246F3"/>
    <w:rPr>
      <w:b/>
      <w:bCs/>
      <w:sz w:val="28"/>
      <w:szCs w:val="28"/>
    </w:rPr>
  </w:style>
  <w:style w:type="paragraph" w:customStyle="1" w:styleId="DateTitle">
    <w:name w:val="Date Title"/>
    <w:basedOn w:val="Body"/>
    <w:next w:val="Body"/>
    <w:uiPriority w:val="99"/>
    <w:rsid w:val="007246F3"/>
    <w:rPr>
      <w:b/>
      <w:bCs/>
    </w:rPr>
  </w:style>
  <w:style w:type="paragraph" w:customStyle="1" w:styleId="IntroductionTitle">
    <w:name w:val="Introduction Title"/>
    <w:basedOn w:val="Body"/>
    <w:next w:val="Introduction"/>
    <w:uiPriority w:val="99"/>
    <w:rsid w:val="007246F3"/>
    <w:rPr>
      <w:b/>
      <w:bCs/>
    </w:rPr>
  </w:style>
  <w:style w:type="paragraph" w:styleId="Footer">
    <w:name w:val="footer"/>
    <w:basedOn w:val="Normal"/>
    <w:uiPriority w:val="99"/>
    <w:semiHidden/>
    <w:pPr>
      <w:tabs>
        <w:tab w:val="center" w:pos="4706"/>
        <w:tab w:val="right" w:pos="9412"/>
      </w:tabs>
    </w:pPr>
    <w:rPr>
      <w:sz w:val="16"/>
      <w:szCs w:val="16"/>
    </w:rPr>
  </w:style>
  <w:style w:type="paragraph" w:customStyle="1" w:styleId="PartiesTitle">
    <w:name w:val="Parties Title"/>
    <w:basedOn w:val="Body"/>
    <w:next w:val="Parties"/>
    <w:uiPriority w:val="99"/>
    <w:rsid w:val="007246F3"/>
    <w:rPr>
      <w:b/>
      <w:bCs/>
    </w:rPr>
  </w:style>
  <w:style w:type="numbering" w:customStyle="1" w:styleId="CentredHeadings">
    <w:name w:val="Centred Headings"/>
    <w:basedOn w:val="NoList"/>
    <w:rsid w:val="00F20FF1"/>
    <w:pPr>
      <w:numPr>
        <w:numId w:val="2"/>
      </w:numPr>
    </w:pPr>
  </w:style>
  <w:style w:type="paragraph" w:customStyle="1" w:styleId="Schedule">
    <w:name w:val="Schedule"/>
    <w:basedOn w:val="Body"/>
    <w:next w:val="SubHeading"/>
    <w:uiPriority w:val="4"/>
    <w:rsid w:val="00F20FF1"/>
    <w:pPr>
      <w:keepNext/>
      <w:pageBreakBefore/>
      <w:numPr>
        <w:numId w:val="2"/>
      </w:numPr>
      <w:jc w:val="center"/>
    </w:pPr>
    <w:rPr>
      <w:b/>
    </w:rPr>
  </w:style>
  <w:style w:type="paragraph" w:customStyle="1" w:styleId="Appendix">
    <w:name w:val="Appendix"/>
    <w:basedOn w:val="Body"/>
    <w:next w:val="SubHeading"/>
    <w:uiPriority w:val="4"/>
    <w:rsid w:val="00F20FF1"/>
    <w:pPr>
      <w:keepNext/>
      <w:pageBreakBefore/>
      <w:numPr>
        <w:ilvl w:val="1"/>
        <w:numId w:val="2"/>
      </w:numPr>
      <w:jc w:val="center"/>
    </w:pPr>
    <w:rPr>
      <w:b/>
    </w:rPr>
  </w:style>
  <w:style w:type="paragraph" w:customStyle="1" w:styleId="Part">
    <w:name w:val="Part"/>
    <w:basedOn w:val="Body"/>
    <w:next w:val="SubHeading"/>
    <w:uiPriority w:val="4"/>
    <w:rsid w:val="00F20FF1"/>
    <w:pPr>
      <w:keepNext/>
      <w:numPr>
        <w:ilvl w:val="2"/>
        <w:numId w:val="2"/>
      </w:numPr>
      <w:jc w:val="center"/>
    </w:pPr>
    <w:rPr>
      <w:b/>
    </w:rPr>
  </w:style>
  <w:style w:type="numbering" w:customStyle="1" w:styleId="PartiesandIntroduction">
    <w:name w:val="Parties and Introduction"/>
    <w:basedOn w:val="NoList"/>
    <w:rsid w:val="00F20FF1"/>
    <w:pPr>
      <w:numPr>
        <w:numId w:val="3"/>
      </w:numPr>
    </w:pPr>
  </w:style>
  <w:style w:type="paragraph" w:customStyle="1" w:styleId="Parties">
    <w:name w:val="Parties"/>
    <w:basedOn w:val="Body"/>
    <w:uiPriority w:val="24"/>
    <w:rsid w:val="00F20FF1"/>
    <w:pPr>
      <w:numPr>
        <w:numId w:val="3"/>
      </w:numPr>
    </w:pPr>
  </w:style>
  <w:style w:type="paragraph" w:customStyle="1" w:styleId="Introduction">
    <w:name w:val="Introduction"/>
    <w:basedOn w:val="Body"/>
    <w:uiPriority w:val="24"/>
    <w:rsid w:val="00F20FF1"/>
    <w:pPr>
      <w:numPr>
        <w:ilvl w:val="1"/>
        <w:numId w:val="3"/>
      </w:numPr>
    </w:pPr>
  </w:style>
  <w:style w:type="numbering" w:customStyle="1" w:styleId="Bullets">
    <w:name w:val="Bullets"/>
    <w:basedOn w:val="NoList"/>
    <w:rsid w:val="00F20FF1"/>
    <w:pPr>
      <w:numPr>
        <w:numId w:val="6"/>
      </w:numPr>
    </w:pPr>
  </w:style>
  <w:style w:type="paragraph" w:customStyle="1" w:styleId="Bullet1">
    <w:name w:val="Bullet 1"/>
    <w:basedOn w:val="Body"/>
    <w:uiPriority w:val="39"/>
    <w:rsid w:val="00F20FF1"/>
    <w:pPr>
      <w:numPr>
        <w:numId w:val="6"/>
      </w:numPr>
    </w:pPr>
  </w:style>
  <w:style w:type="paragraph" w:customStyle="1" w:styleId="Bullet2">
    <w:name w:val="Bullet 2"/>
    <w:basedOn w:val="Body"/>
    <w:uiPriority w:val="39"/>
    <w:rsid w:val="00F20FF1"/>
    <w:pPr>
      <w:numPr>
        <w:ilvl w:val="1"/>
        <w:numId w:val="6"/>
      </w:numPr>
    </w:pPr>
  </w:style>
  <w:style w:type="paragraph" w:customStyle="1" w:styleId="Bullet3">
    <w:name w:val="Bullet 3"/>
    <w:basedOn w:val="Body"/>
    <w:uiPriority w:val="39"/>
    <w:rsid w:val="00F20FF1"/>
    <w:pPr>
      <w:numPr>
        <w:ilvl w:val="2"/>
        <w:numId w:val="6"/>
      </w:numPr>
    </w:pPr>
  </w:style>
  <w:style w:type="paragraph" w:customStyle="1" w:styleId="Bullet4">
    <w:name w:val="Bullet 4"/>
    <w:basedOn w:val="Body"/>
    <w:uiPriority w:val="39"/>
    <w:rsid w:val="00F20FF1"/>
    <w:pPr>
      <w:numPr>
        <w:ilvl w:val="3"/>
        <w:numId w:val="6"/>
      </w:numPr>
    </w:pPr>
  </w:style>
  <w:style w:type="paragraph" w:styleId="TOC1">
    <w:name w:val="toc 1"/>
    <w:basedOn w:val="Normal"/>
    <w:next w:val="Normal"/>
    <w:uiPriority w:val="99"/>
    <w:unhideWhenUsed/>
    <w:rsid w:val="00F20FF1"/>
    <w:pPr>
      <w:spacing w:after="105"/>
      <w:ind w:left="992" w:right="567" w:hanging="992"/>
    </w:pPr>
    <w:rPr>
      <w:b/>
    </w:rPr>
  </w:style>
  <w:style w:type="paragraph" w:styleId="TOC2">
    <w:name w:val="toc 2"/>
    <w:basedOn w:val="TOC1"/>
    <w:next w:val="Normal"/>
    <w:uiPriority w:val="39"/>
    <w:unhideWhenUsed/>
    <w:rsid w:val="00C07CD7"/>
    <w:pPr>
      <w:ind w:left="1984"/>
    </w:pPr>
  </w:style>
  <w:style w:type="paragraph" w:styleId="TOC3">
    <w:name w:val="toc 3"/>
    <w:basedOn w:val="TOC1"/>
    <w:next w:val="Normal"/>
    <w:uiPriority w:val="39"/>
    <w:unhideWhenUsed/>
    <w:rsid w:val="00C07CD7"/>
    <w:pPr>
      <w:ind w:left="2977"/>
    </w:pPr>
  </w:style>
  <w:style w:type="paragraph" w:styleId="TOC4">
    <w:name w:val="toc 4"/>
    <w:basedOn w:val="TOC1"/>
    <w:next w:val="Normal"/>
    <w:uiPriority w:val="99"/>
    <w:unhideWhenUsed/>
    <w:rsid w:val="00F20FF1"/>
    <w:pPr>
      <w:ind w:left="0" w:firstLine="0"/>
    </w:pPr>
  </w:style>
  <w:style w:type="paragraph" w:styleId="TOC5">
    <w:name w:val="toc 5"/>
    <w:basedOn w:val="TOC1"/>
    <w:next w:val="Normal"/>
    <w:uiPriority w:val="99"/>
    <w:unhideWhenUsed/>
    <w:rsid w:val="00F20FF1"/>
    <w:pPr>
      <w:ind w:firstLine="0"/>
    </w:pPr>
  </w:style>
  <w:style w:type="paragraph" w:styleId="TOC6">
    <w:name w:val="toc 6"/>
    <w:basedOn w:val="TOC1"/>
    <w:next w:val="Normal"/>
    <w:uiPriority w:val="99"/>
    <w:unhideWhenUsed/>
    <w:rsid w:val="00F20FF1"/>
    <w:pPr>
      <w:ind w:left="1984" w:firstLine="0"/>
    </w:pPr>
  </w:style>
  <w:style w:type="character" w:styleId="BookTitle">
    <w:name w:val="Book Title"/>
    <w:basedOn w:val="DefaultParagraphFont"/>
    <w:uiPriority w:val="33"/>
    <w:semiHidden/>
    <w:rsid w:val="00F20FF1"/>
    <w:rPr>
      <w:b/>
      <w:bCs/>
      <w:smallCaps/>
      <w:spacing w:val="5"/>
    </w:rPr>
  </w:style>
  <w:style w:type="character" w:styleId="Emphasis">
    <w:name w:val="Emphasis"/>
    <w:basedOn w:val="DefaultParagraphFont"/>
    <w:uiPriority w:val="20"/>
    <w:semiHidden/>
    <w:rsid w:val="00F20FF1"/>
    <w:rPr>
      <w:i/>
      <w:iCs/>
    </w:rPr>
  </w:style>
  <w:style w:type="character" w:customStyle="1" w:styleId="Heading1Char">
    <w:name w:val="Heading 1 Char"/>
    <w:basedOn w:val="DefaultParagraphFont"/>
    <w:link w:val="Heading1"/>
    <w:uiPriority w:val="9"/>
    <w:rsid w:val="00F20FF1"/>
    <w:rPr>
      <w:rFonts w:asciiTheme="majorHAnsi" w:eastAsiaTheme="majorEastAsia" w:hAnsiTheme="majorHAnsi" w:cstheme="majorBidi"/>
      <w:b/>
      <w:bCs/>
      <w:color w:val="7F0A4B" w:themeColor="accent1" w:themeShade="BF"/>
      <w:sz w:val="28"/>
      <w:szCs w:val="28"/>
    </w:rPr>
  </w:style>
  <w:style w:type="character" w:customStyle="1" w:styleId="Heading2Char">
    <w:name w:val="Heading 2 Char"/>
    <w:basedOn w:val="DefaultParagraphFont"/>
    <w:link w:val="Heading2"/>
    <w:uiPriority w:val="9"/>
    <w:semiHidden/>
    <w:rsid w:val="00F20FF1"/>
    <w:rPr>
      <w:rFonts w:asciiTheme="majorHAnsi" w:eastAsiaTheme="majorEastAsia" w:hAnsiTheme="majorHAnsi" w:cstheme="majorBidi"/>
      <w:b/>
      <w:bCs/>
      <w:color w:val="AB0E66" w:themeColor="accent1"/>
      <w:sz w:val="26"/>
      <w:szCs w:val="26"/>
    </w:rPr>
  </w:style>
  <w:style w:type="character" w:styleId="IntenseEmphasis">
    <w:name w:val="Intense Emphasis"/>
    <w:basedOn w:val="DefaultParagraphFont"/>
    <w:uiPriority w:val="21"/>
    <w:semiHidden/>
    <w:rsid w:val="00F20FF1"/>
    <w:rPr>
      <w:b/>
      <w:bCs/>
      <w:i/>
      <w:iCs/>
      <w:color w:val="AB0E66" w:themeColor="accent1"/>
    </w:rPr>
  </w:style>
  <w:style w:type="paragraph" w:styleId="IntenseQuote">
    <w:name w:val="Intense Quote"/>
    <w:basedOn w:val="Normal"/>
    <w:next w:val="Normal"/>
    <w:link w:val="IntenseQuoteChar"/>
    <w:uiPriority w:val="30"/>
    <w:semiHidden/>
    <w:rsid w:val="00F20FF1"/>
    <w:pPr>
      <w:pBdr>
        <w:bottom w:val="single" w:sz="4" w:space="4" w:color="AB0E66" w:themeColor="accent1"/>
      </w:pBdr>
      <w:spacing w:before="200" w:after="280"/>
      <w:ind w:left="936" w:right="936"/>
    </w:pPr>
    <w:rPr>
      <w:b/>
      <w:bCs/>
      <w:i/>
      <w:iCs/>
      <w:color w:val="AB0E66" w:themeColor="accent1"/>
    </w:rPr>
  </w:style>
  <w:style w:type="character" w:customStyle="1" w:styleId="IntenseQuoteChar">
    <w:name w:val="Intense Quote Char"/>
    <w:basedOn w:val="DefaultParagraphFont"/>
    <w:link w:val="IntenseQuote"/>
    <w:uiPriority w:val="30"/>
    <w:rsid w:val="00F20FF1"/>
    <w:rPr>
      <w:rFonts w:ascii="Arial" w:hAnsi="Arial" w:cs="Arial"/>
      <w:b/>
      <w:bCs/>
      <w:i/>
      <w:iCs/>
      <w:color w:val="AB0E66" w:themeColor="accent1"/>
      <w:sz w:val="21"/>
    </w:rPr>
  </w:style>
  <w:style w:type="character" w:styleId="IntenseReference">
    <w:name w:val="Intense Reference"/>
    <w:basedOn w:val="DefaultParagraphFont"/>
    <w:uiPriority w:val="32"/>
    <w:semiHidden/>
    <w:rsid w:val="00F20FF1"/>
    <w:rPr>
      <w:b/>
      <w:bCs/>
      <w:smallCaps/>
      <w:color w:val="5987C5" w:themeColor="accent2"/>
      <w:spacing w:val="5"/>
      <w:u w:val="single"/>
    </w:rPr>
  </w:style>
  <w:style w:type="paragraph" w:styleId="ListParagraph">
    <w:name w:val="List Paragraph"/>
    <w:basedOn w:val="Normal"/>
    <w:uiPriority w:val="34"/>
    <w:semiHidden/>
    <w:rsid w:val="00F20FF1"/>
    <w:pPr>
      <w:ind w:left="720"/>
      <w:contextualSpacing/>
    </w:pPr>
  </w:style>
  <w:style w:type="paragraph" w:styleId="NoSpacing">
    <w:name w:val="No Spacing"/>
    <w:uiPriority w:val="1"/>
    <w:semiHidden/>
    <w:rsid w:val="00F20FF1"/>
    <w:pPr>
      <w:spacing w:line="240" w:lineRule="auto"/>
      <w:jc w:val="both"/>
    </w:pPr>
    <w:rPr>
      <w:rFonts w:ascii="Arial" w:hAnsi="Arial" w:cs="Arial"/>
      <w:sz w:val="21"/>
    </w:rPr>
  </w:style>
  <w:style w:type="paragraph" w:styleId="Quote">
    <w:name w:val="Quote"/>
    <w:basedOn w:val="Normal"/>
    <w:next w:val="Normal"/>
    <w:link w:val="QuoteChar"/>
    <w:uiPriority w:val="29"/>
    <w:semiHidden/>
    <w:rsid w:val="00F20FF1"/>
    <w:rPr>
      <w:i/>
      <w:iCs/>
      <w:color w:val="273035" w:themeColor="text1"/>
    </w:rPr>
  </w:style>
  <w:style w:type="character" w:customStyle="1" w:styleId="QuoteChar">
    <w:name w:val="Quote Char"/>
    <w:basedOn w:val="DefaultParagraphFont"/>
    <w:link w:val="Quote"/>
    <w:uiPriority w:val="29"/>
    <w:rsid w:val="00F20FF1"/>
    <w:rPr>
      <w:rFonts w:ascii="Arial" w:hAnsi="Arial" w:cs="Arial"/>
      <w:i/>
      <w:iCs/>
      <w:color w:val="273035" w:themeColor="text1"/>
      <w:sz w:val="21"/>
    </w:rPr>
  </w:style>
  <w:style w:type="character" w:styleId="Strong">
    <w:name w:val="Strong"/>
    <w:basedOn w:val="DefaultParagraphFont"/>
    <w:uiPriority w:val="22"/>
    <w:semiHidden/>
    <w:rsid w:val="00F20FF1"/>
    <w:rPr>
      <w:b/>
      <w:bCs/>
    </w:rPr>
  </w:style>
  <w:style w:type="paragraph" w:styleId="Subtitle">
    <w:name w:val="Subtitle"/>
    <w:basedOn w:val="Normal"/>
    <w:next w:val="Normal"/>
    <w:link w:val="SubtitleChar"/>
    <w:uiPriority w:val="11"/>
    <w:semiHidden/>
    <w:rsid w:val="00F20FF1"/>
    <w:pPr>
      <w:numPr>
        <w:ilvl w:val="1"/>
      </w:numPr>
    </w:pPr>
    <w:rPr>
      <w:rFonts w:asciiTheme="majorHAnsi" w:eastAsiaTheme="majorEastAsia" w:hAnsiTheme="majorHAnsi" w:cstheme="majorBidi"/>
      <w:i/>
      <w:iCs/>
      <w:color w:val="AB0E66" w:themeColor="accent1"/>
      <w:spacing w:val="15"/>
      <w:sz w:val="24"/>
      <w:szCs w:val="24"/>
    </w:rPr>
  </w:style>
  <w:style w:type="character" w:customStyle="1" w:styleId="SubtitleChar">
    <w:name w:val="Subtitle Char"/>
    <w:basedOn w:val="DefaultParagraphFont"/>
    <w:link w:val="Subtitle"/>
    <w:uiPriority w:val="11"/>
    <w:rsid w:val="00F20FF1"/>
    <w:rPr>
      <w:rFonts w:asciiTheme="majorHAnsi" w:eastAsiaTheme="majorEastAsia" w:hAnsiTheme="majorHAnsi" w:cstheme="majorBidi"/>
      <w:i/>
      <w:iCs/>
      <w:color w:val="AB0E66" w:themeColor="accent1"/>
      <w:spacing w:val="15"/>
      <w:sz w:val="24"/>
      <w:szCs w:val="24"/>
    </w:rPr>
  </w:style>
  <w:style w:type="character" w:styleId="SubtleEmphasis">
    <w:name w:val="Subtle Emphasis"/>
    <w:basedOn w:val="DefaultParagraphFont"/>
    <w:uiPriority w:val="19"/>
    <w:semiHidden/>
    <w:rsid w:val="00F20FF1"/>
    <w:rPr>
      <w:i/>
      <w:iCs/>
      <w:color w:val="879BA6" w:themeColor="text1" w:themeTint="7F"/>
    </w:rPr>
  </w:style>
  <w:style w:type="character" w:styleId="SubtleReference">
    <w:name w:val="Subtle Reference"/>
    <w:basedOn w:val="DefaultParagraphFont"/>
    <w:uiPriority w:val="31"/>
    <w:semiHidden/>
    <w:rsid w:val="00F20FF1"/>
    <w:rPr>
      <w:smallCaps/>
      <w:color w:val="5987C5" w:themeColor="accent2"/>
      <w:u w:val="single"/>
    </w:rPr>
  </w:style>
  <w:style w:type="paragraph" w:styleId="Title">
    <w:name w:val="Title"/>
    <w:basedOn w:val="Normal"/>
    <w:next w:val="Normal"/>
    <w:link w:val="TitleChar"/>
    <w:uiPriority w:val="10"/>
    <w:semiHidden/>
    <w:rsid w:val="00F20FF1"/>
    <w:pPr>
      <w:pBdr>
        <w:bottom w:val="single" w:sz="8" w:space="4" w:color="AB0E66" w:themeColor="accent1"/>
      </w:pBdr>
      <w:spacing w:after="300" w:line="240" w:lineRule="auto"/>
      <w:contextualSpacing/>
    </w:pPr>
    <w:rPr>
      <w:rFonts w:asciiTheme="majorHAnsi" w:eastAsiaTheme="majorEastAsia" w:hAnsiTheme="majorHAnsi" w:cstheme="majorBidi"/>
      <w:color w:val="232B30" w:themeColor="text2" w:themeShade="BF"/>
      <w:spacing w:val="5"/>
      <w:kern w:val="28"/>
      <w:sz w:val="52"/>
      <w:szCs w:val="52"/>
    </w:rPr>
  </w:style>
  <w:style w:type="character" w:customStyle="1" w:styleId="TitleChar">
    <w:name w:val="Title Char"/>
    <w:basedOn w:val="DefaultParagraphFont"/>
    <w:link w:val="Title"/>
    <w:uiPriority w:val="10"/>
    <w:rsid w:val="00F20FF1"/>
    <w:rPr>
      <w:rFonts w:asciiTheme="majorHAnsi" w:eastAsiaTheme="majorEastAsia" w:hAnsiTheme="majorHAnsi" w:cstheme="majorBidi"/>
      <w:color w:val="232B30" w:themeColor="text2" w:themeShade="BF"/>
      <w:spacing w:val="5"/>
      <w:kern w:val="28"/>
      <w:sz w:val="52"/>
      <w:szCs w:val="52"/>
    </w:rPr>
  </w:style>
  <w:style w:type="character" w:styleId="EndnoteReference">
    <w:name w:val="endnote reference"/>
    <w:basedOn w:val="DefaultParagraphFont"/>
    <w:uiPriority w:val="99"/>
    <w:semiHidden/>
    <w:unhideWhenUsed/>
    <w:rsid w:val="00F20FF1"/>
    <w:rPr>
      <w:vertAlign w:val="superscript"/>
    </w:rPr>
  </w:style>
  <w:style w:type="paragraph" w:styleId="EndnoteText">
    <w:name w:val="endnote text"/>
    <w:basedOn w:val="Normal"/>
    <w:link w:val="EndnoteTextChar"/>
    <w:uiPriority w:val="99"/>
    <w:semiHidden/>
    <w:unhideWhenUsed/>
    <w:rsid w:val="00F20FF1"/>
    <w:pPr>
      <w:spacing w:line="240" w:lineRule="auto"/>
    </w:pPr>
    <w:rPr>
      <w:sz w:val="16"/>
      <w:szCs w:val="16"/>
    </w:rPr>
  </w:style>
  <w:style w:type="character" w:customStyle="1" w:styleId="EndnoteTextChar">
    <w:name w:val="Endnote Text Char"/>
    <w:basedOn w:val="DefaultParagraphFont"/>
    <w:link w:val="EndnoteText"/>
    <w:uiPriority w:val="99"/>
    <w:semiHidden/>
    <w:rsid w:val="00F20FF1"/>
    <w:rPr>
      <w:rFonts w:ascii="Arial" w:hAnsi="Arial" w:cs="Arial"/>
      <w:sz w:val="16"/>
      <w:szCs w:val="16"/>
    </w:rPr>
  </w:style>
  <w:style w:type="character" w:styleId="FootnoteReference">
    <w:name w:val="footnote reference"/>
    <w:basedOn w:val="DefaultParagraphFont"/>
    <w:uiPriority w:val="99"/>
    <w:semiHidden/>
    <w:unhideWhenUsed/>
    <w:rsid w:val="00F20FF1"/>
    <w:rPr>
      <w:vertAlign w:val="superscript"/>
    </w:rPr>
  </w:style>
  <w:style w:type="paragraph" w:styleId="FootnoteText">
    <w:name w:val="footnote text"/>
    <w:basedOn w:val="Normal"/>
    <w:link w:val="FootnoteTextChar"/>
    <w:uiPriority w:val="99"/>
    <w:semiHidden/>
    <w:unhideWhenUsed/>
    <w:rsid w:val="00F20FF1"/>
    <w:pPr>
      <w:spacing w:line="240" w:lineRule="auto"/>
    </w:pPr>
    <w:rPr>
      <w:sz w:val="16"/>
      <w:szCs w:val="16"/>
    </w:rPr>
  </w:style>
  <w:style w:type="character" w:customStyle="1" w:styleId="FootnoteTextChar">
    <w:name w:val="Footnote Text Char"/>
    <w:basedOn w:val="DefaultParagraphFont"/>
    <w:link w:val="FootnoteText"/>
    <w:uiPriority w:val="99"/>
    <w:semiHidden/>
    <w:rsid w:val="00F20FF1"/>
    <w:rPr>
      <w:rFonts w:ascii="Arial" w:hAnsi="Arial" w:cs="Arial"/>
      <w:sz w:val="16"/>
      <w:szCs w:val="16"/>
    </w:rPr>
  </w:style>
  <w:style w:type="paragraph" w:customStyle="1" w:styleId="Subject">
    <w:name w:val="Subject"/>
    <w:basedOn w:val="Body"/>
    <w:next w:val="Body"/>
    <w:qFormat/>
    <w:rsid w:val="002116BE"/>
    <w:pPr>
      <w:keepNext/>
    </w:pPr>
    <w:rPr>
      <w:b/>
      <w:bCs/>
    </w:rPr>
  </w:style>
  <w:style w:type="paragraph" w:styleId="Header">
    <w:name w:val="header"/>
    <w:basedOn w:val="Normal"/>
  </w:style>
  <w:style w:type="character" w:styleId="CommentReference">
    <w:name w:val="annotation reference"/>
    <w:basedOn w:val="DefaultParagraphFont"/>
    <w:uiPriority w:val="99"/>
    <w:semiHidden/>
    <w:unhideWhenUsed/>
    <w:rsid w:val="00496159"/>
    <w:rPr>
      <w:sz w:val="16"/>
      <w:szCs w:val="16"/>
    </w:rPr>
  </w:style>
  <w:style w:type="table" w:styleId="TableGridLight">
    <w:name w:val="Grid Table Light"/>
    <w:basedOn w:val="TableNormal"/>
    <w:uiPriority w:val="40"/>
    <w:rsid w:val="00B7652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xisnexis.com/uk/legal/citationlinkHandler.faces?bct=A&amp;service=citation&amp;risb=&amp;UK_LEG&amp;$num!%251981_67a_SECT_15%25" TargetMode="External"/><Relationship Id="rId3" Type="http://schemas.openxmlformats.org/officeDocument/2006/relationships/settings" Target="settings.xml"/><Relationship Id="rId7" Type="http://schemas.openxmlformats.org/officeDocument/2006/relationships/hyperlink" Target="https://www.lexisnexis.com/uk/legal/citationlinkHandler.faces?bct=A&amp;service=citation&amp;risb=&amp;UK_LEG&amp;$num!%251981_67a_SECT_15%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xisnexis.com/uk/legal/citationlinkHandler.faces?bct=A&amp;service=citation&amp;risb=&amp;UK_LEG&amp;$num!%251981_66a_SECT_4%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Blank.dotx" TargetMode="External"/></Relationships>
</file>

<file path=word/theme/theme1.xml><?xml version="1.0" encoding="utf-8"?>
<a:theme xmlns:a="http://schemas.openxmlformats.org/drawingml/2006/main" name="Office Theme">
  <a:themeElements>
    <a:clrScheme name="Plum">
      <a:dk1>
        <a:srgbClr val="273035"/>
      </a:dk1>
      <a:lt1>
        <a:sysClr val="window" lastClr="FFFFFF"/>
      </a:lt1>
      <a:dk2>
        <a:srgbClr val="303A41"/>
      </a:dk2>
      <a:lt2>
        <a:srgbClr val="FFFFFF"/>
      </a:lt2>
      <a:accent1>
        <a:srgbClr val="AB0E66"/>
      </a:accent1>
      <a:accent2>
        <a:srgbClr val="5987C5"/>
      </a:accent2>
      <a:accent3>
        <a:srgbClr val="0B2265"/>
      </a:accent3>
      <a:accent4>
        <a:srgbClr val="455A21"/>
      </a:accent4>
      <a:accent5>
        <a:srgbClr val="4F2683"/>
      </a:accent5>
      <a:accent6>
        <a:srgbClr val="C0311A"/>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1</Pages>
  <Words>461</Words>
  <Characters>2278</Characters>
  <Application>Microsoft Office Word</Application>
  <DocSecurity>0</DocSecurity>
  <Lines>63</Lines>
  <Paragraphs>46</Paragraphs>
  <ScaleCrop>false</ScaleCrop>
  <HeadingPairs>
    <vt:vector size="2" baseType="variant">
      <vt:variant>
        <vt:lpstr>Title</vt:lpstr>
      </vt:variant>
      <vt:variant>
        <vt:i4>1</vt:i4>
      </vt:variant>
    </vt:vector>
  </HeadingPairs>
  <TitlesOfParts>
    <vt:vector size="1" baseType="lpstr">
      <vt:lpstr/>
    </vt:vector>
  </TitlesOfParts>
  <Company>Trowers and Hamlins</Company>
  <LinksUpToDate>false</LinksUpToDate>
  <CharactersWithSpaces>2693</CharactersWithSpaces>
  <SharedDoc>false</SharedDoc>
  <HLinks>
    <vt:vector size="18" baseType="variant">
      <vt:variant>
        <vt:i4>5898334</vt:i4>
      </vt:variant>
      <vt:variant>
        <vt:i4>6</vt:i4>
      </vt:variant>
      <vt:variant>
        <vt:i4>0</vt:i4>
      </vt:variant>
      <vt:variant>
        <vt:i4>5</vt:i4>
      </vt:variant>
      <vt:variant>
        <vt:lpwstr>https://www.lexisnexis.com/uk/legal/citationlinkHandler.faces?bct=A&amp;service=citation&amp;risb=&amp;UK_LEG&amp;$num!%251981_66a_SECT_4%25</vt:lpwstr>
      </vt:variant>
      <vt:variant>
        <vt:lpwstr/>
      </vt:variant>
      <vt:variant>
        <vt:i4>5046349</vt:i4>
      </vt:variant>
      <vt:variant>
        <vt:i4>3</vt:i4>
      </vt:variant>
      <vt:variant>
        <vt:i4>0</vt:i4>
      </vt:variant>
      <vt:variant>
        <vt:i4>5</vt:i4>
      </vt:variant>
      <vt:variant>
        <vt:lpwstr>https://www.lexisnexis.com/uk/legal/citationlinkHandler.faces?bct=A&amp;service=citation&amp;risb=&amp;UK_LEG&amp;$num!%251981_67a_SECT_15%25</vt:lpwstr>
      </vt:variant>
      <vt:variant>
        <vt:lpwstr/>
      </vt:variant>
      <vt:variant>
        <vt:i4>5046349</vt:i4>
      </vt:variant>
      <vt:variant>
        <vt:i4>0</vt:i4>
      </vt:variant>
      <vt:variant>
        <vt:i4>0</vt:i4>
      </vt:variant>
      <vt:variant>
        <vt:i4>5</vt:i4>
      </vt:variant>
      <vt:variant>
        <vt:lpwstr>https://www.lexisnexis.com/uk/legal/citationlinkHandler.faces?bct=A&amp;service=citation&amp;risb=&amp;UK_LEG&amp;$num!%251981_67a_SECT_15%25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Chrisp St CPO - GVPs</dc:title>
  <dc:subject/>
  <dc:creator>Rita Bange</dc:creator>
  <cp:keywords/>
  <dc:description/>
  <cp:lastModifiedBy>Phillip Nduoyo</cp:lastModifiedBy>
  <cp:revision>2</cp:revision>
  <dcterms:created xsi:type="dcterms:W3CDTF">2022-12-02T14:23:00Z</dcterms:created>
  <dcterms:modified xsi:type="dcterms:W3CDTF">2022-12-02T14:23:00Z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THL.157101393.1</vt:lpwstr>
  </property>
  <property fmtid="{D5CDD505-2E9C-101B-9397-08002B2CF9AE}" pid="3" name="OurRef">
    <vt:lpwstr>RGB.044425.00183</vt:lpwstr>
  </property>
  <property fmtid="{D5CDD505-2E9C-101B-9397-08002B2CF9AE}" pid="4" name="GrammarlyDocumentId">
    <vt:lpwstr>47640ae228213349e990cc99bbd9d4853032c153876b03ad94894d9adb623874</vt:lpwstr>
  </property>
</Properties>
</file>