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57C" w:rsidRPr="00EA606A" w:rsidRDefault="00E8657C">
      <w:pPr>
        <w:rPr>
          <w:rFonts w:cs="Arial"/>
          <w:sz w:val="22"/>
          <w:szCs w:val="22"/>
        </w:rPr>
      </w:pPr>
      <w:bookmarkStart w:id="0" w:name="_GoBack"/>
      <w:bookmarkEnd w:id="0"/>
    </w:p>
    <w:tbl>
      <w:tblPr>
        <w:tblStyle w:val="TableGrid"/>
        <w:tblpPr w:leftFromText="180" w:rightFromText="180" w:horzAnchor="margin" w:tblpX="-953" w:tblpY="-735"/>
        <w:tblW w:w="10774" w:type="dxa"/>
        <w:tblLook w:val="04A0" w:firstRow="1" w:lastRow="0" w:firstColumn="1" w:lastColumn="0" w:noHBand="0" w:noVBand="1"/>
      </w:tblPr>
      <w:tblGrid>
        <w:gridCol w:w="10774"/>
      </w:tblGrid>
      <w:tr w:rsidR="00E8657C" w:rsidRPr="00EA606A" w:rsidTr="00103565">
        <w:tc>
          <w:tcPr>
            <w:tcW w:w="10774" w:type="dxa"/>
            <w:shd w:val="clear" w:color="auto" w:fill="D9D9D9" w:themeFill="background1" w:themeFillShade="D9"/>
          </w:tcPr>
          <w:p w:rsidR="00E8657C" w:rsidRPr="00EA606A" w:rsidRDefault="00E8657C" w:rsidP="00EA606A">
            <w:pPr>
              <w:jc w:val="center"/>
              <w:rPr>
                <w:rFonts w:cs="Arial"/>
                <w:b/>
                <w:bCs/>
                <w:sz w:val="22"/>
                <w:szCs w:val="22"/>
              </w:rPr>
            </w:pPr>
          </w:p>
          <w:p w:rsidR="00E8657C" w:rsidRPr="00103565" w:rsidRDefault="00E8657C" w:rsidP="00EA606A">
            <w:pPr>
              <w:jc w:val="center"/>
              <w:rPr>
                <w:rFonts w:cs="Arial"/>
                <w:sz w:val="28"/>
                <w:szCs w:val="28"/>
              </w:rPr>
            </w:pPr>
            <w:r w:rsidRPr="00103565">
              <w:rPr>
                <w:rFonts w:cs="Arial"/>
                <w:b/>
                <w:bCs/>
                <w:sz w:val="28"/>
                <w:szCs w:val="28"/>
              </w:rPr>
              <w:t xml:space="preserve">Violent Crime </w:t>
            </w:r>
            <w:r w:rsidR="001049C7" w:rsidRPr="00103565">
              <w:rPr>
                <w:rFonts w:cs="Arial"/>
                <w:b/>
                <w:bCs/>
                <w:sz w:val="28"/>
                <w:szCs w:val="28"/>
              </w:rPr>
              <w:t xml:space="preserve">Summit </w:t>
            </w:r>
            <w:r w:rsidRPr="00103565">
              <w:rPr>
                <w:rFonts w:cs="Arial"/>
                <w:b/>
                <w:bCs/>
                <w:sz w:val="28"/>
                <w:szCs w:val="28"/>
              </w:rPr>
              <w:t>Statement of Action</w:t>
            </w:r>
          </w:p>
          <w:p w:rsidR="00E8657C" w:rsidRPr="00EA606A" w:rsidRDefault="00E8657C" w:rsidP="00EA606A">
            <w:pPr>
              <w:rPr>
                <w:rFonts w:cs="Arial"/>
                <w:sz w:val="22"/>
                <w:szCs w:val="22"/>
              </w:rPr>
            </w:pPr>
          </w:p>
        </w:tc>
      </w:tr>
    </w:tbl>
    <w:tbl>
      <w:tblPr>
        <w:tblStyle w:val="TableGrid"/>
        <w:tblW w:w="10632" w:type="dxa"/>
        <w:tblInd w:w="-885" w:type="dxa"/>
        <w:tblLook w:val="04A0" w:firstRow="1" w:lastRow="0" w:firstColumn="1" w:lastColumn="0" w:noHBand="0" w:noVBand="1"/>
      </w:tblPr>
      <w:tblGrid>
        <w:gridCol w:w="10632"/>
      </w:tblGrid>
      <w:tr w:rsidR="00E8657C" w:rsidRPr="00103565" w:rsidTr="00EA606A">
        <w:trPr>
          <w:trHeight w:val="1885"/>
        </w:trPr>
        <w:tc>
          <w:tcPr>
            <w:tcW w:w="10632" w:type="dxa"/>
          </w:tcPr>
          <w:p w:rsidR="00AE664F" w:rsidRPr="00103565" w:rsidRDefault="00EE3F32" w:rsidP="00B95948">
            <w:pPr>
              <w:rPr>
                <w:rFonts w:cs="Arial"/>
                <w:sz w:val="22"/>
                <w:szCs w:val="22"/>
              </w:rPr>
            </w:pPr>
            <w:r w:rsidRPr="00103565">
              <w:rPr>
                <w:rFonts w:cs="Arial"/>
                <w:color w:val="000000"/>
                <w:sz w:val="22"/>
                <w:szCs w:val="22"/>
              </w:rPr>
              <w:t>During 2017/8 crime increased in Tower Hamlets. Overall reported crime has gone up 4% and violent crime has increased by 4.25%</w:t>
            </w:r>
            <w:r w:rsidR="00D75823" w:rsidRPr="00103565">
              <w:rPr>
                <w:rFonts w:cs="Arial"/>
                <w:color w:val="000000"/>
                <w:sz w:val="22"/>
                <w:szCs w:val="22"/>
              </w:rPr>
              <w:t>. Currently Tower Hamlets has the 4</w:t>
            </w:r>
            <w:r w:rsidR="00D75823" w:rsidRPr="00103565">
              <w:rPr>
                <w:rFonts w:cs="Arial"/>
                <w:color w:val="000000"/>
                <w:sz w:val="22"/>
                <w:szCs w:val="22"/>
                <w:vertAlign w:val="superscript"/>
              </w:rPr>
              <w:t>th</w:t>
            </w:r>
            <w:r w:rsidR="00D75823" w:rsidRPr="00103565">
              <w:rPr>
                <w:rFonts w:cs="Arial"/>
                <w:color w:val="000000"/>
                <w:sz w:val="22"/>
                <w:szCs w:val="22"/>
              </w:rPr>
              <w:t xml:space="preserve"> highest rate of Knife crime in London, but generally has a lower inc</w:t>
            </w:r>
            <w:r w:rsidR="009D0302" w:rsidRPr="00103565">
              <w:rPr>
                <w:rFonts w:cs="Arial"/>
                <w:color w:val="000000"/>
                <w:sz w:val="22"/>
                <w:szCs w:val="22"/>
              </w:rPr>
              <w:t xml:space="preserve">rease in violent crime than in </w:t>
            </w:r>
            <w:r w:rsidR="00D75823" w:rsidRPr="00103565">
              <w:rPr>
                <w:rFonts w:cs="Arial"/>
                <w:color w:val="000000"/>
                <w:sz w:val="22"/>
                <w:szCs w:val="22"/>
              </w:rPr>
              <w:t>London averages.</w:t>
            </w:r>
          </w:p>
          <w:p w:rsidR="00B95948" w:rsidRPr="00103565" w:rsidRDefault="00B95948" w:rsidP="00B95948">
            <w:pPr>
              <w:rPr>
                <w:rFonts w:cs="Arial"/>
                <w:sz w:val="22"/>
                <w:szCs w:val="22"/>
              </w:rPr>
            </w:pPr>
          </w:p>
          <w:p w:rsidR="00AE664F" w:rsidRPr="00103565" w:rsidRDefault="0083510E" w:rsidP="00E8657C">
            <w:pPr>
              <w:numPr>
                <w:ilvl w:val="0"/>
                <w:numId w:val="1"/>
              </w:numPr>
              <w:rPr>
                <w:rFonts w:cs="Arial"/>
                <w:sz w:val="22"/>
                <w:szCs w:val="22"/>
              </w:rPr>
            </w:pPr>
            <w:r w:rsidRPr="00103565">
              <w:rPr>
                <w:rFonts w:cs="Arial"/>
                <w:sz w:val="22"/>
                <w:szCs w:val="22"/>
              </w:rPr>
              <w:t xml:space="preserve">Robbery </w:t>
            </w:r>
            <w:r w:rsidR="009D0302" w:rsidRPr="00103565">
              <w:rPr>
                <w:rFonts w:cs="Arial"/>
                <w:sz w:val="22"/>
                <w:szCs w:val="22"/>
              </w:rPr>
              <w:t>increased by 16.</w:t>
            </w:r>
            <w:r w:rsidR="004C4A6A" w:rsidRPr="00103565">
              <w:rPr>
                <w:rFonts w:cs="Arial"/>
                <w:sz w:val="22"/>
                <w:szCs w:val="22"/>
              </w:rPr>
              <w:t>7% in Tower Hamlets and 36% in London</w:t>
            </w:r>
          </w:p>
          <w:p w:rsidR="00AE664F" w:rsidRPr="00103565" w:rsidRDefault="004C4A6A" w:rsidP="00E8657C">
            <w:pPr>
              <w:numPr>
                <w:ilvl w:val="0"/>
                <w:numId w:val="1"/>
              </w:numPr>
              <w:rPr>
                <w:rFonts w:cs="Arial"/>
                <w:sz w:val="22"/>
                <w:szCs w:val="22"/>
              </w:rPr>
            </w:pPr>
            <w:r w:rsidRPr="00103565">
              <w:rPr>
                <w:rFonts w:cs="Arial"/>
                <w:sz w:val="22"/>
                <w:szCs w:val="22"/>
              </w:rPr>
              <w:t xml:space="preserve">Sexual </w:t>
            </w:r>
            <w:r w:rsidR="008F6ED4" w:rsidRPr="00103565">
              <w:rPr>
                <w:rFonts w:cs="Arial"/>
                <w:sz w:val="22"/>
                <w:szCs w:val="22"/>
              </w:rPr>
              <w:t>offences Increased by 8.6</w:t>
            </w:r>
            <w:r w:rsidR="00414479" w:rsidRPr="00103565">
              <w:rPr>
                <w:rFonts w:cs="Arial"/>
                <w:sz w:val="22"/>
                <w:szCs w:val="22"/>
              </w:rPr>
              <w:t>% in</w:t>
            </w:r>
            <w:r w:rsidRPr="00103565">
              <w:rPr>
                <w:rFonts w:cs="Arial"/>
                <w:sz w:val="22"/>
                <w:szCs w:val="22"/>
              </w:rPr>
              <w:t xml:space="preserve"> Tower Hamlets and 11.8</w:t>
            </w:r>
            <w:r w:rsidR="00414479" w:rsidRPr="00103565">
              <w:rPr>
                <w:rFonts w:cs="Arial"/>
                <w:sz w:val="22"/>
                <w:szCs w:val="22"/>
              </w:rPr>
              <w:t>% in</w:t>
            </w:r>
            <w:r w:rsidRPr="00103565">
              <w:rPr>
                <w:rFonts w:cs="Arial"/>
                <w:sz w:val="22"/>
                <w:szCs w:val="22"/>
              </w:rPr>
              <w:t xml:space="preserve"> London</w:t>
            </w:r>
          </w:p>
          <w:p w:rsidR="00AE664F" w:rsidRPr="00103565" w:rsidRDefault="004C4A6A" w:rsidP="00E8657C">
            <w:pPr>
              <w:numPr>
                <w:ilvl w:val="0"/>
                <w:numId w:val="1"/>
              </w:numPr>
              <w:rPr>
                <w:rFonts w:cs="Arial"/>
                <w:sz w:val="22"/>
                <w:szCs w:val="22"/>
              </w:rPr>
            </w:pPr>
            <w:r w:rsidRPr="00103565">
              <w:rPr>
                <w:rFonts w:cs="Arial"/>
                <w:sz w:val="22"/>
                <w:szCs w:val="22"/>
              </w:rPr>
              <w:t xml:space="preserve">Violence Increased by 4.3% in Tower Hamlets and 4.3% in London </w:t>
            </w:r>
          </w:p>
          <w:p w:rsidR="00AE664F" w:rsidRPr="00103565" w:rsidRDefault="004C4A6A" w:rsidP="00E8657C">
            <w:pPr>
              <w:numPr>
                <w:ilvl w:val="0"/>
                <w:numId w:val="1"/>
              </w:numPr>
              <w:rPr>
                <w:rFonts w:cs="Arial"/>
                <w:sz w:val="22"/>
                <w:szCs w:val="22"/>
              </w:rPr>
            </w:pPr>
            <w:r w:rsidRPr="00103565">
              <w:rPr>
                <w:rFonts w:cs="Arial"/>
                <w:sz w:val="22"/>
                <w:szCs w:val="22"/>
              </w:rPr>
              <w:t>Wounding/GBH</w:t>
            </w:r>
            <w:r w:rsidR="009D0302" w:rsidRPr="00103565">
              <w:rPr>
                <w:rFonts w:cs="Arial"/>
                <w:sz w:val="22"/>
                <w:szCs w:val="22"/>
              </w:rPr>
              <w:t xml:space="preserve"> </w:t>
            </w:r>
            <w:r w:rsidR="00414479" w:rsidRPr="00103565">
              <w:rPr>
                <w:rFonts w:cs="Arial"/>
                <w:sz w:val="22"/>
                <w:szCs w:val="22"/>
              </w:rPr>
              <w:t>increased by</w:t>
            </w:r>
            <w:r w:rsidRPr="00103565">
              <w:rPr>
                <w:rFonts w:cs="Arial"/>
                <w:sz w:val="22"/>
                <w:szCs w:val="22"/>
              </w:rPr>
              <w:t xml:space="preserve"> 2.8% and 6.5% in London </w:t>
            </w:r>
          </w:p>
          <w:p w:rsidR="00AE664F" w:rsidRPr="00103565" w:rsidRDefault="004C4A6A" w:rsidP="00E8657C">
            <w:pPr>
              <w:numPr>
                <w:ilvl w:val="0"/>
                <w:numId w:val="1"/>
              </w:numPr>
              <w:rPr>
                <w:rFonts w:cs="Arial"/>
                <w:sz w:val="22"/>
                <w:szCs w:val="22"/>
              </w:rPr>
            </w:pPr>
            <w:r w:rsidRPr="00103565">
              <w:rPr>
                <w:rFonts w:cs="Arial"/>
                <w:sz w:val="22"/>
                <w:szCs w:val="22"/>
              </w:rPr>
              <w:t xml:space="preserve">Murder increased by 20% in Tower Hamlets and 50% by London </w:t>
            </w:r>
          </w:p>
          <w:p w:rsidR="00AE664F" w:rsidRPr="00103565" w:rsidRDefault="004C4A6A" w:rsidP="00B95948">
            <w:pPr>
              <w:numPr>
                <w:ilvl w:val="0"/>
                <w:numId w:val="1"/>
              </w:numPr>
              <w:rPr>
                <w:rFonts w:cs="Arial"/>
                <w:sz w:val="22"/>
                <w:szCs w:val="22"/>
              </w:rPr>
            </w:pPr>
            <w:r w:rsidRPr="00103565">
              <w:rPr>
                <w:rFonts w:cs="Arial"/>
                <w:sz w:val="22"/>
                <w:szCs w:val="22"/>
              </w:rPr>
              <w:t>Offensive weapon</w:t>
            </w:r>
            <w:r w:rsidR="00552668" w:rsidRPr="00103565">
              <w:rPr>
                <w:rFonts w:cs="Arial"/>
                <w:sz w:val="22"/>
                <w:szCs w:val="22"/>
              </w:rPr>
              <w:t>s</w:t>
            </w:r>
            <w:r w:rsidR="00B95948" w:rsidRPr="00103565">
              <w:rPr>
                <w:rFonts w:cs="Arial"/>
                <w:sz w:val="22"/>
                <w:szCs w:val="22"/>
              </w:rPr>
              <w:t xml:space="preserve"> increased by 26.1%</w:t>
            </w:r>
            <w:r w:rsidRPr="00103565">
              <w:rPr>
                <w:rFonts w:cs="Arial"/>
                <w:sz w:val="22"/>
                <w:szCs w:val="22"/>
              </w:rPr>
              <w:t xml:space="preserve"> in Tower Hamlets and 27.2% in London </w:t>
            </w:r>
          </w:p>
          <w:p w:rsidR="00E8657C" w:rsidRPr="00103565" w:rsidRDefault="00E8657C">
            <w:pPr>
              <w:rPr>
                <w:rFonts w:cs="Arial"/>
                <w:sz w:val="22"/>
                <w:szCs w:val="22"/>
              </w:rPr>
            </w:pPr>
          </w:p>
        </w:tc>
      </w:tr>
    </w:tbl>
    <w:p w:rsidR="00140DE9" w:rsidRPr="00103565" w:rsidRDefault="00140DE9">
      <w:pPr>
        <w:rPr>
          <w:rFonts w:cs="Arial"/>
          <w:sz w:val="22"/>
          <w:szCs w:val="22"/>
        </w:rPr>
      </w:pPr>
    </w:p>
    <w:tbl>
      <w:tblPr>
        <w:tblStyle w:val="TableGrid"/>
        <w:tblW w:w="10632" w:type="dxa"/>
        <w:tblInd w:w="-885" w:type="dxa"/>
        <w:tblLook w:val="04A0" w:firstRow="1" w:lastRow="0" w:firstColumn="1" w:lastColumn="0" w:noHBand="0" w:noVBand="1"/>
      </w:tblPr>
      <w:tblGrid>
        <w:gridCol w:w="10632"/>
      </w:tblGrid>
      <w:tr w:rsidR="00E8657C" w:rsidRPr="00103565" w:rsidTr="00EA606A">
        <w:tc>
          <w:tcPr>
            <w:tcW w:w="10632" w:type="dxa"/>
          </w:tcPr>
          <w:p w:rsidR="00E8657C" w:rsidRPr="00103565" w:rsidRDefault="009D0302" w:rsidP="00E8657C">
            <w:pPr>
              <w:rPr>
                <w:rFonts w:cs="Arial"/>
                <w:sz w:val="22"/>
                <w:szCs w:val="22"/>
              </w:rPr>
            </w:pPr>
            <w:r w:rsidRPr="00103565">
              <w:rPr>
                <w:rFonts w:cs="Arial"/>
                <w:b/>
                <w:bCs/>
                <w:sz w:val="22"/>
                <w:szCs w:val="22"/>
              </w:rPr>
              <w:t xml:space="preserve">Context Stakeholder: </w:t>
            </w:r>
            <w:r w:rsidR="00E8657C" w:rsidRPr="00103565">
              <w:rPr>
                <w:rFonts w:cs="Arial"/>
                <w:b/>
                <w:bCs/>
                <w:sz w:val="22"/>
                <w:szCs w:val="22"/>
              </w:rPr>
              <w:t>Violen</w:t>
            </w:r>
            <w:r w:rsidRPr="00103565">
              <w:rPr>
                <w:rFonts w:cs="Arial"/>
                <w:b/>
                <w:bCs/>
                <w:sz w:val="22"/>
                <w:szCs w:val="22"/>
              </w:rPr>
              <w:t>ce</w:t>
            </w:r>
            <w:r w:rsidR="00E8657C" w:rsidRPr="00103565">
              <w:rPr>
                <w:rFonts w:cs="Arial"/>
                <w:b/>
                <w:bCs/>
                <w:sz w:val="22"/>
                <w:szCs w:val="22"/>
              </w:rPr>
              <w:t xml:space="preserve"> Perception </w:t>
            </w:r>
            <w:r w:rsidRPr="00103565">
              <w:rPr>
                <w:rFonts w:cs="Arial"/>
                <w:b/>
                <w:bCs/>
                <w:sz w:val="22"/>
                <w:szCs w:val="22"/>
              </w:rPr>
              <w:t xml:space="preserve">from </w:t>
            </w:r>
            <w:r w:rsidR="00E8657C" w:rsidRPr="00103565">
              <w:rPr>
                <w:rFonts w:cs="Arial"/>
                <w:b/>
                <w:bCs/>
                <w:sz w:val="22"/>
                <w:szCs w:val="22"/>
              </w:rPr>
              <w:t xml:space="preserve">Violent Crime Summit </w:t>
            </w:r>
            <w:r w:rsidRPr="00103565">
              <w:rPr>
                <w:rFonts w:cs="Arial"/>
                <w:b/>
                <w:bCs/>
                <w:sz w:val="22"/>
                <w:szCs w:val="22"/>
              </w:rPr>
              <w:t>(</w:t>
            </w:r>
            <w:r w:rsidR="0083510E" w:rsidRPr="00103565">
              <w:rPr>
                <w:rFonts w:cs="Arial"/>
                <w:b/>
                <w:bCs/>
                <w:sz w:val="22"/>
                <w:szCs w:val="22"/>
              </w:rPr>
              <w:t>September 2018</w:t>
            </w:r>
            <w:r w:rsidRPr="00103565">
              <w:rPr>
                <w:rFonts w:cs="Arial"/>
                <w:b/>
                <w:bCs/>
                <w:sz w:val="22"/>
                <w:szCs w:val="22"/>
              </w:rPr>
              <w:t>)</w:t>
            </w:r>
          </w:p>
          <w:p w:rsidR="00E8657C" w:rsidRPr="00103565" w:rsidRDefault="00E8657C" w:rsidP="00E8657C">
            <w:pPr>
              <w:rPr>
                <w:rFonts w:cs="Arial"/>
                <w:sz w:val="22"/>
                <w:szCs w:val="22"/>
              </w:rPr>
            </w:pPr>
            <w:r w:rsidRPr="00103565">
              <w:rPr>
                <w:rFonts w:cs="Arial"/>
                <w:b/>
                <w:bCs/>
                <w:sz w:val="22"/>
                <w:szCs w:val="22"/>
              </w:rPr>
              <w:t> </w:t>
            </w:r>
          </w:p>
          <w:p w:rsidR="00AE664F" w:rsidRPr="00103565" w:rsidRDefault="004C4A6A" w:rsidP="00E8657C">
            <w:pPr>
              <w:numPr>
                <w:ilvl w:val="0"/>
                <w:numId w:val="2"/>
              </w:numPr>
              <w:rPr>
                <w:rFonts w:cs="Arial"/>
                <w:sz w:val="22"/>
                <w:szCs w:val="22"/>
              </w:rPr>
            </w:pPr>
            <w:r w:rsidRPr="00103565">
              <w:rPr>
                <w:rFonts w:cs="Arial"/>
                <w:sz w:val="22"/>
                <w:szCs w:val="22"/>
              </w:rPr>
              <w:t xml:space="preserve">It was thought the most common crimes in the borough were domestic violence, gang crime and knife crime. This is in line with </w:t>
            </w:r>
            <w:r w:rsidR="00D75823" w:rsidRPr="00103565">
              <w:rPr>
                <w:rFonts w:cs="Arial"/>
                <w:sz w:val="22"/>
                <w:szCs w:val="22"/>
              </w:rPr>
              <w:t>police data</w:t>
            </w:r>
            <w:r w:rsidRPr="00103565">
              <w:rPr>
                <w:rFonts w:cs="Arial"/>
                <w:sz w:val="22"/>
                <w:szCs w:val="22"/>
              </w:rPr>
              <w:t xml:space="preserve"> about local crime trends.</w:t>
            </w:r>
          </w:p>
          <w:p w:rsidR="00AE664F" w:rsidRPr="00103565" w:rsidRDefault="004C4A6A" w:rsidP="00E8657C">
            <w:pPr>
              <w:numPr>
                <w:ilvl w:val="0"/>
                <w:numId w:val="2"/>
              </w:numPr>
              <w:rPr>
                <w:rFonts w:cs="Arial"/>
                <w:sz w:val="22"/>
                <w:szCs w:val="22"/>
              </w:rPr>
            </w:pPr>
            <w:r w:rsidRPr="00103565">
              <w:rPr>
                <w:rFonts w:cs="Arial"/>
                <w:sz w:val="22"/>
                <w:szCs w:val="22"/>
              </w:rPr>
              <w:t xml:space="preserve">It was thought that homicide was the least common crime; </w:t>
            </w:r>
            <w:proofErr w:type="gramStart"/>
            <w:r w:rsidRPr="00103565">
              <w:rPr>
                <w:rFonts w:cs="Arial"/>
                <w:sz w:val="22"/>
                <w:szCs w:val="22"/>
              </w:rPr>
              <w:t>again</w:t>
            </w:r>
            <w:proofErr w:type="gramEnd"/>
            <w:r w:rsidRPr="00103565">
              <w:rPr>
                <w:rFonts w:cs="Arial"/>
                <w:sz w:val="22"/>
                <w:szCs w:val="22"/>
              </w:rPr>
              <w:t xml:space="preserve"> this is reflective of what is known about crime locally.  </w:t>
            </w:r>
          </w:p>
          <w:p w:rsidR="00AE664F" w:rsidRPr="00103565" w:rsidRDefault="004C4A6A" w:rsidP="00E8657C">
            <w:pPr>
              <w:numPr>
                <w:ilvl w:val="0"/>
                <w:numId w:val="2"/>
              </w:numPr>
              <w:rPr>
                <w:rFonts w:cs="Arial"/>
                <w:sz w:val="22"/>
                <w:szCs w:val="22"/>
              </w:rPr>
            </w:pPr>
            <w:r w:rsidRPr="00103565">
              <w:rPr>
                <w:rFonts w:cs="Arial"/>
                <w:sz w:val="22"/>
                <w:szCs w:val="22"/>
              </w:rPr>
              <w:t xml:space="preserve">People generally think that gun and corrosive substances/acid attacks are </w:t>
            </w:r>
            <w:proofErr w:type="gramStart"/>
            <w:r w:rsidRPr="00103565">
              <w:rPr>
                <w:rFonts w:cs="Arial"/>
                <w:sz w:val="22"/>
                <w:szCs w:val="22"/>
              </w:rPr>
              <w:t>less</w:t>
            </w:r>
            <w:proofErr w:type="gramEnd"/>
            <w:r w:rsidRPr="00103565">
              <w:rPr>
                <w:rFonts w:cs="Arial"/>
                <w:sz w:val="22"/>
                <w:szCs w:val="22"/>
              </w:rPr>
              <w:t xml:space="preserve"> common forms of crime. </w:t>
            </w:r>
          </w:p>
          <w:p w:rsidR="00E8657C" w:rsidRPr="00103565" w:rsidRDefault="00E8657C">
            <w:pPr>
              <w:rPr>
                <w:rFonts w:cs="Arial"/>
                <w:sz w:val="22"/>
                <w:szCs w:val="22"/>
              </w:rPr>
            </w:pPr>
          </w:p>
        </w:tc>
      </w:tr>
    </w:tbl>
    <w:p w:rsidR="00812519" w:rsidRPr="00103565" w:rsidRDefault="00812519">
      <w:pPr>
        <w:rPr>
          <w:rFonts w:cs="Arial"/>
          <w:sz w:val="22"/>
          <w:szCs w:val="22"/>
        </w:rPr>
      </w:pPr>
    </w:p>
    <w:tbl>
      <w:tblPr>
        <w:tblStyle w:val="TableGrid"/>
        <w:tblW w:w="10632" w:type="dxa"/>
        <w:tblInd w:w="-885" w:type="dxa"/>
        <w:tblLook w:val="04A0" w:firstRow="1" w:lastRow="0" w:firstColumn="1" w:lastColumn="0" w:noHBand="0" w:noVBand="1"/>
      </w:tblPr>
      <w:tblGrid>
        <w:gridCol w:w="3403"/>
        <w:gridCol w:w="7229"/>
      </w:tblGrid>
      <w:tr w:rsidR="00642512" w:rsidRPr="00103565" w:rsidTr="00103565">
        <w:tc>
          <w:tcPr>
            <w:tcW w:w="3403" w:type="dxa"/>
            <w:shd w:val="clear" w:color="auto" w:fill="D9D9D9" w:themeFill="background1" w:themeFillShade="D9"/>
          </w:tcPr>
          <w:p w:rsidR="00642512" w:rsidRPr="00103565" w:rsidRDefault="00642512">
            <w:pPr>
              <w:rPr>
                <w:rFonts w:cs="Arial"/>
                <w:b/>
                <w:sz w:val="22"/>
                <w:szCs w:val="22"/>
              </w:rPr>
            </w:pPr>
            <w:r w:rsidRPr="00103565">
              <w:rPr>
                <w:rFonts w:cs="Arial"/>
                <w:b/>
                <w:sz w:val="22"/>
                <w:szCs w:val="22"/>
              </w:rPr>
              <w:t>What has Tower Hamlets been doing about Violent Crime?</w:t>
            </w:r>
          </w:p>
          <w:p w:rsidR="00103565" w:rsidRPr="00103565" w:rsidRDefault="00103565">
            <w:pPr>
              <w:rPr>
                <w:rFonts w:cs="Arial"/>
                <w:b/>
                <w:sz w:val="22"/>
                <w:szCs w:val="22"/>
              </w:rPr>
            </w:pPr>
          </w:p>
        </w:tc>
        <w:tc>
          <w:tcPr>
            <w:tcW w:w="7229" w:type="dxa"/>
            <w:shd w:val="clear" w:color="auto" w:fill="D9D9D9" w:themeFill="background1" w:themeFillShade="D9"/>
          </w:tcPr>
          <w:p w:rsidR="00642512" w:rsidRPr="00103565" w:rsidRDefault="00642512">
            <w:pPr>
              <w:rPr>
                <w:rFonts w:cs="Arial"/>
                <w:b/>
                <w:sz w:val="22"/>
                <w:szCs w:val="22"/>
              </w:rPr>
            </w:pPr>
          </w:p>
        </w:tc>
      </w:tr>
      <w:tr w:rsidR="00E8657C" w:rsidRPr="00103565" w:rsidTr="00103565">
        <w:tc>
          <w:tcPr>
            <w:tcW w:w="3403" w:type="dxa"/>
          </w:tcPr>
          <w:p w:rsidR="00E8657C" w:rsidRPr="00103565" w:rsidRDefault="00FD66BA">
            <w:pPr>
              <w:rPr>
                <w:rFonts w:cs="Arial"/>
                <w:b/>
                <w:sz w:val="22"/>
                <w:szCs w:val="22"/>
              </w:rPr>
            </w:pPr>
            <w:r w:rsidRPr="00103565">
              <w:rPr>
                <w:rFonts w:cs="Arial"/>
                <w:b/>
                <w:sz w:val="22"/>
                <w:szCs w:val="22"/>
              </w:rPr>
              <w:t xml:space="preserve">Council </w:t>
            </w:r>
          </w:p>
        </w:tc>
        <w:tc>
          <w:tcPr>
            <w:tcW w:w="7229" w:type="dxa"/>
          </w:tcPr>
          <w:p w:rsidR="00E8657C" w:rsidRPr="00103565" w:rsidRDefault="00FD66BA">
            <w:pPr>
              <w:rPr>
                <w:rFonts w:cs="Arial"/>
                <w:b/>
                <w:sz w:val="22"/>
                <w:szCs w:val="22"/>
              </w:rPr>
            </w:pPr>
            <w:r w:rsidRPr="00103565">
              <w:rPr>
                <w:rFonts w:cs="Arial"/>
                <w:b/>
                <w:sz w:val="22"/>
                <w:szCs w:val="22"/>
              </w:rPr>
              <w:t xml:space="preserve">Project </w:t>
            </w:r>
          </w:p>
        </w:tc>
      </w:tr>
      <w:tr w:rsidR="00E8657C" w:rsidRPr="00103565" w:rsidTr="00103565">
        <w:tc>
          <w:tcPr>
            <w:tcW w:w="3403" w:type="dxa"/>
          </w:tcPr>
          <w:p w:rsidR="00FD66BA" w:rsidRPr="00103565" w:rsidRDefault="00FD66BA" w:rsidP="00FD66BA">
            <w:pPr>
              <w:rPr>
                <w:rFonts w:cs="Arial"/>
                <w:sz w:val="22"/>
                <w:szCs w:val="22"/>
              </w:rPr>
            </w:pPr>
            <w:r w:rsidRPr="00103565">
              <w:rPr>
                <w:rFonts w:cs="Arial"/>
                <w:bCs/>
                <w:sz w:val="22"/>
                <w:szCs w:val="22"/>
              </w:rPr>
              <w:t>Children and Family Services</w:t>
            </w:r>
          </w:p>
          <w:p w:rsidR="00E8657C" w:rsidRPr="00103565" w:rsidRDefault="00E8657C">
            <w:pPr>
              <w:rPr>
                <w:rFonts w:cs="Arial"/>
                <w:sz w:val="22"/>
                <w:szCs w:val="22"/>
              </w:rPr>
            </w:pPr>
          </w:p>
        </w:tc>
        <w:tc>
          <w:tcPr>
            <w:tcW w:w="7229" w:type="dxa"/>
          </w:tcPr>
          <w:p w:rsidR="00E8657C" w:rsidRPr="00103565" w:rsidRDefault="00E8657C" w:rsidP="00812519">
            <w:pPr>
              <w:jc w:val="both"/>
              <w:rPr>
                <w:rFonts w:cs="Arial"/>
                <w:sz w:val="22"/>
                <w:szCs w:val="22"/>
              </w:rPr>
            </w:pPr>
            <w:r w:rsidRPr="00103565">
              <w:rPr>
                <w:rFonts w:cs="Arial"/>
                <w:sz w:val="22"/>
                <w:szCs w:val="22"/>
              </w:rPr>
              <w:t>The Exploitation Team, St Giles and the Youth Justice Team are working collaboratively with each other to develop an educational training programme for schools and youth centres, focusing on current issues such as se</w:t>
            </w:r>
            <w:r w:rsidR="009D0302" w:rsidRPr="00103565">
              <w:rPr>
                <w:rFonts w:cs="Arial"/>
                <w:sz w:val="22"/>
                <w:szCs w:val="22"/>
              </w:rPr>
              <w:t>rious youth violence, criminal/</w:t>
            </w:r>
            <w:r w:rsidRPr="00103565">
              <w:rPr>
                <w:rFonts w:cs="Arial"/>
                <w:sz w:val="22"/>
                <w:szCs w:val="22"/>
              </w:rPr>
              <w:t xml:space="preserve">sexual exploitation. </w:t>
            </w:r>
          </w:p>
          <w:p w:rsidR="00103565" w:rsidRPr="00103565" w:rsidRDefault="00103565" w:rsidP="00812519">
            <w:pPr>
              <w:jc w:val="both"/>
              <w:rPr>
                <w:rFonts w:cs="Arial"/>
                <w:sz w:val="22"/>
                <w:szCs w:val="22"/>
              </w:rPr>
            </w:pPr>
          </w:p>
        </w:tc>
      </w:tr>
      <w:tr w:rsidR="00E8657C" w:rsidRPr="00103565" w:rsidTr="00103565">
        <w:tc>
          <w:tcPr>
            <w:tcW w:w="3403" w:type="dxa"/>
          </w:tcPr>
          <w:p w:rsidR="00FD66BA" w:rsidRPr="00103565" w:rsidRDefault="00FD66BA" w:rsidP="00FD66BA">
            <w:pPr>
              <w:rPr>
                <w:rFonts w:cs="Arial"/>
                <w:sz w:val="22"/>
                <w:szCs w:val="22"/>
              </w:rPr>
            </w:pPr>
            <w:r w:rsidRPr="00103565">
              <w:rPr>
                <w:rFonts w:cs="Arial"/>
                <w:bCs/>
                <w:sz w:val="22"/>
                <w:szCs w:val="22"/>
              </w:rPr>
              <w:t>Children and Family Services</w:t>
            </w:r>
          </w:p>
          <w:p w:rsidR="00E8657C" w:rsidRPr="00103565" w:rsidRDefault="00E8657C">
            <w:pPr>
              <w:rPr>
                <w:rFonts w:cs="Arial"/>
                <w:sz w:val="22"/>
                <w:szCs w:val="22"/>
              </w:rPr>
            </w:pPr>
          </w:p>
        </w:tc>
        <w:tc>
          <w:tcPr>
            <w:tcW w:w="7229" w:type="dxa"/>
          </w:tcPr>
          <w:p w:rsidR="00E8657C" w:rsidRPr="00103565" w:rsidRDefault="00E8657C" w:rsidP="00812519">
            <w:pPr>
              <w:jc w:val="both"/>
              <w:rPr>
                <w:rFonts w:cs="Arial"/>
                <w:sz w:val="22"/>
                <w:szCs w:val="22"/>
              </w:rPr>
            </w:pPr>
            <w:r w:rsidRPr="00103565">
              <w:rPr>
                <w:rFonts w:cs="Arial"/>
                <w:sz w:val="22"/>
                <w:szCs w:val="22"/>
              </w:rPr>
              <w:t xml:space="preserve">Local research published in December 2015 (Troubled Families, Tragic Consequences) found that young people who had been exposed to trauma as children are more likely to become involved in serious violence.  To prevent this, and to ensure that vulnerable children have access to mental support, LBTH has funded a mental health social worker who will be based in the Multi-Agency Safeguarding Hub (MASH). </w:t>
            </w:r>
          </w:p>
          <w:p w:rsidR="00103565" w:rsidRPr="00103565" w:rsidRDefault="00103565" w:rsidP="00812519">
            <w:pPr>
              <w:jc w:val="both"/>
              <w:rPr>
                <w:rFonts w:cs="Arial"/>
                <w:sz w:val="22"/>
                <w:szCs w:val="22"/>
              </w:rPr>
            </w:pPr>
          </w:p>
        </w:tc>
      </w:tr>
      <w:tr w:rsidR="00E8657C" w:rsidRPr="00103565" w:rsidTr="00103565">
        <w:tc>
          <w:tcPr>
            <w:tcW w:w="3403" w:type="dxa"/>
          </w:tcPr>
          <w:p w:rsidR="00FD66BA" w:rsidRPr="00103565" w:rsidRDefault="00FD66BA" w:rsidP="00FD66BA">
            <w:pPr>
              <w:rPr>
                <w:rFonts w:cs="Arial"/>
                <w:sz w:val="22"/>
                <w:szCs w:val="22"/>
              </w:rPr>
            </w:pPr>
            <w:r w:rsidRPr="00103565">
              <w:rPr>
                <w:rFonts w:cs="Arial"/>
                <w:bCs/>
                <w:sz w:val="22"/>
                <w:szCs w:val="22"/>
              </w:rPr>
              <w:t>Children and Family Services</w:t>
            </w:r>
          </w:p>
          <w:p w:rsidR="00E8657C" w:rsidRPr="00103565" w:rsidRDefault="00E8657C">
            <w:pPr>
              <w:rPr>
                <w:rFonts w:cs="Arial"/>
                <w:sz w:val="22"/>
                <w:szCs w:val="22"/>
              </w:rPr>
            </w:pPr>
          </w:p>
        </w:tc>
        <w:tc>
          <w:tcPr>
            <w:tcW w:w="7229" w:type="dxa"/>
          </w:tcPr>
          <w:p w:rsidR="00E8657C" w:rsidRPr="00103565" w:rsidRDefault="00E8657C" w:rsidP="00812519">
            <w:pPr>
              <w:jc w:val="both"/>
              <w:rPr>
                <w:rFonts w:cs="Arial"/>
                <w:sz w:val="22"/>
                <w:szCs w:val="22"/>
              </w:rPr>
            </w:pPr>
            <w:r w:rsidRPr="00103565">
              <w:rPr>
                <w:rFonts w:cs="Arial"/>
                <w:sz w:val="22"/>
                <w:szCs w:val="22"/>
              </w:rPr>
              <w:t>LBTH is currently considering how to deliver Public Health related violent crime interventions for example skilling up young people to deliver training to their peers in educational settings. The training would be around gangs/groups, CSE, staying safe, county lines, criminal exploitation (Glasgow Violent Crime Reduction Project recommendation)</w:t>
            </w:r>
          </w:p>
          <w:p w:rsidR="00103565" w:rsidRPr="00103565" w:rsidRDefault="00103565" w:rsidP="00812519">
            <w:pPr>
              <w:jc w:val="both"/>
              <w:rPr>
                <w:rFonts w:cs="Arial"/>
                <w:sz w:val="22"/>
                <w:szCs w:val="22"/>
              </w:rPr>
            </w:pPr>
          </w:p>
        </w:tc>
      </w:tr>
      <w:tr w:rsidR="00E8657C" w:rsidRPr="00103565" w:rsidTr="00103565">
        <w:tc>
          <w:tcPr>
            <w:tcW w:w="3403" w:type="dxa"/>
          </w:tcPr>
          <w:p w:rsidR="00E8657C" w:rsidRPr="00103565" w:rsidRDefault="00FD66BA">
            <w:pPr>
              <w:rPr>
                <w:rFonts w:cs="Arial"/>
                <w:sz w:val="22"/>
                <w:szCs w:val="22"/>
              </w:rPr>
            </w:pPr>
            <w:r w:rsidRPr="00103565">
              <w:rPr>
                <w:rFonts w:cs="Arial"/>
                <w:sz w:val="22"/>
                <w:szCs w:val="22"/>
              </w:rPr>
              <w:t xml:space="preserve">Youth Services </w:t>
            </w:r>
          </w:p>
        </w:tc>
        <w:tc>
          <w:tcPr>
            <w:tcW w:w="7229" w:type="dxa"/>
          </w:tcPr>
          <w:p w:rsidR="00E8657C" w:rsidRPr="00103565" w:rsidRDefault="00E8657C" w:rsidP="00812519">
            <w:pPr>
              <w:jc w:val="both"/>
              <w:rPr>
                <w:rFonts w:cs="Arial"/>
                <w:sz w:val="22"/>
                <w:szCs w:val="22"/>
              </w:rPr>
            </w:pPr>
            <w:r w:rsidRPr="00103565">
              <w:rPr>
                <w:rFonts w:cs="Arial"/>
                <w:sz w:val="22"/>
                <w:szCs w:val="22"/>
              </w:rPr>
              <w:t xml:space="preserve">The exploitation of vulnerable young women is being addressed by the Youth Service's </w:t>
            </w:r>
            <w:r w:rsidR="007D6E81" w:rsidRPr="00103565">
              <w:rPr>
                <w:rFonts w:cs="Arial"/>
                <w:sz w:val="22"/>
                <w:szCs w:val="22"/>
              </w:rPr>
              <w:t>‘A</w:t>
            </w:r>
            <w:r w:rsidRPr="00103565">
              <w:rPr>
                <w:rFonts w:cs="Arial"/>
                <w:sz w:val="22"/>
                <w:szCs w:val="22"/>
              </w:rPr>
              <w:t xml:space="preserve"> Team Arts project’ </w:t>
            </w:r>
            <w:r w:rsidR="00812519" w:rsidRPr="00103565">
              <w:rPr>
                <w:rFonts w:cs="Arial"/>
                <w:sz w:val="22"/>
                <w:szCs w:val="22"/>
              </w:rPr>
              <w:t>that</w:t>
            </w:r>
            <w:r w:rsidRPr="00103565">
              <w:rPr>
                <w:rFonts w:cs="Arial"/>
                <w:sz w:val="22"/>
                <w:szCs w:val="22"/>
              </w:rPr>
              <w:t xml:space="preserve"> run a 3 hour CSE workshop called 'Her Link' in schools, Youth Centres and Community Centre</w:t>
            </w:r>
            <w:r w:rsidR="00812519" w:rsidRPr="00103565">
              <w:rPr>
                <w:rFonts w:cs="Arial"/>
                <w:sz w:val="22"/>
                <w:szCs w:val="22"/>
              </w:rPr>
              <w:t>s</w:t>
            </w:r>
            <w:r w:rsidRPr="00103565">
              <w:rPr>
                <w:rFonts w:cs="Arial"/>
                <w:sz w:val="22"/>
                <w:szCs w:val="22"/>
              </w:rPr>
              <w:t>. The workshop aims to:</w:t>
            </w:r>
          </w:p>
          <w:p w:rsidR="00AE664F" w:rsidRPr="00103565" w:rsidRDefault="004C4A6A" w:rsidP="00812519">
            <w:pPr>
              <w:numPr>
                <w:ilvl w:val="0"/>
                <w:numId w:val="3"/>
              </w:numPr>
              <w:jc w:val="both"/>
              <w:rPr>
                <w:rFonts w:cs="Arial"/>
                <w:sz w:val="22"/>
                <w:szCs w:val="22"/>
              </w:rPr>
            </w:pPr>
            <w:r w:rsidRPr="00103565">
              <w:rPr>
                <w:rFonts w:cs="Arial"/>
                <w:sz w:val="22"/>
                <w:szCs w:val="22"/>
              </w:rPr>
              <w:t>Explore young pe</w:t>
            </w:r>
            <w:r w:rsidR="00812519" w:rsidRPr="00103565">
              <w:rPr>
                <w:rFonts w:cs="Arial"/>
                <w:sz w:val="22"/>
                <w:szCs w:val="22"/>
              </w:rPr>
              <w:t xml:space="preserve">ople’s understanding of what </w:t>
            </w:r>
            <w:r w:rsidRPr="00103565">
              <w:rPr>
                <w:rFonts w:cs="Arial"/>
                <w:sz w:val="22"/>
                <w:szCs w:val="22"/>
              </w:rPr>
              <w:t>the meaning of exploitation and consent</w:t>
            </w:r>
            <w:r w:rsidR="00812519" w:rsidRPr="00103565">
              <w:rPr>
                <w:rFonts w:cs="Arial"/>
                <w:sz w:val="22"/>
                <w:szCs w:val="22"/>
              </w:rPr>
              <w:t xml:space="preserve"> is</w:t>
            </w:r>
          </w:p>
          <w:p w:rsidR="00E8657C" w:rsidRPr="00103565" w:rsidRDefault="004C4A6A" w:rsidP="00812519">
            <w:pPr>
              <w:numPr>
                <w:ilvl w:val="0"/>
                <w:numId w:val="3"/>
              </w:numPr>
              <w:jc w:val="both"/>
              <w:rPr>
                <w:rFonts w:cs="Arial"/>
                <w:sz w:val="22"/>
                <w:szCs w:val="22"/>
              </w:rPr>
            </w:pPr>
            <w:r w:rsidRPr="00103565">
              <w:rPr>
                <w:rFonts w:cs="Arial"/>
                <w:sz w:val="22"/>
                <w:szCs w:val="22"/>
              </w:rPr>
              <w:t xml:space="preserve">Know how to recognise the signs and indicators of grooming </w:t>
            </w:r>
            <w:r w:rsidRPr="00103565">
              <w:rPr>
                <w:rFonts w:cs="Arial"/>
                <w:sz w:val="22"/>
                <w:szCs w:val="22"/>
              </w:rPr>
              <w:lastRenderedPageBreak/>
              <w:t>and sexual exploitation</w:t>
            </w:r>
          </w:p>
          <w:p w:rsidR="00E8657C" w:rsidRDefault="00E8657C" w:rsidP="00812519">
            <w:pPr>
              <w:numPr>
                <w:ilvl w:val="0"/>
                <w:numId w:val="3"/>
              </w:numPr>
              <w:jc w:val="both"/>
              <w:rPr>
                <w:rFonts w:cs="Arial"/>
                <w:sz w:val="22"/>
                <w:szCs w:val="22"/>
              </w:rPr>
            </w:pPr>
            <w:r w:rsidRPr="00103565">
              <w:rPr>
                <w:rFonts w:cs="Arial"/>
                <w:sz w:val="22"/>
                <w:szCs w:val="22"/>
              </w:rPr>
              <w:t>Use puppetry as a safe way for young people to do scenario work in order to increase early identification of CSE and what to do to get help. </w:t>
            </w:r>
          </w:p>
          <w:p w:rsidR="00103565" w:rsidRPr="00103565" w:rsidRDefault="00103565" w:rsidP="00812519">
            <w:pPr>
              <w:numPr>
                <w:ilvl w:val="0"/>
                <w:numId w:val="3"/>
              </w:numPr>
              <w:jc w:val="both"/>
              <w:rPr>
                <w:rFonts w:cs="Arial"/>
                <w:sz w:val="22"/>
                <w:szCs w:val="22"/>
              </w:rPr>
            </w:pPr>
          </w:p>
        </w:tc>
      </w:tr>
      <w:tr w:rsidR="00E8657C" w:rsidRPr="00103565" w:rsidTr="00103565">
        <w:tc>
          <w:tcPr>
            <w:tcW w:w="3403" w:type="dxa"/>
          </w:tcPr>
          <w:p w:rsidR="00E8657C" w:rsidRPr="00103565" w:rsidRDefault="00FD66BA">
            <w:pPr>
              <w:rPr>
                <w:rFonts w:cs="Arial"/>
                <w:sz w:val="22"/>
                <w:szCs w:val="22"/>
              </w:rPr>
            </w:pPr>
            <w:r w:rsidRPr="00103565">
              <w:rPr>
                <w:rFonts w:cs="Arial"/>
                <w:sz w:val="22"/>
                <w:szCs w:val="22"/>
              </w:rPr>
              <w:lastRenderedPageBreak/>
              <w:t xml:space="preserve">Youth Services </w:t>
            </w:r>
          </w:p>
        </w:tc>
        <w:tc>
          <w:tcPr>
            <w:tcW w:w="7229" w:type="dxa"/>
          </w:tcPr>
          <w:p w:rsidR="00E8657C" w:rsidRDefault="00FD66BA" w:rsidP="00812519">
            <w:pPr>
              <w:jc w:val="both"/>
              <w:rPr>
                <w:rFonts w:cs="Arial"/>
                <w:sz w:val="22"/>
                <w:szCs w:val="22"/>
              </w:rPr>
            </w:pPr>
            <w:r w:rsidRPr="00103565">
              <w:rPr>
                <w:rFonts w:cs="Arial"/>
                <w:sz w:val="22"/>
                <w:szCs w:val="22"/>
              </w:rPr>
              <w:t xml:space="preserve">Restorative practices and conflict resolution </w:t>
            </w:r>
            <w:proofErr w:type="gramStart"/>
            <w:r w:rsidRPr="00103565">
              <w:rPr>
                <w:rFonts w:cs="Arial"/>
                <w:sz w:val="22"/>
                <w:szCs w:val="22"/>
              </w:rPr>
              <w:t>is</w:t>
            </w:r>
            <w:proofErr w:type="gramEnd"/>
            <w:r w:rsidRPr="00103565">
              <w:rPr>
                <w:rFonts w:cs="Arial"/>
                <w:sz w:val="22"/>
                <w:szCs w:val="22"/>
              </w:rPr>
              <w:t xml:space="preserve"> being rolled out across the borough to enable children and young people to learn how to deescalate scenarios before they become violent</w:t>
            </w:r>
          </w:p>
          <w:p w:rsidR="00103565" w:rsidRPr="00103565" w:rsidRDefault="00103565" w:rsidP="00812519">
            <w:pPr>
              <w:jc w:val="both"/>
              <w:rPr>
                <w:rFonts w:cs="Arial"/>
                <w:sz w:val="22"/>
                <w:szCs w:val="22"/>
              </w:rPr>
            </w:pPr>
          </w:p>
        </w:tc>
      </w:tr>
      <w:tr w:rsidR="007D6E81" w:rsidRPr="00103565" w:rsidTr="00103565">
        <w:tc>
          <w:tcPr>
            <w:tcW w:w="3403" w:type="dxa"/>
          </w:tcPr>
          <w:p w:rsidR="007D6E81" w:rsidRPr="00103565" w:rsidRDefault="007D6E81" w:rsidP="00BF030D">
            <w:pPr>
              <w:rPr>
                <w:rFonts w:cs="Arial"/>
                <w:sz w:val="22"/>
                <w:szCs w:val="22"/>
              </w:rPr>
            </w:pPr>
            <w:r w:rsidRPr="00103565">
              <w:rPr>
                <w:rFonts w:cs="Arial"/>
                <w:sz w:val="22"/>
                <w:szCs w:val="22"/>
              </w:rPr>
              <w:t xml:space="preserve">Youth Services </w:t>
            </w:r>
          </w:p>
        </w:tc>
        <w:tc>
          <w:tcPr>
            <w:tcW w:w="7229" w:type="dxa"/>
          </w:tcPr>
          <w:p w:rsidR="007D6E81" w:rsidRDefault="007D6E81" w:rsidP="00812519">
            <w:pPr>
              <w:jc w:val="both"/>
              <w:rPr>
                <w:rFonts w:cs="Arial"/>
                <w:sz w:val="22"/>
                <w:szCs w:val="22"/>
              </w:rPr>
            </w:pPr>
            <w:r w:rsidRPr="00103565">
              <w:rPr>
                <w:rFonts w:cs="Arial"/>
                <w:sz w:val="22"/>
                <w:szCs w:val="22"/>
              </w:rPr>
              <w:t xml:space="preserve">LBTH has 18 youth hubs across the borough that aim to keep young people safe as well as providing the opportunity to receive support if it is needed. </w:t>
            </w:r>
          </w:p>
          <w:p w:rsidR="00103565" w:rsidRPr="00103565" w:rsidRDefault="00103565" w:rsidP="00812519">
            <w:pPr>
              <w:jc w:val="both"/>
              <w:rPr>
                <w:rFonts w:cs="Arial"/>
                <w:sz w:val="22"/>
                <w:szCs w:val="22"/>
              </w:rPr>
            </w:pPr>
          </w:p>
        </w:tc>
      </w:tr>
      <w:tr w:rsidR="00552668" w:rsidRPr="00103565" w:rsidTr="00103565">
        <w:tc>
          <w:tcPr>
            <w:tcW w:w="3403" w:type="dxa"/>
          </w:tcPr>
          <w:p w:rsidR="00552668" w:rsidRPr="00103565" w:rsidRDefault="001C08B2" w:rsidP="00085E1E">
            <w:pPr>
              <w:rPr>
                <w:rFonts w:cs="Arial"/>
                <w:sz w:val="22"/>
                <w:szCs w:val="22"/>
              </w:rPr>
            </w:pPr>
            <w:r w:rsidRPr="00103565">
              <w:rPr>
                <w:rFonts w:cs="Arial"/>
                <w:sz w:val="22"/>
                <w:szCs w:val="22"/>
              </w:rPr>
              <w:t>Child and Adolescent Mental Health Services (CAHMS)</w:t>
            </w:r>
          </w:p>
        </w:tc>
        <w:tc>
          <w:tcPr>
            <w:tcW w:w="7229" w:type="dxa"/>
          </w:tcPr>
          <w:p w:rsidR="00DA7090" w:rsidRPr="00103565" w:rsidRDefault="001C08B2" w:rsidP="00812519">
            <w:pPr>
              <w:jc w:val="both"/>
              <w:rPr>
                <w:rFonts w:cs="Arial"/>
                <w:color w:val="000000"/>
                <w:sz w:val="22"/>
                <w:szCs w:val="22"/>
                <w:lang w:val="en"/>
              </w:rPr>
            </w:pPr>
            <w:r w:rsidRPr="00103565">
              <w:rPr>
                <w:rFonts w:cs="Arial"/>
                <w:color w:val="000000"/>
                <w:sz w:val="22"/>
                <w:szCs w:val="22"/>
                <w:lang w:val="en"/>
              </w:rPr>
              <w:t xml:space="preserve">CAHMS provides early intervention and treatment to support children, adolescent and families affected by violence and related issues such as </w:t>
            </w:r>
            <w:r w:rsidR="00DA7090" w:rsidRPr="00103565">
              <w:rPr>
                <w:rFonts w:cs="Arial"/>
                <w:color w:val="000000"/>
                <w:sz w:val="22"/>
                <w:szCs w:val="22"/>
                <w:lang w:val="en"/>
              </w:rPr>
              <w:t>anger/behavioral difficulties and trauma and abuse.</w:t>
            </w:r>
          </w:p>
          <w:p w:rsidR="00DA7090" w:rsidRPr="00103565" w:rsidRDefault="00DA7090" w:rsidP="00812519">
            <w:pPr>
              <w:jc w:val="both"/>
              <w:rPr>
                <w:rFonts w:cs="Arial"/>
                <w:color w:val="000000"/>
                <w:sz w:val="22"/>
                <w:szCs w:val="22"/>
                <w:lang w:val="en"/>
              </w:rPr>
            </w:pPr>
          </w:p>
          <w:p w:rsidR="009D2C73" w:rsidRDefault="001C08B2" w:rsidP="00812519">
            <w:pPr>
              <w:jc w:val="both"/>
              <w:rPr>
                <w:rFonts w:cs="Arial"/>
                <w:color w:val="000000"/>
                <w:sz w:val="22"/>
                <w:szCs w:val="22"/>
                <w:lang w:val="en"/>
              </w:rPr>
            </w:pPr>
            <w:r w:rsidRPr="00103565">
              <w:rPr>
                <w:rFonts w:cs="Arial"/>
                <w:color w:val="000000"/>
                <w:sz w:val="22"/>
                <w:szCs w:val="22"/>
                <w:lang w:val="en"/>
              </w:rPr>
              <w:t>Work at CAMHS may be in groups (with people in similar situations) or as individuals/families.</w:t>
            </w:r>
          </w:p>
          <w:p w:rsidR="00103565" w:rsidRPr="00103565" w:rsidRDefault="00103565" w:rsidP="00812519">
            <w:pPr>
              <w:jc w:val="both"/>
              <w:rPr>
                <w:rFonts w:cs="Arial"/>
                <w:color w:val="000000"/>
                <w:sz w:val="22"/>
                <w:szCs w:val="22"/>
                <w:lang w:val="en"/>
              </w:rPr>
            </w:pPr>
          </w:p>
        </w:tc>
      </w:tr>
      <w:tr w:rsidR="009D2C73" w:rsidRPr="00103565" w:rsidTr="00103565">
        <w:tc>
          <w:tcPr>
            <w:tcW w:w="3403" w:type="dxa"/>
          </w:tcPr>
          <w:p w:rsidR="009D2C73" w:rsidRPr="00103565" w:rsidRDefault="009D2C73" w:rsidP="00085E1E">
            <w:pPr>
              <w:rPr>
                <w:rFonts w:cs="Arial"/>
                <w:sz w:val="22"/>
                <w:szCs w:val="22"/>
              </w:rPr>
            </w:pPr>
            <w:r w:rsidRPr="00103565">
              <w:rPr>
                <w:rFonts w:cs="Arial"/>
                <w:sz w:val="22"/>
                <w:szCs w:val="22"/>
              </w:rPr>
              <w:t>Tower Hamlets Youth Offending Team</w:t>
            </w:r>
          </w:p>
        </w:tc>
        <w:tc>
          <w:tcPr>
            <w:tcW w:w="7229" w:type="dxa"/>
          </w:tcPr>
          <w:p w:rsidR="00103565" w:rsidRDefault="009D2C73" w:rsidP="00103565">
            <w:pPr>
              <w:pStyle w:val="NoSpacing"/>
              <w:ind w:right="-112"/>
              <w:rPr>
                <w:rFonts w:cs="Arial"/>
                <w:sz w:val="22"/>
                <w:szCs w:val="22"/>
              </w:rPr>
            </w:pPr>
            <w:r w:rsidRPr="00103565">
              <w:rPr>
                <w:rFonts w:cs="Arial"/>
                <w:sz w:val="22"/>
                <w:szCs w:val="22"/>
              </w:rPr>
              <w:t>The YOT works with young people (aged 10 to 18</w:t>
            </w:r>
            <w:r w:rsidR="00812519" w:rsidRPr="00103565">
              <w:rPr>
                <w:rFonts w:cs="Arial"/>
                <w:sz w:val="22"/>
                <w:szCs w:val="22"/>
              </w:rPr>
              <w:t>) in</w:t>
            </w:r>
            <w:r w:rsidRPr="00103565">
              <w:rPr>
                <w:rFonts w:cs="Arial"/>
                <w:sz w:val="22"/>
                <w:szCs w:val="22"/>
              </w:rPr>
              <w:t xml:space="preserve"> the criminal</w:t>
            </w:r>
            <w:r w:rsidR="00103565">
              <w:rPr>
                <w:rFonts w:cs="Arial"/>
                <w:sz w:val="22"/>
                <w:szCs w:val="22"/>
              </w:rPr>
              <w:t xml:space="preserve"> </w:t>
            </w:r>
            <w:r w:rsidRPr="00103565">
              <w:rPr>
                <w:rFonts w:cs="Arial"/>
                <w:sz w:val="22"/>
                <w:szCs w:val="22"/>
              </w:rPr>
              <w:t xml:space="preserve">justice system including young people who have been involved in violence. They also work with the wider community to prevent vulnerable young people entering the criminal justice </w:t>
            </w:r>
            <w:r w:rsidR="007A05B4" w:rsidRPr="00103565">
              <w:rPr>
                <w:rFonts w:cs="Arial"/>
                <w:sz w:val="22"/>
                <w:szCs w:val="22"/>
              </w:rPr>
              <w:t>system.</w:t>
            </w:r>
          </w:p>
          <w:p w:rsidR="00414479" w:rsidRPr="00103565" w:rsidRDefault="00414479" w:rsidP="00103565">
            <w:pPr>
              <w:pStyle w:val="NoSpacing"/>
              <w:ind w:right="-112"/>
              <w:rPr>
                <w:rFonts w:cs="Arial"/>
                <w:sz w:val="22"/>
                <w:szCs w:val="22"/>
              </w:rPr>
            </w:pPr>
          </w:p>
        </w:tc>
      </w:tr>
      <w:tr w:rsidR="007D6E81" w:rsidRPr="00103565" w:rsidTr="00103565">
        <w:tc>
          <w:tcPr>
            <w:tcW w:w="3403" w:type="dxa"/>
          </w:tcPr>
          <w:p w:rsidR="007D6E81" w:rsidRPr="00103565" w:rsidRDefault="007D6E81" w:rsidP="00085E1E">
            <w:pPr>
              <w:rPr>
                <w:rFonts w:cs="Arial"/>
                <w:sz w:val="22"/>
                <w:szCs w:val="22"/>
              </w:rPr>
            </w:pPr>
            <w:r w:rsidRPr="00103565">
              <w:rPr>
                <w:rFonts w:cs="Arial"/>
                <w:sz w:val="22"/>
                <w:szCs w:val="22"/>
              </w:rPr>
              <w:t xml:space="preserve">Education Services </w:t>
            </w:r>
          </w:p>
        </w:tc>
        <w:tc>
          <w:tcPr>
            <w:tcW w:w="7229" w:type="dxa"/>
          </w:tcPr>
          <w:p w:rsidR="007D6E81" w:rsidRDefault="007D6E81" w:rsidP="00812519">
            <w:pPr>
              <w:jc w:val="both"/>
              <w:rPr>
                <w:rFonts w:cs="Arial"/>
                <w:sz w:val="22"/>
                <w:szCs w:val="22"/>
              </w:rPr>
            </w:pPr>
            <w:r w:rsidRPr="00103565">
              <w:rPr>
                <w:rFonts w:cs="Arial"/>
                <w:sz w:val="22"/>
                <w:szCs w:val="22"/>
              </w:rPr>
              <w:t xml:space="preserve">Tower Hamlets </w:t>
            </w:r>
            <w:r w:rsidR="001C08B2" w:rsidRPr="00103565">
              <w:rPr>
                <w:rFonts w:cs="Arial"/>
                <w:sz w:val="22"/>
                <w:szCs w:val="22"/>
              </w:rPr>
              <w:t xml:space="preserve">education services </w:t>
            </w:r>
            <w:r w:rsidR="00784E3D" w:rsidRPr="00103565">
              <w:rPr>
                <w:rFonts w:cs="Arial"/>
                <w:sz w:val="22"/>
                <w:szCs w:val="22"/>
              </w:rPr>
              <w:t xml:space="preserve">provide a range of services to reduce and prevent violence amongst </w:t>
            </w:r>
            <w:r w:rsidR="00B95948" w:rsidRPr="00103565">
              <w:rPr>
                <w:rFonts w:cs="Arial"/>
                <w:sz w:val="22"/>
                <w:szCs w:val="22"/>
              </w:rPr>
              <w:t xml:space="preserve">children. This includes training for teaching assistants so they can support children emotionally </w:t>
            </w:r>
            <w:r w:rsidR="007A05B4" w:rsidRPr="00103565">
              <w:rPr>
                <w:rFonts w:cs="Arial"/>
                <w:sz w:val="22"/>
                <w:szCs w:val="22"/>
              </w:rPr>
              <w:t>and whole</w:t>
            </w:r>
            <w:r w:rsidR="00B95948" w:rsidRPr="00103565">
              <w:rPr>
                <w:rFonts w:cs="Arial"/>
                <w:sz w:val="22"/>
                <w:szCs w:val="22"/>
              </w:rPr>
              <w:t xml:space="preserve"> school training to support children who are undergoing trauma.</w:t>
            </w:r>
          </w:p>
          <w:p w:rsidR="00414479" w:rsidRPr="00103565" w:rsidRDefault="00414479" w:rsidP="00812519">
            <w:pPr>
              <w:jc w:val="both"/>
              <w:rPr>
                <w:rFonts w:cs="Arial"/>
                <w:sz w:val="22"/>
                <w:szCs w:val="22"/>
              </w:rPr>
            </w:pPr>
          </w:p>
        </w:tc>
      </w:tr>
      <w:tr w:rsidR="00100290" w:rsidRPr="00103565" w:rsidTr="00103565">
        <w:tc>
          <w:tcPr>
            <w:tcW w:w="3403" w:type="dxa"/>
          </w:tcPr>
          <w:p w:rsidR="00100290" w:rsidRPr="00103565" w:rsidRDefault="00100290" w:rsidP="00BF030D">
            <w:pPr>
              <w:rPr>
                <w:rFonts w:cs="Arial"/>
                <w:sz w:val="22"/>
                <w:szCs w:val="22"/>
              </w:rPr>
            </w:pPr>
            <w:r w:rsidRPr="00103565">
              <w:rPr>
                <w:rFonts w:cs="Arial"/>
                <w:sz w:val="22"/>
                <w:szCs w:val="22"/>
              </w:rPr>
              <w:t>Adult Social Care</w:t>
            </w:r>
          </w:p>
        </w:tc>
        <w:tc>
          <w:tcPr>
            <w:tcW w:w="7229" w:type="dxa"/>
          </w:tcPr>
          <w:p w:rsidR="00100290" w:rsidRDefault="00100290" w:rsidP="00812519">
            <w:pPr>
              <w:jc w:val="both"/>
              <w:rPr>
                <w:rFonts w:cs="Arial"/>
                <w:sz w:val="22"/>
                <w:szCs w:val="22"/>
              </w:rPr>
            </w:pPr>
            <w:r w:rsidRPr="00103565">
              <w:rPr>
                <w:rFonts w:cs="Arial"/>
                <w:sz w:val="22"/>
                <w:szCs w:val="22"/>
              </w:rPr>
              <w:t>The Safeguarding Adults Board works to support vulnerable people to become more aware of and resilient to abuse, violence and exploitation. Over Safeguarding month, for example, a series of awareness-raising workshops are being held on issues such as modern slavery.</w:t>
            </w:r>
          </w:p>
          <w:p w:rsidR="00414479" w:rsidRPr="00103565" w:rsidRDefault="00414479" w:rsidP="00812519">
            <w:pPr>
              <w:jc w:val="both"/>
              <w:rPr>
                <w:rFonts w:cs="Arial"/>
                <w:sz w:val="22"/>
                <w:szCs w:val="22"/>
              </w:rPr>
            </w:pPr>
          </w:p>
        </w:tc>
      </w:tr>
      <w:tr w:rsidR="00100290" w:rsidRPr="00103565" w:rsidTr="00103565">
        <w:tc>
          <w:tcPr>
            <w:tcW w:w="3403" w:type="dxa"/>
          </w:tcPr>
          <w:p w:rsidR="00100290" w:rsidRPr="00103565" w:rsidRDefault="00100290" w:rsidP="00BF030D">
            <w:pPr>
              <w:rPr>
                <w:rFonts w:cs="Arial"/>
                <w:sz w:val="22"/>
                <w:szCs w:val="22"/>
              </w:rPr>
            </w:pPr>
            <w:r w:rsidRPr="00103565">
              <w:rPr>
                <w:rFonts w:cs="Arial"/>
                <w:sz w:val="22"/>
                <w:szCs w:val="22"/>
              </w:rPr>
              <w:t>Adult Social Care</w:t>
            </w:r>
          </w:p>
        </w:tc>
        <w:tc>
          <w:tcPr>
            <w:tcW w:w="7229" w:type="dxa"/>
          </w:tcPr>
          <w:p w:rsidR="00100290" w:rsidRDefault="007D6E81" w:rsidP="00812519">
            <w:pPr>
              <w:jc w:val="both"/>
              <w:rPr>
                <w:rFonts w:cs="Arial"/>
                <w:sz w:val="22"/>
                <w:szCs w:val="22"/>
              </w:rPr>
            </w:pPr>
            <w:r w:rsidRPr="00103565">
              <w:rPr>
                <w:rFonts w:cs="Arial"/>
                <w:sz w:val="22"/>
                <w:szCs w:val="22"/>
              </w:rPr>
              <w:t>The staff</w:t>
            </w:r>
            <w:r w:rsidR="00100290" w:rsidRPr="00103565">
              <w:rPr>
                <w:rFonts w:cs="Arial"/>
                <w:sz w:val="22"/>
                <w:szCs w:val="22"/>
              </w:rPr>
              <w:t xml:space="preserve"> in </w:t>
            </w:r>
            <w:r w:rsidR="00127585" w:rsidRPr="00103565">
              <w:rPr>
                <w:rFonts w:cs="Arial"/>
                <w:sz w:val="22"/>
                <w:szCs w:val="22"/>
              </w:rPr>
              <w:t xml:space="preserve">adult </w:t>
            </w:r>
            <w:r w:rsidR="00100290" w:rsidRPr="00103565">
              <w:rPr>
                <w:rFonts w:cs="Arial"/>
                <w:sz w:val="22"/>
                <w:szCs w:val="22"/>
              </w:rPr>
              <w:t xml:space="preserve">social care are currently exploring how to support vulnerable young people who are aging out of children services </w:t>
            </w:r>
            <w:r w:rsidR="00127585" w:rsidRPr="00103565">
              <w:rPr>
                <w:rFonts w:cs="Arial"/>
                <w:sz w:val="22"/>
                <w:szCs w:val="22"/>
              </w:rPr>
              <w:t>and who</w:t>
            </w:r>
            <w:r w:rsidR="00100290" w:rsidRPr="00103565">
              <w:rPr>
                <w:rFonts w:cs="Arial"/>
                <w:sz w:val="22"/>
                <w:szCs w:val="22"/>
              </w:rPr>
              <w:t xml:space="preserve"> still need interventions but do not meet the threshold for support from Adult Social Care. This is being done in consultation with the community through running ‘community conversations’ to elicit their views</w:t>
            </w:r>
            <w:r w:rsidR="00127585" w:rsidRPr="00103565">
              <w:rPr>
                <w:rFonts w:cs="Arial"/>
                <w:sz w:val="22"/>
                <w:szCs w:val="22"/>
              </w:rPr>
              <w:t>.</w:t>
            </w:r>
          </w:p>
          <w:p w:rsidR="00414479" w:rsidRPr="00103565" w:rsidRDefault="00414479" w:rsidP="00812519">
            <w:pPr>
              <w:jc w:val="both"/>
              <w:rPr>
                <w:rFonts w:cs="Arial"/>
                <w:sz w:val="22"/>
                <w:szCs w:val="22"/>
              </w:rPr>
            </w:pPr>
          </w:p>
        </w:tc>
      </w:tr>
      <w:tr w:rsidR="007D6E81" w:rsidRPr="00103565" w:rsidTr="00103565">
        <w:tc>
          <w:tcPr>
            <w:tcW w:w="3403" w:type="dxa"/>
          </w:tcPr>
          <w:p w:rsidR="007D6E81" w:rsidRPr="00103565" w:rsidRDefault="007D6E81" w:rsidP="00085E1E">
            <w:pPr>
              <w:rPr>
                <w:rFonts w:cs="Arial"/>
                <w:sz w:val="22"/>
                <w:szCs w:val="22"/>
              </w:rPr>
            </w:pPr>
            <w:r w:rsidRPr="00103565">
              <w:rPr>
                <w:rFonts w:cs="Arial"/>
                <w:sz w:val="22"/>
                <w:szCs w:val="22"/>
              </w:rPr>
              <w:t>Licensing</w:t>
            </w:r>
            <w:r w:rsidR="00127585" w:rsidRPr="00103565">
              <w:rPr>
                <w:rFonts w:cs="Arial"/>
                <w:sz w:val="22"/>
                <w:szCs w:val="22"/>
              </w:rPr>
              <w:t xml:space="preserve"> Service </w:t>
            </w:r>
          </w:p>
        </w:tc>
        <w:tc>
          <w:tcPr>
            <w:tcW w:w="7229" w:type="dxa"/>
          </w:tcPr>
          <w:p w:rsidR="007D6E81" w:rsidRDefault="00DC0EAF" w:rsidP="00812519">
            <w:pPr>
              <w:jc w:val="both"/>
              <w:rPr>
                <w:rFonts w:cs="Arial"/>
                <w:sz w:val="22"/>
                <w:szCs w:val="22"/>
              </w:rPr>
            </w:pPr>
            <w:r w:rsidRPr="00103565">
              <w:rPr>
                <w:rFonts w:cs="Arial"/>
                <w:sz w:val="22"/>
                <w:szCs w:val="22"/>
              </w:rPr>
              <w:t xml:space="preserve">The Council has a statutory duty to safeguard children and ensure that they are protected from </w:t>
            </w:r>
            <w:r w:rsidR="00127585" w:rsidRPr="00103565">
              <w:rPr>
                <w:rFonts w:cs="Arial"/>
                <w:sz w:val="22"/>
                <w:szCs w:val="22"/>
              </w:rPr>
              <w:t>the effects</w:t>
            </w:r>
            <w:r w:rsidR="00812519" w:rsidRPr="00103565">
              <w:rPr>
                <w:rFonts w:cs="Arial"/>
                <w:sz w:val="22"/>
                <w:szCs w:val="22"/>
              </w:rPr>
              <w:t xml:space="preserve"> of alcohol, e</w:t>
            </w:r>
            <w:r w:rsidR="00127585" w:rsidRPr="00103565">
              <w:rPr>
                <w:rFonts w:cs="Arial"/>
                <w:sz w:val="22"/>
                <w:szCs w:val="22"/>
              </w:rPr>
              <w:t>specially</w:t>
            </w:r>
            <w:r w:rsidR="00812519" w:rsidRPr="00103565">
              <w:rPr>
                <w:rFonts w:cs="Arial"/>
                <w:sz w:val="22"/>
                <w:szCs w:val="22"/>
              </w:rPr>
              <w:t xml:space="preserve"> </w:t>
            </w:r>
            <w:r w:rsidR="00127585" w:rsidRPr="00103565">
              <w:rPr>
                <w:rFonts w:cs="Arial"/>
                <w:sz w:val="22"/>
                <w:szCs w:val="22"/>
              </w:rPr>
              <w:t xml:space="preserve">alcohol related violence </w:t>
            </w:r>
            <w:r w:rsidRPr="00103565">
              <w:rPr>
                <w:rFonts w:cs="Arial"/>
                <w:sz w:val="22"/>
                <w:szCs w:val="22"/>
              </w:rPr>
              <w:t xml:space="preserve">related to the </w:t>
            </w:r>
            <w:proofErr w:type="gramStart"/>
            <w:r w:rsidRPr="00103565">
              <w:rPr>
                <w:rFonts w:cs="Arial"/>
                <w:sz w:val="22"/>
                <w:szCs w:val="22"/>
              </w:rPr>
              <w:t>night time</w:t>
            </w:r>
            <w:proofErr w:type="gramEnd"/>
            <w:r w:rsidRPr="00103565">
              <w:rPr>
                <w:rFonts w:cs="Arial"/>
                <w:sz w:val="22"/>
                <w:szCs w:val="22"/>
              </w:rPr>
              <w:t xml:space="preserve"> econ</w:t>
            </w:r>
            <w:r w:rsidR="00127585" w:rsidRPr="00103565">
              <w:rPr>
                <w:rFonts w:cs="Arial"/>
                <w:sz w:val="22"/>
                <w:szCs w:val="22"/>
              </w:rPr>
              <w:t>omy. The Council has used mone</w:t>
            </w:r>
            <w:r w:rsidR="008F6ED4" w:rsidRPr="00103565">
              <w:rPr>
                <w:rFonts w:cs="Arial"/>
                <w:sz w:val="22"/>
                <w:szCs w:val="22"/>
              </w:rPr>
              <w:t xml:space="preserve">y from the </w:t>
            </w:r>
            <w:proofErr w:type="gramStart"/>
            <w:r w:rsidR="008F6ED4" w:rsidRPr="00103565">
              <w:rPr>
                <w:rFonts w:cs="Arial"/>
                <w:sz w:val="22"/>
                <w:szCs w:val="22"/>
              </w:rPr>
              <w:t>night time</w:t>
            </w:r>
            <w:proofErr w:type="gramEnd"/>
            <w:r w:rsidR="008F6ED4" w:rsidRPr="00103565">
              <w:rPr>
                <w:rFonts w:cs="Arial"/>
                <w:sz w:val="22"/>
                <w:szCs w:val="22"/>
              </w:rPr>
              <w:t xml:space="preserve"> levy to fund interventions such as the Street Pastors who</w:t>
            </w:r>
            <w:r w:rsidR="00603D4C" w:rsidRPr="00103565">
              <w:rPr>
                <w:rFonts w:cs="Arial"/>
                <w:sz w:val="22"/>
                <w:szCs w:val="22"/>
              </w:rPr>
              <w:t xml:space="preserve"> reduce </w:t>
            </w:r>
            <w:r w:rsidR="008F6ED4" w:rsidRPr="00103565">
              <w:rPr>
                <w:rFonts w:cs="Arial"/>
                <w:sz w:val="22"/>
                <w:szCs w:val="22"/>
              </w:rPr>
              <w:t xml:space="preserve">violence with interventions such as </w:t>
            </w:r>
            <w:r w:rsidR="00603D4C" w:rsidRPr="00103565">
              <w:rPr>
                <w:rFonts w:cs="Arial"/>
                <w:sz w:val="22"/>
                <w:szCs w:val="22"/>
              </w:rPr>
              <w:t>de-escalation.</w:t>
            </w:r>
          </w:p>
          <w:p w:rsidR="00414479" w:rsidRPr="00103565" w:rsidRDefault="00414479" w:rsidP="00812519">
            <w:pPr>
              <w:jc w:val="both"/>
              <w:rPr>
                <w:rFonts w:cs="Arial"/>
                <w:sz w:val="22"/>
                <w:szCs w:val="22"/>
              </w:rPr>
            </w:pPr>
          </w:p>
        </w:tc>
      </w:tr>
      <w:tr w:rsidR="007D6E81" w:rsidRPr="00103565" w:rsidTr="00103565">
        <w:tc>
          <w:tcPr>
            <w:tcW w:w="3403" w:type="dxa"/>
          </w:tcPr>
          <w:p w:rsidR="007D6E81" w:rsidRPr="00103565" w:rsidRDefault="007D6E81" w:rsidP="00085E1E">
            <w:pPr>
              <w:rPr>
                <w:rFonts w:cs="Arial"/>
                <w:sz w:val="22"/>
                <w:szCs w:val="22"/>
              </w:rPr>
            </w:pPr>
            <w:r w:rsidRPr="00103565">
              <w:rPr>
                <w:rFonts w:cs="Arial"/>
                <w:sz w:val="22"/>
                <w:szCs w:val="22"/>
              </w:rPr>
              <w:t xml:space="preserve">Trading Standards </w:t>
            </w:r>
            <w:r w:rsidR="00127585" w:rsidRPr="00103565">
              <w:rPr>
                <w:rFonts w:cs="Arial"/>
                <w:sz w:val="22"/>
                <w:szCs w:val="22"/>
              </w:rPr>
              <w:t xml:space="preserve">Service </w:t>
            </w:r>
          </w:p>
        </w:tc>
        <w:tc>
          <w:tcPr>
            <w:tcW w:w="7229" w:type="dxa"/>
          </w:tcPr>
          <w:p w:rsidR="007D6E81" w:rsidRDefault="00B511DF" w:rsidP="00812519">
            <w:pPr>
              <w:jc w:val="both"/>
              <w:rPr>
                <w:rFonts w:cs="Arial"/>
                <w:sz w:val="22"/>
                <w:szCs w:val="22"/>
              </w:rPr>
            </w:pPr>
            <w:r w:rsidRPr="00103565">
              <w:rPr>
                <w:rFonts w:cs="Arial"/>
                <w:sz w:val="22"/>
                <w:szCs w:val="22"/>
              </w:rPr>
              <w:t xml:space="preserve">The Trading Standards Team is responsible for preventing the sales of knives to underage people. In 2018, during 9 months the team carried out 76 test purchase operations. </w:t>
            </w:r>
          </w:p>
          <w:p w:rsidR="00414479" w:rsidRPr="00103565" w:rsidRDefault="00414479" w:rsidP="00812519">
            <w:pPr>
              <w:jc w:val="both"/>
              <w:rPr>
                <w:rFonts w:cs="Arial"/>
                <w:sz w:val="22"/>
                <w:szCs w:val="22"/>
              </w:rPr>
            </w:pPr>
          </w:p>
        </w:tc>
      </w:tr>
      <w:tr w:rsidR="00E8657C" w:rsidRPr="00103565" w:rsidTr="00103565">
        <w:tc>
          <w:tcPr>
            <w:tcW w:w="3403" w:type="dxa"/>
          </w:tcPr>
          <w:p w:rsidR="00E8657C" w:rsidRPr="00103565" w:rsidRDefault="00FD66BA" w:rsidP="00085E1E">
            <w:pPr>
              <w:rPr>
                <w:rFonts w:cs="Arial"/>
                <w:sz w:val="22"/>
                <w:szCs w:val="22"/>
              </w:rPr>
            </w:pPr>
            <w:proofErr w:type="gramStart"/>
            <w:r w:rsidRPr="00103565">
              <w:rPr>
                <w:rFonts w:cs="Arial"/>
                <w:sz w:val="22"/>
                <w:szCs w:val="22"/>
              </w:rPr>
              <w:t>Scrutiny  and</w:t>
            </w:r>
            <w:proofErr w:type="gramEnd"/>
            <w:r w:rsidRPr="00103565">
              <w:rPr>
                <w:rFonts w:cs="Arial"/>
                <w:sz w:val="22"/>
                <w:szCs w:val="22"/>
              </w:rPr>
              <w:t xml:space="preserve"> Equalities </w:t>
            </w:r>
          </w:p>
        </w:tc>
        <w:tc>
          <w:tcPr>
            <w:tcW w:w="7229" w:type="dxa"/>
          </w:tcPr>
          <w:p w:rsidR="00E8657C" w:rsidRPr="00103565" w:rsidRDefault="00FD66BA" w:rsidP="00812519">
            <w:pPr>
              <w:jc w:val="both"/>
              <w:rPr>
                <w:rFonts w:cs="Arial"/>
                <w:sz w:val="22"/>
                <w:szCs w:val="22"/>
              </w:rPr>
            </w:pPr>
            <w:r w:rsidRPr="00103565">
              <w:rPr>
                <w:rFonts w:cs="Arial"/>
                <w:sz w:val="22"/>
                <w:szCs w:val="22"/>
              </w:rPr>
              <w:t xml:space="preserve">LBTH has developed a local Community Fund which provides funding to Voluntary, Community and Faith Sector organisations, through a light touch commissioning process.  As part of this fund, organisations will be </w:t>
            </w:r>
            <w:r w:rsidRPr="00103565">
              <w:rPr>
                <w:rFonts w:cs="Arial"/>
                <w:sz w:val="22"/>
                <w:szCs w:val="22"/>
              </w:rPr>
              <w:lastRenderedPageBreak/>
              <w:t>able to bid for funding to support crime reduction initiatives in the borough. Currently the funding available for the community safety theme is £190</w:t>
            </w:r>
            <w:r w:rsidR="00812519" w:rsidRPr="00103565">
              <w:rPr>
                <w:rFonts w:cs="Arial"/>
                <w:sz w:val="22"/>
                <w:szCs w:val="22"/>
              </w:rPr>
              <w:t>,</w:t>
            </w:r>
            <w:r w:rsidRPr="00103565">
              <w:rPr>
                <w:rFonts w:cs="Arial"/>
                <w:sz w:val="22"/>
                <w:szCs w:val="22"/>
              </w:rPr>
              <w:t xml:space="preserve">000 per year for 3.5 years. Currently we are working with community organisations to agree outcomes, which will hopefully include a violent crime reduction outcome </w:t>
            </w:r>
          </w:p>
          <w:p w:rsidR="00103565" w:rsidRPr="00103565" w:rsidRDefault="00103565" w:rsidP="00812519">
            <w:pPr>
              <w:jc w:val="both"/>
              <w:rPr>
                <w:rFonts w:cs="Arial"/>
                <w:sz w:val="22"/>
                <w:szCs w:val="22"/>
              </w:rPr>
            </w:pPr>
          </w:p>
        </w:tc>
      </w:tr>
    </w:tbl>
    <w:p w:rsidR="00E8657C" w:rsidRPr="00103565" w:rsidRDefault="00E8657C">
      <w:pPr>
        <w:rPr>
          <w:rFonts w:cs="Arial"/>
          <w:sz w:val="22"/>
          <w:szCs w:val="22"/>
        </w:rPr>
      </w:pPr>
    </w:p>
    <w:tbl>
      <w:tblPr>
        <w:tblStyle w:val="TableGrid"/>
        <w:tblW w:w="10632" w:type="dxa"/>
        <w:tblInd w:w="-885" w:type="dxa"/>
        <w:tblLook w:val="04A0" w:firstRow="1" w:lastRow="0" w:firstColumn="1" w:lastColumn="0" w:noHBand="0" w:noVBand="1"/>
      </w:tblPr>
      <w:tblGrid>
        <w:gridCol w:w="10632"/>
      </w:tblGrid>
      <w:tr w:rsidR="00EA606A" w:rsidRPr="00103565" w:rsidTr="00103565">
        <w:tc>
          <w:tcPr>
            <w:tcW w:w="10632" w:type="dxa"/>
            <w:shd w:val="clear" w:color="auto" w:fill="D9D9D9" w:themeFill="background1" w:themeFillShade="D9"/>
          </w:tcPr>
          <w:p w:rsidR="00EA606A" w:rsidRPr="00103565" w:rsidRDefault="00EA606A" w:rsidP="00EA606A">
            <w:pPr>
              <w:rPr>
                <w:rFonts w:cs="Arial"/>
                <w:b/>
                <w:sz w:val="22"/>
                <w:szCs w:val="22"/>
              </w:rPr>
            </w:pPr>
            <w:r w:rsidRPr="00103565">
              <w:rPr>
                <w:rFonts w:cs="Arial"/>
                <w:b/>
                <w:sz w:val="22"/>
                <w:szCs w:val="22"/>
              </w:rPr>
              <w:t xml:space="preserve">Tower Hamlets </w:t>
            </w:r>
            <w:r w:rsidR="00414479">
              <w:rPr>
                <w:rFonts w:cs="Arial"/>
                <w:b/>
                <w:sz w:val="22"/>
                <w:szCs w:val="22"/>
              </w:rPr>
              <w:t>a</w:t>
            </w:r>
            <w:r w:rsidRPr="00103565">
              <w:rPr>
                <w:rFonts w:cs="Arial"/>
                <w:b/>
                <w:sz w:val="22"/>
                <w:szCs w:val="22"/>
              </w:rPr>
              <w:t xml:space="preserve">pproach to addressing Violent Crime </w:t>
            </w:r>
          </w:p>
          <w:p w:rsidR="00103565" w:rsidRPr="00103565" w:rsidRDefault="00103565" w:rsidP="00EA606A">
            <w:pPr>
              <w:rPr>
                <w:rFonts w:cs="Arial"/>
                <w:b/>
                <w:sz w:val="22"/>
                <w:szCs w:val="22"/>
              </w:rPr>
            </w:pPr>
          </w:p>
        </w:tc>
      </w:tr>
      <w:tr w:rsidR="00EA606A" w:rsidRPr="00103565" w:rsidTr="00EA606A">
        <w:tc>
          <w:tcPr>
            <w:tcW w:w="10632" w:type="dxa"/>
          </w:tcPr>
          <w:p w:rsidR="00EA606A" w:rsidRPr="00103565" w:rsidRDefault="00EA606A" w:rsidP="00EA606A">
            <w:pPr>
              <w:rPr>
                <w:rFonts w:cs="Arial"/>
                <w:sz w:val="22"/>
                <w:szCs w:val="22"/>
              </w:rPr>
            </w:pPr>
          </w:p>
          <w:p w:rsidR="00EA606A" w:rsidRPr="00103565" w:rsidRDefault="004C4A6A" w:rsidP="006A2E2C">
            <w:pPr>
              <w:pStyle w:val="ListParagraph"/>
              <w:numPr>
                <w:ilvl w:val="0"/>
                <w:numId w:val="8"/>
              </w:numPr>
              <w:rPr>
                <w:rFonts w:cs="Arial"/>
                <w:sz w:val="22"/>
                <w:szCs w:val="22"/>
              </w:rPr>
            </w:pPr>
            <w:r w:rsidRPr="00103565">
              <w:rPr>
                <w:rFonts w:cs="Arial"/>
                <w:sz w:val="22"/>
                <w:szCs w:val="22"/>
              </w:rPr>
              <w:t>Prioritising a</w:t>
            </w:r>
            <w:r w:rsidR="00EA606A" w:rsidRPr="00103565">
              <w:rPr>
                <w:rFonts w:cs="Arial"/>
                <w:sz w:val="22"/>
                <w:szCs w:val="22"/>
              </w:rPr>
              <w:t>ction and impact.</w:t>
            </w:r>
          </w:p>
          <w:p w:rsidR="00EA606A" w:rsidRPr="00103565" w:rsidRDefault="00EA606A" w:rsidP="006A2E2C">
            <w:pPr>
              <w:pStyle w:val="ListParagraph"/>
              <w:numPr>
                <w:ilvl w:val="0"/>
                <w:numId w:val="8"/>
              </w:numPr>
              <w:rPr>
                <w:rFonts w:cs="Arial"/>
                <w:sz w:val="22"/>
                <w:szCs w:val="22"/>
              </w:rPr>
            </w:pPr>
            <w:r w:rsidRPr="00103565">
              <w:rPr>
                <w:rFonts w:cs="Arial"/>
                <w:sz w:val="22"/>
                <w:szCs w:val="22"/>
              </w:rPr>
              <w:t>Less consultation</w:t>
            </w:r>
            <w:r w:rsidR="004C4A6A" w:rsidRPr="00103565">
              <w:rPr>
                <w:rFonts w:cs="Arial"/>
                <w:sz w:val="22"/>
                <w:szCs w:val="22"/>
              </w:rPr>
              <w:t>,</w:t>
            </w:r>
            <w:r w:rsidRPr="00103565">
              <w:rPr>
                <w:rFonts w:cs="Arial"/>
                <w:sz w:val="22"/>
                <w:szCs w:val="22"/>
              </w:rPr>
              <w:t xml:space="preserve"> more focus on ongoing two way communication.  </w:t>
            </w:r>
          </w:p>
          <w:p w:rsidR="00EA606A" w:rsidRPr="00103565" w:rsidRDefault="00EA606A" w:rsidP="006A2E2C">
            <w:pPr>
              <w:pStyle w:val="ListParagraph"/>
              <w:numPr>
                <w:ilvl w:val="0"/>
                <w:numId w:val="8"/>
              </w:numPr>
              <w:rPr>
                <w:rFonts w:cs="Arial"/>
                <w:sz w:val="22"/>
                <w:szCs w:val="22"/>
              </w:rPr>
            </w:pPr>
            <w:r w:rsidRPr="00103565">
              <w:rPr>
                <w:rFonts w:cs="Arial"/>
                <w:sz w:val="22"/>
                <w:szCs w:val="22"/>
              </w:rPr>
              <w:t>A balanced approached between enforcement and prevention</w:t>
            </w:r>
            <w:r w:rsidR="00D75823" w:rsidRPr="00103565">
              <w:rPr>
                <w:rFonts w:cs="Arial"/>
                <w:sz w:val="22"/>
                <w:szCs w:val="22"/>
              </w:rPr>
              <w:t xml:space="preserve"> with an emphasis on </w:t>
            </w:r>
            <w:proofErr w:type="gramStart"/>
            <w:r w:rsidR="00D75823" w:rsidRPr="00103565">
              <w:rPr>
                <w:rFonts w:cs="Arial"/>
                <w:sz w:val="22"/>
                <w:szCs w:val="22"/>
              </w:rPr>
              <w:t>safeguarding  children</w:t>
            </w:r>
            <w:proofErr w:type="gramEnd"/>
            <w:r w:rsidR="00D75823" w:rsidRPr="00103565">
              <w:rPr>
                <w:rFonts w:cs="Arial"/>
                <w:sz w:val="22"/>
                <w:szCs w:val="22"/>
              </w:rPr>
              <w:t xml:space="preserve"> and vulnerable adults</w:t>
            </w:r>
          </w:p>
          <w:p w:rsidR="00EA606A" w:rsidRPr="00103565" w:rsidRDefault="00EA606A" w:rsidP="006A2E2C">
            <w:pPr>
              <w:pStyle w:val="ListParagraph"/>
              <w:numPr>
                <w:ilvl w:val="0"/>
                <w:numId w:val="8"/>
              </w:numPr>
              <w:rPr>
                <w:rFonts w:cs="Arial"/>
                <w:sz w:val="22"/>
                <w:szCs w:val="22"/>
              </w:rPr>
            </w:pPr>
            <w:r w:rsidRPr="00103565">
              <w:rPr>
                <w:rFonts w:cs="Arial"/>
                <w:sz w:val="22"/>
                <w:szCs w:val="22"/>
              </w:rPr>
              <w:t xml:space="preserve">Co-production with the voluntary, community and faith sectors </w:t>
            </w:r>
          </w:p>
          <w:p w:rsidR="00552668" w:rsidRPr="00103565" w:rsidRDefault="00552668" w:rsidP="006A2E2C">
            <w:pPr>
              <w:pStyle w:val="ListParagraph"/>
              <w:numPr>
                <w:ilvl w:val="0"/>
                <w:numId w:val="8"/>
              </w:numPr>
              <w:rPr>
                <w:rFonts w:cs="Arial"/>
                <w:sz w:val="22"/>
                <w:szCs w:val="22"/>
              </w:rPr>
            </w:pPr>
            <w:r w:rsidRPr="00103565">
              <w:rPr>
                <w:rFonts w:cs="Arial"/>
                <w:sz w:val="22"/>
                <w:szCs w:val="22"/>
              </w:rPr>
              <w:t>Increasing resources where possible, both financial and other resources</w:t>
            </w:r>
          </w:p>
          <w:p w:rsidR="00EA606A" w:rsidRPr="00103565" w:rsidRDefault="00EA606A" w:rsidP="006A2E2C">
            <w:pPr>
              <w:pStyle w:val="ListParagraph"/>
              <w:numPr>
                <w:ilvl w:val="0"/>
                <w:numId w:val="8"/>
              </w:numPr>
              <w:rPr>
                <w:rFonts w:cs="Arial"/>
                <w:sz w:val="22"/>
                <w:szCs w:val="22"/>
              </w:rPr>
            </w:pPr>
            <w:r w:rsidRPr="00103565">
              <w:rPr>
                <w:rFonts w:cs="Arial"/>
                <w:sz w:val="22"/>
                <w:szCs w:val="22"/>
              </w:rPr>
              <w:t>Intelligence and data led interventions.</w:t>
            </w:r>
          </w:p>
          <w:p w:rsidR="006A2E2C" w:rsidRPr="00103565" w:rsidRDefault="006A2E2C" w:rsidP="006A2E2C">
            <w:pPr>
              <w:pStyle w:val="ListParagraph"/>
              <w:rPr>
                <w:rFonts w:cs="Arial"/>
                <w:sz w:val="22"/>
                <w:szCs w:val="22"/>
              </w:rPr>
            </w:pPr>
          </w:p>
        </w:tc>
      </w:tr>
    </w:tbl>
    <w:p w:rsidR="006A2E2C" w:rsidRPr="00103565" w:rsidRDefault="006A2E2C">
      <w:pPr>
        <w:rPr>
          <w:rFonts w:cs="Arial"/>
          <w:sz w:val="22"/>
          <w:szCs w:val="22"/>
        </w:rPr>
      </w:pPr>
    </w:p>
    <w:tbl>
      <w:tblPr>
        <w:tblStyle w:val="TableGrid"/>
        <w:tblW w:w="10632" w:type="dxa"/>
        <w:tblInd w:w="-885" w:type="dxa"/>
        <w:tblLook w:val="04A0" w:firstRow="1" w:lastRow="0" w:firstColumn="1" w:lastColumn="0" w:noHBand="0" w:noVBand="1"/>
      </w:tblPr>
      <w:tblGrid>
        <w:gridCol w:w="3261"/>
        <w:gridCol w:w="7371"/>
      </w:tblGrid>
      <w:tr w:rsidR="00FD66BA" w:rsidRPr="00103565" w:rsidTr="00103565">
        <w:tc>
          <w:tcPr>
            <w:tcW w:w="3261" w:type="dxa"/>
            <w:shd w:val="clear" w:color="auto" w:fill="D9D9D9" w:themeFill="background1" w:themeFillShade="D9"/>
          </w:tcPr>
          <w:p w:rsidR="008933BA" w:rsidRPr="00103565" w:rsidRDefault="008933BA" w:rsidP="008933BA">
            <w:pPr>
              <w:rPr>
                <w:rFonts w:cs="Arial"/>
                <w:sz w:val="22"/>
                <w:szCs w:val="22"/>
              </w:rPr>
            </w:pPr>
            <w:r w:rsidRPr="00103565">
              <w:rPr>
                <w:rFonts w:cs="Arial"/>
                <w:b/>
                <w:bCs/>
                <w:sz w:val="22"/>
                <w:szCs w:val="22"/>
              </w:rPr>
              <w:t>What have Tower Hamlets residents, community groups and professionals told us they want?</w:t>
            </w:r>
          </w:p>
          <w:p w:rsidR="00FD66BA" w:rsidRPr="00103565" w:rsidRDefault="00FD66BA">
            <w:pPr>
              <w:rPr>
                <w:rFonts w:cs="Arial"/>
                <w:sz w:val="22"/>
                <w:szCs w:val="22"/>
              </w:rPr>
            </w:pPr>
          </w:p>
        </w:tc>
        <w:tc>
          <w:tcPr>
            <w:tcW w:w="7371" w:type="dxa"/>
            <w:shd w:val="clear" w:color="auto" w:fill="D9D9D9" w:themeFill="background1" w:themeFillShade="D9"/>
          </w:tcPr>
          <w:p w:rsidR="008933BA" w:rsidRPr="00103565" w:rsidRDefault="008933BA" w:rsidP="008933BA">
            <w:pPr>
              <w:rPr>
                <w:rFonts w:cs="Arial"/>
                <w:sz w:val="22"/>
                <w:szCs w:val="22"/>
              </w:rPr>
            </w:pPr>
            <w:r w:rsidRPr="00103565">
              <w:rPr>
                <w:rFonts w:cs="Arial"/>
                <w:b/>
                <w:bCs/>
                <w:sz w:val="22"/>
                <w:szCs w:val="22"/>
              </w:rPr>
              <w:t>What we are doing</w:t>
            </w:r>
          </w:p>
          <w:p w:rsidR="00FD66BA" w:rsidRPr="00103565" w:rsidRDefault="00FD66BA" w:rsidP="00FD66BA">
            <w:pPr>
              <w:rPr>
                <w:rFonts w:cs="Arial"/>
                <w:sz w:val="22"/>
                <w:szCs w:val="22"/>
              </w:rPr>
            </w:pPr>
          </w:p>
        </w:tc>
      </w:tr>
      <w:tr w:rsidR="00FD66BA" w:rsidRPr="00103565" w:rsidTr="008933BA">
        <w:tc>
          <w:tcPr>
            <w:tcW w:w="3261" w:type="dxa"/>
          </w:tcPr>
          <w:p w:rsidR="008933BA" w:rsidRPr="00103565" w:rsidRDefault="008933BA" w:rsidP="008933BA">
            <w:pPr>
              <w:rPr>
                <w:rFonts w:cs="Arial"/>
                <w:sz w:val="22"/>
                <w:szCs w:val="22"/>
              </w:rPr>
            </w:pPr>
            <w:r w:rsidRPr="00103565">
              <w:rPr>
                <w:rFonts w:cs="Arial"/>
                <w:b/>
                <w:bCs/>
                <w:sz w:val="22"/>
                <w:szCs w:val="22"/>
              </w:rPr>
              <w:t>Targeted support aimed at hard to reach young people</w:t>
            </w:r>
          </w:p>
          <w:p w:rsidR="00FD66BA" w:rsidRPr="00103565" w:rsidRDefault="008933BA" w:rsidP="008933BA">
            <w:pPr>
              <w:ind w:firstLine="720"/>
              <w:rPr>
                <w:rFonts w:cs="Arial"/>
                <w:sz w:val="22"/>
                <w:szCs w:val="22"/>
              </w:rPr>
            </w:pPr>
            <w:r w:rsidRPr="00103565">
              <w:rPr>
                <w:rFonts w:cs="Arial"/>
                <w:sz w:val="22"/>
                <w:szCs w:val="22"/>
              </w:rPr>
              <w:t xml:space="preserve"> </w:t>
            </w:r>
          </w:p>
        </w:tc>
        <w:tc>
          <w:tcPr>
            <w:tcW w:w="7371" w:type="dxa"/>
          </w:tcPr>
          <w:p w:rsidR="00FD66BA" w:rsidRPr="00103565" w:rsidRDefault="00FD66BA" w:rsidP="00FD66BA">
            <w:pPr>
              <w:rPr>
                <w:rFonts w:cs="Arial"/>
                <w:sz w:val="22"/>
                <w:szCs w:val="22"/>
              </w:rPr>
            </w:pPr>
            <w:r w:rsidRPr="00103565">
              <w:rPr>
                <w:rFonts w:cs="Arial"/>
                <w:sz w:val="22"/>
                <w:szCs w:val="22"/>
              </w:rPr>
              <w:t xml:space="preserve">The LBTH Community Safety Team have worked with the RLH Major Trauma Unit to create a post a Violent Crime Reduction </w:t>
            </w:r>
            <w:proofErr w:type="gramStart"/>
            <w:r w:rsidRPr="00103565">
              <w:rPr>
                <w:rFonts w:cs="Arial"/>
                <w:sz w:val="22"/>
                <w:szCs w:val="22"/>
              </w:rPr>
              <w:t>Officer  (</w:t>
            </w:r>
            <w:proofErr w:type="gramEnd"/>
            <w:r w:rsidRPr="00103565">
              <w:rPr>
                <w:rFonts w:cs="Arial"/>
                <w:sz w:val="22"/>
                <w:szCs w:val="22"/>
              </w:rPr>
              <w:t xml:space="preserve">VCRO) to engage with victims of weapon enabled, violence including knife crimes that are treated and discharged without being admitted to hospital.  The VCRO will work with people aged 10 to 26 supporting them through preventative work bespoke to the risk and circumstance either as victims or perpetrators or both.  </w:t>
            </w:r>
          </w:p>
          <w:p w:rsidR="00FD66BA" w:rsidRPr="00103565" w:rsidRDefault="00FD66BA" w:rsidP="00FD66BA">
            <w:pPr>
              <w:rPr>
                <w:rFonts w:cs="Arial"/>
                <w:sz w:val="22"/>
                <w:szCs w:val="22"/>
              </w:rPr>
            </w:pPr>
            <w:r w:rsidRPr="00103565">
              <w:rPr>
                <w:rFonts w:cs="Arial"/>
                <w:sz w:val="22"/>
                <w:szCs w:val="22"/>
              </w:rPr>
              <w:t> </w:t>
            </w:r>
          </w:p>
          <w:p w:rsidR="00FD66BA" w:rsidRPr="00103565" w:rsidRDefault="00FD66BA" w:rsidP="00FD66BA">
            <w:pPr>
              <w:rPr>
                <w:rFonts w:cs="Arial"/>
                <w:sz w:val="22"/>
                <w:szCs w:val="22"/>
              </w:rPr>
            </w:pPr>
            <w:r w:rsidRPr="00103565">
              <w:rPr>
                <w:rFonts w:cs="Arial"/>
                <w:sz w:val="22"/>
                <w:szCs w:val="22"/>
              </w:rPr>
              <w:t>The Rapid Response Caseworker post will deliver a community based wrap around service tailored to the individual, working towards exit strategies in line with circumstances and aspirations.</w:t>
            </w:r>
          </w:p>
          <w:p w:rsidR="00FD66BA" w:rsidRPr="00103565" w:rsidRDefault="00FD66BA" w:rsidP="00FD66BA">
            <w:pPr>
              <w:rPr>
                <w:rFonts w:cs="Arial"/>
                <w:sz w:val="22"/>
                <w:szCs w:val="22"/>
              </w:rPr>
            </w:pPr>
            <w:r w:rsidRPr="00103565">
              <w:rPr>
                <w:rFonts w:cs="Arial"/>
                <w:sz w:val="22"/>
                <w:szCs w:val="22"/>
              </w:rPr>
              <w:t> </w:t>
            </w:r>
          </w:p>
          <w:p w:rsidR="00FD66BA" w:rsidRPr="00103565" w:rsidRDefault="00FD66BA" w:rsidP="00FD66BA">
            <w:pPr>
              <w:rPr>
                <w:rFonts w:cs="Arial"/>
                <w:sz w:val="22"/>
                <w:szCs w:val="22"/>
              </w:rPr>
            </w:pPr>
            <w:r w:rsidRPr="00103565">
              <w:rPr>
                <w:rFonts w:cs="Arial"/>
                <w:sz w:val="22"/>
                <w:szCs w:val="22"/>
              </w:rPr>
              <w:t xml:space="preserve">Targeted outreach is provided by the Rapid Response Team (RRT) are not in touch with mainstream services.  The RRT works out of hours covering the early evening on weekdays and late nights at the often in partnership with community groups to understand concerns, identify risk, promote resilience against all forms of violence and exploitation, and help to safeguard anyone who may be at risk of harm.  </w:t>
            </w:r>
          </w:p>
          <w:p w:rsidR="00FD66BA" w:rsidRPr="00103565" w:rsidRDefault="00FD66BA">
            <w:pPr>
              <w:rPr>
                <w:rFonts w:cs="Arial"/>
                <w:sz w:val="22"/>
                <w:szCs w:val="22"/>
              </w:rPr>
            </w:pPr>
          </w:p>
        </w:tc>
      </w:tr>
      <w:tr w:rsidR="00FD66BA" w:rsidRPr="00103565" w:rsidTr="008933BA">
        <w:tc>
          <w:tcPr>
            <w:tcW w:w="3261" w:type="dxa"/>
          </w:tcPr>
          <w:p w:rsidR="00FD66BA" w:rsidRPr="00103565" w:rsidRDefault="008933BA">
            <w:pPr>
              <w:rPr>
                <w:rFonts w:cs="Arial"/>
                <w:sz w:val="22"/>
                <w:szCs w:val="22"/>
              </w:rPr>
            </w:pPr>
            <w:r w:rsidRPr="00103565">
              <w:rPr>
                <w:rFonts w:cs="Arial"/>
                <w:b/>
                <w:bCs/>
                <w:sz w:val="22"/>
                <w:szCs w:val="22"/>
              </w:rPr>
              <w:t>Partnership working with the Police.</w:t>
            </w:r>
          </w:p>
        </w:tc>
        <w:tc>
          <w:tcPr>
            <w:tcW w:w="7371" w:type="dxa"/>
          </w:tcPr>
          <w:p w:rsidR="00FD66BA" w:rsidRPr="00103565" w:rsidRDefault="00FD66BA">
            <w:pPr>
              <w:rPr>
                <w:rFonts w:cs="Arial"/>
                <w:sz w:val="22"/>
                <w:szCs w:val="22"/>
              </w:rPr>
            </w:pPr>
            <w:r w:rsidRPr="00103565">
              <w:rPr>
                <w:rFonts w:cs="Arial"/>
                <w:sz w:val="22"/>
                <w:szCs w:val="22"/>
              </w:rPr>
              <w:t>The Council has funded the ‘Partnership Task Force’ which currently consists of 1 Sergeant and 10 Constables tasked to undertake stop and search for weapons, disrupt drug markets and detect violent offences.  The team have arrested people for offences such as GBH and threats to kill. In addition, Safer Neighbourhood Teams and Specialist Police officers have been involved in Operation Continuum which is an ongoing operation to reduce crime. They have had impressive results for example 33 weapons recovered from weapons sweeps, 164 drugs ‘stop and search’ and 190 arrests for drug offences</w:t>
            </w:r>
          </w:p>
          <w:p w:rsidR="00103565" w:rsidRPr="00103565" w:rsidRDefault="00103565">
            <w:pPr>
              <w:rPr>
                <w:rFonts w:cs="Arial"/>
                <w:sz w:val="22"/>
                <w:szCs w:val="22"/>
              </w:rPr>
            </w:pPr>
          </w:p>
        </w:tc>
      </w:tr>
      <w:tr w:rsidR="00FD66BA" w:rsidRPr="00103565" w:rsidTr="008933BA">
        <w:tc>
          <w:tcPr>
            <w:tcW w:w="3261" w:type="dxa"/>
          </w:tcPr>
          <w:p w:rsidR="008933BA" w:rsidRPr="00103565" w:rsidRDefault="008933BA" w:rsidP="008933BA">
            <w:pPr>
              <w:rPr>
                <w:rFonts w:cs="Arial"/>
                <w:sz w:val="22"/>
                <w:szCs w:val="22"/>
              </w:rPr>
            </w:pPr>
            <w:r w:rsidRPr="00103565">
              <w:rPr>
                <w:rFonts w:cs="Arial"/>
                <w:b/>
                <w:bCs/>
                <w:sz w:val="22"/>
                <w:szCs w:val="22"/>
              </w:rPr>
              <w:t xml:space="preserve">A balanced approach to tackling violence, with a mix </w:t>
            </w:r>
            <w:r w:rsidRPr="00103565">
              <w:rPr>
                <w:rFonts w:cs="Arial"/>
                <w:b/>
                <w:bCs/>
                <w:sz w:val="22"/>
                <w:szCs w:val="22"/>
              </w:rPr>
              <w:lastRenderedPageBreak/>
              <w:t>of enforcement and prevention and early intervention actions.</w:t>
            </w:r>
          </w:p>
          <w:p w:rsidR="00FD66BA" w:rsidRPr="00103565" w:rsidRDefault="00FD66BA">
            <w:pPr>
              <w:rPr>
                <w:rFonts w:cs="Arial"/>
                <w:sz w:val="22"/>
                <w:szCs w:val="22"/>
              </w:rPr>
            </w:pPr>
          </w:p>
        </w:tc>
        <w:tc>
          <w:tcPr>
            <w:tcW w:w="7371" w:type="dxa"/>
          </w:tcPr>
          <w:p w:rsidR="00FD66BA" w:rsidRPr="00103565" w:rsidRDefault="00FD66BA" w:rsidP="00FD66BA">
            <w:pPr>
              <w:rPr>
                <w:rFonts w:cs="Arial"/>
                <w:sz w:val="22"/>
                <w:szCs w:val="22"/>
              </w:rPr>
            </w:pPr>
            <w:r w:rsidRPr="00103565">
              <w:rPr>
                <w:rFonts w:cs="Arial"/>
                <w:sz w:val="22"/>
                <w:szCs w:val="22"/>
              </w:rPr>
              <w:lastRenderedPageBreak/>
              <w:t xml:space="preserve">The Council is committed to developing a Public Health approach to addressing violence. This means developing a holistic approach based </w:t>
            </w:r>
            <w:r w:rsidRPr="00103565">
              <w:rPr>
                <w:rFonts w:cs="Arial"/>
                <w:sz w:val="22"/>
                <w:szCs w:val="22"/>
              </w:rPr>
              <w:lastRenderedPageBreak/>
              <w:t xml:space="preserve">on what is known about the needs of the borough.   We are following best practice for example the Glasgow model focussing on preventative actions such as Restorative Justice, peer mentoring in schools and supporting family relationships.  </w:t>
            </w:r>
          </w:p>
          <w:p w:rsidR="00FD66BA" w:rsidRPr="00103565" w:rsidRDefault="00FD66BA" w:rsidP="00FD66BA">
            <w:pPr>
              <w:rPr>
                <w:rFonts w:cs="Arial"/>
                <w:sz w:val="22"/>
                <w:szCs w:val="22"/>
              </w:rPr>
            </w:pPr>
            <w:r w:rsidRPr="00103565">
              <w:rPr>
                <w:rFonts w:cs="Arial"/>
                <w:sz w:val="22"/>
                <w:szCs w:val="22"/>
              </w:rPr>
              <w:t> </w:t>
            </w:r>
          </w:p>
          <w:p w:rsidR="00FD66BA" w:rsidRPr="00103565" w:rsidRDefault="00FD66BA" w:rsidP="00FD66BA">
            <w:pPr>
              <w:rPr>
                <w:rFonts w:cs="Arial"/>
                <w:sz w:val="22"/>
                <w:szCs w:val="22"/>
              </w:rPr>
            </w:pPr>
            <w:r w:rsidRPr="00103565">
              <w:rPr>
                <w:rFonts w:cs="Arial"/>
                <w:sz w:val="22"/>
                <w:szCs w:val="22"/>
              </w:rPr>
              <w:t>Schools and Youth Services build resilience in young people with a range of activities for example youth hubs which offer a range of activities and the Early Help Transition Service who support families</w:t>
            </w:r>
          </w:p>
          <w:p w:rsidR="00FD66BA" w:rsidRPr="00103565" w:rsidRDefault="00FD66BA">
            <w:pPr>
              <w:rPr>
                <w:rFonts w:cs="Arial"/>
                <w:sz w:val="22"/>
                <w:szCs w:val="22"/>
              </w:rPr>
            </w:pPr>
          </w:p>
        </w:tc>
      </w:tr>
      <w:tr w:rsidR="00FD66BA" w:rsidRPr="00103565" w:rsidTr="008933BA">
        <w:tc>
          <w:tcPr>
            <w:tcW w:w="3261" w:type="dxa"/>
          </w:tcPr>
          <w:p w:rsidR="008933BA" w:rsidRPr="00103565" w:rsidRDefault="008933BA" w:rsidP="008933BA">
            <w:pPr>
              <w:rPr>
                <w:rFonts w:cs="Arial"/>
                <w:sz w:val="22"/>
                <w:szCs w:val="22"/>
              </w:rPr>
            </w:pPr>
            <w:r w:rsidRPr="00103565">
              <w:rPr>
                <w:rFonts w:cs="Arial"/>
                <w:b/>
                <w:bCs/>
                <w:sz w:val="22"/>
                <w:szCs w:val="22"/>
              </w:rPr>
              <w:lastRenderedPageBreak/>
              <w:t>Empowering voluntary community sector and faith organisations</w:t>
            </w:r>
          </w:p>
          <w:p w:rsidR="00FD66BA" w:rsidRPr="00103565" w:rsidRDefault="00FD66BA">
            <w:pPr>
              <w:rPr>
                <w:rFonts w:cs="Arial"/>
                <w:sz w:val="22"/>
                <w:szCs w:val="22"/>
              </w:rPr>
            </w:pPr>
          </w:p>
        </w:tc>
        <w:tc>
          <w:tcPr>
            <w:tcW w:w="7371" w:type="dxa"/>
          </w:tcPr>
          <w:p w:rsidR="00FD66BA" w:rsidRPr="00103565" w:rsidRDefault="007D6E81" w:rsidP="00FD66BA">
            <w:pPr>
              <w:rPr>
                <w:rFonts w:cs="Arial"/>
                <w:sz w:val="22"/>
                <w:szCs w:val="22"/>
              </w:rPr>
            </w:pPr>
            <w:r w:rsidRPr="00103565">
              <w:rPr>
                <w:rFonts w:cs="Arial"/>
                <w:sz w:val="22"/>
                <w:szCs w:val="22"/>
              </w:rPr>
              <w:t>The Council is w</w:t>
            </w:r>
            <w:r w:rsidR="00FD66BA" w:rsidRPr="00103565">
              <w:rPr>
                <w:rFonts w:cs="Arial"/>
                <w:sz w:val="22"/>
                <w:szCs w:val="22"/>
              </w:rPr>
              <w:t xml:space="preserve">orking with faith and community groups, particularly those with a specialist understanding of violence reduction.  We will commission the </w:t>
            </w:r>
            <w:proofErr w:type="spellStart"/>
            <w:r w:rsidR="00FD66BA" w:rsidRPr="00103565">
              <w:rPr>
                <w:rFonts w:cs="Arial"/>
                <w:sz w:val="22"/>
                <w:szCs w:val="22"/>
              </w:rPr>
              <w:t>Streetpastors</w:t>
            </w:r>
            <w:proofErr w:type="spellEnd"/>
            <w:r w:rsidR="00FD66BA" w:rsidRPr="00103565">
              <w:rPr>
                <w:rFonts w:cs="Arial"/>
                <w:sz w:val="22"/>
                <w:szCs w:val="22"/>
              </w:rPr>
              <w:t xml:space="preserve"> a </w:t>
            </w:r>
            <w:proofErr w:type="gramStart"/>
            <w:r w:rsidR="00FD66BA" w:rsidRPr="00103565">
              <w:rPr>
                <w:rFonts w:cs="Arial"/>
                <w:sz w:val="22"/>
                <w:szCs w:val="22"/>
              </w:rPr>
              <w:t>faith based</w:t>
            </w:r>
            <w:proofErr w:type="gramEnd"/>
            <w:r w:rsidR="00FD66BA" w:rsidRPr="00103565">
              <w:rPr>
                <w:rFonts w:cs="Arial"/>
                <w:sz w:val="22"/>
                <w:szCs w:val="22"/>
              </w:rPr>
              <w:t xml:space="preserve"> organisation, who will help to deescalate violence related to the night time economy, St Giles Trust to provide interventions to children and young people affected by violent crime. </w:t>
            </w:r>
          </w:p>
          <w:p w:rsidR="00FD66BA" w:rsidRPr="00103565" w:rsidRDefault="00FD66BA">
            <w:pPr>
              <w:rPr>
                <w:rFonts w:cs="Arial"/>
                <w:sz w:val="22"/>
                <w:szCs w:val="22"/>
              </w:rPr>
            </w:pPr>
          </w:p>
        </w:tc>
      </w:tr>
      <w:tr w:rsidR="00FD66BA" w:rsidRPr="00103565" w:rsidTr="008933BA">
        <w:tc>
          <w:tcPr>
            <w:tcW w:w="3261" w:type="dxa"/>
          </w:tcPr>
          <w:p w:rsidR="008933BA" w:rsidRPr="00103565" w:rsidRDefault="008933BA" w:rsidP="008933BA">
            <w:pPr>
              <w:rPr>
                <w:rFonts w:cs="Arial"/>
                <w:sz w:val="22"/>
                <w:szCs w:val="22"/>
              </w:rPr>
            </w:pPr>
            <w:r w:rsidRPr="00103565">
              <w:rPr>
                <w:rFonts w:cs="Arial"/>
                <w:b/>
                <w:bCs/>
                <w:sz w:val="22"/>
                <w:szCs w:val="22"/>
              </w:rPr>
              <w:t>Increasing resources to tackle gang related activity</w:t>
            </w:r>
          </w:p>
          <w:p w:rsidR="00FD66BA" w:rsidRPr="00103565" w:rsidRDefault="00FD66BA" w:rsidP="008933BA">
            <w:pPr>
              <w:ind w:firstLine="720"/>
              <w:rPr>
                <w:rFonts w:cs="Arial"/>
                <w:sz w:val="22"/>
                <w:szCs w:val="22"/>
              </w:rPr>
            </w:pPr>
          </w:p>
        </w:tc>
        <w:tc>
          <w:tcPr>
            <w:tcW w:w="7371" w:type="dxa"/>
          </w:tcPr>
          <w:p w:rsidR="00FD66BA" w:rsidRPr="00103565" w:rsidRDefault="00FD66BA" w:rsidP="007D6E81">
            <w:pPr>
              <w:rPr>
                <w:rFonts w:cs="Arial"/>
                <w:sz w:val="22"/>
                <w:szCs w:val="22"/>
              </w:rPr>
            </w:pPr>
            <w:r w:rsidRPr="00103565">
              <w:rPr>
                <w:rFonts w:cs="Arial"/>
                <w:sz w:val="22"/>
                <w:szCs w:val="22"/>
              </w:rPr>
              <w:t>Where we can, we will increase the resources available to support all those affected by violence. As well as exploring how we can fund additional ‘on the ground’ workers, we will bring together funding and resources across the Council to make sure that there is support for vulnerable young people aged over 18 who are no longer eligible for support from Children’s Services</w:t>
            </w:r>
          </w:p>
          <w:p w:rsidR="00103565" w:rsidRPr="00103565" w:rsidRDefault="00103565" w:rsidP="007D6E81">
            <w:pPr>
              <w:rPr>
                <w:rFonts w:cs="Arial"/>
                <w:sz w:val="22"/>
                <w:szCs w:val="22"/>
              </w:rPr>
            </w:pPr>
          </w:p>
        </w:tc>
      </w:tr>
      <w:tr w:rsidR="00FD66BA" w:rsidRPr="00103565" w:rsidTr="008933BA">
        <w:tc>
          <w:tcPr>
            <w:tcW w:w="3261" w:type="dxa"/>
          </w:tcPr>
          <w:p w:rsidR="008933BA" w:rsidRPr="00103565" w:rsidRDefault="008933BA" w:rsidP="008933BA">
            <w:pPr>
              <w:rPr>
                <w:rFonts w:cs="Arial"/>
                <w:sz w:val="22"/>
                <w:szCs w:val="22"/>
              </w:rPr>
            </w:pPr>
            <w:r w:rsidRPr="00103565">
              <w:rPr>
                <w:rFonts w:cs="Arial"/>
                <w:b/>
                <w:bCs/>
                <w:sz w:val="22"/>
                <w:szCs w:val="22"/>
              </w:rPr>
              <w:t>Targeted outreach to ensure young people are able to influence the services, strategies and interventions that affect them.</w:t>
            </w:r>
          </w:p>
          <w:p w:rsidR="00FD66BA" w:rsidRPr="00103565" w:rsidRDefault="00FD66BA" w:rsidP="008933BA">
            <w:pPr>
              <w:rPr>
                <w:rFonts w:cs="Arial"/>
                <w:sz w:val="22"/>
                <w:szCs w:val="22"/>
              </w:rPr>
            </w:pPr>
          </w:p>
        </w:tc>
        <w:tc>
          <w:tcPr>
            <w:tcW w:w="7371" w:type="dxa"/>
          </w:tcPr>
          <w:p w:rsidR="00FD66BA" w:rsidRPr="00103565" w:rsidRDefault="00FD66BA" w:rsidP="007D6E81">
            <w:pPr>
              <w:rPr>
                <w:rFonts w:cs="Arial"/>
                <w:sz w:val="22"/>
                <w:szCs w:val="22"/>
              </w:rPr>
            </w:pPr>
            <w:r w:rsidRPr="00103565">
              <w:rPr>
                <w:rFonts w:cs="Arial"/>
                <w:sz w:val="22"/>
                <w:szCs w:val="22"/>
              </w:rPr>
              <w:t xml:space="preserve">We continue to look for young people’s views on all issues which affect them by engaging with them in schools, youth groups, through police consultative bodies and targeted outreach.  We are committed to having an ongoing dialogue about violence with all members of the community affected by violence in Tower Hamlets. </w:t>
            </w:r>
          </w:p>
        </w:tc>
      </w:tr>
    </w:tbl>
    <w:p w:rsidR="00FD66BA" w:rsidRDefault="00FD66BA"/>
    <w:sectPr w:rsidR="00FD66BA" w:rsidSect="00EE3F32">
      <w:footerReference w:type="default" r:id="rId8"/>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708" w:rsidRDefault="00872708" w:rsidP="00F24294">
      <w:r>
        <w:separator/>
      </w:r>
    </w:p>
  </w:endnote>
  <w:endnote w:type="continuationSeparator" w:id="0">
    <w:p w:rsidR="00872708" w:rsidRDefault="00872708" w:rsidP="00F2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756927"/>
      <w:docPartObj>
        <w:docPartGallery w:val="Page Numbers (Bottom of Page)"/>
        <w:docPartUnique/>
      </w:docPartObj>
    </w:sdtPr>
    <w:sdtEndPr>
      <w:rPr>
        <w:noProof/>
      </w:rPr>
    </w:sdtEndPr>
    <w:sdtContent>
      <w:p w:rsidR="00F24294" w:rsidRDefault="00F24294">
        <w:pPr>
          <w:pStyle w:val="Footer"/>
          <w:jc w:val="center"/>
        </w:pPr>
        <w:r>
          <w:fldChar w:fldCharType="begin"/>
        </w:r>
        <w:r>
          <w:instrText xml:space="preserve"> PAGE   \* MERGEFORMAT </w:instrText>
        </w:r>
        <w:r>
          <w:fldChar w:fldCharType="separate"/>
        </w:r>
        <w:r w:rsidR="0058375F">
          <w:rPr>
            <w:noProof/>
          </w:rPr>
          <w:t>2</w:t>
        </w:r>
        <w:r>
          <w:rPr>
            <w:noProof/>
          </w:rPr>
          <w:fldChar w:fldCharType="end"/>
        </w:r>
      </w:p>
    </w:sdtContent>
  </w:sdt>
  <w:p w:rsidR="00F24294" w:rsidRDefault="00F24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708" w:rsidRDefault="00872708" w:rsidP="00F24294">
      <w:r>
        <w:separator/>
      </w:r>
    </w:p>
  </w:footnote>
  <w:footnote w:type="continuationSeparator" w:id="0">
    <w:p w:rsidR="00872708" w:rsidRDefault="00872708" w:rsidP="00F2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5B8A"/>
    <w:multiLevelType w:val="hybridMultilevel"/>
    <w:tmpl w:val="FA24B876"/>
    <w:lvl w:ilvl="0" w:tplc="076C3CDA">
      <w:start w:val="1"/>
      <w:numFmt w:val="bullet"/>
      <w:lvlText w:val="-"/>
      <w:lvlJc w:val="left"/>
      <w:pPr>
        <w:tabs>
          <w:tab w:val="num" w:pos="720"/>
        </w:tabs>
        <w:ind w:left="720" w:hanging="360"/>
      </w:pPr>
      <w:rPr>
        <w:rFonts w:ascii="Arial" w:hAnsi="Arial" w:hint="default"/>
      </w:rPr>
    </w:lvl>
    <w:lvl w:ilvl="1" w:tplc="CC741EC8">
      <w:start w:val="1"/>
      <w:numFmt w:val="bullet"/>
      <w:lvlText w:val="-"/>
      <w:lvlJc w:val="left"/>
      <w:pPr>
        <w:tabs>
          <w:tab w:val="num" w:pos="1440"/>
        </w:tabs>
        <w:ind w:left="1440" w:hanging="360"/>
      </w:pPr>
      <w:rPr>
        <w:rFonts w:ascii="Arial" w:hAnsi="Arial" w:hint="default"/>
      </w:rPr>
    </w:lvl>
    <w:lvl w:ilvl="2" w:tplc="5D6457EE" w:tentative="1">
      <w:start w:val="1"/>
      <w:numFmt w:val="bullet"/>
      <w:lvlText w:val="-"/>
      <w:lvlJc w:val="left"/>
      <w:pPr>
        <w:tabs>
          <w:tab w:val="num" w:pos="2160"/>
        </w:tabs>
        <w:ind w:left="2160" w:hanging="360"/>
      </w:pPr>
      <w:rPr>
        <w:rFonts w:ascii="Arial" w:hAnsi="Arial" w:hint="default"/>
      </w:rPr>
    </w:lvl>
    <w:lvl w:ilvl="3" w:tplc="B1883066" w:tentative="1">
      <w:start w:val="1"/>
      <w:numFmt w:val="bullet"/>
      <w:lvlText w:val="-"/>
      <w:lvlJc w:val="left"/>
      <w:pPr>
        <w:tabs>
          <w:tab w:val="num" w:pos="2880"/>
        </w:tabs>
        <w:ind w:left="2880" w:hanging="360"/>
      </w:pPr>
      <w:rPr>
        <w:rFonts w:ascii="Arial" w:hAnsi="Arial" w:hint="default"/>
      </w:rPr>
    </w:lvl>
    <w:lvl w:ilvl="4" w:tplc="00CE16A6" w:tentative="1">
      <w:start w:val="1"/>
      <w:numFmt w:val="bullet"/>
      <w:lvlText w:val="-"/>
      <w:lvlJc w:val="left"/>
      <w:pPr>
        <w:tabs>
          <w:tab w:val="num" w:pos="3600"/>
        </w:tabs>
        <w:ind w:left="3600" w:hanging="360"/>
      </w:pPr>
      <w:rPr>
        <w:rFonts w:ascii="Arial" w:hAnsi="Arial" w:hint="default"/>
      </w:rPr>
    </w:lvl>
    <w:lvl w:ilvl="5" w:tplc="51D856F0" w:tentative="1">
      <w:start w:val="1"/>
      <w:numFmt w:val="bullet"/>
      <w:lvlText w:val="-"/>
      <w:lvlJc w:val="left"/>
      <w:pPr>
        <w:tabs>
          <w:tab w:val="num" w:pos="4320"/>
        </w:tabs>
        <w:ind w:left="4320" w:hanging="360"/>
      </w:pPr>
      <w:rPr>
        <w:rFonts w:ascii="Arial" w:hAnsi="Arial" w:hint="default"/>
      </w:rPr>
    </w:lvl>
    <w:lvl w:ilvl="6" w:tplc="934A02D6" w:tentative="1">
      <w:start w:val="1"/>
      <w:numFmt w:val="bullet"/>
      <w:lvlText w:val="-"/>
      <w:lvlJc w:val="left"/>
      <w:pPr>
        <w:tabs>
          <w:tab w:val="num" w:pos="5040"/>
        </w:tabs>
        <w:ind w:left="5040" w:hanging="360"/>
      </w:pPr>
      <w:rPr>
        <w:rFonts w:ascii="Arial" w:hAnsi="Arial" w:hint="default"/>
      </w:rPr>
    </w:lvl>
    <w:lvl w:ilvl="7" w:tplc="22DE1E8A" w:tentative="1">
      <w:start w:val="1"/>
      <w:numFmt w:val="bullet"/>
      <w:lvlText w:val="-"/>
      <w:lvlJc w:val="left"/>
      <w:pPr>
        <w:tabs>
          <w:tab w:val="num" w:pos="5760"/>
        </w:tabs>
        <w:ind w:left="5760" w:hanging="360"/>
      </w:pPr>
      <w:rPr>
        <w:rFonts w:ascii="Arial" w:hAnsi="Arial" w:hint="default"/>
      </w:rPr>
    </w:lvl>
    <w:lvl w:ilvl="8" w:tplc="F418CE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E9308C"/>
    <w:multiLevelType w:val="hybridMultilevel"/>
    <w:tmpl w:val="ADD44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B2529"/>
    <w:multiLevelType w:val="hybridMultilevel"/>
    <w:tmpl w:val="A1AA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27918"/>
    <w:multiLevelType w:val="hybridMultilevel"/>
    <w:tmpl w:val="C558403E"/>
    <w:lvl w:ilvl="0" w:tplc="19DC7772">
      <w:start w:val="1"/>
      <w:numFmt w:val="bullet"/>
      <w:lvlText w:val=""/>
      <w:lvlJc w:val="left"/>
      <w:pPr>
        <w:tabs>
          <w:tab w:val="num" w:pos="720"/>
        </w:tabs>
        <w:ind w:left="720" w:hanging="360"/>
      </w:pPr>
      <w:rPr>
        <w:rFonts w:ascii="Symbol" w:hAnsi="Symbol" w:hint="default"/>
      </w:rPr>
    </w:lvl>
    <w:lvl w:ilvl="1" w:tplc="AC1C249A" w:tentative="1">
      <w:start w:val="1"/>
      <w:numFmt w:val="bullet"/>
      <w:lvlText w:val=""/>
      <w:lvlJc w:val="left"/>
      <w:pPr>
        <w:tabs>
          <w:tab w:val="num" w:pos="1440"/>
        </w:tabs>
        <w:ind w:left="1440" w:hanging="360"/>
      </w:pPr>
      <w:rPr>
        <w:rFonts w:ascii="Symbol" w:hAnsi="Symbol" w:hint="default"/>
      </w:rPr>
    </w:lvl>
    <w:lvl w:ilvl="2" w:tplc="9B847DBC" w:tentative="1">
      <w:start w:val="1"/>
      <w:numFmt w:val="bullet"/>
      <w:lvlText w:val=""/>
      <w:lvlJc w:val="left"/>
      <w:pPr>
        <w:tabs>
          <w:tab w:val="num" w:pos="2160"/>
        </w:tabs>
        <w:ind w:left="2160" w:hanging="360"/>
      </w:pPr>
      <w:rPr>
        <w:rFonts w:ascii="Symbol" w:hAnsi="Symbol" w:hint="default"/>
      </w:rPr>
    </w:lvl>
    <w:lvl w:ilvl="3" w:tplc="2C2E5106" w:tentative="1">
      <w:start w:val="1"/>
      <w:numFmt w:val="bullet"/>
      <w:lvlText w:val=""/>
      <w:lvlJc w:val="left"/>
      <w:pPr>
        <w:tabs>
          <w:tab w:val="num" w:pos="2880"/>
        </w:tabs>
        <w:ind w:left="2880" w:hanging="360"/>
      </w:pPr>
      <w:rPr>
        <w:rFonts w:ascii="Symbol" w:hAnsi="Symbol" w:hint="default"/>
      </w:rPr>
    </w:lvl>
    <w:lvl w:ilvl="4" w:tplc="ECE0084A" w:tentative="1">
      <w:start w:val="1"/>
      <w:numFmt w:val="bullet"/>
      <w:lvlText w:val=""/>
      <w:lvlJc w:val="left"/>
      <w:pPr>
        <w:tabs>
          <w:tab w:val="num" w:pos="3600"/>
        </w:tabs>
        <w:ind w:left="3600" w:hanging="360"/>
      </w:pPr>
      <w:rPr>
        <w:rFonts w:ascii="Symbol" w:hAnsi="Symbol" w:hint="default"/>
      </w:rPr>
    </w:lvl>
    <w:lvl w:ilvl="5" w:tplc="829AF306" w:tentative="1">
      <w:start w:val="1"/>
      <w:numFmt w:val="bullet"/>
      <w:lvlText w:val=""/>
      <w:lvlJc w:val="left"/>
      <w:pPr>
        <w:tabs>
          <w:tab w:val="num" w:pos="4320"/>
        </w:tabs>
        <w:ind w:left="4320" w:hanging="360"/>
      </w:pPr>
      <w:rPr>
        <w:rFonts w:ascii="Symbol" w:hAnsi="Symbol" w:hint="default"/>
      </w:rPr>
    </w:lvl>
    <w:lvl w:ilvl="6" w:tplc="CB10B258" w:tentative="1">
      <w:start w:val="1"/>
      <w:numFmt w:val="bullet"/>
      <w:lvlText w:val=""/>
      <w:lvlJc w:val="left"/>
      <w:pPr>
        <w:tabs>
          <w:tab w:val="num" w:pos="5040"/>
        </w:tabs>
        <w:ind w:left="5040" w:hanging="360"/>
      </w:pPr>
      <w:rPr>
        <w:rFonts w:ascii="Symbol" w:hAnsi="Symbol" w:hint="default"/>
      </w:rPr>
    </w:lvl>
    <w:lvl w:ilvl="7" w:tplc="71D8F218" w:tentative="1">
      <w:start w:val="1"/>
      <w:numFmt w:val="bullet"/>
      <w:lvlText w:val=""/>
      <w:lvlJc w:val="left"/>
      <w:pPr>
        <w:tabs>
          <w:tab w:val="num" w:pos="5760"/>
        </w:tabs>
        <w:ind w:left="5760" w:hanging="360"/>
      </w:pPr>
      <w:rPr>
        <w:rFonts w:ascii="Symbol" w:hAnsi="Symbol" w:hint="default"/>
      </w:rPr>
    </w:lvl>
    <w:lvl w:ilvl="8" w:tplc="465C9B2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565751E"/>
    <w:multiLevelType w:val="hybridMultilevel"/>
    <w:tmpl w:val="9E8A8062"/>
    <w:lvl w:ilvl="0" w:tplc="BEFAFE2C">
      <w:start w:val="1"/>
      <w:numFmt w:val="bullet"/>
      <w:lvlText w:val=""/>
      <w:lvlJc w:val="left"/>
      <w:pPr>
        <w:tabs>
          <w:tab w:val="num" w:pos="720"/>
        </w:tabs>
        <w:ind w:left="720" w:hanging="360"/>
      </w:pPr>
      <w:rPr>
        <w:rFonts w:ascii="Symbol" w:hAnsi="Symbol" w:hint="default"/>
      </w:rPr>
    </w:lvl>
    <w:lvl w:ilvl="1" w:tplc="A1BE5D2C" w:tentative="1">
      <w:start w:val="1"/>
      <w:numFmt w:val="bullet"/>
      <w:lvlText w:val=""/>
      <w:lvlJc w:val="left"/>
      <w:pPr>
        <w:tabs>
          <w:tab w:val="num" w:pos="1440"/>
        </w:tabs>
        <w:ind w:left="1440" w:hanging="360"/>
      </w:pPr>
      <w:rPr>
        <w:rFonts w:ascii="Symbol" w:hAnsi="Symbol" w:hint="default"/>
      </w:rPr>
    </w:lvl>
    <w:lvl w:ilvl="2" w:tplc="B4CEBDA6" w:tentative="1">
      <w:start w:val="1"/>
      <w:numFmt w:val="bullet"/>
      <w:lvlText w:val=""/>
      <w:lvlJc w:val="left"/>
      <w:pPr>
        <w:tabs>
          <w:tab w:val="num" w:pos="2160"/>
        </w:tabs>
        <w:ind w:left="2160" w:hanging="360"/>
      </w:pPr>
      <w:rPr>
        <w:rFonts w:ascii="Symbol" w:hAnsi="Symbol" w:hint="default"/>
      </w:rPr>
    </w:lvl>
    <w:lvl w:ilvl="3" w:tplc="F9642848" w:tentative="1">
      <w:start w:val="1"/>
      <w:numFmt w:val="bullet"/>
      <w:lvlText w:val=""/>
      <w:lvlJc w:val="left"/>
      <w:pPr>
        <w:tabs>
          <w:tab w:val="num" w:pos="2880"/>
        </w:tabs>
        <w:ind w:left="2880" w:hanging="360"/>
      </w:pPr>
      <w:rPr>
        <w:rFonts w:ascii="Symbol" w:hAnsi="Symbol" w:hint="default"/>
      </w:rPr>
    </w:lvl>
    <w:lvl w:ilvl="4" w:tplc="AEC423FE" w:tentative="1">
      <w:start w:val="1"/>
      <w:numFmt w:val="bullet"/>
      <w:lvlText w:val=""/>
      <w:lvlJc w:val="left"/>
      <w:pPr>
        <w:tabs>
          <w:tab w:val="num" w:pos="3600"/>
        </w:tabs>
        <w:ind w:left="3600" w:hanging="360"/>
      </w:pPr>
      <w:rPr>
        <w:rFonts w:ascii="Symbol" w:hAnsi="Symbol" w:hint="default"/>
      </w:rPr>
    </w:lvl>
    <w:lvl w:ilvl="5" w:tplc="453ED48A" w:tentative="1">
      <w:start w:val="1"/>
      <w:numFmt w:val="bullet"/>
      <w:lvlText w:val=""/>
      <w:lvlJc w:val="left"/>
      <w:pPr>
        <w:tabs>
          <w:tab w:val="num" w:pos="4320"/>
        </w:tabs>
        <w:ind w:left="4320" w:hanging="360"/>
      </w:pPr>
      <w:rPr>
        <w:rFonts w:ascii="Symbol" w:hAnsi="Symbol" w:hint="default"/>
      </w:rPr>
    </w:lvl>
    <w:lvl w:ilvl="6" w:tplc="4280895C" w:tentative="1">
      <w:start w:val="1"/>
      <w:numFmt w:val="bullet"/>
      <w:lvlText w:val=""/>
      <w:lvlJc w:val="left"/>
      <w:pPr>
        <w:tabs>
          <w:tab w:val="num" w:pos="5040"/>
        </w:tabs>
        <w:ind w:left="5040" w:hanging="360"/>
      </w:pPr>
      <w:rPr>
        <w:rFonts w:ascii="Symbol" w:hAnsi="Symbol" w:hint="default"/>
      </w:rPr>
    </w:lvl>
    <w:lvl w:ilvl="7" w:tplc="FE222008" w:tentative="1">
      <w:start w:val="1"/>
      <w:numFmt w:val="bullet"/>
      <w:lvlText w:val=""/>
      <w:lvlJc w:val="left"/>
      <w:pPr>
        <w:tabs>
          <w:tab w:val="num" w:pos="5760"/>
        </w:tabs>
        <w:ind w:left="5760" w:hanging="360"/>
      </w:pPr>
      <w:rPr>
        <w:rFonts w:ascii="Symbol" w:hAnsi="Symbol" w:hint="default"/>
      </w:rPr>
    </w:lvl>
    <w:lvl w:ilvl="8" w:tplc="547461E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5FB75B6"/>
    <w:multiLevelType w:val="hybridMultilevel"/>
    <w:tmpl w:val="353A46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81397"/>
    <w:multiLevelType w:val="hybridMultilevel"/>
    <w:tmpl w:val="9D64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808C4"/>
    <w:multiLevelType w:val="multilevel"/>
    <w:tmpl w:val="159A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57C"/>
    <w:rsid w:val="00100290"/>
    <w:rsid w:val="00103565"/>
    <w:rsid w:val="001049C7"/>
    <w:rsid w:val="00127585"/>
    <w:rsid w:val="0013399B"/>
    <w:rsid w:val="00140DE9"/>
    <w:rsid w:val="001410F5"/>
    <w:rsid w:val="001C08B2"/>
    <w:rsid w:val="0024448A"/>
    <w:rsid w:val="002B55D9"/>
    <w:rsid w:val="003359BD"/>
    <w:rsid w:val="00414479"/>
    <w:rsid w:val="004C4A6A"/>
    <w:rsid w:val="00552668"/>
    <w:rsid w:val="0058375F"/>
    <w:rsid w:val="00603D4C"/>
    <w:rsid w:val="00642512"/>
    <w:rsid w:val="00672E53"/>
    <w:rsid w:val="006A2E2C"/>
    <w:rsid w:val="006B6458"/>
    <w:rsid w:val="0070736A"/>
    <w:rsid w:val="00784E3D"/>
    <w:rsid w:val="007A05B4"/>
    <w:rsid w:val="007D6E81"/>
    <w:rsid w:val="00812519"/>
    <w:rsid w:val="00820757"/>
    <w:rsid w:val="0083510E"/>
    <w:rsid w:val="00872708"/>
    <w:rsid w:val="008933BA"/>
    <w:rsid w:val="008F6ED4"/>
    <w:rsid w:val="009D0302"/>
    <w:rsid w:val="009D2C73"/>
    <w:rsid w:val="00A42EA4"/>
    <w:rsid w:val="00AE664F"/>
    <w:rsid w:val="00B151FB"/>
    <w:rsid w:val="00B511DF"/>
    <w:rsid w:val="00B95948"/>
    <w:rsid w:val="00D75823"/>
    <w:rsid w:val="00DA7090"/>
    <w:rsid w:val="00DC0EAF"/>
    <w:rsid w:val="00E8657C"/>
    <w:rsid w:val="00EA606A"/>
    <w:rsid w:val="00EE3F32"/>
    <w:rsid w:val="00F24294"/>
    <w:rsid w:val="00FD6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681C19-708C-43C0-BA64-E0CD5A12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06A"/>
    <w:pPr>
      <w:ind w:left="720"/>
      <w:contextualSpacing/>
    </w:pPr>
  </w:style>
  <w:style w:type="paragraph" w:styleId="Header">
    <w:name w:val="header"/>
    <w:basedOn w:val="Normal"/>
    <w:link w:val="HeaderChar"/>
    <w:rsid w:val="00F24294"/>
    <w:pPr>
      <w:tabs>
        <w:tab w:val="center" w:pos="4513"/>
        <w:tab w:val="right" w:pos="9026"/>
      </w:tabs>
    </w:pPr>
  </w:style>
  <w:style w:type="character" w:customStyle="1" w:styleId="HeaderChar">
    <w:name w:val="Header Char"/>
    <w:basedOn w:val="DefaultParagraphFont"/>
    <w:link w:val="Header"/>
    <w:rsid w:val="00F24294"/>
    <w:rPr>
      <w:rFonts w:ascii="Arial" w:hAnsi="Arial"/>
      <w:sz w:val="24"/>
      <w:szCs w:val="24"/>
    </w:rPr>
  </w:style>
  <w:style w:type="paragraph" w:styleId="Footer">
    <w:name w:val="footer"/>
    <w:basedOn w:val="Normal"/>
    <w:link w:val="FooterChar"/>
    <w:uiPriority w:val="99"/>
    <w:rsid w:val="00F24294"/>
    <w:pPr>
      <w:tabs>
        <w:tab w:val="center" w:pos="4513"/>
        <w:tab w:val="right" w:pos="9026"/>
      </w:tabs>
    </w:pPr>
  </w:style>
  <w:style w:type="character" w:customStyle="1" w:styleId="FooterChar">
    <w:name w:val="Footer Char"/>
    <w:basedOn w:val="DefaultParagraphFont"/>
    <w:link w:val="Footer"/>
    <w:uiPriority w:val="99"/>
    <w:rsid w:val="00F24294"/>
    <w:rPr>
      <w:rFonts w:ascii="Arial" w:hAnsi="Arial"/>
      <w:sz w:val="24"/>
      <w:szCs w:val="24"/>
    </w:rPr>
  </w:style>
  <w:style w:type="paragraph" w:styleId="BalloonText">
    <w:name w:val="Balloon Text"/>
    <w:basedOn w:val="Normal"/>
    <w:link w:val="BalloonTextChar"/>
    <w:rsid w:val="0083510E"/>
    <w:rPr>
      <w:rFonts w:ascii="Tahoma" w:hAnsi="Tahoma" w:cs="Tahoma"/>
      <w:sz w:val="16"/>
      <w:szCs w:val="16"/>
    </w:rPr>
  </w:style>
  <w:style w:type="character" w:customStyle="1" w:styleId="BalloonTextChar">
    <w:name w:val="Balloon Text Char"/>
    <w:basedOn w:val="DefaultParagraphFont"/>
    <w:link w:val="BalloonText"/>
    <w:rsid w:val="0083510E"/>
    <w:rPr>
      <w:rFonts w:ascii="Tahoma" w:hAnsi="Tahoma" w:cs="Tahoma"/>
      <w:sz w:val="16"/>
      <w:szCs w:val="16"/>
    </w:rPr>
  </w:style>
  <w:style w:type="paragraph" w:styleId="NoSpacing">
    <w:name w:val="No Spacing"/>
    <w:uiPriority w:val="1"/>
    <w:qFormat/>
    <w:rsid w:val="0010356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3426">
      <w:bodyDiv w:val="1"/>
      <w:marLeft w:val="0"/>
      <w:marRight w:val="0"/>
      <w:marTop w:val="0"/>
      <w:marBottom w:val="0"/>
      <w:divBdr>
        <w:top w:val="none" w:sz="0" w:space="0" w:color="auto"/>
        <w:left w:val="none" w:sz="0" w:space="0" w:color="auto"/>
        <w:bottom w:val="none" w:sz="0" w:space="0" w:color="auto"/>
        <w:right w:val="none" w:sz="0" w:space="0" w:color="auto"/>
      </w:divBdr>
    </w:div>
    <w:div w:id="237789072">
      <w:bodyDiv w:val="1"/>
      <w:marLeft w:val="0"/>
      <w:marRight w:val="0"/>
      <w:marTop w:val="0"/>
      <w:marBottom w:val="0"/>
      <w:divBdr>
        <w:top w:val="none" w:sz="0" w:space="0" w:color="auto"/>
        <w:left w:val="none" w:sz="0" w:space="0" w:color="auto"/>
        <w:bottom w:val="none" w:sz="0" w:space="0" w:color="auto"/>
        <w:right w:val="none" w:sz="0" w:space="0" w:color="auto"/>
      </w:divBdr>
    </w:div>
    <w:div w:id="358626939">
      <w:bodyDiv w:val="1"/>
      <w:marLeft w:val="0"/>
      <w:marRight w:val="0"/>
      <w:marTop w:val="0"/>
      <w:marBottom w:val="0"/>
      <w:divBdr>
        <w:top w:val="none" w:sz="0" w:space="0" w:color="auto"/>
        <w:left w:val="none" w:sz="0" w:space="0" w:color="auto"/>
        <w:bottom w:val="none" w:sz="0" w:space="0" w:color="auto"/>
        <w:right w:val="none" w:sz="0" w:space="0" w:color="auto"/>
      </w:divBdr>
    </w:div>
    <w:div w:id="433792306">
      <w:bodyDiv w:val="1"/>
      <w:marLeft w:val="0"/>
      <w:marRight w:val="0"/>
      <w:marTop w:val="0"/>
      <w:marBottom w:val="0"/>
      <w:divBdr>
        <w:top w:val="none" w:sz="0" w:space="0" w:color="auto"/>
        <w:left w:val="none" w:sz="0" w:space="0" w:color="auto"/>
        <w:bottom w:val="none" w:sz="0" w:space="0" w:color="auto"/>
        <w:right w:val="none" w:sz="0" w:space="0" w:color="auto"/>
      </w:divBdr>
    </w:div>
    <w:div w:id="585117369">
      <w:bodyDiv w:val="1"/>
      <w:marLeft w:val="0"/>
      <w:marRight w:val="0"/>
      <w:marTop w:val="0"/>
      <w:marBottom w:val="0"/>
      <w:divBdr>
        <w:top w:val="none" w:sz="0" w:space="0" w:color="auto"/>
        <w:left w:val="none" w:sz="0" w:space="0" w:color="auto"/>
        <w:bottom w:val="none" w:sz="0" w:space="0" w:color="auto"/>
        <w:right w:val="none" w:sz="0" w:space="0" w:color="auto"/>
      </w:divBdr>
    </w:div>
    <w:div w:id="609627466">
      <w:bodyDiv w:val="1"/>
      <w:marLeft w:val="0"/>
      <w:marRight w:val="0"/>
      <w:marTop w:val="0"/>
      <w:marBottom w:val="0"/>
      <w:divBdr>
        <w:top w:val="none" w:sz="0" w:space="0" w:color="auto"/>
        <w:left w:val="none" w:sz="0" w:space="0" w:color="auto"/>
        <w:bottom w:val="none" w:sz="0" w:space="0" w:color="auto"/>
        <w:right w:val="none" w:sz="0" w:space="0" w:color="auto"/>
      </w:divBdr>
      <w:divsChild>
        <w:div w:id="1005785470">
          <w:marLeft w:val="0"/>
          <w:marRight w:val="0"/>
          <w:marTop w:val="0"/>
          <w:marBottom w:val="0"/>
          <w:divBdr>
            <w:top w:val="none" w:sz="0" w:space="0" w:color="auto"/>
            <w:left w:val="none" w:sz="0" w:space="0" w:color="auto"/>
            <w:bottom w:val="none" w:sz="0" w:space="0" w:color="auto"/>
            <w:right w:val="none" w:sz="0" w:space="0" w:color="auto"/>
          </w:divBdr>
          <w:divsChild>
            <w:div w:id="1501235959">
              <w:marLeft w:val="0"/>
              <w:marRight w:val="0"/>
              <w:marTop w:val="0"/>
              <w:marBottom w:val="0"/>
              <w:divBdr>
                <w:top w:val="none" w:sz="0" w:space="0" w:color="auto"/>
                <w:left w:val="none" w:sz="0" w:space="0" w:color="auto"/>
                <w:bottom w:val="none" w:sz="0" w:space="0" w:color="auto"/>
                <w:right w:val="none" w:sz="0" w:space="0" w:color="auto"/>
              </w:divBdr>
              <w:divsChild>
                <w:div w:id="1666205566">
                  <w:marLeft w:val="0"/>
                  <w:marRight w:val="0"/>
                  <w:marTop w:val="0"/>
                  <w:marBottom w:val="0"/>
                  <w:divBdr>
                    <w:top w:val="none" w:sz="0" w:space="0" w:color="auto"/>
                    <w:left w:val="none" w:sz="0" w:space="0" w:color="auto"/>
                    <w:bottom w:val="none" w:sz="0" w:space="0" w:color="auto"/>
                    <w:right w:val="none" w:sz="0" w:space="0" w:color="auto"/>
                  </w:divBdr>
                  <w:divsChild>
                    <w:div w:id="21096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44635">
      <w:bodyDiv w:val="1"/>
      <w:marLeft w:val="0"/>
      <w:marRight w:val="0"/>
      <w:marTop w:val="0"/>
      <w:marBottom w:val="0"/>
      <w:divBdr>
        <w:top w:val="none" w:sz="0" w:space="0" w:color="auto"/>
        <w:left w:val="none" w:sz="0" w:space="0" w:color="auto"/>
        <w:bottom w:val="none" w:sz="0" w:space="0" w:color="auto"/>
        <w:right w:val="none" w:sz="0" w:space="0" w:color="auto"/>
      </w:divBdr>
    </w:div>
    <w:div w:id="750740515">
      <w:bodyDiv w:val="1"/>
      <w:marLeft w:val="0"/>
      <w:marRight w:val="0"/>
      <w:marTop w:val="0"/>
      <w:marBottom w:val="0"/>
      <w:divBdr>
        <w:top w:val="none" w:sz="0" w:space="0" w:color="auto"/>
        <w:left w:val="none" w:sz="0" w:space="0" w:color="auto"/>
        <w:bottom w:val="none" w:sz="0" w:space="0" w:color="auto"/>
        <w:right w:val="none" w:sz="0" w:space="0" w:color="auto"/>
      </w:divBdr>
    </w:div>
    <w:div w:id="780994713">
      <w:bodyDiv w:val="1"/>
      <w:marLeft w:val="0"/>
      <w:marRight w:val="0"/>
      <w:marTop w:val="0"/>
      <w:marBottom w:val="0"/>
      <w:divBdr>
        <w:top w:val="none" w:sz="0" w:space="0" w:color="auto"/>
        <w:left w:val="none" w:sz="0" w:space="0" w:color="auto"/>
        <w:bottom w:val="none" w:sz="0" w:space="0" w:color="auto"/>
        <w:right w:val="none" w:sz="0" w:space="0" w:color="auto"/>
      </w:divBdr>
    </w:div>
    <w:div w:id="815219798">
      <w:bodyDiv w:val="1"/>
      <w:marLeft w:val="0"/>
      <w:marRight w:val="0"/>
      <w:marTop w:val="0"/>
      <w:marBottom w:val="0"/>
      <w:divBdr>
        <w:top w:val="none" w:sz="0" w:space="0" w:color="auto"/>
        <w:left w:val="none" w:sz="0" w:space="0" w:color="auto"/>
        <w:bottom w:val="none" w:sz="0" w:space="0" w:color="auto"/>
        <w:right w:val="none" w:sz="0" w:space="0" w:color="auto"/>
      </w:divBdr>
    </w:div>
    <w:div w:id="870144824">
      <w:bodyDiv w:val="1"/>
      <w:marLeft w:val="0"/>
      <w:marRight w:val="0"/>
      <w:marTop w:val="0"/>
      <w:marBottom w:val="0"/>
      <w:divBdr>
        <w:top w:val="none" w:sz="0" w:space="0" w:color="auto"/>
        <w:left w:val="none" w:sz="0" w:space="0" w:color="auto"/>
        <w:bottom w:val="none" w:sz="0" w:space="0" w:color="auto"/>
        <w:right w:val="none" w:sz="0" w:space="0" w:color="auto"/>
      </w:divBdr>
    </w:div>
    <w:div w:id="1021250159">
      <w:bodyDiv w:val="1"/>
      <w:marLeft w:val="0"/>
      <w:marRight w:val="0"/>
      <w:marTop w:val="0"/>
      <w:marBottom w:val="0"/>
      <w:divBdr>
        <w:top w:val="none" w:sz="0" w:space="0" w:color="auto"/>
        <w:left w:val="none" w:sz="0" w:space="0" w:color="auto"/>
        <w:bottom w:val="none" w:sz="0" w:space="0" w:color="auto"/>
        <w:right w:val="none" w:sz="0" w:space="0" w:color="auto"/>
      </w:divBdr>
    </w:div>
    <w:div w:id="1073353402">
      <w:bodyDiv w:val="1"/>
      <w:marLeft w:val="0"/>
      <w:marRight w:val="0"/>
      <w:marTop w:val="0"/>
      <w:marBottom w:val="0"/>
      <w:divBdr>
        <w:top w:val="none" w:sz="0" w:space="0" w:color="auto"/>
        <w:left w:val="none" w:sz="0" w:space="0" w:color="auto"/>
        <w:bottom w:val="none" w:sz="0" w:space="0" w:color="auto"/>
        <w:right w:val="none" w:sz="0" w:space="0" w:color="auto"/>
      </w:divBdr>
    </w:div>
    <w:div w:id="1111362484">
      <w:bodyDiv w:val="1"/>
      <w:marLeft w:val="0"/>
      <w:marRight w:val="0"/>
      <w:marTop w:val="0"/>
      <w:marBottom w:val="0"/>
      <w:divBdr>
        <w:top w:val="none" w:sz="0" w:space="0" w:color="auto"/>
        <w:left w:val="none" w:sz="0" w:space="0" w:color="auto"/>
        <w:bottom w:val="none" w:sz="0" w:space="0" w:color="auto"/>
        <w:right w:val="none" w:sz="0" w:space="0" w:color="auto"/>
      </w:divBdr>
    </w:div>
    <w:div w:id="1162772445">
      <w:bodyDiv w:val="1"/>
      <w:marLeft w:val="0"/>
      <w:marRight w:val="0"/>
      <w:marTop w:val="0"/>
      <w:marBottom w:val="0"/>
      <w:divBdr>
        <w:top w:val="none" w:sz="0" w:space="0" w:color="auto"/>
        <w:left w:val="none" w:sz="0" w:space="0" w:color="auto"/>
        <w:bottom w:val="none" w:sz="0" w:space="0" w:color="auto"/>
        <w:right w:val="none" w:sz="0" w:space="0" w:color="auto"/>
      </w:divBdr>
    </w:div>
    <w:div w:id="1174608787">
      <w:bodyDiv w:val="1"/>
      <w:marLeft w:val="0"/>
      <w:marRight w:val="0"/>
      <w:marTop w:val="0"/>
      <w:marBottom w:val="0"/>
      <w:divBdr>
        <w:top w:val="none" w:sz="0" w:space="0" w:color="auto"/>
        <w:left w:val="none" w:sz="0" w:space="0" w:color="auto"/>
        <w:bottom w:val="none" w:sz="0" w:space="0" w:color="auto"/>
        <w:right w:val="none" w:sz="0" w:space="0" w:color="auto"/>
      </w:divBdr>
    </w:div>
    <w:div w:id="1206723129">
      <w:bodyDiv w:val="1"/>
      <w:marLeft w:val="0"/>
      <w:marRight w:val="0"/>
      <w:marTop w:val="0"/>
      <w:marBottom w:val="0"/>
      <w:divBdr>
        <w:top w:val="none" w:sz="0" w:space="0" w:color="auto"/>
        <w:left w:val="none" w:sz="0" w:space="0" w:color="auto"/>
        <w:bottom w:val="none" w:sz="0" w:space="0" w:color="auto"/>
        <w:right w:val="none" w:sz="0" w:space="0" w:color="auto"/>
      </w:divBdr>
    </w:div>
    <w:div w:id="1237282843">
      <w:bodyDiv w:val="1"/>
      <w:marLeft w:val="0"/>
      <w:marRight w:val="0"/>
      <w:marTop w:val="0"/>
      <w:marBottom w:val="0"/>
      <w:divBdr>
        <w:top w:val="none" w:sz="0" w:space="0" w:color="auto"/>
        <w:left w:val="none" w:sz="0" w:space="0" w:color="auto"/>
        <w:bottom w:val="none" w:sz="0" w:space="0" w:color="auto"/>
        <w:right w:val="none" w:sz="0" w:space="0" w:color="auto"/>
      </w:divBdr>
      <w:divsChild>
        <w:div w:id="1096553963">
          <w:marLeft w:val="547"/>
          <w:marRight w:val="0"/>
          <w:marTop w:val="0"/>
          <w:marBottom w:val="0"/>
          <w:divBdr>
            <w:top w:val="none" w:sz="0" w:space="0" w:color="auto"/>
            <w:left w:val="none" w:sz="0" w:space="0" w:color="auto"/>
            <w:bottom w:val="none" w:sz="0" w:space="0" w:color="auto"/>
            <w:right w:val="none" w:sz="0" w:space="0" w:color="auto"/>
          </w:divBdr>
        </w:div>
        <w:div w:id="384376027">
          <w:marLeft w:val="547"/>
          <w:marRight w:val="0"/>
          <w:marTop w:val="0"/>
          <w:marBottom w:val="0"/>
          <w:divBdr>
            <w:top w:val="none" w:sz="0" w:space="0" w:color="auto"/>
            <w:left w:val="none" w:sz="0" w:space="0" w:color="auto"/>
            <w:bottom w:val="none" w:sz="0" w:space="0" w:color="auto"/>
            <w:right w:val="none" w:sz="0" w:space="0" w:color="auto"/>
          </w:divBdr>
        </w:div>
        <w:div w:id="1270620708">
          <w:marLeft w:val="547"/>
          <w:marRight w:val="0"/>
          <w:marTop w:val="0"/>
          <w:marBottom w:val="0"/>
          <w:divBdr>
            <w:top w:val="none" w:sz="0" w:space="0" w:color="auto"/>
            <w:left w:val="none" w:sz="0" w:space="0" w:color="auto"/>
            <w:bottom w:val="none" w:sz="0" w:space="0" w:color="auto"/>
            <w:right w:val="none" w:sz="0" w:space="0" w:color="auto"/>
          </w:divBdr>
        </w:div>
        <w:div w:id="228543548">
          <w:marLeft w:val="547"/>
          <w:marRight w:val="0"/>
          <w:marTop w:val="0"/>
          <w:marBottom w:val="0"/>
          <w:divBdr>
            <w:top w:val="none" w:sz="0" w:space="0" w:color="auto"/>
            <w:left w:val="none" w:sz="0" w:space="0" w:color="auto"/>
            <w:bottom w:val="none" w:sz="0" w:space="0" w:color="auto"/>
            <w:right w:val="none" w:sz="0" w:space="0" w:color="auto"/>
          </w:divBdr>
        </w:div>
        <w:div w:id="1046838365">
          <w:marLeft w:val="547"/>
          <w:marRight w:val="0"/>
          <w:marTop w:val="0"/>
          <w:marBottom w:val="0"/>
          <w:divBdr>
            <w:top w:val="none" w:sz="0" w:space="0" w:color="auto"/>
            <w:left w:val="none" w:sz="0" w:space="0" w:color="auto"/>
            <w:bottom w:val="none" w:sz="0" w:space="0" w:color="auto"/>
            <w:right w:val="none" w:sz="0" w:space="0" w:color="auto"/>
          </w:divBdr>
        </w:div>
        <w:div w:id="918488750">
          <w:marLeft w:val="547"/>
          <w:marRight w:val="0"/>
          <w:marTop w:val="0"/>
          <w:marBottom w:val="0"/>
          <w:divBdr>
            <w:top w:val="none" w:sz="0" w:space="0" w:color="auto"/>
            <w:left w:val="none" w:sz="0" w:space="0" w:color="auto"/>
            <w:bottom w:val="none" w:sz="0" w:space="0" w:color="auto"/>
            <w:right w:val="none" w:sz="0" w:space="0" w:color="auto"/>
          </w:divBdr>
        </w:div>
        <w:div w:id="1608124862">
          <w:marLeft w:val="547"/>
          <w:marRight w:val="0"/>
          <w:marTop w:val="0"/>
          <w:marBottom w:val="0"/>
          <w:divBdr>
            <w:top w:val="none" w:sz="0" w:space="0" w:color="auto"/>
            <w:left w:val="none" w:sz="0" w:space="0" w:color="auto"/>
            <w:bottom w:val="none" w:sz="0" w:space="0" w:color="auto"/>
            <w:right w:val="none" w:sz="0" w:space="0" w:color="auto"/>
          </w:divBdr>
        </w:div>
      </w:divsChild>
    </w:div>
    <w:div w:id="1268268519">
      <w:bodyDiv w:val="1"/>
      <w:marLeft w:val="0"/>
      <w:marRight w:val="0"/>
      <w:marTop w:val="0"/>
      <w:marBottom w:val="0"/>
      <w:divBdr>
        <w:top w:val="none" w:sz="0" w:space="0" w:color="auto"/>
        <w:left w:val="none" w:sz="0" w:space="0" w:color="auto"/>
        <w:bottom w:val="none" w:sz="0" w:space="0" w:color="auto"/>
        <w:right w:val="none" w:sz="0" w:space="0" w:color="auto"/>
      </w:divBdr>
    </w:div>
    <w:div w:id="1401370220">
      <w:bodyDiv w:val="1"/>
      <w:marLeft w:val="0"/>
      <w:marRight w:val="0"/>
      <w:marTop w:val="0"/>
      <w:marBottom w:val="0"/>
      <w:divBdr>
        <w:top w:val="none" w:sz="0" w:space="0" w:color="auto"/>
        <w:left w:val="none" w:sz="0" w:space="0" w:color="auto"/>
        <w:bottom w:val="none" w:sz="0" w:space="0" w:color="auto"/>
        <w:right w:val="none" w:sz="0" w:space="0" w:color="auto"/>
      </w:divBdr>
      <w:divsChild>
        <w:div w:id="1761633340">
          <w:marLeft w:val="547"/>
          <w:marRight w:val="0"/>
          <w:marTop w:val="0"/>
          <w:marBottom w:val="0"/>
          <w:divBdr>
            <w:top w:val="none" w:sz="0" w:space="0" w:color="auto"/>
            <w:left w:val="none" w:sz="0" w:space="0" w:color="auto"/>
            <w:bottom w:val="none" w:sz="0" w:space="0" w:color="auto"/>
            <w:right w:val="none" w:sz="0" w:space="0" w:color="auto"/>
          </w:divBdr>
        </w:div>
        <w:div w:id="1602639677">
          <w:marLeft w:val="547"/>
          <w:marRight w:val="0"/>
          <w:marTop w:val="0"/>
          <w:marBottom w:val="0"/>
          <w:divBdr>
            <w:top w:val="none" w:sz="0" w:space="0" w:color="auto"/>
            <w:left w:val="none" w:sz="0" w:space="0" w:color="auto"/>
            <w:bottom w:val="none" w:sz="0" w:space="0" w:color="auto"/>
            <w:right w:val="none" w:sz="0" w:space="0" w:color="auto"/>
          </w:divBdr>
        </w:div>
        <w:div w:id="2004123122">
          <w:marLeft w:val="547"/>
          <w:marRight w:val="0"/>
          <w:marTop w:val="0"/>
          <w:marBottom w:val="0"/>
          <w:divBdr>
            <w:top w:val="none" w:sz="0" w:space="0" w:color="auto"/>
            <w:left w:val="none" w:sz="0" w:space="0" w:color="auto"/>
            <w:bottom w:val="none" w:sz="0" w:space="0" w:color="auto"/>
            <w:right w:val="none" w:sz="0" w:space="0" w:color="auto"/>
          </w:divBdr>
        </w:div>
      </w:divsChild>
    </w:div>
    <w:div w:id="1542013528">
      <w:bodyDiv w:val="1"/>
      <w:marLeft w:val="0"/>
      <w:marRight w:val="0"/>
      <w:marTop w:val="0"/>
      <w:marBottom w:val="0"/>
      <w:divBdr>
        <w:top w:val="none" w:sz="0" w:space="0" w:color="auto"/>
        <w:left w:val="none" w:sz="0" w:space="0" w:color="auto"/>
        <w:bottom w:val="none" w:sz="0" w:space="0" w:color="auto"/>
        <w:right w:val="none" w:sz="0" w:space="0" w:color="auto"/>
      </w:divBdr>
      <w:divsChild>
        <w:div w:id="947590116">
          <w:marLeft w:val="1166"/>
          <w:marRight w:val="0"/>
          <w:marTop w:val="0"/>
          <w:marBottom w:val="0"/>
          <w:divBdr>
            <w:top w:val="none" w:sz="0" w:space="0" w:color="auto"/>
            <w:left w:val="none" w:sz="0" w:space="0" w:color="auto"/>
            <w:bottom w:val="none" w:sz="0" w:space="0" w:color="auto"/>
            <w:right w:val="none" w:sz="0" w:space="0" w:color="auto"/>
          </w:divBdr>
        </w:div>
        <w:div w:id="564924012">
          <w:marLeft w:val="1166"/>
          <w:marRight w:val="0"/>
          <w:marTop w:val="0"/>
          <w:marBottom w:val="0"/>
          <w:divBdr>
            <w:top w:val="none" w:sz="0" w:space="0" w:color="auto"/>
            <w:left w:val="none" w:sz="0" w:space="0" w:color="auto"/>
            <w:bottom w:val="none" w:sz="0" w:space="0" w:color="auto"/>
            <w:right w:val="none" w:sz="0" w:space="0" w:color="auto"/>
          </w:divBdr>
        </w:div>
        <w:div w:id="1689260667">
          <w:marLeft w:val="1166"/>
          <w:marRight w:val="0"/>
          <w:marTop w:val="0"/>
          <w:marBottom w:val="0"/>
          <w:divBdr>
            <w:top w:val="none" w:sz="0" w:space="0" w:color="auto"/>
            <w:left w:val="none" w:sz="0" w:space="0" w:color="auto"/>
            <w:bottom w:val="none" w:sz="0" w:space="0" w:color="auto"/>
            <w:right w:val="none" w:sz="0" w:space="0" w:color="auto"/>
          </w:divBdr>
        </w:div>
      </w:divsChild>
    </w:div>
    <w:div w:id="1556701975">
      <w:bodyDiv w:val="1"/>
      <w:marLeft w:val="0"/>
      <w:marRight w:val="0"/>
      <w:marTop w:val="0"/>
      <w:marBottom w:val="0"/>
      <w:divBdr>
        <w:top w:val="none" w:sz="0" w:space="0" w:color="auto"/>
        <w:left w:val="none" w:sz="0" w:space="0" w:color="auto"/>
        <w:bottom w:val="none" w:sz="0" w:space="0" w:color="auto"/>
        <w:right w:val="none" w:sz="0" w:space="0" w:color="auto"/>
      </w:divBdr>
      <w:divsChild>
        <w:div w:id="851803264">
          <w:marLeft w:val="1166"/>
          <w:marRight w:val="0"/>
          <w:marTop w:val="0"/>
          <w:marBottom w:val="0"/>
          <w:divBdr>
            <w:top w:val="none" w:sz="0" w:space="0" w:color="auto"/>
            <w:left w:val="none" w:sz="0" w:space="0" w:color="auto"/>
            <w:bottom w:val="none" w:sz="0" w:space="0" w:color="auto"/>
            <w:right w:val="none" w:sz="0" w:space="0" w:color="auto"/>
          </w:divBdr>
        </w:div>
        <w:div w:id="2126578030">
          <w:marLeft w:val="1166"/>
          <w:marRight w:val="0"/>
          <w:marTop w:val="0"/>
          <w:marBottom w:val="0"/>
          <w:divBdr>
            <w:top w:val="none" w:sz="0" w:space="0" w:color="auto"/>
            <w:left w:val="none" w:sz="0" w:space="0" w:color="auto"/>
            <w:bottom w:val="none" w:sz="0" w:space="0" w:color="auto"/>
            <w:right w:val="none" w:sz="0" w:space="0" w:color="auto"/>
          </w:divBdr>
        </w:div>
      </w:divsChild>
    </w:div>
    <w:div w:id="1558512627">
      <w:bodyDiv w:val="1"/>
      <w:marLeft w:val="0"/>
      <w:marRight w:val="0"/>
      <w:marTop w:val="0"/>
      <w:marBottom w:val="0"/>
      <w:divBdr>
        <w:top w:val="none" w:sz="0" w:space="0" w:color="auto"/>
        <w:left w:val="none" w:sz="0" w:space="0" w:color="auto"/>
        <w:bottom w:val="none" w:sz="0" w:space="0" w:color="auto"/>
        <w:right w:val="none" w:sz="0" w:space="0" w:color="auto"/>
      </w:divBdr>
    </w:div>
    <w:div w:id="1615094321">
      <w:bodyDiv w:val="1"/>
      <w:marLeft w:val="0"/>
      <w:marRight w:val="0"/>
      <w:marTop w:val="0"/>
      <w:marBottom w:val="0"/>
      <w:divBdr>
        <w:top w:val="none" w:sz="0" w:space="0" w:color="auto"/>
        <w:left w:val="none" w:sz="0" w:space="0" w:color="auto"/>
        <w:bottom w:val="none" w:sz="0" w:space="0" w:color="auto"/>
        <w:right w:val="none" w:sz="0" w:space="0" w:color="auto"/>
      </w:divBdr>
    </w:div>
    <w:div w:id="1814979672">
      <w:bodyDiv w:val="1"/>
      <w:marLeft w:val="0"/>
      <w:marRight w:val="0"/>
      <w:marTop w:val="0"/>
      <w:marBottom w:val="0"/>
      <w:divBdr>
        <w:top w:val="none" w:sz="0" w:space="0" w:color="auto"/>
        <w:left w:val="none" w:sz="0" w:space="0" w:color="auto"/>
        <w:bottom w:val="none" w:sz="0" w:space="0" w:color="auto"/>
        <w:right w:val="none" w:sz="0" w:space="0" w:color="auto"/>
      </w:divBdr>
    </w:div>
    <w:div w:id="1924339659">
      <w:bodyDiv w:val="1"/>
      <w:marLeft w:val="0"/>
      <w:marRight w:val="0"/>
      <w:marTop w:val="0"/>
      <w:marBottom w:val="0"/>
      <w:divBdr>
        <w:top w:val="none" w:sz="0" w:space="0" w:color="auto"/>
        <w:left w:val="none" w:sz="0" w:space="0" w:color="auto"/>
        <w:bottom w:val="none" w:sz="0" w:space="0" w:color="auto"/>
        <w:right w:val="none" w:sz="0" w:space="0" w:color="auto"/>
      </w:divBdr>
    </w:div>
    <w:div w:id="1973169147">
      <w:bodyDiv w:val="1"/>
      <w:marLeft w:val="0"/>
      <w:marRight w:val="0"/>
      <w:marTop w:val="0"/>
      <w:marBottom w:val="0"/>
      <w:divBdr>
        <w:top w:val="none" w:sz="0" w:space="0" w:color="auto"/>
        <w:left w:val="none" w:sz="0" w:space="0" w:color="auto"/>
        <w:bottom w:val="none" w:sz="0" w:space="0" w:color="auto"/>
        <w:right w:val="none" w:sz="0" w:space="0" w:color="auto"/>
      </w:divBdr>
    </w:div>
    <w:div w:id="20516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3177-E6F2-415A-BDA7-E1F6D0A4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Violent Crime Summit - statement of action</dc:title>
  <dc:creator>Julia Mllambo</dc:creator>
  <cp:lastModifiedBy>Phillip Nduoyo</cp:lastModifiedBy>
  <cp:revision>2</cp:revision>
  <cp:lastPrinted>2018-11-28T15:07:00Z</cp:lastPrinted>
  <dcterms:created xsi:type="dcterms:W3CDTF">2020-12-01T10:41:00Z</dcterms:created>
  <dcterms:modified xsi:type="dcterms:W3CDTF">2020-12-01T10:41:00Z</dcterms:modified>
</cp:coreProperties>
</file>