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ED1FC66" w:rsidR="00AA79F3" w:rsidRPr="007C4F08" w:rsidRDefault="00AA15A7" w:rsidP="007C4F08">
      <w:pPr>
        <w:pStyle w:val="Title"/>
      </w:pPr>
      <w:sdt>
        <w:sdtPr>
          <w:rPr>
            <w:rFonts w:eastAsiaTheme="minorHAnsi"/>
            <w:color w:val="2F5496" w:themeColor="accent1" w:themeShade="BF"/>
            <w:sz w:val="32"/>
            <w:szCs w:val="32"/>
            <w:lang w:eastAsia="en-US"/>
          </w:r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AA15A7">
            <w:rPr>
              <w:rFonts w:eastAsiaTheme="minorHAnsi"/>
              <w:color w:val="2F5496" w:themeColor="accent1" w:themeShade="BF"/>
              <w:sz w:val="32"/>
              <w:szCs w:val="32"/>
              <w:lang w:eastAsia="en-US"/>
            </w:rPr>
            <w:t>Tower Hamlets Growth &amp; Economic Development Partnership Board – Terms of Reference</w:t>
          </w:r>
        </w:sdtContent>
      </w:sdt>
    </w:p>
    <w:p w14:paraId="4B137493" w14:textId="164122AF" w:rsidR="00CC4CE1" w:rsidRPr="00BE6FB3" w:rsidRDefault="00AA15A7" w:rsidP="00AA79F3">
      <w:pPr>
        <w:pStyle w:val="Subtitle"/>
        <w:rPr>
          <w:szCs w:val="28"/>
        </w:rPr>
      </w:pPr>
      <w:r>
        <w:rPr>
          <w:szCs w:val="28"/>
        </w:rPr>
        <w:t>Terms of Reference</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491545AC" w14:textId="2F700EEF" w:rsidR="00CC4CE1" w:rsidRPr="00CC4CE1" w:rsidRDefault="00AA15A7" w:rsidP="00101F8B">
          <w:r>
            <w:t>29/11/2023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2D0D5C83" w14:textId="230B342D" w:rsidR="00FA544A" w:rsidRDefault="00101F8B">
          <w:pPr>
            <w:pStyle w:val="TOC2"/>
            <w:tabs>
              <w:tab w:val="right" w:leader="dot" w:pos="9016"/>
            </w:tabs>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3827920" w:history="1">
            <w:r w:rsidR="00FA544A" w:rsidRPr="00DD247B">
              <w:rPr>
                <w:rStyle w:val="Hyperlink"/>
                <w:noProof/>
              </w:rPr>
              <w:t>Context</w:t>
            </w:r>
            <w:r w:rsidR="00FA544A">
              <w:rPr>
                <w:noProof/>
                <w:webHidden/>
              </w:rPr>
              <w:tab/>
            </w:r>
            <w:r w:rsidR="00FA544A">
              <w:rPr>
                <w:noProof/>
                <w:webHidden/>
              </w:rPr>
              <w:fldChar w:fldCharType="begin"/>
            </w:r>
            <w:r w:rsidR="00FA544A">
              <w:rPr>
                <w:noProof/>
                <w:webHidden/>
              </w:rPr>
              <w:instrText xml:space="preserve"> PAGEREF _Toc153827920 \h </w:instrText>
            </w:r>
            <w:r w:rsidR="00FA544A">
              <w:rPr>
                <w:noProof/>
                <w:webHidden/>
              </w:rPr>
            </w:r>
            <w:r w:rsidR="00FA544A">
              <w:rPr>
                <w:noProof/>
                <w:webHidden/>
              </w:rPr>
              <w:fldChar w:fldCharType="separate"/>
            </w:r>
            <w:r w:rsidR="00FA544A">
              <w:rPr>
                <w:noProof/>
                <w:webHidden/>
              </w:rPr>
              <w:t>3</w:t>
            </w:r>
            <w:r w:rsidR="00FA544A">
              <w:rPr>
                <w:noProof/>
                <w:webHidden/>
              </w:rPr>
              <w:fldChar w:fldCharType="end"/>
            </w:r>
          </w:hyperlink>
        </w:p>
        <w:p w14:paraId="74A2D931" w14:textId="595F9CD6"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1" w:history="1">
            <w:r w:rsidRPr="00DD247B">
              <w:rPr>
                <w:rStyle w:val="Hyperlink"/>
                <w:noProof/>
              </w:rPr>
              <w:t>Purpose</w:t>
            </w:r>
            <w:r>
              <w:rPr>
                <w:noProof/>
                <w:webHidden/>
              </w:rPr>
              <w:tab/>
            </w:r>
            <w:r>
              <w:rPr>
                <w:noProof/>
                <w:webHidden/>
              </w:rPr>
              <w:fldChar w:fldCharType="begin"/>
            </w:r>
            <w:r>
              <w:rPr>
                <w:noProof/>
                <w:webHidden/>
              </w:rPr>
              <w:instrText xml:space="preserve"> PAGEREF _Toc153827921 \h </w:instrText>
            </w:r>
            <w:r>
              <w:rPr>
                <w:noProof/>
                <w:webHidden/>
              </w:rPr>
            </w:r>
            <w:r>
              <w:rPr>
                <w:noProof/>
                <w:webHidden/>
              </w:rPr>
              <w:fldChar w:fldCharType="separate"/>
            </w:r>
            <w:r>
              <w:rPr>
                <w:noProof/>
                <w:webHidden/>
              </w:rPr>
              <w:t>3</w:t>
            </w:r>
            <w:r>
              <w:rPr>
                <w:noProof/>
                <w:webHidden/>
              </w:rPr>
              <w:fldChar w:fldCharType="end"/>
            </w:r>
          </w:hyperlink>
        </w:p>
        <w:p w14:paraId="26731135" w14:textId="55F50620"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2" w:history="1">
            <w:r w:rsidRPr="00DD247B">
              <w:rPr>
                <w:rStyle w:val="Hyperlink"/>
                <w:noProof/>
              </w:rPr>
              <w:t>Key strategic documents</w:t>
            </w:r>
            <w:r>
              <w:rPr>
                <w:noProof/>
                <w:webHidden/>
              </w:rPr>
              <w:tab/>
            </w:r>
            <w:r>
              <w:rPr>
                <w:noProof/>
                <w:webHidden/>
              </w:rPr>
              <w:fldChar w:fldCharType="begin"/>
            </w:r>
            <w:r>
              <w:rPr>
                <w:noProof/>
                <w:webHidden/>
              </w:rPr>
              <w:instrText xml:space="preserve"> PAGEREF _Toc153827922 \h </w:instrText>
            </w:r>
            <w:r>
              <w:rPr>
                <w:noProof/>
                <w:webHidden/>
              </w:rPr>
            </w:r>
            <w:r>
              <w:rPr>
                <w:noProof/>
                <w:webHidden/>
              </w:rPr>
              <w:fldChar w:fldCharType="separate"/>
            </w:r>
            <w:r>
              <w:rPr>
                <w:noProof/>
                <w:webHidden/>
              </w:rPr>
              <w:t>3</w:t>
            </w:r>
            <w:r>
              <w:rPr>
                <w:noProof/>
                <w:webHidden/>
              </w:rPr>
              <w:fldChar w:fldCharType="end"/>
            </w:r>
          </w:hyperlink>
        </w:p>
        <w:p w14:paraId="2767E104" w14:textId="0C184087"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3" w:history="1">
            <w:r w:rsidRPr="00DD247B">
              <w:rPr>
                <w:rStyle w:val="Hyperlink"/>
                <w:noProof/>
              </w:rPr>
              <w:t>Activities</w:t>
            </w:r>
            <w:r>
              <w:rPr>
                <w:noProof/>
                <w:webHidden/>
              </w:rPr>
              <w:tab/>
            </w:r>
            <w:r>
              <w:rPr>
                <w:noProof/>
                <w:webHidden/>
              </w:rPr>
              <w:fldChar w:fldCharType="begin"/>
            </w:r>
            <w:r>
              <w:rPr>
                <w:noProof/>
                <w:webHidden/>
              </w:rPr>
              <w:instrText xml:space="preserve"> PAGEREF _Toc153827923 \h </w:instrText>
            </w:r>
            <w:r>
              <w:rPr>
                <w:noProof/>
                <w:webHidden/>
              </w:rPr>
            </w:r>
            <w:r>
              <w:rPr>
                <w:noProof/>
                <w:webHidden/>
              </w:rPr>
              <w:fldChar w:fldCharType="separate"/>
            </w:r>
            <w:r>
              <w:rPr>
                <w:noProof/>
                <w:webHidden/>
              </w:rPr>
              <w:t>4</w:t>
            </w:r>
            <w:r>
              <w:rPr>
                <w:noProof/>
                <w:webHidden/>
              </w:rPr>
              <w:fldChar w:fldCharType="end"/>
            </w:r>
          </w:hyperlink>
        </w:p>
        <w:p w14:paraId="57302A39" w14:textId="67E0B40B"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4" w:history="1">
            <w:r w:rsidRPr="00DD247B">
              <w:rPr>
                <w:rStyle w:val="Hyperlink"/>
                <w:noProof/>
              </w:rPr>
              <w:t>Governance and administration</w:t>
            </w:r>
            <w:r>
              <w:rPr>
                <w:noProof/>
                <w:webHidden/>
              </w:rPr>
              <w:tab/>
            </w:r>
            <w:r>
              <w:rPr>
                <w:noProof/>
                <w:webHidden/>
              </w:rPr>
              <w:fldChar w:fldCharType="begin"/>
            </w:r>
            <w:r>
              <w:rPr>
                <w:noProof/>
                <w:webHidden/>
              </w:rPr>
              <w:instrText xml:space="preserve"> PAGEREF _Toc153827924 \h </w:instrText>
            </w:r>
            <w:r>
              <w:rPr>
                <w:noProof/>
                <w:webHidden/>
              </w:rPr>
            </w:r>
            <w:r>
              <w:rPr>
                <w:noProof/>
                <w:webHidden/>
              </w:rPr>
              <w:fldChar w:fldCharType="separate"/>
            </w:r>
            <w:r>
              <w:rPr>
                <w:noProof/>
                <w:webHidden/>
              </w:rPr>
              <w:t>4</w:t>
            </w:r>
            <w:r>
              <w:rPr>
                <w:noProof/>
                <w:webHidden/>
              </w:rPr>
              <w:fldChar w:fldCharType="end"/>
            </w:r>
          </w:hyperlink>
        </w:p>
        <w:p w14:paraId="6DD0A964" w14:textId="6487797F"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5" w:history="1">
            <w:r w:rsidRPr="00DD247B">
              <w:rPr>
                <w:rStyle w:val="Hyperlink"/>
                <w:noProof/>
              </w:rPr>
              <w:t>Frequency of meetings</w:t>
            </w:r>
            <w:r>
              <w:rPr>
                <w:noProof/>
                <w:webHidden/>
              </w:rPr>
              <w:tab/>
            </w:r>
            <w:r>
              <w:rPr>
                <w:noProof/>
                <w:webHidden/>
              </w:rPr>
              <w:fldChar w:fldCharType="begin"/>
            </w:r>
            <w:r>
              <w:rPr>
                <w:noProof/>
                <w:webHidden/>
              </w:rPr>
              <w:instrText xml:space="preserve"> PAGEREF _Toc153827925 \h </w:instrText>
            </w:r>
            <w:r>
              <w:rPr>
                <w:noProof/>
                <w:webHidden/>
              </w:rPr>
            </w:r>
            <w:r>
              <w:rPr>
                <w:noProof/>
                <w:webHidden/>
              </w:rPr>
              <w:fldChar w:fldCharType="separate"/>
            </w:r>
            <w:r>
              <w:rPr>
                <w:noProof/>
                <w:webHidden/>
              </w:rPr>
              <w:t>4</w:t>
            </w:r>
            <w:r>
              <w:rPr>
                <w:noProof/>
                <w:webHidden/>
              </w:rPr>
              <w:fldChar w:fldCharType="end"/>
            </w:r>
          </w:hyperlink>
        </w:p>
        <w:p w14:paraId="78FF559D" w14:textId="703A3E16"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6" w:history="1">
            <w:r w:rsidRPr="00DD247B">
              <w:rPr>
                <w:rStyle w:val="Hyperlink"/>
                <w:noProof/>
              </w:rPr>
              <w:t>Chairing arrangements</w:t>
            </w:r>
            <w:r>
              <w:rPr>
                <w:noProof/>
                <w:webHidden/>
              </w:rPr>
              <w:tab/>
            </w:r>
            <w:r>
              <w:rPr>
                <w:noProof/>
                <w:webHidden/>
              </w:rPr>
              <w:fldChar w:fldCharType="begin"/>
            </w:r>
            <w:r>
              <w:rPr>
                <w:noProof/>
                <w:webHidden/>
              </w:rPr>
              <w:instrText xml:space="preserve"> PAGEREF _Toc153827926 \h </w:instrText>
            </w:r>
            <w:r>
              <w:rPr>
                <w:noProof/>
                <w:webHidden/>
              </w:rPr>
            </w:r>
            <w:r>
              <w:rPr>
                <w:noProof/>
                <w:webHidden/>
              </w:rPr>
              <w:fldChar w:fldCharType="separate"/>
            </w:r>
            <w:r>
              <w:rPr>
                <w:noProof/>
                <w:webHidden/>
              </w:rPr>
              <w:t>4</w:t>
            </w:r>
            <w:r>
              <w:rPr>
                <w:noProof/>
                <w:webHidden/>
              </w:rPr>
              <w:fldChar w:fldCharType="end"/>
            </w:r>
          </w:hyperlink>
        </w:p>
        <w:p w14:paraId="768464A3" w14:textId="2F75238E"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7" w:history="1">
            <w:r w:rsidRPr="00DD247B">
              <w:rPr>
                <w:rStyle w:val="Hyperlink"/>
                <w:noProof/>
              </w:rPr>
              <w:t>Membership</w:t>
            </w:r>
            <w:r>
              <w:rPr>
                <w:noProof/>
                <w:webHidden/>
              </w:rPr>
              <w:tab/>
            </w:r>
            <w:r>
              <w:rPr>
                <w:noProof/>
                <w:webHidden/>
              </w:rPr>
              <w:fldChar w:fldCharType="begin"/>
            </w:r>
            <w:r>
              <w:rPr>
                <w:noProof/>
                <w:webHidden/>
              </w:rPr>
              <w:instrText xml:space="preserve"> PAGEREF _Toc153827927 \h </w:instrText>
            </w:r>
            <w:r>
              <w:rPr>
                <w:noProof/>
                <w:webHidden/>
              </w:rPr>
            </w:r>
            <w:r>
              <w:rPr>
                <w:noProof/>
                <w:webHidden/>
              </w:rPr>
              <w:fldChar w:fldCharType="separate"/>
            </w:r>
            <w:r>
              <w:rPr>
                <w:noProof/>
                <w:webHidden/>
              </w:rPr>
              <w:t>4</w:t>
            </w:r>
            <w:r>
              <w:rPr>
                <w:noProof/>
                <w:webHidden/>
              </w:rPr>
              <w:fldChar w:fldCharType="end"/>
            </w:r>
          </w:hyperlink>
        </w:p>
        <w:p w14:paraId="5015C41D" w14:textId="1F6A403E" w:rsidR="00FA544A" w:rsidRDefault="00FA544A">
          <w:pPr>
            <w:pStyle w:val="TOC2"/>
            <w:tabs>
              <w:tab w:val="right" w:leader="dot" w:pos="9016"/>
            </w:tabs>
            <w:rPr>
              <w:rFonts w:asciiTheme="minorHAnsi" w:hAnsiTheme="minorHAnsi" w:cstheme="minorBidi"/>
              <w:noProof/>
              <w:kern w:val="2"/>
              <w:sz w:val="22"/>
              <w:szCs w:val="22"/>
              <w14:ligatures w14:val="standardContextual"/>
            </w:rPr>
          </w:pPr>
          <w:hyperlink w:anchor="_Toc153827928" w:history="1">
            <w:r w:rsidRPr="00DD247B">
              <w:rPr>
                <w:rStyle w:val="Hyperlink"/>
                <w:noProof/>
              </w:rPr>
              <w:t>Venue</w:t>
            </w:r>
            <w:r>
              <w:rPr>
                <w:noProof/>
                <w:webHidden/>
              </w:rPr>
              <w:tab/>
            </w:r>
            <w:r>
              <w:rPr>
                <w:noProof/>
                <w:webHidden/>
              </w:rPr>
              <w:fldChar w:fldCharType="begin"/>
            </w:r>
            <w:r>
              <w:rPr>
                <w:noProof/>
                <w:webHidden/>
              </w:rPr>
              <w:instrText xml:space="preserve"> PAGEREF _Toc153827928 \h </w:instrText>
            </w:r>
            <w:r>
              <w:rPr>
                <w:noProof/>
                <w:webHidden/>
              </w:rPr>
            </w:r>
            <w:r>
              <w:rPr>
                <w:noProof/>
                <w:webHidden/>
              </w:rPr>
              <w:fldChar w:fldCharType="separate"/>
            </w:r>
            <w:r>
              <w:rPr>
                <w:noProof/>
                <w:webHidden/>
              </w:rPr>
              <w:t>5</w:t>
            </w:r>
            <w:r>
              <w:rPr>
                <w:noProof/>
                <w:webHidden/>
              </w:rPr>
              <w:fldChar w:fldCharType="end"/>
            </w:r>
          </w:hyperlink>
        </w:p>
        <w:p w14:paraId="00772E5A" w14:textId="6E1172F6"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52CB1D3" w14:textId="77777777" w:rsidR="00AA15A7" w:rsidRDefault="00AA15A7" w:rsidP="00AA15A7">
      <w:pPr>
        <w:pStyle w:val="Heading2"/>
      </w:pPr>
      <w:bookmarkStart w:id="0" w:name="_Toc153827920"/>
      <w:r w:rsidRPr="0001699E">
        <w:lastRenderedPageBreak/>
        <w:t>Context</w:t>
      </w:r>
      <w:bookmarkEnd w:id="0"/>
    </w:p>
    <w:p w14:paraId="7EAEDA18" w14:textId="77777777" w:rsidR="00AA15A7" w:rsidRDefault="00AA15A7" w:rsidP="00AA15A7">
      <w:r>
        <w:t xml:space="preserve">The Growth &amp; Economic Development Partnership Board is one of five thematic boards which comprise the Tower Hamlets Partnership. </w:t>
      </w:r>
    </w:p>
    <w:p w14:paraId="14F1C0E2" w14:textId="77777777" w:rsidR="00AA15A7" w:rsidRDefault="00AA15A7" w:rsidP="00AA15A7">
      <w:r>
        <w:t xml:space="preserve">The overall strategic document of the Tower Hamlets Partnership is the Tower Hamlets Plan. The Board’s remit is derived from this Plan and aligned to one of its themes – ‘good jobs and employment’. </w:t>
      </w:r>
    </w:p>
    <w:p w14:paraId="198162D0" w14:textId="77777777" w:rsidR="00AA15A7" w:rsidRPr="00430573" w:rsidRDefault="00AA15A7" w:rsidP="00AA15A7">
      <w:pPr>
        <w:pStyle w:val="Heading2"/>
      </w:pPr>
      <w:bookmarkStart w:id="1" w:name="_Toc153827921"/>
      <w:r w:rsidRPr="00430573">
        <w:t>Purpose</w:t>
      </w:r>
      <w:bookmarkEnd w:id="1"/>
    </w:p>
    <w:p w14:paraId="13B88EB2" w14:textId="77777777" w:rsidR="00AA15A7" w:rsidRDefault="00AA15A7" w:rsidP="00AA15A7">
      <w:r>
        <w:t xml:space="preserve">The purpose of the GED Partnership Board is to bring together key stakeholders in the economic realm to improve local economic outcomes. </w:t>
      </w:r>
    </w:p>
    <w:p w14:paraId="2A4700EE" w14:textId="77777777" w:rsidR="00AA15A7" w:rsidRDefault="00AA15A7" w:rsidP="00AA15A7">
      <w:r>
        <w:t>The Board promotes the delivery of the following priority outcomes:</w:t>
      </w:r>
    </w:p>
    <w:p w14:paraId="00FB8222" w14:textId="77777777" w:rsidR="00AA15A7" w:rsidRPr="00A37D81" w:rsidRDefault="00AA15A7" w:rsidP="00AA15A7">
      <w:pPr>
        <w:pStyle w:val="ListParagraph"/>
        <w:numPr>
          <w:ilvl w:val="0"/>
          <w:numId w:val="2"/>
        </w:numPr>
        <w:tabs>
          <w:tab w:val="left" w:pos="1276"/>
        </w:tabs>
        <w:spacing w:after="200" w:line="276" w:lineRule="auto"/>
        <w:rPr>
          <w:rFonts w:ascii="Arial" w:hAnsi="Arial" w:cs="Arial"/>
          <w:sz w:val="24"/>
          <w:szCs w:val="24"/>
        </w:rPr>
      </w:pPr>
      <w:r w:rsidRPr="00A37D81">
        <w:rPr>
          <w:rFonts w:ascii="Arial" w:hAnsi="Arial" w:cs="Arial"/>
          <w:sz w:val="24"/>
          <w:szCs w:val="24"/>
        </w:rPr>
        <w:t>Creating opportunity for residents by supporting aspiration and tackling poverty</w:t>
      </w:r>
    </w:p>
    <w:p w14:paraId="4BBBF365" w14:textId="77777777" w:rsidR="00AA15A7" w:rsidRPr="00A37D81" w:rsidRDefault="00AA15A7" w:rsidP="00AA15A7">
      <w:pPr>
        <w:pStyle w:val="ListParagraph"/>
        <w:numPr>
          <w:ilvl w:val="1"/>
          <w:numId w:val="2"/>
        </w:numPr>
        <w:tabs>
          <w:tab w:val="left" w:pos="1701"/>
          <w:tab w:val="left" w:pos="1985"/>
        </w:tabs>
        <w:spacing w:after="200" w:line="276" w:lineRule="auto"/>
        <w:rPr>
          <w:rFonts w:ascii="Arial" w:hAnsi="Arial" w:cs="Arial"/>
          <w:sz w:val="24"/>
          <w:szCs w:val="24"/>
        </w:rPr>
      </w:pPr>
      <w:r w:rsidRPr="6612545A">
        <w:rPr>
          <w:rFonts w:ascii="Arial" w:hAnsi="Arial" w:cs="Arial"/>
          <w:sz w:val="24"/>
          <w:szCs w:val="24"/>
        </w:rPr>
        <w:t xml:space="preserve">A dynamic local economy, with high levels of growth which </w:t>
      </w:r>
      <w:proofErr w:type="spellStart"/>
      <w:r w:rsidRPr="6612545A">
        <w:rPr>
          <w:rFonts w:ascii="Arial" w:hAnsi="Arial" w:cs="Arial"/>
          <w:sz w:val="24"/>
          <w:szCs w:val="24"/>
        </w:rPr>
        <w:t>maximise</w:t>
      </w:r>
      <w:proofErr w:type="spellEnd"/>
      <w:r w:rsidRPr="6612545A">
        <w:rPr>
          <w:rFonts w:ascii="Arial" w:hAnsi="Arial" w:cs="Arial"/>
          <w:sz w:val="24"/>
          <w:szCs w:val="24"/>
        </w:rPr>
        <w:t xml:space="preserve"> benefits to </w:t>
      </w:r>
      <w:proofErr w:type="gramStart"/>
      <w:r w:rsidRPr="6612545A">
        <w:rPr>
          <w:rFonts w:ascii="Arial" w:hAnsi="Arial" w:cs="Arial"/>
          <w:sz w:val="24"/>
          <w:szCs w:val="24"/>
        </w:rPr>
        <w:t>residents</w:t>
      </w:r>
      <w:proofErr w:type="gramEnd"/>
      <w:r w:rsidRPr="6612545A">
        <w:rPr>
          <w:rFonts w:ascii="Arial" w:hAnsi="Arial" w:cs="Arial"/>
          <w:sz w:val="24"/>
          <w:szCs w:val="24"/>
        </w:rPr>
        <w:t xml:space="preserve"> </w:t>
      </w:r>
    </w:p>
    <w:p w14:paraId="04754782" w14:textId="77777777" w:rsidR="00AA15A7" w:rsidRPr="00A37D81"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r w:rsidRPr="6612545A">
        <w:rPr>
          <w:rFonts w:ascii="Arial" w:hAnsi="Arial" w:cs="Arial"/>
          <w:sz w:val="24"/>
          <w:szCs w:val="24"/>
        </w:rPr>
        <w:t>More residents in good quality, well-paid jobs.</w:t>
      </w:r>
    </w:p>
    <w:p w14:paraId="2244EEB1" w14:textId="77777777" w:rsidR="00AA15A7" w:rsidRPr="00A37D81"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r w:rsidRPr="6612545A">
        <w:rPr>
          <w:rFonts w:ascii="Arial" w:hAnsi="Arial" w:cs="Arial"/>
          <w:sz w:val="24"/>
          <w:szCs w:val="24"/>
        </w:rPr>
        <w:t xml:space="preserve">Young people </w:t>
      </w:r>
      <w:proofErr w:type="spellStart"/>
      <w:r w:rsidRPr="6612545A">
        <w:rPr>
          <w:rFonts w:ascii="Arial" w:hAnsi="Arial" w:cs="Arial"/>
          <w:sz w:val="24"/>
          <w:szCs w:val="24"/>
        </w:rPr>
        <w:t>realising</w:t>
      </w:r>
      <w:proofErr w:type="spellEnd"/>
      <w:r w:rsidRPr="6612545A">
        <w:rPr>
          <w:rFonts w:ascii="Arial" w:hAnsi="Arial" w:cs="Arial"/>
          <w:sz w:val="24"/>
          <w:szCs w:val="24"/>
        </w:rPr>
        <w:t xml:space="preserve"> their </w:t>
      </w:r>
      <w:proofErr w:type="gramStart"/>
      <w:r w:rsidRPr="6612545A">
        <w:rPr>
          <w:rFonts w:ascii="Arial" w:hAnsi="Arial" w:cs="Arial"/>
          <w:sz w:val="24"/>
          <w:szCs w:val="24"/>
        </w:rPr>
        <w:t>potential</w:t>
      </w:r>
      <w:proofErr w:type="gramEnd"/>
    </w:p>
    <w:p w14:paraId="4985B313" w14:textId="77777777" w:rsidR="00AA15A7" w:rsidRPr="00A37D81" w:rsidRDefault="00AA15A7" w:rsidP="00AA15A7">
      <w:pPr>
        <w:pStyle w:val="ListParagraph"/>
        <w:numPr>
          <w:ilvl w:val="0"/>
          <w:numId w:val="2"/>
        </w:numPr>
        <w:tabs>
          <w:tab w:val="left" w:pos="993"/>
          <w:tab w:val="left" w:pos="2127"/>
        </w:tabs>
        <w:spacing w:after="200" w:line="276" w:lineRule="auto"/>
        <w:rPr>
          <w:rFonts w:ascii="Arial" w:hAnsi="Arial" w:cs="Arial"/>
          <w:sz w:val="24"/>
          <w:szCs w:val="24"/>
        </w:rPr>
      </w:pPr>
      <w:r w:rsidRPr="00A37D81">
        <w:rPr>
          <w:rFonts w:ascii="Arial" w:hAnsi="Arial" w:cs="Arial"/>
          <w:sz w:val="24"/>
          <w:szCs w:val="24"/>
        </w:rPr>
        <w:t xml:space="preserve">Harnessing Economic Growth </w:t>
      </w:r>
    </w:p>
    <w:p w14:paraId="2933B147" w14:textId="77777777" w:rsidR="00AA15A7" w:rsidRPr="00A37D81"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r w:rsidRPr="6612545A">
        <w:rPr>
          <w:rFonts w:ascii="Arial" w:hAnsi="Arial" w:cs="Arial"/>
          <w:sz w:val="24"/>
          <w:szCs w:val="24"/>
        </w:rPr>
        <w:t xml:space="preserve">Securing jobs for </w:t>
      </w:r>
      <w:proofErr w:type="gramStart"/>
      <w:r w:rsidRPr="6612545A">
        <w:rPr>
          <w:rFonts w:ascii="Arial" w:hAnsi="Arial" w:cs="Arial"/>
          <w:sz w:val="24"/>
          <w:szCs w:val="24"/>
        </w:rPr>
        <w:t>local residents</w:t>
      </w:r>
      <w:proofErr w:type="gramEnd"/>
      <w:r w:rsidRPr="6612545A">
        <w:rPr>
          <w:rFonts w:ascii="Arial" w:hAnsi="Arial" w:cs="Arial"/>
          <w:sz w:val="24"/>
          <w:szCs w:val="24"/>
        </w:rPr>
        <w:t xml:space="preserve"> from new development</w:t>
      </w:r>
    </w:p>
    <w:p w14:paraId="3F24AE4F" w14:textId="77777777" w:rsidR="00AA15A7" w:rsidRPr="00A37D81"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r w:rsidRPr="6612545A">
        <w:rPr>
          <w:rFonts w:ascii="Arial" w:hAnsi="Arial" w:cs="Arial"/>
          <w:sz w:val="24"/>
          <w:szCs w:val="24"/>
        </w:rPr>
        <w:t>Actively attracting and securing inward investment, particularly in skilled industries</w:t>
      </w:r>
    </w:p>
    <w:p w14:paraId="7D3FEB68" w14:textId="77777777" w:rsidR="00AA15A7" w:rsidRPr="00A37D81"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proofErr w:type="spellStart"/>
      <w:r w:rsidRPr="6612545A">
        <w:rPr>
          <w:rFonts w:ascii="Arial" w:hAnsi="Arial" w:cs="Arial"/>
          <w:sz w:val="24"/>
          <w:szCs w:val="24"/>
        </w:rPr>
        <w:t>Maximising</w:t>
      </w:r>
      <w:proofErr w:type="spellEnd"/>
      <w:r w:rsidRPr="6612545A">
        <w:rPr>
          <w:rFonts w:ascii="Arial" w:hAnsi="Arial" w:cs="Arial"/>
          <w:sz w:val="24"/>
          <w:szCs w:val="24"/>
        </w:rPr>
        <w:t xml:space="preserve"> social value and coordinating business engagement</w:t>
      </w:r>
    </w:p>
    <w:p w14:paraId="1836E567" w14:textId="77777777" w:rsidR="00AA15A7" w:rsidRDefault="00AA15A7" w:rsidP="00AA15A7">
      <w:pPr>
        <w:pStyle w:val="ListParagraph"/>
        <w:numPr>
          <w:ilvl w:val="1"/>
          <w:numId w:val="2"/>
        </w:numPr>
        <w:tabs>
          <w:tab w:val="left" w:pos="1701"/>
          <w:tab w:val="left" w:pos="2127"/>
        </w:tabs>
        <w:spacing w:after="200" w:line="276" w:lineRule="auto"/>
        <w:rPr>
          <w:rFonts w:ascii="Arial" w:hAnsi="Arial" w:cs="Arial"/>
          <w:sz w:val="24"/>
          <w:szCs w:val="24"/>
        </w:rPr>
      </w:pPr>
      <w:r w:rsidRPr="6612545A">
        <w:rPr>
          <w:rFonts w:ascii="Arial" w:hAnsi="Arial" w:cs="Arial"/>
          <w:sz w:val="24"/>
          <w:szCs w:val="24"/>
        </w:rPr>
        <w:t>Promoting the historic entrepreneurial energy of our communities</w:t>
      </w:r>
    </w:p>
    <w:p w14:paraId="0D0B5432" w14:textId="77777777" w:rsidR="00AA15A7" w:rsidRDefault="00AA15A7" w:rsidP="00AA15A7">
      <w:pPr>
        <w:pStyle w:val="ListParagraph"/>
        <w:numPr>
          <w:ilvl w:val="0"/>
          <w:numId w:val="2"/>
        </w:numPr>
        <w:tabs>
          <w:tab w:val="left" w:pos="1701"/>
          <w:tab w:val="left" w:pos="2127"/>
        </w:tabs>
        <w:spacing w:after="200" w:line="276" w:lineRule="auto"/>
        <w:rPr>
          <w:rFonts w:eastAsiaTheme="minorEastAsia"/>
          <w:sz w:val="24"/>
          <w:szCs w:val="24"/>
        </w:rPr>
      </w:pPr>
      <w:r w:rsidRPr="6612545A">
        <w:rPr>
          <w:rFonts w:ascii="Arial" w:hAnsi="Arial" w:cs="Arial"/>
          <w:sz w:val="24"/>
          <w:szCs w:val="24"/>
        </w:rPr>
        <w:t xml:space="preserve">Tackling Economic Inequality (taking our lead from the Tower Hamlets </w:t>
      </w:r>
      <w:proofErr w:type="spellStart"/>
      <w:r w:rsidRPr="6612545A">
        <w:rPr>
          <w:rFonts w:ascii="Arial" w:hAnsi="Arial" w:cs="Arial"/>
          <w:sz w:val="24"/>
          <w:szCs w:val="24"/>
        </w:rPr>
        <w:t>BaME</w:t>
      </w:r>
      <w:proofErr w:type="spellEnd"/>
      <w:r w:rsidRPr="6612545A">
        <w:rPr>
          <w:rFonts w:ascii="Arial" w:hAnsi="Arial" w:cs="Arial"/>
          <w:sz w:val="24"/>
          <w:szCs w:val="24"/>
        </w:rPr>
        <w:t xml:space="preserve"> Inequalities Commission)</w:t>
      </w:r>
    </w:p>
    <w:p w14:paraId="06A9C95A" w14:textId="77777777" w:rsidR="00AA15A7" w:rsidRDefault="00AA15A7" w:rsidP="00AA15A7">
      <w:pPr>
        <w:pStyle w:val="ListParagraph"/>
        <w:numPr>
          <w:ilvl w:val="1"/>
          <w:numId w:val="2"/>
        </w:numPr>
        <w:tabs>
          <w:tab w:val="left" w:pos="1701"/>
          <w:tab w:val="left" w:pos="1985"/>
        </w:tabs>
        <w:spacing w:after="200" w:line="276" w:lineRule="auto"/>
        <w:rPr>
          <w:rFonts w:eastAsiaTheme="minorEastAsia"/>
          <w:sz w:val="24"/>
          <w:szCs w:val="24"/>
        </w:rPr>
      </w:pPr>
      <w:r w:rsidRPr="6612545A">
        <w:rPr>
          <w:rFonts w:ascii="Arial" w:hAnsi="Arial" w:cs="Arial"/>
          <w:sz w:val="24"/>
          <w:szCs w:val="24"/>
        </w:rPr>
        <w:t xml:space="preserve">Black, </w:t>
      </w:r>
      <w:proofErr w:type="gramStart"/>
      <w:r w:rsidRPr="6612545A">
        <w:rPr>
          <w:rFonts w:ascii="Arial" w:hAnsi="Arial" w:cs="Arial"/>
          <w:sz w:val="24"/>
          <w:szCs w:val="24"/>
        </w:rPr>
        <w:t>Asian</w:t>
      </w:r>
      <w:proofErr w:type="gramEnd"/>
      <w:r w:rsidRPr="6612545A">
        <w:rPr>
          <w:rFonts w:ascii="Arial" w:hAnsi="Arial" w:cs="Arial"/>
          <w:sz w:val="24"/>
          <w:szCs w:val="24"/>
        </w:rPr>
        <w:t xml:space="preserve"> and Minority Ethnic children are more confident going into the job market and accessing jobs that meet their educational attainment. </w:t>
      </w:r>
    </w:p>
    <w:p w14:paraId="3A9E243D" w14:textId="77777777" w:rsidR="00AA15A7" w:rsidRDefault="00AA15A7" w:rsidP="00AA15A7">
      <w:pPr>
        <w:pStyle w:val="ListParagraph"/>
        <w:numPr>
          <w:ilvl w:val="1"/>
          <w:numId w:val="2"/>
        </w:numPr>
        <w:tabs>
          <w:tab w:val="left" w:pos="1701"/>
          <w:tab w:val="left" w:pos="1985"/>
        </w:tabs>
        <w:spacing w:after="200" w:line="276" w:lineRule="auto"/>
        <w:rPr>
          <w:sz w:val="24"/>
          <w:szCs w:val="24"/>
        </w:rPr>
      </w:pPr>
      <w:r w:rsidRPr="6612545A">
        <w:rPr>
          <w:rFonts w:ascii="Arial" w:hAnsi="Arial" w:cs="Arial"/>
          <w:sz w:val="24"/>
          <w:szCs w:val="24"/>
        </w:rPr>
        <w:t xml:space="preserve">Increasing employment rates among </w:t>
      </w:r>
      <w:proofErr w:type="spellStart"/>
      <w:r w:rsidRPr="6612545A">
        <w:rPr>
          <w:rFonts w:ascii="Arial" w:hAnsi="Arial" w:cs="Arial"/>
          <w:sz w:val="24"/>
          <w:szCs w:val="24"/>
        </w:rPr>
        <w:t>BaME</w:t>
      </w:r>
      <w:proofErr w:type="spellEnd"/>
      <w:r w:rsidRPr="6612545A">
        <w:rPr>
          <w:rFonts w:ascii="Arial" w:hAnsi="Arial" w:cs="Arial"/>
          <w:sz w:val="24"/>
          <w:szCs w:val="24"/>
        </w:rPr>
        <w:t xml:space="preserve"> residents.</w:t>
      </w:r>
    </w:p>
    <w:p w14:paraId="5FE107E2" w14:textId="77777777" w:rsidR="00AA15A7" w:rsidRDefault="00AA15A7" w:rsidP="00AA15A7">
      <w:pPr>
        <w:pStyle w:val="ListParagraph"/>
        <w:numPr>
          <w:ilvl w:val="1"/>
          <w:numId w:val="2"/>
        </w:numPr>
        <w:tabs>
          <w:tab w:val="left" w:pos="1701"/>
          <w:tab w:val="left" w:pos="2127"/>
        </w:tabs>
        <w:spacing w:after="200" w:line="276" w:lineRule="auto"/>
        <w:rPr>
          <w:rFonts w:eastAsiaTheme="minorEastAsia"/>
          <w:sz w:val="24"/>
          <w:szCs w:val="24"/>
        </w:rPr>
      </w:pPr>
      <w:r w:rsidRPr="37EE51E3">
        <w:rPr>
          <w:rFonts w:ascii="Arial" w:hAnsi="Arial" w:cs="Arial"/>
          <w:sz w:val="24"/>
          <w:szCs w:val="24"/>
        </w:rPr>
        <w:t>An increase in the number of Bamer staff in senior roles in organisations in Tower Hamlets.</w:t>
      </w:r>
    </w:p>
    <w:p w14:paraId="56F84D21" w14:textId="77777777" w:rsidR="00AA15A7" w:rsidRPr="00DF110F" w:rsidRDefault="00AA15A7" w:rsidP="00AA15A7">
      <w:pPr>
        <w:pStyle w:val="Heading2"/>
      </w:pPr>
      <w:bookmarkStart w:id="2" w:name="_Toc153827922"/>
      <w:r w:rsidRPr="0642916D">
        <w:t>Key strategic documents</w:t>
      </w:r>
      <w:bookmarkEnd w:id="2"/>
    </w:p>
    <w:p w14:paraId="0EB3D7A3" w14:textId="77777777" w:rsidR="00AA15A7" w:rsidRDefault="00AA15A7" w:rsidP="00AA15A7">
      <w:r w:rsidRPr="0642916D">
        <w:t xml:space="preserve">In addition to the Tower Hamlets Plan, the Board may also </w:t>
      </w:r>
      <w:proofErr w:type="gramStart"/>
      <w:r w:rsidRPr="0642916D">
        <w:t>make reference</w:t>
      </w:r>
      <w:proofErr w:type="gramEnd"/>
      <w:r w:rsidRPr="0642916D">
        <w:t xml:space="preserve"> to the Tower Hamlets Growth Plan (and its successors), which is the Council’s own strategy for promoting local economic growth. </w:t>
      </w:r>
    </w:p>
    <w:p w14:paraId="1D8AC195" w14:textId="77777777" w:rsidR="00AA15A7" w:rsidRDefault="00AA15A7" w:rsidP="00AA15A7">
      <w:pPr>
        <w:pStyle w:val="Heading2"/>
      </w:pPr>
    </w:p>
    <w:p w14:paraId="4E91FABC" w14:textId="77777777" w:rsidR="00AA15A7" w:rsidRDefault="00AA15A7" w:rsidP="00AA15A7">
      <w:pPr>
        <w:pStyle w:val="Heading2"/>
      </w:pPr>
    </w:p>
    <w:p w14:paraId="0C5D04C5" w14:textId="77777777" w:rsidR="00AA15A7" w:rsidRDefault="00AA15A7" w:rsidP="00AA15A7">
      <w:pPr>
        <w:pStyle w:val="Heading2"/>
      </w:pPr>
    </w:p>
    <w:p w14:paraId="1ABA91F7" w14:textId="77777777" w:rsidR="00AA15A7" w:rsidRDefault="00AA15A7" w:rsidP="00AA15A7">
      <w:pPr>
        <w:pStyle w:val="Heading2"/>
      </w:pPr>
    </w:p>
    <w:p w14:paraId="463312CA" w14:textId="77777777" w:rsidR="00AA15A7" w:rsidRDefault="00AA15A7" w:rsidP="00AA15A7">
      <w:pPr>
        <w:pStyle w:val="Heading2"/>
      </w:pPr>
    </w:p>
    <w:p w14:paraId="1E27B621" w14:textId="77777777" w:rsidR="00AA15A7" w:rsidRDefault="00AA15A7" w:rsidP="00AA15A7">
      <w:pPr>
        <w:pStyle w:val="Heading2"/>
      </w:pPr>
    </w:p>
    <w:p w14:paraId="5A34FF82" w14:textId="77777777" w:rsidR="00AA15A7" w:rsidRDefault="00AA15A7" w:rsidP="00AA15A7">
      <w:pPr>
        <w:pStyle w:val="Heading2"/>
      </w:pPr>
    </w:p>
    <w:p w14:paraId="24644A3B" w14:textId="7482D512" w:rsidR="00AA15A7" w:rsidRPr="00430573" w:rsidRDefault="00AA15A7" w:rsidP="00AA15A7">
      <w:pPr>
        <w:pStyle w:val="Heading2"/>
      </w:pPr>
      <w:bookmarkStart w:id="3" w:name="_Toc153827923"/>
      <w:r>
        <w:lastRenderedPageBreak/>
        <w:t>Activities</w:t>
      </w:r>
      <w:bookmarkEnd w:id="3"/>
    </w:p>
    <w:p w14:paraId="36806DE2" w14:textId="1F7C5848" w:rsidR="00AA15A7" w:rsidRDefault="00AA15A7" w:rsidP="00AA15A7">
      <w:r>
        <w:t xml:space="preserve">While not a service </w:t>
      </w:r>
      <w:r>
        <w:t>provider, the</w:t>
      </w:r>
      <w:r>
        <w:t xml:space="preserve"> Board works through the activities of its constituent members, coordinating and facilitating improvements and joining up work where needed. </w:t>
      </w:r>
    </w:p>
    <w:p w14:paraId="780456A2" w14:textId="77777777" w:rsidR="00AA15A7" w:rsidRDefault="00AA15A7" w:rsidP="00AA15A7">
      <w:r>
        <w:t xml:space="preserve">Members work to understand, facilitate, and promote a dynamic local economy in Tower Hamlets with high levels of growth benefiting local people and businesses. </w:t>
      </w:r>
    </w:p>
    <w:p w14:paraId="597C7565" w14:textId="77777777" w:rsidR="00AA15A7" w:rsidRDefault="00AA15A7" w:rsidP="00AA15A7">
      <w:r>
        <w:t>This is done through:</w:t>
      </w:r>
    </w:p>
    <w:p w14:paraId="16B076F1" w14:textId="77777777" w:rsidR="00AA15A7" w:rsidRDefault="00AA15A7" w:rsidP="00AA15A7">
      <w:pPr>
        <w:pStyle w:val="ListParagraph"/>
        <w:numPr>
          <w:ilvl w:val="0"/>
          <w:numId w:val="1"/>
        </w:numPr>
        <w:rPr>
          <w:rFonts w:ascii="Arial" w:hAnsi="Arial" w:cs="Arial"/>
          <w:sz w:val="24"/>
          <w:szCs w:val="24"/>
          <w:lang w:val="en-GB"/>
        </w:rPr>
      </w:pPr>
      <w:r>
        <w:rPr>
          <w:rFonts w:ascii="Arial" w:hAnsi="Arial" w:cs="Arial"/>
          <w:sz w:val="24"/>
          <w:szCs w:val="24"/>
          <w:lang w:val="en-GB"/>
        </w:rPr>
        <w:t xml:space="preserve">Agreeing actions that can be taken forward jointly by public, private and voluntary sector organisations to help harness local growth. This is achieved by securing real jobs for </w:t>
      </w:r>
      <w:proofErr w:type="gramStart"/>
      <w:r>
        <w:rPr>
          <w:rFonts w:ascii="Arial" w:hAnsi="Arial" w:cs="Arial"/>
          <w:sz w:val="24"/>
          <w:szCs w:val="24"/>
          <w:lang w:val="en-GB"/>
        </w:rPr>
        <w:t>local residents</w:t>
      </w:r>
      <w:proofErr w:type="gramEnd"/>
      <w:r>
        <w:rPr>
          <w:rFonts w:ascii="Arial" w:hAnsi="Arial" w:cs="Arial"/>
          <w:sz w:val="24"/>
          <w:szCs w:val="24"/>
          <w:lang w:val="en-GB"/>
        </w:rPr>
        <w:t xml:space="preserve"> from new development, attracting inward investment, maximising social value, and promoting entrepreneurial activity. </w:t>
      </w:r>
    </w:p>
    <w:p w14:paraId="0ACFA776" w14:textId="77777777" w:rsidR="00AA15A7" w:rsidRDefault="00AA15A7" w:rsidP="00AA15A7">
      <w:pPr>
        <w:pStyle w:val="ListParagraph"/>
        <w:numPr>
          <w:ilvl w:val="0"/>
          <w:numId w:val="1"/>
        </w:numPr>
        <w:rPr>
          <w:rFonts w:ascii="Arial" w:hAnsi="Arial" w:cs="Arial"/>
          <w:sz w:val="24"/>
          <w:szCs w:val="24"/>
          <w:lang w:val="en-GB"/>
        </w:rPr>
      </w:pPr>
      <w:r>
        <w:rPr>
          <w:rFonts w:ascii="Arial" w:hAnsi="Arial" w:cs="Arial"/>
          <w:sz w:val="24"/>
          <w:szCs w:val="24"/>
          <w:lang w:val="en-GB"/>
        </w:rPr>
        <w:t xml:space="preserve">Maximising the impact that stakeholders have in harnessing economic growth by coordinating action, reducing </w:t>
      </w:r>
      <w:proofErr w:type="gramStart"/>
      <w:r>
        <w:rPr>
          <w:rFonts w:ascii="Arial" w:hAnsi="Arial" w:cs="Arial"/>
          <w:sz w:val="24"/>
          <w:szCs w:val="24"/>
          <w:lang w:val="en-GB"/>
        </w:rPr>
        <w:t>duplication</w:t>
      </w:r>
      <w:proofErr w:type="gramEnd"/>
      <w:r>
        <w:rPr>
          <w:rFonts w:ascii="Arial" w:hAnsi="Arial" w:cs="Arial"/>
          <w:sz w:val="24"/>
          <w:szCs w:val="24"/>
          <w:lang w:val="en-GB"/>
        </w:rPr>
        <w:t xml:space="preserve"> and addressing gaps in provision. </w:t>
      </w:r>
    </w:p>
    <w:p w14:paraId="5B581E46" w14:textId="77777777" w:rsidR="00AA15A7" w:rsidRDefault="00AA15A7" w:rsidP="00AA15A7">
      <w:pPr>
        <w:pStyle w:val="ListParagraph"/>
        <w:numPr>
          <w:ilvl w:val="0"/>
          <w:numId w:val="1"/>
        </w:numPr>
        <w:rPr>
          <w:rFonts w:ascii="Arial" w:hAnsi="Arial" w:cs="Arial"/>
          <w:sz w:val="24"/>
          <w:szCs w:val="24"/>
          <w:lang w:val="en-GB"/>
        </w:rPr>
      </w:pPr>
      <w:r>
        <w:rPr>
          <w:rFonts w:ascii="Arial" w:hAnsi="Arial" w:cs="Arial"/>
          <w:sz w:val="24"/>
          <w:szCs w:val="24"/>
          <w:lang w:val="en-GB"/>
        </w:rPr>
        <w:t xml:space="preserve">Bringing together public and private resources to target activity to promote growth, including joint bidding for resources as appropriate. </w:t>
      </w:r>
    </w:p>
    <w:p w14:paraId="5E8E5D69" w14:textId="77777777" w:rsidR="00AA15A7" w:rsidRDefault="00AA15A7" w:rsidP="00AA15A7">
      <w:pPr>
        <w:pStyle w:val="ListParagraph"/>
        <w:numPr>
          <w:ilvl w:val="0"/>
          <w:numId w:val="1"/>
        </w:numPr>
        <w:rPr>
          <w:rFonts w:ascii="Arial" w:hAnsi="Arial" w:cs="Arial"/>
          <w:sz w:val="24"/>
          <w:szCs w:val="24"/>
          <w:lang w:val="en-GB"/>
        </w:rPr>
      </w:pPr>
      <w:r w:rsidRPr="0642916D">
        <w:rPr>
          <w:rFonts w:ascii="Arial" w:hAnsi="Arial" w:cs="Arial"/>
          <w:sz w:val="24"/>
          <w:szCs w:val="24"/>
          <w:lang w:val="en-GB"/>
        </w:rPr>
        <w:t>Undertaking or commissioning research to improve understanding of opportunities and barriers as required. Making recommendations to the Tower Hamlets Partnership on strategic direction and planning to ensure economic growth.</w:t>
      </w:r>
    </w:p>
    <w:p w14:paraId="16A27A43" w14:textId="77777777" w:rsidR="00AA15A7" w:rsidRDefault="00AA15A7" w:rsidP="00AA15A7">
      <w:pPr>
        <w:pStyle w:val="ListParagraph"/>
        <w:numPr>
          <w:ilvl w:val="0"/>
          <w:numId w:val="1"/>
        </w:numPr>
        <w:rPr>
          <w:rFonts w:ascii="Arial" w:hAnsi="Arial" w:cs="Arial"/>
          <w:sz w:val="24"/>
          <w:szCs w:val="24"/>
          <w:lang w:val="en-GB"/>
        </w:rPr>
      </w:pPr>
      <w:r>
        <w:rPr>
          <w:rFonts w:ascii="Arial" w:hAnsi="Arial" w:cs="Arial"/>
          <w:sz w:val="24"/>
          <w:szCs w:val="24"/>
          <w:lang w:val="en-GB"/>
        </w:rPr>
        <w:t>Helping to shape local economic development strategies.</w:t>
      </w:r>
    </w:p>
    <w:p w14:paraId="72390C24" w14:textId="77777777" w:rsidR="00AA15A7" w:rsidRDefault="00AA15A7" w:rsidP="00AA15A7">
      <w:pPr>
        <w:pStyle w:val="ListParagraph"/>
        <w:numPr>
          <w:ilvl w:val="0"/>
          <w:numId w:val="1"/>
        </w:numPr>
        <w:rPr>
          <w:rFonts w:ascii="Arial" w:hAnsi="Arial" w:cs="Arial"/>
          <w:sz w:val="24"/>
          <w:szCs w:val="24"/>
          <w:lang w:val="en-GB"/>
        </w:rPr>
      </w:pPr>
      <w:r>
        <w:rPr>
          <w:rFonts w:ascii="Arial" w:hAnsi="Arial" w:cs="Arial"/>
          <w:sz w:val="24"/>
          <w:szCs w:val="24"/>
          <w:lang w:val="en-GB"/>
        </w:rPr>
        <w:t>Facilitating practical collaborations between group members.</w:t>
      </w:r>
    </w:p>
    <w:p w14:paraId="1193BCF0" w14:textId="77777777" w:rsidR="00AA15A7" w:rsidRPr="00013EF5" w:rsidRDefault="00AA15A7" w:rsidP="00AA15A7">
      <w:pPr>
        <w:pStyle w:val="ListParagraph"/>
        <w:numPr>
          <w:ilvl w:val="0"/>
          <w:numId w:val="1"/>
        </w:numPr>
        <w:rPr>
          <w:rFonts w:ascii="Arial" w:hAnsi="Arial" w:cs="Arial"/>
          <w:sz w:val="24"/>
          <w:szCs w:val="24"/>
          <w:lang w:val="en-GB"/>
        </w:rPr>
      </w:pPr>
      <w:r>
        <w:rPr>
          <w:rFonts w:ascii="Arial" w:hAnsi="Arial" w:cs="Arial"/>
          <w:sz w:val="24"/>
          <w:szCs w:val="24"/>
        </w:rPr>
        <w:t>Sharing</w:t>
      </w:r>
      <w:r w:rsidRPr="00CF707A">
        <w:rPr>
          <w:rFonts w:ascii="Arial" w:hAnsi="Arial" w:cs="Arial"/>
          <w:sz w:val="24"/>
          <w:szCs w:val="24"/>
        </w:rPr>
        <w:t xml:space="preserve"> knowledge and learning by collecting and sharing data</w:t>
      </w:r>
      <w:r>
        <w:rPr>
          <w:rFonts w:ascii="Arial" w:hAnsi="Arial" w:cs="Arial"/>
          <w:sz w:val="24"/>
          <w:szCs w:val="24"/>
        </w:rPr>
        <w:t xml:space="preserve"> to</w:t>
      </w:r>
      <w:r w:rsidRPr="00CF707A">
        <w:rPr>
          <w:rFonts w:ascii="Arial" w:hAnsi="Arial" w:cs="Arial"/>
          <w:sz w:val="24"/>
          <w:szCs w:val="24"/>
        </w:rPr>
        <w:t xml:space="preserve"> improve service delivery</w:t>
      </w:r>
      <w:r>
        <w:rPr>
          <w:rFonts w:ascii="Arial" w:hAnsi="Arial" w:cs="Arial"/>
          <w:sz w:val="24"/>
          <w:szCs w:val="24"/>
        </w:rPr>
        <w:t>.</w:t>
      </w:r>
    </w:p>
    <w:p w14:paraId="6BC40067" w14:textId="77777777" w:rsidR="00AA15A7" w:rsidRDefault="00AA15A7" w:rsidP="00AA15A7">
      <w:pPr>
        <w:pStyle w:val="Heading2"/>
      </w:pPr>
      <w:bookmarkStart w:id="4" w:name="_Toc153827924"/>
      <w:r>
        <w:t>Governance and administration</w:t>
      </w:r>
      <w:bookmarkEnd w:id="4"/>
    </w:p>
    <w:p w14:paraId="5950589E" w14:textId="77777777" w:rsidR="00AA15A7" w:rsidRDefault="00AA15A7" w:rsidP="00AA15A7">
      <w:r w:rsidRPr="0642916D">
        <w:t>The Board reports into the Partnership Executive Group (PEG) and the co-Chair</w:t>
      </w:r>
      <w:r w:rsidRPr="0642916D">
        <w:rPr>
          <w:color w:val="FF0000"/>
        </w:rPr>
        <w:t xml:space="preserve"> </w:t>
      </w:r>
      <w:r w:rsidRPr="0642916D">
        <w:t xml:space="preserve">is a member of PEG. The Board may provide updates to the PEG and submit details of its forward plan as required. </w:t>
      </w:r>
    </w:p>
    <w:p w14:paraId="7A648022" w14:textId="77777777" w:rsidR="00AA15A7" w:rsidRPr="00013EF5" w:rsidRDefault="00AA15A7" w:rsidP="00AA15A7">
      <w:r w:rsidRPr="77FF55D6">
        <w:t xml:space="preserve">The Board is supported by a partnership support officer, who will assist with agenda development, minuting, and forward planning as required. </w:t>
      </w:r>
    </w:p>
    <w:p w14:paraId="5842A4AE" w14:textId="77777777" w:rsidR="00AA15A7" w:rsidRDefault="00AA15A7" w:rsidP="00AA15A7">
      <w:pPr>
        <w:pStyle w:val="Heading2"/>
      </w:pPr>
    </w:p>
    <w:p w14:paraId="7C949747" w14:textId="43B6D628" w:rsidR="00AA15A7" w:rsidRDefault="00AA15A7" w:rsidP="00AA15A7">
      <w:pPr>
        <w:pStyle w:val="Heading2"/>
      </w:pPr>
      <w:bookmarkStart w:id="5" w:name="_Toc153827925"/>
      <w:r>
        <w:t>Frequency of meetings</w:t>
      </w:r>
      <w:bookmarkEnd w:id="5"/>
    </w:p>
    <w:p w14:paraId="6B7C739B" w14:textId="77777777" w:rsidR="00AA15A7" w:rsidRDefault="00AA15A7" w:rsidP="00AA15A7">
      <w:pPr>
        <w:rPr>
          <w:b/>
          <w:bCs/>
          <w:color w:val="2F5496" w:themeColor="accent1" w:themeShade="BF"/>
        </w:rPr>
      </w:pPr>
      <w:r w:rsidRPr="37EE51E3">
        <w:t>Meetings are currently held</w:t>
      </w:r>
      <w:r w:rsidRPr="37EE51E3">
        <w:rPr>
          <w:color w:val="000000" w:themeColor="text1"/>
        </w:rPr>
        <w:t xml:space="preserve"> six-weekly.</w:t>
      </w:r>
      <w:r w:rsidRPr="37EE51E3">
        <w:t xml:space="preserve"> </w:t>
      </w:r>
    </w:p>
    <w:p w14:paraId="64D7BE92" w14:textId="77777777" w:rsidR="00AA15A7" w:rsidRDefault="00AA15A7" w:rsidP="00AA15A7">
      <w:pPr>
        <w:pStyle w:val="Heading2"/>
      </w:pPr>
    </w:p>
    <w:p w14:paraId="206BE20B" w14:textId="6B6034D5" w:rsidR="00AA15A7" w:rsidRDefault="00AA15A7" w:rsidP="00AA15A7">
      <w:pPr>
        <w:pStyle w:val="Heading2"/>
      </w:pPr>
      <w:bookmarkStart w:id="6" w:name="_Toc153827926"/>
      <w:r w:rsidRPr="0642916D">
        <w:t>Chairing arrangements</w:t>
      </w:r>
      <w:bookmarkEnd w:id="6"/>
    </w:p>
    <w:p w14:paraId="65CB86A7" w14:textId="77777777" w:rsidR="00AA15A7" w:rsidRDefault="00AA15A7" w:rsidP="00AA15A7">
      <w:pPr>
        <w:rPr>
          <w:color w:val="2F5496" w:themeColor="accent1" w:themeShade="BF"/>
        </w:rPr>
      </w:pPr>
      <w:r w:rsidRPr="37EE51E3">
        <w:t xml:space="preserve">The meeting is </w:t>
      </w:r>
      <w:r w:rsidRPr="37EE51E3">
        <w:rPr>
          <w:color w:val="000000" w:themeColor="text1"/>
        </w:rPr>
        <w:t>chaired on a rotating basis.</w:t>
      </w:r>
    </w:p>
    <w:p w14:paraId="471E2AE4" w14:textId="77777777" w:rsidR="00AA15A7" w:rsidRDefault="00AA15A7" w:rsidP="00AA15A7">
      <w:pPr>
        <w:pStyle w:val="Heading2"/>
      </w:pPr>
    </w:p>
    <w:p w14:paraId="4BF99985" w14:textId="5AD56204" w:rsidR="00AA15A7" w:rsidRDefault="00AA15A7" w:rsidP="00AA15A7">
      <w:pPr>
        <w:pStyle w:val="Heading2"/>
      </w:pPr>
      <w:bookmarkStart w:id="7" w:name="_Toc153827927"/>
      <w:r>
        <w:t>Membership</w:t>
      </w:r>
      <w:bookmarkEnd w:id="7"/>
    </w:p>
    <w:p w14:paraId="41836FE3" w14:textId="77777777" w:rsidR="00AA15A7" w:rsidRDefault="00AA15A7" w:rsidP="00AA15A7">
      <w:pPr>
        <w:rPr>
          <w:color w:val="000000" w:themeColor="text1"/>
        </w:rPr>
      </w:pPr>
      <w:r>
        <w:rPr>
          <w:color w:val="000000" w:themeColor="text1"/>
        </w:rPr>
        <w:t>The membership of the group is not fixed but is open</w:t>
      </w:r>
      <w:r w:rsidRPr="00292AAD">
        <w:rPr>
          <w:color w:val="000000" w:themeColor="text1"/>
        </w:rPr>
        <w:t xml:space="preserve"> to </w:t>
      </w:r>
      <w:r>
        <w:rPr>
          <w:color w:val="000000" w:themeColor="text1"/>
        </w:rPr>
        <w:t xml:space="preserve">local stakeholders with an interest in growth and economic development. </w:t>
      </w:r>
    </w:p>
    <w:p w14:paraId="6A6838DF" w14:textId="77777777" w:rsidR="00AA15A7" w:rsidRPr="00292AAD" w:rsidRDefault="00AA15A7" w:rsidP="00AA15A7">
      <w:pPr>
        <w:rPr>
          <w:color w:val="000000" w:themeColor="text1"/>
        </w:rPr>
      </w:pPr>
      <w:r>
        <w:rPr>
          <w:color w:val="000000" w:themeColor="text1"/>
        </w:rPr>
        <w:t xml:space="preserve">Members will typically include local business groups, further and higher education institutions, local employment and welfare services, large employers such as health </w:t>
      </w:r>
      <w:r>
        <w:rPr>
          <w:color w:val="000000" w:themeColor="text1"/>
        </w:rPr>
        <w:lastRenderedPageBreak/>
        <w:t xml:space="preserve">trusts, and housing associations. Council officers with a focus on economic development also attend the group. </w:t>
      </w:r>
    </w:p>
    <w:p w14:paraId="296BDA0A" w14:textId="77777777" w:rsidR="00AA15A7" w:rsidRDefault="00AA15A7" w:rsidP="00AA15A7">
      <w:pPr>
        <w:pStyle w:val="Heading2"/>
      </w:pPr>
    </w:p>
    <w:p w14:paraId="3B5AA1F2" w14:textId="1A46CE7A" w:rsidR="00AA15A7" w:rsidRPr="00430573" w:rsidRDefault="00AA15A7" w:rsidP="00AA15A7">
      <w:pPr>
        <w:pStyle w:val="Heading2"/>
      </w:pPr>
      <w:bookmarkStart w:id="8" w:name="_Toc153827928"/>
      <w:r>
        <w:t>Venue</w:t>
      </w:r>
      <w:bookmarkEnd w:id="8"/>
      <w:r>
        <w:t xml:space="preserve"> </w:t>
      </w:r>
    </w:p>
    <w:p w14:paraId="1F03A013" w14:textId="77777777" w:rsidR="00AA15A7" w:rsidRDefault="00AA15A7" w:rsidP="00AA15A7">
      <w:r w:rsidRPr="0642916D">
        <w:t xml:space="preserve">Building on the agile nature of working during the Covid pandemic, the group has been meeting virtually for the most recent period. This will be kept under review as we move forward. </w:t>
      </w:r>
    </w:p>
    <w:p w14:paraId="6920C69A" w14:textId="77777777" w:rsidR="00AA15A7" w:rsidRPr="00B31347" w:rsidRDefault="00AA15A7" w:rsidP="00AA15A7"/>
    <w:p w14:paraId="3553A6A4" w14:textId="77777777" w:rsidR="00AA15A7" w:rsidRDefault="00AA15A7" w:rsidP="00101F8B"/>
    <w:p w14:paraId="4E1FEB79" w14:textId="77777777" w:rsidR="00F426C9" w:rsidRDefault="00F426C9" w:rsidP="00101F8B"/>
    <w:p w14:paraId="4C5C88D9" w14:textId="77777777" w:rsidR="00F426C9" w:rsidRDefault="00F426C9" w:rsidP="00101F8B"/>
    <w:p w14:paraId="750EB5DC" w14:textId="77777777" w:rsidR="00F426C9" w:rsidRDefault="00F426C9" w:rsidP="00101F8B"/>
    <w:p w14:paraId="3D2BE8DC" w14:textId="77777777" w:rsidR="00101F8B" w:rsidRPr="00080CA2" w:rsidRDefault="00101F8B" w:rsidP="00101F8B"/>
    <w:sectPr w:rsidR="00101F8B" w:rsidRPr="00080CA2"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7B48" w14:textId="77777777" w:rsidR="00891733" w:rsidRDefault="00891733" w:rsidP="00101F8B">
      <w:r>
        <w:separator/>
      </w:r>
    </w:p>
    <w:p w14:paraId="3B394270" w14:textId="77777777" w:rsidR="00891733" w:rsidRDefault="00891733" w:rsidP="00101F8B"/>
    <w:p w14:paraId="1EB68EE4" w14:textId="77777777" w:rsidR="00891733" w:rsidRDefault="00891733" w:rsidP="00101F8B"/>
    <w:p w14:paraId="5C949040" w14:textId="77777777" w:rsidR="00891733" w:rsidRDefault="00891733" w:rsidP="00101F8B"/>
    <w:p w14:paraId="4A6ED5C5" w14:textId="77777777" w:rsidR="00891733" w:rsidRDefault="00891733" w:rsidP="00101F8B"/>
    <w:p w14:paraId="190BBD56" w14:textId="77777777" w:rsidR="00891733" w:rsidRDefault="00891733" w:rsidP="00101F8B"/>
  </w:endnote>
  <w:endnote w:type="continuationSeparator" w:id="0">
    <w:p w14:paraId="196C7104" w14:textId="77777777" w:rsidR="00891733" w:rsidRDefault="00891733" w:rsidP="00101F8B">
      <w:r>
        <w:continuationSeparator/>
      </w:r>
    </w:p>
    <w:p w14:paraId="70386551" w14:textId="77777777" w:rsidR="00891733" w:rsidRDefault="00891733" w:rsidP="00101F8B"/>
    <w:p w14:paraId="3E93BD7A" w14:textId="77777777" w:rsidR="00891733" w:rsidRDefault="00891733" w:rsidP="00101F8B"/>
    <w:p w14:paraId="44D8BE46" w14:textId="77777777" w:rsidR="00891733" w:rsidRDefault="00891733" w:rsidP="00101F8B"/>
    <w:p w14:paraId="4A084BCF" w14:textId="77777777" w:rsidR="00891733" w:rsidRDefault="00891733" w:rsidP="00101F8B"/>
    <w:p w14:paraId="3B512FDF" w14:textId="77777777" w:rsidR="00891733" w:rsidRDefault="0089173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11-29T00:00:00Z">
        <w:dateFormat w:val="dd/MM/yyyy"/>
        <w:lid w:val="en-GB"/>
        <w:storeMappedDataAs w:val="dateTime"/>
        <w:calendar w:val="gregorian"/>
      </w:date>
    </w:sdtPr>
    <w:sdtContent>
      <w:p w14:paraId="0B17A5A9" w14:textId="208669C0" w:rsidR="00114878" w:rsidRPr="00CC4CE1" w:rsidRDefault="00AA15A7" w:rsidP="007C4F08">
        <w:pPr>
          <w:pStyle w:val="Headersfooters"/>
        </w:pPr>
        <w:r>
          <w:t>29/11/2023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E25F" w14:textId="77777777" w:rsidR="00891733" w:rsidRDefault="00891733" w:rsidP="00101F8B">
      <w:r>
        <w:separator/>
      </w:r>
    </w:p>
    <w:p w14:paraId="7A15118D" w14:textId="77777777" w:rsidR="00891733" w:rsidRDefault="00891733" w:rsidP="00101F8B"/>
    <w:p w14:paraId="154F5386" w14:textId="77777777" w:rsidR="00891733" w:rsidRDefault="00891733" w:rsidP="00101F8B"/>
    <w:p w14:paraId="1F43F48D" w14:textId="77777777" w:rsidR="00891733" w:rsidRDefault="00891733" w:rsidP="00101F8B"/>
    <w:p w14:paraId="0D0999E5" w14:textId="77777777" w:rsidR="00891733" w:rsidRDefault="00891733" w:rsidP="00101F8B"/>
    <w:p w14:paraId="4461A368" w14:textId="77777777" w:rsidR="00891733" w:rsidRDefault="00891733" w:rsidP="00101F8B"/>
  </w:footnote>
  <w:footnote w:type="continuationSeparator" w:id="0">
    <w:p w14:paraId="124038ED" w14:textId="77777777" w:rsidR="00891733" w:rsidRDefault="00891733" w:rsidP="00101F8B">
      <w:r>
        <w:continuationSeparator/>
      </w:r>
    </w:p>
    <w:p w14:paraId="44D48E60" w14:textId="77777777" w:rsidR="00891733" w:rsidRDefault="00891733" w:rsidP="00101F8B"/>
    <w:p w14:paraId="2966CE25" w14:textId="77777777" w:rsidR="00891733" w:rsidRDefault="00891733" w:rsidP="00101F8B"/>
    <w:p w14:paraId="67FF300A" w14:textId="77777777" w:rsidR="00891733" w:rsidRDefault="00891733" w:rsidP="00101F8B"/>
    <w:p w14:paraId="43E2DE3A" w14:textId="77777777" w:rsidR="00891733" w:rsidRDefault="00891733" w:rsidP="00101F8B"/>
    <w:p w14:paraId="717434CE" w14:textId="77777777" w:rsidR="00891733" w:rsidRDefault="00891733"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4CA3D84A" w:rsidR="00114878" w:rsidRPr="007B40D8" w:rsidRDefault="00AA15A7" w:rsidP="007C4F08">
        <w:pPr>
          <w:pStyle w:val="Headersfooters"/>
        </w:pPr>
        <w:r>
          <w:t>Tower Hamlets Growth &amp; Economic Development Partnership Board – Terms of Reference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4C9"/>
    <w:multiLevelType w:val="hybridMultilevel"/>
    <w:tmpl w:val="23C0D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F64D0A"/>
    <w:multiLevelType w:val="hybridMultilevel"/>
    <w:tmpl w:val="8D4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213370">
    <w:abstractNumId w:val="1"/>
  </w:num>
  <w:num w:numId="2" w16cid:durableId="178241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357FA"/>
    <w:rsid w:val="001702A6"/>
    <w:rsid w:val="00173D7C"/>
    <w:rsid w:val="00284556"/>
    <w:rsid w:val="00297396"/>
    <w:rsid w:val="004369A3"/>
    <w:rsid w:val="00534043"/>
    <w:rsid w:val="005E57A5"/>
    <w:rsid w:val="005F24B4"/>
    <w:rsid w:val="006A6700"/>
    <w:rsid w:val="00774185"/>
    <w:rsid w:val="007B40D8"/>
    <w:rsid w:val="007C4F08"/>
    <w:rsid w:val="008158A3"/>
    <w:rsid w:val="00880FFC"/>
    <w:rsid w:val="00891733"/>
    <w:rsid w:val="008B70E7"/>
    <w:rsid w:val="00AA15A7"/>
    <w:rsid w:val="00AA79F3"/>
    <w:rsid w:val="00BA63ED"/>
    <w:rsid w:val="00BE6FB3"/>
    <w:rsid w:val="00C967EF"/>
    <w:rsid w:val="00CC4CE1"/>
    <w:rsid w:val="00D82CA3"/>
    <w:rsid w:val="00DC0596"/>
    <w:rsid w:val="00E056E4"/>
    <w:rsid w:val="00F27FAC"/>
    <w:rsid w:val="00F426C9"/>
    <w:rsid w:val="00F5083F"/>
    <w:rsid w:val="00FA5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AA15A7"/>
    <w:pPr>
      <w:spacing w:line="259"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A56C9E"/>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9DA4D916-67CF-4FD3-8961-2126032812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Tower Hamlets Growth &amp; Economic Development Partnership Board – Terms of Reference</vt:lpstr>
    </vt:vector>
  </TitlesOfParts>
  <Company>Tower Hamlets</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Growth &amp; Economic Development Partnership Board – Terms of Reference</dc:title>
  <dc:subject>
  </dc:subject>
  <dc:creator>
  </dc:creator>
  <cp:keywords>
  </cp:keywords>
  <dc:description>
  </dc:description>
  <cp:lastModifiedBy>Phillip Nduoyo</cp:lastModifiedBy>
  <cp:revision>3</cp:revision>
  <dcterms:created xsi:type="dcterms:W3CDTF">2023-12-18T21:37:00Z</dcterms:created>
  <dcterms:modified xsi:type="dcterms:W3CDTF">2023-12-18T21:38:00Z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