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CDA0" w14:textId="77777777" w:rsidR="002B4E80" w:rsidRPr="00160BA6" w:rsidRDefault="002B4E80" w:rsidP="00202EB3">
      <w:pPr>
        <w:rPr>
          <w:color w:val="000000" w:themeColor="text1"/>
        </w:rPr>
      </w:pPr>
    </w:p>
    <w:p w14:paraId="624E4911" w14:textId="77777777" w:rsidR="002B4E80" w:rsidRPr="00160BA6" w:rsidRDefault="002B4E80" w:rsidP="00202EB3">
      <w:pPr>
        <w:rPr>
          <w:color w:val="000000" w:themeColor="text1"/>
        </w:rPr>
      </w:pPr>
    </w:p>
    <w:p w14:paraId="7055F820" w14:textId="77777777" w:rsidR="002B4E80" w:rsidRPr="00160BA6" w:rsidRDefault="002B4E80" w:rsidP="00202EB3">
      <w:pPr>
        <w:rPr>
          <w:color w:val="000000" w:themeColor="text1"/>
        </w:rPr>
      </w:pPr>
    </w:p>
    <w:p w14:paraId="2D1CD37F" w14:textId="77777777" w:rsidR="003F0B3F" w:rsidRPr="00160BA6" w:rsidRDefault="003F0B3F" w:rsidP="002B4E80">
      <w:pPr>
        <w:jc w:val="center"/>
        <w:rPr>
          <w:b/>
          <w:color w:val="000000" w:themeColor="text1"/>
          <w:sz w:val="48"/>
          <w:szCs w:val="48"/>
        </w:rPr>
      </w:pPr>
    </w:p>
    <w:p w14:paraId="45EA69F5" w14:textId="77777777" w:rsidR="003F0B3F" w:rsidRPr="00160BA6" w:rsidRDefault="003F0B3F" w:rsidP="002B4E80">
      <w:pPr>
        <w:jc w:val="center"/>
        <w:rPr>
          <w:b/>
          <w:color w:val="000000" w:themeColor="text1"/>
          <w:sz w:val="48"/>
          <w:szCs w:val="48"/>
        </w:rPr>
      </w:pPr>
    </w:p>
    <w:p w14:paraId="4CEFA608" w14:textId="77777777" w:rsidR="002B4E80" w:rsidRPr="00160BA6" w:rsidRDefault="002619AA" w:rsidP="002B4E80">
      <w:pPr>
        <w:jc w:val="center"/>
        <w:rPr>
          <w:b/>
          <w:color w:val="000000" w:themeColor="text1"/>
          <w:sz w:val="72"/>
          <w:szCs w:val="72"/>
        </w:rPr>
      </w:pPr>
      <w:r w:rsidRPr="00160BA6">
        <w:rPr>
          <w:b/>
          <w:color w:val="000000" w:themeColor="text1"/>
          <w:sz w:val="72"/>
          <w:szCs w:val="72"/>
        </w:rPr>
        <w:t>Annual Governance Statement</w:t>
      </w:r>
    </w:p>
    <w:p w14:paraId="20C16C6E" w14:textId="77777777" w:rsidR="002B4E80" w:rsidRPr="00160BA6" w:rsidRDefault="002B4E80" w:rsidP="002B4E80">
      <w:pPr>
        <w:jc w:val="center"/>
        <w:rPr>
          <w:b/>
          <w:color w:val="000000" w:themeColor="text1"/>
          <w:sz w:val="72"/>
          <w:szCs w:val="72"/>
        </w:rPr>
      </w:pPr>
    </w:p>
    <w:p w14:paraId="3769848A" w14:textId="2615BC4C" w:rsidR="00726779" w:rsidRPr="00160BA6" w:rsidRDefault="002619AA" w:rsidP="002B4E80">
      <w:pPr>
        <w:jc w:val="center"/>
        <w:rPr>
          <w:b/>
          <w:color w:val="000000" w:themeColor="text1"/>
          <w:sz w:val="72"/>
          <w:szCs w:val="72"/>
        </w:rPr>
        <w:sectPr w:rsidR="00726779" w:rsidRPr="00160BA6" w:rsidSect="002B4E80">
          <w:headerReference w:type="default" r:id="rId11"/>
          <w:pgSz w:w="16838" w:h="11906" w:orient="landscape"/>
          <w:pgMar w:top="1800" w:right="1440" w:bottom="1800" w:left="1440" w:header="142" w:footer="708" w:gutter="0"/>
          <w:cols w:space="708"/>
          <w:docGrid w:linePitch="360"/>
        </w:sectPr>
      </w:pPr>
      <w:r w:rsidRPr="00160BA6">
        <w:rPr>
          <w:b/>
          <w:color w:val="000000" w:themeColor="text1"/>
          <w:sz w:val="72"/>
          <w:szCs w:val="72"/>
        </w:rPr>
        <w:t>20</w:t>
      </w:r>
      <w:r w:rsidR="00352656" w:rsidRPr="00160BA6">
        <w:rPr>
          <w:b/>
          <w:color w:val="000000" w:themeColor="text1"/>
          <w:sz w:val="72"/>
          <w:szCs w:val="72"/>
        </w:rPr>
        <w:t>2</w:t>
      </w:r>
      <w:r w:rsidR="00FD2BCE">
        <w:rPr>
          <w:b/>
          <w:color w:val="000000" w:themeColor="text1"/>
          <w:sz w:val="72"/>
          <w:szCs w:val="72"/>
        </w:rPr>
        <w:t>1</w:t>
      </w:r>
      <w:r w:rsidRPr="00160BA6">
        <w:rPr>
          <w:b/>
          <w:color w:val="000000" w:themeColor="text1"/>
          <w:sz w:val="72"/>
          <w:szCs w:val="72"/>
        </w:rPr>
        <w:t>/202</w:t>
      </w:r>
      <w:r w:rsidR="00FD2BCE">
        <w:rPr>
          <w:b/>
          <w:color w:val="000000" w:themeColor="text1"/>
          <w:sz w:val="72"/>
          <w:szCs w:val="72"/>
        </w:rPr>
        <w:t>2</w:t>
      </w:r>
    </w:p>
    <w:p w14:paraId="660E6E08" w14:textId="77777777" w:rsidR="002B4E80" w:rsidRPr="00160BA6" w:rsidRDefault="002B4E80" w:rsidP="002B4E80">
      <w:pPr>
        <w:jc w:val="center"/>
        <w:rPr>
          <w:b/>
          <w:color w:val="000000" w:themeColor="text1"/>
          <w:sz w:val="72"/>
          <w:szCs w:val="72"/>
        </w:rPr>
      </w:pPr>
    </w:p>
    <w:p w14:paraId="52A0292F" w14:textId="77777777" w:rsidR="002B4E80" w:rsidRPr="00160BA6" w:rsidRDefault="002B4E80" w:rsidP="002B4E80">
      <w:pPr>
        <w:rPr>
          <w:color w:val="000000" w:themeColor="text1"/>
        </w:rPr>
      </w:pPr>
    </w:p>
    <w:p w14:paraId="6558C8B6" w14:textId="77777777" w:rsidR="00080846" w:rsidRPr="00160BA6" w:rsidRDefault="002619AA" w:rsidP="00A20635">
      <w:pPr>
        <w:rPr>
          <w:color w:val="000000" w:themeColor="text1"/>
        </w:rPr>
      </w:pPr>
      <w:r w:rsidRPr="00160BA6">
        <w:rPr>
          <w:color w:val="000000" w:themeColor="text1"/>
        </w:rPr>
        <w:br w:type="page"/>
      </w:r>
      <w:r w:rsidR="00225A94" w:rsidRPr="00160BA6">
        <w:rPr>
          <w:b/>
          <w:color w:val="000000" w:themeColor="text1"/>
        </w:rPr>
        <w:lastRenderedPageBreak/>
        <w:t>Our Annual Governance Statement</w:t>
      </w:r>
    </w:p>
    <w:p w14:paraId="1A18E9C0" w14:textId="77777777" w:rsidR="00080846" w:rsidRPr="00160BA6" w:rsidRDefault="00080846" w:rsidP="002B4E80">
      <w:pPr>
        <w:autoSpaceDE w:val="0"/>
        <w:autoSpaceDN w:val="0"/>
        <w:adjustRightInd w:val="0"/>
        <w:rPr>
          <w:color w:val="000000" w:themeColor="text1"/>
        </w:rPr>
      </w:pPr>
    </w:p>
    <w:p w14:paraId="1A611FBE" w14:textId="77777777" w:rsidR="00021928" w:rsidRDefault="00746E41" w:rsidP="00303EA1">
      <w:pPr>
        <w:rPr>
          <w:color w:val="000000" w:themeColor="text1"/>
        </w:rPr>
      </w:pPr>
      <w:r w:rsidRPr="00160BA6">
        <w:rPr>
          <w:color w:val="000000" w:themeColor="text1"/>
        </w:rPr>
        <w:t xml:space="preserve">The </w:t>
      </w:r>
      <w:r w:rsidR="00F97111">
        <w:rPr>
          <w:color w:val="000000" w:themeColor="text1"/>
        </w:rPr>
        <w:t>London Borough of Tower Hamlets (the “</w:t>
      </w:r>
      <w:r w:rsidRPr="00160BA6">
        <w:rPr>
          <w:color w:val="000000" w:themeColor="text1"/>
        </w:rPr>
        <w:t>Council</w:t>
      </w:r>
      <w:r w:rsidR="00F97111">
        <w:rPr>
          <w:color w:val="000000" w:themeColor="text1"/>
        </w:rPr>
        <w:t>”)</w:t>
      </w:r>
      <w:r w:rsidRPr="00160BA6">
        <w:rPr>
          <w:color w:val="000000" w:themeColor="text1"/>
        </w:rPr>
        <w:t xml:space="preserve"> is committed to being efficient and effective in delivering improved outcomes for residents</w:t>
      </w:r>
      <w:r w:rsidR="00A24B43" w:rsidRPr="00160BA6">
        <w:rPr>
          <w:color w:val="000000" w:themeColor="text1"/>
        </w:rPr>
        <w:t xml:space="preserve"> of Tower Hamlets.</w:t>
      </w:r>
      <w:r w:rsidRPr="00160BA6">
        <w:rPr>
          <w:color w:val="000000" w:themeColor="text1"/>
        </w:rPr>
        <w:t xml:space="preserve"> We </w:t>
      </w:r>
      <w:r w:rsidR="00363BB2">
        <w:rPr>
          <w:color w:val="000000" w:themeColor="text1"/>
        </w:rPr>
        <w:t>pride ourselves in doing this in an</w:t>
      </w:r>
      <w:r w:rsidRPr="00160BA6">
        <w:rPr>
          <w:color w:val="000000" w:themeColor="text1"/>
        </w:rPr>
        <w:t xml:space="preserve"> open and transparent </w:t>
      </w:r>
      <w:r w:rsidR="00363BB2">
        <w:rPr>
          <w:color w:val="000000" w:themeColor="text1"/>
        </w:rPr>
        <w:t xml:space="preserve">manner, especially </w:t>
      </w:r>
      <w:r w:rsidR="006133B8">
        <w:rPr>
          <w:color w:val="000000" w:themeColor="text1"/>
        </w:rPr>
        <w:t xml:space="preserve">when it relates to </w:t>
      </w:r>
      <w:r w:rsidRPr="00160BA6">
        <w:rPr>
          <w:color w:val="000000" w:themeColor="text1"/>
        </w:rPr>
        <w:t>our continuous improvement journey</w:t>
      </w:r>
      <w:r w:rsidR="00021928">
        <w:rPr>
          <w:color w:val="000000" w:themeColor="text1"/>
        </w:rPr>
        <w:t>.</w:t>
      </w:r>
    </w:p>
    <w:p w14:paraId="22E65A79" w14:textId="5D4CE729" w:rsidR="00021928" w:rsidRDefault="00021928" w:rsidP="00303EA1">
      <w:pPr>
        <w:rPr>
          <w:color w:val="000000" w:themeColor="text1"/>
        </w:rPr>
      </w:pPr>
    </w:p>
    <w:p w14:paraId="3D50F518" w14:textId="0AC5D676" w:rsidR="00F16E9A" w:rsidRDefault="00021928" w:rsidP="00303EA1">
      <w:pPr>
        <w:rPr>
          <w:color w:val="000000" w:themeColor="text1"/>
        </w:rPr>
      </w:pPr>
      <w:r w:rsidRPr="00E15945">
        <w:rPr>
          <w:color w:val="000000" w:themeColor="text1"/>
        </w:rPr>
        <w:t>As has been the case in previous years, 2021/22 has been a challenging year, the COVID-19</w:t>
      </w:r>
      <w:r w:rsidRPr="00E15945">
        <w:rPr>
          <w:rFonts w:eastAsiaTheme="minorEastAsia" w:cs="Arial"/>
          <w:color w:val="000000" w:themeColor="text1"/>
          <w:kern w:val="24"/>
        </w:rPr>
        <w:t xml:space="preserve"> </w:t>
      </w:r>
      <w:r w:rsidRPr="00E15945">
        <w:rPr>
          <w:color w:val="000000" w:themeColor="text1"/>
        </w:rPr>
        <w:t>pandemic continued to have a profound impact on everyone</w:t>
      </w:r>
      <w:r w:rsidR="002716F6">
        <w:rPr>
          <w:color w:val="000000" w:themeColor="text1"/>
        </w:rPr>
        <w:t xml:space="preserve">, </w:t>
      </w:r>
      <w:r w:rsidR="009E0AD2">
        <w:rPr>
          <w:color w:val="000000" w:themeColor="text1"/>
        </w:rPr>
        <w:t>alongside the backdrop of economic pressures</w:t>
      </w:r>
      <w:r w:rsidR="0064399F">
        <w:rPr>
          <w:color w:val="000000" w:themeColor="text1"/>
        </w:rPr>
        <w:t xml:space="preserve"> and impact arising from the pandemic</w:t>
      </w:r>
      <w:r w:rsidR="002908C5">
        <w:rPr>
          <w:color w:val="000000" w:themeColor="text1"/>
        </w:rPr>
        <w:t>,</w:t>
      </w:r>
      <w:r w:rsidR="0064399F">
        <w:rPr>
          <w:color w:val="000000" w:themeColor="text1"/>
        </w:rPr>
        <w:t xml:space="preserve"> reducing the amount of income that the Council received from business rates and council tax, as well as impairing the forecast income for future years</w:t>
      </w:r>
      <w:r w:rsidR="009E0AD2">
        <w:rPr>
          <w:color w:val="000000" w:themeColor="text1"/>
        </w:rPr>
        <w:t>.</w:t>
      </w:r>
      <w:r w:rsidRPr="00E15945">
        <w:rPr>
          <w:color w:val="000000" w:themeColor="text1"/>
        </w:rPr>
        <w:t xml:space="preserve"> </w:t>
      </w:r>
      <w:r w:rsidR="00F16E9A" w:rsidRPr="00F16E9A">
        <w:rPr>
          <w:color w:val="000000" w:themeColor="text1"/>
        </w:rPr>
        <w:t xml:space="preserve">In response, we have updated both our Strategic Plan and the Medium-Term Financial Strategy to ensure our budget can support delivery of our priorities and address the significant financial challenges facing the </w:t>
      </w:r>
      <w:r w:rsidR="00F16E9A">
        <w:rPr>
          <w:color w:val="000000" w:themeColor="text1"/>
        </w:rPr>
        <w:t>C</w:t>
      </w:r>
      <w:r w:rsidR="00F16E9A" w:rsidRPr="00F16E9A">
        <w:rPr>
          <w:color w:val="000000" w:themeColor="text1"/>
        </w:rPr>
        <w:t>ouncil.</w:t>
      </w:r>
    </w:p>
    <w:p w14:paraId="14177688" w14:textId="77777777" w:rsidR="00F16E9A" w:rsidRDefault="00F16E9A" w:rsidP="00303EA1">
      <w:pPr>
        <w:rPr>
          <w:color w:val="000000" w:themeColor="text1"/>
        </w:rPr>
      </w:pPr>
    </w:p>
    <w:p w14:paraId="6B53837C" w14:textId="38157207" w:rsidR="006822DA" w:rsidRDefault="00021928" w:rsidP="00303EA1">
      <w:pPr>
        <w:rPr>
          <w:color w:val="000000" w:themeColor="text1"/>
        </w:rPr>
      </w:pPr>
      <w:r w:rsidRPr="00E15945">
        <w:rPr>
          <w:color w:val="000000" w:themeColor="text1"/>
        </w:rPr>
        <w:t>The pandemic required us to govern differently</w:t>
      </w:r>
      <w:r w:rsidR="00831042">
        <w:rPr>
          <w:color w:val="000000" w:themeColor="text1"/>
        </w:rPr>
        <w:t>,</w:t>
      </w:r>
      <w:r w:rsidRPr="00E15945">
        <w:rPr>
          <w:color w:val="000000" w:themeColor="text1"/>
        </w:rPr>
        <w:t xml:space="preserve"> to adapt and meet the needs of our community. Importantly, our arrangements continued to operate effectively as </w:t>
      </w:r>
      <w:r w:rsidR="00831042">
        <w:rPr>
          <w:color w:val="000000" w:themeColor="text1"/>
        </w:rPr>
        <w:t>th</w:t>
      </w:r>
      <w:r w:rsidR="005E0962">
        <w:rPr>
          <w:color w:val="000000" w:themeColor="text1"/>
        </w:rPr>
        <w:t xml:space="preserve">e organisation </w:t>
      </w:r>
      <w:r w:rsidRPr="00E15945">
        <w:rPr>
          <w:color w:val="000000" w:themeColor="text1"/>
        </w:rPr>
        <w:t xml:space="preserve">continued to deal with the challenges </w:t>
      </w:r>
      <w:r w:rsidR="005E0962">
        <w:rPr>
          <w:color w:val="000000" w:themeColor="text1"/>
        </w:rPr>
        <w:t>faced.</w:t>
      </w:r>
      <w:r w:rsidR="006822DA">
        <w:rPr>
          <w:color w:val="000000" w:themeColor="text1"/>
        </w:rPr>
        <w:t xml:space="preserve"> </w:t>
      </w:r>
      <w:r w:rsidR="004F0B78">
        <w:rPr>
          <w:color w:val="000000" w:themeColor="text1"/>
        </w:rPr>
        <w:t xml:space="preserve">The Council has continued to make progress in addressing </w:t>
      </w:r>
      <w:r w:rsidR="0087643B">
        <w:rPr>
          <w:color w:val="000000" w:themeColor="text1"/>
        </w:rPr>
        <w:t>areas of improvements previously identified,</w:t>
      </w:r>
      <w:r w:rsidR="006822DA">
        <w:rPr>
          <w:color w:val="000000" w:themeColor="text1"/>
        </w:rPr>
        <w:t xml:space="preserve"> whether that was from lessons learnt during this period or improvements identified </w:t>
      </w:r>
      <w:r w:rsidR="004A4FCE">
        <w:rPr>
          <w:color w:val="000000" w:themeColor="text1"/>
        </w:rPr>
        <w:t>via</w:t>
      </w:r>
      <w:r w:rsidR="006822DA">
        <w:rPr>
          <w:color w:val="000000" w:themeColor="text1"/>
        </w:rPr>
        <w:t xml:space="preserve"> reviews on our governance arrangements. </w:t>
      </w:r>
    </w:p>
    <w:p w14:paraId="4BFF8723" w14:textId="77777777" w:rsidR="006822DA" w:rsidRDefault="006822DA" w:rsidP="00303EA1">
      <w:pPr>
        <w:rPr>
          <w:color w:val="000000" w:themeColor="text1"/>
        </w:rPr>
      </w:pPr>
    </w:p>
    <w:p w14:paraId="473C2473" w14:textId="77777777" w:rsidR="000E44EB" w:rsidRDefault="00673579" w:rsidP="000C2504">
      <w:pPr>
        <w:spacing w:after="120"/>
        <w:rPr>
          <w:color w:val="000000" w:themeColor="text1"/>
        </w:rPr>
      </w:pPr>
      <w:r>
        <w:rPr>
          <w:color w:val="000000" w:themeColor="text1"/>
        </w:rPr>
        <w:t>2021/22 has been no different than prior years where the Council h</w:t>
      </w:r>
      <w:r w:rsidR="00746E41" w:rsidRPr="00160BA6">
        <w:rPr>
          <w:color w:val="000000" w:themeColor="text1"/>
        </w:rPr>
        <w:t xml:space="preserve">ave been recognised for </w:t>
      </w:r>
      <w:r w:rsidR="00AB45EF">
        <w:rPr>
          <w:color w:val="000000" w:themeColor="text1"/>
        </w:rPr>
        <w:t xml:space="preserve">a number of </w:t>
      </w:r>
      <w:r w:rsidR="00746E41" w:rsidRPr="00160BA6">
        <w:rPr>
          <w:color w:val="000000" w:themeColor="text1"/>
        </w:rPr>
        <w:t xml:space="preserve">achievements </w:t>
      </w:r>
      <w:r>
        <w:rPr>
          <w:color w:val="000000" w:themeColor="text1"/>
        </w:rPr>
        <w:t>when externally scrutinised</w:t>
      </w:r>
      <w:r w:rsidR="000E44EB">
        <w:rPr>
          <w:color w:val="000000" w:themeColor="text1"/>
        </w:rPr>
        <w:t>:</w:t>
      </w:r>
      <w:r>
        <w:rPr>
          <w:color w:val="000000" w:themeColor="text1"/>
        </w:rPr>
        <w:t xml:space="preserve"> </w:t>
      </w:r>
    </w:p>
    <w:p w14:paraId="1271FEEF" w14:textId="77777777" w:rsidR="000E44EB" w:rsidRDefault="0064399F" w:rsidP="00226C1E">
      <w:pPr>
        <w:pStyle w:val="ListParagraph"/>
        <w:numPr>
          <w:ilvl w:val="0"/>
          <w:numId w:val="9"/>
        </w:numPr>
        <w:spacing w:after="120"/>
        <w:ind w:left="714" w:hanging="357"/>
      </w:pPr>
      <w:r w:rsidRPr="000E44EB">
        <w:rPr>
          <w:color w:val="000000" w:themeColor="text1"/>
        </w:rPr>
        <w:t>O</w:t>
      </w:r>
      <w:r w:rsidR="003A69EA" w:rsidRPr="00042CCA">
        <w:t>ur Legal Services were re-accredited with the Lexcel Standard</w:t>
      </w:r>
      <w:r w:rsidR="000E44EB">
        <w:t>.</w:t>
      </w:r>
      <w:r w:rsidR="00042CCA" w:rsidRPr="00042CCA">
        <w:t xml:space="preserve"> </w:t>
      </w:r>
    </w:p>
    <w:p w14:paraId="6550B559" w14:textId="2432E326" w:rsidR="00F30486" w:rsidRDefault="000E44EB" w:rsidP="00226C1E">
      <w:pPr>
        <w:pStyle w:val="ListParagraph"/>
        <w:numPr>
          <w:ilvl w:val="0"/>
          <w:numId w:val="9"/>
        </w:numPr>
        <w:spacing w:after="120"/>
        <w:ind w:left="714" w:hanging="357"/>
      </w:pPr>
      <w:r>
        <w:t>T</w:t>
      </w:r>
      <w:r w:rsidR="00042CCA" w:rsidRPr="00042CCA">
        <w:t>he results of our SEND Local Area Inspection, whilst</w:t>
      </w:r>
      <w:r w:rsidR="000A3D39">
        <w:t xml:space="preserve"> </w:t>
      </w:r>
      <w:r w:rsidR="00C44332">
        <w:t>identify</w:t>
      </w:r>
      <w:r w:rsidR="00F30486">
        <w:t>ing</w:t>
      </w:r>
      <w:r w:rsidR="00042CCA" w:rsidRPr="00042CCA">
        <w:t xml:space="preserve"> </w:t>
      </w:r>
      <w:r w:rsidR="006A14D0">
        <w:t xml:space="preserve">four key areas of weakness, </w:t>
      </w:r>
      <w:r w:rsidR="0036553A">
        <w:t xml:space="preserve">were areas we had identified for improvement, and we </w:t>
      </w:r>
      <w:r w:rsidR="006A14D0">
        <w:t>had already developed a SEND Improvement Plan to address a number of these issues</w:t>
      </w:r>
      <w:r w:rsidR="0036553A">
        <w:t>. O</w:t>
      </w:r>
      <w:r w:rsidR="006A14D0">
        <w:t xml:space="preserve">ur Written Statement of Action issued in response to the outcome was deemed fit for purpose – demonstrating </w:t>
      </w:r>
      <w:r w:rsidR="003055DF">
        <w:t xml:space="preserve">how we take on board feedback to influence improvements going </w:t>
      </w:r>
      <w:r w:rsidR="003055DF" w:rsidRPr="003055DF">
        <w:t xml:space="preserve">forward. </w:t>
      </w:r>
    </w:p>
    <w:p w14:paraId="4F40F588" w14:textId="5D8AEF67" w:rsidR="0036553A" w:rsidRDefault="0036553A" w:rsidP="00226C1E">
      <w:pPr>
        <w:pStyle w:val="ListParagraph"/>
        <w:numPr>
          <w:ilvl w:val="0"/>
          <w:numId w:val="9"/>
        </w:numPr>
        <w:spacing w:after="120"/>
        <w:ind w:left="714" w:hanging="357"/>
      </w:pPr>
      <w:r>
        <w:t xml:space="preserve">The </w:t>
      </w:r>
      <w:r w:rsidRPr="0036553A">
        <w:t>LGA Corporate Peer Challenge Revisit</w:t>
      </w:r>
      <w:r>
        <w:t xml:space="preserve"> also provided positive confirmation to the Council on the progress we were making on our </w:t>
      </w:r>
      <w:r w:rsidRPr="0036553A">
        <w:t>improvement journey</w:t>
      </w:r>
      <w:r>
        <w:t>, that this</w:t>
      </w:r>
      <w:r w:rsidRPr="0036553A">
        <w:t xml:space="preserve"> remained on track and feedback from </w:t>
      </w:r>
      <w:r>
        <w:t>this</w:t>
      </w:r>
      <w:r w:rsidRPr="0036553A">
        <w:t xml:space="preserve"> visit would help inform future priorities</w:t>
      </w:r>
      <w:r>
        <w:t>.</w:t>
      </w:r>
    </w:p>
    <w:p w14:paraId="069B954B" w14:textId="77777777" w:rsidR="00F30486" w:rsidRDefault="00F30486" w:rsidP="002C1353">
      <w:pPr>
        <w:jc w:val="both"/>
      </w:pPr>
    </w:p>
    <w:p w14:paraId="4F1C740E" w14:textId="77777777" w:rsidR="00422BD6" w:rsidRDefault="004F5672" w:rsidP="00303EA1">
      <w:pPr>
        <w:rPr>
          <w:color w:val="000000" w:themeColor="text1"/>
        </w:rPr>
      </w:pPr>
      <w:r w:rsidRPr="00E15945">
        <w:rPr>
          <w:color w:val="000000" w:themeColor="text1"/>
        </w:rPr>
        <w:t xml:space="preserve">Whilst we </w:t>
      </w:r>
      <w:r w:rsidR="004A4FCE">
        <w:rPr>
          <w:color w:val="000000" w:themeColor="text1"/>
        </w:rPr>
        <w:t>are pleased with our progress</w:t>
      </w:r>
      <w:r w:rsidRPr="00E15945">
        <w:rPr>
          <w:color w:val="000000" w:themeColor="text1"/>
        </w:rPr>
        <w:t xml:space="preserve">, there remains significant challenges, in addition to the long-term impact of the pandemic, </w:t>
      </w:r>
      <w:r w:rsidR="008E67F7">
        <w:rPr>
          <w:color w:val="000000" w:themeColor="text1"/>
        </w:rPr>
        <w:t xml:space="preserve">global issues and greater economic pressures </w:t>
      </w:r>
      <w:r w:rsidRPr="00E15945">
        <w:rPr>
          <w:color w:val="000000" w:themeColor="text1"/>
        </w:rPr>
        <w:t xml:space="preserve">which </w:t>
      </w:r>
      <w:r w:rsidR="006D4A44">
        <w:rPr>
          <w:color w:val="000000" w:themeColor="text1"/>
        </w:rPr>
        <w:t>is cultivating in a “cost-of-living crisis” for the entire nation</w:t>
      </w:r>
      <w:r w:rsidR="00422BD6">
        <w:rPr>
          <w:color w:val="000000" w:themeColor="text1"/>
        </w:rPr>
        <w:t xml:space="preserve">, we still want to address issues around </w:t>
      </w:r>
      <w:r w:rsidRPr="00E15945">
        <w:rPr>
          <w:color w:val="000000" w:themeColor="text1"/>
        </w:rPr>
        <w:t>closing our financial accounts, budget management in areas such as Adult Social Care, and SEND performance</w:t>
      </w:r>
      <w:r w:rsidR="00422BD6">
        <w:rPr>
          <w:color w:val="000000" w:themeColor="text1"/>
        </w:rPr>
        <w:t xml:space="preserve">. </w:t>
      </w:r>
    </w:p>
    <w:p w14:paraId="54E6B85A" w14:textId="77777777" w:rsidR="00422BD6" w:rsidRDefault="00422BD6" w:rsidP="00303EA1">
      <w:pPr>
        <w:rPr>
          <w:color w:val="000000" w:themeColor="text1"/>
        </w:rPr>
      </w:pPr>
    </w:p>
    <w:p w14:paraId="7F613FD6" w14:textId="3F65A295" w:rsidR="004F5672" w:rsidRPr="00E15945" w:rsidRDefault="004F5672" w:rsidP="00303EA1">
      <w:pPr>
        <w:rPr>
          <w:color w:val="000000" w:themeColor="text1"/>
        </w:rPr>
      </w:pPr>
      <w:r w:rsidRPr="00E15945">
        <w:rPr>
          <w:color w:val="000000" w:themeColor="text1"/>
        </w:rPr>
        <w:t xml:space="preserve">We recognise that good governance requires a culture of continuous improvement and challenge, </w:t>
      </w:r>
      <w:r w:rsidR="00422BD6">
        <w:rPr>
          <w:color w:val="000000" w:themeColor="text1"/>
        </w:rPr>
        <w:t xml:space="preserve">and </w:t>
      </w:r>
      <w:r w:rsidRPr="00E15945">
        <w:rPr>
          <w:color w:val="000000" w:themeColor="text1"/>
        </w:rPr>
        <w:t xml:space="preserve">we will continue to seek improvement and will be self-critical in doing so to ensure we uphold the highest possible standards of good governance. </w:t>
      </w:r>
    </w:p>
    <w:p w14:paraId="50DAE25D" w14:textId="77777777" w:rsidR="004F5672" w:rsidRPr="00E15945" w:rsidRDefault="004F5672" w:rsidP="00303EA1">
      <w:pPr>
        <w:rPr>
          <w:color w:val="000000" w:themeColor="text1"/>
        </w:rPr>
      </w:pPr>
    </w:p>
    <w:p w14:paraId="782AD9BB" w14:textId="73F5DEDB" w:rsidR="004F5672" w:rsidRDefault="004F5672" w:rsidP="00303EA1">
      <w:pPr>
        <w:rPr>
          <w:color w:val="000000" w:themeColor="text1"/>
        </w:rPr>
      </w:pPr>
      <w:r w:rsidRPr="00E15945">
        <w:rPr>
          <w:color w:val="000000" w:themeColor="text1"/>
        </w:rPr>
        <w:t>We have put action plans in place to address any issues and regularly report progress via the Corporate Leadership Team and relevant Committees.</w:t>
      </w:r>
      <w:r w:rsidRPr="00160BA6">
        <w:rPr>
          <w:color w:val="000000" w:themeColor="text1"/>
        </w:rPr>
        <w:t xml:space="preserve"> </w:t>
      </w:r>
    </w:p>
    <w:p w14:paraId="3A737391" w14:textId="7A254CD3" w:rsidR="004526C5" w:rsidRDefault="004526C5" w:rsidP="00303EA1">
      <w:pPr>
        <w:rPr>
          <w:color w:val="000000" w:themeColor="text1"/>
        </w:rPr>
      </w:pPr>
    </w:p>
    <w:p w14:paraId="040141FA" w14:textId="10168732" w:rsidR="004526C5" w:rsidRPr="00160BA6" w:rsidRDefault="004526C5" w:rsidP="00303EA1">
      <w:pPr>
        <w:rPr>
          <w:color w:val="000000" w:themeColor="text1"/>
        </w:rPr>
      </w:pPr>
      <w:r w:rsidRPr="00160BA6">
        <w:rPr>
          <w:color w:val="000000" w:themeColor="text1"/>
        </w:rPr>
        <w:t>We are required to report publicly about how the Council has complied with</w:t>
      </w:r>
      <w:r w:rsidR="00D51E69">
        <w:rPr>
          <w:color w:val="000000" w:themeColor="text1"/>
        </w:rPr>
        <w:t xml:space="preserve"> its</w:t>
      </w:r>
      <w:r w:rsidRPr="00160BA6">
        <w:rPr>
          <w:color w:val="000000" w:themeColor="text1"/>
        </w:rPr>
        <w:t xml:space="preserve"> governance arrangements</w:t>
      </w:r>
      <w:r w:rsidR="00D51E69">
        <w:rPr>
          <w:color w:val="000000" w:themeColor="text1"/>
        </w:rPr>
        <w:t xml:space="preserve">, </w:t>
      </w:r>
      <w:r w:rsidR="008B30E6">
        <w:rPr>
          <w:color w:val="000000" w:themeColor="text1"/>
        </w:rPr>
        <w:t xml:space="preserve">including </w:t>
      </w:r>
      <w:r w:rsidR="00D51E69">
        <w:rPr>
          <w:color w:val="000000" w:themeColor="text1"/>
        </w:rPr>
        <w:t>h</w:t>
      </w:r>
      <w:r w:rsidRPr="00160BA6">
        <w:rPr>
          <w:color w:val="000000" w:themeColor="text1"/>
        </w:rPr>
        <w:t>ow they have operated over the course of the last year</w:t>
      </w:r>
      <w:r w:rsidR="008B30E6">
        <w:rPr>
          <w:color w:val="000000" w:themeColor="text1"/>
        </w:rPr>
        <w:t xml:space="preserve"> and if any areas require improvement</w:t>
      </w:r>
      <w:r w:rsidRPr="00160BA6">
        <w:rPr>
          <w:color w:val="000000" w:themeColor="text1"/>
        </w:rPr>
        <w:t xml:space="preserve">. This Annual Governance Statement reports the outcome of our assessment. </w:t>
      </w:r>
    </w:p>
    <w:p w14:paraId="312BBE9A" w14:textId="763BF461" w:rsidR="004F5672" w:rsidRDefault="004F5672" w:rsidP="00A20635">
      <w:pPr>
        <w:rPr>
          <w:color w:val="000000" w:themeColor="text1"/>
        </w:rPr>
      </w:pPr>
    </w:p>
    <w:p w14:paraId="5D993DE0" w14:textId="466A4E9E" w:rsidR="00080846" w:rsidRDefault="00080846" w:rsidP="00E744AB">
      <w:pPr>
        <w:rPr>
          <w:color w:val="000000" w:themeColor="text1"/>
        </w:rPr>
      </w:pPr>
    </w:p>
    <w:p w14:paraId="0D9E7D9A" w14:textId="77777777" w:rsidR="00730F69" w:rsidRDefault="00730F69" w:rsidP="00E744AB">
      <w:pPr>
        <w:rPr>
          <w:color w:val="000000" w:themeColor="text1"/>
        </w:rPr>
      </w:pPr>
    </w:p>
    <w:p w14:paraId="4047EF69" w14:textId="77777777" w:rsidR="00730F69" w:rsidRDefault="00730F69" w:rsidP="00E744AB">
      <w:pPr>
        <w:rPr>
          <w:color w:val="000000" w:themeColor="text1"/>
        </w:rPr>
      </w:pPr>
    </w:p>
    <w:p w14:paraId="1894B23B" w14:textId="77777777" w:rsidR="00730F69" w:rsidRDefault="00730F69" w:rsidP="00E744AB">
      <w:pPr>
        <w:rPr>
          <w:color w:val="000000" w:themeColor="text1"/>
        </w:rPr>
      </w:pPr>
    </w:p>
    <w:p w14:paraId="05D6C9C3" w14:textId="77777777" w:rsidR="00730F69" w:rsidRDefault="00730F69" w:rsidP="00E744AB">
      <w:pPr>
        <w:rPr>
          <w:color w:val="000000" w:themeColor="text1"/>
        </w:rPr>
      </w:pPr>
    </w:p>
    <w:p w14:paraId="506A6D59" w14:textId="77777777" w:rsidR="00730F69" w:rsidRDefault="00730F69" w:rsidP="00E744AB">
      <w:pPr>
        <w:rPr>
          <w:color w:val="000000" w:themeColor="text1"/>
        </w:rPr>
      </w:pPr>
    </w:p>
    <w:p w14:paraId="61AAF88A" w14:textId="77777777" w:rsidR="00730F69" w:rsidRDefault="00730F69" w:rsidP="00E744AB">
      <w:pPr>
        <w:rPr>
          <w:color w:val="000000" w:themeColor="text1"/>
        </w:rPr>
      </w:pPr>
    </w:p>
    <w:p w14:paraId="644E1C21" w14:textId="77777777" w:rsidR="00730F69" w:rsidRDefault="00730F69" w:rsidP="00E744AB">
      <w:pPr>
        <w:rPr>
          <w:color w:val="000000" w:themeColor="text1"/>
        </w:rPr>
      </w:pPr>
    </w:p>
    <w:p w14:paraId="6A29139C" w14:textId="77777777" w:rsidR="00730F69" w:rsidRDefault="00730F69" w:rsidP="00E744AB">
      <w:pPr>
        <w:rPr>
          <w:color w:val="000000" w:themeColor="text1"/>
        </w:rPr>
      </w:pPr>
    </w:p>
    <w:p w14:paraId="349F1412" w14:textId="77777777" w:rsidR="00730F69" w:rsidRDefault="00730F69" w:rsidP="00E744AB">
      <w:pPr>
        <w:rPr>
          <w:color w:val="000000" w:themeColor="text1"/>
        </w:rPr>
      </w:pPr>
    </w:p>
    <w:p w14:paraId="6ABB875C" w14:textId="77777777" w:rsidR="00730F69" w:rsidRDefault="00730F69" w:rsidP="00E744AB">
      <w:pPr>
        <w:rPr>
          <w:color w:val="000000" w:themeColor="text1"/>
        </w:rPr>
      </w:pPr>
    </w:p>
    <w:p w14:paraId="647028E2" w14:textId="77777777" w:rsidR="00730F69" w:rsidRDefault="00730F69" w:rsidP="00E744AB">
      <w:pPr>
        <w:rPr>
          <w:color w:val="000000" w:themeColor="text1"/>
        </w:rPr>
      </w:pPr>
    </w:p>
    <w:p w14:paraId="70AD9B63" w14:textId="77777777" w:rsidR="00730F69" w:rsidRDefault="00730F69" w:rsidP="00E744AB">
      <w:pPr>
        <w:rPr>
          <w:color w:val="000000" w:themeColor="text1"/>
        </w:rPr>
      </w:pPr>
    </w:p>
    <w:p w14:paraId="71B7AE3C" w14:textId="77777777" w:rsidR="00730F69" w:rsidRDefault="00730F69" w:rsidP="00730F69">
      <w:pPr>
        <w:autoSpaceDE w:val="0"/>
        <w:autoSpaceDN w:val="0"/>
        <w:adjustRightInd w:val="0"/>
        <w:rPr>
          <w:rFonts w:cs="Arial"/>
          <w:b/>
          <w:color w:val="000000" w:themeColor="text1"/>
        </w:rPr>
      </w:pPr>
      <w:r w:rsidRPr="002D35C5">
        <w:rPr>
          <w:rFonts w:cs="Arial"/>
          <w:b/>
          <w:color w:val="000000" w:themeColor="text1"/>
        </w:rPr>
        <w:lastRenderedPageBreak/>
        <w:t>Signed on behalf of the London Borough of Tower Hamlets</w:t>
      </w:r>
    </w:p>
    <w:p w14:paraId="2EA41FD8" w14:textId="77777777" w:rsidR="00730F69" w:rsidRDefault="00730F69" w:rsidP="00730F69">
      <w:pPr>
        <w:autoSpaceDE w:val="0"/>
        <w:autoSpaceDN w:val="0"/>
        <w:adjustRightInd w:val="0"/>
        <w:rPr>
          <w:rFonts w:cs="Arial"/>
          <w:b/>
          <w:color w:val="000000" w:themeColor="text1"/>
        </w:rPr>
      </w:pPr>
    </w:p>
    <w:p w14:paraId="1C985D58" w14:textId="77777777" w:rsidR="00730F69" w:rsidRDefault="00730F69" w:rsidP="00730F69">
      <w:pPr>
        <w:autoSpaceDE w:val="0"/>
        <w:autoSpaceDN w:val="0"/>
        <w:adjustRightInd w:val="0"/>
        <w:rPr>
          <w:rFonts w:cs="Arial"/>
          <w:b/>
          <w:color w:val="000000" w:themeColor="text1"/>
        </w:rPr>
      </w:pPr>
    </w:p>
    <w:p w14:paraId="1DE909F1" w14:textId="77777777" w:rsidR="00730F69" w:rsidRPr="002D35C5" w:rsidRDefault="00730F69" w:rsidP="00730F69">
      <w:pPr>
        <w:autoSpaceDE w:val="0"/>
        <w:autoSpaceDN w:val="0"/>
        <w:adjustRightInd w:val="0"/>
        <w:rPr>
          <w:rFonts w:cs="Arial"/>
          <w:b/>
          <w:color w:val="000000" w:themeColor="text1"/>
        </w:rPr>
      </w:pPr>
    </w:p>
    <w:p w14:paraId="6966789C" w14:textId="77777777" w:rsidR="00730F69" w:rsidRDefault="00730F69" w:rsidP="00730F69"/>
    <w:p w14:paraId="1B2DDC08" w14:textId="7AB4941E" w:rsidR="00730F69" w:rsidRDefault="00B77A46" w:rsidP="00730F69">
      <w:r>
        <w:rPr>
          <w:rFonts w:ascii="Times New Roman"/>
          <w:noProof/>
          <w:sz w:val="20"/>
        </w:rPr>
        <w:drawing>
          <wp:inline distT="0" distB="0" distL="0" distR="0" wp14:anchorId="7CA33D8D" wp14:editId="56D706FE">
            <wp:extent cx="1227601" cy="463400"/>
            <wp:effectExtent l="0" t="0" r="0" b="0"/>
            <wp:docPr id="2043748039" name="image1.png"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48039" name="image1.png" descr="A black line drawing on a white background&#10;&#10;Description automatically generated"/>
                    <pic:cNvPicPr/>
                  </pic:nvPicPr>
                  <pic:blipFill rotWithShape="1">
                    <a:blip r:embed="rId12" cstate="print"/>
                    <a:srcRect l="-7565" t="45235" r="19261" b="37972"/>
                    <a:stretch/>
                  </pic:blipFill>
                  <pic:spPr bwMode="auto">
                    <a:xfrm>
                      <a:off x="0" y="0"/>
                      <a:ext cx="1262460" cy="476559"/>
                    </a:xfrm>
                    <a:prstGeom prst="rect">
                      <a:avLst/>
                    </a:prstGeom>
                    <a:ln>
                      <a:noFill/>
                    </a:ln>
                    <a:extLst>
                      <a:ext uri="{53640926-AAD7-44D8-BBD7-CCE9431645EC}">
                        <a14:shadowObscured xmlns:a14="http://schemas.microsoft.com/office/drawing/2010/main"/>
                      </a:ext>
                    </a:extLst>
                  </pic:spPr>
                </pic:pic>
              </a:graphicData>
            </a:graphic>
          </wp:inline>
        </w:drawing>
      </w:r>
    </w:p>
    <w:p w14:paraId="495ECCD6" w14:textId="4F0003FC" w:rsidR="00730F69" w:rsidRDefault="00730F69" w:rsidP="00730F69"/>
    <w:p w14:paraId="54E514D8" w14:textId="77777777" w:rsidR="00730F69" w:rsidRDefault="00730F69" w:rsidP="00730F69">
      <w:pPr>
        <w:spacing w:after="120"/>
      </w:pPr>
      <w:r>
        <w:t>_________________________</w:t>
      </w:r>
    </w:p>
    <w:p w14:paraId="735D79E8" w14:textId="277FFDD7" w:rsidR="00730F69" w:rsidRPr="00AB1049" w:rsidRDefault="00730F69" w:rsidP="00730F69">
      <w:pPr>
        <w:rPr>
          <w:bCs/>
        </w:rPr>
      </w:pPr>
      <w:r>
        <w:t>Steve Halsey, Chief Executive</w:t>
      </w:r>
      <w:r>
        <w:tab/>
      </w:r>
      <w:r>
        <w:tab/>
      </w:r>
      <w:r w:rsidR="0007243A">
        <w:tab/>
      </w:r>
      <w:r w:rsidRPr="00AB1049">
        <w:rPr>
          <w:bCs/>
        </w:rPr>
        <w:t>Date:</w:t>
      </w:r>
      <w:r w:rsidR="00FD0CA8">
        <w:rPr>
          <w:bCs/>
        </w:rPr>
        <w:t xml:space="preserve"> </w:t>
      </w:r>
      <w:r w:rsidR="00C95121">
        <w:rPr>
          <w:bCs/>
        </w:rPr>
        <w:t>11 December 2024</w:t>
      </w:r>
    </w:p>
    <w:p w14:paraId="641AB882" w14:textId="77777777" w:rsidR="00730F69" w:rsidRDefault="00730F69" w:rsidP="00730F69">
      <w:r>
        <w:tab/>
      </w:r>
      <w:r>
        <w:tab/>
      </w:r>
      <w:r>
        <w:tab/>
      </w:r>
      <w:r>
        <w:tab/>
      </w:r>
    </w:p>
    <w:p w14:paraId="70253D8C" w14:textId="77777777" w:rsidR="00730F69" w:rsidRDefault="00730F69" w:rsidP="00730F69">
      <w:pPr>
        <w:rPr>
          <w:b/>
        </w:rPr>
      </w:pPr>
    </w:p>
    <w:p w14:paraId="5FB71A65" w14:textId="77777777" w:rsidR="00730F69" w:rsidRDefault="00730F69" w:rsidP="00730F69">
      <w:pPr>
        <w:rPr>
          <w:b/>
        </w:rPr>
      </w:pPr>
    </w:p>
    <w:p w14:paraId="7D580F14" w14:textId="77777777" w:rsidR="00730F69" w:rsidRDefault="00730F69" w:rsidP="00730F69">
      <w:pPr>
        <w:rPr>
          <w:rStyle w:val="ui-provider"/>
        </w:rPr>
      </w:pPr>
    </w:p>
    <w:p w14:paraId="6B1C78A6" w14:textId="77777777" w:rsidR="00730F69" w:rsidRDefault="00730F69" w:rsidP="00730F69">
      <w:pPr>
        <w:rPr>
          <w:rStyle w:val="ui-provider"/>
        </w:rPr>
      </w:pPr>
    </w:p>
    <w:p w14:paraId="3CD887C4" w14:textId="77777777" w:rsidR="00730F69" w:rsidRDefault="00730F69" w:rsidP="00730F69">
      <w:pPr>
        <w:rPr>
          <w:rStyle w:val="ui-provider"/>
        </w:rPr>
      </w:pPr>
    </w:p>
    <w:p w14:paraId="0E7C7C52" w14:textId="3E4D76EF" w:rsidR="00730F69" w:rsidRDefault="00730F69" w:rsidP="00730F69">
      <w:pPr>
        <w:rPr>
          <w:b/>
        </w:rPr>
      </w:pPr>
      <w:r>
        <w:rPr>
          <w:rStyle w:val="ui-provider"/>
        </w:rPr>
        <w:t>I was elected the Mayor of Tower Hamlets in May 2022, and previous years' financial statements were prepared under the previous Administration. I am aware of the progress made by the Council's finance department and am content that it will continue in a positive manner in future years, with the controls that have now been put in place.</w:t>
      </w:r>
    </w:p>
    <w:p w14:paraId="58BA1148" w14:textId="77777777" w:rsidR="00730F69" w:rsidRDefault="00730F69" w:rsidP="00730F69">
      <w:pPr>
        <w:rPr>
          <w:b/>
        </w:rPr>
      </w:pPr>
    </w:p>
    <w:p w14:paraId="7535D989" w14:textId="77777777" w:rsidR="00730F69" w:rsidRDefault="00730F69" w:rsidP="00730F69">
      <w:pPr>
        <w:rPr>
          <w:b/>
        </w:rPr>
      </w:pPr>
    </w:p>
    <w:p w14:paraId="2DE74991" w14:textId="77777777" w:rsidR="00730F69" w:rsidRDefault="00730F69" w:rsidP="00730F69">
      <w:pPr>
        <w:rPr>
          <w:b/>
        </w:rPr>
      </w:pPr>
    </w:p>
    <w:p w14:paraId="1CFE0FA0" w14:textId="0E28A62B" w:rsidR="00730F69" w:rsidRDefault="008C0F8C" w:rsidP="00730F69">
      <w:pPr>
        <w:rPr>
          <w:b/>
        </w:rPr>
      </w:pPr>
      <w:r>
        <w:rPr>
          <w:rStyle w:val="wacimagecontainer"/>
          <w:rFonts w:ascii="Segoe UI" w:hAnsi="Segoe UI" w:cs="Segoe UI"/>
          <w:noProof/>
          <w:color w:val="000000"/>
          <w:sz w:val="18"/>
          <w:szCs w:val="18"/>
          <w:shd w:val="clear" w:color="auto" w:fill="FFFFFF"/>
        </w:rPr>
        <w:drawing>
          <wp:inline distT="0" distB="0" distL="0" distR="0" wp14:anchorId="487B81C8" wp14:editId="658F15E4">
            <wp:extent cx="1422400" cy="580571"/>
            <wp:effectExtent l="0" t="0" r="6350" b="0"/>
            <wp:docPr id="493027471" name="Picture 49302747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079" cy="581664"/>
                    </a:xfrm>
                    <a:prstGeom prst="rect">
                      <a:avLst/>
                    </a:prstGeom>
                    <a:noFill/>
                    <a:ln>
                      <a:noFill/>
                    </a:ln>
                  </pic:spPr>
                </pic:pic>
              </a:graphicData>
            </a:graphic>
          </wp:inline>
        </w:drawing>
      </w:r>
    </w:p>
    <w:p w14:paraId="59AA3FB2" w14:textId="77777777" w:rsidR="00730F69" w:rsidRDefault="00730F69" w:rsidP="00730F69">
      <w:pPr>
        <w:spacing w:after="120"/>
      </w:pPr>
      <w:r>
        <w:t>_________________________</w:t>
      </w:r>
    </w:p>
    <w:p w14:paraId="735A6FF2" w14:textId="5E9D9C48" w:rsidR="00730F69" w:rsidRDefault="00730F69" w:rsidP="00730F69">
      <w:pPr>
        <w:rPr>
          <w:b/>
          <w:color w:val="000000" w:themeColor="text1"/>
        </w:rPr>
      </w:pPr>
      <w:r>
        <w:t>Lutfur Rahman, Executive Mayor</w:t>
      </w:r>
      <w:r>
        <w:tab/>
      </w:r>
      <w:r>
        <w:tab/>
      </w:r>
      <w:r>
        <w:tab/>
      </w:r>
      <w:r w:rsidRPr="00AB1049">
        <w:rPr>
          <w:bCs/>
        </w:rPr>
        <w:t>Date:</w:t>
      </w:r>
      <w:r>
        <w:tab/>
      </w:r>
      <w:r w:rsidR="00C95121">
        <w:t>1</w:t>
      </w:r>
      <w:r w:rsidR="00615906">
        <w:t>2</w:t>
      </w:r>
      <w:r w:rsidR="00C95121">
        <w:t xml:space="preserve"> December 2024</w:t>
      </w:r>
    </w:p>
    <w:p w14:paraId="6F858069" w14:textId="77777777" w:rsidR="00730F69" w:rsidRDefault="00730F69" w:rsidP="00730F69">
      <w:pPr>
        <w:rPr>
          <w:b/>
          <w:color w:val="000000" w:themeColor="text1"/>
        </w:rPr>
      </w:pPr>
      <w:r>
        <w:rPr>
          <w:b/>
          <w:color w:val="000000" w:themeColor="text1"/>
        </w:rPr>
        <w:lastRenderedPageBreak/>
        <w:br w:type="page"/>
      </w:r>
    </w:p>
    <w:p w14:paraId="08132351" w14:textId="3F5B7F25" w:rsidR="006C7867" w:rsidRPr="00160BA6" w:rsidRDefault="002619AA" w:rsidP="00225A94">
      <w:pPr>
        <w:rPr>
          <w:b/>
          <w:color w:val="000000" w:themeColor="text1"/>
        </w:rPr>
      </w:pPr>
      <w:r w:rsidRPr="00160BA6">
        <w:rPr>
          <w:b/>
          <w:color w:val="000000" w:themeColor="text1"/>
        </w:rPr>
        <w:lastRenderedPageBreak/>
        <w:t>Introduction</w:t>
      </w:r>
    </w:p>
    <w:p w14:paraId="613E7E8A" w14:textId="77777777" w:rsidR="006C7867" w:rsidRPr="00160BA6" w:rsidRDefault="006C7867" w:rsidP="00225A94">
      <w:pPr>
        <w:rPr>
          <w:color w:val="000000" w:themeColor="text1"/>
        </w:rPr>
      </w:pPr>
    </w:p>
    <w:p w14:paraId="3589631A" w14:textId="77777777" w:rsidR="00225A94" w:rsidRPr="00160BA6" w:rsidRDefault="002619AA" w:rsidP="00303EA1">
      <w:pPr>
        <w:rPr>
          <w:color w:val="000000" w:themeColor="text1"/>
        </w:rPr>
      </w:pPr>
      <w:r w:rsidRPr="00160BA6">
        <w:rPr>
          <w:color w:val="000000" w:themeColor="text1"/>
        </w:rPr>
        <w:t xml:space="preserve">All local authorities are required to report </w:t>
      </w:r>
      <w:r w:rsidR="00D029FD" w:rsidRPr="00160BA6">
        <w:rPr>
          <w:color w:val="000000" w:themeColor="text1"/>
        </w:rPr>
        <w:t>publicly</w:t>
      </w:r>
      <w:r w:rsidRPr="00160BA6">
        <w:rPr>
          <w:color w:val="000000" w:themeColor="text1"/>
        </w:rPr>
        <w:t xml:space="preserve"> about how they have complied with their governance arrangements</w:t>
      </w:r>
      <w:r w:rsidR="00C15238" w:rsidRPr="00160BA6">
        <w:rPr>
          <w:color w:val="000000" w:themeColor="text1"/>
        </w:rPr>
        <w:t xml:space="preserve"> and </w:t>
      </w:r>
      <w:r w:rsidR="004662FA" w:rsidRPr="00160BA6">
        <w:rPr>
          <w:color w:val="000000" w:themeColor="text1"/>
        </w:rPr>
        <w:t xml:space="preserve">do </w:t>
      </w:r>
      <w:r w:rsidR="00C15238" w:rsidRPr="00160BA6">
        <w:rPr>
          <w:color w:val="000000" w:themeColor="text1"/>
        </w:rPr>
        <w:t>so through an Annual Governance Statement (AGS)</w:t>
      </w:r>
      <w:r w:rsidR="005E2185" w:rsidRPr="00160BA6">
        <w:rPr>
          <w:color w:val="000000" w:themeColor="text1"/>
        </w:rPr>
        <w:t xml:space="preserve">. </w:t>
      </w:r>
      <w:r w:rsidR="00B47381" w:rsidRPr="00160BA6">
        <w:rPr>
          <w:color w:val="000000" w:themeColor="text1"/>
        </w:rPr>
        <w:t>Governance</w:t>
      </w:r>
      <w:r w:rsidRPr="00160BA6">
        <w:rPr>
          <w:color w:val="000000" w:themeColor="text1"/>
        </w:rPr>
        <w:t xml:space="preserve"> is about how the Council ensures it is doing the right things, in the right way, for the right people in a timely, inclusive, open, honest, and responsible manner.</w:t>
      </w:r>
    </w:p>
    <w:p w14:paraId="72ABB6A8" w14:textId="77777777" w:rsidR="00A20635" w:rsidRPr="00160BA6" w:rsidRDefault="00A20635" w:rsidP="00303EA1">
      <w:pPr>
        <w:rPr>
          <w:color w:val="000000" w:themeColor="text1"/>
        </w:rPr>
      </w:pPr>
    </w:p>
    <w:p w14:paraId="408B3F8C" w14:textId="6B746026" w:rsidR="00156D28" w:rsidRPr="00160BA6" w:rsidRDefault="002619AA" w:rsidP="00303EA1">
      <w:pPr>
        <w:rPr>
          <w:color w:val="000000" w:themeColor="text1"/>
        </w:rPr>
      </w:pPr>
      <w:r w:rsidRPr="00160BA6">
        <w:rPr>
          <w:color w:val="000000" w:themeColor="text1"/>
        </w:rPr>
        <w:t>The Council has adopted</w:t>
      </w:r>
      <w:r w:rsidR="00FE5F85" w:rsidRPr="00160BA6">
        <w:rPr>
          <w:color w:val="000000" w:themeColor="text1"/>
        </w:rPr>
        <w:t xml:space="preserve"> a Code of Corporate Governance</w:t>
      </w:r>
      <w:r w:rsidR="005F0856">
        <w:rPr>
          <w:color w:val="000000" w:themeColor="text1"/>
        </w:rPr>
        <w:t xml:space="preserve"> (the Code)</w:t>
      </w:r>
      <w:r w:rsidR="00FE5F85" w:rsidRPr="00160BA6">
        <w:rPr>
          <w:color w:val="000000" w:themeColor="text1"/>
        </w:rPr>
        <w:t xml:space="preserve">. </w:t>
      </w:r>
      <w:r w:rsidR="00E32434" w:rsidRPr="00160BA6">
        <w:rPr>
          <w:color w:val="000000" w:themeColor="text1"/>
        </w:rPr>
        <w:t xml:space="preserve">The Code </w:t>
      </w:r>
      <w:r w:rsidRPr="00160BA6">
        <w:rPr>
          <w:color w:val="000000" w:themeColor="text1"/>
        </w:rPr>
        <w:t>is based on the principles of good governance recommended by Chartered Institute of Public Finance and Accountancy (CIPFA) and SOLACE in a joint document entitled ‘</w:t>
      </w:r>
      <w:r w:rsidRPr="00987021">
        <w:rPr>
          <w:i/>
          <w:iCs/>
          <w:color w:val="000000" w:themeColor="text1"/>
        </w:rPr>
        <w:t>Delivering Good Governance in Local Government’</w:t>
      </w:r>
      <w:r w:rsidR="00E32434" w:rsidRPr="00160BA6">
        <w:rPr>
          <w:color w:val="000000" w:themeColor="text1"/>
        </w:rPr>
        <w:t>.</w:t>
      </w:r>
    </w:p>
    <w:p w14:paraId="3911A2B8" w14:textId="77777777" w:rsidR="00156D28" w:rsidRPr="00160BA6" w:rsidRDefault="00156D28" w:rsidP="00303EA1">
      <w:pPr>
        <w:rPr>
          <w:color w:val="000000" w:themeColor="text1"/>
        </w:rPr>
      </w:pPr>
    </w:p>
    <w:p w14:paraId="6642C4E3" w14:textId="6136C033" w:rsidR="0072313D" w:rsidRPr="0072313D" w:rsidRDefault="002619AA" w:rsidP="00303EA1">
      <w:r w:rsidRPr="00160BA6">
        <w:t xml:space="preserve">The Code sets out the commitment of the </w:t>
      </w:r>
      <w:r w:rsidR="00F97111">
        <w:t>Council</w:t>
      </w:r>
      <w:r w:rsidRPr="00160BA6">
        <w:t xml:space="preserve"> to work to uphold the highest possible standards of good governance. This is essential for ensuring we conduct our business in accordance with the law and proper standards and that public money is properly accounted for</w:t>
      </w:r>
      <w:r w:rsidR="000B4565">
        <w:t xml:space="preserve">. </w:t>
      </w:r>
      <w:r w:rsidR="00DF7734">
        <w:t>It</w:t>
      </w:r>
      <w:r w:rsidR="000B4565">
        <w:t xml:space="preserve"> also </w:t>
      </w:r>
      <w:r w:rsidR="0072313D">
        <w:t xml:space="preserve">includes </w:t>
      </w:r>
      <w:r w:rsidR="0072313D" w:rsidRPr="00160BA6">
        <w:rPr>
          <w:color w:val="000000" w:themeColor="text1"/>
        </w:rPr>
        <w:t xml:space="preserve">effective leadership and management, policies, and procedures, to ensure we have a well-run Council that delivers high quality, value for money services to the local community. </w:t>
      </w:r>
    </w:p>
    <w:p w14:paraId="730A1E8C" w14:textId="77777777" w:rsidR="0072313D" w:rsidRPr="00160BA6" w:rsidRDefault="0072313D" w:rsidP="00303EA1">
      <w:pPr>
        <w:rPr>
          <w:rFonts w:cs="Arial"/>
          <w:bCs/>
          <w:color w:val="000000" w:themeColor="text1"/>
        </w:rPr>
      </w:pPr>
    </w:p>
    <w:p w14:paraId="7C1AF165" w14:textId="77777777" w:rsidR="00202EB3" w:rsidRPr="00160BA6" w:rsidRDefault="002619AA" w:rsidP="00303EA1">
      <w:pPr>
        <w:rPr>
          <w:color w:val="000000" w:themeColor="text1"/>
        </w:rPr>
      </w:pPr>
      <w:r w:rsidRPr="00160BA6">
        <w:rPr>
          <w:color w:val="000000" w:themeColor="text1"/>
        </w:rPr>
        <w:t>To assess the effectives of key elements of the governance framework, including partnership arrangements and alternative delivery m</w:t>
      </w:r>
      <w:r w:rsidR="004662FA" w:rsidRPr="00160BA6">
        <w:rPr>
          <w:color w:val="000000" w:themeColor="text1"/>
        </w:rPr>
        <w:t>odels,</w:t>
      </w:r>
      <w:r w:rsidRPr="00160BA6">
        <w:rPr>
          <w:color w:val="000000" w:themeColor="text1"/>
        </w:rPr>
        <w:t xml:space="preserve"> we have reviewed our performance </w:t>
      </w:r>
      <w:r w:rsidR="004662FA" w:rsidRPr="00160BA6">
        <w:rPr>
          <w:color w:val="000000" w:themeColor="text1"/>
        </w:rPr>
        <w:t>against</w:t>
      </w:r>
      <w:r w:rsidRPr="00160BA6">
        <w:rPr>
          <w:color w:val="000000" w:themeColor="text1"/>
        </w:rPr>
        <w:t xml:space="preserve"> each of the seven principles of good governance:</w:t>
      </w:r>
    </w:p>
    <w:p w14:paraId="30AB9D63" w14:textId="77777777" w:rsidR="00E32434" w:rsidRPr="00160BA6" w:rsidRDefault="00E32434" w:rsidP="00303EA1">
      <w:pPr>
        <w:rPr>
          <w:color w:val="000000" w:themeColor="text1"/>
        </w:rPr>
      </w:pPr>
    </w:p>
    <w:p w14:paraId="42C1B5CF" w14:textId="77777777" w:rsidR="00E32434" w:rsidRPr="00160BA6" w:rsidRDefault="002619AA" w:rsidP="00226C1E">
      <w:pPr>
        <w:pStyle w:val="ListParagraph"/>
        <w:numPr>
          <w:ilvl w:val="0"/>
          <w:numId w:val="1"/>
        </w:numPr>
        <w:spacing w:after="120"/>
        <w:ind w:left="714" w:hanging="357"/>
        <w:rPr>
          <w:color w:val="000000" w:themeColor="text1"/>
        </w:rPr>
      </w:pPr>
      <w:r w:rsidRPr="00160BA6">
        <w:rPr>
          <w:color w:val="000000" w:themeColor="text1"/>
        </w:rPr>
        <w:t>Behaving with integrity, demonstrating strong commitment to ethical values, and respecting the rule of law.</w:t>
      </w:r>
    </w:p>
    <w:p w14:paraId="1C688DAF" w14:textId="77777777" w:rsidR="00E32434" w:rsidRPr="00160BA6" w:rsidRDefault="002619AA" w:rsidP="00226C1E">
      <w:pPr>
        <w:pStyle w:val="ListParagraph"/>
        <w:numPr>
          <w:ilvl w:val="0"/>
          <w:numId w:val="1"/>
        </w:numPr>
        <w:spacing w:after="120"/>
        <w:ind w:left="714" w:hanging="357"/>
        <w:jc w:val="both"/>
        <w:rPr>
          <w:color w:val="000000" w:themeColor="text1"/>
        </w:rPr>
      </w:pPr>
      <w:r w:rsidRPr="00160BA6">
        <w:rPr>
          <w:color w:val="000000" w:themeColor="text1"/>
        </w:rPr>
        <w:t>Ensuring openness and comprehensive stakeholder engagement.</w:t>
      </w:r>
    </w:p>
    <w:p w14:paraId="721030FD" w14:textId="77777777" w:rsidR="00E32434" w:rsidRPr="00160BA6" w:rsidRDefault="002619AA" w:rsidP="00226C1E">
      <w:pPr>
        <w:pStyle w:val="ListParagraph"/>
        <w:numPr>
          <w:ilvl w:val="0"/>
          <w:numId w:val="1"/>
        </w:numPr>
        <w:spacing w:after="120"/>
        <w:ind w:left="714" w:hanging="357"/>
        <w:jc w:val="both"/>
        <w:rPr>
          <w:color w:val="000000" w:themeColor="text1"/>
        </w:rPr>
      </w:pPr>
      <w:r w:rsidRPr="00160BA6">
        <w:rPr>
          <w:color w:val="000000" w:themeColor="text1"/>
        </w:rPr>
        <w:t>Defining outcomes in terms of sustainable economic, social, and environmental benefits.</w:t>
      </w:r>
    </w:p>
    <w:p w14:paraId="72343F83" w14:textId="77777777" w:rsidR="00E32434" w:rsidRPr="00160BA6" w:rsidRDefault="002619AA" w:rsidP="00226C1E">
      <w:pPr>
        <w:pStyle w:val="ListParagraph"/>
        <w:numPr>
          <w:ilvl w:val="0"/>
          <w:numId w:val="1"/>
        </w:numPr>
        <w:spacing w:after="120"/>
        <w:ind w:left="714" w:hanging="357"/>
        <w:jc w:val="both"/>
        <w:rPr>
          <w:color w:val="000000" w:themeColor="text1"/>
        </w:rPr>
      </w:pPr>
      <w:r w:rsidRPr="00160BA6">
        <w:rPr>
          <w:color w:val="000000" w:themeColor="text1"/>
        </w:rPr>
        <w:t>Determining the interventions necessary to optimize the achievement of the intended outcomes.</w:t>
      </w:r>
    </w:p>
    <w:p w14:paraId="59756A1E" w14:textId="77777777" w:rsidR="00E32434" w:rsidRPr="00160BA6" w:rsidRDefault="002619AA" w:rsidP="00226C1E">
      <w:pPr>
        <w:pStyle w:val="ListParagraph"/>
        <w:numPr>
          <w:ilvl w:val="0"/>
          <w:numId w:val="1"/>
        </w:numPr>
        <w:spacing w:after="120"/>
        <w:ind w:left="714" w:hanging="357"/>
        <w:jc w:val="both"/>
        <w:rPr>
          <w:color w:val="000000" w:themeColor="text1"/>
        </w:rPr>
      </w:pPr>
      <w:r w:rsidRPr="00160BA6">
        <w:rPr>
          <w:color w:val="000000" w:themeColor="text1"/>
        </w:rPr>
        <w:t>Developing the entity’s capacity, including the capability of its leadership and the individuals within it.</w:t>
      </w:r>
    </w:p>
    <w:p w14:paraId="0874DF89" w14:textId="77777777" w:rsidR="00E32434" w:rsidRPr="00160BA6" w:rsidRDefault="002619AA" w:rsidP="00226C1E">
      <w:pPr>
        <w:pStyle w:val="ListParagraph"/>
        <w:numPr>
          <w:ilvl w:val="0"/>
          <w:numId w:val="1"/>
        </w:numPr>
        <w:spacing w:after="120"/>
        <w:ind w:left="714" w:hanging="357"/>
        <w:jc w:val="both"/>
        <w:rPr>
          <w:color w:val="000000" w:themeColor="text1"/>
        </w:rPr>
      </w:pPr>
      <w:r w:rsidRPr="00160BA6">
        <w:rPr>
          <w:color w:val="000000" w:themeColor="text1"/>
        </w:rPr>
        <w:t>Managing risks and performance through robust internal control and strong public financial management.</w:t>
      </w:r>
    </w:p>
    <w:p w14:paraId="06B04E0F" w14:textId="77777777" w:rsidR="00E32434" w:rsidRPr="00160BA6" w:rsidRDefault="002619AA" w:rsidP="00226C1E">
      <w:pPr>
        <w:pStyle w:val="ListParagraph"/>
        <w:numPr>
          <w:ilvl w:val="0"/>
          <w:numId w:val="1"/>
        </w:numPr>
        <w:spacing w:after="240"/>
        <w:ind w:left="714" w:hanging="357"/>
        <w:jc w:val="both"/>
        <w:rPr>
          <w:color w:val="000000" w:themeColor="text1"/>
        </w:rPr>
      </w:pPr>
      <w:r w:rsidRPr="00160BA6">
        <w:rPr>
          <w:color w:val="000000" w:themeColor="text1"/>
        </w:rPr>
        <w:t>Implementing good practices in transparency, reporting, and audit, to deliver effective accountability.</w:t>
      </w:r>
    </w:p>
    <w:p w14:paraId="34AF4D46" w14:textId="77777777" w:rsidR="00B47381" w:rsidRPr="00160BA6" w:rsidRDefault="00B47381" w:rsidP="001725E7">
      <w:pPr>
        <w:jc w:val="both"/>
        <w:rPr>
          <w:color w:val="000000" w:themeColor="text1"/>
        </w:rPr>
      </w:pPr>
    </w:p>
    <w:p w14:paraId="44343645" w14:textId="06C9E832" w:rsidR="00C15238" w:rsidRPr="00160BA6" w:rsidRDefault="002619AA" w:rsidP="00303EA1">
      <w:pPr>
        <w:rPr>
          <w:rFonts w:cs="Arial"/>
          <w:color w:val="000000" w:themeColor="text1"/>
        </w:rPr>
      </w:pPr>
      <w:r w:rsidRPr="00160BA6">
        <w:rPr>
          <w:color w:val="000000" w:themeColor="text1"/>
        </w:rPr>
        <w:lastRenderedPageBreak/>
        <w:t xml:space="preserve">When evaluating our </w:t>
      </w:r>
      <w:r w:rsidR="006F4AB1" w:rsidRPr="00160BA6">
        <w:rPr>
          <w:color w:val="000000" w:themeColor="text1"/>
        </w:rPr>
        <w:t>performance,</w:t>
      </w:r>
      <w:r w:rsidRPr="00160BA6">
        <w:rPr>
          <w:color w:val="000000" w:themeColor="text1"/>
        </w:rPr>
        <w:t xml:space="preserve"> we have taken into consideration reviews and inspections of the Council by others</w:t>
      </w:r>
      <w:r w:rsidR="000B6B96" w:rsidRPr="00160BA6">
        <w:rPr>
          <w:color w:val="000000" w:themeColor="text1"/>
        </w:rPr>
        <w:t>,</w:t>
      </w:r>
      <w:r w:rsidRPr="00160BA6">
        <w:rPr>
          <w:color w:val="000000" w:themeColor="text1"/>
        </w:rPr>
        <w:t xml:space="preserve"> as well as the work of internal and external audit. We have also reviewed our progress against improvement actions that were identified as </w:t>
      </w:r>
      <w:r w:rsidR="00B47381" w:rsidRPr="00160BA6">
        <w:rPr>
          <w:rFonts w:cs="Arial"/>
          <w:color w:val="000000" w:themeColor="text1"/>
        </w:rPr>
        <w:t>part of the 20</w:t>
      </w:r>
      <w:r w:rsidR="00882CBB">
        <w:rPr>
          <w:rFonts w:cs="Arial"/>
          <w:color w:val="000000" w:themeColor="text1"/>
        </w:rPr>
        <w:t>20</w:t>
      </w:r>
      <w:r w:rsidR="00B47381" w:rsidRPr="00160BA6">
        <w:rPr>
          <w:rFonts w:cs="Arial"/>
          <w:color w:val="000000" w:themeColor="text1"/>
        </w:rPr>
        <w:t>/</w:t>
      </w:r>
      <w:r w:rsidR="008D0657" w:rsidRPr="00160BA6">
        <w:rPr>
          <w:rFonts w:cs="Arial"/>
          <w:color w:val="000000" w:themeColor="text1"/>
        </w:rPr>
        <w:t>2</w:t>
      </w:r>
      <w:r w:rsidR="00882CBB">
        <w:rPr>
          <w:rFonts w:cs="Arial"/>
          <w:color w:val="000000" w:themeColor="text1"/>
        </w:rPr>
        <w:t>1</w:t>
      </w:r>
      <w:r w:rsidRPr="00160BA6">
        <w:rPr>
          <w:rFonts w:cs="Arial"/>
          <w:color w:val="000000" w:themeColor="text1"/>
        </w:rPr>
        <w:t xml:space="preserve"> Annual Governance Statement. </w:t>
      </w:r>
    </w:p>
    <w:p w14:paraId="2212C59E" w14:textId="77777777" w:rsidR="000B6B96" w:rsidRPr="00160BA6" w:rsidRDefault="000B6B96" w:rsidP="00303EA1">
      <w:pPr>
        <w:rPr>
          <w:rFonts w:cs="Arial"/>
          <w:color w:val="000000" w:themeColor="text1"/>
        </w:rPr>
      </w:pPr>
    </w:p>
    <w:p w14:paraId="7656FE96" w14:textId="34C16705" w:rsidR="000B6B96" w:rsidRPr="00160BA6" w:rsidRDefault="002619AA" w:rsidP="000C2504">
      <w:pPr>
        <w:pStyle w:val="Default"/>
        <w:spacing w:after="120"/>
        <w:rPr>
          <w:color w:val="000000" w:themeColor="text1"/>
        </w:rPr>
      </w:pPr>
      <w:r w:rsidRPr="00160BA6">
        <w:rPr>
          <w:color w:val="000000" w:themeColor="text1"/>
        </w:rPr>
        <w:t xml:space="preserve">In addition, each Corporate Director is required to confirm that their directorates are run efficiently, effectively, and with proper risk management and governance arrangements, including a sound system of internal control. They are required to review internal controls to ensure they are adequate and effective, </w:t>
      </w:r>
      <w:r w:rsidR="00D029FD" w:rsidRPr="00160BA6">
        <w:rPr>
          <w:color w:val="000000" w:themeColor="text1"/>
        </w:rPr>
        <w:t>whilst considering</w:t>
      </w:r>
      <w:r w:rsidRPr="00160BA6">
        <w:rPr>
          <w:color w:val="000000" w:themeColor="text1"/>
        </w:rPr>
        <w:t xml:space="preserve"> the following: </w:t>
      </w:r>
    </w:p>
    <w:p w14:paraId="0271ACFE" w14:textId="77777777" w:rsidR="000B6B96" w:rsidRPr="00160BA6" w:rsidRDefault="002619AA" w:rsidP="00226C1E">
      <w:pPr>
        <w:pStyle w:val="Default"/>
        <w:numPr>
          <w:ilvl w:val="0"/>
          <w:numId w:val="2"/>
        </w:numPr>
        <w:spacing w:after="120"/>
        <w:ind w:left="714" w:hanging="357"/>
        <w:rPr>
          <w:color w:val="000000" w:themeColor="text1"/>
        </w:rPr>
      </w:pPr>
      <w:r w:rsidRPr="00160BA6">
        <w:rPr>
          <w:color w:val="000000" w:themeColor="text1"/>
        </w:rPr>
        <w:t xml:space="preserve">Outcomes from risk assessments and evaluations </w:t>
      </w:r>
    </w:p>
    <w:p w14:paraId="5E064059" w14:textId="77777777" w:rsidR="000B6B96" w:rsidRPr="00160BA6" w:rsidRDefault="002619AA" w:rsidP="00226C1E">
      <w:pPr>
        <w:pStyle w:val="Default"/>
        <w:numPr>
          <w:ilvl w:val="0"/>
          <w:numId w:val="2"/>
        </w:numPr>
        <w:spacing w:after="120"/>
        <w:ind w:left="714" w:hanging="357"/>
        <w:rPr>
          <w:color w:val="000000" w:themeColor="text1"/>
        </w:rPr>
      </w:pPr>
      <w:r w:rsidRPr="00160BA6">
        <w:rPr>
          <w:color w:val="000000" w:themeColor="text1"/>
        </w:rPr>
        <w:t xml:space="preserve">Self-assessment of key service areas within the directorate </w:t>
      </w:r>
    </w:p>
    <w:p w14:paraId="30DF7964" w14:textId="77777777" w:rsidR="000B6B96" w:rsidRPr="00160BA6" w:rsidRDefault="002619AA" w:rsidP="00226C1E">
      <w:pPr>
        <w:pStyle w:val="Default"/>
        <w:numPr>
          <w:ilvl w:val="0"/>
          <w:numId w:val="2"/>
        </w:numPr>
        <w:spacing w:after="120"/>
        <w:ind w:left="714" w:hanging="357"/>
        <w:rPr>
          <w:color w:val="000000" w:themeColor="text1"/>
        </w:rPr>
      </w:pPr>
      <w:r w:rsidRPr="00160BA6">
        <w:rPr>
          <w:color w:val="000000" w:themeColor="text1"/>
        </w:rPr>
        <w:t xml:space="preserve">Internal audit reports and results of follow ups regarding implementation of recommendations </w:t>
      </w:r>
    </w:p>
    <w:p w14:paraId="0840C0C1" w14:textId="77777777" w:rsidR="000B6B96" w:rsidRPr="00160BA6" w:rsidRDefault="002619AA" w:rsidP="00226C1E">
      <w:pPr>
        <w:pStyle w:val="Default"/>
        <w:numPr>
          <w:ilvl w:val="0"/>
          <w:numId w:val="2"/>
        </w:numPr>
        <w:spacing w:after="120"/>
        <w:ind w:left="714" w:hanging="357"/>
        <w:rPr>
          <w:color w:val="000000" w:themeColor="text1"/>
        </w:rPr>
      </w:pPr>
      <w:r w:rsidRPr="00160BA6">
        <w:rPr>
          <w:color w:val="000000" w:themeColor="text1"/>
        </w:rPr>
        <w:t xml:space="preserve">Outcomes from reviews of services by other bodies, including inspectorates, external auditors, etc. </w:t>
      </w:r>
    </w:p>
    <w:p w14:paraId="372F7445" w14:textId="77777777" w:rsidR="000B6B96" w:rsidRPr="00160BA6" w:rsidRDefault="002619AA" w:rsidP="00226C1E">
      <w:pPr>
        <w:pStyle w:val="Default"/>
        <w:numPr>
          <w:ilvl w:val="0"/>
          <w:numId w:val="2"/>
        </w:numPr>
        <w:spacing w:after="240"/>
        <w:ind w:left="714" w:hanging="357"/>
        <w:rPr>
          <w:color w:val="000000" w:themeColor="text1"/>
        </w:rPr>
      </w:pPr>
      <w:r w:rsidRPr="00160BA6">
        <w:rPr>
          <w:color w:val="000000" w:themeColor="text1"/>
        </w:rPr>
        <w:t>Linkage between business planning and the management of risk</w:t>
      </w:r>
    </w:p>
    <w:p w14:paraId="328C51D6" w14:textId="77777777" w:rsidR="000B6B96" w:rsidRPr="00160BA6" w:rsidRDefault="002619AA" w:rsidP="00303EA1">
      <w:pPr>
        <w:pStyle w:val="Default"/>
        <w:rPr>
          <w:color w:val="000000" w:themeColor="text1"/>
        </w:rPr>
      </w:pPr>
      <w:r w:rsidRPr="00160BA6">
        <w:rPr>
          <w:color w:val="000000" w:themeColor="text1"/>
        </w:rPr>
        <w:t xml:space="preserve">Where areas for improvement are required </w:t>
      </w:r>
      <w:r w:rsidR="00D029FD" w:rsidRPr="00160BA6">
        <w:rPr>
          <w:color w:val="000000" w:themeColor="text1"/>
        </w:rPr>
        <w:t xml:space="preserve">an action plan must be developed. </w:t>
      </w:r>
      <w:r w:rsidRPr="00160BA6">
        <w:rPr>
          <w:color w:val="000000" w:themeColor="text1"/>
        </w:rPr>
        <w:t xml:space="preserve"> We have used these returns to further enhance our review of the Council’s governance framework.</w:t>
      </w:r>
    </w:p>
    <w:p w14:paraId="4C2C3F41" w14:textId="77777777" w:rsidR="00A103D3" w:rsidRPr="00160BA6" w:rsidRDefault="00A103D3" w:rsidP="00303EA1">
      <w:pPr>
        <w:rPr>
          <w:rFonts w:cs="Arial"/>
          <w:color w:val="000000" w:themeColor="text1"/>
        </w:rPr>
      </w:pPr>
    </w:p>
    <w:p w14:paraId="58838983" w14:textId="77777777" w:rsidR="00C15238" w:rsidRPr="00160BA6" w:rsidRDefault="002619AA" w:rsidP="00303EA1">
      <w:r w:rsidRPr="00160BA6">
        <w:rPr>
          <w:rFonts w:cs="Arial"/>
        </w:rPr>
        <w:t xml:space="preserve">To conclude the assessment, we have provided an overall </w:t>
      </w:r>
      <w:r w:rsidR="0054481C" w:rsidRPr="00160BA6">
        <w:rPr>
          <w:rFonts w:cs="Arial"/>
        </w:rPr>
        <w:t>view</w:t>
      </w:r>
      <w:r w:rsidRPr="00160BA6">
        <w:rPr>
          <w:rFonts w:cs="Arial"/>
        </w:rPr>
        <w:t xml:space="preserve"> on our governance arrangements and included an action plan to record how we will address any areas requiring improvement. </w:t>
      </w:r>
    </w:p>
    <w:p w14:paraId="493F4BD1" w14:textId="77777777" w:rsidR="00E32434" w:rsidRPr="00160BA6" w:rsidRDefault="00E32434" w:rsidP="00202EB3">
      <w:pPr>
        <w:rPr>
          <w:color w:val="000000" w:themeColor="text1"/>
        </w:rPr>
      </w:pPr>
    </w:p>
    <w:p w14:paraId="1C4C79FA" w14:textId="77777777" w:rsidR="00032E2A" w:rsidRPr="00160BA6" w:rsidRDefault="00032E2A" w:rsidP="00202EB3">
      <w:pPr>
        <w:rPr>
          <w:b/>
          <w:color w:val="000000" w:themeColor="text1"/>
        </w:rPr>
      </w:pPr>
    </w:p>
    <w:p w14:paraId="3CF0389F" w14:textId="77777777" w:rsidR="000B6B96" w:rsidRPr="00160BA6" w:rsidRDefault="002619AA">
      <w:pPr>
        <w:rPr>
          <w:b/>
          <w:color w:val="000000" w:themeColor="text1"/>
        </w:rPr>
      </w:pPr>
      <w:r w:rsidRPr="00160BA6">
        <w:rPr>
          <w:b/>
          <w:color w:val="000000" w:themeColor="text1"/>
        </w:rPr>
        <w:br w:type="page"/>
      </w:r>
    </w:p>
    <w:p w14:paraId="66B90C91" w14:textId="77777777" w:rsidR="00C15238" w:rsidRPr="00160BA6" w:rsidRDefault="002619AA" w:rsidP="00202EB3">
      <w:pPr>
        <w:rPr>
          <w:b/>
          <w:color w:val="000000" w:themeColor="text1"/>
        </w:rPr>
      </w:pPr>
      <w:r w:rsidRPr="00160BA6">
        <w:rPr>
          <w:b/>
          <w:color w:val="000000" w:themeColor="text1"/>
        </w:rPr>
        <w:lastRenderedPageBreak/>
        <w:t>Our Assessment</w:t>
      </w:r>
    </w:p>
    <w:p w14:paraId="64240A97" w14:textId="77777777" w:rsidR="001725E7" w:rsidRPr="00160BA6" w:rsidRDefault="001725E7" w:rsidP="00202EB3">
      <w:pPr>
        <w:rPr>
          <w:color w:val="000000" w:themeColor="text1"/>
        </w:rPr>
      </w:pPr>
    </w:p>
    <w:p w14:paraId="55B71C9E" w14:textId="77777777" w:rsidR="005F2FC9" w:rsidRPr="00160BA6" w:rsidRDefault="002619AA" w:rsidP="00303EA1">
      <w:pPr>
        <w:rPr>
          <w:color w:val="000000" w:themeColor="text1"/>
        </w:rPr>
      </w:pPr>
      <w:r w:rsidRPr="00160BA6">
        <w:rPr>
          <w:color w:val="000000" w:themeColor="text1"/>
        </w:rPr>
        <w:t xml:space="preserve">To assess the effectives of key elements of the governance framework, including partnership arrangements and Council owned companies, we have reviewed our performance against each of the seven principles of good governance. When evaluating our </w:t>
      </w:r>
      <w:r w:rsidR="00D029FD" w:rsidRPr="00160BA6">
        <w:rPr>
          <w:color w:val="000000" w:themeColor="text1"/>
        </w:rPr>
        <w:t>performance,</w:t>
      </w:r>
      <w:r w:rsidRPr="00160BA6">
        <w:rPr>
          <w:color w:val="000000" w:themeColor="text1"/>
        </w:rPr>
        <w:t xml:space="preserve"> we have taken into consideration reviews and inspections of the Council by others such as </w:t>
      </w:r>
      <w:r w:rsidR="00E63B07" w:rsidRPr="00160BA6">
        <w:rPr>
          <w:color w:val="000000" w:themeColor="text1"/>
        </w:rPr>
        <w:t>CIPFA</w:t>
      </w:r>
      <w:r w:rsidRPr="00160BA6">
        <w:rPr>
          <w:color w:val="000000" w:themeColor="text1"/>
        </w:rPr>
        <w:t>, as well as the work of internal and external audit.</w:t>
      </w:r>
    </w:p>
    <w:p w14:paraId="6CD1CA76" w14:textId="77777777" w:rsidR="00E964D5" w:rsidRPr="00160BA6" w:rsidRDefault="00E964D5" w:rsidP="00202EB3">
      <w:pPr>
        <w:rPr>
          <w:color w:val="000000" w:themeColor="text1"/>
        </w:rPr>
      </w:pPr>
    </w:p>
    <w:tbl>
      <w:tblPr>
        <w:tblStyle w:val="TableGrid"/>
        <w:tblW w:w="0" w:type="auto"/>
        <w:tblLook w:val="04A0" w:firstRow="1" w:lastRow="0" w:firstColumn="1" w:lastColumn="0" w:noHBand="0" w:noVBand="1"/>
      </w:tblPr>
      <w:tblGrid>
        <w:gridCol w:w="3479"/>
        <w:gridCol w:w="10469"/>
      </w:tblGrid>
      <w:tr w:rsidR="007E37FA" w:rsidRPr="00160BA6" w14:paraId="5FFD82A6" w14:textId="77777777" w:rsidTr="034273BC">
        <w:tc>
          <w:tcPr>
            <w:tcW w:w="3510" w:type="dxa"/>
          </w:tcPr>
          <w:p w14:paraId="475114BE" w14:textId="346BDF50" w:rsidR="00E964D5" w:rsidRPr="00160BA6" w:rsidRDefault="002619AA" w:rsidP="00202EB3">
            <w:pPr>
              <w:rPr>
                <w:rFonts w:cs="Arial"/>
                <w:b/>
                <w:color w:val="000000" w:themeColor="text1"/>
              </w:rPr>
            </w:pPr>
            <w:r w:rsidRPr="00160BA6">
              <w:rPr>
                <w:rFonts w:cs="Arial"/>
                <w:b/>
                <w:color w:val="000000" w:themeColor="text1"/>
              </w:rPr>
              <w:t>Princip</w:t>
            </w:r>
            <w:r w:rsidR="003E6166">
              <w:rPr>
                <w:rFonts w:cs="Arial"/>
                <w:b/>
                <w:color w:val="000000" w:themeColor="text1"/>
              </w:rPr>
              <w:t>le</w:t>
            </w:r>
          </w:p>
        </w:tc>
        <w:tc>
          <w:tcPr>
            <w:tcW w:w="10664" w:type="dxa"/>
          </w:tcPr>
          <w:p w14:paraId="0C958AE1" w14:textId="77777777" w:rsidR="00E964D5" w:rsidRPr="00160BA6" w:rsidRDefault="002619AA" w:rsidP="004E6688">
            <w:pPr>
              <w:rPr>
                <w:rFonts w:cs="Arial"/>
                <w:b/>
                <w:color w:val="000000" w:themeColor="text1"/>
              </w:rPr>
            </w:pPr>
            <w:r w:rsidRPr="00160BA6">
              <w:rPr>
                <w:rFonts w:cs="Arial"/>
                <w:b/>
                <w:color w:val="000000" w:themeColor="text1"/>
              </w:rPr>
              <w:t xml:space="preserve">Review of Governance Arrangements </w:t>
            </w:r>
          </w:p>
        </w:tc>
      </w:tr>
      <w:tr w:rsidR="007E37FA" w:rsidRPr="00160BA6" w14:paraId="68EEC3B7" w14:textId="77777777" w:rsidTr="034273BC">
        <w:tc>
          <w:tcPr>
            <w:tcW w:w="3510" w:type="dxa"/>
          </w:tcPr>
          <w:p w14:paraId="1B89FAE4" w14:textId="77777777" w:rsidR="005F2FC9" w:rsidRPr="00160BA6" w:rsidRDefault="002619AA" w:rsidP="00226C1E">
            <w:pPr>
              <w:pStyle w:val="ListParagraph"/>
              <w:numPr>
                <w:ilvl w:val="0"/>
                <w:numId w:val="4"/>
              </w:numPr>
              <w:spacing w:before="60" w:after="120"/>
              <w:ind w:left="426"/>
              <w:rPr>
                <w:rFonts w:cs="Arial"/>
                <w:color w:val="000000" w:themeColor="text1"/>
              </w:rPr>
            </w:pPr>
            <w:r w:rsidRPr="00160BA6">
              <w:rPr>
                <w:rFonts w:cs="Arial"/>
                <w:color w:val="000000" w:themeColor="text1"/>
              </w:rPr>
              <w:t>Behaving with integrity, demonstrating strong commitment to ethical values, and respecting the rule of law.</w:t>
            </w:r>
          </w:p>
          <w:p w14:paraId="176AB57A" w14:textId="77777777" w:rsidR="005F2FC9" w:rsidRPr="00160BA6" w:rsidRDefault="005F2FC9" w:rsidP="002A76F4">
            <w:pPr>
              <w:spacing w:before="60"/>
              <w:rPr>
                <w:rFonts w:cs="Arial"/>
                <w:color w:val="000000" w:themeColor="text1"/>
              </w:rPr>
            </w:pPr>
          </w:p>
        </w:tc>
        <w:tc>
          <w:tcPr>
            <w:tcW w:w="10664" w:type="dxa"/>
          </w:tcPr>
          <w:p w14:paraId="73C0C915" w14:textId="339426DF" w:rsidR="001F1E1F" w:rsidRPr="00160BA6" w:rsidRDefault="002619AA" w:rsidP="002A76F4">
            <w:pPr>
              <w:autoSpaceDE w:val="0"/>
              <w:adjustRightInd w:val="0"/>
              <w:spacing w:before="60"/>
              <w:rPr>
                <w:rFonts w:cs="Arial"/>
                <w:color w:val="000000" w:themeColor="text1"/>
              </w:rPr>
            </w:pPr>
            <w:r w:rsidRPr="00160BA6">
              <w:rPr>
                <w:rFonts w:cs="Arial"/>
                <w:color w:val="000000" w:themeColor="text1"/>
              </w:rPr>
              <w:t xml:space="preserve">The Council’s </w:t>
            </w:r>
            <w:r w:rsidR="009D3181">
              <w:rPr>
                <w:rFonts w:cs="Arial"/>
                <w:color w:val="000000" w:themeColor="text1"/>
              </w:rPr>
              <w:t>C</w:t>
            </w:r>
            <w:r w:rsidRPr="00160BA6">
              <w:rPr>
                <w:rFonts w:cs="Arial"/>
                <w:color w:val="000000" w:themeColor="text1"/>
              </w:rPr>
              <w:t xml:space="preserve">onstitution </w:t>
            </w:r>
            <w:r w:rsidR="005D221D">
              <w:rPr>
                <w:rFonts w:cs="Arial"/>
                <w:color w:val="000000" w:themeColor="text1"/>
              </w:rPr>
              <w:t>sets out how the Council operates, how decision</w:t>
            </w:r>
            <w:r w:rsidR="00160E5D">
              <w:rPr>
                <w:rFonts w:cs="Arial"/>
                <w:color w:val="000000" w:themeColor="text1"/>
              </w:rPr>
              <w:t>s</w:t>
            </w:r>
            <w:r w:rsidR="005D221D">
              <w:rPr>
                <w:rFonts w:cs="Arial"/>
                <w:color w:val="000000" w:themeColor="text1"/>
              </w:rPr>
              <w:t xml:space="preserve"> are made and the procedures which are followed to ensure these are efficient, transparent</w:t>
            </w:r>
            <w:r w:rsidR="00160E5D">
              <w:rPr>
                <w:rFonts w:cs="Arial"/>
                <w:color w:val="000000" w:themeColor="text1"/>
              </w:rPr>
              <w:t xml:space="preserve">, and accountable to local people, </w:t>
            </w:r>
            <w:r w:rsidR="2A6FB5D2" w:rsidRPr="00160BA6">
              <w:rPr>
                <w:rFonts w:cs="Arial"/>
                <w:color w:val="000000" w:themeColor="text1"/>
              </w:rPr>
              <w:t>including the Financial Regulations.</w:t>
            </w:r>
            <w:r w:rsidR="4B23D001" w:rsidRPr="00160BA6">
              <w:rPr>
                <w:rFonts w:cs="Arial"/>
                <w:color w:val="000000" w:themeColor="text1"/>
              </w:rPr>
              <w:t xml:space="preserve"> The </w:t>
            </w:r>
            <w:r w:rsidR="00160E5D">
              <w:rPr>
                <w:rFonts w:cs="Arial"/>
                <w:color w:val="000000" w:themeColor="text1"/>
              </w:rPr>
              <w:t>C</w:t>
            </w:r>
            <w:r w:rsidR="4B23D001" w:rsidRPr="00160BA6">
              <w:rPr>
                <w:rFonts w:cs="Arial"/>
                <w:color w:val="000000" w:themeColor="text1"/>
              </w:rPr>
              <w:t>onstitution is published on the Council’s website.</w:t>
            </w:r>
            <w:r w:rsidR="0074666C" w:rsidRPr="00160BA6">
              <w:rPr>
                <w:rFonts w:cs="Arial"/>
                <w:color w:val="000000" w:themeColor="text1"/>
              </w:rPr>
              <w:t xml:space="preserve"> The constitution was </w:t>
            </w:r>
            <w:r w:rsidR="008C4E2F" w:rsidRPr="00160BA6">
              <w:rPr>
                <w:rFonts w:cs="Arial"/>
                <w:color w:val="000000" w:themeColor="text1"/>
              </w:rPr>
              <w:t xml:space="preserve">last </w:t>
            </w:r>
            <w:r w:rsidR="0074666C" w:rsidRPr="00160BA6">
              <w:rPr>
                <w:rFonts w:cs="Arial"/>
                <w:color w:val="000000" w:themeColor="text1"/>
              </w:rPr>
              <w:t xml:space="preserve">updated and </w:t>
            </w:r>
            <w:r w:rsidR="441DA46C" w:rsidRPr="00160BA6">
              <w:rPr>
                <w:rFonts w:cs="Arial"/>
                <w:color w:val="000000" w:themeColor="text1"/>
              </w:rPr>
              <w:t xml:space="preserve">agreed at full </w:t>
            </w:r>
            <w:r w:rsidR="0074666C" w:rsidRPr="00160BA6">
              <w:rPr>
                <w:rFonts w:cs="Arial"/>
                <w:color w:val="000000" w:themeColor="text1"/>
              </w:rPr>
              <w:t xml:space="preserve">Council in </w:t>
            </w:r>
            <w:r w:rsidR="0013221C">
              <w:rPr>
                <w:rFonts w:cs="Arial"/>
                <w:color w:val="000000" w:themeColor="text1"/>
              </w:rPr>
              <w:t xml:space="preserve">March </w:t>
            </w:r>
            <w:r w:rsidR="004D1DA6" w:rsidRPr="00160BA6">
              <w:rPr>
                <w:rFonts w:cs="Arial"/>
                <w:color w:val="000000" w:themeColor="text1"/>
              </w:rPr>
              <w:t>202</w:t>
            </w:r>
            <w:r w:rsidR="0013221C">
              <w:rPr>
                <w:rFonts w:cs="Arial"/>
                <w:color w:val="000000" w:themeColor="text1"/>
              </w:rPr>
              <w:t>2</w:t>
            </w:r>
            <w:r w:rsidR="0074666C" w:rsidRPr="00160BA6">
              <w:rPr>
                <w:rFonts w:cs="Arial"/>
                <w:color w:val="000000" w:themeColor="text1"/>
              </w:rPr>
              <w:t xml:space="preserve">. </w:t>
            </w:r>
            <w:r w:rsidRPr="00160BA6">
              <w:rPr>
                <w:rFonts w:cs="Arial"/>
                <w:color w:val="000000" w:themeColor="text1"/>
              </w:rPr>
              <w:t>In addition, there are a range of policies and procedures to direct and guide Members and staff, as well as codes of conduct that set out standards of be</w:t>
            </w:r>
            <w:r w:rsidR="2A6FB5D2" w:rsidRPr="00160BA6">
              <w:rPr>
                <w:rFonts w:cs="Arial"/>
                <w:color w:val="000000" w:themeColor="text1"/>
              </w:rPr>
              <w:t xml:space="preserve">haviour expected from Members and staff. </w:t>
            </w:r>
            <w:r w:rsidR="2DF69A38" w:rsidRPr="00160BA6">
              <w:rPr>
                <w:rFonts w:cs="Arial"/>
                <w:color w:val="000000" w:themeColor="text1"/>
              </w:rPr>
              <w:t>We have noted that s</w:t>
            </w:r>
            <w:r w:rsidR="67062B55" w:rsidRPr="00160BA6">
              <w:rPr>
                <w:rFonts w:cs="Arial"/>
                <w:color w:val="000000" w:themeColor="text1"/>
              </w:rPr>
              <w:t>ome of the Council’s policies and procedures are overdue for a review</w:t>
            </w:r>
            <w:r w:rsidR="00944412">
              <w:rPr>
                <w:rFonts w:cs="Arial"/>
                <w:color w:val="000000" w:themeColor="text1"/>
              </w:rPr>
              <w:t>, but give</w:t>
            </w:r>
            <w:r w:rsidR="00944412" w:rsidRPr="00944412">
              <w:rPr>
                <w:rFonts w:cs="Arial"/>
                <w:color w:val="000000" w:themeColor="text1"/>
              </w:rPr>
              <w:t xml:space="preserve">n the </w:t>
            </w:r>
            <w:r w:rsidR="00586256" w:rsidRPr="00944412">
              <w:rPr>
                <w:rFonts w:cs="Arial"/>
                <w:color w:val="000000" w:themeColor="text1"/>
              </w:rPr>
              <w:t>global pandemic, a</w:t>
            </w:r>
            <w:r w:rsidR="67062B55" w:rsidRPr="00944412">
              <w:rPr>
                <w:rFonts w:cs="Arial"/>
                <w:color w:val="000000" w:themeColor="text1"/>
              </w:rPr>
              <w:t xml:space="preserve">ll overdue policies and procedures will be reviewed </w:t>
            </w:r>
            <w:r w:rsidR="000272A1" w:rsidRPr="00944412">
              <w:rPr>
                <w:rFonts w:cs="Arial"/>
                <w:color w:val="000000" w:themeColor="text1"/>
              </w:rPr>
              <w:t>as soon as practicable</w:t>
            </w:r>
            <w:r w:rsidR="00586256" w:rsidRPr="00944412">
              <w:rPr>
                <w:rFonts w:cs="Arial"/>
                <w:color w:val="000000" w:themeColor="text1"/>
              </w:rPr>
              <w:t>.</w:t>
            </w:r>
          </w:p>
          <w:p w14:paraId="45EF1A92" w14:textId="77777777" w:rsidR="005F2FC9" w:rsidRPr="00160BA6" w:rsidRDefault="005F2FC9" w:rsidP="002A76F4">
            <w:pPr>
              <w:autoSpaceDE w:val="0"/>
              <w:adjustRightInd w:val="0"/>
              <w:spacing w:before="60"/>
              <w:contextualSpacing/>
              <w:rPr>
                <w:rFonts w:cs="Arial"/>
                <w:bCs/>
                <w:color w:val="000000" w:themeColor="text1"/>
              </w:rPr>
            </w:pPr>
          </w:p>
          <w:p w14:paraId="00DB3B45" w14:textId="77777777" w:rsidR="00246E94" w:rsidRPr="00160BA6" w:rsidRDefault="002619AA" w:rsidP="002A76F4">
            <w:pPr>
              <w:autoSpaceDE w:val="0"/>
              <w:adjustRightInd w:val="0"/>
              <w:spacing w:before="60"/>
              <w:contextualSpacing/>
              <w:rPr>
                <w:rFonts w:cs="Arial"/>
                <w:color w:val="000000" w:themeColor="text1"/>
              </w:rPr>
            </w:pPr>
            <w:r w:rsidRPr="00160BA6">
              <w:rPr>
                <w:rFonts w:cs="Arial"/>
                <w:color w:val="000000" w:themeColor="text1"/>
              </w:rPr>
              <w:t>The Council has appointed the required statutory officers which includes the Head of</w:t>
            </w:r>
            <w:r w:rsidR="004E6688" w:rsidRPr="00160BA6">
              <w:rPr>
                <w:rFonts w:cs="Arial"/>
                <w:color w:val="000000" w:themeColor="text1"/>
              </w:rPr>
              <w:t xml:space="preserve"> Paid Service (Chief Executive),</w:t>
            </w:r>
            <w:r w:rsidRPr="00160BA6">
              <w:rPr>
                <w:rFonts w:cs="Arial"/>
                <w:color w:val="000000" w:themeColor="text1"/>
              </w:rPr>
              <w:t xml:space="preserve"> the Monitoring Officer (</w:t>
            </w:r>
            <w:r w:rsidR="00990148" w:rsidRPr="00160BA6">
              <w:rPr>
                <w:rFonts w:cs="Arial"/>
                <w:color w:val="000000" w:themeColor="text1"/>
              </w:rPr>
              <w:t>Director of Legal Services</w:t>
            </w:r>
            <w:r w:rsidRPr="00160BA6">
              <w:rPr>
                <w:rFonts w:cs="Arial"/>
                <w:color w:val="000000" w:themeColor="text1"/>
              </w:rPr>
              <w:t xml:space="preserve">) and the Chief Finance Officer, </w:t>
            </w:r>
            <w:r w:rsidR="00E00C8C" w:rsidRPr="00160BA6">
              <w:rPr>
                <w:rFonts w:cs="Arial"/>
                <w:color w:val="000000" w:themeColor="text1"/>
              </w:rPr>
              <w:t xml:space="preserve">also </w:t>
            </w:r>
            <w:r w:rsidRPr="00160BA6">
              <w:rPr>
                <w:rFonts w:cs="Arial"/>
                <w:color w:val="000000" w:themeColor="text1"/>
              </w:rPr>
              <w:t>referred to as the Section 151 Officer (Corporate Director, Resources).  These three officers meet regularly</w:t>
            </w:r>
            <w:r w:rsidR="00205D88" w:rsidRPr="00160BA6">
              <w:rPr>
                <w:rFonts w:cs="Arial"/>
                <w:color w:val="000000" w:themeColor="text1"/>
              </w:rPr>
              <w:t xml:space="preserve"> to discuss </w:t>
            </w:r>
            <w:r w:rsidR="008F666B" w:rsidRPr="00160BA6">
              <w:rPr>
                <w:rFonts w:cs="Arial"/>
                <w:color w:val="000000" w:themeColor="text1"/>
              </w:rPr>
              <w:t>governance issues</w:t>
            </w:r>
            <w:r w:rsidR="00205D88" w:rsidRPr="00160BA6">
              <w:rPr>
                <w:rFonts w:cs="Arial"/>
                <w:color w:val="000000" w:themeColor="text1"/>
              </w:rPr>
              <w:t xml:space="preserve">. </w:t>
            </w:r>
          </w:p>
          <w:p w14:paraId="757D6C94" w14:textId="77777777" w:rsidR="00246E94" w:rsidRPr="00160BA6" w:rsidRDefault="00246E94" w:rsidP="002A76F4">
            <w:pPr>
              <w:autoSpaceDE w:val="0"/>
              <w:adjustRightInd w:val="0"/>
              <w:spacing w:before="60"/>
              <w:contextualSpacing/>
              <w:rPr>
                <w:rFonts w:cs="Arial"/>
                <w:bCs/>
                <w:color w:val="000000" w:themeColor="text1"/>
              </w:rPr>
            </w:pPr>
          </w:p>
          <w:p w14:paraId="2DD467E5" w14:textId="77777777" w:rsidR="00902D02" w:rsidRDefault="002619AA" w:rsidP="002A76F4">
            <w:pPr>
              <w:spacing w:before="60"/>
              <w:rPr>
                <w:color w:val="000000" w:themeColor="text1"/>
              </w:rPr>
            </w:pPr>
            <w:r w:rsidRPr="00160BA6">
              <w:rPr>
                <w:color w:val="000000" w:themeColor="text1"/>
              </w:rPr>
              <w:t xml:space="preserve">The Council operates a </w:t>
            </w:r>
            <w:r w:rsidRPr="00160BA6">
              <w:rPr>
                <w:bCs/>
                <w:color w:val="000000" w:themeColor="text1"/>
              </w:rPr>
              <w:t>Standards Advisory Committee</w:t>
            </w:r>
            <w:r w:rsidRPr="00160BA6">
              <w:rPr>
                <w:color w:val="000000" w:themeColor="text1"/>
              </w:rPr>
              <w:t xml:space="preserve"> to oversee and promote high standards of conduct by the Mayor, Councillors and Co-opted Members of the Council, including in relation to the Code of Conduct and the Register of Interests. Half the Committee membership allocation is for independent Co-opted Members and there are also two separately appointed statutory Independent Persons who advise in relation to alleged breaches of the Code of Conduct.  The Committee takes an active role in this work receiving regular reports, monitoring complaints </w:t>
            </w:r>
            <w:r w:rsidRPr="00160BA6">
              <w:rPr>
                <w:color w:val="000000" w:themeColor="text1"/>
              </w:rPr>
              <w:lastRenderedPageBreak/>
              <w:t xml:space="preserve">against Members, the Register of Interest/Gifts and Hospitality, Member </w:t>
            </w:r>
            <w:r w:rsidR="00882CBB" w:rsidRPr="00160BA6">
              <w:rPr>
                <w:color w:val="000000" w:themeColor="text1"/>
              </w:rPr>
              <w:t>Development,</w:t>
            </w:r>
            <w:r w:rsidRPr="00160BA6">
              <w:rPr>
                <w:color w:val="000000" w:themeColor="text1"/>
              </w:rPr>
              <w:t xml:space="preserve"> and reports from the work of the Committee on Standards in Public Life amongst other matters.</w:t>
            </w:r>
            <w:r w:rsidR="003E5E97" w:rsidRPr="00160BA6">
              <w:rPr>
                <w:color w:val="000000" w:themeColor="text1"/>
              </w:rPr>
              <w:t xml:space="preserve"> The Committee provides </w:t>
            </w:r>
            <w:r w:rsidR="006B5F6B" w:rsidRPr="00160BA6">
              <w:rPr>
                <w:color w:val="000000" w:themeColor="text1"/>
              </w:rPr>
              <w:t>f</w:t>
            </w:r>
            <w:r w:rsidR="003E5E97" w:rsidRPr="00160BA6">
              <w:rPr>
                <w:color w:val="000000" w:themeColor="text1"/>
              </w:rPr>
              <w:t xml:space="preserve">ull Council with </w:t>
            </w:r>
            <w:r w:rsidR="009469A2" w:rsidRPr="00160BA6">
              <w:rPr>
                <w:color w:val="000000" w:themeColor="text1"/>
              </w:rPr>
              <w:t xml:space="preserve">an annual report on its </w:t>
            </w:r>
            <w:r w:rsidR="006B5F6B" w:rsidRPr="00160BA6">
              <w:rPr>
                <w:color w:val="000000" w:themeColor="text1"/>
              </w:rPr>
              <w:t>activities</w:t>
            </w:r>
            <w:r w:rsidR="009469A2" w:rsidRPr="00160BA6">
              <w:rPr>
                <w:color w:val="000000" w:themeColor="text1"/>
              </w:rPr>
              <w:t xml:space="preserve"> which highlights areas of strength and concern</w:t>
            </w:r>
            <w:r w:rsidR="006B5F6B" w:rsidRPr="00160BA6">
              <w:rPr>
                <w:color w:val="000000" w:themeColor="text1"/>
              </w:rPr>
              <w:t>; a report was last taken to full Council in July 2021</w:t>
            </w:r>
            <w:r w:rsidR="00902D02">
              <w:rPr>
                <w:color w:val="000000" w:themeColor="text1"/>
              </w:rPr>
              <w:t>, with the next expected at the meeting scheduled in July 2022</w:t>
            </w:r>
            <w:r w:rsidR="006B5F6B" w:rsidRPr="00160BA6">
              <w:rPr>
                <w:color w:val="000000" w:themeColor="text1"/>
              </w:rPr>
              <w:t>.</w:t>
            </w:r>
            <w:r w:rsidRPr="00160BA6">
              <w:rPr>
                <w:color w:val="000000" w:themeColor="text1"/>
              </w:rPr>
              <w:t xml:space="preserve"> </w:t>
            </w:r>
          </w:p>
          <w:p w14:paraId="31023858" w14:textId="77777777" w:rsidR="00303EA1" w:rsidRDefault="00303EA1" w:rsidP="002A76F4">
            <w:pPr>
              <w:spacing w:before="60"/>
              <w:rPr>
                <w:color w:val="000000" w:themeColor="text1"/>
              </w:rPr>
            </w:pPr>
          </w:p>
          <w:p w14:paraId="67BB518A" w14:textId="28D1033A" w:rsidR="001A15F6" w:rsidRPr="00160BA6" w:rsidRDefault="002619AA" w:rsidP="002A76F4">
            <w:pPr>
              <w:spacing w:before="60"/>
              <w:rPr>
                <w:color w:val="000000" w:themeColor="text1"/>
              </w:rPr>
            </w:pPr>
            <w:r w:rsidRPr="00160BA6">
              <w:rPr>
                <w:color w:val="000000" w:themeColor="text1"/>
              </w:rPr>
              <w:t xml:space="preserve">All members positively acknowledge the Code when they join the Council. </w:t>
            </w:r>
            <w:r w:rsidR="00D16997" w:rsidRPr="00160BA6">
              <w:rPr>
                <w:color w:val="000000" w:themeColor="text1"/>
              </w:rPr>
              <w:t xml:space="preserve">A consultation </w:t>
            </w:r>
            <w:r w:rsidR="00804461" w:rsidRPr="00160BA6">
              <w:rPr>
                <w:color w:val="000000" w:themeColor="text1"/>
              </w:rPr>
              <w:t>was launched in June 2020</w:t>
            </w:r>
            <w:r w:rsidR="00D16997" w:rsidRPr="00160BA6">
              <w:rPr>
                <w:color w:val="000000" w:themeColor="text1"/>
              </w:rPr>
              <w:t xml:space="preserve"> </w:t>
            </w:r>
            <w:r w:rsidR="002E7099" w:rsidRPr="00160BA6">
              <w:rPr>
                <w:color w:val="000000" w:themeColor="text1"/>
              </w:rPr>
              <w:t>to</w:t>
            </w:r>
            <w:r w:rsidR="00D16997" w:rsidRPr="00160BA6">
              <w:rPr>
                <w:color w:val="000000" w:themeColor="text1"/>
              </w:rPr>
              <w:t xml:space="preserve"> review the model code of conduct for Members</w:t>
            </w:r>
            <w:r w:rsidR="00CE5D45" w:rsidRPr="00160BA6">
              <w:rPr>
                <w:color w:val="000000" w:themeColor="text1"/>
              </w:rPr>
              <w:t xml:space="preserve"> and </w:t>
            </w:r>
            <w:r w:rsidR="00B25995" w:rsidRPr="00160BA6">
              <w:rPr>
                <w:color w:val="000000" w:themeColor="text1"/>
              </w:rPr>
              <w:t>the</w:t>
            </w:r>
            <w:r w:rsidR="004568A9">
              <w:rPr>
                <w:color w:val="000000" w:themeColor="text1"/>
              </w:rPr>
              <w:t xml:space="preserve"> new</w:t>
            </w:r>
            <w:r w:rsidR="00893D6F" w:rsidRPr="00160BA6">
              <w:rPr>
                <w:color w:val="000000" w:themeColor="text1"/>
              </w:rPr>
              <w:t xml:space="preserve"> </w:t>
            </w:r>
            <w:r w:rsidR="00B25995" w:rsidRPr="00160BA6">
              <w:rPr>
                <w:color w:val="000000" w:themeColor="text1"/>
              </w:rPr>
              <w:t>code was</w:t>
            </w:r>
            <w:r w:rsidR="00893D6F" w:rsidRPr="00160BA6">
              <w:rPr>
                <w:color w:val="000000" w:themeColor="text1"/>
              </w:rPr>
              <w:t xml:space="preserve"> </w:t>
            </w:r>
            <w:r w:rsidR="004568A9">
              <w:rPr>
                <w:color w:val="000000" w:themeColor="text1"/>
              </w:rPr>
              <w:t xml:space="preserve">approved by Council in </w:t>
            </w:r>
            <w:r w:rsidR="008B4D79">
              <w:rPr>
                <w:color w:val="000000" w:themeColor="text1"/>
              </w:rPr>
              <w:t>November 2021 and</w:t>
            </w:r>
            <w:r w:rsidR="004568A9">
              <w:rPr>
                <w:color w:val="000000" w:themeColor="text1"/>
              </w:rPr>
              <w:t xml:space="preserve"> came into force </w:t>
            </w:r>
            <w:r w:rsidR="008B4D79">
              <w:rPr>
                <w:color w:val="000000" w:themeColor="text1"/>
              </w:rPr>
              <w:t>following the 5 May 2022 local elections. A reminder of the new Member Code of Conduct was presented, as part of the Council’s constitution</w:t>
            </w:r>
            <w:r w:rsidR="004D3631">
              <w:rPr>
                <w:color w:val="000000" w:themeColor="text1"/>
              </w:rPr>
              <w:t>,</w:t>
            </w:r>
            <w:r w:rsidR="008B4D79">
              <w:rPr>
                <w:color w:val="000000" w:themeColor="text1"/>
              </w:rPr>
              <w:t xml:space="preserve"> </w:t>
            </w:r>
            <w:r w:rsidR="004D3631">
              <w:rPr>
                <w:color w:val="000000" w:themeColor="text1"/>
              </w:rPr>
              <w:t>to</w:t>
            </w:r>
            <w:r w:rsidR="008B4D79">
              <w:rPr>
                <w:color w:val="000000" w:themeColor="text1"/>
              </w:rPr>
              <w:t xml:space="preserve"> full Council at its meeting held on 25 May 202</w:t>
            </w:r>
            <w:r w:rsidR="004D3631">
              <w:rPr>
                <w:color w:val="000000" w:themeColor="text1"/>
              </w:rPr>
              <w:t>2.</w:t>
            </w:r>
          </w:p>
          <w:p w14:paraId="1834168B" w14:textId="77777777" w:rsidR="005F2FC9" w:rsidRPr="00160BA6" w:rsidRDefault="005F2FC9" w:rsidP="002A76F4">
            <w:pPr>
              <w:autoSpaceDE w:val="0"/>
              <w:adjustRightInd w:val="0"/>
              <w:spacing w:before="60"/>
              <w:contextualSpacing/>
              <w:rPr>
                <w:rFonts w:cs="Arial"/>
                <w:b/>
                <w:bCs/>
                <w:color w:val="000000" w:themeColor="text1"/>
              </w:rPr>
            </w:pPr>
          </w:p>
          <w:p w14:paraId="21518C31" w14:textId="317D9536" w:rsidR="005F2FC9"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The Council has adopted a whistleblowing policy to guide and support staff about how to raise </w:t>
            </w:r>
            <w:r w:rsidR="004E6688" w:rsidRPr="00160BA6">
              <w:rPr>
                <w:rFonts w:cs="Arial"/>
                <w:bCs/>
                <w:color w:val="000000" w:themeColor="text1"/>
              </w:rPr>
              <w:t xml:space="preserve">any </w:t>
            </w:r>
            <w:r w:rsidRPr="00160BA6">
              <w:rPr>
                <w:rFonts w:cs="Arial"/>
                <w:bCs/>
                <w:color w:val="000000" w:themeColor="text1"/>
              </w:rPr>
              <w:t xml:space="preserve">concerns. It is readily available on the Intranet. The Monitoring Officer maintains a central record of all whistleblowing concerns and how they have been resolved. </w:t>
            </w:r>
            <w:r w:rsidR="009C3DEC" w:rsidRPr="00160BA6">
              <w:rPr>
                <w:rFonts w:cs="Arial"/>
                <w:bCs/>
                <w:color w:val="000000" w:themeColor="text1"/>
              </w:rPr>
              <w:t xml:space="preserve">In </w:t>
            </w:r>
            <w:r w:rsidR="00BA773B" w:rsidRPr="00483B7D">
              <w:rPr>
                <w:rFonts w:cs="Arial"/>
                <w:bCs/>
                <w:color w:val="000000" w:themeColor="text1"/>
              </w:rPr>
              <w:t>April 2021</w:t>
            </w:r>
            <w:r w:rsidR="00170836" w:rsidRPr="00160BA6">
              <w:rPr>
                <w:rFonts w:cs="Arial"/>
                <w:bCs/>
                <w:color w:val="000000" w:themeColor="text1"/>
              </w:rPr>
              <w:t xml:space="preserve"> the Monitoring Officer </w:t>
            </w:r>
            <w:r w:rsidR="009C3DEC" w:rsidRPr="00160BA6">
              <w:rPr>
                <w:rFonts w:cs="Arial"/>
                <w:bCs/>
                <w:color w:val="000000" w:themeColor="text1"/>
              </w:rPr>
              <w:t>reported</w:t>
            </w:r>
            <w:r w:rsidR="00170836" w:rsidRPr="00160BA6">
              <w:rPr>
                <w:rFonts w:cs="Arial"/>
                <w:bCs/>
                <w:color w:val="000000" w:themeColor="text1"/>
              </w:rPr>
              <w:t xml:space="preserve"> a summary of concerns raised and their outcomes to the Audit Committee.</w:t>
            </w:r>
            <w:r w:rsidR="00483B7D">
              <w:rPr>
                <w:rFonts w:cs="Arial"/>
                <w:bCs/>
                <w:color w:val="000000" w:themeColor="text1"/>
              </w:rPr>
              <w:t xml:space="preserve"> A similar report will be presented </w:t>
            </w:r>
            <w:r w:rsidR="006A179A">
              <w:rPr>
                <w:rFonts w:cs="Arial"/>
                <w:bCs/>
                <w:color w:val="000000" w:themeColor="text1"/>
              </w:rPr>
              <w:t xml:space="preserve">as part </w:t>
            </w:r>
            <w:r w:rsidR="006A2D88">
              <w:rPr>
                <w:rFonts w:cs="Arial"/>
                <w:bCs/>
                <w:color w:val="000000" w:themeColor="text1"/>
              </w:rPr>
              <w:t>of the 2022/23 Audit Committee workplan.</w:t>
            </w:r>
          </w:p>
          <w:p w14:paraId="507C0865" w14:textId="77777777" w:rsidR="005F2FC9" w:rsidRPr="00160BA6" w:rsidRDefault="005F2FC9" w:rsidP="002A76F4">
            <w:pPr>
              <w:autoSpaceDE w:val="0"/>
              <w:adjustRightInd w:val="0"/>
              <w:spacing w:before="60"/>
              <w:contextualSpacing/>
              <w:rPr>
                <w:rFonts w:cs="Arial"/>
                <w:bCs/>
                <w:color w:val="000000" w:themeColor="text1"/>
              </w:rPr>
            </w:pPr>
          </w:p>
          <w:p w14:paraId="415AE74E" w14:textId="3B473067" w:rsidR="000245EA"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Committee </w:t>
            </w:r>
            <w:r w:rsidR="005F2FC9" w:rsidRPr="00160BA6">
              <w:rPr>
                <w:rFonts w:cs="Arial"/>
                <w:bCs/>
                <w:color w:val="000000" w:themeColor="text1"/>
              </w:rPr>
              <w:t xml:space="preserve">reports and </w:t>
            </w:r>
            <w:r w:rsidRPr="00160BA6">
              <w:rPr>
                <w:rFonts w:cs="Arial"/>
                <w:bCs/>
                <w:color w:val="000000" w:themeColor="text1"/>
              </w:rPr>
              <w:t xml:space="preserve">key </w:t>
            </w:r>
            <w:r w:rsidR="005F2FC9" w:rsidRPr="00160BA6">
              <w:rPr>
                <w:rFonts w:cs="Arial"/>
                <w:bCs/>
                <w:color w:val="000000" w:themeColor="text1"/>
              </w:rPr>
              <w:t xml:space="preserve">decisions </w:t>
            </w:r>
            <w:r w:rsidR="006A2D88">
              <w:rPr>
                <w:rFonts w:cs="Arial"/>
                <w:bCs/>
                <w:color w:val="000000" w:themeColor="text1"/>
              </w:rPr>
              <w:t>are</w:t>
            </w:r>
            <w:r w:rsidR="005F2FC9" w:rsidRPr="00160BA6">
              <w:rPr>
                <w:rFonts w:cs="Arial"/>
                <w:bCs/>
                <w:color w:val="000000" w:themeColor="text1"/>
              </w:rPr>
              <w:t xml:space="preserve"> published online to ensure transparency and Executive decisions </w:t>
            </w:r>
            <w:r w:rsidRPr="00160BA6">
              <w:rPr>
                <w:rFonts w:cs="Arial"/>
                <w:bCs/>
                <w:color w:val="000000" w:themeColor="text1"/>
              </w:rPr>
              <w:t xml:space="preserve">made by the Mayor and Cabinet </w:t>
            </w:r>
            <w:r w:rsidR="005F2FC9" w:rsidRPr="00160BA6">
              <w:rPr>
                <w:rFonts w:cs="Arial"/>
                <w:bCs/>
                <w:color w:val="000000" w:themeColor="text1"/>
              </w:rPr>
              <w:t xml:space="preserve">are subject to the ‘Call-In’ process by backbench Councillors who </w:t>
            </w:r>
            <w:r w:rsidR="00FA1243" w:rsidRPr="00160BA6">
              <w:rPr>
                <w:rFonts w:cs="Arial"/>
                <w:bCs/>
                <w:color w:val="000000" w:themeColor="text1"/>
              </w:rPr>
              <w:t>can</w:t>
            </w:r>
            <w:r w:rsidR="005F2FC9" w:rsidRPr="00160BA6">
              <w:rPr>
                <w:rFonts w:cs="Arial"/>
                <w:bCs/>
                <w:color w:val="000000" w:themeColor="text1"/>
              </w:rPr>
              <w:t xml:space="preserve"> raise any concerns they may have.</w:t>
            </w:r>
            <w:r w:rsidRPr="00160BA6">
              <w:rPr>
                <w:rFonts w:cs="Arial"/>
                <w:bCs/>
                <w:color w:val="000000" w:themeColor="text1"/>
              </w:rPr>
              <w:t xml:space="preserve"> </w:t>
            </w:r>
          </w:p>
          <w:p w14:paraId="5768624B" w14:textId="77777777" w:rsidR="005F2FC9" w:rsidRPr="00160BA6" w:rsidRDefault="005F2FC9" w:rsidP="002A76F4">
            <w:pPr>
              <w:autoSpaceDE w:val="0"/>
              <w:adjustRightInd w:val="0"/>
              <w:spacing w:before="60"/>
              <w:contextualSpacing/>
              <w:rPr>
                <w:rFonts w:cs="Arial"/>
                <w:bCs/>
                <w:color w:val="000000" w:themeColor="text1"/>
              </w:rPr>
            </w:pPr>
          </w:p>
          <w:p w14:paraId="5A8FB19C" w14:textId="6834ED7F" w:rsidR="005F2FC9"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The </w:t>
            </w:r>
            <w:r w:rsidR="00205D88" w:rsidRPr="00160BA6">
              <w:rPr>
                <w:rFonts w:cs="Arial"/>
                <w:bCs/>
                <w:color w:val="000000" w:themeColor="text1"/>
              </w:rPr>
              <w:t xml:space="preserve">Council maintains a </w:t>
            </w:r>
            <w:r w:rsidRPr="00160BA6">
              <w:rPr>
                <w:rFonts w:cs="Arial"/>
                <w:bCs/>
                <w:color w:val="000000" w:themeColor="text1"/>
              </w:rPr>
              <w:t>Register o</w:t>
            </w:r>
            <w:r w:rsidR="00437F78" w:rsidRPr="00160BA6">
              <w:rPr>
                <w:rFonts w:cs="Arial"/>
                <w:bCs/>
                <w:color w:val="000000" w:themeColor="text1"/>
              </w:rPr>
              <w:t>f</w:t>
            </w:r>
            <w:r w:rsidRPr="00160BA6">
              <w:rPr>
                <w:rFonts w:cs="Arial"/>
                <w:bCs/>
                <w:color w:val="000000" w:themeColor="text1"/>
              </w:rPr>
              <w:t xml:space="preserve"> Interests (for officers and Members) </w:t>
            </w:r>
            <w:r w:rsidR="00205D88" w:rsidRPr="00160BA6">
              <w:rPr>
                <w:rFonts w:cs="Arial"/>
                <w:bCs/>
                <w:color w:val="000000" w:themeColor="text1"/>
              </w:rPr>
              <w:t xml:space="preserve">which includes a </w:t>
            </w:r>
            <w:r w:rsidRPr="00160BA6">
              <w:rPr>
                <w:rFonts w:cs="Arial"/>
                <w:bCs/>
                <w:color w:val="000000" w:themeColor="text1"/>
              </w:rPr>
              <w:t>requirement to declare interests at meetings ensur</w:t>
            </w:r>
            <w:r w:rsidR="00E850F6" w:rsidRPr="00160BA6">
              <w:rPr>
                <w:rFonts w:cs="Arial"/>
                <w:bCs/>
                <w:color w:val="000000" w:themeColor="text1"/>
              </w:rPr>
              <w:t>ing</w:t>
            </w:r>
            <w:r w:rsidRPr="00160BA6">
              <w:rPr>
                <w:rFonts w:cs="Arial"/>
                <w:bCs/>
                <w:color w:val="000000" w:themeColor="text1"/>
              </w:rPr>
              <w:t xml:space="preserve"> that potential issues are </w:t>
            </w:r>
            <w:r w:rsidR="000277CC" w:rsidRPr="00160BA6">
              <w:rPr>
                <w:rFonts w:cs="Arial"/>
                <w:bCs/>
                <w:color w:val="000000" w:themeColor="text1"/>
              </w:rPr>
              <w:t>recorded,</w:t>
            </w:r>
            <w:r w:rsidRPr="00160BA6">
              <w:rPr>
                <w:rFonts w:cs="Arial"/>
                <w:bCs/>
                <w:color w:val="000000" w:themeColor="text1"/>
              </w:rPr>
              <w:t xml:space="preserve"> and Members do not take part in meetings in an inappropriate way. This includes the need to leave the room when any items for which they have a Pecuniary Interest are discussed</w:t>
            </w:r>
            <w:r w:rsidR="000245EA" w:rsidRPr="00160BA6">
              <w:rPr>
                <w:rFonts w:cs="Arial"/>
                <w:bCs/>
                <w:color w:val="000000" w:themeColor="text1"/>
              </w:rPr>
              <w:t xml:space="preserve">. We will be </w:t>
            </w:r>
            <w:r w:rsidR="00696B97" w:rsidRPr="00160BA6">
              <w:rPr>
                <w:rFonts w:cs="Arial"/>
                <w:bCs/>
                <w:color w:val="000000" w:themeColor="text1"/>
              </w:rPr>
              <w:t>requiring</w:t>
            </w:r>
            <w:r w:rsidR="000245EA" w:rsidRPr="00160BA6">
              <w:rPr>
                <w:rFonts w:cs="Arial"/>
                <w:bCs/>
                <w:color w:val="000000" w:themeColor="text1"/>
              </w:rPr>
              <w:t xml:space="preserve"> </w:t>
            </w:r>
            <w:r w:rsidR="00B45024">
              <w:rPr>
                <w:rFonts w:cs="Arial"/>
                <w:bCs/>
                <w:color w:val="000000" w:themeColor="text1"/>
              </w:rPr>
              <w:t xml:space="preserve">Members and </w:t>
            </w:r>
            <w:r w:rsidR="000245EA" w:rsidRPr="00160BA6">
              <w:rPr>
                <w:rFonts w:cs="Arial"/>
                <w:bCs/>
                <w:color w:val="000000" w:themeColor="text1"/>
              </w:rPr>
              <w:t>officers to update their declarations</w:t>
            </w:r>
            <w:r w:rsidR="00B45024">
              <w:rPr>
                <w:rFonts w:cs="Arial"/>
                <w:bCs/>
                <w:color w:val="000000" w:themeColor="text1"/>
              </w:rPr>
              <w:t xml:space="preserve"> following the 5 May 2022 local elections</w:t>
            </w:r>
            <w:r w:rsidR="000245EA" w:rsidRPr="00160BA6">
              <w:rPr>
                <w:rFonts w:cs="Arial"/>
                <w:bCs/>
                <w:color w:val="000000" w:themeColor="text1"/>
              </w:rPr>
              <w:t xml:space="preserve">. </w:t>
            </w:r>
            <w:r w:rsidR="00C93843" w:rsidRPr="00160BA6">
              <w:rPr>
                <w:rFonts w:cs="Arial"/>
                <w:bCs/>
                <w:color w:val="000000" w:themeColor="text1"/>
              </w:rPr>
              <w:t>A</w:t>
            </w:r>
            <w:r w:rsidR="00C93843" w:rsidRPr="00160BA6">
              <w:rPr>
                <w:color w:val="000000" w:themeColor="text1"/>
              </w:rPr>
              <w:t xml:space="preserve"> revised guide to declaring interests at meetings </w:t>
            </w:r>
            <w:r w:rsidR="003C6BE1" w:rsidRPr="00160BA6">
              <w:rPr>
                <w:color w:val="000000" w:themeColor="text1"/>
              </w:rPr>
              <w:t xml:space="preserve">has been </w:t>
            </w:r>
            <w:r w:rsidR="00C93843" w:rsidRPr="00160BA6">
              <w:rPr>
                <w:color w:val="000000" w:themeColor="text1"/>
              </w:rPr>
              <w:t>attached to all meeting agendas since May 2020.</w:t>
            </w:r>
            <w:r w:rsidR="00421D7D" w:rsidRPr="00160BA6">
              <w:rPr>
                <w:color w:val="000000" w:themeColor="text1"/>
              </w:rPr>
              <w:t xml:space="preserve"> </w:t>
            </w:r>
            <w:r w:rsidR="007A0212">
              <w:rPr>
                <w:color w:val="000000" w:themeColor="text1"/>
              </w:rPr>
              <w:t xml:space="preserve">During the period when </w:t>
            </w:r>
            <w:r w:rsidR="001B7ED6" w:rsidRPr="00160BA6">
              <w:rPr>
                <w:color w:val="000000" w:themeColor="text1"/>
              </w:rPr>
              <w:t>the Council operat</w:t>
            </w:r>
            <w:r w:rsidR="007A0212">
              <w:rPr>
                <w:color w:val="000000" w:themeColor="text1"/>
              </w:rPr>
              <w:t xml:space="preserve">ed </w:t>
            </w:r>
            <w:r w:rsidR="00CA16E0">
              <w:rPr>
                <w:color w:val="000000" w:themeColor="text1"/>
              </w:rPr>
              <w:t>using an</w:t>
            </w:r>
            <w:r w:rsidR="001B7ED6" w:rsidRPr="00160BA6">
              <w:rPr>
                <w:color w:val="000000" w:themeColor="text1"/>
              </w:rPr>
              <w:t xml:space="preserve"> on-line meeting</w:t>
            </w:r>
            <w:r w:rsidR="00CA16E0">
              <w:rPr>
                <w:color w:val="000000" w:themeColor="text1"/>
              </w:rPr>
              <w:t xml:space="preserve"> </w:t>
            </w:r>
            <w:r w:rsidR="00CA16E0">
              <w:rPr>
                <w:color w:val="000000" w:themeColor="text1"/>
              </w:rPr>
              <w:lastRenderedPageBreak/>
              <w:t>format</w:t>
            </w:r>
            <w:r w:rsidR="00821311" w:rsidRPr="00160BA6">
              <w:rPr>
                <w:color w:val="000000" w:themeColor="text1"/>
              </w:rPr>
              <w:t xml:space="preserve"> </w:t>
            </w:r>
            <w:r w:rsidR="004D3369" w:rsidRPr="00160BA6">
              <w:rPr>
                <w:color w:val="000000" w:themeColor="text1"/>
              </w:rPr>
              <w:t>(</w:t>
            </w:r>
            <w:r w:rsidR="00821311" w:rsidRPr="00160BA6">
              <w:rPr>
                <w:color w:val="000000" w:themeColor="text1"/>
              </w:rPr>
              <w:t>via</w:t>
            </w:r>
            <w:r w:rsidR="00CA16E0">
              <w:rPr>
                <w:color w:val="000000" w:themeColor="text1"/>
              </w:rPr>
              <w:t xml:space="preserve"> MS</w:t>
            </w:r>
            <w:r w:rsidR="00821311" w:rsidRPr="00160BA6">
              <w:rPr>
                <w:color w:val="000000" w:themeColor="text1"/>
              </w:rPr>
              <w:t xml:space="preserve"> Teams</w:t>
            </w:r>
            <w:r w:rsidR="004D3369" w:rsidRPr="00160BA6">
              <w:rPr>
                <w:color w:val="000000" w:themeColor="text1"/>
              </w:rPr>
              <w:t>)</w:t>
            </w:r>
            <w:r w:rsidR="00CA16E0">
              <w:rPr>
                <w:color w:val="000000" w:themeColor="text1"/>
              </w:rPr>
              <w:t>,</w:t>
            </w:r>
            <w:r w:rsidR="00160F01" w:rsidRPr="00160BA6">
              <w:rPr>
                <w:color w:val="000000" w:themeColor="text1"/>
              </w:rPr>
              <w:t xml:space="preserve"> attendants</w:t>
            </w:r>
            <w:r w:rsidR="00821311" w:rsidRPr="00160BA6">
              <w:rPr>
                <w:color w:val="000000" w:themeColor="text1"/>
              </w:rPr>
              <w:t xml:space="preserve"> of the meeting</w:t>
            </w:r>
            <w:r w:rsidR="00160F01" w:rsidRPr="00160BA6">
              <w:rPr>
                <w:color w:val="000000" w:themeColor="text1"/>
              </w:rPr>
              <w:t xml:space="preserve"> that declare an interest </w:t>
            </w:r>
            <w:r w:rsidR="00CA16E0">
              <w:rPr>
                <w:color w:val="000000" w:themeColor="text1"/>
              </w:rPr>
              <w:t>we</w:t>
            </w:r>
            <w:r w:rsidR="00160F01" w:rsidRPr="00160BA6">
              <w:rPr>
                <w:color w:val="000000" w:themeColor="text1"/>
              </w:rPr>
              <w:t>re required to leave the</w:t>
            </w:r>
            <w:r w:rsidR="004D3369" w:rsidRPr="00160BA6">
              <w:rPr>
                <w:color w:val="000000" w:themeColor="text1"/>
              </w:rPr>
              <w:t xml:space="preserve"> virtual</w:t>
            </w:r>
            <w:r w:rsidR="00160F01" w:rsidRPr="00160BA6">
              <w:rPr>
                <w:color w:val="000000" w:themeColor="text1"/>
              </w:rPr>
              <w:t xml:space="preserve"> meeting</w:t>
            </w:r>
            <w:r w:rsidR="004D3369" w:rsidRPr="00160BA6">
              <w:rPr>
                <w:color w:val="000000" w:themeColor="text1"/>
              </w:rPr>
              <w:t xml:space="preserve"> room. </w:t>
            </w:r>
          </w:p>
          <w:p w14:paraId="559D89C2" w14:textId="77777777" w:rsidR="00704B03" w:rsidRPr="00160BA6" w:rsidRDefault="00704B03" w:rsidP="002A76F4">
            <w:pPr>
              <w:autoSpaceDE w:val="0"/>
              <w:adjustRightInd w:val="0"/>
              <w:spacing w:before="60"/>
              <w:contextualSpacing/>
              <w:rPr>
                <w:rFonts w:cs="Arial"/>
                <w:bCs/>
                <w:color w:val="000000" w:themeColor="text1"/>
              </w:rPr>
            </w:pPr>
          </w:p>
          <w:p w14:paraId="17BABA62" w14:textId="13DDD8DE" w:rsidR="000245EA"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T</w:t>
            </w:r>
            <w:r w:rsidR="005F2FC9" w:rsidRPr="00160BA6">
              <w:rPr>
                <w:rFonts w:cs="Arial"/>
                <w:bCs/>
                <w:color w:val="000000" w:themeColor="text1"/>
              </w:rPr>
              <w:t xml:space="preserve">he </w:t>
            </w:r>
            <w:r w:rsidR="00213944" w:rsidRPr="00160BA6">
              <w:rPr>
                <w:rFonts w:cs="Arial"/>
                <w:bCs/>
                <w:color w:val="000000" w:themeColor="text1"/>
              </w:rPr>
              <w:t>C</w:t>
            </w:r>
            <w:r w:rsidRPr="00160BA6">
              <w:rPr>
                <w:rFonts w:cs="Arial"/>
                <w:bCs/>
                <w:color w:val="000000" w:themeColor="text1"/>
              </w:rPr>
              <w:t>ouncil also maintain</w:t>
            </w:r>
            <w:r w:rsidR="002169B4">
              <w:rPr>
                <w:rFonts w:cs="Arial"/>
                <w:bCs/>
                <w:color w:val="000000" w:themeColor="text1"/>
              </w:rPr>
              <w:t>s</w:t>
            </w:r>
            <w:r w:rsidRPr="00160BA6">
              <w:rPr>
                <w:rFonts w:cs="Arial"/>
                <w:bCs/>
                <w:color w:val="000000" w:themeColor="text1"/>
              </w:rPr>
              <w:t xml:space="preserve"> a </w:t>
            </w:r>
            <w:r w:rsidR="005F2FC9" w:rsidRPr="00160BA6">
              <w:rPr>
                <w:rFonts w:cs="Arial"/>
                <w:bCs/>
                <w:color w:val="000000" w:themeColor="text1"/>
              </w:rPr>
              <w:t xml:space="preserve">Gifts and Hospitalities register </w:t>
            </w:r>
            <w:r w:rsidRPr="00160BA6">
              <w:rPr>
                <w:rFonts w:cs="Arial"/>
                <w:bCs/>
                <w:color w:val="000000" w:themeColor="text1"/>
              </w:rPr>
              <w:t>to ensure</w:t>
            </w:r>
            <w:r w:rsidR="005F2FC9" w:rsidRPr="00160BA6">
              <w:rPr>
                <w:rFonts w:cs="Arial"/>
                <w:bCs/>
                <w:color w:val="000000" w:themeColor="text1"/>
              </w:rPr>
              <w:t xml:space="preserve"> that Members and </w:t>
            </w:r>
            <w:r w:rsidR="005F2FC9" w:rsidRPr="00B41F12">
              <w:rPr>
                <w:rFonts w:cs="Arial"/>
                <w:bCs/>
                <w:color w:val="000000" w:themeColor="text1"/>
              </w:rPr>
              <w:t xml:space="preserve">officers declare any </w:t>
            </w:r>
            <w:r w:rsidRPr="00B41F12">
              <w:rPr>
                <w:rFonts w:cs="Arial"/>
                <w:bCs/>
                <w:color w:val="000000" w:themeColor="text1"/>
              </w:rPr>
              <w:t xml:space="preserve">gifts and hospitality in an open and transparent manner.  The Gifts and </w:t>
            </w:r>
            <w:r w:rsidR="00CA16E0" w:rsidRPr="00B41F12">
              <w:rPr>
                <w:rFonts w:cs="Arial"/>
                <w:bCs/>
                <w:color w:val="000000" w:themeColor="text1"/>
              </w:rPr>
              <w:t>H</w:t>
            </w:r>
            <w:r w:rsidRPr="00B41F12">
              <w:rPr>
                <w:rFonts w:cs="Arial"/>
                <w:bCs/>
                <w:color w:val="000000" w:themeColor="text1"/>
              </w:rPr>
              <w:t xml:space="preserve">ospitality </w:t>
            </w:r>
            <w:r w:rsidR="002169B4">
              <w:rPr>
                <w:rFonts w:cs="Arial"/>
                <w:bCs/>
                <w:color w:val="000000" w:themeColor="text1"/>
              </w:rPr>
              <w:t>P</w:t>
            </w:r>
            <w:r w:rsidRPr="00B41F12">
              <w:rPr>
                <w:rFonts w:cs="Arial"/>
                <w:bCs/>
                <w:color w:val="000000" w:themeColor="text1"/>
              </w:rPr>
              <w:t>olicy</w:t>
            </w:r>
            <w:r w:rsidR="00184F81" w:rsidRPr="00B41F12">
              <w:rPr>
                <w:rFonts w:cs="Arial"/>
                <w:bCs/>
                <w:color w:val="000000" w:themeColor="text1"/>
              </w:rPr>
              <w:t xml:space="preserve"> has been reviewed during </w:t>
            </w:r>
            <w:r w:rsidR="00B64FD3" w:rsidRPr="00B41F12">
              <w:rPr>
                <w:rFonts w:cs="Arial"/>
                <w:bCs/>
                <w:color w:val="000000" w:themeColor="text1"/>
              </w:rPr>
              <w:t>2021/22</w:t>
            </w:r>
            <w:r w:rsidR="00B64FD3">
              <w:rPr>
                <w:rFonts w:cs="Arial"/>
                <w:bCs/>
                <w:color w:val="000000" w:themeColor="text1"/>
              </w:rPr>
              <w:t xml:space="preserve"> and</w:t>
            </w:r>
            <w:r w:rsidR="00184F81" w:rsidRPr="00B41F12">
              <w:rPr>
                <w:rFonts w:cs="Arial"/>
                <w:bCs/>
                <w:color w:val="000000" w:themeColor="text1"/>
              </w:rPr>
              <w:t xml:space="preserve"> has been launched in May 2022</w:t>
            </w:r>
            <w:r w:rsidRPr="00B41F12">
              <w:rPr>
                <w:rFonts w:cs="Arial"/>
                <w:bCs/>
                <w:color w:val="000000" w:themeColor="text1"/>
              </w:rPr>
              <w:t>.</w:t>
            </w:r>
            <w:r w:rsidR="00B41F12">
              <w:rPr>
                <w:rFonts w:cs="Arial"/>
                <w:bCs/>
                <w:color w:val="000000" w:themeColor="text1"/>
              </w:rPr>
              <w:t xml:space="preserve"> </w:t>
            </w:r>
            <w:r w:rsidR="000D2E06">
              <w:rPr>
                <w:rFonts w:cs="Arial"/>
                <w:bCs/>
                <w:color w:val="000000" w:themeColor="text1"/>
              </w:rPr>
              <w:t xml:space="preserve"> </w:t>
            </w:r>
            <w:r w:rsidR="00B41F12">
              <w:rPr>
                <w:rFonts w:cs="Arial"/>
                <w:bCs/>
                <w:color w:val="000000" w:themeColor="text1"/>
              </w:rPr>
              <w:t>Individual teams have been instructed to adopt the revised policy, hold details of any gifts and hospitality</w:t>
            </w:r>
            <w:r w:rsidR="00CA522D">
              <w:rPr>
                <w:rFonts w:cs="Arial"/>
                <w:bCs/>
                <w:color w:val="000000" w:themeColor="text1"/>
              </w:rPr>
              <w:t xml:space="preserve"> offered, accepted, and declined,</w:t>
            </w:r>
            <w:r w:rsidR="00B41F12">
              <w:rPr>
                <w:rFonts w:cs="Arial"/>
                <w:bCs/>
                <w:color w:val="000000" w:themeColor="text1"/>
              </w:rPr>
              <w:t xml:space="preserve"> whilst reporting up into a Directorate</w:t>
            </w:r>
            <w:r w:rsidR="00B64FD3">
              <w:rPr>
                <w:rFonts w:cs="Arial"/>
                <w:bCs/>
                <w:color w:val="000000" w:themeColor="text1"/>
              </w:rPr>
              <w:t>-</w:t>
            </w:r>
            <w:r w:rsidR="00CA522D">
              <w:rPr>
                <w:rFonts w:cs="Arial"/>
                <w:bCs/>
                <w:color w:val="000000" w:themeColor="text1"/>
              </w:rPr>
              <w:t>held register</w:t>
            </w:r>
            <w:r w:rsidR="00B64FD3">
              <w:rPr>
                <w:rFonts w:cs="Arial"/>
                <w:bCs/>
                <w:color w:val="000000" w:themeColor="text1"/>
              </w:rPr>
              <w:t>s</w:t>
            </w:r>
            <w:r w:rsidR="00CA522D">
              <w:rPr>
                <w:rFonts w:cs="Arial"/>
                <w:bCs/>
                <w:color w:val="000000" w:themeColor="text1"/>
              </w:rPr>
              <w:t xml:space="preserve"> for completeness.</w:t>
            </w:r>
            <w:r w:rsidRPr="00160BA6">
              <w:rPr>
                <w:rFonts w:cs="Arial"/>
                <w:bCs/>
                <w:color w:val="000000" w:themeColor="text1"/>
              </w:rPr>
              <w:t xml:space="preserve"> </w:t>
            </w:r>
            <w:r w:rsidR="00CA522D">
              <w:rPr>
                <w:rFonts w:cs="Arial"/>
                <w:bCs/>
                <w:color w:val="000000" w:themeColor="text1"/>
              </w:rPr>
              <w:t>T</w:t>
            </w:r>
            <w:r w:rsidRPr="00160BA6">
              <w:rPr>
                <w:rFonts w:cs="Arial"/>
                <w:bCs/>
                <w:color w:val="000000" w:themeColor="text1"/>
              </w:rPr>
              <w:t xml:space="preserve">here has been </w:t>
            </w:r>
            <w:r w:rsidR="00B64FD3">
              <w:rPr>
                <w:rFonts w:cs="Arial"/>
                <w:bCs/>
                <w:color w:val="000000" w:themeColor="text1"/>
              </w:rPr>
              <w:t xml:space="preserve">a continued </w:t>
            </w:r>
            <w:r w:rsidRPr="00160BA6">
              <w:rPr>
                <w:rFonts w:cs="Arial"/>
                <w:bCs/>
                <w:color w:val="000000" w:themeColor="text1"/>
              </w:rPr>
              <w:t xml:space="preserve">reduction in gifts and hospitality being declared by officers, whilst this </w:t>
            </w:r>
            <w:r w:rsidR="002C549B" w:rsidRPr="00160BA6">
              <w:rPr>
                <w:rFonts w:cs="Arial"/>
                <w:bCs/>
                <w:color w:val="000000" w:themeColor="text1"/>
              </w:rPr>
              <w:t>is likely to</w:t>
            </w:r>
            <w:r w:rsidR="009307CF" w:rsidRPr="00160BA6">
              <w:rPr>
                <w:rFonts w:cs="Arial"/>
                <w:bCs/>
                <w:color w:val="000000" w:themeColor="text1"/>
              </w:rPr>
              <w:t xml:space="preserve"> be related to</w:t>
            </w:r>
            <w:r w:rsidR="002C549B" w:rsidRPr="00160BA6">
              <w:rPr>
                <w:rFonts w:cs="Arial"/>
                <w:bCs/>
                <w:color w:val="000000" w:themeColor="text1"/>
              </w:rPr>
              <w:t xml:space="preserve"> the pandemic</w:t>
            </w:r>
            <w:r w:rsidR="009307CF" w:rsidRPr="00160BA6">
              <w:rPr>
                <w:rFonts w:cs="Arial"/>
                <w:bCs/>
                <w:color w:val="000000" w:themeColor="text1"/>
              </w:rPr>
              <w:t xml:space="preserve"> (</w:t>
            </w:r>
            <w:r w:rsidRPr="00160BA6">
              <w:rPr>
                <w:rFonts w:cs="Arial"/>
                <w:bCs/>
                <w:color w:val="000000" w:themeColor="text1"/>
              </w:rPr>
              <w:t>less gifts and hospitality ha</w:t>
            </w:r>
            <w:r w:rsidR="00170836" w:rsidRPr="00160BA6">
              <w:rPr>
                <w:rFonts w:cs="Arial"/>
                <w:bCs/>
                <w:color w:val="000000" w:themeColor="text1"/>
              </w:rPr>
              <w:t>ve</w:t>
            </w:r>
            <w:r w:rsidRPr="00160BA6">
              <w:rPr>
                <w:rFonts w:cs="Arial"/>
                <w:bCs/>
                <w:color w:val="000000" w:themeColor="text1"/>
              </w:rPr>
              <w:t xml:space="preserve"> been offered</w:t>
            </w:r>
            <w:r w:rsidR="009307CF" w:rsidRPr="00160BA6">
              <w:rPr>
                <w:rFonts w:cs="Arial"/>
                <w:bCs/>
                <w:color w:val="000000" w:themeColor="text1"/>
              </w:rPr>
              <w:t>)</w:t>
            </w:r>
            <w:r w:rsidR="00B64FD3">
              <w:rPr>
                <w:rFonts w:cs="Arial"/>
                <w:bCs/>
                <w:color w:val="000000" w:themeColor="text1"/>
              </w:rPr>
              <w:t xml:space="preserve">, there is an expectation that this may increase </w:t>
            </w:r>
            <w:r w:rsidR="00E40A83">
              <w:rPr>
                <w:rFonts w:cs="Arial"/>
                <w:bCs/>
                <w:color w:val="000000" w:themeColor="text1"/>
              </w:rPr>
              <w:t xml:space="preserve">during 2022/23, </w:t>
            </w:r>
            <w:r w:rsidR="003055DF">
              <w:rPr>
                <w:rFonts w:cs="Arial"/>
                <w:bCs/>
                <w:color w:val="000000" w:themeColor="text1"/>
              </w:rPr>
              <w:t>therefore,</w:t>
            </w:r>
            <w:r w:rsidR="00170836" w:rsidRPr="00160BA6">
              <w:rPr>
                <w:rFonts w:cs="Arial"/>
                <w:bCs/>
                <w:color w:val="000000" w:themeColor="text1"/>
              </w:rPr>
              <w:t xml:space="preserve"> to ensure all gifts and hospitality are recorded</w:t>
            </w:r>
            <w:r w:rsidRPr="00160BA6">
              <w:rPr>
                <w:rFonts w:cs="Arial"/>
                <w:bCs/>
                <w:color w:val="000000" w:themeColor="text1"/>
              </w:rPr>
              <w:t xml:space="preserve"> we will be promoting the requirements for officers throughout </w:t>
            </w:r>
            <w:r w:rsidR="002C549B" w:rsidRPr="00160BA6">
              <w:rPr>
                <w:rFonts w:cs="Arial"/>
                <w:bCs/>
                <w:color w:val="000000" w:themeColor="text1"/>
              </w:rPr>
              <w:t>202</w:t>
            </w:r>
            <w:r w:rsidR="008B0287">
              <w:rPr>
                <w:rFonts w:cs="Arial"/>
                <w:bCs/>
                <w:color w:val="000000" w:themeColor="text1"/>
              </w:rPr>
              <w:t>2</w:t>
            </w:r>
            <w:r w:rsidR="002C549B" w:rsidRPr="00160BA6">
              <w:rPr>
                <w:rFonts w:cs="Arial"/>
                <w:bCs/>
                <w:color w:val="000000" w:themeColor="text1"/>
              </w:rPr>
              <w:t>/2</w:t>
            </w:r>
            <w:r w:rsidR="008B0287">
              <w:rPr>
                <w:rFonts w:cs="Arial"/>
                <w:bCs/>
                <w:color w:val="000000" w:themeColor="text1"/>
              </w:rPr>
              <w:t>3</w:t>
            </w:r>
            <w:r w:rsidRPr="00160BA6">
              <w:rPr>
                <w:rFonts w:cs="Arial"/>
                <w:bCs/>
                <w:color w:val="000000" w:themeColor="text1"/>
              </w:rPr>
              <w:t xml:space="preserve">. </w:t>
            </w:r>
          </w:p>
          <w:p w14:paraId="718D1272" w14:textId="77777777" w:rsidR="00475E65" w:rsidRPr="00160BA6" w:rsidRDefault="00475E65" w:rsidP="002A76F4">
            <w:pPr>
              <w:autoSpaceDE w:val="0"/>
              <w:adjustRightInd w:val="0"/>
              <w:spacing w:before="60"/>
              <w:contextualSpacing/>
              <w:rPr>
                <w:rFonts w:cs="Arial"/>
                <w:bCs/>
                <w:color w:val="000000" w:themeColor="text1"/>
              </w:rPr>
            </w:pPr>
          </w:p>
          <w:p w14:paraId="4C099F3E" w14:textId="77777777" w:rsidR="00205D88" w:rsidRPr="00160BA6" w:rsidRDefault="002619AA" w:rsidP="002A76F4">
            <w:pPr>
              <w:pStyle w:val="Default"/>
              <w:spacing w:before="60"/>
              <w:rPr>
                <w:color w:val="000000" w:themeColor="text1"/>
              </w:rPr>
            </w:pPr>
            <w:r w:rsidRPr="00160BA6">
              <w:rPr>
                <w:color w:val="000000" w:themeColor="text1"/>
              </w:rPr>
              <w:t xml:space="preserve">The Council </w:t>
            </w:r>
            <w:r w:rsidR="00921095" w:rsidRPr="00160BA6">
              <w:rPr>
                <w:color w:val="000000" w:themeColor="text1"/>
              </w:rPr>
              <w:t>has sought</w:t>
            </w:r>
            <w:r w:rsidRPr="00160BA6">
              <w:rPr>
                <w:color w:val="000000" w:themeColor="text1"/>
              </w:rPr>
              <w:t xml:space="preserve"> feedback from the public through its complaints and comments procedures and </w:t>
            </w:r>
            <w:r w:rsidR="00921095" w:rsidRPr="00160BA6">
              <w:rPr>
                <w:color w:val="000000" w:themeColor="text1"/>
              </w:rPr>
              <w:t xml:space="preserve">has </w:t>
            </w:r>
            <w:r w:rsidRPr="00160BA6">
              <w:rPr>
                <w:color w:val="000000" w:themeColor="text1"/>
              </w:rPr>
              <w:t>respond</w:t>
            </w:r>
            <w:r w:rsidR="00921095" w:rsidRPr="00160BA6">
              <w:rPr>
                <w:color w:val="000000" w:themeColor="text1"/>
              </w:rPr>
              <w:t>ed</w:t>
            </w:r>
            <w:r w:rsidRPr="00160BA6">
              <w:rPr>
                <w:color w:val="000000" w:themeColor="text1"/>
              </w:rPr>
              <w:t xml:space="preserve"> to the outcomes as appropriate. </w:t>
            </w:r>
          </w:p>
          <w:p w14:paraId="282EE2DE" w14:textId="77777777" w:rsidR="00205D88" w:rsidRPr="00160BA6" w:rsidRDefault="00205D88" w:rsidP="002A76F4">
            <w:pPr>
              <w:autoSpaceDE w:val="0"/>
              <w:adjustRightInd w:val="0"/>
              <w:spacing w:before="60"/>
              <w:contextualSpacing/>
              <w:rPr>
                <w:rFonts w:cs="Arial"/>
                <w:bCs/>
                <w:color w:val="000000" w:themeColor="text1"/>
              </w:rPr>
            </w:pPr>
          </w:p>
          <w:p w14:paraId="29C23438" w14:textId="77777777" w:rsidR="00205D88" w:rsidRPr="00160BA6" w:rsidRDefault="002619AA" w:rsidP="002A76F4">
            <w:pPr>
              <w:pStyle w:val="Default"/>
              <w:spacing w:before="60"/>
              <w:rPr>
                <w:color w:val="000000" w:themeColor="text1"/>
              </w:rPr>
            </w:pPr>
            <w:r w:rsidRPr="00160BA6">
              <w:rPr>
                <w:color w:val="000000" w:themeColor="text1"/>
              </w:rPr>
              <w:t xml:space="preserve">The Council’s Audit Committee </w:t>
            </w:r>
            <w:r w:rsidR="756F0089" w:rsidRPr="00160BA6">
              <w:rPr>
                <w:color w:val="000000" w:themeColor="text1"/>
              </w:rPr>
              <w:t xml:space="preserve">has </w:t>
            </w:r>
            <w:r w:rsidRPr="00160BA6">
              <w:rPr>
                <w:color w:val="000000" w:themeColor="text1"/>
              </w:rPr>
              <w:t>me</w:t>
            </w:r>
            <w:r w:rsidR="756F0089" w:rsidRPr="00160BA6">
              <w:rPr>
                <w:color w:val="000000" w:themeColor="text1"/>
              </w:rPr>
              <w:t xml:space="preserve">t </w:t>
            </w:r>
            <w:r w:rsidRPr="00160BA6">
              <w:rPr>
                <w:color w:val="000000" w:themeColor="text1"/>
              </w:rPr>
              <w:t xml:space="preserve">throughout the year and </w:t>
            </w:r>
            <w:r w:rsidR="756F0089" w:rsidRPr="00160BA6">
              <w:rPr>
                <w:color w:val="000000" w:themeColor="text1"/>
              </w:rPr>
              <w:t xml:space="preserve">has </w:t>
            </w:r>
            <w:r w:rsidRPr="00160BA6">
              <w:rPr>
                <w:color w:val="000000" w:themeColor="text1"/>
              </w:rPr>
              <w:t>consider</w:t>
            </w:r>
            <w:r w:rsidR="756F0089" w:rsidRPr="00160BA6">
              <w:rPr>
                <w:color w:val="000000" w:themeColor="text1"/>
              </w:rPr>
              <w:t>ed reports from</w:t>
            </w:r>
            <w:r w:rsidRPr="00160BA6">
              <w:rPr>
                <w:color w:val="000000" w:themeColor="text1"/>
              </w:rPr>
              <w:t xml:space="preserve"> internal and external audit </w:t>
            </w:r>
            <w:r w:rsidR="756F0089" w:rsidRPr="00160BA6">
              <w:rPr>
                <w:color w:val="000000" w:themeColor="text1"/>
              </w:rPr>
              <w:t>as well as other</w:t>
            </w:r>
            <w:r w:rsidRPr="00160BA6">
              <w:rPr>
                <w:color w:val="000000" w:themeColor="text1"/>
              </w:rPr>
              <w:t xml:space="preserve"> updates, reports, and advice from the Chief Financial Officer and </w:t>
            </w:r>
            <w:r w:rsidR="4132706D" w:rsidRPr="00160BA6">
              <w:rPr>
                <w:color w:val="000000" w:themeColor="text1"/>
              </w:rPr>
              <w:t xml:space="preserve">the </w:t>
            </w:r>
            <w:r w:rsidRPr="00160BA6">
              <w:rPr>
                <w:color w:val="000000" w:themeColor="text1"/>
              </w:rPr>
              <w:t xml:space="preserve">Monitoring Officer. </w:t>
            </w:r>
            <w:r w:rsidR="7F1C6236" w:rsidRPr="00160BA6">
              <w:rPr>
                <w:color w:val="000000" w:themeColor="text1"/>
              </w:rPr>
              <w:t xml:space="preserve"> </w:t>
            </w:r>
          </w:p>
          <w:p w14:paraId="1A5A0C75" w14:textId="77777777" w:rsidR="001F1E1F" w:rsidRPr="00160BA6" w:rsidRDefault="001F1E1F" w:rsidP="002A76F4">
            <w:pPr>
              <w:pStyle w:val="Default"/>
              <w:spacing w:before="60"/>
              <w:rPr>
                <w:color w:val="000000" w:themeColor="text1"/>
              </w:rPr>
            </w:pPr>
          </w:p>
          <w:p w14:paraId="0B9C9C41" w14:textId="0C10C931" w:rsidR="001F1E1F" w:rsidRPr="00160BA6" w:rsidRDefault="002619AA" w:rsidP="002A76F4">
            <w:pPr>
              <w:pStyle w:val="Default"/>
              <w:spacing w:before="60"/>
              <w:rPr>
                <w:color w:val="000000" w:themeColor="text1"/>
              </w:rPr>
            </w:pPr>
            <w:r w:rsidRPr="00160BA6">
              <w:rPr>
                <w:color w:val="000000" w:themeColor="text1"/>
              </w:rPr>
              <w:t xml:space="preserve">The Council </w:t>
            </w:r>
            <w:r w:rsidR="00170836" w:rsidRPr="00160BA6">
              <w:rPr>
                <w:color w:val="000000" w:themeColor="text1"/>
              </w:rPr>
              <w:t xml:space="preserve">routinely </w:t>
            </w:r>
            <w:r w:rsidRPr="00160BA6">
              <w:rPr>
                <w:color w:val="000000" w:themeColor="text1"/>
              </w:rPr>
              <w:t>provides training for its Member</w:t>
            </w:r>
            <w:r w:rsidR="00E40A83">
              <w:rPr>
                <w:color w:val="000000" w:themeColor="text1"/>
              </w:rPr>
              <w:t>s, on numerous topics including</w:t>
            </w:r>
            <w:r w:rsidRPr="00160BA6">
              <w:rPr>
                <w:color w:val="000000" w:themeColor="text1"/>
              </w:rPr>
              <w:t xml:space="preserve"> </w:t>
            </w:r>
            <w:r w:rsidR="003F3736">
              <w:rPr>
                <w:color w:val="000000" w:themeColor="text1"/>
              </w:rPr>
              <w:t xml:space="preserve">financial management, risk, governance, and </w:t>
            </w:r>
            <w:r w:rsidRPr="00160BA6">
              <w:rPr>
                <w:color w:val="000000" w:themeColor="text1"/>
              </w:rPr>
              <w:t>ethics.</w:t>
            </w:r>
            <w:r w:rsidR="003F3736">
              <w:rPr>
                <w:color w:val="000000" w:themeColor="text1"/>
              </w:rPr>
              <w:t xml:space="preserve"> Given the results of the 5 May 2022 local elections has resulted in numerous Member </w:t>
            </w:r>
            <w:r w:rsidR="003F3736" w:rsidRPr="00AF6E2D">
              <w:rPr>
                <w:color w:val="000000" w:themeColor="text1"/>
              </w:rPr>
              <w:t xml:space="preserve">changes, </w:t>
            </w:r>
            <w:r w:rsidRPr="00AF6E2D">
              <w:rPr>
                <w:color w:val="000000" w:themeColor="text1"/>
              </w:rPr>
              <w:t xml:space="preserve">member training on </w:t>
            </w:r>
            <w:r w:rsidR="00170836" w:rsidRPr="00AF6E2D">
              <w:rPr>
                <w:color w:val="000000" w:themeColor="text1"/>
              </w:rPr>
              <w:t>e</w:t>
            </w:r>
            <w:r w:rsidRPr="00AF6E2D">
              <w:rPr>
                <w:color w:val="000000" w:themeColor="text1"/>
              </w:rPr>
              <w:t xml:space="preserve">thics and </w:t>
            </w:r>
            <w:r w:rsidR="00170836" w:rsidRPr="00AF6E2D">
              <w:rPr>
                <w:color w:val="000000" w:themeColor="text1"/>
              </w:rPr>
              <w:t>p</w:t>
            </w:r>
            <w:r w:rsidRPr="00AF6E2D">
              <w:rPr>
                <w:color w:val="000000" w:themeColor="text1"/>
              </w:rPr>
              <w:t>robity</w:t>
            </w:r>
            <w:r w:rsidR="00AF6E2D" w:rsidRPr="00AF6E2D">
              <w:rPr>
                <w:color w:val="000000" w:themeColor="text1"/>
              </w:rPr>
              <w:t xml:space="preserve">, as well as other topics, will be </w:t>
            </w:r>
            <w:r w:rsidR="00816690" w:rsidRPr="00AF6E2D">
              <w:rPr>
                <w:color w:val="000000" w:themeColor="text1"/>
              </w:rPr>
              <w:t>provided</w:t>
            </w:r>
            <w:r w:rsidR="00471447" w:rsidRPr="00AF6E2D">
              <w:rPr>
                <w:color w:val="000000" w:themeColor="text1"/>
              </w:rPr>
              <w:t xml:space="preserve"> during 202</w:t>
            </w:r>
            <w:r w:rsidR="00AF6E2D" w:rsidRPr="00AF6E2D">
              <w:rPr>
                <w:color w:val="000000" w:themeColor="text1"/>
              </w:rPr>
              <w:t>2</w:t>
            </w:r>
            <w:r w:rsidR="00471447" w:rsidRPr="00AF6E2D">
              <w:rPr>
                <w:color w:val="000000" w:themeColor="text1"/>
              </w:rPr>
              <w:t>/2</w:t>
            </w:r>
            <w:r w:rsidR="00AF6E2D" w:rsidRPr="00AF6E2D">
              <w:rPr>
                <w:color w:val="000000" w:themeColor="text1"/>
              </w:rPr>
              <w:t>3</w:t>
            </w:r>
            <w:r w:rsidR="00471447" w:rsidRPr="00AF6E2D">
              <w:rPr>
                <w:color w:val="000000" w:themeColor="text1"/>
              </w:rPr>
              <w:t>.</w:t>
            </w:r>
            <w:r w:rsidR="00816690" w:rsidRPr="00160BA6">
              <w:rPr>
                <w:color w:val="000000" w:themeColor="text1"/>
              </w:rPr>
              <w:t xml:space="preserve"> </w:t>
            </w:r>
          </w:p>
          <w:p w14:paraId="1223227D" w14:textId="77777777" w:rsidR="005F2FC9" w:rsidRPr="00160BA6" w:rsidRDefault="005F2FC9" w:rsidP="002A76F4">
            <w:pPr>
              <w:autoSpaceDE w:val="0"/>
              <w:adjustRightInd w:val="0"/>
              <w:spacing w:before="60"/>
              <w:contextualSpacing/>
              <w:rPr>
                <w:rFonts w:cs="Arial"/>
                <w:color w:val="000000" w:themeColor="text1"/>
              </w:rPr>
            </w:pPr>
          </w:p>
        </w:tc>
      </w:tr>
      <w:tr w:rsidR="007E37FA" w:rsidRPr="00160BA6" w14:paraId="5771CAC2" w14:textId="77777777" w:rsidTr="034273BC">
        <w:tc>
          <w:tcPr>
            <w:tcW w:w="3510" w:type="dxa"/>
          </w:tcPr>
          <w:p w14:paraId="2AD72710" w14:textId="77777777" w:rsidR="00205D88" w:rsidRPr="00160BA6" w:rsidRDefault="002619AA" w:rsidP="00226C1E">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Ensuring openness and comprehensive stakeholder engagement.</w:t>
            </w:r>
          </w:p>
          <w:p w14:paraId="1B0253A7" w14:textId="77777777" w:rsidR="005F2FC9" w:rsidRPr="00160BA6" w:rsidRDefault="005F2FC9" w:rsidP="002A76F4">
            <w:pPr>
              <w:spacing w:before="60"/>
              <w:rPr>
                <w:rFonts w:cs="Arial"/>
                <w:color w:val="000000" w:themeColor="text1"/>
              </w:rPr>
            </w:pPr>
          </w:p>
        </w:tc>
        <w:tc>
          <w:tcPr>
            <w:tcW w:w="10664" w:type="dxa"/>
          </w:tcPr>
          <w:p w14:paraId="434FE20B" w14:textId="77777777" w:rsidR="00205D88" w:rsidRPr="00160BA6" w:rsidRDefault="002619AA" w:rsidP="002A76F4">
            <w:pPr>
              <w:pStyle w:val="Default"/>
              <w:spacing w:before="60"/>
              <w:rPr>
                <w:color w:val="000000" w:themeColor="text1"/>
              </w:rPr>
            </w:pPr>
            <w:r w:rsidRPr="00160BA6">
              <w:rPr>
                <w:color w:val="000000" w:themeColor="text1"/>
              </w:rPr>
              <w:t>Council meetings</w:t>
            </w:r>
            <w:r w:rsidR="00170836" w:rsidRPr="00160BA6">
              <w:rPr>
                <w:color w:val="000000" w:themeColor="text1"/>
              </w:rPr>
              <w:t xml:space="preserve"> and Committees</w:t>
            </w:r>
            <w:r w:rsidRPr="00160BA6">
              <w:rPr>
                <w:color w:val="000000" w:themeColor="text1"/>
              </w:rPr>
              <w:t xml:space="preserve"> are </w:t>
            </w:r>
            <w:r w:rsidR="006C4582" w:rsidRPr="00160BA6">
              <w:rPr>
                <w:color w:val="000000" w:themeColor="text1"/>
              </w:rPr>
              <w:t>routinely</w:t>
            </w:r>
            <w:r w:rsidR="00170836" w:rsidRPr="00160BA6">
              <w:rPr>
                <w:color w:val="000000" w:themeColor="text1"/>
              </w:rPr>
              <w:t xml:space="preserve"> </w:t>
            </w:r>
            <w:r w:rsidRPr="00160BA6">
              <w:rPr>
                <w:color w:val="000000" w:themeColor="text1"/>
              </w:rPr>
              <w:t xml:space="preserve">held in public unless there are good reasons for not doing so on the grounds of confidentiality/disclosure of exempt information which are provided for in statutory provisions. </w:t>
            </w:r>
          </w:p>
          <w:p w14:paraId="07AC9A9E" w14:textId="2DCB96F2" w:rsidR="00205D88" w:rsidRPr="00160BA6" w:rsidRDefault="002619AA" w:rsidP="002A76F4">
            <w:pPr>
              <w:pStyle w:val="Default"/>
              <w:spacing w:before="60"/>
              <w:rPr>
                <w:color w:val="000000" w:themeColor="text1"/>
              </w:rPr>
            </w:pPr>
            <w:r w:rsidRPr="00160BA6">
              <w:rPr>
                <w:color w:val="000000" w:themeColor="text1"/>
              </w:rPr>
              <w:t xml:space="preserve">The Council has invested in the technology to facilitate the webcasting of meetings meaning that stakeholders and residents can attend meetings if they wish to or watch them online. </w:t>
            </w:r>
            <w:r w:rsidR="00F5384F" w:rsidRPr="00160BA6">
              <w:rPr>
                <w:color w:val="000000" w:themeColor="text1"/>
              </w:rPr>
              <w:t>This technology has proven particularly</w:t>
            </w:r>
            <w:r w:rsidR="00170836" w:rsidRPr="00160BA6">
              <w:rPr>
                <w:color w:val="000000" w:themeColor="text1"/>
              </w:rPr>
              <w:t xml:space="preserve"> effective during the Covid-19 p</w:t>
            </w:r>
            <w:r w:rsidR="00F5384F" w:rsidRPr="00160BA6">
              <w:rPr>
                <w:color w:val="000000" w:themeColor="text1"/>
              </w:rPr>
              <w:t xml:space="preserve">andemic and enabled critical </w:t>
            </w:r>
            <w:r w:rsidR="00170836" w:rsidRPr="00160BA6">
              <w:rPr>
                <w:color w:val="000000" w:themeColor="text1"/>
              </w:rPr>
              <w:t>Committees</w:t>
            </w:r>
            <w:r w:rsidR="00F5384F" w:rsidRPr="00160BA6">
              <w:rPr>
                <w:color w:val="000000" w:themeColor="text1"/>
              </w:rPr>
              <w:t xml:space="preserve"> to </w:t>
            </w:r>
            <w:r w:rsidR="00170836" w:rsidRPr="00160BA6">
              <w:rPr>
                <w:color w:val="000000" w:themeColor="text1"/>
              </w:rPr>
              <w:t>continue</w:t>
            </w:r>
            <w:r w:rsidR="00F5384F" w:rsidRPr="00160BA6">
              <w:rPr>
                <w:color w:val="000000" w:themeColor="text1"/>
              </w:rPr>
              <w:t xml:space="preserve"> and be available to the public. </w:t>
            </w:r>
            <w:r w:rsidR="00AF6E2D">
              <w:rPr>
                <w:color w:val="000000" w:themeColor="text1"/>
              </w:rPr>
              <w:t>As the Council has exited the restrictions enforced by the pandemic, Council meetings</w:t>
            </w:r>
            <w:r w:rsidR="00497C65">
              <w:rPr>
                <w:color w:val="000000" w:themeColor="text1"/>
              </w:rPr>
              <w:t xml:space="preserve"> and Committees have returned to face-to-face meetings, with the option to attend virtually to observe.</w:t>
            </w:r>
          </w:p>
          <w:p w14:paraId="03B44BC3" w14:textId="77777777" w:rsidR="00205D88" w:rsidRPr="00160BA6" w:rsidRDefault="00205D88" w:rsidP="002A76F4">
            <w:pPr>
              <w:pStyle w:val="Default"/>
              <w:spacing w:before="60"/>
              <w:rPr>
                <w:color w:val="000000" w:themeColor="text1"/>
              </w:rPr>
            </w:pPr>
          </w:p>
          <w:p w14:paraId="36CB1955" w14:textId="77777777" w:rsidR="00205D88" w:rsidRPr="00160BA6" w:rsidRDefault="002619AA" w:rsidP="002A76F4">
            <w:pPr>
              <w:pStyle w:val="Default"/>
              <w:spacing w:before="60"/>
              <w:rPr>
                <w:color w:val="000000" w:themeColor="text1"/>
              </w:rPr>
            </w:pPr>
            <w:r w:rsidRPr="00160BA6">
              <w:rPr>
                <w:color w:val="000000" w:themeColor="text1"/>
              </w:rPr>
              <w:t>An online library of meeting agendas, attendance, supporting papers, decisions and minutes is maintained on the Council’s website</w:t>
            </w:r>
            <w:r w:rsidR="00921095" w:rsidRPr="00160BA6">
              <w:rPr>
                <w:color w:val="000000" w:themeColor="text1"/>
              </w:rPr>
              <w:t xml:space="preserve">. As a </w:t>
            </w:r>
            <w:r w:rsidR="00D029FD" w:rsidRPr="00160BA6">
              <w:rPr>
                <w:color w:val="000000" w:themeColor="text1"/>
              </w:rPr>
              <w:t>result,</w:t>
            </w:r>
            <w:r w:rsidR="00921095" w:rsidRPr="00160BA6">
              <w:rPr>
                <w:color w:val="000000" w:themeColor="text1"/>
              </w:rPr>
              <w:t xml:space="preserve"> the </w:t>
            </w:r>
            <w:r w:rsidRPr="00160BA6">
              <w:rPr>
                <w:color w:val="000000" w:themeColor="text1"/>
              </w:rPr>
              <w:t>decision-making process can be considered and reviewed by stakeholders and the public from inception through to final decision and any ultimate scrutiny.</w:t>
            </w:r>
          </w:p>
          <w:p w14:paraId="2897B323" w14:textId="77777777" w:rsidR="00205D88" w:rsidRPr="00160BA6" w:rsidRDefault="00205D88" w:rsidP="002A76F4">
            <w:pPr>
              <w:pStyle w:val="Default"/>
              <w:spacing w:before="60"/>
              <w:rPr>
                <w:color w:val="000000" w:themeColor="text1"/>
              </w:rPr>
            </w:pPr>
          </w:p>
          <w:p w14:paraId="5EC016B6" w14:textId="5EF3A84F" w:rsidR="0097536F" w:rsidRPr="00160BA6" w:rsidRDefault="002619AA" w:rsidP="002A76F4">
            <w:pPr>
              <w:pStyle w:val="Default"/>
              <w:spacing w:before="60"/>
              <w:rPr>
                <w:color w:val="000000" w:themeColor="text1"/>
              </w:rPr>
            </w:pPr>
            <w:r w:rsidRPr="00160BA6">
              <w:rPr>
                <w:color w:val="000000" w:themeColor="text1"/>
              </w:rPr>
              <w:t xml:space="preserve">The Council </w:t>
            </w:r>
            <w:r w:rsidR="00921095" w:rsidRPr="00160BA6">
              <w:rPr>
                <w:color w:val="000000" w:themeColor="text1"/>
              </w:rPr>
              <w:t>has sought</w:t>
            </w:r>
            <w:r w:rsidRPr="00160BA6">
              <w:rPr>
                <w:color w:val="000000" w:themeColor="text1"/>
              </w:rPr>
              <w:t xml:space="preserve"> community views on </w:t>
            </w:r>
            <w:r w:rsidRPr="00913491">
              <w:rPr>
                <w:color w:val="000000" w:themeColor="text1"/>
              </w:rPr>
              <w:t xml:space="preserve">a wide range of issues and </w:t>
            </w:r>
            <w:r w:rsidR="00921095" w:rsidRPr="00913491">
              <w:rPr>
                <w:color w:val="000000" w:themeColor="text1"/>
              </w:rPr>
              <w:t xml:space="preserve">has </w:t>
            </w:r>
            <w:r w:rsidRPr="00913491">
              <w:rPr>
                <w:color w:val="000000" w:themeColor="text1"/>
              </w:rPr>
              <w:t>undertake</w:t>
            </w:r>
            <w:r w:rsidR="00921095" w:rsidRPr="00913491">
              <w:rPr>
                <w:color w:val="000000" w:themeColor="text1"/>
              </w:rPr>
              <w:t>n</w:t>
            </w:r>
            <w:r w:rsidRPr="00913491">
              <w:rPr>
                <w:color w:val="000000" w:themeColor="text1"/>
              </w:rPr>
              <w:t xml:space="preserve"> regular consultation and engagement with citizens and service users. </w:t>
            </w:r>
            <w:r w:rsidR="00F5384F" w:rsidRPr="00913491">
              <w:rPr>
                <w:color w:val="000000" w:themeColor="text1"/>
              </w:rPr>
              <w:t xml:space="preserve"> </w:t>
            </w:r>
            <w:r w:rsidR="008B5D3C" w:rsidRPr="00913491">
              <w:rPr>
                <w:color w:val="000000" w:themeColor="text1"/>
              </w:rPr>
              <w:t>D</w:t>
            </w:r>
            <w:r w:rsidR="00F5384F" w:rsidRPr="00913491">
              <w:rPr>
                <w:color w:val="000000" w:themeColor="text1"/>
              </w:rPr>
              <w:t>uring 2019/20</w:t>
            </w:r>
            <w:r w:rsidR="008B5D3C" w:rsidRPr="00913491">
              <w:rPr>
                <w:color w:val="000000" w:themeColor="text1"/>
              </w:rPr>
              <w:t xml:space="preserve"> the Council</w:t>
            </w:r>
            <w:r w:rsidR="00F5384F" w:rsidRPr="00913491">
              <w:rPr>
                <w:color w:val="000000" w:themeColor="text1"/>
              </w:rPr>
              <w:t xml:space="preserve"> </w:t>
            </w:r>
            <w:r w:rsidR="008A5EB4" w:rsidRPr="00913491">
              <w:rPr>
                <w:color w:val="000000" w:themeColor="text1"/>
              </w:rPr>
              <w:t>launched</w:t>
            </w:r>
            <w:r w:rsidR="00F5384F" w:rsidRPr="00913491">
              <w:rPr>
                <w:color w:val="000000" w:themeColor="text1"/>
              </w:rPr>
              <w:t xml:space="preserve"> a Consultations Hub to better facilitate consultations. </w:t>
            </w:r>
            <w:r w:rsidRPr="00913491">
              <w:rPr>
                <w:color w:val="000000" w:themeColor="text1"/>
              </w:rPr>
              <w:t xml:space="preserve">Details of current, planned, and past consultations have been made available on the Council’s website along with information on how the public/stakeholders can put forward their views. </w:t>
            </w:r>
            <w:r w:rsidR="008B5D3C" w:rsidRPr="00913491">
              <w:rPr>
                <w:color w:val="000000" w:themeColor="text1"/>
              </w:rPr>
              <w:t xml:space="preserve"> </w:t>
            </w:r>
            <w:r w:rsidR="00DE4BA8" w:rsidRPr="00913491">
              <w:rPr>
                <w:color w:val="000000" w:themeColor="text1"/>
              </w:rPr>
              <w:t xml:space="preserve">The Hub has had a positive impact on consultation resulting in increased transparency and </w:t>
            </w:r>
            <w:r w:rsidR="00C36595" w:rsidRPr="00913491">
              <w:rPr>
                <w:color w:val="000000" w:themeColor="text1"/>
              </w:rPr>
              <w:t>accessibility providing the Council with a more balanced view of public opinion</w:t>
            </w:r>
            <w:r w:rsidR="00913491" w:rsidRPr="00913491">
              <w:rPr>
                <w:color w:val="000000" w:themeColor="text1"/>
              </w:rPr>
              <w:t xml:space="preserve"> as this has continued throughout 2020/21 and 2021/22</w:t>
            </w:r>
            <w:r w:rsidR="00C36595" w:rsidRPr="00913491">
              <w:rPr>
                <w:color w:val="000000" w:themeColor="text1"/>
              </w:rPr>
              <w:t>.</w:t>
            </w:r>
            <w:r w:rsidR="00C36595" w:rsidRPr="00160BA6">
              <w:rPr>
                <w:color w:val="000000" w:themeColor="text1"/>
              </w:rPr>
              <w:t xml:space="preserve"> </w:t>
            </w:r>
            <w:r w:rsidR="00DE4BA8" w:rsidRPr="00160BA6">
              <w:rPr>
                <w:color w:val="000000" w:themeColor="text1"/>
              </w:rPr>
              <w:t xml:space="preserve"> </w:t>
            </w:r>
          </w:p>
          <w:p w14:paraId="0A342B86" w14:textId="77777777" w:rsidR="00DE4BA8" w:rsidRPr="00160BA6" w:rsidRDefault="00DE4BA8" w:rsidP="002A76F4">
            <w:pPr>
              <w:pStyle w:val="Default"/>
              <w:spacing w:before="60"/>
              <w:rPr>
                <w:color w:val="000000" w:themeColor="text1"/>
              </w:rPr>
            </w:pPr>
          </w:p>
          <w:p w14:paraId="0E765A45" w14:textId="70201564" w:rsidR="001559C9" w:rsidRPr="00160BA6" w:rsidRDefault="002619AA" w:rsidP="002A76F4">
            <w:pPr>
              <w:autoSpaceDE w:val="0"/>
              <w:adjustRightInd w:val="0"/>
              <w:spacing w:before="60"/>
              <w:contextualSpacing/>
              <w:rPr>
                <w:rFonts w:cs="Arial"/>
                <w:bCs/>
                <w:color w:val="000000" w:themeColor="text1"/>
              </w:rPr>
            </w:pPr>
            <w:r w:rsidRPr="00160BA6">
              <w:rPr>
                <w:rFonts w:cs="Arial"/>
                <w:bCs/>
                <w:color w:val="000000" w:themeColor="text1"/>
              </w:rPr>
              <w:t xml:space="preserve">The Council’s Overview and Scrutiny Committee </w:t>
            </w:r>
            <w:r w:rsidR="00921095" w:rsidRPr="00160BA6">
              <w:rPr>
                <w:rFonts w:cs="Arial"/>
                <w:bCs/>
                <w:color w:val="000000" w:themeColor="text1"/>
              </w:rPr>
              <w:t xml:space="preserve">has </w:t>
            </w:r>
            <w:r w:rsidRPr="00160BA6">
              <w:rPr>
                <w:rFonts w:cs="Arial"/>
                <w:bCs/>
                <w:color w:val="000000" w:themeColor="text1"/>
              </w:rPr>
              <w:t>engage</w:t>
            </w:r>
            <w:r w:rsidR="00921095" w:rsidRPr="00160BA6">
              <w:rPr>
                <w:rFonts w:cs="Arial"/>
                <w:bCs/>
                <w:color w:val="000000" w:themeColor="text1"/>
              </w:rPr>
              <w:t>d with</w:t>
            </w:r>
            <w:r w:rsidRPr="00160BA6">
              <w:rPr>
                <w:rFonts w:cs="Arial"/>
                <w:bCs/>
                <w:color w:val="000000" w:themeColor="text1"/>
              </w:rPr>
              <w:t xml:space="preserve"> stakeholders, </w:t>
            </w:r>
            <w:r w:rsidR="00640097" w:rsidRPr="00160BA6">
              <w:rPr>
                <w:rFonts w:cs="Arial"/>
                <w:bCs/>
                <w:color w:val="000000" w:themeColor="text1"/>
              </w:rPr>
              <w:t>residents,</w:t>
            </w:r>
            <w:r w:rsidRPr="00160BA6">
              <w:rPr>
                <w:rFonts w:cs="Arial"/>
                <w:bCs/>
                <w:color w:val="000000" w:themeColor="text1"/>
              </w:rPr>
              <w:t xml:space="preserve"> and community groups to review services and drive improvement in service delivery.  The Overview and Scrutiny Committee </w:t>
            </w:r>
            <w:r w:rsidR="00921095" w:rsidRPr="00160BA6">
              <w:rPr>
                <w:rFonts w:cs="Arial"/>
                <w:bCs/>
                <w:color w:val="000000" w:themeColor="text1"/>
              </w:rPr>
              <w:t>includes co-opted</w:t>
            </w:r>
            <w:r w:rsidRPr="00160BA6">
              <w:rPr>
                <w:rFonts w:cs="Arial"/>
                <w:bCs/>
                <w:color w:val="000000" w:themeColor="text1"/>
              </w:rPr>
              <w:t xml:space="preserve"> residents with relevant knowledge </w:t>
            </w:r>
            <w:r w:rsidR="00921095" w:rsidRPr="00160BA6">
              <w:rPr>
                <w:rFonts w:cs="Arial"/>
                <w:bCs/>
                <w:color w:val="000000" w:themeColor="text1"/>
              </w:rPr>
              <w:t>and has</w:t>
            </w:r>
            <w:r w:rsidRPr="00160BA6">
              <w:rPr>
                <w:rFonts w:cs="Arial"/>
                <w:bCs/>
                <w:color w:val="000000" w:themeColor="text1"/>
              </w:rPr>
              <w:t xml:space="preserve"> encourage</w:t>
            </w:r>
            <w:r w:rsidR="00921095" w:rsidRPr="00160BA6">
              <w:rPr>
                <w:rFonts w:cs="Arial"/>
                <w:bCs/>
                <w:color w:val="000000" w:themeColor="text1"/>
              </w:rPr>
              <w:t>d</w:t>
            </w:r>
            <w:r w:rsidRPr="00160BA6">
              <w:rPr>
                <w:rFonts w:cs="Arial"/>
                <w:bCs/>
                <w:color w:val="000000" w:themeColor="text1"/>
              </w:rPr>
              <w:t xml:space="preserve"> residents to attend its meetings, which are open to the public and webcast. Further, </w:t>
            </w:r>
            <w:r w:rsidRPr="00160BA6">
              <w:rPr>
                <w:rFonts w:cs="Arial"/>
                <w:bCs/>
                <w:color w:val="000000" w:themeColor="text1"/>
              </w:rPr>
              <w:lastRenderedPageBreak/>
              <w:t xml:space="preserve">residents, community groups and expert witnesses </w:t>
            </w:r>
            <w:r w:rsidR="00921095" w:rsidRPr="00160BA6">
              <w:rPr>
                <w:rFonts w:cs="Arial"/>
                <w:bCs/>
                <w:color w:val="000000" w:themeColor="text1"/>
              </w:rPr>
              <w:t>have been</w:t>
            </w:r>
            <w:r w:rsidRPr="00160BA6">
              <w:rPr>
                <w:rFonts w:cs="Arial"/>
                <w:bCs/>
                <w:color w:val="000000" w:themeColor="text1"/>
              </w:rPr>
              <w:t xml:space="preserve"> invited to participate in Scrutiny review and challenge</w:t>
            </w:r>
            <w:r w:rsidR="004E6688" w:rsidRPr="00160BA6">
              <w:rPr>
                <w:rFonts w:cs="Arial"/>
                <w:bCs/>
                <w:color w:val="000000" w:themeColor="text1"/>
              </w:rPr>
              <w:t xml:space="preserve"> sessions so the Committee can </w:t>
            </w:r>
            <w:r w:rsidRPr="00160BA6">
              <w:rPr>
                <w:rFonts w:cs="Arial"/>
                <w:bCs/>
                <w:color w:val="000000" w:themeColor="text1"/>
              </w:rPr>
              <w:t>hear directly from those whose interest</w:t>
            </w:r>
            <w:r w:rsidR="00696B97" w:rsidRPr="00160BA6">
              <w:rPr>
                <w:rFonts w:cs="Arial"/>
                <w:bCs/>
                <w:color w:val="000000" w:themeColor="text1"/>
              </w:rPr>
              <w:t>s</w:t>
            </w:r>
            <w:r w:rsidRPr="00160BA6">
              <w:rPr>
                <w:rFonts w:cs="Arial"/>
                <w:bCs/>
                <w:color w:val="000000" w:themeColor="text1"/>
              </w:rPr>
              <w:t xml:space="preserve"> are represented.</w:t>
            </w:r>
            <w:r w:rsidR="00C36595" w:rsidRPr="00160BA6">
              <w:rPr>
                <w:rFonts w:cs="Arial"/>
                <w:bCs/>
                <w:color w:val="000000" w:themeColor="text1"/>
              </w:rPr>
              <w:t xml:space="preserve"> </w:t>
            </w:r>
          </w:p>
          <w:p w14:paraId="6D71D172" w14:textId="77777777" w:rsidR="001559C9" w:rsidRPr="00160BA6" w:rsidRDefault="001559C9" w:rsidP="002A76F4">
            <w:pPr>
              <w:pStyle w:val="Default"/>
              <w:spacing w:before="60"/>
              <w:rPr>
                <w:color w:val="000000" w:themeColor="text1"/>
              </w:rPr>
            </w:pPr>
          </w:p>
          <w:p w14:paraId="427CEE16" w14:textId="77777777" w:rsidR="00704B03" w:rsidRPr="00160BA6" w:rsidRDefault="002619AA" w:rsidP="002A76F4">
            <w:pPr>
              <w:pStyle w:val="Default"/>
              <w:spacing w:before="60"/>
              <w:rPr>
                <w:color w:val="000000" w:themeColor="text1"/>
              </w:rPr>
            </w:pPr>
            <w:r w:rsidRPr="00160BA6">
              <w:rPr>
                <w:color w:val="000000" w:themeColor="text1"/>
              </w:rPr>
              <w:t xml:space="preserve">Social media channels </w:t>
            </w:r>
            <w:r w:rsidR="00921095" w:rsidRPr="00160BA6">
              <w:rPr>
                <w:color w:val="000000" w:themeColor="text1"/>
              </w:rPr>
              <w:t>have been used</w:t>
            </w:r>
            <w:r w:rsidR="00D029FD" w:rsidRPr="00160BA6">
              <w:rPr>
                <w:color w:val="000000" w:themeColor="text1"/>
              </w:rPr>
              <w:t xml:space="preserve"> extensively</w:t>
            </w:r>
            <w:r w:rsidRPr="00160BA6">
              <w:rPr>
                <w:color w:val="000000" w:themeColor="text1"/>
              </w:rPr>
              <w:t xml:space="preserve"> to support the Council’s engagement with stakeholders. </w:t>
            </w:r>
            <w:r w:rsidR="005D7AC0" w:rsidRPr="00160BA6">
              <w:rPr>
                <w:color w:val="000000" w:themeColor="text1"/>
              </w:rPr>
              <w:t>The Council has adopted a Social Media Policy to provide advice and guidance on the use of social media</w:t>
            </w:r>
            <w:r w:rsidR="0097536F" w:rsidRPr="00160BA6">
              <w:rPr>
                <w:color w:val="000000" w:themeColor="text1"/>
              </w:rPr>
              <w:t xml:space="preserve">. </w:t>
            </w:r>
          </w:p>
          <w:p w14:paraId="4DC69C94" w14:textId="77777777" w:rsidR="005F2FC9" w:rsidRPr="00160BA6" w:rsidRDefault="005F2FC9" w:rsidP="002A76F4">
            <w:pPr>
              <w:pStyle w:val="Default"/>
              <w:spacing w:before="60"/>
              <w:rPr>
                <w:color w:val="000000" w:themeColor="text1"/>
              </w:rPr>
            </w:pPr>
          </w:p>
        </w:tc>
      </w:tr>
      <w:tr w:rsidR="007E37FA" w:rsidRPr="00160BA6" w14:paraId="7B6E721B" w14:textId="77777777" w:rsidTr="034273BC">
        <w:tc>
          <w:tcPr>
            <w:tcW w:w="3510" w:type="dxa"/>
          </w:tcPr>
          <w:p w14:paraId="437C4B05" w14:textId="77777777" w:rsidR="001559C9" w:rsidRPr="00160BA6" w:rsidRDefault="002619AA" w:rsidP="00226C1E">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Defining outcomes in terms of sustainable economic, social, and environmental benefits</w:t>
            </w:r>
          </w:p>
        </w:tc>
        <w:tc>
          <w:tcPr>
            <w:tcW w:w="10664" w:type="dxa"/>
          </w:tcPr>
          <w:p w14:paraId="1256D0CB" w14:textId="77777777" w:rsidR="001F1E1F" w:rsidRPr="00160BA6" w:rsidRDefault="002619AA" w:rsidP="002A76F4">
            <w:pPr>
              <w:spacing w:before="60"/>
              <w:rPr>
                <w:rFonts w:cs="Arial"/>
                <w:color w:val="000000" w:themeColor="text1"/>
              </w:rPr>
            </w:pPr>
            <w:r w:rsidRPr="00160BA6">
              <w:rPr>
                <w:rFonts w:cs="Arial"/>
                <w:color w:val="000000" w:themeColor="text1"/>
              </w:rPr>
              <w:t xml:space="preserve">The Strategic Plan is the main business planning document of the Council. It sets out the corporate priorities and outcomes, the </w:t>
            </w:r>
            <w:r w:rsidR="00F32177" w:rsidRPr="00160BA6">
              <w:rPr>
                <w:rFonts w:cs="Arial"/>
                <w:color w:val="000000" w:themeColor="text1"/>
              </w:rPr>
              <w:t>high-level</w:t>
            </w:r>
            <w:r w:rsidRPr="00160BA6">
              <w:rPr>
                <w:rFonts w:cs="Arial"/>
                <w:color w:val="000000" w:themeColor="text1"/>
              </w:rPr>
              <w:t xml:space="preserve"> activities that will be undertaken to deliver the outcomes, as well as the measures that will help determine whether the Council is achieving the outcomes.  The Council has a structured set of plans which turn </w:t>
            </w:r>
            <w:r w:rsidR="00170836" w:rsidRPr="00160BA6">
              <w:rPr>
                <w:rFonts w:cs="Arial"/>
                <w:color w:val="000000" w:themeColor="text1"/>
              </w:rPr>
              <w:t>the</w:t>
            </w:r>
            <w:r w:rsidRPr="00160BA6">
              <w:rPr>
                <w:rFonts w:cs="Arial"/>
                <w:color w:val="000000" w:themeColor="text1"/>
              </w:rPr>
              <w:t xml:space="preserve"> vision into</w:t>
            </w:r>
            <w:r w:rsidR="008A69C0" w:rsidRPr="00160BA6">
              <w:rPr>
                <w:rFonts w:cs="Arial"/>
                <w:color w:val="000000" w:themeColor="text1"/>
              </w:rPr>
              <w:t xml:space="preserve"> actions, through </w:t>
            </w:r>
            <w:r w:rsidR="00170836" w:rsidRPr="00160BA6">
              <w:rPr>
                <w:rFonts w:cs="Arial"/>
                <w:color w:val="000000" w:themeColor="text1"/>
              </w:rPr>
              <w:t>d</w:t>
            </w:r>
            <w:r w:rsidR="008A69C0" w:rsidRPr="00160BA6">
              <w:rPr>
                <w:rFonts w:cs="Arial"/>
                <w:color w:val="000000" w:themeColor="text1"/>
              </w:rPr>
              <w:t>irectorate, key council s</w:t>
            </w:r>
            <w:r w:rsidRPr="00160BA6">
              <w:rPr>
                <w:rFonts w:cs="Arial"/>
                <w:color w:val="000000" w:themeColor="text1"/>
              </w:rPr>
              <w:t xml:space="preserve">trategies and </w:t>
            </w:r>
            <w:r w:rsidR="008A69C0" w:rsidRPr="00160BA6">
              <w:rPr>
                <w:rFonts w:cs="Arial"/>
                <w:color w:val="000000" w:themeColor="text1"/>
              </w:rPr>
              <w:t>service p</w:t>
            </w:r>
            <w:r w:rsidRPr="00160BA6">
              <w:rPr>
                <w:rFonts w:cs="Arial"/>
                <w:color w:val="000000" w:themeColor="text1"/>
              </w:rPr>
              <w:t>lans.</w:t>
            </w:r>
            <w:r w:rsidR="00921095" w:rsidRPr="00160BA6">
              <w:rPr>
                <w:rFonts w:cs="Arial"/>
                <w:color w:val="000000" w:themeColor="text1"/>
              </w:rPr>
              <w:t xml:space="preserve"> The plan</w:t>
            </w:r>
            <w:r w:rsidR="005C3431" w:rsidRPr="00160BA6">
              <w:rPr>
                <w:rFonts w:cs="Arial"/>
                <w:color w:val="000000" w:themeColor="text1"/>
              </w:rPr>
              <w:t xml:space="preserve"> is refreshed annually. </w:t>
            </w:r>
            <w:r w:rsidR="00A37509" w:rsidRPr="00160BA6">
              <w:rPr>
                <w:rFonts w:cs="Arial"/>
                <w:color w:val="000000" w:themeColor="text1"/>
              </w:rPr>
              <w:t>The latest version has been published on the Council’s websit</w:t>
            </w:r>
            <w:r w:rsidR="007F28F8" w:rsidRPr="00160BA6">
              <w:rPr>
                <w:rFonts w:cs="Arial"/>
                <w:color w:val="000000" w:themeColor="text1"/>
              </w:rPr>
              <w:t xml:space="preserve">e which has been updated to reflect the impact of the pandemic. </w:t>
            </w:r>
          </w:p>
          <w:p w14:paraId="2794A449" w14:textId="77777777" w:rsidR="001F1E1F" w:rsidRPr="00160BA6" w:rsidRDefault="001F1E1F" w:rsidP="002A76F4">
            <w:pPr>
              <w:spacing w:before="60"/>
              <w:rPr>
                <w:rFonts w:cs="Arial"/>
                <w:color w:val="000000" w:themeColor="text1"/>
              </w:rPr>
            </w:pPr>
          </w:p>
          <w:p w14:paraId="234DD198" w14:textId="123560F1" w:rsidR="001559C9" w:rsidRPr="00E75F85" w:rsidRDefault="002619AA" w:rsidP="002A76F4">
            <w:pPr>
              <w:spacing w:before="60" w:after="120"/>
              <w:rPr>
                <w:rFonts w:cs="Arial"/>
                <w:color w:val="000000" w:themeColor="text1"/>
              </w:rPr>
            </w:pPr>
            <w:r w:rsidRPr="00160BA6">
              <w:rPr>
                <w:rFonts w:cs="Arial"/>
                <w:color w:val="000000" w:themeColor="text1"/>
              </w:rPr>
              <w:t xml:space="preserve">The performance of the Council against measurable outcome-led targets has been assessed through performance monitoring reports that have been considered within directorates, by the Corporate Leadership Team, </w:t>
            </w:r>
            <w:r w:rsidR="00117340" w:rsidRPr="00160BA6">
              <w:rPr>
                <w:rFonts w:cs="Arial"/>
                <w:color w:val="000000" w:themeColor="text1"/>
              </w:rPr>
              <w:t xml:space="preserve">Overview and Scrutiny </w:t>
            </w:r>
            <w:r w:rsidRPr="00160BA6">
              <w:rPr>
                <w:rFonts w:cs="Arial"/>
                <w:color w:val="000000" w:themeColor="text1"/>
              </w:rPr>
              <w:t xml:space="preserve">Committee, Cabinet and subsequently at other meetings of relevance. Any such reports can also be called in for scrutiny and reviewed by the Audit Committee. </w:t>
            </w:r>
          </w:p>
        </w:tc>
      </w:tr>
      <w:tr w:rsidR="007E37FA" w:rsidRPr="00160BA6" w14:paraId="7C72C988" w14:textId="77777777" w:rsidTr="034273BC">
        <w:tc>
          <w:tcPr>
            <w:tcW w:w="3510" w:type="dxa"/>
          </w:tcPr>
          <w:p w14:paraId="571C775C" w14:textId="77777777" w:rsidR="001559C9" w:rsidRPr="00160BA6" w:rsidRDefault="002619AA" w:rsidP="00226C1E">
            <w:pPr>
              <w:pStyle w:val="ListParagraph"/>
              <w:numPr>
                <w:ilvl w:val="0"/>
                <w:numId w:val="4"/>
              </w:numPr>
              <w:spacing w:before="60" w:after="120"/>
              <w:ind w:left="426" w:hanging="426"/>
              <w:rPr>
                <w:rFonts w:cs="Arial"/>
                <w:color w:val="000000" w:themeColor="text1"/>
              </w:rPr>
            </w:pPr>
            <w:r w:rsidRPr="00160BA6">
              <w:rPr>
                <w:rFonts w:cs="Arial"/>
                <w:color w:val="000000" w:themeColor="text1"/>
              </w:rPr>
              <w:t>Determining the interventions necessary to optimi</w:t>
            </w:r>
            <w:r w:rsidR="003F056B" w:rsidRPr="00160BA6">
              <w:rPr>
                <w:rFonts w:cs="Arial"/>
                <w:color w:val="000000" w:themeColor="text1"/>
              </w:rPr>
              <w:t>s</w:t>
            </w:r>
            <w:r w:rsidRPr="00160BA6">
              <w:rPr>
                <w:rFonts w:cs="Arial"/>
                <w:color w:val="000000" w:themeColor="text1"/>
              </w:rPr>
              <w:t>e the achievement of the intended outcomes.</w:t>
            </w:r>
          </w:p>
        </w:tc>
        <w:tc>
          <w:tcPr>
            <w:tcW w:w="10664" w:type="dxa"/>
          </w:tcPr>
          <w:p w14:paraId="7A1BE081" w14:textId="77777777" w:rsidR="003F056B" w:rsidRPr="00160BA6" w:rsidRDefault="002619AA" w:rsidP="002A76F4">
            <w:pPr>
              <w:autoSpaceDE w:val="0"/>
              <w:adjustRightInd w:val="0"/>
              <w:spacing w:before="60"/>
              <w:contextualSpacing/>
              <w:rPr>
                <w:rFonts w:cs="Arial"/>
                <w:color w:val="000000" w:themeColor="text1"/>
              </w:rPr>
            </w:pPr>
            <w:r w:rsidRPr="00160BA6">
              <w:rPr>
                <w:rFonts w:cs="Arial"/>
                <w:color w:val="000000" w:themeColor="text1"/>
              </w:rPr>
              <w:t>The Council, Cabinet and Committees have received regular reports on performance monitoring, the strategic plan and other policies and procedures which demonstrate the level to which intended outcomes are being achieved and any interventions planned to address issues.</w:t>
            </w:r>
          </w:p>
          <w:p w14:paraId="1A80BE22" w14:textId="77777777" w:rsidR="003F056B" w:rsidRPr="00160BA6" w:rsidRDefault="003F056B" w:rsidP="002A76F4">
            <w:pPr>
              <w:autoSpaceDE w:val="0"/>
              <w:adjustRightInd w:val="0"/>
              <w:spacing w:before="60"/>
              <w:contextualSpacing/>
              <w:rPr>
                <w:rFonts w:cs="Arial"/>
                <w:color w:val="000000" w:themeColor="text1"/>
              </w:rPr>
            </w:pPr>
          </w:p>
          <w:p w14:paraId="580AEF33" w14:textId="77777777" w:rsidR="001559C9" w:rsidRPr="00160BA6" w:rsidRDefault="002619AA" w:rsidP="002A76F4">
            <w:pPr>
              <w:autoSpaceDE w:val="0"/>
              <w:adjustRightInd w:val="0"/>
              <w:spacing w:before="60"/>
              <w:contextualSpacing/>
              <w:rPr>
                <w:rFonts w:cs="Arial"/>
                <w:color w:val="000000" w:themeColor="text1"/>
              </w:rPr>
            </w:pPr>
            <w:r w:rsidRPr="00160BA6">
              <w:rPr>
                <w:rFonts w:cs="Arial"/>
                <w:color w:val="000000" w:themeColor="text1"/>
              </w:rPr>
              <w:t xml:space="preserve">All decisions being considered </w:t>
            </w:r>
            <w:r w:rsidR="756F0089" w:rsidRPr="00160BA6">
              <w:rPr>
                <w:rFonts w:cs="Arial"/>
                <w:color w:val="000000" w:themeColor="text1"/>
              </w:rPr>
              <w:t>have been o</w:t>
            </w:r>
            <w:r w:rsidRPr="00160BA6">
              <w:rPr>
                <w:rFonts w:cs="Arial"/>
                <w:color w:val="000000" w:themeColor="text1"/>
              </w:rPr>
              <w:t xml:space="preserve">bjectively and rigorously </w:t>
            </w:r>
            <w:r w:rsidR="74833BF8" w:rsidRPr="00160BA6">
              <w:rPr>
                <w:rFonts w:cs="Arial"/>
                <w:color w:val="000000" w:themeColor="text1"/>
              </w:rPr>
              <w:t>analysed by</w:t>
            </w:r>
            <w:r w:rsidRPr="00160BA6">
              <w:rPr>
                <w:rFonts w:cs="Arial"/>
                <w:color w:val="000000" w:themeColor="text1"/>
              </w:rPr>
              <w:t xml:space="preserve"> the Monitoring Officer and the Chief Financial Officer</w:t>
            </w:r>
            <w:r w:rsidR="74833BF8" w:rsidRPr="00160BA6">
              <w:rPr>
                <w:rFonts w:cs="Arial"/>
                <w:color w:val="000000" w:themeColor="text1"/>
              </w:rPr>
              <w:t xml:space="preserve"> and</w:t>
            </w:r>
            <w:r w:rsidRPr="00160BA6">
              <w:rPr>
                <w:rFonts w:cs="Arial"/>
                <w:color w:val="000000" w:themeColor="text1"/>
              </w:rPr>
              <w:t xml:space="preserve"> all reports have set sections for legal and finance </w:t>
            </w:r>
            <w:r w:rsidRPr="00160BA6">
              <w:rPr>
                <w:rFonts w:cs="Arial"/>
                <w:color w:val="000000" w:themeColor="text1"/>
              </w:rPr>
              <w:lastRenderedPageBreak/>
              <w:t xml:space="preserve">comments to be recorded. </w:t>
            </w:r>
            <w:r w:rsidR="756F0089" w:rsidRPr="00160BA6">
              <w:rPr>
                <w:rFonts w:cs="Arial"/>
                <w:color w:val="000000" w:themeColor="text1"/>
              </w:rPr>
              <w:t>R</w:t>
            </w:r>
            <w:r w:rsidRPr="00160BA6">
              <w:rPr>
                <w:rFonts w:cs="Arial"/>
                <w:color w:val="000000" w:themeColor="text1"/>
              </w:rPr>
              <w:t xml:space="preserve">eports </w:t>
            </w:r>
            <w:r w:rsidR="7C1EE0F6" w:rsidRPr="00160BA6">
              <w:rPr>
                <w:rFonts w:cs="Arial"/>
                <w:color w:val="000000" w:themeColor="text1"/>
              </w:rPr>
              <w:t>have be</w:t>
            </w:r>
            <w:r w:rsidR="756F0089" w:rsidRPr="00160BA6">
              <w:rPr>
                <w:rFonts w:cs="Arial"/>
                <w:color w:val="000000" w:themeColor="text1"/>
              </w:rPr>
              <w:t>e</w:t>
            </w:r>
            <w:r w:rsidR="7C1EE0F6" w:rsidRPr="00160BA6">
              <w:rPr>
                <w:rFonts w:cs="Arial"/>
                <w:color w:val="000000" w:themeColor="text1"/>
              </w:rPr>
              <w:t>n</w:t>
            </w:r>
            <w:r w:rsidR="756F0089" w:rsidRPr="00160BA6">
              <w:rPr>
                <w:rFonts w:cs="Arial"/>
                <w:color w:val="000000" w:themeColor="text1"/>
              </w:rPr>
              <w:t xml:space="preserve"> cleared by </w:t>
            </w:r>
            <w:r w:rsidRPr="00160BA6">
              <w:rPr>
                <w:rFonts w:cs="Arial"/>
                <w:color w:val="000000" w:themeColor="text1"/>
              </w:rPr>
              <w:t xml:space="preserve">finance and legal </w:t>
            </w:r>
            <w:r w:rsidR="157A385D" w:rsidRPr="00160BA6">
              <w:rPr>
                <w:rFonts w:cs="Arial"/>
                <w:color w:val="000000" w:themeColor="text1"/>
              </w:rPr>
              <w:t>officers</w:t>
            </w:r>
            <w:r w:rsidRPr="00160BA6">
              <w:rPr>
                <w:rFonts w:cs="Arial"/>
                <w:color w:val="000000" w:themeColor="text1"/>
              </w:rPr>
              <w:t xml:space="preserve"> before publication</w:t>
            </w:r>
            <w:r w:rsidR="7C7C0778" w:rsidRPr="00160BA6">
              <w:rPr>
                <w:rFonts w:cs="Arial"/>
                <w:color w:val="000000" w:themeColor="text1"/>
              </w:rPr>
              <w:t xml:space="preserve">, although on some occasions finance and/or legal are given very little time to </w:t>
            </w:r>
            <w:r w:rsidR="31148096" w:rsidRPr="00160BA6">
              <w:rPr>
                <w:rFonts w:cs="Arial"/>
                <w:color w:val="000000" w:themeColor="text1"/>
              </w:rPr>
              <w:t xml:space="preserve">review and comment and we will seek to improve lead times. </w:t>
            </w:r>
          </w:p>
          <w:p w14:paraId="368750FE" w14:textId="77777777" w:rsidR="003F056B" w:rsidRPr="00160BA6" w:rsidRDefault="003F056B" w:rsidP="002A76F4">
            <w:pPr>
              <w:autoSpaceDE w:val="0"/>
              <w:adjustRightInd w:val="0"/>
              <w:spacing w:before="60"/>
              <w:contextualSpacing/>
              <w:rPr>
                <w:rFonts w:cs="Arial"/>
                <w:color w:val="000000" w:themeColor="text1"/>
              </w:rPr>
            </w:pPr>
          </w:p>
          <w:p w14:paraId="003AF579" w14:textId="77777777" w:rsidR="00921095" w:rsidRPr="00160BA6" w:rsidRDefault="002619AA" w:rsidP="002A76F4">
            <w:pPr>
              <w:autoSpaceDE w:val="0"/>
              <w:adjustRightInd w:val="0"/>
              <w:spacing w:before="60"/>
              <w:contextualSpacing/>
              <w:rPr>
                <w:rFonts w:cs="Arial"/>
                <w:color w:val="000000" w:themeColor="text1"/>
              </w:rPr>
            </w:pPr>
            <w:r w:rsidRPr="00160BA6">
              <w:rPr>
                <w:rFonts w:cs="Arial"/>
                <w:snapToGrid w:val="0"/>
                <w:color w:val="000000" w:themeColor="text1"/>
              </w:rPr>
              <w:t>The Council’s Performance Management and Accountability Framework (PMAF)</w:t>
            </w:r>
            <w:r w:rsidRPr="00160BA6">
              <w:rPr>
                <w:rFonts w:cs="Arial"/>
                <w:color w:val="000000" w:themeColor="text1"/>
              </w:rPr>
              <w:t xml:space="preserve"> sets out how we establish whether performance improvement is necessary. The Performance Improvement Board is the main board responsible for identifying and determining interventions to bring about improvements and this board has met regularly. </w:t>
            </w:r>
          </w:p>
          <w:p w14:paraId="70E7C439" w14:textId="77777777" w:rsidR="00921095" w:rsidRPr="00160BA6" w:rsidRDefault="00921095" w:rsidP="002A76F4">
            <w:pPr>
              <w:autoSpaceDE w:val="0"/>
              <w:adjustRightInd w:val="0"/>
              <w:spacing w:before="60"/>
              <w:contextualSpacing/>
              <w:rPr>
                <w:rFonts w:cs="Arial"/>
                <w:color w:val="000000" w:themeColor="text1"/>
              </w:rPr>
            </w:pPr>
          </w:p>
          <w:p w14:paraId="2026680F" w14:textId="5D70A86D" w:rsidR="001559C9" w:rsidRPr="00E75F85" w:rsidRDefault="002619AA" w:rsidP="002A76F4">
            <w:pPr>
              <w:autoSpaceDE w:val="0"/>
              <w:adjustRightInd w:val="0"/>
              <w:spacing w:before="60" w:after="120"/>
              <w:rPr>
                <w:rFonts w:cs="Arial"/>
                <w:bCs/>
                <w:color w:val="000000" w:themeColor="text1"/>
              </w:rPr>
            </w:pPr>
            <w:r w:rsidRPr="00160BA6">
              <w:rPr>
                <w:rFonts w:cs="Arial"/>
                <w:bCs/>
                <w:color w:val="000000" w:themeColor="text1"/>
              </w:rPr>
              <w:t>The Council’s Performance Improvement Board challenges services where there are identified concerns, takes a trouble-shooting approach, acts as a “critical friend” to drive improvement in performance, and makes recommendations about where to focus resources to drive improvement.</w:t>
            </w:r>
          </w:p>
        </w:tc>
      </w:tr>
      <w:tr w:rsidR="007E37FA" w:rsidRPr="00160BA6" w14:paraId="4BECFFD1" w14:textId="77777777" w:rsidTr="034273BC">
        <w:tc>
          <w:tcPr>
            <w:tcW w:w="3510" w:type="dxa"/>
          </w:tcPr>
          <w:p w14:paraId="5AAA6E8D" w14:textId="77777777" w:rsidR="003F056B" w:rsidRPr="00160BA6" w:rsidRDefault="002619AA" w:rsidP="00226C1E">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Developing the entity’s capacity, including the capability of its leadership and the individuals within it.</w:t>
            </w:r>
          </w:p>
        </w:tc>
        <w:tc>
          <w:tcPr>
            <w:tcW w:w="10664" w:type="dxa"/>
          </w:tcPr>
          <w:p w14:paraId="575FF2B6" w14:textId="1D79A75C" w:rsidR="00AA1CD9" w:rsidRPr="00913491" w:rsidRDefault="002619AA" w:rsidP="002A76F4">
            <w:pPr>
              <w:spacing w:before="60"/>
              <w:rPr>
                <w:rFonts w:cstheme="minorHAnsi"/>
                <w:color w:val="000000" w:themeColor="text1"/>
              </w:rPr>
            </w:pPr>
            <w:r w:rsidRPr="00913491">
              <w:rPr>
                <w:color w:val="000000" w:themeColor="text1"/>
              </w:rPr>
              <w:t xml:space="preserve">The roles of all officers </w:t>
            </w:r>
            <w:r w:rsidR="004E6688" w:rsidRPr="00913491">
              <w:rPr>
                <w:color w:val="000000" w:themeColor="text1"/>
              </w:rPr>
              <w:t xml:space="preserve">(including statutory roles) </w:t>
            </w:r>
            <w:r w:rsidR="00921095" w:rsidRPr="00913491">
              <w:rPr>
                <w:color w:val="000000" w:themeColor="text1"/>
              </w:rPr>
              <w:t>have been</w:t>
            </w:r>
            <w:r w:rsidRPr="00913491">
              <w:rPr>
                <w:color w:val="000000" w:themeColor="text1"/>
              </w:rPr>
              <w:t xml:space="preserve"> defined in agreed job descriptions and person specifications. Staff performance is reviewed </w:t>
            </w:r>
            <w:r w:rsidR="00B6461B" w:rsidRPr="00913491">
              <w:rPr>
                <w:color w:val="000000" w:themeColor="text1"/>
              </w:rPr>
              <w:t>twice during the year</w:t>
            </w:r>
            <w:r w:rsidR="00C0423A" w:rsidRPr="00913491">
              <w:rPr>
                <w:rFonts w:cstheme="minorHAnsi"/>
                <w:color w:val="000000" w:themeColor="text1"/>
              </w:rPr>
              <w:t xml:space="preserve"> Start </w:t>
            </w:r>
            <w:r w:rsidR="00D13A76" w:rsidRPr="00913491">
              <w:rPr>
                <w:rFonts w:cstheme="minorHAnsi"/>
                <w:color w:val="000000" w:themeColor="text1"/>
              </w:rPr>
              <w:t>(</w:t>
            </w:r>
            <w:r w:rsidR="00C0423A" w:rsidRPr="00913491">
              <w:rPr>
                <w:rFonts w:cstheme="minorHAnsi"/>
                <w:color w:val="000000" w:themeColor="text1"/>
              </w:rPr>
              <w:t>1 April-31 May</w:t>
            </w:r>
            <w:r w:rsidR="00D13A76" w:rsidRPr="00913491">
              <w:rPr>
                <w:rFonts w:cstheme="minorHAnsi"/>
                <w:color w:val="000000" w:themeColor="text1"/>
              </w:rPr>
              <w:t>)</w:t>
            </w:r>
            <w:r w:rsidR="00C0423A" w:rsidRPr="00913491">
              <w:rPr>
                <w:rFonts w:cstheme="minorHAnsi"/>
                <w:color w:val="000000" w:themeColor="text1"/>
              </w:rPr>
              <w:t xml:space="preserve"> and then </w:t>
            </w:r>
            <w:r w:rsidR="008256FD" w:rsidRPr="00913491">
              <w:rPr>
                <w:rFonts w:cstheme="minorHAnsi"/>
                <w:color w:val="000000" w:themeColor="text1"/>
              </w:rPr>
              <w:t>Mid-Year</w:t>
            </w:r>
            <w:r w:rsidR="00C0423A" w:rsidRPr="00913491">
              <w:rPr>
                <w:rFonts w:cstheme="minorHAnsi"/>
                <w:color w:val="000000" w:themeColor="text1"/>
              </w:rPr>
              <w:t xml:space="preserve"> </w:t>
            </w:r>
            <w:r w:rsidR="00D13A76" w:rsidRPr="00913491">
              <w:rPr>
                <w:rFonts w:cstheme="minorHAnsi"/>
                <w:color w:val="000000" w:themeColor="text1"/>
              </w:rPr>
              <w:t>(</w:t>
            </w:r>
            <w:r w:rsidR="00C0423A" w:rsidRPr="00913491">
              <w:rPr>
                <w:rFonts w:cstheme="minorHAnsi"/>
                <w:color w:val="000000" w:themeColor="text1"/>
              </w:rPr>
              <w:t xml:space="preserve">1 October to </w:t>
            </w:r>
            <w:r w:rsidR="00D13A76" w:rsidRPr="00913491">
              <w:rPr>
                <w:rFonts w:cstheme="minorHAnsi"/>
                <w:color w:val="000000" w:themeColor="text1"/>
              </w:rPr>
              <w:t xml:space="preserve">30 </w:t>
            </w:r>
            <w:r w:rsidR="00C0423A" w:rsidRPr="00913491">
              <w:rPr>
                <w:rFonts w:cstheme="minorHAnsi"/>
                <w:color w:val="000000" w:themeColor="text1"/>
              </w:rPr>
              <w:t>November</w:t>
            </w:r>
            <w:r w:rsidR="00D13A76" w:rsidRPr="00913491">
              <w:rPr>
                <w:rFonts w:cstheme="minorHAnsi"/>
                <w:color w:val="000000" w:themeColor="text1"/>
              </w:rPr>
              <w:t>)</w:t>
            </w:r>
            <w:r w:rsidR="00C0423A" w:rsidRPr="00913491">
              <w:rPr>
                <w:rFonts w:cstheme="minorHAnsi"/>
                <w:color w:val="000000" w:themeColor="text1"/>
              </w:rPr>
              <w:t xml:space="preserve">. </w:t>
            </w:r>
            <w:r w:rsidR="007A3AD3" w:rsidRPr="00913491">
              <w:rPr>
                <w:color w:val="000000" w:themeColor="text1"/>
              </w:rPr>
              <w:t>A</w:t>
            </w:r>
            <w:r w:rsidR="00D13A76" w:rsidRPr="00913491">
              <w:rPr>
                <w:color w:val="000000" w:themeColor="text1"/>
              </w:rPr>
              <w:t>n</w:t>
            </w:r>
            <w:r w:rsidR="00B2422B" w:rsidRPr="00913491">
              <w:rPr>
                <w:color w:val="000000" w:themeColor="text1"/>
              </w:rPr>
              <w:t xml:space="preserve"> approach called</w:t>
            </w:r>
            <w:r w:rsidR="00CD0C36" w:rsidRPr="00913491">
              <w:rPr>
                <w:color w:val="000000" w:themeColor="text1"/>
              </w:rPr>
              <w:t xml:space="preserve"> ‘My Annual </w:t>
            </w:r>
            <w:r w:rsidR="0597E2E8" w:rsidRPr="00913491">
              <w:rPr>
                <w:color w:val="000000" w:themeColor="text1"/>
              </w:rPr>
              <w:t>R</w:t>
            </w:r>
            <w:r w:rsidR="00CD0C36" w:rsidRPr="00913491">
              <w:rPr>
                <w:color w:val="000000" w:themeColor="text1"/>
              </w:rPr>
              <w:t>eview</w:t>
            </w:r>
            <w:r w:rsidR="3247A9F6" w:rsidRPr="00913491">
              <w:rPr>
                <w:color w:val="000000" w:themeColor="text1"/>
              </w:rPr>
              <w:t xml:space="preserve"> (MAR)</w:t>
            </w:r>
            <w:r w:rsidR="00CD0C36" w:rsidRPr="00913491">
              <w:rPr>
                <w:color w:val="000000" w:themeColor="text1"/>
              </w:rPr>
              <w:t xml:space="preserve">’ </w:t>
            </w:r>
            <w:r w:rsidR="00D13A76" w:rsidRPr="00913491">
              <w:rPr>
                <w:color w:val="000000" w:themeColor="text1"/>
              </w:rPr>
              <w:t>w</w:t>
            </w:r>
            <w:r w:rsidR="00CD0C36" w:rsidRPr="00913491">
              <w:rPr>
                <w:color w:val="000000" w:themeColor="text1"/>
              </w:rPr>
              <w:t xml:space="preserve">as </w:t>
            </w:r>
            <w:r w:rsidR="00B2422B" w:rsidRPr="00913491">
              <w:rPr>
                <w:color w:val="000000" w:themeColor="text1"/>
              </w:rPr>
              <w:t>introduced</w:t>
            </w:r>
            <w:r w:rsidR="00D13A76" w:rsidRPr="00913491">
              <w:rPr>
                <w:color w:val="000000" w:themeColor="text1"/>
              </w:rPr>
              <w:t xml:space="preserve"> during 2020/21</w:t>
            </w:r>
            <w:r w:rsidR="00CD0C36" w:rsidRPr="00913491">
              <w:rPr>
                <w:color w:val="000000" w:themeColor="text1"/>
              </w:rPr>
              <w:t xml:space="preserve"> to improve the process </w:t>
            </w:r>
            <w:r w:rsidR="006735C3" w:rsidRPr="00913491">
              <w:rPr>
                <w:color w:val="000000" w:themeColor="text1"/>
              </w:rPr>
              <w:t xml:space="preserve">and make it </w:t>
            </w:r>
            <w:r w:rsidR="00270BAF" w:rsidRPr="00913491">
              <w:rPr>
                <w:color w:val="000000" w:themeColor="text1"/>
              </w:rPr>
              <w:t xml:space="preserve">simpler </w:t>
            </w:r>
            <w:r w:rsidR="00BE52F7" w:rsidRPr="00913491">
              <w:rPr>
                <w:color w:val="000000" w:themeColor="text1"/>
              </w:rPr>
              <w:t xml:space="preserve">to </w:t>
            </w:r>
            <w:r w:rsidR="7F2DB142" w:rsidRPr="00913491">
              <w:rPr>
                <w:color w:val="000000" w:themeColor="text1"/>
              </w:rPr>
              <w:t>facilitat</w:t>
            </w:r>
            <w:r w:rsidR="00BE52F7" w:rsidRPr="00913491">
              <w:rPr>
                <w:color w:val="000000" w:themeColor="text1"/>
              </w:rPr>
              <w:t>e</w:t>
            </w:r>
            <w:r w:rsidR="00CD0C36" w:rsidRPr="00913491">
              <w:rPr>
                <w:color w:val="000000" w:themeColor="text1"/>
              </w:rPr>
              <w:t xml:space="preserve"> </w:t>
            </w:r>
            <w:r w:rsidR="00B2422B" w:rsidRPr="00913491">
              <w:rPr>
                <w:color w:val="000000" w:themeColor="text1"/>
              </w:rPr>
              <w:t xml:space="preserve">a </w:t>
            </w:r>
            <w:r w:rsidR="00640097" w:rsidRPr="00913491">
              <w:rPr>
                <w:color w:val="000000" w:themeColor="text1"/>
              </w:rPr>
              <w:t>two-way</w:t>
            </w:r>
            <w:r w:rsidR="4E4D0C9F" w:rsidRPr="00913491">
              <w:rPr>
                <w:color w:val="000000" w:themeColor="text1"/>
              </w:rPr>
              <w:t xml:space="preserve"> </w:t>
            </w:r>
            <w:r w:rsidR="006735C3" w:rsidRPr="00913491">
              <w:rPr>
                <w:color w:val="000000" w:themeColor="text1"/>
              </w:rPr>
              <w:t>conversation</w:t>
            </w:r>
            <w:r w:rsidR="00CD0C36" w:rsidRPr="00913491">
              <w:rPr>
                <w:color w:val="000000" w:themeColor="text1"/>
              </w:rPr>
              <w:t xml:space="preserve">. </w:t>
            </w:r>
            <w:r w:rsidR="00B339B1" w:rsidRPr="00913491">
              <w:rPr>
                <w:color w:val="000000" w:themeColor="text1"/>
              </w:rPr>
              <w:t>The MAR process has had a positive impact on staff,</w:t>
            </w:r>
            <w:r w:rsidR="00913491" w:rsidRPr="00913491">
              <w:rPr>
                <w:color w:val="000000" w:themeColor="text1"/>
              </w:rPr>
              <w:t xml:space="preserve"> as it has become embedded across the Council, with metrics suggesting engagement has increased.</w:t>
            </w:r>
            <w:r w:rsidR="00B339B1" w:rsidRPr="00913491">
              <w:rPr>
                <w:color w:val="000000" w:themeColor="text1"/>
              </w:rPr>
              <w:t xml:space="preserve"> </w:t>
            </w:r>
            <w:r w:rsidR="00B55114" w:rsidRPr="00913491">
              <w:rPr>
                <w:color w:val="000000" w:themeColor="text1"/>
              </w:rPr>
              <w:t xml:space="preserve">Management will continue to monitor compliance with the process and address areas of weakness. </w:t>
            </w:r>
          </w:p>
          <w:p w14:paraId="16EF01A4" w14:textId="77777777" w:rsidR="003F056B" w:rsidRPr="00913491" w:rsidRDefault="003F056B" w:rsidP="002A76F4">
            <w:pPr>
              <w:autoSpaceDE w:val="0"/>
              <w:adjustRightInd w:val="0"/>
              <w:spacing w:before="60"/>
              <w:contextualSpacing/>
              <w:rPr>
                <w:rFonts w:cs="Arial"/>
                <w:color w:val="000000" w:themeColor="text1"/>
              </w:rPr>
            </w:pPr>
          </w:p>
          <w:p w14:paraId="6A1EBC07" w14:textId="77777777" w:rsidR="000A5EEB" w:rsidRPr="00913491" w:rsidRDefault="002619AA" w:rsidP="002A76F4">
            <w:pPr>
              <w:autoSpaceDE w:val="0"/>
              <w:adjustRightInd w:val="0"/>
              <w:spacing w:before="60"/>
              <w:ind w:left="34"/>
              <w:contextualSpacing/>
              <w:rPr>
                <w:rFonts w:cs="Arial"/>
                <w:color w:val="000000" w:themeColor="text1"/>
              </w:rPr>
            </w:pPr>
            <w:r w:rsidRPr="00913491">
              <w:rPr>
                <w:rFonts w:cs="Arial"/>
                <w:color w:val="000000" w:themeColor="text1"/>
              </w:rPr>
              <w:t xml:space="preserve">The Council </w:t>
            </w:r>
            <w:r w:rsidR="0052353B" w:rsidRPr="00913491">
              <w:rPr>
                <w:rFonts w:cs="Arial"/>
                <w:color w:val="000000" w:themeColor="text1"/>
              </w:rPr>
              <w:t>has articulated its values and behaviours in ‘</w:t>
            </w:r>
            <w:r w:rsidRPr="00913491">
              <w:rPr>
                <w:rFonts w:cs="Arial"/>
                <w:color w:val="000000" w:themeColor="text1"/>
              </w:rPr>
              <w:t>TOWER values</w:t>
            </w:r>
            <w:r w:rsidR="0052353B" w:rsidRPr="00913491">
              <w:rPr>
                <w:rFonts w:cs="Arial"/>
                <w:color w:val="000000" w:themeColor="text1"/>
              </w:rPr>
              <w:t>’</w:t>
            </w:r>
            <w:r w:rsidRPr="00913491">
              <w:rPr>
                <w:rFonts w:cs="Arial"/>
                <w:color w:val="000000" w:themeColor="text1"/>
              </w:rPr>
              <w:t xml:space="preserve"> </w:t>
            </w:r>
            <w:r w:rsidR="0052353B" w:rsidRPr="00913491">
              <w:rPr>
                <w:rFonts w:cs="Arial"/>
                <w:color w:val="000000" w:themeColor="text1"/>
              </w:rPr>
              <w:t>which includes a behaviours f</w:t>
            </w:r>
            <w:r w:rsidRPr="00913491">
              <w:rPr>
                <w:rFonts w:cs="Arial"/>
                <w:color w:val="000000" w:themeColor="text1"/>
              </w:rPr>
              <w:t>ramework to support officers</w:t>
            </w:r>
            <w:r w:rsidR="00026085" w:rsidRPr="00913491">
              <w:rPr>
                <w:rFonts w:cs="Arial"/>
                <w:color w:val="000000" w:themeColor="text1"/>
              </w:rPr>
              <w:t xml:space="preserve"> in the MAR process and </w:t>
            </w:r>
            <w:r w:rsidR="00F3662E" w:rsidRPr="00913491">
              <w:rPr>
                <w:rFonts w:cs="Arial"/>
                <w:color w:val="000000" w:themeColor="text1"/>
              </w:rPr>
              <w:t>when recruiting staff.</w:t>
            </w:r>
          </w:p>
          <w:p w14:paraId="38205560" w14:textId="77777777" w:rsidR="00AA1CD9" w:rsidRPr="00913491" w:rsidRDefault="00AA1CD9" w:rsidP="002A76F4">
            <w:pPr>
              <w:autoSpaceDE w:val="0"/>
              <w:adjustRightInd w:val="0"/>
              <w:spacing w:before="60"/>
              <w:ind w:left="34"/>
              <w:contextualSpacing/>
              <w:rPr>
                <w:rFonts w:cs="Arial"/>
                <w:b/>
                <w:color w:val="000000" w:themeColor="text1"/>
              </w:rPr>
            </w:pPr>
          </w:p>
          <w:p w14:paraId="4B780EE1" w14:textId="77777777" w:rsidR="00AA1CD9" w:rsidRPr="00913491" w:rsidRDefault="002619AA" w:rsidP="002A76F4">
            <w:pPr>
              <w:autoSpaceDE w:val="0"/>
              <w:adjustRightInd w:val="0"/>
              <w:spacing w:before="60"/>
              <w:contextualSpacing/>
              <w:rPr>
                <w:rFonts w:cs="Arial"/>
                <w:bCs/>
                <w:color w:val="000000" w:themeColor="text1"/>
              </w:rPr>
            </w:pPr>
            <w:r w:rsidRPr="00913491">
              <w:rPr>
                <w:rFonts w:cs="Arial"/>
                <w:bCs/>
                <w:color w:val="000000" w:themeColor="text1"/>
              </w:rPr>
              <w:t>The Council’s transformation programme called SMARTE</w:t>
            </w:r>
            <w:r w:rsidR="004E6688" w:rsidRPr="00913491">
              <w:rPr>
                <w:rFonts w:cs="Arial"/>
                <w:bCs/>
                <w:color w:val="000000" w:themeColor="text1"/>
              </w:rPr>
              <w:t xml:space="preserve">R TOGETHER, which is led by CLT, </w:t>
            </w:r>
            <w:r w:rsidR="00921095" w:rsidRPr="00913491">
              <w:rPr>
                <w:rFonts w:cs="Arial"/>
                <w:bCs/>
                <w:color w:val="000000" w:themeColor="text1"/>
              </w:rPr>
              <w:t>is focussed</w:t>
            </w:r>
            <w:r w:rsidRPr="00913491">
              <w:rPr>
                <w:rFonts w:cs="Arial"/>
                <w:bCs/>
                <w:color w:val="000000" w:themeColor="text1"/>
              </w:rPr>
              <w:t xml:space="preserve"> on ensuring the Council is more agile, leaner, and strategic to achieve the best outcomes with limited resources.  </w:t>
            </w:r>
          </w:p>
          <w:p w14:paraId="39271635" w14:textId="77777777" w:rsidR="002D632D" w:rsidRPr="00913491" w:rsidRDefault="002619AA" w:rsidP="002A76F4">
            <w:pPr>
              <w:autoSpaceDE w:val="0"/>
              <w:adjustRightInd w:val="0"/>
              <w:spacing w:before="60"/>
              <w:rPr>
                <w:rFonts w:cs="Arial"/>
                <w:bCs/>
                <w:color w:val="000000" w:themeColor="text1"/>
              </w:rPr>
            </w:pPr>
            <w:r w:rsidRPr="00913491">
              <w:rPr>
                <w:rFonts w:cs="Arial"/>
                <w:bCs/>
                <w:color w:val="000000" w:themeColor="text1"/>
              </w:rPr>
              <w:lastRenderedPageBreak/>
              <w:t xml:space="preserve">All members </w:t>
            </w:r>
            <w:r w:rsidR="00921095" w:rsidRPr="00913491">
              <w:rPr>
                <w:rFonts w:cs="Arial"/>
                <w:bCs/>
                <w:color w:val="000000" w:themeColor="text1"/>
              </w:rPr>
              <w:t xml:space="preserve">have been </w:t>
            </w:r>
            <w:r w:rsidRPr="00913491">
              <w:rPr>
                <w:rFonts w:cs="Arial"/>
                <w:bCs/>
                <w:color w:val="000000" w:themeColor="text1"/>
              </w:rPr>
              <w:t xml:space="preserve">provided with a </w:t>
            </w:r>
            <w:r w:rsidR="000A5EEB" w:rsidRPr="00913491">
              <w:rPr>
                <w:rFonts w:cs="Arial"/>
                <w:color w:val="000000" w:themeColor="text1"/>
              </w:rPr>
              <w:t>Member Induction Programme and wider Member Development Programme</w:t>
            </w:r>
            <w:r w:rsidRPr="00913491">
              <w:rPr>
                <w:rFonts w:cs="Arial"/>
                <w:color w:val="000000" w:themeColor="text1"/>
              </w:rPr>
              <w:t xml:space="preserve">. Members also have </w:t>
            </w:r>
            <w:r w:rsidRPr="00913491">
              <w:rPr>
                <w:rFonts w:cs="Arial"/>
                <w:bCs/>
                <w:color w:val="000000" w:themeColor="text1"/>
              </w:rPr>
              <w:t xml:space="preserve">an online portal </w:t>
            </w:r>
            <w:r w:rsidR="00B30EA8" w:rsidRPr="00913491">
              <w:rPr>
                <w:rFonts w:cs="Arial"/>
                <w:bCs/>
                <w:color w:val="000000" w:themeColor="text1"/>
              </w:rPr>
              <w:t xml:space="preserve">(members hub) </w:t>
            </w:r>
            <w:r w:rsidRPr="00913491">
              <w:rPr>
                <w:rFonts w:cs="Arial"/>
                <w:bCs/>
                <w:color w:val="000000" w:themeColor="text1"/>
              </w:rPr>
              <w:t>to give them access to many useful documents and materials</w:t>
            </w:r>
            <w:r w:rsidR="00B30EA8" w:rsidRPr="00913491">
              <w:rPr>
                <w:rFonts w:cs="Arial"/>
                <w:bCs/>
                <w:color w:val="000000" w:themeColor="text1"/>
              </w:rPr>
              <w:t xml:space="preserve"> and a weekly Member Bulletin</w:t>
            </w:r>
            <w:r w:rsidR="00134B11" w:rsidRPr="00913491">
              <w:rPr>
                <w:rFonts w:cs="Arial"/>
                <w:bCs/>
                <w:color w:val="000000" w:themeColor="text1"/>
              </w:rPr>
              <w:t xml:space="preserve"> email</w:t>
            </w:r>
            <w:r w:rsidR="00B30EA8" w:rsidRPr="00913491">
              <w:rPr>
                <w:rFonts w:cs="Arial"/>
                <w:bCs/>
                <w:color w:val="000000" w:themeColor="text1"/>
              </w:rPr>
              <w:t xml:space="preserve"> to keep them updated with the work of the Council</w:t>
            </w:r>
            <w:r w:rsidRPr="00913491">
              <w:rPr>
                <w:rFonts w:cs="Arial"/>
                <w:bCs/>
                <w:color w:val="000000" w:themeColor="text1"/>
              </w:rPr>
              <w:t xml:space="preserve">. </w:t>
            </w:r>
          </w:p>
          <w:p w14:paraId="2B8BC007" w14:textId="77777777" w:rsidR="002D632D" w:rsidRPr="00913491" w:rsidRDefault="002D632D" w:rsidP="002A76F4">
            <w:pPr>
              <w:autoSpaceDE w:val="0"/>
              <w:adjustRightInd w:val="0"/>
              <w:spacing w:before="60"/>
              <w:contextualSpacing/>
              <w:rPr>
                <w:rFonts w:cs="Arial"/>
                <w:bCs/>
                <w:color w:val="000000" w:themeColor="text1"/>
              </w:rPr>
            </w:pPr>
          </w:p>
          <w:p w14:paraId="2B529F0A" w14:textId="77777777" w:rsidR="000A5EEB" w:rsidRPr="00913491" w:rsidRDefault="002619AA" w:rsidP="002A76F4">
            <w:pPr>
              <w:autoSpaceDE w:val="0"/>
              <w:adjustRightInd w:val="0"/>
              <w:spacing w:before="60"/>
              <w:contextualSpacing/>
              <w:rPr>
                <w:rFonts w:cs="Arial"/>
                <w:color w:val="000000" w:themeColor="text1"/>
              </w:rPr>
            </w:pPr>
            <w:r w:rsidRPr="00913491">
              <w:rPr>
                <w:rFonts w:cs="Arial"/>
                <w:bCs/>
                <w:color w:val="000000" w:themeColor="text1"/>
              </w:rPr>
              <w:t xml:space="preserve">Cabinet Members and the Mayor are held to account through regular attendance at Overview and Scrutiny Committee and Sub-Committee meetings as well as through monthly Portfolio meetings with the Mayor </w:t>
            </w:r>
            <w:r w:rsidR="00D92E2E" w:rsidRPr="00913491">
              <w:rPr>
                <w:rFonts w:cs="Arial"/>
                <w:bCs/>
                <w:color w:val="000000" w:themeColor="text1"/>
              </w:rPr>
              <w:t xml:space="preserve">and </w:t>
            </w:r>
            <w:r w:rsidRPr="00913491">
              <w:rPr>
                <w:rFonts w:cs="Arial"/>
                <w:bCs/>
                <w:color w:val="000000" w:themeColor="text1"/>
              </w:rPr>
              <w:t>quarterly performance and budget monitoring meetings.</w:t>
            </w:r>
          </w:p>
          <w:p w14:paraId="1BAC1BF3" w14:textId="77777777" w:rsidR="00724555" w:rsidRPr="00913491" w:rsidRDefault="00724555" w:rsidP="002A76F4">
            <w:pPr>
              <w:autoSpaceDE w:val="0"/>
              <w:adjustRightInd w:val="0"/>
              <w:spacing w:before="60"/>
              <w:contextualSpacing/>
              <w:rPr>
                <w:rFonts w:cs="Arial"/>
                <w:color w:val="000000" w:themeColor="text1"/>
              </w:rPr>
            </w:pPr>
          </w:p>
          <w:p w14:paraId="34B90089" w14:textId="1CB935EE" w:rsidR="00724555" w:rsidRPr="00913491" w:rsidRDefault="002619AA" w:rsidP="002A76F4">
            <w:pPr>
              <w:autoSpaceDE w:val="0"/>
              <w:adjustRightInd w:val="0"/>
              <w:spacing w:before="60"/>
              <w:ind w:left="34"/>
              <w:contextualSpacing/>
              <w:rPr>
                <w:rFonts w:cs="Arial"/>
                <w:color w:val="000000" w:themeColor="text1"/>
              </w:rPr>
            </w:pPr>
            <w:r w:rsidRPr="00913491">
              <w:rPr>
                <w:rFonts w:cs="Arial"/>
                <w:color w:val="000000" w:themeColor="text1"/>
              </w:rPr>
              <w:t>S</w:t>
            </w:r>
            <w:r w:rsidR="53C23545" w:rsidRPr="00913491">
              <w:rPr>
                <w:rFonts w:cs="Arial"/>
                <w:color w:val="000000" w:themeColor="text1"/>
              </w:rPr>
              <w:t xml:space="preserve">taff </w:t>
            </w:r>
            <w:r w:rsidR="42371CDA" w:rsidRPr="00913491">
              <w:rPr>
                <w:rFonts w:cs="Arial"/>
                <w:color w:val="000000" w:themeColor="text1"/>
              </w:rPr>
              <w:t xml:space="preserve">new to the </w:t>
            </w:r>
            <w:r w:rsidR="007E5088" w:rsidRPr="00913491">
              <w:rPr>
                <w:rFonts w:cs="Arial"/>
                <w:color w:val="000000" w:themeColor="text1"/>
              </w:rPr>
              <w:t>C</w:t>
            </w:r>
            <w:r w:rsidR="42371CDA" w:rsidRPr="00913491">
              <w:rPr>
                <w:rFonts w:cs="Arial"/>
                <w:color w:val="000000" w:themeColor="text1"/>
              </w:rPr>
              <w:t xml:space="preserve">ouncil </w:t>
            </w:r>
            <w:r w:rsidR="53C23545" w:rsidRPr="00913491">
              <w:rPr>
                <w:rFonts w:cs="Arial"/>
                <w:color w:val="000000" w:themeColor="text1"/>
              </w:rPr>
              <w:t>are provided with a corporate Induction and provided with additional documents and policies to support their induction</w:t>
            </w:r>
            <w:r w:rsidR="225F4B12" w:rsidRPr="00913491">
              <w:rPr>
                <w:rFonts w:cs="Arial"/>
                <w:color w:val="000000" w:themeColor="text1"/>
              </w:rPr>
              <w:t xml:space="preserve">, this includes mandatory training in areas such as data protection, anti-fraud and whistleblowing. </w:t>
            </w:r>
            <w:r w:rsidR="11C19A65" w:rsidRPr="00913491">
              <w:rPr>
                <w:rFonts w:cs="Arial"/>
                <w:color w:val="000000" w:themeColor="text1"/>
              </w:rPr>
              <w:t>Comp</w:t>
            </w:r>
            <w:r w:rsidR="3DFACEC4" w:rsidRPr="00913491">
              <w:rPr>
                <w:rFonts w:cs="Arial"/>
                <w:color w:val="000000" w:themeColor="text1"/>
              </w:rPr>
              <w:t>leti</w:t>
            </w:r>
            <w:r w:rsidR="11C19A65" w:rsidRPr="00913491">
              <w:rPr>
                <w:rFonts w:cs="Arial"/>
                <w:color w:val="000000" w:themeColor="text1"/>
              </w:rPr>
              <w:t>on of the mandatory training programme</w:t>
            </w:r>
            <w:r w:rsidR="007E5088" w:rsidRPr="00913491">
              <w:rPr>
                <w:rFonts w:cs="Arial"/>
                <w:color w:val="000000" w:themeColor="text1"/>
              </w:rPr>
              <w:t xml:space="preserve"> continues to be monitored, as it was previously</w:t>
            </w:r>
            <w:r w:rsidR="11C19A65" w:rsidRPr="00913491">
              <w:rPr>
                <w:rFonts w:cs="Arial"/>
                <w:color w:val="000000" w:themeColor="text1"/>
              </w:rPr>
              <w:t xml:space="preserve"> low, although </w:t>
            </w:r>
            <w:r w:rsidR="007E5088" w:rsidRPr="00913491">
              <w:rPr>
                <w:rFonts w:cs="Arial"/>
                <w:color w:val="000000" w:themeColor="text1"/>
              </w:rPr>
              <w:t>there are suggestions this has been</w:t>
            </w:r>
            <w:r w:rsidR="11C19A65" w:rsidRPr="00913491">
              <w:rPr>
                <w:rFonts w:cs="Arial"/>
                <w:color w:val="000000" w:themeColor="text1"/>
              </w:rPr>
              <w:t xml:space="preserve"> improving over the last 12 months. </w:t>
            </w:r>
            <w:r w:rsidR="11C19A65" w:rsidRPr="00913491">
              <w:rPr>
                <w:color w:val="000000" w:themeColor="text1"/>
              </w:rPr>
              <w:t xml:space="preserve">Management will continue to monitor compliance with the process and address areas of non-compliance. </w:t>
            </w:r>
          </w:p>
          <w:p w14:paraId="385657A5" w14:textId="77777777" w:rsidR="00724555" w:rsidRPr="00913491" w:rsidRDefault="00724555" w:rsidP="002A76F4">
            <w:pPr>
              <w:autoSpaceDE w:val="0"/>
              <w:adjustRightInd w:val="0"/>
              <w:spacing w:before="60"/>
              <w:contextualSpacing/>
              <w:rPr>
                <w:rFonts w:cs="Arial"/>
                <w:color w:val="000000" w:themeColor="text1"/>
              </w:rPr>
            </w:pPr>
          </w:p>
          <w:p w14:paraId="6C8658E6" w14:textId="768A5B2F" w:rsidR="00724555" w:rsidRPr="00913491" w:rsidRDefault="002619AA" w:rsidP="002A76F4">
            <w:pPr>
              <w:autoSpaceDE w:val="0"/>
              <w:adjustRightInd w:val="0"/>
              <w:spacing w:before="60"/>
              <w:contextualSpacing/>
              <w:rPr>
                <w:rFonts w:cs="Arial"/>
                <w:color w:val="000000" w:themeColor="text1"/>
              </w:rPr>
            </w:pPr>
            <w:r w:rsidRPr="00913491">
              <w:rPr>
                <w:rFonts w:cs="Arial"/>
                <w:color w:val="000000" w:themeColor="text1"/>
              </w:rPr>
              <w:t xml:space="preserve">Staff are provided with </w:t>
            </w:r>
            <w:r w:rsidR="00396434" w:rsidRPr="00913491">
              <w:rPr>
                <w:rFonts w:cs="Arial"/>
                <w:color w:val="000000" w:themeColor="text1"/>
              </w:rPr>
              <w:t xml:space="preserve">a wide range of development </w:t>
            </w:r>
            <w:r w:rsidRPr="00913491">
              <w:rPr>
                <w:rFonts w:cs="Arial"/>
                <w:color w:val="000000" w:themeColor="text1"/>
              </w:rPr>
              <w:t xml:space="preserve">opportunities through the </w:t>
            </w:r>
            <w:r w:rsidR="29963C03" w:rsidRPr="00913491">
              <w:rPr>
                <w:rFonts w:cs="Arial"/>
                <w:color w:val="000000" w:themeColor="text1"/>
              </w:rPr>
              <w:t xml:space="preserve">Learning Hub. </w:t>
            </w:r>
          </w:p>
          <w:p w14:paraId="100FDF0F" w14:textId="6E1E1B21" w:rsidR="00007E8F" w:rsidRPr="00913491" w:rsidRDefault="002619AA" w:rsidP="002A76F4">
            <w:pPr>
              <w:autoSpaceDE w:val="0"/>
              <w:adjustRightInd w:val="0"/>
              <w:spacing w:before="60" w:after="120"/>
              <w:ind w:left="34"/>
              <w:rPr>
                <w:rFonts w:cs="Arial"/>
                <w:color w:val="000000" w:themeColor="text1"/>
              </w:rPr>
            </w:pPr>
            <w:r w:rsidRPr="00913491">
              <w:rPr>
                <w:rFonts w:cs="Arial"/>
                <w:color w:val="000000" w:themeColor="text1"/>
              </w:rPr>
              <w:t xml:space="preserve">The Council has adopted a range of supporting plans and strategies including the </w:t>
            </w:r>
            <w:r w:rsidR="25ED0B9A" w:rsidRPr="00913491">
              <w:rPr>
                <w:rFonts w:cs="Arial"/>
                <w:color w:val="000000" w:themeColor="text1"/>
              </w:rPr>
              <w:t xml:space="preserve">People </w:t>
            </w:r>
            <w:r w:rsidR="5898A4C3" w:rsidRPr="00913491">
              <w:rPr>
                <w:rFonts w:cs="Arial"/>
                <w:color w:val="000000" w:themeColor="text1"/>
              </w:rPr>
              <w:t>and Wellb</w:t>
            </w:r>
            <w:r w:rsidR="0056EFE5" w:rsidRPr="00913491">
              <w:rPr>
                <w:rFonts w:cs="Arial"/>
                <w:color w:val="000000" w:themeColor="text1"/>
              </w:rPr>
              <w:t>e</w:t>
            </w:r>
            <w:r w:rsidR="5898A4C3" w:rsidRPr="00913491">
              <w:rPr>
                <w:rFonts w:cs="Arial"/>
                <w:color w:val="000000" w:themeColor="text1"/>
              </w:rPr>
              <w:t xml:space="preserve">ing </w:t>
            </w:r>
            <w:r w:rsidR="25ED0B9A" w:rsidRPr="00913491">
              <w:rPr>
                <w:rFonts w:cs="Arial"/>
                <w:color w:val="000000" w:themeColor="text1"/>
              </w:rPr>
              <w:t>Plan</w:t>
            </w:r>
            <w:r w:rsidRPr="00913491">
              <w:rPr>
                <w:rFonts w:cs="Arial"/>
                <w:color w:val="000000" w:themeColor="text1"/>
              </w:rPr>
              <w:t>, and</w:t>
            </w:r>
            <w:r w:rsidR="00FC22BA" w:rsidRPr="00913491">
              <w:rPr>
                <w:rFonts w:cs="Arial"/>
                <w:color w:val="000000" w:themeColor="text1"/>
              </w:rPr>
              <w:t xml:space="preserve"> the</w:t>
            </w:r>
            <w:r w:rsidRPr="00913491">
              <w:rPr>
                <w:rFonts w:cs="Arial"/>
                <w:color w:val="000000" w:themeColor="text1"/>
              </w:rPr>
              <w:t xml:space="preserve"> </w:t>
            </w:r>
            <w:r w:rsidR="25ED0B9A" w:rsidRPr="00913491">
              <w:rPr>
                <w:rFonts w:cs="Arial"/>
                <w:color w:val="000000" w:themeColor="text1"/>
              </w:rPr>
              <w:t>Workforce Development Strategies</w:t>
            </w:r>
            <w:r w:rsidRPr="00913491">
              <w:rPr>
                <w:rFonts w:cs="Arial"/>
                <w:color w:val="000000" w:themeColor="text1"/>
              </w:rPr>
              <w:t xml:space="preserve">. </w:t>
            </w:r>
          </w:p>
        </w:tc>
      </w:tr>
      <w:tr w:rsidR="007E37FA" w:rsidRPr="00160BA6" w14:paraId="098E504F" w14:textId="77777777" w:rsidTr="034273BC">
        <w:tc>
          <w:tcPr>
            <w:tcW w:w="3510" w:type="dxa"/>
          </w:tcPr>
          <w:p w14:paraId="5E1EC5B2" w14:textId="77777777" w:rsidR="00724555" w:rsidRPr="00160BA6" w:rsidRDefault="002619AA" w:rsidP="00226C1E">
            <w:pPr>
              <w:pStyle w:val="ListParagraph"/>
              <w:numPr>
                <w:ilvl w:val="0"/>
                <w:numId w:val="4"/>
              </w:numPr>
              <w:spacing w:before="60" w:after="120"/>
              <w:ind w:left="426"/>
              <w:rPr>
                <w:rFonts w:cs="Arial"/>
                <w:color w:val="000000" w:themeColor="text1"/>
              </w:rPr>
            </w:pPr>
            <w:r w:rsidRPr="00160BA6">
              <w:rPr>
                <w:rFonts w:cs="Arial"/>
                <w:color w:val="000000" w:themeColor="text1"/>
              </w:rPr>
              <w:lastRenderedPageBreak/>
              <w:t>Managing risks and performance through robust internal control and strong public financial management.</w:t>
            </w:r>
          </w:p>
        </w:tc>
        <w:tc>
          <w:tcPr>
            <w:tcW w:w="10664" w:type="dxa"/>
          </w:tcPr>
          <w:p w14:paraId="739F8BFE" w14:textId="4BAD5311" w:rsidR="00FB2373" w:rsidRPr="00160BA6" w:rsidRDefault="002619AA" w:rsidP="002A76F4">
            <w:pPr>
              <w:pStyle w:val="Default"/>
              <w:spacing w:before="60"/>
              <w:rPr>
                <w:color w:val="000000" w:themeColor="text1"/>
              </w:rPr>
            </w:pPr>
            <w:r w:rsidRPr="00160BA6">
              <w:rPr>
                <w:color w:val="000000" w:themeColor="text1"/>
              </w:rPr>
              <w:t xml:space="preserve">The Council has </w:t>
            </w:r>
            <w:r w:rsidR="00921095" w:rsidRPr="00160BA6">
              <w:rPr>
                <w:color w:val="000000" w:themeColor="text1"/>
              </w:rPr>
              <w:t xml:space="preserve">adopted </w:t>
            </w:r>
            <w:r w:rsidRPr="00160BA6">
              <w:rPr>
                <w:color w:val="000000" w:themeColor="text1"/>
              </w:rPr>
              <w:t xml:space="preserve">a risk management strategy and approach with the main priorities of providing robust systems of identification, evaluation, and control of risks which threaten the Council’s ability to meet its objectives to deliver services to the </w:t>
            </w:r>
            <w:r w:rsidR="00777014" w:rsidRPr="00160BA6">
              <w:rPr>
                <w:color w:val="000000" w:themeColor="text1"/>
              </w:rPr>
              <w:t>community</w:t>
            </w:r>
            <w:r w:rsidR="00E34DB3" w:rsidRPr="00160BA6">
              <w:rPr>
                <w:color w:val="000000" w:themeColor="text1"/>
              </w:rPr>
              <w:t xml:space="preserve">. The </w:t>
            </w:r>
            <w:r w:rsidR="00A45C11" w:rsidRPr="00160BA6">
              <w:rPr>
                <w:color w:val="000000" w:themeColor="text1"/>
              </w:rPr>
              <w:t>five-year</w:t>
            </w:r>
            <w:r w:rsidR="00E34DB3" w:rsidRPr="00160BA6">
              <w:rPr>
                <w:color w:val="000000" w:themeColor="text1"/>
              </w:rPr>
              <w:t xml:space="preserve"> Risk Management Strategy was reviewed and agreed by CLT at the end of 2019/20</w:t>
            </w:r>
            <w:r w:rsidR="009A4EBD" w:rsidRPr="00160BA6">
              <w:rPr>
                <w:color w:val="000000" w:themeColor="text1"/>
              </w:rPr>
              <w:t xml:space="preserve"> and the Audit Committee in July 2020. </w:t>
            </w:r>
            <w:r w:rsidR="00F464D5">
              <w:rPr>
                <w:color w:val="000000" w:themeColor="text1"/>
              </w:rPr>
              <w:br/>
            </w:r>
          </w:p>
          <w:p w14:paraId="4ACA7CE5" w14:textId="19D39505" w:rsidR="009E4CCE" w:rsidRPr="00160BA6" w:rsidRDefault="002619AA" w:rsidP="002A76F4">
            <w:pPr>
              <w:pStyle w:val="Default"/>
              <w:spacing w:before="60"/>
              <w:rPr>
                <w:color w:val="000000" w:themeColor="text1"/>
              </w:rPr>
            </w:pPr>
            <w:r w:rsidRPr="00160BA6">
              <w:rPr>
                <w:color w:val="000000" w:themeColor="text1"/>
              </w:rPr>
              <w:t xml:space="preserve">Risk management is </w:t>
            </w:r>
            <w:r w:rsidR="00777014" w:rsidRPr="00160BA6">
              <w:rPr>
                <w:color w:val="000000" w:themeColor="text1"/>
              </w:rPr>
              <w:t>part of</w:t>
            </w:r>
            <w:r w:rsidRPr="00160BA6">
              <w:rPr>
                <w:color w:val="000000" w:themeColor="text1"/>
              </w:rPr>
              <w:t xml:space="preserve"> the Council’s </w:t>
            </w:r>
            <w:r w:rsidR="00777014" w:rsidRPr="00160BA6">
              <w:rPr>
                <w:color w:val="000000" w:themeColor="text1"/>
              </w:rPr>
              <w:t xml:space="preserve">day-to-day </w:t>
            </w:r>
            <w:r w:rsidRPr="00160BA6">
              <w:rPr>
                <w:color w:val="000000" w:themeColor="text1"/>
              </w:rPr>
              <w:t xml:space="preserve">activities and decision-making and regular reports </w:t>
            </w:r>
            <w:r w:rsidR="00921095" w:rsidRPr="00160BA6">
              <w:rPr>
                <w:color w:val="000000" w:themeColor="text1"/>
              </w:rPr>
              <w:t xml:space="preserve">have been </w:t>
            </w:r>
            <w:r w:rsidRPr="00160BA6">
              <w:rPr>
                <w:color w:val="000000" w:themeColor="text1"/>
              </w:rPr>
              <w:t xml:space="preserve">provided </w:t>
            </w:r>
            <w:r w:rsidR="00921095" w:rsidRPr="00160BA6">
              <w:rPr>
                <w:color w:val="000000" w:themeColor="text1"/>
              </w:rPr>
              <w:t>at</w:t>
            </w:r>
            <w:r w:rsidRPr="00160BA6">
              <w:rPr>
                <w:color w:val="000000" w:themeColor="text1"/>
              </w:rPr>
              <w:t xml:space="preserve"> </w:t>
            </w:r>
            <w:r w:rsidR="00B777DB" w:rsidRPr="00160BA6">
              <w:rPr>
                <w:color w:val="000000" w:themeColor="text1"/>
              </w:rPr>
              <w:t xml:space="preserve">corporate and directorate level. </w:t>
            </w:r>
            <w:r w:rsidRPr="00160BA6">
              <w:rPr>
                <w:color w:val="000000" w:themeColor="text1"/>
              </w:rPr>
              <w:t>The Corporate Risk Register is</w:t>
            </w:r>
            <w:r w:rsidR="00777014" w:rsidRPr="00160BA6">
              <w:rPr>
                <w:color w:val="000000" w:themeColor="text1"/>
              </w:rPr>
              <w:t xml:space="preserve"> independently </w:t>
            </w:r>
            <w:r w:rsidR="00007E8F" w:rsidRPr="00160BA6">
              <w:rPr>
                <w:color w:val="000000" w:themeColor="text1"/>
              </w:rPr>
              <w:t xml:space="preserve">reviewed </w:t>
            </w:r>
            <w:r w:rsidR="00777014" w:rsidRPr="00160BA6">
              <w:rPr>
                <w:color w:val="000000" w:themeColor="text1"/>
              </w:rPr>
              <w:t>by the Audit Committee.</w:t>
            </w:r>
            <w:r w:rsidRPr="00160BA6">
              <w:rPr>
                <w:color w:val="000000" w:themeColor="text1"/>
              </w:rPr>
              <w:t xml:space="preserve"> During the Covid-19 pandemic a bespoke risk </w:t>
            </w:r>
            <w:r w:rsidRPr="00160BA6">
              <w:rPr>
                <w:color w:val="000000" w:themeColor="text1"/>
              </w:rPr>
              <w:lastRenderedPageBreak/>
              <w:t xml:space="preserve">register was created and closely monitored by the Gold and Silver groups to ensure that significant risks were acknowledged and mitigated. </w:t>
            </w:r>
            <w:r w:rsidR="002A27DD" w:rsidRPr="00160BA6">
              <w:rPr>
                <w:color w:val="000000" w:themeColor="text1"/>
              </w:rPr>
              <w:t xml:space="preserve">Engagement with risk management was </w:t>
            </w:r>
            <w:r w:rsidR="006540CB" w:rsidRPr="00160BA6">
              <w:rPr>
                <w:color w:val="000000" w:themeColor="text1"/>
              </w:rPr>
              <w:t>much improved</w:t>
            </w:r>
            <w:r w:rsidR="002A27DD" w:rsidRPr="00160BA6">
              <w:rPr>
                <w:color w:val="000000" w:themeColor="text1"/>
              </w:rPr>
              <w:t xml:space="preserve"> at all </w:t>
            </w:r>
            <w:r w:rsidR="005534EA" w:rsidRPr="00160BA6">
              <w:rPr>
                <w:color w:val="000000" w:themeColor="text1"/>
              </w:rPr>
              <w:t>levels</w:t>
            </w:r>
            <w:r w:rsidR="002A27DD" w:rsidRPr="00160BA6">
              <w:rPr>
                <w:color w:val="000000" w:themeColor="text1"/>
              </w:rPr>
              <w:t xml:space="preserve"> </w:t>
            </w:r>
            <w:r w:rsidR="006C3911" w:rsidRPr="00160BA6">
              <w:rPr>
                <w:color w:val="000000" w:themeColor="text1"/>
              </w:rPr>
              <w:t>of</w:t>
            </w:r>
            <w:r w:rsidR="002A27DD" w:rsidRPr="00160BA6">
              <w:rPr>
                <w:color w:val="000000" w:themeColor="text1"/>
              </w:rPr>
              <w:t xml:space="preserve"> the business throughout the pandemic</w:t>
            </w:r>
            <w:r w:rsidR="006E6F9E" w:rsidRPr="00160BA6">
              <w:rPr>
                <w:color w:val="000000" w:themeColor="text1"/>
              </w:rPr>
              <w:t xml:space="preserve"> and </w:t>
            </w:r>
            <w:r w:rsidR="006C7D5C" w:rsidRPr="00160BA6">
              <w:rPr>
                <w:color w:val="000000" w:themeColor="text1"/>
              </w:rPr>
              <w:t>this has continued in 2020</w:t>
            </w:r>
            <w:r w:rsidR="006540CB" w:rsidRPr="00160BA6">
              <w:rPr>
                <w:color w:val="000000" w:themeColor="text1"/>
              </w:rPr>
              <w:t>/21</w:t>
            </w:r>
            <w:r w:rsidR="006C7D5C" w:rsidRPr="00160BA6">
              <w:rPr>
                <w:color w:val="000000" w:themeColor="text1"/>
              </w:rPr>
              <w:t xml:space="preserve">. </w:t>
            </w:r>
            <w:r w:rsidR="00640097" w:rsidRPr="00A45C11">
              <w:rPr>
                <w:color w:val="000000" w:themeColor="text1"/>
              </w:rPr>
              <w:t xml:space="preserve">This </w:t>
            </w:r>
            <w:r w:rsidR="005534EA">
              <w:rPr>
                <w:color w:val="000000" w:themeColor="text1"/>
              </w:rPr>
              <w:t xml:space="preserve">risk register </w:t>
            </w:r>
            <w:r w:rsidR="00640097" w:rsidRPr="00A45C11">
              <w:rPr>
                <w:color w:val="000000" w:themeColor="text1"/>
              </w:rPr>
              <w:t>has since been retired</w:t>
            </w:r>
            <w:r w:rsidR="005534EA">
              <w:rPr>
                <w:color w:val="000000" w:themeColor="text1"/>
              </w:rPr>
              <w:t>, as the risks have been mitigated to an acceptable level</w:t>
            </w:r>
            <w:r w:rsidR="007F52AC">
              <w:rPr>
                <w:color w:val="000000" w:themeColor="text1"/>
              </w:rPr>
              <w:t xml:space="preserve"> as the Council moved out of the pandemic restrictions.</w:t>
            </w:r>
            <w:r w:rsidR="005534EA">
              <w:rPr>
                <w:color w:val="000000" w:themeColor="text1"/>
              </w:rPr>
              <w:t>, and</w:t>
            </w:r>
            <w:r w:rsidR="007F52AC">
              <w:rPr>
                <w:color w:val="000000" w:themeColor="text1"/>
              </w:rPr>
              <w:t xml:space="preserve"> for</w:t>
            </w:r>
            <w:r w:rsidR="005534EA">
              <w:rPr>
                <w:color w:val="000000" w:themeColor="text1"/>
              </w:rPr>
              <w:t xml:space="preserve"> those</w:t>
            </w:r>
            <w:r w:rsidR="007F52AC">
              <w:rPr>
                <w:color w:val="000000" w:themeColor="text1"/>
              </w:rPr>
              <w:t xml:space="preserve"> risks</w:t>
            </w:r>
            <w:r w:rsidR="005534EA">
              <w:rPr>
                <w:color w:val="000000" w:themeColor="text1"/>
              </w:rPr>
              <w:t xml:space="preserve"> that have not</w:t>
            </w:r>
            <w:r w:rsidR="007F52AC">
              <w:rPr>
                <w:color w:val="000000" w:themeColor="text1"/>
              </w:rPr>
              <w:t xml:space="preserve"> reduced to an acceptable level</w:t>
            </w:r>
            <w:r w:rsidR="005534EA">
              <w:rPr>
                <w:color w:val="000000" w:themeColor="text1"/>
              </w:rPr>
              <w:t>,</w:t>
            </w:r>
            <w:r w:rsidR="007F52AC">
              <w:rPr>
                <w:color w:val="000000" w:themeColor="text1"/>
              </w:rPr>
              <w:t xml:space="preserve"> these were</w:t>
            </w:r>
            <w:r w:rsidR="005534EA">
              <w:rPr>
                <w:color w:val="000000" w:themeColor="text1"/>
              </w:rPr>
              <w:t xml:space="preserve"> transferred over to business-as-usual risk registers</w:t>
            </w:r>
            <w:r w:rsidR="00640097" w:rsidRPr="00A45C11">
              <w:rPr>
                <w:color w:val="000000" w:themeColor="text1"/>
              </w:rPr>
              <w:t xml:space="preserve"> </w:t>
            </w:r>
            <w:r w:rsidR="007F52AC">
              <w:rPr>
                <w:color w:val="000000" w:themeColor="text1"/>
              </w:rPr>
              <w:t>to be monitored on an ongoing basis</w:t>
            </w:r>
            <w:r w:rsidR="00640097" w:rsidRPr="00A45C11">
              <w:rPr>
                <w:color w:val="000000" w:themeColor="text1"/>
              </w:rPr>
              <w:t>.</w:t>
            </w:r>
          </w:p>
          <w:p w14:paraId="55262D24" w14:textId="77777777" w:rsidR="00314734" w:rsidRPr="00160BA6" w:rsidRDefault="00314734" w:rsidP="002A76F4">
            <w:pPr>
              <w:pStyle w:val="Default"/>
              <w:spacing w:before="60"/>
              <w:rPr>
                <w:color w:val="000000" w:themeColor="text1"/>
              </w:rPr>
            </w:pPr>
          </w:p>
          <w:p w14:paraId="349E90A6" w14:textId="6508A30D" w:rsidR="00A31094" w:rsidRPr="00160BA6" w:rsidRDefault="002619AA" w:rsidP="002A76F4">
            <w:pPr>
              <w:pStyle w:val="Default"/>
              <w:spacing w:before="60"/>
              <w:rPr>
                <w:color w:val="000000" w:themeColor="text1"/>
                <w:sz w:val="22"/>
                <w:szCs w:val="22"/>
              </w:rPr>
            </w:pPr>
            <w:r w:rsidRPr="00160BA6">
              <w:rPr>
                <w:color w:val="000000" w:themeColor="text1"/>
              </w:rPr>
              <w:t>In July 2021 the Audit Committee received the annual report for risk management for the 2020/21 period. The report concluded that “</w:t>
            </w:r>
            <w:r w:rsidRPr="007F52AC">
              <w:rPr>
                <w:i/>
                <w:iCs/>
              </w:rPr>
              <w:t>Risk management remain</w:t>
            </w:r>
            <w:r w:rsidR="007F52AC" w:rsidRPr="007F52AC">
              <w:rPr>
                <w:i/>
                <w:iCs/>
              </w:rPr>
              <w:t>s</w:t>
            </w:r>
            <w:r w:rsidRPr="007F52AC">
              <w:rPr>
                <w:i/>
                <w:iCs/>
              </w:rPr>
              <w:t xml:space="preserve"> an important feature of good governance and the Council’s approach to risk management ha</w:t>
            </w:r>
            <w:r w:rsidR="00640097" w:rsidRPr="007F52AC">
              <w:rPr>
                <w:i/>
                <w:iCs/>
              </w:rPr>
              <w:t>d</w:t>
            </w:r>
            <w:r w:rsidRPr="007F52AC">
              <w:rPr>
                <w:i/>
                <w:iCs/>
              </w:rPr>
              <w:t xml:space="preserve"> matured during 2020/21 which has been demonstrated through the proactive risk management during the response to Covid-19 pandemic. The current risk management arrangements are reasonable, but there is some room for improvement to better integrate risk management into the </w:t>
            </w:r>
            <w:r w:rsidR="00640097" w:rsidRPr="007F52AC">
              <w:rPr>
                <w:i/>
                <w:iCs/>
              </w:rPr>
              <w:t>day-to-day</w:t>
            </w:r>
            <w:r w:rsidRPr="007F52AC">
              <w:rPr>
                <w:i/>
                <w:iCs/>
              </w:rPr>
              <w:t xml:space="preserve"> operations and culture of the Council and this</w:t>
            </w:r>
            <w:r w:rsidR="00640097" w:rsidRPr="007F52AC">
              <w:rPr>
                <w:i/>
                <w:iCs/>
              </w:rPr>
              <w:t xml:space="preserve"> has been and</w:t>
            </w:r>
            <w:r w:rsidRPr="007F52AC">
              <w:rPr>
                <w:i/>
                <w:iCs/>
              </w:rPr>
              <w:t xml:space="preserve"> will</w:t>
            </w:r>
            <w:r w:rsidR="00640097" w:rsidRPr="007F52AC">
              <w:rPr>
                <w:i/>
                <w:iCs/>
              </w:rPr>
              <w:t xml:space="preserve"> continue to</w:t>
            </w:r>
            <w:r w:rsidRPr="007F52AC">
              <w:rPr>
                <w:i/>
                <w:iCs/>
              </w:rPr>
              <w:t xml:space="preserve"> be a key focus of work during 202</w:t>
            </w:r>
            <w:r w:rsidR="00640097" w:rsidRPr="007F52AC">
              <w:rPr>
                <w:i/>
                <w:iCs/>
              </w:rPr>
              <w:t>2</w:t>
            </w:r>
            <w:r w:rsidRPr="007F52AC">
              <w:rPr>
                <w:i/>
                <w:iCs/>
              </w:rPr>
              <w:t>-2</w:t>
            </w:r>
            <w:r w:rsidR="00640097" w:rsidRPr="007F52AC">
              <w:rPr>
                <w:i/>
                <w:iCs/>
              </w:rPr>
              <w:t>3</w:t>
            </w:r>
            <w:r w:rsidRPr="007F52AC">
              <w:t>.</w:t>
            </w:r>
            <w:r w:rsidR="00F36113" w:rsidRPr="007F52AC">
              <w:t xml:space="preserve">” </w:t>
            </w:r>
            <w:r w:rsidR="00F36113" w:rsidRPr="00303EA1">
              <w:t>An improvement action plan for 2021/22 was agreed by the same Audit Committee</w:t>
            </w:r>
            <w:r w:rsidR="00F36113" w:rsidRPr="00010CAC">
              <w:t>.</w:t>
            </w:r>
            <w:r w:rsidR="00F36113" w:rsidRPr="00160BA6">
              <w:t xml:space="preserve"> </w:t>
            </w:r>
          </w:p>
          <w:p w14:paraId="42201096" w14:textId="77777777" w:rsidR="009E4CCE" w:rsidRPr="00160BA6" w:rsidRDefault="009E4CCE" w:rsidP="002A76F4">
            <w:pPr>
              <w:pStyle w:val="Default"/>
              <w:spacing w:before="60"/>
              <w:rPr>
                <w:color w:val="000000" w:themeColor="text1"/>
              </w:rPr>
            </w:pPr>
          </w:p>
          <w:p w14:paraId="632933FD" w14:textId="77777777" w:rsidR="00777014" w:rsidRPr="00160BA6" w:rsidRDefault="002619AA" w:rsidP="002A76F4">
            <w:pPr>
              <w:pStyle w:val="Default"/>
              <w:spacing w:before="60"/>
              <w:rPr>
                <w:color w:val="000000" w:themeColor="text1"/>
              </w:rPr>
            </w:pPr>
            <w:r w:rsidRPr="00160BA6">
              <w:rPr>
                <w:color w:val="000000" w:themeColor="text1"/>
              </w:rPr>
              <w:t>The Corporate Director</w:t>
            </w:r>
            <w:r w:rsidR="01705E41" w:rsidRPr="00160BA6">
              <w:rPr>
                <w:color w:val="000000" w:themeColor="text1"/>
              </w:rPr>
              <w:t xml:space="preserve">, Resources </w:t>
            </w:r>
            <w:r w:rsidRPr="00160BA6">
              <w:rPr>
                <w:color w:val="000000" w:themeColor="text1"/>
              </w:rPr>
              <w:t xml:space="preserve">is responsible for the proper administration of all aspects of the Council’s financial affairs including ensuring appropriate advice is given to the Council on all financial matters. The Council’s system of internal financial control is based on a framework of financial regulations, regular management information, administrative procedures (including segregation of duties), management supervision, and a system of delegation and accountability. </w:t>
            </w:r>
            <w:r w:rsidR="2B512281" w:rsidRPr="00160BA6">
              <w:rPr>
                <w:color w:val="000000" w:themeColor="text1"/>
              </w:rPr>
              <w:t xml:space="preserve"> </w:t>
            </w:r>
          </w:p>
          <w:p w14:paraId="3EBC6786" w14:textId="77777777" w:rsidR="00777014" w:rsidRPr="00160BA6" w:rsidRDefault="00777014" w:rsidP="002A76F4">
            <w:pPr>
              <w:pStyle w:val="Default"/>
              <w:spacing w:before="60"/>
              <w:rPr>
                <w:color w:val="000000" w:themeColor="text1"/>
              </w:rPr>
            </w:pPr>
          </w:p>
          <w:p w14:paraId="5CDC47C2" w14:textId="77777777" w:rsidR="00E34DB3" w:rsidRPr="00160BA6" w:rsidRDefault="002619AA" w:rsidP="002A76F4">
            <w:pPr>
              <w:pStyle w:val="Default"/>
              <w:spacing w:before="60"/>
              <w:rPr>
                <w:color w:val="000000" w:themeColor="text1"/>
              </w:rPr>
            </w:pPr>
            <w:r w:rsidRPr="00160BA6">
              <w:rPr>
                <w:color w:val="000000" w:themeColor="text1"/>
              </w:rPr>
              <w:t>A Medium-Term Financial Strategy is in place</w:t>
            </w:r>
            <w:r w:rsidR="00F03EC8" w:rsidRPr="00160BA6">
              <w:rPr>
                <w:color w:val="000000" w:themeColor="text1"/>
              </w:rPr>
              <w:t xml:space="preserve"> and </w:t>
            </w:r>
            <w:r w:rsidR="0095444F" w:rsidRPr="00160BA6">
              <w:rPr>
                <w:color w:val="000000" w:themeColor="text1"/>
              </w:rPr>
              <w:t>is refreshed annually</w:t>
            </w:r>
            <w:r w:rsidR="00F03EC8" w:rsidRPr="00160BA6">
              <w:rPr>
                <w:color w:val="000000" w:themeColor="text1"/>
              </w:rPr>
              <w:t>.</w:t>
            </w:r>
            <w:r w:rsidRPr="00160BA6">
              <w:rPr>
                <w:color w:val="000000" w:themeColor="text1"/>
              </w:rPr>
              <w:t xml:space="preserve"> Revenue and capital budget planning based on corporate priorities are led by the Corporate Leadership Team and </w:t>
            </w:r>
            <w:r w:rsidR="007C7B81" w:rsidRPr="00160BA6">
              <w:rPr>
                <w:color w:val="000000" w:themeColor="text1"/>
              </w:rPr>
              <w:t>are</w:t>
            </w:r>
            <w:r w:rsidRPr="00160BA6">
              <w:rPr>
                <w:color w:val="000000" w:themeColor="text1"/>
              </w:rPr>
              <w:t xml:space="preserve"> presented for approval by the Council. Revenue and Capital Budget Monitoring reports have been presented to the Cabinet on a regular basis, this includes the annual outturn. Members </w:t>
            </w:r>
            <w:r w:rsidRPr="00160BA6">
              <w:rPr>
                <w:color w:val="000000" w:themeColor="text1"/>
              </w:rPr>
              <w:lastRenderedPageBreak/>
              <w:t>have been able to scrutinise budget monitoring through the relevant Committee to ensure performance and risks are managed.</w:t>
            </w:r>
          </w:p>
          <w:p w14:paraId="7523EC5C" w14:textId="7E2F7C08" w:rsidR="005637F5" w:rsidRDefault="005637F5" w:rsidP="002A76F4">
            <w:pPr>
              <w:spacing w:before="60"/>
              <w:rPr>
                <w:highlight w:val="yellow"/>
              </w:rPr>
            </w:pPr>
          </w:p>
          <w:p w14:paraId="7EB62D6C" w14:textId="11C5EC31" w:rsidR="005637F5" w:rsidRPr="006122A6" w:rsidRDefault="005637F5" w:rsidP="002A76F4">
            <w:pPr>
              <w:spacing w:before="60"/>
              <w:rPr>
                <w:highlight w:val="yellow"/>
              </w:rPr>
            </w:pPr>
            <w:r w:rsidRPr="005637F5">
              <w:t xml:space="preserve">The Council has faced significant financial challenges throughout 2021/22 as costs associated with </w:t>
            </w:r>
            <w:r w:rsidRPr="00A8096D">
              <w:t xml:space="preserve">Covid and losses in income continued to impact the financial position, particularly in the first half of the year. The Council has applied £34m of COVID funding during the year and discharge funding received from the CCG to balance its budget, resulting in a slight underspend at outturn.  Continued COVID recovery alongside a spike in inflation, fuel prices and the impacts of these on the cost of living will be key aspects for the </w:t>
            </w:r>
            <w:r w:rsidR="00652184">
              <w:t>C</w:t>
            </w:r>
            <w:r w:rsidRPr="00A8096D">
              <w:t xml:space="preserve">ouncil to consider in its </w:t>
            </w:r>
            <w:r w:rsidR="00EE4D64" w:rsidRPr="00A8096D">
              <w:t>medium-term</w:t>
            </w:r>
            <w:r w:rsidRPr="00A8096D">
              <w:t xml:space="preserve"> financial planning going forward.</w:t>
            </w:r>
            <w:r w:rsidR="006122A6" w:rsidRPr="00A8096D">
              <w:t xml:space="preserve"> </w:t>
            </w:r>
          </w:p>
          <w:p w14:paraId="4363A324" w14:textId="77777777" w:rsidR="005A1205" w:rsidRPr="00072E98" w:rsidRDefault="005A1205" w:rsidP="002A76F4">
            <w:pPr>
              <w:pStyle w:val="Default"/>
              <w:spacing w:before="60"/>
              <w:rPr>
                <w:color w:val="000000" w:themeColor="text1"/>
                <w:highlight w:val="yellow"/>
              </w:rPr>
            </w:pPr>
          </w:p>
          <w:p w14:paraId="607684D4" w14:textId="12DA589F" w:rsidR="00D131DE" w:rsidRPr="00165BA7" w:rsidRDefault="002619AA" w:rsidP="002A76F4">
            <w:pPr>
              <w:pStyle w:val="Default"/>
              <w:spacing w:before="60"/>
              <w:rPr>
                <w:color w:val="000000" w:themeColor="text1"/>
              </w:rPr>
            </w:pPr>
            <w:r w:rsidRPr="00165BA7">
              <w:rPr>
                <w:color w:val="000000" w:themeColor="text1"/>
              </w:rPr>
              <w:t>Since 2019/20</w:t>
            </w:r>
            <w:r w:rsidR="00D738F1" w:rsidRPr="00165BA7">
              <w:rPr>
                <w:color w:val="000000" w:themeColor="text1"/>
              </w:rPr>
              <w:t xml:space="preserve"> Finance has been focussed on rectify</w:t>
            </w:r>
            <w:r w:rsidR="00696B97" w:rsidRPr="00165BA7">
              <w:rPr>
                <w:color w:val="000000" w:themeColor="text1"/>
              </w:rPr>
              <w:t>ing</w:t>
            </w:r>
            <w:r w:rsidR="00D738F1" w:rsidRPr="00165BA7">
              <w:rPr>
                <w:color w:val="000000" w:themeColor="text1"/>
              </w:rPr>
              <w:t xml:space="preserve"> significant issues with the 2018/19 </w:t>
            </w:r>
            <w:r w:rsidR="00761F3B" w:rsidRPr="00165BA7">
              <w:rPr>
                <w:color w:val="000000" w:themeColor="text1"/>
              </w:rPr>
              <w:t>and</w:t>
            </w:r>
            <w:r w:rsidR="00447169" w:rsidRPr="00165BA7">
              <w:rPr>
                <w:color w:val="000000" w:themeColor="text1"/>
              </w:rPr>
              <w:t xml:space="preserve"> 2019/20</w:t>
            </w:r>
            <w:r w:rsidR="000E6A86" w:rsidRPr="00165BA7">
              <w:rPr>
                <w:color w:val="000000" w:themeColor="text1"/>
              </w:rPr>
              <w:t xml:space="preserve"> </w:t>
            </w:r>
            <w:r w:rsidR="00165BA7" w:rsidRPr="00165BA7">
              <w:rPr>
                <w:color w:val="000000" w:themeColor="text1"/>
              </w:rPr>
              <w:t>S</w:t>
            </w:r>
            <w:r w:rsidR="000E6A86" w:rsidRPr="00165BA7">
              <w:rPr>
                <w:color w:val="000000" w:themeColor="text1"/>
              </w:rPr>
              <w:t>tatement</w:t>
            </w:r>
            <w:r w:rsidR="00761F3B" w:rsidRPr="00165BA7">
              <w:rPr>
                <w:color w:val="000000" w:themeColor="text1"/>
              </w:rPr>
              <w:t xml:space="preserve"> of </w:t>
            </w:r>
            <w:r w:rsidR="00165BA7" w:rsidRPr="00165BA7">
              <w:rPr>
                <w:color w:val="000000" w:themeColor="text1"/>
              </w:rPr>
              <w:t>A</w:t>
            </w:r>
            <w:r w:rsidR="00761F3B" w:rsidRPr="00165BA7">
              <w:rPr>
                <w:color w:val="000000" w:themeColor="text1"/>
              </w:rPr>
              <w:t>ccounts</w:t>
            </w:r>
            <w:r w:rsidR="000E6A86" w:rsidRPr="00165BA7">
              <w:rPr>
                <w:color w:val="000000" w:themeColor="text1"/>
              </w:rPr>
              <w:t xml:space="preserve">. </w:t>
            </w:r>
            <w:r w:rsidR="00D738F1" w:rsidRPr="00165BA7">
              <w:rPr>
                <w:color w:val="000000" w:themeColor="text1"/>
              </w:rPr>
              <w:t xml:space="preserve"> </w:t>
            </w:r>
            <w:r w:rsidR="003B4D37" w:rsidRPr="00165BA7">
              <w:rPr>
                <w:color w:val="000000" w:themeColor="text1"/>
              </w:rPr>
              <w:t xml:space="preserve">The Mayor, Cabinet Members, CLT and the </w:t>
            </w:r>
            <w:r w:rsidRPr="00165BA7">
              <w:t>Audit Committee</w:t>
            </w:r>
            <w:r w:rsidR="003B4D37" w:rsidRPr="00165BA7">
              <w:t xml:space="preserve"> have been provided with regular updates on progress to finalise the accounts. </w:t>
            </w:r>
            <w:r w:rsidRPr="00165BA7">
              <w:t xml:space="preserve"> </w:t>
            </w:r>
            <w:r w:rsidR="003B4D37" w:rsidRPr="00165BA7">
              <w:t>The accounts</w:t>
            </w:r>
            <w:r w:rsidRPr="00165BA7">
              <w:t xml:space="preserve"> continue to be subject to external audit review (by Deloitte). Further adjustments may be required through the audit process but these in themselves </w:t>
            </w:r>
            <w:r w:rsidR="003B4D37" w:rsidRPr="00165BA7">
              <w:t>are unlikely to be</w:t>
            </w:r>
            <w:r w:rsidRPr="00165BA7">
              <w:t xml:space="preserve"> sufficient to achieve an unqualified audit opinion. </w:t>
            </w:r>
          </w:p>
          <w:p w14:paraId="3DD2904F" w14:textId="77777777" w:rsidR="00D131DE" w:rsidRPr="00072E98" w:rsidRDefault="00D131DE" w:rsidP="002A76F4">
            <w:pPr>
              <w:pStyle w:val="Default"/>
              <w:spacing w:before="60"/>
              <w:rPr>
                <w:color w:val="000000" w:themeColor="text1"/>
                <w:highlight w:val="yellow"/>
              </w:rPr>
            </w:pPr>
          </w:p>
          <w:p w14:paraId="2450F739" w14:textId="0B06CB79" w:rsidR="00C341CC" w:rsidRPr="003B0A39" w:rsidRDefault="002619AA" w:rsidP="002A76F4">
            <w:pPr>
              <w:pStyle w:val="Default"/>
              <w:spacing w:before="60"/>
              <w:rPr>
                <w:color w:val="000000" w:themeColor="text1"/>
              </w:rPr>
            </w:pPr>
            <w:r w:rsidRPr="003B0A39">
              <w:rPr>
                <w:color w:val="000000" w:themeColor="text1"/>
              </w:rPr>
              <w:t>Production and publication of the 202</w:t>
            </w:r>
            <w:r w:rsidR="00165BA7" w:rsidRPr="003B0A39">
              <w:rPr>
                <w:color w:val="000000" w:themeColor="text1"/>
              </w:rPr>
              <w:t>0</w:t>
            </w:r>
            <w:r w:rsidRPr="003B0A39">
              <w:rPr>
                <w:color w:val="000000" w:themeColor="text1"/>
              </w:rPr>
              <w:t>/21</w:t>
            </w:r>
            <w:r w:rsidR="00165BA7" w:rsidRPr="003B0A39">
              <w:rPr>
                <w:color w:val="000000" w:themeColor="text1"/>
              </w:rPr>
              <w:t xml:space="preserve"> S</w:t>
            </w:r>
            <w:r w:rsidRPr="003B0A39">
              <w:rPr>
                <w:color w:val="000000" w:themeColor="text1"/>
              </w:rPr>
              <w:t xml:space="preserve">tatement of </w:t>
            </w:r>
            <w:r w:rsidR="00165BA7" w:rsidRPr="003B0A39">
              <w:rPr>
                <w:color w:val="000000" w:themeColor="text1"/>
              </w:rPr>
              <w:t>A</w:t>
            </w:r>
            <w:r w:rsidRPr="003B0A39">
              <w:rPr>
                <w:color w:val="000000" w:themeColor="text1"/>
              </w:rPr>
              <w:t xml:space="preserve">ccounts </w:t>
            </w:r>
            <w:r w:rsidR="00983B73" w:rsidRPr="003B0A39">
              <w:rPr>
                <w:color w:val="000000" w:themeColor="text1"/>
              </w:rPr>
              <w:t>w</w:t>
            </w:r>
            <w:r w:rsidR="003527B6" w:rsidRPr="003B0A39">
              <w:rPr>
                <w:color w:val="000000" w:themeColor="text1"/>
              </w:rPr>
              <w:t>as</w:t>
            </w:r>
            <w:r w:rsidRPr="003B0A39">
              <w:rPr>
                <w:color w:val="000000" w:themeColor="text1"/>
              </w:rPr>
              <w:t xml:space="preserve"> also delayed and the statutory deadline to publish an audited set of accounts w</w:t>
            </w:r>
            <w:r w:rsidR="00983B73" w:rsidRPr="003B0A39">
              <w:rPr>
                <w:color w:val="000000" w:themeColor="text1"/>
              </w:rPr>
              <w:t>as</w:t>
            </w:r>
            <w:r w:rsidRPr="003B0A39">
              <w:rPr>
                <w:color w:val="000000" w:themeColor="text1"/>
              </w:rPr>
              <w:t xml:space="preserve"> not met</w:t>
            </w:r>
            <w:r w:rsidR="00CD4548" w:rsidRPr="003B0A39">
              <w:rPr>
                <w:color w:val="000000" w:themeColor="text1"/>
              </w:rPr>
              <w:t xml:space="preserve"> (</w:t>
            </w:r>
            <w:r w:rsidR="00CD4548" w:rsidRPr="003B0A39">
              <w:rPr>
                <w:i/>
                <w:iCs/>
                <w:color w:val="000000" w:themeColor="text1"/>
              </w:rPr>
              <w:t>the 202</w:t>
            </w:r>
            <w:r w:rsidR="00661329" w:rsidRPr="003B0A39">
              <w:rPr>
                <w:i/>
                <w:iCs/>
                <w:color w:val="000000" w:themeColor="text1"/>
              </w:rPr>
              <w:t>0/21 draft accounts were later published in January 2022</w:t>
            </w:r>
            <w:r w:rsidR="00661329" w:rsidRPr="003B0A39">
              <w:rPr>
                <w:color w:val="000000" w:themeColor="text1"/>
              </w:rPr>
              <w:t>)</w:t>
            </w:r>
            <w:r w:rsidR="00C341CC" w:rsidRPr="003B0A39">
              <w:rPr>
                <w:color w:val="000000" w:themeColor="text1"/>
              </w:rPr>
              <w:t xml:space="preserve">.  Following sign-off </w:t>
            </w:r>
            <w:r w:rsidR="00AB3D0E" w:rsidRPr="003B0A39">
              <w:rPr>
                <w:color w:val="000000" w:themeColor="text1"/>
              </w:rPr>
              <w:t>o</w:t>
            </w:r>
            <w:r w:rsidR="000C247C" w:rsidRPr="003B0A39">
              <w:rPr>
                <w:color w:val="000000" w:themeColor="text1"/>
              </w:rPr>
              <w:t>n</w:t>
            </w:r>
            <w:r w:rsidR="00AB3D0E" w:rsidRPr="003B0A39">
              <w:rPr>
                <w:color w:val="000000" w:themeColor="text1"/>
              </w:rPr>
              <w:t xml:space="preserve"> </w:t>
            </w:r>
            <w:r w:rsidR="00C341CC" w:rsidRPr="003B0A39">
              <w:rPr>
                <w:color w:val="000000" w:themeColor="text1"/>
              </w:rPr>
              <w:t xml:space="preserve">the </w:t>
            </w:r>
            <w:r w:rsidR="00AB3D0E" w:rsidRPr="003B0A39">
              <w:rPr>
                <w:color w:val="000000" w:themeColor="text1"/>
              </w:rPr>
              <w:t xml:space="preserve">2018/19 and 2019/20 </w:t>
            </w:r>
            <w:r w:rsidR="00C341CC" w:rsidRPr="003B0A39">
              <w:rPr>
                <w:color w:val="000000" w:themeColor="text1"/>
              </w:rPr>
              <w:t xml:space="preserve">SoA </w:t>
            </w:r>
            <w:r w:rsidR="00802C84" w:rsidRPr="003B0A39">
              <w:rPr>
                <w:color w:val="000000" w:themeColor="text1"/>
              </w:rPr>
              <w:t xml:space="preserve">, the 2020/21 and 2021/22 audits are expected to commence </w:t>
            </w:r>
            <w:r w:rsidR="00B05BD3" w:rsidRPr="003B0A39">
              <w:rPr>
                <w:color w:val="000000" w:themeColor="text1"/>
              </w:rPr>
              <w:t>in parallel.</w:t>
            </w:r>
          </w:p>
          <w:p w14:paraId="2DFA5A15" w14:textId="77777777" w:rsidR="00C341CC" w:rsidRDefault="00C341CC" w:rsidP="002A76F4">
            <w:pPr>
              <w:pStyle w:val="Default"/>
              <w:spacing w:before="60"/>
              <w:rPr>
                <w:color w:val="000000" w:themeColor="text1"/>
                <w:highlight w:val="yellow"/>
              </w:rPr>
            </w:pPr>
          </w:p>
          <w:p w14:paraId="6C638AFB" w14:textId="455D0DB7" w:rsidR="007469A4" w:rsidRPr="00160BA6" w:rsidRDefault="002619AA" w:rsidP="002A76F4">
            <w:pPr>
              <w:pStyle w:val="Default"/>
              <w:spacing w:before="60"/>
            </w:pPr>
            <w:r w:rsidRPr="00AA1D25">
              <w:t xml:space="preserve">The Council established a detailed and far reaching Finance Improvement Plan designed to address the significant issues that have been identified from the Independent Review commissioned following the initial production of the 2018-19 Statement of Accounts; the initial external audit feedback from Deloitte’s on both outstanding </w:t>
            </w:r>
            <w:r w:rsidR="00AE0B2B" w:rsidRPr="00AA1D25">
              <w:t>Statement of Accounts</w:t>
            </w:r>
            <w:r w:rsidRPr="00AA1D25">
              <w:t xml:space="preserve">; the CIPFA </w:t>
            </w:r>
            <w:r w:rsidRPr="00AA1D25">
              <w:lastRenderedPageBreak/>
              <w:t xml:space="preserve">review of Financial Management reported in 2017 and a range of matters identified by officers of the Council that require rectification. </w:t>
            </w:r>
            <w:r w:rsidR="00983B73" w:rsidRPr="00AA1D25">
              <w:t xml:space="preserve">Progress has been reported </w:t>
            </w:r>
            <w:r w:rsidR="00D34ABD" w:rsidRPr="00AA1D25">
              <w:t xml:space="preserve">periodically to </w:t>
            </w:r>
            <w:r w:rsidR="00AA1D25" w:rsidRPr="00AA1D25">
              <w:t>the Finance Improvement Board introduced to govern such improvements, with necessary reporting shared with the Mayor, Cabinet Members, CLT and the Audit Committee too.</w:t>
            </w:r>
          </w:p>
          <w:p w14:paraId="0EA526B1" w14:textId="77777777" w:rsidR="00F81B25" w:rsidRDefault="002619AA" w:rsidP="002A76F4">
            <w:pPr>
              <w:pStyle w:val="Default"/>
              <w:spacing w:before="60"/>
              <w:rPr>
                <w:color w:val="000000" w:themeColor="text1"/>
              </w:rPr>
            </w:pPr>
            <w:r w:rsidRPr="00160BA6">
              <w:rPr>
                <w:color w:val="000000" w:themeColor="text1"/>
              </w:rPr>
              <w:t xml:space="preserve">The </w:t>
            </w:r>
            <w:r w:rsidR="00777014" w:rsidRPr="00160BA6">
              <w:rPr>
                <w:color w:val="000000" w:themeColor="text1"/>
              </w:rPr>
              <w:t>Council</w:t>
            </w:r>
            <w:r w:rsidRPr="00160BA6">
              <w:rPr>
                <w:color w:val="000000" w:themeColor="text1"/>
              </w:rPr>
              <w:t xml:space="preserve"> has a proactive, holistic approach to tackling fraud, theft, corruption, and crime, as an integral part of protecting public finances, safeguarding assets, and delivering services effectively and sustainably. </w:t>
            </w:r>
            <w:r w:rsidR="00EC4F10" w:rsidRPr="00160BA6">
              <w:rPr>
                <w:color w:val="000000" w:themeColor="text1"/>
              </w:rPr>
              <w:t>The outcomes of ant-fraud work have been reported to, and re</w:t>
            </w:r>
            <w:r w:rsidR="00E54461" w:rsidRPr="00160BA6">
              <w:rPr>
                <w:color w:val="000000" w:themeColor="text1"/>
              </w:rPr>
              <w:t xml:space="preserve">viewed by, the Audit Committee. </w:t>
            </w:r>
          </w:p>
          <w:p w14:paraId="12C141A6" w14:textId="77777777" w:rsidR="00F81B25" w:rsidRDefault="00F81B25" w:rsidP="002A76F4">
            <w:pPr>
              <w:pStyle w:val="Default"/>
              <w:spacing w:before="60"/>
            </w:pPr>
          </w:p>
          <w:p w14:paraId="557AB33B" w14:textId="70CA0F7E" w:rsidR="00344561" w:rsidRPr="00F81B25" w:rsidRDefault="00F81B25" w:rsidP="002A76F4">
            <w:pPr>
              <w:pStyle w:val="Default"/>
              <w:spacing w:before="60"/>
              <w:rPr>
                <w:color w:val="000000" w:themeColor="text1"/>
              </w:rPr>
            </w:pPr>
            <w:r w:rsidRPr="00F81B25">
              <w:t xml:space="preserve">The Covid-19 pandemic significantly impacted on the team’s ability to progress investigations. In line with the Council’s strategy during the pandemic, only essential services were in operation. To minimise the risk to the investigators and the public, interviews, foot patrols and visiting were stopped, although desktop investigations have continued throughout.  As a result, outcomes in comparison to previous years were reduced. As restrictions eased during 2021/22, the number of referrals has fluctuated, and the backlog of investigation and Court work continues to be cleared. Most Court cases were relisted for hearings in 2021/22 and continue to be scheduled as we move through 2022/23.  </w:t>
            </w:r>
          </w:p>
          <w:p w14:paraId="70EEFF3D" w14:textId="77777777" w:rsidR="00F81B25" w:rsidRDefault="00F81B25" w:rsidP="002A76F4">
            <w:pPr>
              <w:pStyle w:val="Default"/>
              <w:spacing w:before="60"/>
              <w:rPr>
                <w:highlight w:val="yellow"/>
              </w:rPr>
            </w:pPr>
          </w:p>
          <w:p w14:paraId="5F3AC0D0" w14:textId="18845884" w:rsidR="00344561" w:rsidRPr="00160BA6" w:rsidRDefault="002619AA" w:rsidP="002A76F4">
            <w:pPr>
              <w:pStyle w:val="Default"/>
              <w:spacing w:before="60"/>
            </w:pPr>
            <w:r w:rsidRPr="00D34ABD">
              <w:t xml:space="preserve">The positive outcomes achieved following the investigation of the above matters includes </w:t>
            </w:r>
            <w:r w:rsidR="00D34ABD" w:rsidRPr="00D34ABD">
              <w:t>35</w:t>
            </w:r>
            <w:r w:rsidRPr="00D34ABD">
              <w:t xml:space="preserve"> social housing properties being recovered and £</w:t>
            </w:r>
            <w:r w:rsidR="00D34ABD" w:rsidRPr="00D34ABD">
              <w:t>38</w:t>
            </w:r>
            <w:r w:rsidRPr="00D34ABD">
              <w:t xml:space="preserve">,000 </w:t>
            </w:r>
            <w:r w:rsidR="005B0FFC" w:rsidRPr="00D34ABD">
              <w:t xml:space="preserve">was </w:t>
            </w:r>
            <w:r w:rsidRPr="00D34ABD">
              <w:t>awarded to the Council in costs and compensation</w:t>
            </w:r>
            <w:r w:rsidR="00D34ABD" w:rsidRPr="00D34ABD">
              <w:t>.</w:t>
            </w:r>
            <w:r w:rsidRPr="00160BA6">
              <w:t xml:space="preserve"> </w:t>
            </w:r>
          </w:p>
          <w:p w14:paraId="6C03D85B" w14:textId="77777777" w:rsidR="005D0208" w:rsidRPr="00160BA6" w:rsidRDefault="005D0208" w:rsidP="002A76F4">
            <w:pPr>
              <w:pStyle w:val="Default"/>
              <w:spacing w:before="60"/>
              <w:rPr>
                <w:color w:val="000000" w:themeColor="text1"/>
              </w:rPr>
            </w:pPr>
          </w:p>
          <w:p w14:paraId="6A90115E" w14:textId="77777777" w:rsidR="00467729" w:rsidRPr="00160BA6" w:rsidRDefault="002619AA" w:rsidP="002A76F4">
            <w:pPr>
              <w:autoSpaceDE w:val="0"/>
              <w:adjustRightInd w:val="0"/>
              <w:spacing w:before="60"/>
              <w:contextualSpacing/>
              <w:rPr>
                <w:rFonts w:eastAsia="SymbolMT" w:cs="Arial"/>
                <w:color w:val="000000" w:themeColor="text1"/>
              </w:rPr>
            </w:pPr>
            <w:r w:rsidRPr="00160BA6">
              <w:rPr>
                <w:rFonts w:eastAsia="SymbolMT" w:cs="Arial"/>
                <w:color w:val="000000" w:themeColor="text1"/>
              </w:rPr>
              <w:t>All r</w:t>
            </w:r>
            <w:r w:rsidR="4BA5215B" w:rsidRPr="00160BA6">
              <w:rPr>
                <w:rFonts w:eastAsia="SymbolMT" w:cs="Arial"/>
                <w:color w:val="000000" w:themeColor="text1"/>
              </w:rPr>
              <w:t>eports to Council, Cabinet and Committees are required to set out key implication</w:t>
            </w:r>
            <w:r w:rsidR="00FA1243" w:rsidRPr="00160BA6">
              <w:rPr>
                <w:rFonts w:eastAsia="SymbolMT" w:cs="Arial"/>
                <w:color w:val="000000" w:themeColor="text1"/>
              </w:rPr>
              <w:t>s and</w:t>
            </w:r>
            <w:r w:rsidR="4BA5215B" w:rsidRPr="00160BA6">
              <w:rPr>
                <w:rFonts w:eastAsia="SymbolMT" w:cs="Arial"/>
                <w:color w:val="000000" w:themeColor="text1"/>
              </w:rPr>
              <w:t xml:space="preserve"> information in areas such as risk, equalities</w:t>
            </w:r>
            <w:r w:rsidR="536329E1" w:rsidRPr="00160BA6">
              <w:rPr>
                <w:rFonts w:eastAsia="SymbolMT" w:cs="Arial"/>
                <w:color w:val="000000" w:themeColor="text1"/>
              </w:rPr>
              <w:t>, safeguarding</w:t>
            </w:r>
            <w:r w:rsidR="4BA5215B" w:rsidRPr="00160BA6">
              <w:rPr>
                <w:rFonts w:eastAsia="SymbolMT" w:cs="Arial"/>
                <w:color w:val="000000" w:themeColor="text1"/>
              </w:rPr>
              <w:t xml:space="preserve"> and environmental impact.</w:t>
            </w:r>
          </w:p>
          <w:p w14:paraId="33F73C29" w14:textId="77777777" w:rsidR="00467729" w:rsidRPr="00160BA6" w:rsidRDefault="00467729" w:rsidP="002A76F4">
            <w:pPr>
              <w:pStyle w:val="Default"/>
              <w:spacing w:before="60"/>
              <w:rPr>
                <w:color w:val="000000" w:themeColor="text1"/>
              </w:rPr>
            </w:pPr>
          </w:p>
          <w:p w14:paraId="2ECBB1C9" w14:textId="77777777" w:rsidR="00467729" w:rsidRPr="00160BA6" w:rsidRDefault="002619AA" w:rsidP="002A76F4">
            <w:pPr>
              <w:pStyle w:val="Default"/>
              <w:spacing w:before="60"/>
              <w:rPr>
                <w:color w:val="000000" w:themeColor="text1"/>
              </w:rPr>
            </w:pPr>
            <w:r w:rsidRPr="00160BA6">
              <w:rPr>
                <w:rFonts w:eastAsia="SymbolMT"/>
                <w:color w:val="000000" w:themeColor="text1"/>
              </w:rPr>
              <w:t xml:space="preserve">The Audit Committee is responsible for considering the Council’s arrangements for internal governance and financial management and to recommend any actions accordingly. It </w:t>
            </w:r>
            <w:r w:rsidR="00EC4F10" w:rsidRPr="00160BA6">
              <w:rPr>
                <w:rFonts w:eastAsia="SymbolMT"/>
                <w:color w:val="000000" w:themeColor="text1"/>
              </w:rPr>
              <w:t xml:space="preserve">has </w:t>
            </w:r>
            <w:r w:rsidRPr="00160BA6">
              <w:rPr>
                <w:rFonts w:eastAsia="SymbolMT"/>
                <w:color w:val="000000" w:themeColor="text1"/>
              </w:rPr>
              <w:lastRenderedPageBreak/>
              <w:t>receive</w:t>
            </w:r>
            <w:r w:rsidR="00EC4F10" w:rsidRPr="00160BA6">
              <w:rPr>
                <w:rFonts w:eastAsia="SymbolMT"/>
                <w:color w:val="000000" w:themeColor="text1"/>
              </w:rPr>
              <w:t>d</w:t>
            </w:r>
            <w:r w:rsidRPr="00160BA6">
              <w:rPr>
                <w:rFonts w:eastAsia="SymbolMT"/>
                <w:color w:val="000000" w:themeColor="text1"/>
              </w:rPr>
              <w:t xml:space="preserve"> a number of relevant reports such as </w:t>
            </w:r>
            <w:r w:rsidR="00EC4F10" w:rsidRPr="00160BA6">
              <w:rPr>
                <w:rFonts w:eastAsia="SymbolMT"/>
                <w:color w:val="000000" w:themeColor="text1"/>
              </w:rPr>
              <w:t>annual internal audit plans</w:t>
            </w:r>
            <w:r w:rsidRPr="00160BA6">
              <w:rPr>
                <w:rFonts w:eastAsia="SymbolMT"/>
                <w:color w:val="000000" w:themeColor="text1"/>
              </w:rPr>
              <w:t>, reports from external audit, anti-fraud and corruption initiatives</w:t>
            </w:r>
            <w:r w:rsidR="00EC4F10" w:rsidRPr="00160BA6">
              <w:rPr>
                <w:rFonts w:eastAsia="SymbolMT"/>
                <w:color w:val="000000" w:themeColor="text1"/>
              </w:rPr>
              <w:t xml:space="preserve"> and r</w:t>
            </w:r>
            <w:r w:rsidRPr="00160BA6">
              <w:rPr>
                <w:rFonts w:eastAsia="SymbolMT"/>
                <w:color w:val="000000" w:themeColor="text1"/>
              </w:rPr>
              <w:t xml:space="preserve">isk </w:t>
            </w:r>
            <w:r w:rsidR="00EC4F10" w:rsidRPr="00160BA6">
              <w:rPr>
                <w:rFonts w:eastAsia="SymbolMT"/>
                <w:color w:val="000000" w:themeColor="text1"/>
              </w:rPr>
              <w:t>m</w:t>
            </w:r>
            <w:r w:rsidRPr="00160BA6">
              <w:rPr>
                <w:rFonts w:eastAsia="SymbolMT"/>
                <w:color w:val="000000" w:themeColor="text1"/>
              </w:rPr>
              <w:t>anagement</w:t>
            </w:r>
            <w:r w:rsidR="00EC4F10" w:rsidRPr="00160BA6">
              <w:rPr>
                <w:rFonts w:eastAsia="SymbolMT"/>
                <w:color w:val="000000" w:themeColor="text1"/>
              </w:rPr>
              <w:t xml:space="preserve">. </w:t>
            </w:r>
          </w:p>
          <w:p w14:paraId="57702B08" w14:textId="77777777" w:rsidR="00724555" w:rsidRPr="00160BA6" w:rsidRDefault="00724555" w:rsidP="002A76F4">
            <w:pPr>
              <w:pStyle w:val="Default"/>
              <w:spacing w:before="60"/>
              <w:rPr>
                <w:color w:val="000000" w:themeColor="text1"/>
              </w:rPr>
            </w:pPr>
          </w:p>
          <w:p w14:paraId="153ABDC1" w14:textId="14E86658" w:rsidR="0074666C" w:rsidRPr="00160BA6" w:rsidRDefault="002619AA" w:rsidP="002A76F4">
            <w:pPr>
              <w:pStyle w:val="Default"/>
              <w:spacing w:before="60" w:after="120"/>
              <w:rPr>
                <w:color w:val="000000" w:themeColor="text1"/>
              </w:rPr>
            </w:pPr>
            <w:r w:rsidRPr="00160BA6">
              <w:rPr>
                <w:color w:val="000000" w:themeColor="text1"/>
              </w:rPr>
              <w:t>The Council’s Internal Audit service undertakes an annual programme of audit</w:t>
            </w:r>
            <w:r w:rsidR="00956CE7" w:rsidRPr="00160BA6">
              <w:rPr>
                <w:color w:val="000000" w:themeColor="text1"/>
              </w:rPr>
              <w:t>s</w:t>
            </w:r>
            <w:r w:rsidRPr="00160BA6">
              <w:rPr>
                <w:color w:val="000000" w:themeColor="text1"/>
              </w:rPr>
              <w:t xml:space="preserve"> </w:t>
            </w:r>
            <w:r w:rsidR="00956CE7" w:rsidRPr="00160BA6">
              <w:rPr>
                <w:color w:val="000000" w:themeColor="text1"/>
              </w:rPr>
              <w:t xml:space="preserve">which includes providing assurance over the </w:t>
            </w:r>
            <w:r w:rsidR="00652184">
              <w:rPr>
                <w:color w:val="000000" w:themeColor="text1"/>
              </w:rPr>
              <w:t>C</w:t>
            </w:r>
            <w:r w:rsidR="00956CE7" w:rsidRPr="00160BA6">
              <w:rPr>
                <w:color w:val="000000" w:themeColor="text1"/>
              </w:rPr>
              <w:t xml:space="preserve">ouncil’s risk management processes. If any areas for improvement are identified Internal Audit makes recommendations for management to consider and implement. Progress against the plan and the outcomes of audits are reported to the Audit Committee. </w:t>
            </w:r>
          </w:p>
        </w:tc>
      </w:tr>
      <w:tr w:rsidR="007E37FA" w:rsidRPr="00160BA6" w14:paraId="75A9F4B5" w14:textId="77777777" w:rsidTr="034273BC">
        <w:tc>
          <w:tcPr>
            <w:tcW w:w="3510" w:type="dxa"/>
          </w:tcPr>
          <w:p w14:paraId="33ABAD35" w14:textId="77777777" w:rsidR="00956CE7" w:rsidRPr="00160BA6" w:rsidRDefault="002619AA" w:rsidP="00226C1E">
            <w:pPr>
              <w:pStyle w:val="ListParagraph"/>
              <w:numPr>
                <w:ilvl w:val="0"/>
                <w:numId w:val="4"/>
              </w:numPr>
              <w:spacing w:before="60" w:after="240"/>
              <w:ind w:left="426" w:hanging="284"/>
              <w:rPr>
                <w:rFonts w:cs="Arial"/>
                <w:color w:val="000000" w:themeColor="text1"/>
              </w:rPr>
            </w:pPr>
            <w:r w:rsidRPr="00160BA6">
              <w:rPr>
                <w:rFonts w:cs="Arial"/>
                <w:color w:val="000000" w:themeColor="text1"/>
              </w:rPr>
              <w:lastRenderedPageBreak/>
              <w:t>Implementing good practices in transparency, reporting, and audit, to deliver effective accountability.</w:t>
            </w:r>
          </w:p>
        </w:tc>
        <w:tc>
          <w:tcPr>
            <w:tcW w:w="10664" w:type="dxa"/>
          </w:tcPr>
          <w:p w14:paraId="5C20A12B" w14:textId="587F9E80" w:rsidR="00467729" w:rsidRPr="00160BA6" w:rsidRDefault="002619AA" w:rsidP="000F5E01">
            <w:pPr>
              <w:autoSpaceDE w:val="0"/>
              <w:adjustRightInd w:val="0"/>
              <w:spacing w:before="60"/>
              <w:contextualSpacing/>
              <w:rPr>
                <w:rFonts w:cs="Arial"/>
                <w:bCs/>
                <w:color w:val="000000" w:themeColor="text1"/>
                <w:szCs w:val="22"/>
              </w:rPr>
            </w:pPr>
            <w:r w:rsidRPr="00160BA6">
              <w:rPr>
                <w:rFonts w:cs="Arial"/>
                <w:bCs/>
                <w:color w:val="000000" w:themeColor="text1"/>
                <w:szCs w:val="22"/>
              </w:rPr>
              <w:t xml:space="preserve">The Council has a published constitution setting out how decisions are taken and how the public can get involved in decision making, including </w:t>
            </w:r>
            <w:r w:rsidR="00EC4F10" w:rsidRPr="00160BA6">
              <w:rPr>
                <w:rFonts w:cs="Arial"/>
                <w:bCs/>
                <w:color w:val="000000" w:themeColor="text1"/>
                <w:szCs w:val="22"/>
              </w:rPr>
              <w:t>a</w:t>
            </w:r>
            <w:r w:rsidRPr="00160BA6">
              <w:rPr>
                <w:rFonts w:cs="Arial"/>
                <w:bCs/>
                <w:color w:val="000000" w:themeColor="text1"/>
                <w:szCs w:val="22"/>
              </w:rPr>
              <w:t xml:space="preserve">ccess to </w:t>
            </w:r>
            <w:r w:rsidR="00EC4F10" w:rsidRPr="00160BA6">
              <w:rPr>
                <w:rFonts w:cs="Arial"/>
                <w:bCs/>
                <w:color w:val="000000" w:themeColor="text1"/>
                <w:szCs w:val="22"/>
              </w:rPr>
              <w:t>i</w:t>
            </w:r>
            <w:r w:rsidRPr="00160BA6">
              <w:rPr>
                <w:rFonts w:cs="Arial"/>
                <w:bCs/>
                <w:color w:val="000000" w:themeColor="text1"/>
                <w:szCs w:val="22"/>
              </w:rPr>
              <w:t xml:space="preserve">nformation, </w:t>
            </w:r>
            <w:r w:rsidR="00187CAD" w:rsidRPr="00160BA6">
              <w:rPr>
                <w:rFonts w:cs="Arial"/>
                <w:bCs/>
                <w:color w:val="000000" w:themeColor="text1"/>
                <w:szCs w:val="22"/>
              </w:rPr>
              <w:t>petitions,</w:t>
            </w:r>
            <w:r w:rsidRPr="00160BA6">
              <w:rPr>
                <w:rFonts w:cs="Arial"/>
                <w:bCs/>
                <w:color w:val="000000" w:themeColor="text1"/>
                <w:szCs w:val="22"/>
              </w:rPr>
              <w:t xml:space="preserve"> and ways of getting involved in decision making.</w:t>
            </w:r>
            <w:r w:rsidR="00D738F1" w:rsidRPr="00160BA6">
              <w:rPr>
                <w:rFonts w:cs="Arial"/>
                <w:bCs/>
                <w:color w:val="000000" w:themeColor="text1"/>
                <w:szCs w:val="22"/>
              </w:rPr>
              <w:t xml:space="preserve"> The constitution was last </w:t>
            </w:r>
            <w:r w:rsidR="00A504AB" w:rsidRPr="00160BA6">
              <w:rPr>
                <w:rFonts w:cs="Arial"/>
                <w:bCs/>
                <w:color w:val="000000" w:themeColor="text1"/>
                <w:szCs w:val="22"/>
              </w:rPr>
              <w:t xml:space="preserve">agreed by Council and </w:t>
            </w:r>
            <w:r w:rsidR="00900052" w:rsidRPr="00160BA6">
              <w:rPr>
                <w:rFonts w:cs="Arial"/>
                <w:bCs/>
                <w:color w:val="000000" w:themeColor="text1"/>
                <w:szCs w:val="22"/>
              </w:rPr>
              <w:t xml:space="preserve">published </w:t>
            </w:r>
            <w:r w:rsidR="00900052" w:rsidRPr="00002098">
              <w:rPr>
                <w:rFonts w:cs="Arial"/>
                <w:bCs/>
                <w:color w:val="000000" w:themeColor="text1"/>
                <w:szCs w:val="22"/>
              </w:rPr>
              <w:t>in Ma</w:t>
            </w:r>
            <w:r w:rsidR="00002098" w:rsidRPr="00002098">
              <w:rPr>
                <w:rFonts w:cs="Arial"/>
                <w:bCs/>
                <w:color w:val="000000" w:themeColor="text1"/>
                <w:szCs w:val="22"/>
              </w:rPr>
              <w:t>rch 2022 and subsequently, May 2022 following the results of the 5 May 2022 local elections</w:t>
            </w:r>
            <w:r w:rsidR="00900052" w:rsidRPr="00002098">
              <w:rPr>
                <w:rFonts w:cs="Arial"/>
                <w:bCs/>
                <w:color w:val="000000" w:themeColor="text1"/>
                <w:szCs w:val="22"/>
              </w:rPr>
              <w:t>.</w:t>
            </w:r>
            <w:r w:rsidR="00900052" w:rsidRPr="00160BA6">
              <w:rPr>
                <w:rFonts w:cs="Arial"/>
                <w:bCs/>
                <w:color w:val="000000" w:themeColor="text1"/>
                <w:szCs w:val="22"/>
              </w:rPr>
              <w:t xml:space="preserve"> </w:t>
            </w:r>
          </w:p>
          <w:p w14:paraId="6AD3E36F" w14:textId="77777777" w:rsidR="00467729" w:rsidRPr="00160BA6" w:rsidRDefault="00467729" w:rsidP="000F5E01">
            <w:pPr>
              <w:pStyle w:val="Default"/>
              <w:spacing w:before="60"/>
              <w:rPr>
                <w:color w:val="000000" w:themeColor="text1"/>
              </w:rPr>
            </w:pPr>
          </w:p>
          <w:p w14:paraId="5DC8F9FB" w14:textId="77777777" w:rsidR="00467729" w:rsidRPr="00160BA6" w:rsidRDefault="002619AA" w:rsidP="000F5E01">
            <w:pPr>
              <w:autoSpaceDE w:val="0"/>
              <w:adjustRightInd w:val="0"/>
              <w:spacing w:before="60"/>
              <w:contextualSpacing/>
              <w:rPr>
                <w:rFonts w:cs="Arial"/>
                <w:color w:val="000000" w:themeColor="text1"/>
                <w:szCs w:val="22"/>
              </w:rPr>
            </w:pPr>
            <w:r w:rsidRPr="00160BA6">
              <w:rPr>
                <w:rFonts w:cs="Arial"/>
                <w:color w:val="000000" w:themeColor="text1"/>
                <w:szCs w:val="22"/>
              </w:rPr>
              <w:t>The Council seeks to write and communicate reports and other information for the public and other stakeholders in a fair, balanced and understandable style appropriate to the intended audience and ensuring that they are easy to access and interrogate.</w:t>
            </w:r>
          </w:p>
          <w:p w14:paraId="022AF851" w14:textId="77777777" w:rsidR="00467729" w:rsidRPr="00160BA6" w:rsidRDefault="00467729" w:rsidP="000F5E01">
            <w:pPr>
              <w:pStyle w:val="Default"/>
              <w:spacing w:before="60"/>
              <w:rPr>
                <w:color w:val="000000" w:themeColor="text1"/>
              </w:rPr>
            </w:pPr>
          </w:p>
          <w:p w14:paraId="4584DEA4" w14:textId="370D4ED8" w:rsidR="00467729" w:rsidRPr="00160BA6" w:rsidRDefault="002619AA" w:rsidP="000F5E01">
            <w:pPr>
              <w:autoSpaceDE w:val="0"/>
              <w:adjustRightInd w:val="0"/>
              <w:spacing w:before="60"/>
              <w:contextualSpacing/>
              <w:rPr>
                <w:rFonts w:cs="Arial"/>
                <w:bCs/>
                <w:color w:val="000000" w:themeColor="text1"/>
                <w:szCs w:val="22"/>
              </w:rPr>
            </w:pPr>
            <w:r w:rsidRPr="00160BA6">
              <w:rPr>
                <w:rFonts w:cs="Arial"/>
                <w:bCs/>
                <w:color w:val="000000" w:themeColor="text1"/>
                <w:szCs w:val="22"/>
              </w:rPr>
              <w:t>The Council webcasts it’s Council, Cabinet</w:t>
            </w:r>
            <w:r w:rsidR="009C4010" w:rsidRPr="00160BA6">
              <w:rPr>
                <w:rFonts w:cs="Arial"/>
                <w:bCs/>
                <w:color w:val="000000" w:themeColor="text1"/>
                <w:szCs w:val="22"/>
              </w:rPr>
              <w:t>, Strategic Development Committee</w:t>
            </w:r>
            <w:r w:rsidR="00E72C88" w:rsidRPr="00160BA6">
              <w:rPr>
                <w:rFonts w:cs="Arial"/>
                <w:bCs/>
                <w:color w:val="000000" w:themeColor="text1"/>
                <w:szCs w:val="22"/>
              </w:rPr>
              <w:t xml:space="preserve">, Development Committee and </w:t>
            </w:r>
            <w:r w:rsidRPr="00160BA6">
              <w:rPr>
                <w:rFonts w:cs="Arial"/>
                <w:bCs/>
                <w:color w:val="000000" w:themeColor="text1"/>
                <w:szCs w:val="22"/>
              </w:rPr>
              <w:t xml:space="preserve">Overview and Scrutiny Committee meetings to ensure </w:t>
            </w:r>
            <w:r w:rsidR="00E72C88" w:rsidRPr="00160BA6">
              <w:rPr>
                <w:rFonts w:cs="Arial"/>
                <w:bCs/>
                <w:color w:val="000000" w:themeColor="text1"/>
                <w:szCs w:val="22"/>
              </w:rPr>
              <w:t>maximum</w:t>
            </w:r>
            <w:r w:rsidRPr="00160BA6">
              <w:rPr>
                <w:rFonts w:cs="Arial"/>
                <w:bCs/>
                <w:color w:val="000000" w:themeColor="text1"/>
                <w:szCs w:val="22"/>
              </w:rPr>
              <w:t xml:space="preserve"> transparency.</w:t>
            </w:r>
            <w:r w:rsidR="00E54461" w:rsidRPr="00160BA6">
              <w:rPr>
                <w:rFonts w:cs="Arial"/>
                <w:bCs/>
                <w:color w:val="000000" w:themeColor="text1"/>
                <w:szCs w:val="22"/>
              </w:rPr>
              <w:t xml:space="preserve"> </w:t>
            </w:r>
            <w:r w:rsidR="00E54461" w:rsidRPr="000724B8">
              <w:rPr>
                <w:rFonts w:cs="Arial"/>
                <w:bCs/>
                <w:color w:val="000000" w:themeColor="text1"/>
                <w:szCs w:val="22"/>
              </w:rPr>
              <w:t>As a result of the Covid-19 pandemic the Council introduced virtual meetings and has also webcast</w:t>
            </w:r>
            <w:r w:rsidR="001C2BDC" w:rsidRPr="000724B8">
              <w:rPr>
                <w:rFonts w:cs="Arial"/>
                <w:bCs/>
                <w:color w:val="000000" w:themeColor="text1"/>
                <w:szCs w:val="22"/>
              </w:rPr>
              <w:t xml:space="preserve"> all committee meetings including </w:t>
            </w:r>
            <w:r w:rsidR="00E54461" w:rsidRPr="000724B8">
              <w:rPr>
                <w:rFonts w:cs="Arial"/>
                <w:bCs/>
                <w:color w:val="000000" w:themeColor="text1"/>
                <w:szCs w:val="22"/>
              </w:rPr>
              <w:t xml:space="preserve">the Licencing Sub Committee and the Audit Committee. </w:t>
            </w:r>
            <w:r w:rsidR="000724B8" w:rsidRPr="000724B8">
              <w:rPr>
                <w:rFonts w:cs="Arial"/>
                <w:bCs/>
                <w:color w:val="000000" w:themeColor="text1"/>
                <w:szCs w:val="22"/>
              </w:rPr>
              <w:t>As restrictions eased, meetings returned to “in-person” with a virtual option available</w:t>
            </w:r>
            <w:r w:rsidR="000724B8">
              <w:rPr>
                <w:rFonts w:cs="Arial"/>
                <w:bCs/>
                <w:color w:val="000000" w:themeColor="text1"/>
                <w:szCs w:val="22"/>
              </w:rPr>
              <w:t>.</w:t>
            </w:r>
          </w:p>
          <w:p w14:paraId="155E21A9" w14:textId="77777777" w:rsidR="004E6688" w:rsidRPr="00160BA6" w:rsidRDefault="004E6688" w:rsidP="000F5E01">
            <w:pPr>
              <w:autoSpaceDE w:val="0"/>
              <w:adjustRightInd w:val="0"/>
              <w:spacing w:before="60"/>
              <w:contextualSpacing/>
              <w:rPr>
                <w:rFonts w:cs="Arial"/>
                <w:bCs/>
                <w:color w:val="000000" w:themeColor="text1"/>
                <w:szCs w:val="22"/>
              </w:rPr>
            </w:pPr>
          </w:p>
          <w:p w14:paraId="0091DA6A" w14:textId="740DADE6" w:rsidR="00467729" w:rsidRPr="00EC0CF9" w:rsidRDefault="002619AA" w:rsidP="00EC0CF9">
            <w:pPr>
              <w:autoSpaceDE w:val="0"/>
              <w:adjustRightInd w:val="0"/>
              <w:spacing w:before="60"/>
              <w:rPr>
                <w:rFonts w:cs="Arial"/>
                <w:bCs/>
                <w:color w:val="000000" w:themeColor="text1"/>
                <w:szCs w:val="22"/>
              </w:rPr>
            </w:pPr>
            <w:r w:rsidRPr="00160BA6">
              <w:rPr>
                <w:rFonts w:cs="Arial"/>
                <w:bCs/>
                <w:color w:val="000000" w:themeColor="text1"/>
                <w:szCs w:val="22"/>
              </w:rPr>
              <w:t>The Council maintains an up-to-date website which provides a mechanism for the Council to publish information important in ensuring transparency of its actions.</w:t>
            </w:r>
          </w:p>
          <w:p w14:paraId="7674B7A5" w14:textId="77777777" w:rsidR="00467729" w:rsidRPr="00160BA6" w:rsidRDefault="002619AA" w:rsidP="000F5E01">
            <w:pPr>
              <w:autoSpaceDE w:val="0"/>
              <w:adjustRightInd w:val="0"/>
              <w:spacing w:before="60"/>
              <w:rPr>
                <w:rFonts w:eastAsia="SymbolMT" w:cs="Arial"/>
                <w:color w:val="000000" w:themeColor="text1"/>
                <w:szCs w:val="22"/>
              </w:rPr>
            </w:pPr>
            <w:r w:rsidRPr="00160BA6">
              <w:rPr>
                <w:rFonts w:eastAsia="SymbolMT" w:cs="Arial"/>
                <w:color w:val="000000" w:themeColor="text1"/>
                <w:szCs w:val="22"/>
              </w:rPr>
              <w:lastRenderedPageBreak/>
              <w:t xml:space="preserve">The Council’s constitution sets out the </w:t>
            </w:r>
            <w:r w:rsidR="00696B97" w:rsidRPr="00160BA6">
              <w:rPr>
                <w:rFonts w:eastAsia="SymbolMT" w:cs="Arial"/>
                <w:color w:val="000000" w:themeColor="text1"/>
                <w:szCs w:val="22"/>
              </w:rPr>
              <w:t>t</w:t>
            </w:r>
            <w:r w:rsidRPr="00160BA6">
              <w:rPr>
                <w:rFonts w:eastAsia="SymbolMT" w:cs="Arial"/>
                <w:color w:val="000000" w:themeColor="text1"/>
                <w:szCs w:val="22"/>
              </w:rPr>
              <w:t xml:space="preserve">erms of </w:t>
            </w:r>
            <w:r w:rsidR="00696B97" w:rsidRPr="00160BA6">
              <w:rPr>
                <w:rFonts w:eastAsia="SymbolMT" w:cs="Arial"/>
                <w:color w:val="000000" w:themeColor="text1"/>
                <w:szCs w:val="22"/>
              </w:rPr>
              <w:t>r</w:t>
            </w:r>
            <w:r w:rsidRPr="00160BA6">
              <w:rPr>
                <w:rFonts w:eastAsia="SymbolMT" w:cs="Arial"/>
                <w:color w:val="000000" w:themeColor="text1"/>
                <w:szCs w:val="22"/>
              </w:rPr>
              <w:t xml:space="preserve">eference of all Committees to ensure information is presented to the </w:t>
            </w:r>
            <w:r w:rsidR="00696B97" w:rsidRPr="00160BA6">
              <w:rPr>
                <w:rFonts w:eastAsia="SymbolMT" w:cs="Arial"/>
                <w:color w:val="000000" w:themeColor="text1"/>
                <w:szCs w:val="22"/>
              </w:rPr>
              <w:t>a</w:t>
            </w:r>
            <w:r w:rsidRPr="00160BA6">
              <w:rPr>
                <w:rFonts w:eastAsia="SymbolMT" w:cs="Arial"/>
                <w:color w:val="000000" w:themeColor="text1"/>
                <w:szCs w:val="22"/>
              </w:rPr>
              <w:t>ppropriate Committees. Access to Information rules set out how the Council maintains good public access to information and reports.</w:t>
            </w:r>
          </w:p>
          <w:p w14:paraId="76B63C69" w14:textId="77777777" w:rsidR="00E54461" w:rsidRPr="00160BA6" w:rsidRDefault="00E54461" w:rsidP="000F5E01">
            <w:pPr>
              <w:autoSpaceDE w:val="0"/>
              <w:adjustRightInd w:val="0"/>
              <w:spacing w:before="60"/>
              <w:contextualSpacing/>
              <w:rPr>
                <w:rFonts w:eastAsia="SymbolMT" w:cs="Arial"/>
                <w:color w:val="000000" w:themeColor="text1"/>
                <w:szCs w:val="22"/>
              </w:rPr>
            </w:pPr>
          </w:p>
          <w:p w14:paraId="48387D1C" w14:textId="2BEE1634" w:rsidR="00A70814" w:rsidRPr="00160BA6" w:rsidRDefault="002619AA" w:rsidP="000F5E01">
            <w:pPr>
              <w:autoSpaceDE w:val="0"/>
              <w:adjustRightInd w:val="0"/>
              <w:spacing w:before="60"/>
              <w:contextualSpacing/>
              <w:rPr>
                <w:rFonts w:eastAsia="SymbolMT" w:cs="Arial"/>
                <w:color w:val="000000" w:themeColor="text1"/>
                <w:szCs w:val="22"/>
              </w:rPr>
            </w:pPr>
            <w:r w:rsidRPr="0003536B">
              <w:rPr>
                <w:rFonts w:eastAsia="SymbolMT" w:cs="Arial"/>
                <w:color w:val="000000" w:themeColor="text1"/>
                <w:szCs w:val="22"/>
              </w:rPr>
              <w:t xml:space="preserve">The Council </w:t>
            </w:r>
            <w:r w:rsidR="00D53F6A" w:rsidRPr="0003536B">
              <w:rPr>
                <w:rFonts w:eastAsia="SymbolMT" w:cs="Arial"/>
                <w:color w:val="000000" w:themeColor="text1"/>
                <w:szCs w:val="22"/>
              </w:rPr>
              <w:t xml:space="preserve">updated </w:t>
            </w:r>
            <w:r w:rsidRPr="0003536B">
              <w:rPr>
                <w:rFonts w:eastAsia="SymbolMT" w:cs="Arial"/>
                <w:color w:val="000000" w:themeColor="text1"/>
                <w:szCs w:val="22"/>
              </w:rPr>
              <w:t xml:space="preserve">its Code of Corporate </w:t>
            </w:r>
            <w:r w:rsidR="00D34ABD" w:rsidRPr="0003536B">
              <w:rPr>
                <w:rFonts w:eastAsia="SymbolMT" w:cs="Arial"/>
                <w:color w:val="000000" w:themeColor="text1"/>
                <w:szCs w:val="22"/>
              </w:rPr>
              <w:t>Governance,</w:t>
            </w:r>
            <w:r w:rsidRPr="0003536B">
              <w:rPr>
                <w:rFonts w:eastAsia="SymbolMT" w:cs="Arial"/>
                <w:color w:val="000000" w:themeColor="text1"/>
                <w:szCs w:val="22"/>
              </w:rPr>
              <w:t xml:space="preserve"> </w:t>
            </w:r>
            <w:r w:rsidR="00D53F6A" w:rsidRPr="0003536B">
              <w:rPr>
                <w:rFonts w:eastAsia="SymbolMT" w:cs="Arial"/>
                <w:color w:val="000000" w:themeColor="text1"/>
                <w:szCs w:val="22"/>
              </w:rPr>
              <w:t>and it was</w:t>
            </w:r>
            <w:r w:rsidR="00ED4837" w:rsidRPr="0003536B">
              <w:rPr>
                <w:rFonts w:eastAsia="SymbolMT" w:cs="Arial"/>
                <w:color w:val="000000" w:themeColor="text1"/>
                <w:szCs w:val="22"/>
              </w:rPr>
              <w:t xml:space="preserve"> presented to the Corporate Leadership Team and the Audit Committee for approval </w:t>
            </w:r>
            <w:r w:rsidR="00D53F6A" w:rsidRPr="0003536B">
              <w:rPr>
                <w:rFonts w:eastAsia="SymbolMT" w:cs="Arial"/>
                <w:color w:val="000000" w:themeColor="text1"/>
                <w:szCs w:val="22"/>
              </w:rPr>
              <w:t>in July 202</w:t>
            </w:r>
            <w:r w:rsidR="00900052" w:rsidRPr="0003536B">
              <w:rPr>
                <w:rFonts w:eastAsia="SymbolMT" w:cs="Arial"/>
                <w:color w:val="000000" w:themeColor="text1"/>
                <w:szCs w:val="22"/>
              </w:rPr>
              <w:t>1</w:t>
            </w:r>
            <w:r w:rsidR="00D53F6A" w:rsidRPr="0003536B">
              <w:rPr>
                <w:rFonts w:eastAsia="SymbolMT" w:cs="Arial"/>
                <w:color w:val="000000" w:themeColor="text1"/>
                <w:szCs w:val="22"/>
              </w:rPr>
              <w:t>.</w:t>
            </w:r>
            <w:r w:rsidR="00D53F6A" w:rsidRPr="00160BA6">
              <w:rPr>
                <w:rFonts w:eastAsia="SymbolMT" w:cs="Arial"/>
                <w:color w:val="000000" w:themeColor="text1"/>
                <w:szCs w:val="22"/>
              </w:rPr>
              <w:t xml:space="preserve"> </w:t>
            </w:r>
            <w:r w:rsidR="00ED4837" w:rsidRPr="00160BA6">
              <w:rPr>
                <w:rFonts w:eastAsia="SymbolMT" w:cs="Arial"/>
                <w:color w:val="000000" w:themeColor="text1"/>
                <w:szCs w:val="22"/>
              </w:rPr>
              <w:t xml:space="preserve"> </w:t>
            </w:r>
          </w:p>
          <w:p w14:paraId="3A24637A" w14:textId="77777777" w:rsidR="00A70814" w:rsidRPr="00160BA6" w:rsidRDefault="00A70814" w:rsidP="000F5E01">
            <w:pPr>
              <w:autoSpaceDE w:val="0"/>
              <w:adjustRightInd w:val="0"/>
              <w:spacing w:before="60"/>
              <w:contextualSpacing/>
              <w:rPr>
                <w:rFonts w:eastAsia="SymbolMT" w:cs="Arial"/>
                <w:color w:val="000000" w:themeColor="text1"/>
                <w:szCs w:val="22"/>
              </w:rPr>
            </w:pPr>
          </w:p>
          <w:p w14:paraId="21092407" w14:textId="77777777" w:rsidR="00467729" w:rsidRPr="00160BA6" w:rsidRDefault="002619AA" w:rsidP="000F5E01">
            <w:pPr>
              <w:autoSpaceDE w:val="0"/>
              <w:adjustRightInd w:val="0"/>
              <w:spacing w:before="60"/>
              <w:contextualSpacing/>
              <w:rPr>
                <w:rFonts w:eastAsia="SymbolMT" w:cs="Arial"/>
                <w:color w:val="000000" w:themeColor="text1"/>
                <w:szCs w:val="22"/>
              </w:rPr>
            </w:pPr>
            <w:r w:rsidRPr="00160BA6">
              <w:rPr>
                <w:rFonts w:cs="Arial"/>
                <w:bCs/>
                <w:color w:val="000000" w:themeColor="text1"/>
                <w:szCs w:val="22"/>
              </w:rPr>
              <w:t>There are governance arrangements for the partnership structure.  The Tower Hamlets Plan identifies how the partnership will work together through the Partnership Executive Group to deliver cross-cutting activities.</w:t>
            </w:r>
          </w:p>
          <w:p w14:paraId="76B7D8D0" w14:textId="77777777" w:rsidR="00467729" w:rsidRPr="00160BA6" w:rsidRDefault="00467729" w:rsidP="000F5E01">
            <w:pPr>
              <w:pStyle w:val="Default"/>
              <w:spacing w:before="60"/>
              <w:rPr>
                <w:color w:val="000000" w:themeColor="text1"/>
              </w:rPr>
            </w:pPr>
          </w:p>
          <w:p w14:paraId="06058D37" w14:textId="77777777" w:rsidR="00956CE7" w:rsidRPr="00160BA6" w:rsidRDefault="002619AA" w:rsidP="000F5E01">
            <w:pPr>
              <w:pStyle w:val="Default"/>
              <w:spacing w:before="60"/>
              <w:rPr>
                <w:color w:val="000000" w:themeColor="text1"/>
              </w:rPr>
            </w:pPr>
            <w:r w:rsidRPr="00160BA6">
              <w:rPr>
                <w:color w:val="000000" w:themeColor="text1"/>
              </w:rPr>
              <w:t xml:space="preserve">The Head of Internal Audit provides an independent and objective annual opinion on the effectiveness of internal control, risk management, and governance. This is carried out by an in-house team in conformance with the Public Sector Internal Audit Standards. The Head of Internal Audit delivers a quarterly progress report to the Audit Committee setting out the outcome of Internal Audit and Counter Fraud activity. </w:t>
            </w:r>
          </w:p>
          <w:p w14:paraId="1E072EF4" w14:textId="77777777" w:rsidR="00956CE7" w:rsidRPr="00160BA6" w:rsidRDefault="00956CE7" w:rsidP="000F5E01">
            <w:pPr>
              <w:pStyle w:val="Default"/>
              <w:spacing w:before="60"/>
              <w:rPr>
                <w:color w:val="000000" w:themeColor="text1"/>
              </w:rPr>
            </w:pPr>
          </w:p>
          <w:p w14:paraId="14A1146B" w14:textId="77777777" w:rsidR="00956CE7" w:rsidRPr="00160BA6" w:rsidRDefault="002619AA" w:rsidP="000F5E01">
            <w:pPr>
              <w:pStyle w:val="Default"/>
              <w:spacing w:before="60"/>
              <w:rPr>
                <w:color w:val="000000" w:themeColor="text1"/>
              </w:rPr>
            </w:pPr>
            <w:r w:rsidRPr="00160BA6">
              <w:rPr>
                <w:color w:val="000000" w:themeColor="text1"/>
              </w:rPr>
              <w:t>The Council responds to the findings and recommendations of External Audit, Scrutiny, and Inspection bodies. The Audit Committee is integral to overseeing independent and objective assurance and monitoring improvements in internal control</w:t>
            </w:r>
            <w:r w:rsidR="005E2185" w:rsidRPr="00160BA6">
              <w:rPr>
                <w:color w:val="000000" w:themeColor="text1"/>
              </w:rPr>
              <w:t>, risk management</w:t>
            </w:r>
            <w:r w:rsidRPr="00160BA6">
              <w:rPr>
                <w:color w:val="000000" w:themeColor="text1"/>
              </w:rPr>
              <w:t xml:space="preserve"> and governance. </w:t>
            </w:r>
            <w:r w:rsidR="00FC7299" w:rsidRPr="00160BA6">
              <w:rPr>
                <w:color w:val="000000" w:themeColor="text1"/>
              </w:rPr>
              <w:t xml:space="preserve"> However, management’s responsiveness to internal audit is </w:t>
            </w:r>
            <w:r w:rsidR="0004724E" w:rsidRPr="00160BA6">
              <w:rPr>
                <w:color w:val="000000" w:themeColor="text1"/>
              </w:rPr>
              <w:t>inadequate for</w:t>
            </w:r>
            <w:r w:rsidR="00FC7299" w:rsidRPr="00160BA6">
              <w:rPr>
                <w:color w:val="000000" w:themeColor="text1"/>
              </w:rPr>
              <w:t xml:space="preserve"> some audits </w:t>
            </w:r>
            <w:r w:rsidR="00696B97" w:rsidRPr="00160BA6">
              <w:rPr>
                <w:color w:val="000000" w:themeColor="text1"/>
              </w:rPr>
              <w:t xml:space="preserve">with </w:t>
            </w:r>
            <w:r w:rsidR="00FC7299" w:rsidRPr="00160BA6">
              <w:rPr>
                <w:color w:val="000000" w:themeColor="text1"/>
              </w:rPr>
              <w:t>the implementation of agreed recommendations taking many months. The Head of Internal Audit has raised these concerns with the senior officers and the Audit Committee and</w:t>
            </w:r>
            <w:r w:rsidR="00535917" w:rsidRPr="00160BA6">
              <w:rPr>
                <w:color w:val="000000" w:themeColor="text1"/>
              </w:rPr>
              <w:t xml:space="preserve"> has</w:t>
            </w:r>
            <w:r w:rsidR="00FC7299" w:rsidRPr="00160BA6">
              <w:rPr>
                <w:color w:val="000000" w:themeColor="text1"/>
              </w:rPr>
              <w:t xml:space="preserve"> introduced new procedures to improve engagement with management. </w:t>
            </w:r>
          </w:p>
          <w:p w14:paraId="1515855D" w14:textId="6BB1B812" w:rsidR="00956CE7" w:rsidRPr="00160BA6" w:rsidRDefault="002619AA" w:rsidP="000F5E01">
            <w:pPr>
              <w:pStyle w:val="Default"/>
              <w:spacing w:before="60" w:after="120"/>
              <w:rPr>
                <w:color w:val="000000" w:themeColor="text1"/>
              </w:rPr>
            </w:pPr>
            <w:r w:rsidRPr="00160BA6">
              <w:rPr>
                <w:rFonts w:eastAsia="SymbolMT"/>
                <w:color w:val="000000" w:themeColor="text1"/>
                <w:szCs w:val="22"/>
              </w:rPr>
              <w:t xml:space="preserve">As </w:t>
            </w:r>
            <w:r w:rsidR="00696B97" w:rsidRPr="00160BA6">
              <w:rPr>
                <w:rFonts w:eastAsia="SymbolMT"/>
                <w:color w:val="000000" w:themeColor="text1"/>
                <w:szCs w:val="22"/>
              </w:rPr>
              <w:t xml:space="preserve">senior </w:t>
            </w:r>
            <w:r w:rsidRPr="00160BA6">
              <w:rPr>
                <w:rFonts w:eastAsia="SymbolMT"/>
                <w:color w:val="000000" w:themeColor="text1"/>
                <w:szCs w:val="22"/>
              </w:rPr>
              <w:t>Council</w:t>
            </w:r>
            <w:r w:rsidR="00696B97" w:rsidRPr="00160BA6">
              <w:rPr>
                <w:rFonts w:eastAsia="SymbolMT"/>
                <w:color w:val="000000" w:themeColor="text1"/>
                <w:szCs w:val="22"/>
              </w:rPr>
              <w:t xml:space="preserve"> </w:t>
            </w:r>
            <w:r w:rsidRPr="00160BA6">
              <w:rPr>
                <w:rFonts w:eastAsia="SymbolMT"/>
                <w:color w:val="000000" w:themeColor="text1"/>
                <w:szCs w:val="22"/>
              </w:rPr>
              <w:t>decision making bod</w:t>
            </w:r>
            <w:r w:rsidR="00696B97" w:rsidRPr="00160BA6">
              <w:rPr>
                <w:rFonts w:eastAsia="SymbolMT"/>
                <w:color w:val="000000" w:themeColor="text1"/>
                <w:szCs w:val="22"/>
              </w:rPr>
              <w:t>ies</w:t>
            </w:r>
            <w:r w:rsidRPr="00160BA6">
              <w:rPr>
                <w:rFonts w:eastAsia="SymbolMT"/>
                <w:color w:val="000000" w:themeColor="text1"/>
                <w:szCs w:val="22"/>
              </w:rPr>
              <w:t xml:space="preserve">, </w:t>
            </w:r>
            <w:r w:rsidR="0004724E" w:rsidRPr="00160BA6">
              <w:rPr>
                <w:rFonts w:eastAsia="SymbolMT"/>
                <w:color w:val="000000" w:themeColor="text1"/>
                <w:szCs w:val="22"/>
              </w:rPr>
              <w:t xml:space="preserve">the </w:t>
            </w:r>
            <w:r w:rsidRPr="00160BA6">
              <w:rPr>
                <w:rFonts w:eastAsia="SymbolMT"/>
                <w:color w:val="000000" w:themeColor="text1"/>
                <w:szCs w:val="22"/>
              </w:rPr>
              <w:t xml:space="preserve">Audit Committee, and any other relevant Non-Executive Committee including Scrutiny, </w:t>
            </w:r>
            <w:r w:rsidR="00FA1243" w:rsidRPr="00160BA6">
              <w:rPr>
                <w:rFonts w:eastAsia="SymbolMT"/>
                <w:color w:val="000000" w:themeColor="text1"/>
                <w:szCs w:val="22"/>
              </w:rPr>
              <w:t>can</w:t>
            </w:r>
            <w:r w:rsidRPr="00160BA6">
              <w:rPr>
                <w:rFonts w:eastAsia="SymbolMT"/>
                <w:color w:val="000000" w:themeColor="text1"/>
                <w:szCs w:val="22"/>
              </w:rPr>
              <w:t xml:space="preserve"> report any concerns they have regarding actions that have not been undertaken. </w:t>
            </w:r>
          </w:p>
        </w:tc>
      </w:tr>
    </w:tbl>
    <w:p w14:paraId="141DBF3D" w14:textId="1B60DFD0" w:rsidR="00AD205C" w:rsidRPr="00160BA6" w:rsidRDefault="002619AA" w:rsidP="00AD205C">
      <w:pPr>
        <w:jc w:val="both"/>
        <w:rPr>
          <w:b/>
          <w:color w:val="000000" w:themeColor="text1"/>
        </w:rPr>
      </w:pPr>
      <w:r w:rsidRPr="00160BA6">
        <w:rPr>
          <w:b/>
          <w:color w:val="000000" w:themeColor="text1"/>
        </w:rPr>
        <w:lastRenderedPageBreak/>
        <w:t>Internal Audit</w:t>
      </w:r>
    </w:p>
    <w:p w14:paraId="543E47D3" w14:textId="77777777" w:rsidR="00AD205C" w:rsidRPr="00160BA6" w:rsidRDefault="00AD205C" w:rsidP="00AD205C">
      <w:pPr>
        <w:jc w:val="both"/>
        <w:rPr>
          <w:color w:val="000000" w:themeColor="text1"/>
        </w:rPr>
      </w:pPr>
    </w:p>
    <w:p w14:paraId="74563A1F" w14:textId="241B237F" w:rsidR="00AD205C" w:rsidRPr="00160BA6" w:rsidRDefault="002619AA" w:rsidP="00303EA1">
      <w:pPr>
        <w:rPr>
          <w:color w:val="000000" w:themeColor="text1"/>
        </w:rPr>
      </w:pPr>
      <w:r w:rsidRPr="00160BA6">
        <w:rPr>
          <w:color w:val="000000" w:themeColor="text1"/>
        </w:rPr>
        <w:t xml:space="preserve">The Council takes assurance about the effectiveness of the governance environment from the work of Internal Audit which provides independent and objective assurance across the whole of the Council’s activities.  It </w:t>
      </w:r>
      <w:r w:rsidR="008F573A" w:rsidRPr="00160BA6">
        <w:rPr>
          <w:color w:val="000000" w:themeColor="text1"/>
        </w:rPr>
        <w:t>is a requirement for</w:t>
      </w:r>
      <w:r w:rsidRPr="00160BA6">
        <w:rPr>
          <w:color w:val="000000" w:themeColor="text1"/>
        </w:rPr>
        <w:t xml:space="preserve"> the Head of Internal Audit to give </w:t>
      </w:r>
      <w:r w:rsidR="008F573A" w:rsidRPr="00160BA6">
        <w:rPr>
          <w:color w:val="000000" w:themeColor="text1"/>
        </w:rPr>
        <w:t>an annual opinion</w:t>
      </w:r>
      <w:r w:rsidRPr="00160BA6">
        <w:rPr>
          <w:color w:val="000000" w:themeColor="text1"/>
        </w:rPr>
        <w:t xml:space="preserve"> on the adequacy and effectiveness of </w:t>
      </w:r>
      <w:r w:rsidR="00641392" w:rsidRPr="00160BA6">
        <w:rPr>
          <w:color w:val="000000" w:themeColor="text1"/>
        </w:rPr>
        <w:t xml:space="preserve">governance, risk management and </w:t>
      </w:r>
      <w:r w:rsidRPr="00160BA6">
        <w:rPr>
          <w:color w:val="000000" w:themeColor="text1"/>
        </w:rPr>
        <w:t>internal control</w:t>
      </w:r>
      <w:r w:rsidR="00641392" w:rsidRPr="00160BA6">
        <w:rPr>
          <w:color w:val="000000" w:themeColor="text1"/>
        </w:rPr>
        <w:t>s</w:t>
      </w:r>
      <w:r w:rsidRPr="00160BA6">
        <w:rPr>
          <w:color w:val="000000" w:themeColor="text1"/>
        </w:rPr>
        <w:t xml:space="preserve"> within the Council.  </w:t>
      </w:r>
      <w:r w:rsidR="004E6688" w:rsidRPr="00160BA6">
        <w:rPr>
          <w:color w:val="000000" w:themeColor="text1"/>
        </w:rPr>
        <w:t xml:space="preserve">The </w:t>
      </w:r>
      <w:r w:rsidR="008F573A" w:rsidRPr="00160BA6">
        <w:rPr>
          <w:color w:val="000000" w:themeColor="text1"/>
        </w:rPr>
        <w:t xml:space="preserve">Head of Internal Audit reported the </w:t>
      </w:r>
      <w:r w:rsidR="00284DDE" w:rsidRPr="00160BA6">
        <w:rPr>
          <w:color w:val="000000" w:themeColor="text1"/>
        </w:rPr>
        <w:t>2020/21</w:t>
      </w:r>
      <w:r w:rsidR="00641392" w:rsidRPr="00160BA6">
        <w:rPr>
          <w:color w:val="000000" w:themeColor="text1"/>
        </w:rPr>
        <w:t xml:space="preserve"> </w:t>
      </w:r>
      <w:r w:rsidR="008F573A" w:rsidRPr="00160BA6">
        <w:rPr>
          <w:color w:val="000000" w:themeColor="text1"/>
        </w:rPr>
        <w:t xml:space="preserve">annual </w:t>
      </w:r>
      <w:r w:rsidRPr="00160BA6">
        <w:rPr>
          <w:color w:val="000000" w:themeColor="text1"/>
        </w:rPr>
        <w:t xml:space="preserve">opinion </w:t>
      </w:r>
      <w:r w:rsidR="008F573A" w:rsidRPr="00160BA6">
        <w:rPr>
          <w:color w:val="000000" w:themeColor="text1"/>
        </w:rPr>
        <w:t xml:space="preserve">to the Audit Committee in July </w:t>
      </w:r>
      <w:r w:rsidR="0074666C" w:rsidRPr="00160BA6">
        <w:rPr>
          <w:color w:val="000000" w:themeColor="text1"/>
        </w:rPr>
        <w:t>202</w:t>
      </w:r>
      <w:r w:rsidR="00284DDE" w:rsidRPr="00160BA6">
        <w:rPr>
          <w:color w:val="000000" w:themeColor="text1"/>
        </w:rPr>
        <w:t>1</w:t>
      </w:r>
      <w:r w:rsidR="00BF0944" w:rsidRPr="00160BA6">
        <w:rPr>
          <w:color w:val="000000" w:themeColor="text1"/>
        </w:rPr>
        <w:t>.</w:t>
      </w:r>
      <w:r w:rsidR="0074666C" w:rsidRPr="00160BA6">
        <w:rPr>
          <w:color w:val="000000" w:themeColor="text1"/>
        </w:rPr>
        <w:t xml:space="preserve"> </w:t>
      </w:r>
      <w:r w:rsidR="008F573A" w:rsidRPr="00160BA6">
        <w:rPr>
          <w:color w:val="000000" w:themeColor="text1"/>
        </w:rPr>
        <w:t xml:space="preserve"> </w:t>
      </w:r>
      <w:r w:rsidR="00D6082D" w:rsidRPr="00160BA6">
        <w:rPr>
          <w:color w:val="000000" w:themeColor="text1"/>
        </w:rPr>
        <w:t>The opinion for 202</w:t>
      </w:r>
      <w:r w:rsidR="008B040C" w:rsidRPr="00160BA6">
        <w:rPr>
          <w:color w:val="000000" w:themeColor="text1"/>
        </w:rPr>
        <w:t>1</w:t>
      </w:r>
      <w:r w:rsidR="00D6082D" w:rsidRPr="00160BA6">
        <w:rPr>
          <w:color w:val="000000" w:themeColor="text1"/>
        </w:rPr>
        <w:t>/2</w:t>
      </w:r>
      <w:r w:rsidR="008B040C" w:rsidRPr="00160BA6">
        <w:rPr>
          <w:color w:val="000000" w:themeColor="text1"/>
        </w:rPr>
        <w:t>2</w:t>
      </w:r>
      <w:r w:rsidR="00D6082D" w:rsidRPr="00160BA6">
        <w:rPr>
          <w:color w:val="000000" w:themeColor="text1"/>
        </w:rPr>
        <w:t xml:space="preserve"> </w:t>
      </w:r>
      <w:r w:rsidR="00390B99">
        <w:rPr>
          <w:color w:val="000000" w:themeColor="text1"/>
        </w:rPr>
        <w:t xml:space="preserve">was </w:t>
      </w:r>
      <w:r w:rsidR="00D6082D" w:rsidRPr="00160BA6">
        <w:rPr>
          <w:color w:val="000000" w:themeColor="text1"/>
        </w:rPr>
        <w:t xml:space="preserve">provided </w:t>
      </w:r>
      <w:r w:rsidR="00661FC2">
        <w:rPr>
          <w:color w:val="000000" w:themeColor="text1"/>
        </w:rPr>
        <w:t xml:space="preserve">to the Audit Committee </w:t>
      </w:r>
      <w:r w:rsidR="00D6082D" w:rsidRPr="00160BA6">
        <w:rPr>
          <w:color w:val="000000" w:themeColor="text1"/>
        </w:rPr>
        <w:t>in J</w:t>
      </w:r>
      <w:r w:rsidR="00187CAD">
        <w:rPr>
          <w:color w:val="000000" w:themeColor="text1"/>
        </w:rPr>
        <w:t>une</w:t>
      </w:r>
      <w:r w:rsidR="00D6082D" w:rsidRPr="00160BA6">
        <w:rPr>
          <w:color w:val="000000" w:themeColor="text1"/>
        </w:rPr>
        <w:t xml:space="preserve"> 202</w:t>
      </w:r>
      <w:r w:rsidR="008B040C" w:rsidRPr="00160BA6">
        <w:rPr>
          <w:color w:val="000000" w:themeColor="text1"/>
        </w:rPr>
        <w:t>2</w:t>
      </w:r>
      <w:r w:rsidR="00D6082D" w:rsidRPr="00160BA6">
        <w:rPr>
          <w:color w:val="000000" w:themeColor="text1"/>
        </w:rPr>
        <w:t xml:space="preserve">. </w:t>
      </w:r>
    </w:p>
    <w:p w14:paraId="2B00BA9D" w14:textId="77777777" w:rsidR="00D045EF" w:rsidRPr="00160BA6" w:rsidRDefault="00D045EF" w:rsidP="009C60F4">
      <w:pPr>
        <w:rPr>
          <w:rFonts w:cs="Arial"/>
          <w:b/>
          <w:bCs/>
          <w:color w:val="000000" w:themeColor="text1"/>
        </w:rPr>
      </w:pPr>
    </w:p>
    <w:p w14:paraId="5603DC8B" w14:textId="125A876D" w:rsidR="00BF0944" w:rsidRPr="00160BA6" w:rsidRDefault="002619AA" w:rsidP="009C60F4">
      <w:pPr>
        <w:rPr>
          <w:rFonts w:cs="Arial"/>
          <w:b/>
          <w:bCs/>
          <w:color w:val="000000" w:themeColor="text1"/>
        </w:rPr>
      </w:pPr>
      <w:r w:rsidRPr="00160BA6">
        <w:rPr>
          <w:rFonts w:cs="Arial"/>
          <w:b/>
          <w:bCs/>
          <w:color w:val="000000" w:themeColor="text1"/>
        </w:rPr>
        <w:t>202</w:t>
      </w:r>
      <w:r w:rsidR="00187CAD">
        <w:rPr>
          <w:rFonts w:cs="Arial"/>
          <w:b/>
          <w:bCs/>
          <w:color w:val="000000" w:themeColor="text1"/>
        </w:rPr>
        <w:t>1</w:t>
      </w:r>
      <w:r w:rsidRPr="00160BA6">
        <w:rPr>
          <w:rFonts w:cs="Arial"/>
          <w:b/>
          <w:bCs/>
          <w:color w:val="000000" w:themeColor="text1"/>
        </w:rPr>
        <w:t>/2</w:t>
      </w:r>
      <w:r w:rsidR="00187CAD">
        <w:rPr>
          <w:rFonts w:cs="Arial"/>
          <w:b/>
          <w:bCs/>
          <w:color w:val="000000" w:themeColor="text1"/>
        </w:rPr>
        <w:t>2</w:t>
      </w:r>
      <w:r w:rsidR="00D6082D" w:rsidRPr="00160BA6">
        <w:rPr>
          <w:rFonts w:cs="Arial"/>
          <w:b/>
          <w:bCs/>
          <w:color w:val="000000" w:themeColor="text1"/>
        </w:rPr>
        <w:t xml:space="preserve"> </w:t>
      </w:r>
      <w:r w:rsidRPr="00160BA6">
        <w:rPr>
          <w:rFonts w:cs="Arial"/>
          <w:b/>
          <w:bCs/>
          <w:color w:val="000000" w:themeColor="text1"/>
        </w:rPr>
        <w:t>Head of Internal Audit Annual Opinion</w:t>
      </w:r>
      <w:r w:rsidR="00D6082D" w:rsidRPr="00160BA6">
        <w:rPr>
          <w:rFonts w:cs="Arial"/>
          <w:b/>
          <w:bCs/>
          <w:color w:val="000000" w:themeColor="text1"/>
        </w:rPr>
        <w:t xml:space="preserve"> Issued in Ju</w:t>
      </w:r>
      <w:r w:rsidR="00187CAD">
        <w:rPr>
          <w:rFonts w:cs="Arial"/>
          <w:b/>
          <w:bCs/>
          <w:color w:val="000000" w:themeColor="text1"/>
        </w:rPr>
        <w:t>ne</w:t>
      </w:r>
      <w:r w:rsidR="00D6082D" w:rsidRPr="00160BA6">
        <w:rPr>
          <w:rFonts w:cs="Arial"/>
          <w:b/>
          <w:bCs/>
          <w:color w:val="000000" w:themeColor="text1"/>
        </w:rPr>
        <w:t xml:space="preserve"> 202</w:t>
      </w:r>
      <w:r w:rsidR="00187CAD">
        <w:rPr>
          <w:rFonts w:cs="Arial"/>
          <w:b/>
          <w:bCs/>
          <w:color w:val="000000" w:themeColor="text1"/>
        </w:rPr>
        <w:t>2</w:t>
      </w:r>
    </w:p>
    <w:p w14:paraId="6D30B395" w14:textId="77777777" w:rsidR="00BF0944" w:rsidRPr="00160BA6" w:rsidRDefault="00BF0944" w:rsidP="009C60F4">
      <w:pPr>
        <w:rPr>
          <w:rFonts w:cs="Arial"/>
          <w:i/>
          <w:iCs/>
          <w:color w:val="000000" w:themeColor="text1"/>
        </w:rPr>
      </w:pPr>
    </w:p>
    <w:p w14:paraId="00665B56" w14:textId="77777777" w:rsidR="007C74CB" w:rsidRPr="001D6A0F" w:rsidRDefault="002619AA" w:rsidP="00202EB3">
      <w:pPr>
        <w:rPr>
          <w:i/>
          <w:iCs/>
        </w:rPr>
      </w:pPr>
      <w:r w:rsidRPr="001D6A0F">
        <w:rPr>
          <w:i/>
          <w:iCs/>
        </w:rPr>
        <w:t xml:space="preserve">In reaching my opinion this year I have taken the following into consideration: </w:t>
      </w:r>
    </w:p>
    <w:p w14:paraId="71CA9D9F" w14:textId="77777777" w:rsidR="007C74CB" w:rsidRPr="00187CAD" w:rsidRDefault="007C74CB" w:rsidP="00202EB3">
      <w:pPr>
        <w:rPr>
          <w:i/>
          <w:iCs/>
          <w:highlight w:val="yellow"/>
        </w:rPr>
      </w:pPr>
    </w:p>
    <w:p w14:paraId="050DE37D" w14:textId="77777777" w:rsidR="007C74CB" w:rsidRPr="001D6A0F" w:rsidRDefault="002619AA" w:rsidP="00226C1E">
      <w:pPr>
        <w:pStyle w:val="ListParagraph"/>
        <w:numPr>
          <w:ilvl w:val="0"/>
          <w:numId w:val="5"/>
        </w:numPr>
        <w:spacing w:after="120"/>
        <w:ind w:left="714" w:hanging="357"/>
        <w:rPr>
          <w:i/>
          <w:iCs/>
        </w:rPr>
      </w:pPr>
      <w:r w:rsidRPr="001D6A0F">
        <w:rPr>
          <w:i/>
          <w:iCs/>
        </w:rPr>
        <w:t xml:space="preserve">Outcomes of the internal audit and anti-fraud activity undertaken during the year, which forms the primary basis for the opinion. </w:t>
      </w:r>
    </w:p>
    <w:p w14:paraId="67443BEB" w14:textId="1CF8A6D4" w:rsidR="00AC13AB" w:rsidRPr="00AC13AB" w:rsidRDefault="002619AA" w:rsidP="00226C1E">
      <w:pPr>
        <w:pStyle w:val="ListParagraph"/>
        <w:numPr>
          <w:ilvl w:val="0"/>
          <w:numId w:val="5"/>
        </w:numPr>
        <w:spacing w:after="120"/>
        <w:ind w:left="714" w:hanging="357"/>
        <w:rPr>
          <w:i/>
          <w:iCs/>
        </w:rPr>
      </w:pPr>
      <w:r w:rsidRPr="00AC13AB">
        <w:rPr>
          <w:i/>
          <w:iCs/>
        </w:rPr>
        <w:t xml:space="preserve">The </w:t>
      </w:r>
      <w:r w:rsidR="008A6A72" w:rsidRPr="00AC13AB">
        <w:rPr>
          <w:i/>
          <w:iCs/>
        </w:rPr>
        <w:t>on-going</w:t>
      </w:r>
      <w:r w:rsidRPr="00AC13AB">
        <w:rPr>
          <w:i/>
          <w:iCs/>
        </w:rPr>
        <w:t xml:space="preserve"> issues with the Council’s Statement of Accounts</w:t>
      </w:r>
      <w:r w:rsidR="001D6A0F" w:rsidRPr="00AC13AB">
        <w:rPr>
          <w:i/>
          <w:iCs/>
        </w:rPr>
        <w:t xml:space="preserve"> that have continued</w:t>
      </w:r>
      <w:r w:rsidR="008A6A72" w:rsidRPr="00AC13AB">
        <w:rPr>
          <w:i/>
          <w:iCs/>
        </w:rPr>
        <w:t xml:space="preserve"> during </w:t>
      </w:r>
      <w:r w:rsidR="00A82000" w:rsidRPr="00AC13AB">
        <w:rPr>
          <w:i/>
          <w:iCs/>
        </w:rPr>
        <w:t>2021/22 but</w:t>
      </w:r>
      <w:r w:rsidR="00995867" w:rsidRPr="00AC13AB">
        <w:rPr>
          <w:i/>
          <w:iCs/>
        </w:rPr>
        <w:t xml:space="preserve"> </w:t>
      </w:r>
      <w:r w:rsidR="00A2438C" w:rsidRPr="00AC13AB">
        <w:rPr>
          <w:i/>
          <w:iCs/>
        </w:rPr>
        <w:t>takin</w:t>
      </w:r>
      <w:r w:rsidR="008A6A72" w:rsidRPr="00AC13AB">
        <w:rPr>
          <w:i/>
          <w:iCs/>
        </w:rPr>
        <w:t>g</w:t>
      </w:r>
      <w:r w:rsidR="00A2438C" w:rsidRPr="00AC13AB">
        <w:rPr>
          <w:i/>
          <w:iCs/>
        </w:rPr>
        <w:t xml:space="preserve"> in to account the </w:t>
      </w:r>
      <w:r w:rsidR="00995867" w:rsidRPr="00AC13AB">
        <w:rPr>
          <w:i/>
          <w:iCs/>
        </w:rPr>
        <w:t>progress made in</w:t>
      </w:r>
      <w:r w:rsidR="00384C09">
        <w:rPr>
          <w:i/>
          <w:iCs/>
        </w:rPr>
        <w:t xml:space="preserve"> getting closer to</w:t>
      </w:r>
      <w:r w:rsidR="00995867" w:rsidRPr="00AC13AB">
        <w:rPr>
          <w:i/>
          <w:iCs/>
        </w:rPr>
        <w:t xml:space="preserve"> obtaining </w:t>
      </w:r>
      <w:r w:rsidR="00A2438C" w:rsidRPr="00AC13AB">
        <w:rPr>
          <w:i/>
          <w:iCs/>
        </w:rPr>
        <w:t xml:space="preserve">external auditor </w:t>
      </w:r>
      <w:r w:rsidR="00995867" w:rsidRPr="00AC13AB">
        <w:rPr>
          <w:i/>
          <w:iCs/>
        </w:rPr>
        <w:t>sign-off</w:t>
      </w:r>
      <w:r w:rsidR="00A2438C" w:rsidRPr="00AC13AB">
        <w:rPr>
          <w:i/>
          <w:iCs/>
        </w:rPr>
        <w:t xml:space="preserve"> on </w:t>
      </w:r>
      <w:r w:rsidR="000C0C48">
        <w:rPr>
          <w:i/>
          <w:iCs/>
        </w:rPr>
        <w:t xml:space="preserve">the </w:t>
      </w:r>
      <w:r w:rsidR="00AC13AB" w:rsidRPr="00AC13AB">
        <w:rPr>
          <w:i/>
          <w:iCs/>
        </w:rPr>
        <w:t>2018/19 and 2019/20</w:t>
      </w:r>
      <w:r w:rsidR="000C0C48">
        <w:rPr>
          <w:i/>
          <w:iCs/>
        </w:rPr>
        <w:t xml:space="preserve"> years.</w:t>
      </w:r>
      <w:r w:rsidR="00AC13AB" w:rsidRPr="00AC13AB">
        <w:rPr>
          <w:i/>
          <w:iCs/>
        </w:rPr>
        <w:t xml:space="preserve"> </w:t>
      </w:r>
    </w:p>
    <w:p w14:paraId="35384977" w14:textId="661FA685" w:rsidR="007C74CB" w:rsidRPr="00AC13AB" w:rsidRDefault="002619AA" w:rsidP="00226C1E">
      <w:pPr>
        <w:pStyle w:val="ListParagraph"/>
        <w:numPr>
          <w:ilvl w:val="0"/>
          <w:numId w:val="5"/>
        </w:numPr>
        <w:spacing w:after="120"/>
        <w:ind w:left="714" w:hanging="357"/>
        <w:rPr>
          <w:i/>
          <w:iCs/>
        </w:rPr>
      </w:pPr>
      <w:r w:rsidRPr="00AC13AB">
        <w:rPr>
          <w:i/>
          <w:iCs/>
        </w:rPr>
        <w:t>Assurance from third parties such as the Council’s external auditors,</w:t>
      </w:r>
      <w:r w:rsidR="00324E60" w:rsidRPr="00AC13AB">
        <w:rPr>
          <w:i/>
          <w:iCs/>
        </w:rPr>
        <w:t xml:space="preserve"> and the results of recent external assessments such as</w:t>
      </w:r>
      <w:r w:rsidR="00F84DD7" w:rsidRPr="00AC13AB">
        <w:rPr>
          <w:i/>
          <w:iCs/>
        </w:rPr>
        <w:t xml:space="preserve"> Le</w:t>
      </w:r>
      <w:r w:rsidR="00C670C3" w:rsidRPr="00AC13AB">
        <w:rPr>
          <w:i/>
          <w:iCs/>
        </w:rPr>
        <w:t>xcel</w:t>
      </w:r>
      <w:r w:rsidR="00324E60" w:rsidRPr="00AC13AB">
        <w:rPr>
          <w:i/>
          <w:iCs/>
        </w:rPr>
        <w:t>’s</w:t>
      </w:r>
      <w:r w:rsidR="00C670C3" w:rsidRPr="00AC13AB">
        <w:rPr>
          <w:i/>
          <w:iCs/>
        </w:rPr>
        <w:t xml:space="preserve"> </w:t>
      </w:r>
      <w:r w:rsidR="00324E60" w:rsidRPr="00AC13AB">
        <w:rPr>
          <w:i/>
          <w:iCs/>
        </w:rPr>
        <w:t xml:space="preserve">Independent </w:t>
      </w:r>
      <w:r w:rsidR="00C670C3" w:rsidRPr="00AC13AB">
        <w:rPr>
          <w:i/>
          <w:iCs/>
        </w:rPr>
        <w:t>Legal Assessment</w:t>
      </w:r>
      <w:r w:rsidR="001C537F" w:rsidRPr="00AC13AB">
        <w:rPr>
          <w:i/>
          <w:iCs/>
        </w:rPr>
        <w:t>,</w:t>
      </w:r>
      <w:r w:rsidR="006C14E0" w:rsidRPr="00AC13AB">
        <w:rPr>
          <w:i/>
          <w:iCs/>
        </w:rPr>
        <w:t xml:space="preserve"> LGA</w:t>
      </w:r>
      <w:r w:rsidR="00324E60" w:rsidRPr="00AC13AB">
        <w:rPr>
          <w:i/>
          <w:iCs/>
        </w:rPr>
        <w:t>’s</w:t>
      </w:r>
      <w:r w:rsidR="006C14E0" w:rsidRPr="00AC13AB">
        <w:rPr>
          <w:i/>
          <w:iCs/>
        </w:rPr>
        <w:t xml:space="preserve"> Corporate Peer Challenge Revisit,</w:t>
      </w:r>
      <w:r w:rsidR="007A0978" w:rsidRPr="00AC13AB">
        <w:rPr>
          <w:i/>
          <w:iCs/>
        </w:rPr>
        <w:t xml:space="preserve"> and</w:t>
      </w:r>
      <w:r w:rsidR="006C14E0" w:rsidRPr="00AC13AB">
        <w:rPr>
          <w:i/>
          <w:iCs/>
        </w:rPr>
        <w:t xml:space="preserve"> the</w:t>
      </w:r>
      <w:r w:rsidR="007A0978" w:rsidRPr="00AC13AB">
        <w:rPr>
          <w:i/>
          <w:iCs/>
        </w:rPr>
        <w:t xml:space="preserve"> SEND</w:t>
      </w:r>
      <w:r w:rsidR="006C14E0" w:rsidRPr="00AC13AB">
        <w:rPr>
          <w:i/>
          <w:iCs/>
        </w:rPr>
        <w:t xml:space="preserve"> Local Area Inspection Review.</w:t>
      </w:r>
      <w:r w:rsidRPr="00AC13AB">
        <w:rPr>
          <w:i/>
          <w:iCs/>
        </w:rPr>
        <w:t xml:space="preserve"> </w:t>
      </w:r>
    </w:p>
    <w:p w14:paraId="4B673113" w14:textId="32988432" w:rsidR="007C74CB" w:rsidRPr="004200D8" w:rsidRDefault="002619AA" w:rsidP="00226C1E">
      <w:pPr>
        <w:pStyle w:val="ListParagraph"/>
        <w:numPr>
          <w:ilvl w:val="0"/>
          <w:numId w:val="5"/>
        </w:numPr>
        <w:spacing w:after="120"/>
        <w:ind w:left="714" w:hanging="357"/>
        <w:rPr>
          <w:i/>
          <w:iCs/>
        </w:rPr>
      </w:pPr>
      <w:r w:rsidRPr="004200D8">
        <w:rPr>
          <w:i/>
          <w:iCs/>
        </w:rPr>
        <w:t xml:space="preserve">The </w:t>
      </w:r>
      <w:r w:rsidR="00995867" w:rsidRPr="004200D8">
        <w:rPr>
          <w:i/>
          <w:iCs/>
        </w:rPr>
        <w:t xml:space="preserve">consistent progress </w:t>
      </w:r>
      <w:r w:rsidR="00A2438C" w:rsidRPr="004200D8">
        <w:rPr>
          <w:i/>
          <w:iCs/>
        </w:rPr>
        <w:t>i</w:t>
      </w:r>
      <w:r w:rsidRPr="004200D8">
        <w:rPr>
          <w:i/>
          <w:iCs/>
        </w:rPr>
        <w:t xml:space="preserve">n the implementation of management actions that were agreed during the course internal audit activity. </w:t>
      </w:r>
    </w:p>
    <w:p w14:paraId="50D278E2" w14:textId="1C54D398" w:rsidR="007C74CB" w:rsidRPr="004200D8" w:rsidRDefault="002619AA" w:rsidP="00226C1E">
      <w:pPr>
        <w:pStyle w:val="ListParagraph"/>
        <w:numPr>
          <w:ilvl w:val="0"/>
          <w:numId w:val="5"/>
        </w:numPr>
        <w:spacing w:after="120"/>
        <w:ind w:left="714" w:hanging="357"/>
        <w:rPr>
          <w:i/>
          <w:iCs/>
        </w:rPr>
      </w:pPr>
      <w:r w:rsidRPr="004200D8">
        <w:rPr>
          <w:i/>
          <w:iCs/>
        </w:rPr>
        <w:t>The Council’s risk awareness and risk culture which has matured further in 202</w:t>
      </w:r>
      <w:r w:rsidR="002C7023" w:rsidRPr="004200D8">
        <w:rPr>
          <w:i/>
          <w:iCs/>
        </w:rPr>
        <w:t>1</w:t>
      </w:r>
      <w:r w:rsidRPr="004200D8">
        <w:rPr>
          <w:i/>
          <w:iCs/>
        </w:rPr>
        <w:t>-2</w:t>
      </w:r>
      <w:r w:rsidR="002C7023" w:rsidRPr="004200D8">
        <w:rPr>
          <w:i/>
          <w:iCs/>
        </w:rPr>
        <w:t>2</w:t>
      </w:r>
      <w:r w:rsidRPr="004200D8">
        <w:rPr>
          <w:i/>
          <w:iCs/>
        </w:rPr>
        <w:t xml:space="preserve">. </w:t>
      </w:r>
    </w:p>
    <w:p w14:paraId="3574697E" w14:textId="5019DB3A" w:rsidR="007C74CB" w:rsidRPr="00B25A12" w:rsidRDefault="002619AA" w:rsidP="00226C1E">
      <w:pPr>
        <w:pStyle w:val="ListParagraph"/>
        <w:numPr>
          <w:ilvl w:val="0"/>
          <w:numId w:val="5"/>
        </w:numPr>
        <w:spacing w:after="120"/>
        <w:ind w:left="714" w:hanging="357"/>
        <w:rPr>
          <w:i/>
          <w:iCs/>
        </w:rPr>
      </w:pPr>
      <w:r w:rsidRPr="00B25A12">
        <w:rPr>
          <w:i/>
          <w:iCs/>
        </w:rPr>
        <w:t xml:space="preserve">The fact that none of the internal audit assignments were rated as ‘No </w:t>
      </w:r>
      <w:r w:rsidR="00B25A12">
        <w:rPr>
          <w:i/>
          <w:iCs/>
        </w:rPr>
        <w:t>A</w:t>
      </w:r>
      <w:r w:rsidRPr="00B25A12">
        <w:rPr>
          <w:i/>
          <w:iCs/>
        </w:rPr>
        <w:t xml:space="preserve">ssurance’ for the </w:t>
      </w:r>
      <w:r w:rsidR="002C7023" w:rsidRPr="00B25A12">
        <w:rPr>
          <w:i/>
          <w:iCs/>
        </w:rPr>
        <w:t>fourth</w:t>
      </w:r>
      <w:r w:rsidRPr="00B25A12">
        <w:rPr>
          <w:i/>
          <w:iCs/>
        </w:rPr>
        <w:t xml:space="preserve"> consecutive year</w:t>
      </w:r>
      <w:r w:rsidR="00072497" w:rsidRPr="00B25A12">
        <w:rPr>
          <w:i/>
          <w:iCs/>
        </w:rPr>
        <w:t>,</w:t>
      </w:r>
      <w:r w:rsidRPr="00B25A12">
        <w:rPr>
          <w:i/>
          <w:iCs/>
        </w:rPr>
        <w:t xml:space="preserve"> and </w:t>
      </w:r>
      <w:r w:rsidR="00072497" w:rsidRPr="00B25A12">
        <w:rPr>
          <w:i/>
          <w:iCs/>
        </w:rPr>
        <w:t>the</w:t>
      </w:r>
      <w:r w:rsidR="00B25A12" w:rsidRPr="00B25A12">
        <w:rPr>
          <w:i/>
          <w:iCs/>
        </w:rPr>
        <w:t xml:space="preserve"> increased</w:t>
      </w:r>
      <w:r w:rsidR="00072497" w:rsidRPr="00B25A12">
        <w:rPr>
          <w:i/>
          <w:iCs/>
        </w:rPr>
        <w:t xml:space="preserve"> use of internal audit as a consultative partner</w:t>
      </w:r>
      <w:r w:rsidR="00B25A12" w:rsidRPr="00B25A12">
        <w:rPr>
          <w:i/>
          <w:iCs/>
        </w:rPr>
        <w:t xml:space="preserve"> to support the Council</w:t>
      </w:r>
      <w:r w:rsidR="00072497" w:rsidRPr="00B25A12">
        <w:rPr>
          <w:i/>
          <w:iCs/>
        </w:rPr>
        <w:t xml:space="preserve"> on specific areas of concern</w:t>
      </w:r>
      <w:r w:rsidR="00B25A12" w:rsidRPr="00B25A12">
        <w:rPr>
          <w:i/>
          <w:iCs/>
        </w:rPr>
        <w:t xml:space="preserve"> or proposed change to inform the governance, risk and internal control environment</w:t>
      </w:r>
      <w:r w:rsidRPr="00B25A12">
        <w:rPr>
          <w:i/>
          <w:iCs/>
        </w:rPr>
        <w:t xml:space="preserve">. </w:t>
      </w:r>
    </w:p>
    <w:p w14:paraId="4DFFD61F" w14:textId="1FA6CE9A" w:rsidR="001725E7" w:rsidRPr="00B67531" w:rsidRDefault="002619AA" w:rsidP="00226C1E">
      <w:pPr>
        <w:pStyle w:val="ListParagraph"/>
        <w:numPr>
          <w:ilvl w:val="0"/>
          <w:numId w:val="5"/>
        </w:numPr>
        <w:rPr>
          <w:i/>
          <w:iCs/>
        </w:rPr>
      </w:pPr>
      <w:r w:rsidRPr="00B67531">
        <w:rPr>
          <w:i/>
          <w:iCs/>
        </w:rPr>
        <w:lastRenderedPageBreak/>
        <w:t xml:space="preserve">The impact on the </w:t>
      </w:r>
      <w:r w:rsidR="00CE7F5B" w:rsidRPr="00B67531">
        <w:rPr>
          <w:i/>
          <w:iCs/>
        </w:rPr>
        <w:t>Council resulting from the continued response to the</w:t>
      </w:r>
      <w:r w:rsidRPr="00B67531">
        <w:rPr>
          <w:i/>
          <w:iCs/>
        </w:rPr>
        <w:t xml:space="preserve"> Covid-19</w:t>
      </w:r>
      <w:r w:rsidR="00CE7F5B" w:rsidRPr="00B67531">
        <w:rPr>
          <w:i/>
          <w:iCs/>
        </w:rPr>
        <w:t xml:space="preserve"> pandemic during 2021/22,</w:t>
      </w:r>
      <w:r w:rsidRPr="00B67531">
        <w:rPr>
          <w:i/>
          <w:iCs/>
        </w:rPr>
        <w:t xml:space="preserve"> which </w:t>
      </w:r>
      <w:r w:rsidR="00B67531" w:rsidRPr="00B67531">
        <w:rPr>
          <w:i/>
          <w:iCs/>
        </w:rPr>
        <w:t>continued to a</w:t>
      </w:r>
      <w:r w:rsidRPr="00B67531">
        <w:rPr>
          <w:i/>
          <w:iCs/>
        </w:rPr>
        <w:t>ffect many aspects of service provision, governance, risk management, internal control, financial resilience, and ways of working.</w:t>
      </w:r>
    </w:p>
    <w:p w14:paraId="6AC64ACF" w14:textId="77777777" w:rsidR="007C74CB" w:rsidRPr="00187CAD" w:rsidRDefault="007C74CB" w:rsidP="00202EB3">
      <w:pPr>
        <w:rPr>
          <w:i/>
          <w:iCs/>
          <w:color w:val="000000" w:themeColor="text1"/>
          <w:highlight w:val="yellow"/>
        </w:rPr>
      </w:pPr>
    </w:p>
    <w:p w14:paraId="5430E873" w14:textId="5027B471" w:rsidR="00C1366C" w:rsidRPr="00160BA6" w:rsidRDefault="002619AA" w:rsidP="00202EB3">
      <w:pPr>
        <w:rPr>
          <w:i/>
          <w:iCs/>
          <w:color w:val="000000" w:themeColor="text1"/>
        </w:rPr>
      </w:pPr>
      <w:r w:rsidRPr="00B67531">
        <w:rPr>
          <w:i/>
          <w:iCs/>
        </w:rPr>
        <w:t>Primarily on the basis of the audit and anti-fraud activity undertaken during the year, but also taking into account external assurances and other relevant matters above including the significant issues with the closure of the Council’s</w:t>
      </w:r>
      <w:r w:rsidR="00B67531" w:rsidRPr="00B67531">
        <w:rPr>
          <w:i/>
          <w:iCs/>
        </w:rPr>
        <w:t xml:space="preserve"> Statement of A</w:t>
      </w:r>
      <w:r w:rsidRPr="00B67531">
        <w:rPr>
          <w:i/>
          <w:iCs/>
        </w:rPr>
        <w:t xml:space="preserve">ccounts, it is my opinion that I can provide </w:t>
      </w:r>
      <w:r w:rsidRPr="00B67531">
        <w:rPr>
          <w:b/>
          <w:bCs/>
          <w:i/>
          <w:iCs/>
        </w:rPr>
        <w:t>Limited</w:t>
      </w:r>
      <w:r w:rsidRPr="00B67531">
        <w:rPr>
          <w:rStyle w:val="FootnoteReference"/>
          <w:i/>
          <w:iCs/>
        </w:rPr>
        <w:footnoteReference w:id="2"/>
      </w:r>
      <w:r w:rsidRPr="00B67531">
        <w:rPr>
          <w:i/>
          <w:iCs/>
        </w:rPr>
        <w:t xml:space="preserve"> </w:t>
      </w:r>
      <w:r w:rsidR="00B67531" w:rsidRPr="00B67531">
        <w:rPr>
          <w:b/>
          <w:bCs/>
          <w:i/>
          <w:iCs/>
        </w:rPr>
        <w:t>A</w:t>
      </w:r>
      <w:r w:rsidRPr="00B67531">
        <w:rPr>
          <w:b/>
          <w:bCs/>
          <w:i/>
          <w:iCs/>
        </w:rPr>
        <w:t>ssurance</w:t>
      </w:r>
      <w:r w:rsidRPr="00B67531">
        <w:rPr>
          <w:i/>
          <w:iCs/>
        </w:rPr>
        <w:t xml:space="preserve"> that the Council has adequate systems of governance, risk management and internal control.</w:t>
      </w:r>
    </w:p>
    <w:p w14:paraId="73526A5A" w14:textId="77777777" w:rsidR="00C1366C" w:rsidRPr="00160BA6" w:rsidRDefault="00C1366C" w:rsidP="00202EB3">
      <w:pPr>
        <w:rPr>
          <w:i/>
          <w:iCs/>
          <w:color w:val="000000" w:themeColor="text1"/>
        </w:rPr>
      </w:pPr>
    </w:p>
    <w:p w14:paraId="3BC6F216" w14:textId="0179097C" w:rsidR="00D738F1" w:rsidRPr="00160BA6" w:rsidRDefault="00187CAD" w:rsidP="002E62E6">
      <w:pPr>
        <w:rPr>
          <w:i/>
          <w:iCs/>
          <w:color w:val="000000" w:themeColor="text1"/>
        </w:rPr>
      </w:pPr>
      <w:r w:rsidRPr="006122A6">
        <w:rPr>
          <w:i/>
          <w:iCs/>
          <w:color w:val="000000" w:themeColor="text1"/>
        </w:rPr>
        <w:t xml:space="preserve">Interim </w:t>
      </w:r>
      <w:r w:rsidR="002619AA" w:rsidRPr="006122A6">
        <w:rPr>
          <w:i/>
          <w:iCs/>
          <w:color w:val="000000" w:themeColor="text1"/>
        </w:rPr>
        <w:t xml:space="preserve">Head of Internal Audit, </w:t>
      </w:r>
      <w:r w:rsidRPr="006122A6">
        <w:rPr>
          <w:i/>
          <w:iCs/>
          <w:color w:val="000000" w:themeColor="text1"/>
        </w:rPr>
        <w:t>Anti-</w:t>
      </w:r>
      <w:r w:rsidR="002619AA" w:rsidRPr="006122A6">
        <w:rPr>
          <w:i/>
          <w:iCs/>
          <w:color w:val="000000" w:themeColor="text1"/>
        </w:rPr>
        <w:t>Fraud and Risk.</w:t>
      </w:r>
      <w:r w:rsidR="002619AA" w:rsidRPr="00160BA6">
        <w:rPr>
          <w:i/>
          <w:iCs/>
          <w:color w:val="000000" w:themeColor="text1"/>
        </w:rPr>
        <w:t xml:space="preserve"> </w:t>
      </w:r>
    </w:p>
    <w:p w14:paraId="5A420557" w14:textId="77777777" w:rsidR="00E41260" w:rsidRPr="00160BA6" w:rsidRDefault="00E41260" w:rsidP="001725E7">
      <w:pPr>
        <w:jc w:val="both"/>
        <w:rPr>
          <w:bCs/>
          <w:color w:val="000000" w:themeColor="text1"/>
        </w:rPr>
      </w:pPr>
    </w:p>
    <w:p w14:paraId="31D3C228" w14:textId="26A3E122" w:rsidR="004E6688" w:rsidRPr="00160BA6" w:rsidRDefault="002619AA" w:rsidP="001725E7">
      <w:pPr>
        <w:jc w:val="both"/>
        <w:rPr>
          <w:bCs/>
          <w:color w:val="000000" w:themeColor="text1"/>
        </w:rPr>
      </w:pPr>
      <w:r w:rsidRPr="00160BA6">
        <w:rPr>
          <w:bCs/>
          <w:color w:val="000000" w:themeColor="text1"/>
        </w:rPr>
        <w:t xml:space="preserve">The full report </w:t>
      </w:r>
      <w:r w:rsidR="007556CC" w:rsidRPr="00160BA6">
        <w:rPr>
          <w:bCs/>
          <w:color w:val="000000" w:themeColor="text1"/>
        </w:rPr>
        <w:t>from J</w:t>
      </w:r>
      <w:r w:rsidR="00187CAD">
        <w:rPr>
          <w:bCs/>
          <w:color w:val="000000" w:themeColor="text1"/>
        </w:rPr>
        <w:t xml:space="preserve">une 2022 </w:t>
      </w:r>
      <w:r w:rsidRPr="00160BA6">
        <w:rPr>
          <w:bCs/>
          <w:color w:val="000000" w:themeColor="text1"/>
        </w:rPr>
        <w:t>is available</w:t>
      </w:r>
      <w:r w:rsidR="0074666C" w:rsidRPr="00160BA6">
        <w:rPr>
          <w:bCs/>
          <w:color w:val="000000" w:themeColor="text1"/>
        </w:rPr>
        <w:t xml:space="preserve"> </w:t>
      </w:r>
      <w:r w:rsidR="00F5036B" w:rsidRPr="00160BA6">
        <w:rPr>
          <w:bCs/>
          <w:color w:val="000000" w:themeColor="text1"/>
        </w:rPr>
        <w:t xml:space="preserve">on </w:t>
      </w:r>
      <w:r w:rsidR="008B040C" w:rsidRPr="00160BA6">
        <w:rPr>
          <w:bCs/>
          <w:color w:val="000000" w:themeColor="text1"/>
        </w:rPr>
        <w:t xml:space="preserve">the Council’s website. </w:t>
      </w:r>
      <w:r w:rsidR="00F5036B" w:rsidRPr="00160BA6">
        <w:rPr>
          <w:bCs/>
          <w:color w:val="000000" w:themeColor="text1"/>
        </w:rPr>
        <w:t xml:space="preserve"> </w:t>
      </w:r>
      <w:r w:rsidRPr="00160BA6">
        <w:rPr>
          <w:bCs/>
          <w:color w:val="000000" w:themeColor="text1"/>
        </w:rPr>
        <w:t xml:space="preserve"> </w:t>
      </w:r>
    </w:p>
    <w:p w14:paraId="23CC536C" w14:textId="77777777" w:rsidR="00E41260" w:rsidRPr="00160BA6" w:rsidRDefault="00E41260" w:rsidP="001725E7">
      <w:pPr>
        <w:jc w:val="both"/>
        <w:rPr>
          <w:b/>
          <w:color w:val="000000" w:themeColor="text1"/>
        </w:rPr>
      </w:pPr>
    </w:p>
    <w:p w14:paraId="70A9165F" w14:textId="77777777" w:rsidR="001725E7" w:rsidRPr="00FF1444" w:rsidRDefault="002619AA" w:rsidP="001725E7">
      <w:pPr>
        <w:jc w:val="both"/>
        <w:rPr>
          <w:color w:val="000000" w:themeColor="text1"/>
        </w:rPr>
      </w:pPr>
      <w:r w:rsidRPr="00FF1444">
        <w:rPr>
          <w:b/>
          <w:color w:val="000000" w:themeColor="text1"/>
        </w:rPr>
        <w:t>External Audit &amp; Inspections</w:t>
      </w:r>
    </w:p>
    <w:p w14:paraId="21CC26EF" w14:textId="77777777" w:rsidR="001725E7" w:rsidRPr="00FF1444" w:rsidRDefault="001725E7" w:rsidP="001725E7">
      <w:pPr>
        <w:jc w:val="both"/>
        <w:rPr>
          <w:color w:val="000000" w:themeColor="text1"/>
        </w:rPr>
      </w:pPr>
    </w:p>
    <w:p w14:paraId="2FFE725F" w14:textId="77777777" w:rsidR="00641392" w:rsidRPr="00FF1444" w:rsidRDefault="002619AA" w:rsidP="001725E7">
      <w:pPr>
        <w:jc w:val="both"/>
        <w:rPr>
          <w:color w:val="000000" w:themeColor="text1"/>
          <w:u w:val="single"/>
        </w:rPr>
      </w:pPr>
      <w:r w:rsidRPr="00FF1444">
        <w:rPr>
          <w:color w:val="000000" w:themeColor="text1"/>
          <w:u w:val="single"/>
        </w:rPr>
        <w:t>External Audit</w:t>
      </w:r>
    </w:p>
    <w:p w14:paraId="4F766E4B" w14:textId="77777777" w:rsidR="004E6688" w:rsidRPr="00187CAD" w:rsidRDefault="004E6688" w:rsidP="001725E7">
      <w:pPr>
        <w:jc w:val="both"/>
        <w:rPr>
          <w:color w:val="000000" w:themeColor="text1"/>
          <w:highlight w:val="yellow"/>
          <w:u w:val="single"/>
        </w:rPr>
      </w:pPr>
    </w:p>
    <w:p w14:paraId="0D720D8A" w14:textId="77777777" w:rsidR="001725E7" w:rsidRDefault="002619AA" w:rsidP="006122A6">
      <w:pPr>
        <w:rPr>
          <w:color w:val="000000" w:themeColor="text1"/>
        </w:rPr>
      </w:pPr>
      <w:r w:rsidRPr="00C56FD6">
        <w:rPr>
          <w:color w:val="000000" w:themeColor="text1"/>
        </w:rPr>
        <w:t xml:space="preserve">From 1 September 2018 Deloitte LLP was appointed as the Council’s external auditor, this was following the decision of the Council to opt </w:t>
      </w:r>
      <w:r w:rsidR="00F5036B" w:rsidRPr="00C56FD6">
        <w:rPr>
          <w:color w:val="000000" w:themeColor="text1"/>
        </w:rPr>
        <w:t>into</w:t>
      </w:r>
      <w:r w:rsidRPr="00C56FD6">
        <w:rPr>
          <w:color w:val="000000" w:themeColor="text1"/>
        </w:rPr>
        <w:t xml:space="preserve"> the Public Sector Audit Appointments Limited (PSAA) arrangement.   The PSAA Board appointed Deloitte to audit the accounts of the Council for a period of five years (2018/19 to 2022/23).</w:t>
      </w:r>
    </w:p>
    <w:p w14:paraId="72690061" w14:textId="77777777" w:rsidR="003411F3" w:rsidRDefault="003411F3" w:rsidP="006122A6">
      <w:pPr>
        <w:rPr>
          <w:color w:val="000000" w:themeColor="text1"/>
        </w:rPr>
      </w:pPr>
    </w:p>
    <w:p w14:paraId="2D2E35B4" w14:textId="27F20DE6" w:rsidR="00CB0E94" w:rsidRPr="00E8036B" w:rsidRDefault="003411F3" w:rsidP="006122A6">
      <w:pPr>
        <w:rPr>
          <w:color w:val="000000" w:themeColor="text1"/>
        </w:rPr>
      </w:pPr>
      <w:r>
        <w:t xml:space="preserve">Deloitte has been unable to complete its audit of the 2018/19 or 2019/20 financial statements. There have been significant issues with the Council’s 2018/19 and 2019/20 statement of accounts, and it has taken many months for these issues to be investigated and resolved with some issues still outstanding. </w:t>
      </w:r>
      <w:r>
        <w:br/>
      </w:r>
    </w:p>
    <w:p w14:paraId="570B7F79" w14:textId="347A4F0C" w:rsidR="005D4A12" w:rsidRDefault="002619AA" w:rsidP="006122A6">
      <w:r w:rsidRPr="00B45A36">
        <w:t xml:space="preserve">The Council developed an action plan, additional resources </w:t>
      </w:r>
      <w:r w:rsidR="00DE1234" w:rsidRPr="00B45A36">
        <w:t>were</w:t>
      </w:r>
      <w:r w:rsidRPr="00B45A36">
        <w:t xml:space="preserve"> sourced to complete the plan and produce a revised set of accounts, and a dedicated finance improvement team has been created for additional support. To support</w:t>
      </w:r>
      <w:r w:rsidR="00426B9C" w:rsidRPr="00B45A36">
        <w:t xml:space="preserve"> this</w:t>
      </w:r>
      <w:r w:rsidRPr="00B45A36">
        <w:t xml:space="preserve"> improvement</w:t>
      </w:r>
      <w:r w:rsidR="00426B9C" w:rsidRPr="00B45A36">
        <w:t>,</w:t>
      </w:r>
      <w:r w:rsidRPr="00B45A36">
        <w:t xml:space="preserve"> a </w:t>
      </w:r>
      <w:r w:rsidRPr="00B45A36">
        <w:lastRenderedPageBreak/>
        <w:t xml:space="preserve">Finance Improvement Board </w:t>
      </w:r>
      <w:r w:rsidR="00426B9C" w:rsidRPr="00B45A36">
        <w:t>was</w:t>
      </w:r>
      <w:r w:rsidRPr="00B45A36">
        <w:t xml:space="preserve"> created and chaired by the Interim Corporate Director of Resources (s151 Officer). Th</w:t>
      </w:r>
      <w:r w:rsidR="00426B9C" w:rsidRPr="00B45A36">
        <w:t>roughout 2021/22, the</w:t>
      </w:r>
      <w:r w:rsidRPr="00B45A36">
        <w:t xml:space="preserve"> Board </w:t>
      </w:r>
      <w:r w:rsidR="00426B9C" w:rsidRPr="00B45A36">
        <w:t>has</w:t>
      </w:r>
      <w:r w:rsidRPr="00B45A36">
        <w:t xml:space="preserve"> monitor</w:t>
      </w:r>
      <w:r w:rsidR="00426B9C" w:rsidRPr="00B45A36">
        <w:t>ed</w:t>
      </w:r>
      <w:r w:rsidRPr="00B45A36">
        <w:t>, challenge</w:t>
      </w:r>
      <w:r w:rsidR="00426B9C" w:rsidRPr="00B45A36">
        <w:t>d</w:t>
      </w:r>
      <w:r w:rsidRPr="00B45A36">
        <w:t>, and support</w:t>
      </w:r>
      <w:r w:rsidR="00426B9C" w:rsidRPr="00B45A36">
        <w:t>ed</w:t>
      </w:r>
      <w:r w:rsidRPr="00B45A36">
        <w:t xml:space="preserve"> the delivery of the Finance Improvement Plan. </w:t>
      </w:r>
      <w:r w:rsidR="00257E48" w:rsidRPr="00B45A36">
        <w:t>Internal Audit has also been in embedded in this process, performing specific reviews over process redesigns and</w:t>
      </w:r>
      <w:r w:rsidR="00891F56" w:rsidRPr="00B45A36">
        <w:t xml:space="preserve"> improvements suggested</w:t>
      </w:r>
      <w:r w:rsidR="00105863" w:rsidRPr="00B45A36">
        <w:t xml:space="preserve"> to ensure they mitigate the risks posed and address the recommendations that derived </w:t>
      </w:r>
      <w:r w:rsidR="00042058" w:rsidRPr="00B45A36">
        <w:t>from the initial review</w:t>
      </w:r>
      <w:r w:rsidR="00891F56" w:rsidRPr="00B45A36">
        <w:t>.</w:t>
      </w:r>
      <w:r w:rsidR="00042058" w:rsidRPr="00B45A36">
        <w:t xml:space="preserve"> </w:t>
      </w:r>
      <w:r w:rsidR="005D4A12" w:rsidRPr="00B45A36">
        <w:t>Progress has been regularly reported to the Council’s Statutory Officers, the Mayor, Cabinet Members, and the Audit Committee.</w:t>
      </w:r>
    </w:p>
    <w:p w14:paraId="265D0653" w14:textId="77777777" w:rsidR="00D60807" w:rsidRDefault="00D60807" w:rsidP="006122A6"/>
    <w:p w14:paraId="40BB8924" w14:textId="3A4BDDA8" w:rsidR="005C0DB1" w:rsidRDefault="005C0DB1" w:rsidP="005C0DB1">
      <w:pPr>
        <w:pStyle w:val="BodyText"/>
        <w:ind w:right="218"/>
        <w:rPr>
          <w:i/>
          <w:iCs/>
        </w:rPr>
      </w:pPr>
      <w:r>
        <w:rPr>
          <w:i/>
          <w:iCs/>
        </w:rPr>
        <w:t xml:space="preserve">At the time of </w:t>
      </w:r>
      <w:r w:rsidR="00956547">
        <w:rPr>
          <w:i/>
          <w:iCs/>
        </w:rPr>
        <w:t xml:space="preserve">updating this draft statement </w:t>
      </w:r>
      <w:r w:rsidR="00890C52">
        <w:rPr>
          <w:i/>
          <w:iCs/>
        </w:rPr>
        <w:t>and resubmitting it for approval (</w:t>
      </w:r>
      <w:r w:rsidR="00956547">
        <w:rPr>
          <w:i/>
          <w:iCs/>
        </w:rPr>
        <w:t xml:space="preserve">October 2023), </w:t>
      </w:r>
      <w:r w:rsidR="00956547" w:rsidRPr="00176858">
        <w:rPr>
          <w:i/>
          <w:iCs/>
        </w:rPr>
        <w:t>the 2018/19 and 2019/20 audits remain incomplete</w:t>
      </w:r>
      <w:r w:rsidR="00956547">
        <w:rPr>
          <w:i/>
          <w:iCs/>
        </w:rPr>
        <w:t xml:space="preserve">.  Draft accounts for 2020/21 were published in January 2022 and </w:t>
      </w:r>
      <w:r w:rsidR="00956547" w:rsidRPr="00176858">
        <w:rPr>
          <w:i/>
          <w:iCs/>
        </w:rPr>
        <w:t>work has been started on the external audit of the 2020/21 statement of accounts.</w:t>
      </w:r>
    </w:p>
    <w:p w14:paraId="195D8C11" w14:textId="77777777" w:rsidR="005D4A12" w:rsidRPr="00B45A36" w:rsidRDefault="005D4A12" w:rsidP="001725E7">
      <w:pPr>
        <w:jc w:val="both"/>
      </w:pPr>
    </w:p>
    <w:p w14:paraId="0F41536E" w14:textId="77777777" w:rsidR="00CA73B2" w:rsidRPr="006122A6" w:rsidRDefault="00CA73B2" w:rsidP="001725E7">
      <w:pPr>
        <w:jc w:val="both"/>
        <w:rPr>
          <w:rFonts w:cs="Arial"/>
          <w:color w:val="000000" w:themeColor="text1"/>
          <w:highlight w:val="yellow"/>
        </w:rPr>
      </w:pPr>
    </w:p>
    <w:p w14:paraId="582A5C34" w14:textId="77777777" w:rsidR="0089253E" w:rsidRPr="00E501C3" w:rsidRDefault="002619AA" w:rsidP="001725E7">
      <w:pPr>
        <w:jc w:val="both"/>
        <w:rPr>
          <w:color w:val="000000" w:themeColor="text1"/>
          <w:u w:val="single"/>
        </w:rPr>
      </w:pPr>
      <w:r w:rsidRPr="00E501C3">
        <w:rPr>
          <w:color w:val="000000" w:themeColor="text1"/>
          <w:u w:val="single"/>
        </w:rPr>
        <w:t xml:space="preserve">Other Inspections </w:t>
      </w:r>
      <w:r w:rsidR="008204A5" w:rsidRPr="00E501C3">
        <w:rPr>
          <w:color w:val="000000" w:themeColor="text1"/>
          <w:u w:val="single"/>
        </w:rPr>
        <w:t xml:space="preserve">and Review </w:t>
      </w:r>
    </w:p>
    <w:p w14:paraId="6C202E66" w14:textId="77777777" w:rsidR="0089253E" w:rsidRPr="00187CAD" w:rsidRDefault="0089253E" w:rsidP="001725E7">
      <w:pPr>
        <w:jc w:val="both"/>
        <w:rPr>
          <w:color w:val="000000" w:themeColor="text1"/>
          <w:highlight w:val="yellow"/>
        </w:rPr>
      </w:pPr>
    </w:p>
    <w:p w14:paraId="0604C1CA" w14:textId="59A4F6F7" w:rsidR="007A0978" w:rsidRDefault="007A0978" w:rsidP="001725E7">
      <w:pPr>
        <w:jc w:val="both"/>
        <w:rPr>
          <w:color w:val="000000" w:themeColor="text1"/>
          <w:u w:val="single"/>
        </w:rPr>
      </w:pPr>
      <w:r>
        <w:rPr>
          <w:color w:val="000000" w:themeColor="text1"/>
          <w:u w:val="single"/>
        </w:rPr>
        <w:t xml:space="preserve">Lexcel </w:t>
      </w:r>
      <w:r w:rsidR="00B21AFC">
        <w:rPr>
          <w:color w:val="000000" w:themeColor="text1"/>
          <w:u w:val="single"/>
        </w:rPr>
        <w:t xml:space="preserve">Independent </w:t>
      </w:r>
      <w:r>
        <w:rPr>
          <w:color w:val="000000" w:themeColor="text1"/>
          <w:u w:val="single"/>
        </w:rPr>
        <w:t>Legal Assessment</w:t>
      </w:r>
    </w:p>
    <w:p w14:paraId="163FA5AF" w14:textId="2E16FB2A" w:rsidR="007A0978" w:rsidRDefault="007A0978" w:rsidP="001725E7">
      <w:pPr>
        <w:jc w:val="both"/>
        <w:rPr>
          <w:color w:val="000000" w:themeColor="text1"/>
          <w:u w:val="single"/>
        </w:rPr>
      </w:pPr>
    </w:p>
    <w:p w14:paraId="0B7A94A4" w14:textId="77777777" w:rsidR="00302648" w:rsidRDefault="007F1805" w:rsidP="00303EA1">
      <w:r w:rsidRPr="007F1805">
        <w:t>Th</w:t>
      </w:r>
      <w:r>
        <w:t xml:space="preserve">e Council </w:t>
      </w:r>
      <w:r w:rsidR="00BF3B13">
        <w:t xml:space="preserve">were subject to an independent </w:t>
      </w:r>
      <w:r>
        <w:t>a</w:t>
      </w:r>
      <w:r w:rsidRPr="007F1805">
        <w:t>ssessment</w:t>
      </w:r>
      <w:r w:rsidR="00BC322E">
        <w:t xml:space="preserve"> of their legal services during 2021/22. This was conducted </w:t>
      </w:r>
      <w:r w:rsidRPr="007F1805">
        <w:t>against</w:t>
      </w:r>
      <w:r w:rsidR="002827D5">
        <w:t xml:space="preserve"> the</w:t>
      </w:r>
      <w:r w:rsidRPr="007F1805">
        <w:t xml:space="preserve"> Lexcel</w:t>
      </w:r>
      <w:r w:rsidR="002827D5">
        <w:t xml:space="preserve"> Standards</w:t>
      </w:r>
      <w:r w:rsidR="001B125F">
        <w:t xml:space="preserve">, The Law Society’s </w:t>
      </w:r>
      <w:r w:rsidR="00361E27">
        <w:t>practice quality mark for client care, compliance and practice management.</w:t>
      </w:r>
      <w:r w:rsidR="002827D5">
        <w:t xml:space="preserve"> </w:t>
      </w:r>
      <w:r w:rsidR="009040DD">
        <w:t xml:space="preserve">In order to assess the Council against these, an assessment was conducted via </w:t>
      </w:r>
      <w:r w:rsidRPr="007F1805">
        <w:t>electronic and virtual means, and in accordance with the submitted Assessment Plan, Lexcel Scheme Rules and Assessment Guidance Notes as modified by The Law Society’s temporary COVID19 procedures.</w:t>
      </w:r>
    </w:p>
    <w:p w14:paraId="32BEEF73" w14:textId="654B0E90" w:rsidR="007F1805" w:rsidRDefault="007F1805" w:rsidP="00223116">
      <w:pPr>
        <w:jc w:val="both"/>
      </w:pPr>
      <w:r w:rsidRPr="007F1805">
        <w:t xml:space="preserve"> </w:t>
      </w:r>
    </w:p>
    <w:p w14:paraId="300DB2F0" w14:textId="42601BDC" w:rsidR="00302648" w:rsidRDefault="00302648" w:rsidP="00F8090E">
      <w:pPr>
        <w:spacing w:after="120"/>
        <w:jc w:val="both"/>
      </w:pPr>
      <w:r>
        <w:t>The visit covered all sections of the standard</w:t>
      </w:r>
      <w:r w:rsidR="00636154">
        <w:t xml:space="preserve"> were covered</w:t>
      </w:r>
      <w:r>
        <w:t xml:space="preserve"> and was </w:t>
      </w:r>
      <w:r w:rsidR="00261E8C">
        <w:t xml:space="preserve">conducted through </w:t>
      </w:r>
      <w:r>
        <w:t>three</w:t>
      </w:r>
      <w:r w:rsidR="00261E8C">
        <w:t xml:space="preserve"> distinct elements</w:t>
      </w:r>
      <w:r>
        <w:t>, being:</w:t>
      </w:r>
    </w:p>
    <w:p w14:paraId="336740BE" w14:textId="52E250A2" w:rsidR="00302648" w:rsidRDefault="00876E27" w:rsidP="00226C1E">
      <w:pPr>
        <w:pStyle w:val="ListParagraph"/>
        <w:numPr>
          <w:ilvl w:val="0"/>
          <w:numId w:val="7"/>
        </w:numPr>
        <w:jc w:val="both"/>
      </w:pPr>
      <w:r>
        <w:t xml:space="preserve">A desktop assessment of all management documentation, with all documents supplied </w:t>
      </w:r>
      <w:r w:rsidR="008912BB">
        <w:t>securely via electronic means.</w:t>
      </w:r>
    </w:p>
    <w:p w14:paraId="4F3C37A9" w14:textId="60BC700F" w:rsidR="008912BB" w:rsidRDefault="008912BB" w:rsidP="00226C1E">
      <w:pPr>
        <w:pStyle w:val="ListParagraph"/>
        <w:numPr>
          <w:ilvl w:val="0"/>
          <w:numId w:val="7"/>
        </w:numPr>
        <w:jc w:val="both"/>
      </w:pPr>
      <w:r>
        <w:t>Case files for review were selected from open and closed matter lists</w:t>
      </w:r>
      <w:r w:rsidR="009F73BD">
        <w:t>.</w:t>
      </w:r>
    </w:p>
    <w:p w14:paraId="6B9B02C7" w14:textId="41D063AC" w:rsidR="007F1805" w:rsidRDefault="009F73BD" w:rsidP="00226C1E">
      <w:pPr>
        <w:pStyle w:val="ListParagraph"/>
        <w:numPr>
          <w:ilvl w:val="0"/>
          <w:numId w:val="7"/>
        </w:numPr>
        <w:jc w:val="both"/>
      </w:pPr>
      <w:r>
        <w:t>Interviews were held with key staff members.</w:t>
      </w:r>
    </w:p>
    <w:p w14:paraId="728CA2A3" w14:textId="364504AD" w:rsidR="009F73BD" w:rsidRDefault="009F73BD" w:rsidP="009F73BD">
      <w:pPr>
        <w:jc w:val="both"/>
      </w:pPr>
    </w:p>
    <w:p w14:paraId="688C66FB" w14:textId="43B412CF" w:rsidR="007F1805" w:rsidRDefault="00261E8C" w:rsidP="00303EA1">
      <w:r>
        <w:t>The results of this assessment did not</w:t>
      </w:r>
      <w:r w:rsidR="007F1805">
        <w:rPr>
          <w:rFonts w:cs="Arial"/>
          <w:sz w:val="20"/>
          <w:szCs w:val="20"/>
          <w:lang w:eastAsia="en-US"/>
        </w:rPr>
        <w:t xml:space="preserve"> </w:t>
      </w:r>
      <w:r w:rsidR="007F1805" w:rsidRPr="00261E8C">
        <w:t xml:space="preserve">highlight any major areas of concern In Legal Services, however, there </w:t>
      </w:r>
      <w:r w:rsidR="00B23434">
        <w:t>we</w:t>
      </w:r>
      <w:r w:rsidR="007F1805" w:rsidRPr="00261E8C">
        <w:t xml:space="preserve">re some </w:t>
      </w:r>
      <w:r w:rsidR="004E5896">
        <w:t>minor areas for improvement</w:t>
      </w:r>
      <w:r w:rsidR="007F1805" w:rsidRPr="00261E8C">
        <w:t xml:space="preserve">, these </w:t>
      </w:r>
      <w:r w:rsidR="004E5896">
        <w:t>we</w:t>
      </w:r>
      <w:r w:rsidR="007F1805" w:rsidRPr="00261E8C">
        <w:t>re around independent fee earner file reviews, Annual Risk Review, HR Induction Records for new staff and Lexcel Compliance training for new staff. The findings indicate</w:t>
      </w:r>
      <w:r w:rsidR="004E5896">
        <w:t>d</w:t>
      </w:r>
      <w:r w:rsidR="007F1805" w:rsidRPr="00261E8C">
        <w:t xml:space="preserve"> a slight slippage in process rather than a fundamental </w:t>
      </w:r>
      <w:r w:rsidR="007F1805" w:rsidRPr="00261E8C">
        <w:lastRenderedPageBreak/>
        <w:t xml:space="preserve">breakdown of quality systems. To counter this, the Assessor recorded a high number of Areas of Good Practice in Legal </w:t>
      </w:r>
      <w:proofErr w:type="gramStart"/>
      <w:r w:rsidR="007F1805" w:rsidRPr="00261E8C">
        <w:t>Services</w:t>
      </w:r>
      <w:proofErr w:type="gramEnd"/>
      <w:r w:rsidR="007F1805" w:rsidRPr="00261E8C">
        <w:t xml:space="preserve"> and these are spread across all areas of practice. </w:t>
      </w:r>
    </w:p>
    <w:p w14:paraId="6E42679D" w14:textId="2C2004D1" w:rsidR="00C1353B" w:rsidRDefault="00C1353B" w:rsidP="007F1805">
      <w:pPr>
        <w:jc w:val="both"/>
      </w:pPr>
    </w:p>
    <w:p w14:paraId="636583BD" w14:textId="28395431" w:rsidR="00C1353B" w:rsidRPr="00261E8C" w:rsidRDefault="00C1353B" w:rsidP="007F1805">
      <w:pPr>
        <w:jc w:val="both"/>
      </w:pPr>
      <w:r>
        <w:t>As a result, the Assessor recommended that Legal Service be re-accredited with the Lexcel Standard.</w:t>
      </w:r>
    </w:p>
    <w:p w14:paraId="2B51CB5F" w14:textId="77777777" w:rsidR="00C1353B" w:rsidRDefault="00C1353B" w:rsidP="001725E7">
      <w:pPr>
        <w:jc w:val="both"/>
        <w:rPr>
          <w:rFonts w:cs="Arial"/>
          <w:b/>
          <w:bCs/>
          <w:sz w:val="20"/>
          <w:szCs w:val="20"/>
          <w:lang w:eastAsia="en-US"/>
        </w:rPr>
      </w:pPr>
    </w:p>
    <w:p w14:paraId="7F79FFD8" w14:textId="4B738F6B" w:rsidR="00A36C54" w:rsidRPr="00B95714" w:rsidRDefault="00B95714" w:rsidP="001725E7">
      <w:pPr>
        <w:jc w:val="both"/>
        <w:rPr>
          <w:color w:val="000000" w:themeColor="text1"/>
          <w:u w:val="single"/>
        </w:rPr>
      </w:pPr>
      <w:r w:rsidRPr="00B95714">
        <w:rPr>
          <w:color w:val="000000" w:themeColor="text1"/>
          <w:u w:val="single"/>
        </w:rPr>
        <w:t>LGA Corporate Peer Challenge Revisit</w:t>
      </w:r>
    </w:p>
    <w:p w14:paraId="7ED9EF10" w14:textId="550EB526" w:rsidR="00B95714" w:rsidRDefault="00B95714" w:rsidP="001725E7">
      <w:pPr>
        <w:jc w:val="both"/>
        <w:rPr>
          <w:color w:val="000000" w:themeColor="text1"/>
          <w:highlight w:val="yellow"/>
          <w:u w:val="single"/>
        </w:rPr>
      </w:pPr>
    </w:p>
    <w:p w14:paraId="30485483" w14:textId="693C4A86" w:rsidR="00B95714" w:rsidRDefault="008D3642" w:rsidP="00303EA1">
      <w:pPr>
        <w:rPr>
          <w:color w:val="000000" w:themeColor="text1"/>
        </w:rPr>
      </w:pPr>
      <w:r w:rsidRPr="0043185A">
        <w:rPr>
          <w:color w:val="000000" w:themeColor="text1"/>
        </w:rPr>
        <w:t xml:space="preserve">Following a full Corporate Peer Challenge (CPC) visit by </w:t>
      </w:r>
      <w:r w:rsidR="00696ED3">
        <w:rPr>
          <w:color w:val="000000" w:themeColor="text1"/>
        </w:rPr>
        <w:t xml:space="preserve">the </w:t>
      </w:r>
      <w:r w:rsidRPr="0043185A">
        <w:rPr>
          <w:color w:val="000000" w:themeColor="text1"/>
        </w:rPr>
        <w:t>LGA in June 2018,</w:t>
      </w:r>
      <w:r w:rsidR="00A91765" w:rsidRPr="0043185A">
        <w:rPr>
          <w:color w:val="000000" w:themeColor="text1"/>
        </w:rPr>
        <w:t xml:space="preserve"> a follow up visit was conducted in September 2021. Dra</w:t>
      </w:r>
      <w:r w:rsidR="00A54914" w:rsidRPr="0043185A">
        <w:rPr>
          <w:color w:val="000000" w:themeColor="text1"/>
        </w:rPr>
        <w:t>wing on their knowledge from the previous CPC, the peer review team met with Members, Officers, Partners</w:t>
      </w:r>
      <w:r w:rsidR="00065568">
        <w:rPr>
          <w:color w:val="000000" w:themeColor="text1"/>
        </w:rPr>
        <w:t>, and residents, alongside a review of a range of key documents and information to consider progress since 2018.</w:t>
      </w:r>
    </w:p>
    <w:p w14:paraId="379E02BA" w14:textId="354B321D" w:rsidR="00065568" w:rsidRDefault="00E413B5" w:rsidP="00303EA1">
      <w:pPr>
        <w:rPr>
          <w:color w:val="000000" w:themeColor="text1"/>
        </w:rPr>
      </w:pPr>
      <w:r>
        <w:rPr>
          <w:color w:val="000000" w:themeColor="text1"/>
        </w:rPr>
        <w:t xml:space="preserve">The Council saw this time as an opportune moment to ensure its </w:t>
      </w:r>
      <w:bookmarkStart w:id="0" w:name="_Hlk109744870"/>
      <w:r>
        <w:rPr>
          <w:color w:val="000000" w:themeColor="text1"/>
        </w:rPr>
        <w:t xml:space="preserve">improvement journey </w:t>
      </w:r>
      <w:r w:rsidR="007F4E44">
        <w:rPr>
          <w:color w:val="000000" w:themeColor="text1"/>
        </w:rPr>
        <w:t xml:space="preserve">remained on track and feedback from such visits would help inform future priorities, especially as the Council </w:t>
      </w:r>
      <w:r w:rsidR="00436890">
        <w:rPr>
          <w:color w:val="000000" w:themeColor="text1"/>
        </w:rPr>
        <w:t>w</w:t>
      </w:r>
      <w:r w:rsidR="007F4E44">
        <w:rPr>
          <w:color w:val="000000" w:themeColor="text1"/>
        </w:rPr>
        <w:t>as beginning to rebuild from t</w:t>
      </w:r>
      <w:bookmarkEnd w:id="0"/>
      <w:r w:rsidR="007F4E44">
        <w:rPr>
          <w:color w:val="000000" w:themeColor="text1"/>
        </w:rPr>
        <w:t>he COVID-19 pandemic.</w:t>
      </w:r>
    </w:p>
    <w:p w14:paraId="33075904" w14:textId="3BEEAEF8" w:rsidR="007F4E44" w:rsidRDefault="007F4E44" w:rsidP="00303EA1">
      <w:pPr>
        <w:rPr>
          <w:color w:val="000000" w:themeColor="text1"/>
        </w:rPr>
      </w:pPr>
    </w:p>
    <w:p w14:paraId="32E0483F" w14:textId="77777777" w:rsidR="00A929D5" w:rsidRDefault="00F24E4D" w:rsidP="00303EA1">
      <w:pPr>
        <w:rPr>
          <w:color w:val="000000" w:themeColor="text1"/>
        </w:rPr>
      </w:pPr>
      <w:r>
        <w:rPr>
          <w:color w:val="000000" w:themeColor="text1"/>
        </w:rPr>
        <w:t xml:space="preserve">The peer review team </w:t>
      </w:r>
      <w:r w:rsidR="000358DF">
        <w:rPr>
          <w:color w:val="000000" w:themeColor="text1"/>
        </w:rPr>
        <w:t xml:space="preserve">shared their final findings as part of a report shared with the Council in 2021. It </w:t>
      </w:r>
      <w:r w:rsidRPr="00F24E4D">
        <w:rPr>
          <w:color w:val="000000" w:themeColor="text1"/>
        </w:rPr>
        <w:t>acknowledge</w:t>
      </w:r>
      <w:r w:rsidR="000358DF">
        <w:rPr>
          <w:color w:val="000000" w:themeColor="text1"/>
        </w:rPr>
        <w:t>d</w:t>
      </w:r>
      <w:r w:rsidRPr="00F24E4D">
        <w:rPr>
          <w:color w:val="000000" w:themeColor="text1"/>
        </w:rPr>
        <w:t xml:space="preserve"> that the </w:t>
      </w:r>
      <w:r w:rsidR="000358DF">
        <w:rPr>
          <w:color w:val="000000" w:themeColor="text1"/>
        </w:rPr>
        <w:t>C</w:t>
      </w:r>
      <w:r w:rsidRPr="00F24E4D">
        <w:rPr>
          <w:color w:val="000000" w:themeColor="text1"/>
        </w:rPr>
        <w:t>ouncil continue</w:t>
      </w:r>
      <w:r w:rsidR="000358DF">
        <w:rPr>
          <w:color w:val="000000" w:themeColor="text1"/>
        </w:rPr>
        <w:t>d</w:t>
      </w:r>
      <w:r w:rsidRPr="00F24E4D">
        <w:rPr>
          <w:color w:val="000000" w:themeColor="text1"/>
        </w:rPr>
        <w:t xml:space="preserve"> to make good progress on its improvement journey. It highlight</w:t>
      </w:r>
      <w:r w:rsidR="000358DF">
        <w:rPr>
          <w:color w:val="000000" w:themeColor="text1"/>
        </w:rPr>
        <w:t>ed</w:t>
      </w:r>
      <w:r w:rsidRPr="00F24E4D">
        <w:rPr>
          <w:color w:val="000000" w:themeColor="text1"/>
        </w:rPr>
        <w:t xml:space="preserve"> the Mayor’s understanding of</w:t>
      </w:r>
      <w:r w:rsidR="000358DF">
        <w:rPr>
          <w:color w:val="000000" w:themeColor="text1"/>
        </w:rPr>
        <w:t xml:space="preserve"> </w:t>
      </w:r>
      <w:r w:rsidRPr="00F24E4D">
        <w:rPr>
          <w:color w:val="000000" w:themeColor="text1"/>
        </w:rPr>
        <w:t xml:space="preserve">community needs and that, alongside Cabinet Members, </w:t>
      </w:r>
      <w:r w:rsidR="00A929D5">
        <w:rPr>
          <w:color w:val="000000" w:themeColor="text1"/>
        </w:rPr>
        <w:t xml:space="preserve">there was </w:t>
      </w:r>
      <w:r w:rsidRPr="00F24E4D">
        <w:rPr>
          <w:color w:val="000000" w:themeColor="text1"/>
        </w:rPr>
        <w:t>provis</w:t>
      </w:r>
      <w:r w:rsidR="00A929D5">
        <w:rPr>
          <w:color w:val="000000" w:themeColor="text1"/>
        </w:rPr>
        <w:t>ion</w:t>
      </w:r>
      <w:r w:rsidRPr="00F24E4D">
        <w:rPr>
          <w:color w:val="000000" w:themeColor="text1"/>
        </w:rPr>
        <w:t xml:space="preserve"> </w:t>
      </w:r>
      <w:r w:rsidR="00A929D5">
        <w:rPr>
          <w:color w:val="000000" w:themeColor="text1"/>
        </w:rPr>
        <w:t xml:space="preserve">of </w:t>
      </w:r>
      <w:r w:rsidRPr="00F24E4D">
        <w:rPr>
          <w:color w:val="000000" w:themeColor="text1"/>
        </w:rPr>
        <w:t>a stable and community focused political leadership. It also acknowledge</w:t>
      </w:r>
      <w:r w:rsidR="00A929D5">
        <w:rPr>
          <w:color w:val="000000" w:themeColor="text1"/>
        </w:rPr>
        <w:t xml:space="preserve">d </w:t>
      </w:r>
      <w:r w:rsidRPr="00F24E4D">
        <w:rPr>
          <w:color w:val="000000" w:themeColor="text1"/>
        </w:rPr>
        <w:t>good member-officer relationships, as well as strong and cohesive Senior Leadership Team.</w:t>
      </w:r>
    </w:p>
    <w:p w14:paraId="1FC1FEAC" w14:textId="28ADE96A" w:rsidR="00F24E4D" w:rsidRPr="00F24E4D" w:rsidRDefault="00F24E4D" w:rsidP="00303EA1">
      <w:pPr>
        <w:rPr>
          <w:color w:val="000000" w:themeColor="text1"/>
        </w:rPr>
      </w:pPr>
      <w:r w:rsidRPr="00F24E4D">
        <w:rPr>
          <w:color w:val="000000" w:themeColor="text1"/>
        </w:rPr>
        <w:t xml:space="preserve"> </w:t>
      </w:r>
    </w:p>
    <w:p w14:paraId="7A04189B" w14:textId="77777777" w:rsidR="00A929D5" w:rsidRDefault="00F24E4D" w:rsidP="00303EA1">
      <w:pPr>
        <w:rPr>
          <w:color w:val="000000" w:themeColor="text1"/>
        </w:rPr>
      </w:pPr>
      <w:r w:rsidRPr="00F24E4D">
        <w:rPr>
          <w:color w:val="000000" w:themeColor="text1"/>
        </w:rPr>
        <w:t>The peer review team found partners are strongly committed to the ambitions of the borough. The findings recognise</w:t>
      </w:r>
      <w:r w:rsidR="00A929D5">
        <w:rPr>
          <w:color w:val="000000" w:themeColor="text1"/>
        </w:rPr>
        <w:t>d</w:t>
      </w:r>
      <w:r w:rsidRPr="00F24E4D">
        <w:rPr>
          <w:color w:val="000000" w:themeColor="text1"/>
        </w:rPr>
        <w:t xml:space="preserve"> how partnership working came to the fore during the pandemic and continues to strengthen for the benefit of residents. The </w:t>
      </w:r>
      <w:r w:rsidR="00A929D5">
        <w:rPr>
          <w:color w:val="000000" w:themeColor="text1"/>
        </w:rPr>
        <w:t>C</w:t>
      </w:r>
      <w:r w:rsidRPr="00F24E4D">
        <w:rPr>
          <w:color w:val="000000" w:themeColor="text1"/>
        </w:rPr>
        <w:t xml:space="preserve">ouncil’s response to the pandemic was praised by the peer review team along with the progress made to improve services for our communities and how </w:t>
      </w:r>
      <w:r w:rsidR="00A929D5">
        <w:rPr>
          <w:color w:val="000000" w:themeColor="text1"/>
        </w:rPr>
        <w:t xml:space="preserve">the Council </w:t>
      </w:r>
      <w:r w:rsidRPr="00F24E4D">
        <w:rPr>
          <w:color w:val="000000" w:themeColor="text1"/>
        </w:rPr>
        <w:t>continually strive to improve the lives of residents in as many ways as is possible.</w:t>
      </w:r>
    </w:p>
    <w:p w14:paraId="5821CB70" w14:textId="3500C7F7" w:rsidR="00F24E4D" w:rsidRPr="00F24E4D" w:rsidRDefault="00F24E4D" w:rsidP="00303EA1">
      <w:pPr>
        <w:rPr>
          <w:color w:val="000000" w:themeColor="text1"/>
        </w:rPr>
      </w:pPr>
      <w:r w:rsidRPr="00F24E4D">
        <w:rPr>
          <w:color w:val="000000" w:themeColor="text1"/>
        </w:rPr>
        <w:t xml:space="preserve"> </w:t>
      </w:r>
    </w:p>
    <w:p w14:paraId="62A87B65" w14:textId="5A5EF812" w:rsidR="00F24E4D" w:rsidRPr="00F24E4D" w:rsidRDefault="00F24E4D" w:rsidP="00303EA1">
      <w:pPr>
        <w:rPr>
          <w:color w:val="000000" w:themeColor="text1"/>
        </w:rPr>
      </w:pPr>
      <w:r w:rsidRPr="00F24E4D">
        <w:rPr>
          <w:color w:val="000000" w:themeColor="text1"/>
        </w:rPr>
        <w:t>The findings also acknowledge</w:t>
      </w:r>
      <w:r w:rsidR="00A929D5">
        <w:rPr>
          <w:color w:val="000000" w:themeColor="text1"/>
        </w:rPr>
        <w:t>d</w:t>
      </w:r>
      <w:r w:rsidRPr="00F24E4D">
        <w:rPr>
          <w:color w:val="000000" w:themeColor="text1"/>
        </w:rPr>
        <w:t xml:space="preserve"> several areas of priorities highlighted</w:t>
      </w:r>
      <w:r w:rsidR="00A929D5">
        <w:rPr>
          <w:color w:val="000000" w:themeColor="text1"/>
        </w:rPr>
        <w:t xml:space="preserve"> </w:t>
      </w:r>
      <w:r w:rsidRPr="00F24E4D">
        <w:rPr>
          <w:color w:val="000000" w:themeColor="text1"/>
        </w:rPr>
        <w:t>by stakeholders as important. Taking forward the recommendations of the Black, Asian and Minority Ethnic (BAME) and the Poverty Commissions was highlighted along with community safety, with a focus on dealing with gangs, knife crime, domestic violence, and the safeguarding of children. They also</w:t>
      </w:r>
      <w:r w:rsidR="00A929D5">
        <w:rPr>
          <w:color w:val="000000" w:themeColor="text1"/>
        </w:rPr>
        <w:t xml:space="preserve"> </w:t>
      </w:r>
      <w:r w:rsidRPr="00F24E4D">
        <w:rPr>
          <w:color w:val="000000" w:themeColor="text1"/>
        </w:rPr>
        <w:t xml:space="preserve">suggested job opportunities for young people and access to good quality employment at all levels, and the promotion of good employment practices to go with them. </w:t>
      </w:r>
    </w:p>
    <w:p w14:paraId="35AE5B40" w14:textId="77777777" w:rsidR="00A929D5" w:rsidRDefault="00A929D5" w:rsidP="00F24E4D">
      <w:pPr>
        <w:jc w:val="both"/>
        <w:rPr>
          <w:color w:val="000000" w:themeColor="text1"/>
        </w:rPr>
      </w:pPr>
    </w:p>
    <w:p w14:paraId="5BD008A4" w14:textId="6A54A93D" w:rsidR="00A55767" w:rsidRDefault="00F24E4D" w:rsidP="00303EA1">
      <w:pPr>
        <w:rPr>
          <w:color w:val="000000" w:themeColor="text1"/>
        </w:rPr>
      </w:pPr>
      <w:r w:rsidRPr="00F24E4D">
        <w:rPr>
          <w:color w:val="000000" w:themeColor="text1"/>
        </w:rPr>
        <w:lastRenderedPageBreak/>
        <w:t xml:space="preserve">The report </w:t>
      </w:r>
      <w:r w:rsidR="00755B09">
        <w:rPr>
          <w:color w:val="000000" w:themeColor="text1"/>
        </w:rPr>
        <w:t>stated</w:t>
      </w:r>
      <w:r w:rsidRPr="00F24E4D">
        <w:rPr>
          <w:color w:val="000000" w:themeColor="text1"/>
        </w:rPr>
        <w:t xml:space="preserve"> the need for the </w:t>
      </w:r>
      <w:r w:rsidR="00E30E5C">
        <w:rPr>
          <w:color w:val="000000" w:themeColor="text1"/>
        </w:rPr>
        <w:t>C</w:t>
      </w:r>
      <w:r w:rsidRPr="00F24E4D">
        <w:rPr>
          <w:color w:val="000000" w:themeColor="text1"/>
        </w:rPr>
        <w:t>ouncil to continue work to reduce heath inequalities such as diabetes, child obesity and mental health and that climate change and pollution needs serious attention due to the rising levels of asthma. They highlighted the benefits of local traffic calming schemes and stated for some there is a perceived lack of youth provision and accommodation. The peer team</w:t>
      </w:r>
      <w:r w:rsidR="00A55767">
        <w:rPr>
          <w:color w:val="000000" w:themeColor="text1"/>
        </w:rPr>
        <w:t xml:space="preserve"> </w:t>
      </w:r>
      <w:r w:rsidRPr="00F24E4D">
        <w:rPr>
          <w:color w:val="000000" w:themeColor="text1"/>
        </w:rPr>
        <w:t>acknowledged existing plans in place to address these issues.</w:t>
      </w:r>
    </w:p>
    <w:p w14:paraId="2AEAF27E" w14:textId="77777777" w:rsidR="00A55767" w:rsidRDefault="00A55767" w:rsidP="00303EA1">
      <w:pPr>
        <w:rPr>
          <w:color w:val="000000" w:themeColor="text1"/>
        </w:rPr>
      </w:pPr>
    </w:p>
    <w:p w14:paraId="643D87EA" w14:textId="4BCC3AB3" w:rsidR="00F24E4D" w:rsidRDefault="00F24E4D" w:rsidP="00303EA1">
      <w:pPr>
        <w:rPr>
          <w:color w:val="000000" w:themeColor="text1"/>
        </w:rPr>
      </w:pPr>
      <w:r w:rsidRPr="00F24E4D">
        <w:rPr>
          <w:color w:val="000000" w:themeColor="text1"/>
        </w:rPr>
        <w:t>The report highlight</w:t>
      </w:r>
      <w:r w:rsidR="001D2E4B">
        <w:rPr>
          <w:color w:val="000000" w:themeColor="text1"/>
        </w:rPr>
        <w:t>ed</w:t>
      </w:r>
      <w:r w:rsidRPr="00F24E4D">
        <w:rPr>
          <w:color w:val="000000" w:themeColor="text1"/>
        </w:rPr>
        <w:t xml:space="preserve"> </w:t>
      </w:r>
      <w:r w:rsidR="001D2E4B">
        <w:rPr>
          <w:color w:val="000000" w:themeColor="text1"/>
        </w:rPr>
        <w:t>s</w:t>
      </w:r>
      <w:r w:rsidRPr="00F24E4D">
        <w:rPr>
          <w:color w:val="000000" w:themeColor="text1"/>
        </w:rPr>
        <w:t xml:space="preserve">ix key recommendations to shape the future priorities of the </w:t>
      </w:r>
      <w:r w:rsidR="001D2E4B">
        <w:rPr>
          <w:color w:val="000000" w:themeColor="text1"/>
        </w:rPr>
        <w:t>C</w:t>
      </w:r>
      <w:r w:rsidRPr="00F24E4D">
        <w:rPr>
          <w:color w:val="000000" w:themeColor="text1"/>
        </w:rPr>
        <w:t>ouncil.</w:t>
      </w:r>
      <w:r w:rsidR="00883885">
        <w:rPr>
          <w:color w:val="000000" w:themeColor="text1"/>
        </w:rPr>
        <w:t xml:space="preserve"> These included areas such as</w:t>
      </w:r>
      <w:r w:rsidR="005213DA">
        <w:rPr>
          <w:color w:val="000000" w:themeColor="text1"/>
        </w:rPr>
        <w:t>:</w:t>
      </w:r>
      <w:r w:rsidR="00883885">
        <w:rPr>
          <w:color w:val="000000" w:themeColor="text1"/>
        </w:rPr>
        <w:t xml:space="preserve"> ensuring a clear understanding of the Mayor’s priorities for </w:t>
      </w:r>
      <w:r w:rsidR="00374566">
        <w:rPr>
          <w:color w:val="000000" w:themeColor="text1"/>
        </w:rPr>
        <w:t>all and</w:t>
      </w:r>
      <w:r w:rsidR="00883885">
        <w:rPr>
          <w:color w:val="000000" w:themeColor="text1"/>
        </w:rPr>
        <w:t xml:space="preserve"> focus on delivering within clear timescales</w:t>
      </w:r>
      <w:r w:rsidR="005213DA">
        <w:rPr>
          <w:color w:val="000000" w:themeColor="text1"/>
        </w:rPr>
        <w:t>;</w:t>
      </w:r>
      <w:r w:rsidR="00883885">
        <w:rPr>
          <w:color w:val="000000" w:themeColor="text1"/>
        </w:rPr>
        <w:t xml:space="preserve"> </w:t>
      </w:r>
      <w:r w:rsidR="003728B6">
        <w:rPr>
          <w:color w:val="000000" w:themeColor="text1"/>
        </w:rPr>
        <w:t>to continue work to close previous years’ accounts</w:t>
      </w:r>
      <w:r w:rsidR="005213DA">
        <w:rPr>
          <w:color w:val="000000" w:themeColor="text1"/>
        </w:rPr>
        <w:t>;</w:t>
      </w:r>
      <w:r w:rsidR="003728B6">
        <w:rPr>
          <w:color w:val="000000" w:themeColor="text1"/>
        </w:rPr>
        <w:t xml:space="preserve"> </w:t>
      </w:r>
      <w:r w:rsidR="005213DA">
        <w:rPr>
          <w:color w:val="000000" w:themeColor="text1"/>
        </w:rPr>
        <w:t xml:space="preserve">to </w:t>
      </w:r>
      <w:r w:rsidR="003728B6">
        <w:rPr>
          <w:color w:val="000000" w:themeColor="text1"/>
        </w:rPr>
        <w:t>continue</w:t>
      </w:r>
      <w:r w:rsidR="00C0753A">
        <w:rPr>
          <w:color w:val="000000" w:themeColor="text1"/>
        </w:rPr>
        <w:t xml:space="preserve"> to</w:t>
      </w:r>
      <w:r w:rsidR="003728B6">
        <w:rPr>
          <w:color w:val="000000" w:themeColor="text1"/>
        </w:rPr>
        <w:t xml:space="preserve"> improve and embed Council governance arrangements, including decision-making and scrutiny, the TOWER values and ongoing compliance with the Constitution</w:t>
      </w:r>
      <w:r w:rsidR="00C0753A">
        <w:rPr>
          <w:color w:val="000000" w:themeColor="text1"/>
        </w:rPr>
        <w:t>;</w:t>
      </w:r>
      <w:r w:rsidR="003728B6">
        <w:rPr>
          <w:color w:val="000000" w:themeColor="text1"/>
        </w:rPr>
        <w:t xml:space="preserve"> </w:t>
      </w:r>
      <w:r w:rsidR="005213DA">
        <w:rPr>
          <w:color w:val="000000" w:themeColor="text1"/>
        </w:rPr>
        <w:t xml:space="preserve">and the continued </w:t>
      </w:r>
      <w:r w:rsidR="00C0753A">
        <w:rPr>
          <w:color w:val="000000" w:themeColor="text1"/>
        </w:rPr>
        <w:t xml:space="preserve">efforts to </w:t>
      </w:r>
      <w:r w:rsidR="005213DA">
        <w:rPr>
          <w:color w:val="000000" w:themeColor="text1"/>
        </w:rPr>
        <w:t>return to normal working</w:t>
      </w:r>
      <w:r w:rsidR="00C0753A">
        <w:rPr>
          <w:color w:val="000000" w:themeColor="text1"/>
        </w:rPr>
        <w:t xml:space="preserve"> practices</w:t>
      </w:r>
      <w:r w:rsidR="005213DA">
        <w:rPr>
          <w:color w:val="000000" w:themeColor="text1"/>
        </w:rPr>
        <w:t xml:space="preserve"> following the COVID—19 pandemic.</w:t>
      </w:r>
    </w:p>
    <w:p w14:paraId="56357DDF" w14:textId="77777777" w:rsidR="00883885" w:rsidRDefault="00883885" w:rsidP="00303EA1">
      <w:pPr>
        <w:rPr>
          <w:color w:val="000000" w:themeColor="text1"/>
        </w:rPr>
      </w:pPr>
    </w:p>
    <w:p w14:paraId="574B5C20" w14:textId="06576913" w:rsidR="007D078B" w:rsidRPr="0043185A" w:rsidRDefault="007D078B" w:rsidP="00303EA1">
      <w:pPr>
        <w:rPr>
          <w:color w:val="000000" w:themeColor="text1"/>
        </w:rPr>
      </w:pPr>
      <w:r w:rsidRPr="007D078B">
        <w:rPr>
          <w:color w:val="000000" w:themeColor="text1"/>
        </w:rPr>
        <w:t xml:space="preserve">The LGA Peer Revisit report can be found on the </w:t>
      </w:r>
      <w:r w:rsidR="00C0753A">
        <w:rPr>
          <w:color w:val="000000" w:themeColor="text1"/>
        </w:rPr>
        <w:t>C</w:t>
      </w:r>
      <w:r w:rsidRPr="007D078B">
        <w:rPr>
          <w:color w:val="000000" w:themeColor="text1"/>
        </w:rPr>
        <w:t xml:space="preserve">ouncil’s </w:t>
      </w:r>
      <w:r w:rsidR="00337001" w:rsidRPr="007D078B">
        <w:rPr>
          <w:color w:val="000000" w:themeColor="text1"/>
        </w:rPr>
        <w:t xml:space="preserve">website. </w:t>
      </w:r>
      <w:r w:rsidR="00337001">
        <w:rPr>
          <w:color w:val="000000" w:themeColor="text1"/>
        </w:rPr>
        <w:t>And t</w:t>
      </w:r>
      <w:r w:rsidR="00337001" w:rsidRPr="007D078B">
        <w:rPr>
          <w:color w:val="000000" w:themeColor="text1"/>
        </w:rPr>
        <w:t>he</w:t>
      </w:r>
      <w:r w:rsidRPr="007D078B">
        <w:rPr>
          <w:color w:val="000000" w:themeColor="text1"/>
        </w:rPr>
        <w:t xml:space="preserve"> actions </w:t>
      </w:r>
      <w:r w:rsidR="00337001">
        <w:rPr>
          <w:color w:val="000000" w:themeColor="text1"/>
        </w:rPr>
        <w:t xml:space="preserve">which were </w:t>
      </w:r>
      <w:r w:rsidRPr="007D078B">
        <w:rPr>
          <w:color w:val="000000" w:themeColor="text1"/>
        </w:rPr>
        <w:t>outlined</w:t>
      </w:r>
      <w:r w:rsidR="00337001">
        <w:rPr>
          <w:color w:val="000000" w:themeColor="text1"/>
        </w:rPr>
        <w:t xml:space="preserve"> to Cabinet at its meeting in February 2022 </w:t>
      </w:r>
      <w:r w:rsidRPr="007D078B">
        <w:rPr>
          <w:color w:val="000000" w:themeColor="text1"/>
        </w:rPr>
        <w:t xml:space="preserve">will continue to be delivered as planned. Delivery against these actions will be monitored through existing boards such as the Performance Improvement Board. If Cabinet identify the need to undertake further work to implement the peer team’s recommendations, then this will be taken forward. </w:t>
      </w:r>
      <w:r w:rsidR="00B31A4C">
        <w:rPr>
          <w:color w:val="000000" w:themeColor="text1"/>
        </w:rPr>
        <w:t xml:space="preserve">The Council will then look to undertake a full </w:t>
      </w:r>
      <w:r w:rsidRPr="007D078B">
        <w:rPr>
          <w:color w:val="000000" w:themeColor="text1"/>
        </w:rPr>
        <w:t xml:space="preserve">LGA Corporate Peer Challenge </w:t>
      </w:r>
      <w:r w:rsidR="00B31A4C">
        <w:rPr>
          <w:color w:val="000000" w:themeColor="text1"/>
        </w:rPr>
        <w:t xml:space="preserve">later </w:t>
      </w:r>
      <w:r w:rsidRPr="007D078B">
        <w:rPr>
          <w:color w:val="000000" w:themeColor="text1"/>
        </w:rPr>
        <w:t>in</w:t>
      </w:r>
      <w:r w:rsidR="00B31A4C">
        <w:rPr>
          <w:color w:val="000000" w:themeColor="text1"/>
        </w:rPr>
        <w:t xml:space="preserve"> </w:t>
      </w:r>
      <w:r w:rsidRPr="007D078B">
        <w:rPr>
          <w:color w:val="000000" w:themeColor="text1"/>
        </w:rPr>
        <w:t xml:space="preserve">2022 and consideration needs to be given as to how this process can be of most help to the </w:t>
      </w:r>
      <w:r w:rsidR="00B31A4C">
        <w:rPr>
          <w:color w:val="000000" w:themeColor="text1"/>
        </w:rPr>
        <w:t>C</w:t>
      </w:r>
      <w:r w:rsidRPr="007D078B">
        <w:rPr>
          <w:color w:val="000000" w:themeColor="text1"/>
        </w:rPr>
        <w:t>ouncil’s improvement journey.</w:t>
      </w:r>
    </w:p>
    <w:p w14:paraId="1CCD95D3" w14:textId="77777777" w:rsidR="00A36C54" w:rsidRDefault="00A36C54" w:rsidP="00303EA1">
      <w:pPr>
        <w:rPr>
          <w:color w:val="000000" w:themeColor="text1"/>
          <w:highlight w:val="yellow"/>
          <w:u w:val="single"/>
        </w:rPr>
      </w:pPr>
    </w:p>
    <w:p w14:paraId="3402AE2A" w14:textId="111C1D0B" w:rsidR="00F65E3F" w:rsidRDefault="00EB378D" w:rsidP="00303EA1">
      <w:pPr>
        <w:rPr>
          <w:u w:val="single"/>
        </w:rPr>
      </w:pPr>
      <w:r>
        <w:rPr>
          <w:u w:val="single"/>
        </w:rPr>
        <w:t xml:space="preserve">SEND </w:t>
      </w:r>
      <w:r w:rsidR="00F65E3F" w:rsidRPr="00F65E3F">
        <w:rPr>
          <w:u w:val="single"/>
        </w:rPr>
        <w:t xml:space="preserve">Local Area inspection 2021 </w:t>
      </w:r>
    </w:p>
    <w:p w14:paraId="3D071D89" w14:textId="5504EE21" w:rsidR="00F65E3F" w:rsidRDefault="00F65E3F" w:rsidP="00303EA1">
      <w:pPr>
        <w:rPr>
          <w:u w:val="single"/>
        </w:rPr>
      </w:pPr>
    </w:p>
    <w:p w14:paraId="59148AAD" w14:textId="1D8ED77A" w:rsidR="00EB378D" w:rsidRPr="00EB378D" w:rsidRDefault="00EB378D" w:rsidP="00303EA1">
      <w:pPr>
        <w:rPr>
          <w:color w:val="000000" w:themeColor="text1"/>
        </w:rPr>
      </w:pPr>
      <w:r w:rsidRPr="00EB378D">
        <w:rPr>
          <w:color w:val="000000" w:themeColor="text1"/>
        </w:rPr>
        <w:t xml:space="preserve">During late June and July 2021, Ofsted and the Care Quality Commission (CGC) conducted a joint inspection of the local area of Tower Hamlets to judge the effectiveness of the area in implementing the special education needs and / or disabilities (SEND) reforms as set out in the Children and Families Act 2014.  </w:t>
      </w:r>
    </w:p>
    <w:p w14:paraId="0418F009" w14:textId="77777777" w:rsidR="00EB378D" w:rsidRPr="00EB378D" w:rsidRDefault="00EB378D" w:rsidP="00EB378D">
      <w:pPr>
        <w:jc w:val="both"/>
        <w:rPr>
          <w:color w:val="000000" w:themeColor="text1"/>
        </w:rPr>
      </w:pPr>
    </w:p>
    <w:p w14:paraId="4BBD2CEF" w14:textId="3BB3BA3E" w:rsidR="00EB378D" w:rsidRPr="00EB378D" w:rsidRDefault="00EB378D" w:rsidP="00265E1C">
      <w:pPr>
        <w:rPr>
          <w:color w:val="000000" w:themeColor="text1"/>
        </w:rPr>
      </w:pPr>
      <w:r w:rsidRPr="00EB378D">
        <w:rPr>
          <w:color w:val="000000" w:themeColor="text1"/>
        </w:rPr>
        <w:t>Inspectors spoke with children and young people with SEND, parents and carers, and local authority and National Health Service (NHS) officers. They visited a range of providers and spoke to leaders, staff, and governors about how they are implementing the SEND reforms. Inspectors looked at a range of information about the performance of the area, including the area’s self-evaluation. Inspectors met with leaders for health, social care, and education. They reviewed performance data and evidence about the local offer and joint commissioning.</w:t>
      </w:r>
    </w:p>
    <w:p w14:paraId="3371B859" w14:textId="77777777" w:rsidR="00EB378D" w:rsidRPr="00EB378D" w:rsidRDefault="00EB378D" w:rsidP="00EB378D">
      <w:pPr>
        <w:jc w:val="both"/>
        <w:rPr>
          <w:color w:val="000000" w:themeColor="text1"/>
        </w:rPr>
      </w:pPr>
    </w:p>
    <w:p w14:paraId="2CB9FAE9" w14:textId="3985904E" w:rsidR="00EB378D" w:rsidRPr="00EB378D" w:rsidRDefault="00EB378D" w:rsidP="00303EA1">
      <w:pPr>
        <w:rPr>
          <w:color w:val="000000" w:themeColor="text1"/>
        </w:rPr>
      </w:pPr>
      <w:r w:rsidRPr="00EB378D">
        <w:rPr>
          <w:color w:val="000000" w:themeColor="text1"/>
        </w:rPr>
        <w:lastRenderedPageBreak/>
        <w:t>As a result of the findings of this inspection and in accordance with the Children Act 2004 (Joint Area Reviews) Regulations 2015, the inspection determined that a Written Statement of Action is required because of significant areas of weakness in the area’s practice. HMCI has also determined that the local authority and the area’s clinical commissioning group are jointly responsible for submitting the written statement to Ofsted.</w:t>
      </w:r>
    </w:p>
    <w:p w14:paraId="75DB888B" w14:textId="77777777" w:rsidR="00EB378D" w:rsidRPr="00EB378D" w:rsidRDefault="00EB378D" w:rsidP="00303EA1">
      <w:pPr>
        <w:rPr>
          <w:u w:val="single"/>
        </w:rPr>
      </w:pPr>
    </w:p>
    <w:p w14:paraId="02123CC7" w14:textId="717DDD5F" w:rsidR="00EB378D" w:rsidRPr="00EB378D" w:rsidRDefault="00EB378D" w:rsidP="00303EA1">
      <w:pPr>
        <w:rPr>
          <w:color w:val="000000" w:themeColor="text1"/>
        </w:rPr>
      </w:pPr>
      <w:r w:rsidRPr="00EB378D">
        <w:rPr>
          <w:color w:val="000000" w:themeColor="text1"/>
        </w:rPr>
        <w:t>Within the findings outlined in the letter issued by DfE following the completion of the inspection, a number of strengths were identified, alongside areas for further improvement, it was fair to say that the DfE considered the self-evaluation completed by the Council and its partners to be an honest assessment of the areas that required improvement.</w:t>
      </w:r>
    </w:p>
    <w:p w14:paraId="6C7F8375" w14:textId="77777777" w:rsidR="00EB378D" w:rsidRDefault="00EB378D" w:rsidP="00303EA1">
      <w:pPr>
        <w:rPr>
          <w:color w:val="000000" w:themeColor="text1"/>
        </w:rPr>
      </w:pPr>
    </w:p>
    <w:p w14:paraId="23C9C650" w14:textId="58C72FBE" w:rsidR="00EB378D" w:rsidRPr="00EB378D" w:rsidRDefault="00EB378D" w:rsidP="00303EA1">
      <w:pPr>
        <w:rPr>
          <w:color w:val="000000" w:themeColor="text1"/>
        </w:rPr>
      </w:pPr>
      <w:r w:rsidRPr="00EB378D">
        <w:rPr>
          <w:color w:val="000000" w:themeColor="text1"/>
        </w:rPr>
        <w:t xml:space="preserve">There were four key areas of weakness highlighted - quality of education, health and care plans, waiting times for speech and language therapy provision, waiting times for ASD assessment and comprehensive engagement and communication with parents and carers were going to be the areas where the partners would be focussing their efforts. </w:t>
      </w:r>
    </w:p>
    <w:p w14:paraId="0EC9AA4E" w14:textId="77777777" w:rsidR="00EB378D" w:rsidRPr="00EB378D" w:rsidRDefault="00EB378D" w:rsidP="00303EA1">
      <w:pPr>
        <w:rPr>
          <w:color w:val="000000" w:themeColor="text1"/>
        </w:rPr>
      </w:pPr>
    </w:p>
    <w:p w14:paraId="69973180" w14:textId="5EAD84BD" w:rsidR="00EB378D" w:rsidRPr="00EB378D" w:rsidRDefault="00EB378D" w:rsidP="00303EA1">
      <w:pPr>
        <w:rPr>
          <w:color w:val="000000" w:themeColor="text1"/>
        </w:rPr>
      </w:pPr>
      <w:r w:rsidRPr="00EB378D">
        <w:rPr>
          <w:color w:val="000000" w:themeColor="text1"/>
        </w:rPr>
        <w:t>The Council, working with its health colleagues, developed a joint Written Statement of Action, which was submitted to DfE and NHS England prior to the 24 December 2021 deadline. This accepts the findings and outlines the improvement plan to address such weaknesses, with progress already underway. The Written Statement of Action was accepted as “fit-for-purpose” in setting out how the Local Area will tackle the weaknesses identified in the published inspection letter.</w:t>
      </w:r>
    </w:p>
    <w:p w14:paraId="6852DA0F" w14:textId="77777777" w:rsidR="00EB378D" w:rsidRPr="00EB378D" w:rsidRDefault="00EB378D" w:rsidP="00303EA1">
      <w:pPr>
        <w:rPr>
          <w:color w:val="000000" w:themeColor="text1"/>
        </w:rPr>
      </w:pPr>
    </w:p>
    <w:p w14:paraId="20266A2E" w14:textId="190FB0A7" w:rsidR="00F65E3F" w:rsidRPr="00EB378D" w:rsidRDefault="00EB378D" w:rsidP="00303EA1">
      <w:pPr>
        <w:rPr>
          <w:color w:val="000000" w:themeColor="text1"/>
        </w:rPr>
      </w:pPr>
      <w:r w:rsidRPr="00EB378D">
        <w:rPr>
          <w:color w:val="000000" w:themeColor="text1"/>
        </w:rPr>
        <w:t>A SEND Improvement Board was already operational within the Council prior to the inspection and its results, therefore, progress against this plan has been, and will continue to be regularly reviewed by the Board. Further reporting will be escalated up to the Children and Education Scrutiny Sub-Committee as required.</w:t>
      </w:r>
    </w:p>
    <w:p w14:paraId="70CD6F94" w14:textId="77777777" w:rsidR="00905D48" w:rsidRPr="00160BA6" w:rsidRDefault="00905D48" w:rsidP="001725E7">
      <w:pPr>
        <w:jc w:val="both"/>
        <w:rPr>
          <w:b/>
          <w:color w:val="000000" w:themeColor="text1"/>
        </w:rPr>
      </w:pPr>
    </w:p>
    <w:p w14:paraId="143E7DC0" w14:textId="77777777" w:rsidR="00A93FA6" w:rsidRPr="00160BA6" w:rsidRDefault="002619AA">
      <w:pPr>
        <w:rPr>
          <w:b/>
          <w:color w:val="000000" w:themeColor="text1"/>
        </w:rPr>
      </w:pPr>
      <w:r w:rsidRPr="00160BA6">
        <w:rPr>
          <w:b/>
          <w:color w:val="000000" w:themeColor="text1"/>
        </w:rPr>
        <w:br w:type="page"/>
      </w:r>
    </w:p>
    <w:p w14:paraId="3C6AE154" w14:textId="69035738" w:rsidR="00156CC5" w:rsidRPr="00160BA6" w:rsidRDefault="002619AA" w:rsidP="001725E7">
      <w:pPr>
        <w:jc w:val="both"/>
        <w:rPr>
          <w:b/>
          <w:color w:val="000000" w:themeColor="text1"/>
        </w:rPr>
      </w:pPr>
      <w:r w:rsidRPr="00160BA6">
        <w:rPr>
          <w:b/>
          <w:color w:val="000000" w:themeColor="text1"/>
        </w:rPr>
        <w:lastRenderedPageBreak/>
        <w:t xml:space="preserve">Companies, Arms-Length Management Organisations and </w:t>
      </w:r>
      <w:r w:rsidR="002A2AAE">
        <w:rPr>
          <w:b/>
          <w:color w:val="000000" w:themeColor="text1"/>
        </w:rPr>
        <w:t>Charities</w:t>
      </w:r>
    </w:p>
    <w:p w14:paraId="6B531E4B" w14:textId="77777777" w:rsidR="00156CC5" w:rsidRPr="00160BA6" w:rsidRDefault="00156CC5" w:rsidP="001725E7">
      <w:pPr>
        <w:jc w:val="both"/>
        <w:rPr>
          <w:b/>
          <w:color w:val="000000" w:themeColor="text1"/>
        </w:rPr>
      </w:pPr>
    </w:p>
    <w:p w14:paraId="6EBE07B9" w14:textId="22DD2E6A" w:rsidR="00F34BF8" w:rsidRDefault="002619AA" w:rsidP="00D33694">
      <w:pPr>
        <w:rPr>
          <w:color w:val="000000" w:themeColor="text1"/>
        </w:rPr>
      </w:pPr>
      <w:r w:rsidRPr="00160BA6">
        <w:rPr>
          <w:color w:val="000000" w:themeColor="text1"/>
        </w:rPr>
        <w:t>The Council is involved in a number of companies</w:t>
      </w:r>
      <w:r w:rsidR="00EC1570" w:rsidRPr="00160BA6">
        <w:rPr>
          <w:color w:val="000000" w:themeColor="text1"/>
        </w:rPr>
        <w:t xml:space="preserve"> as well as an Arms-Length Management Organisations</w:t>
      </w:r>
      <w:r w:rsidRPr="00160BA6">
        <w:rPr>
          <w:color w:val="000000" w:themeColor="text1"/>
        </w:rPr>
        <w:t xml:space="preserve"> and </w:t>
      </w:r>
      <w:r w:rsidR="00D50F85">
        <w:rPr>
          <w:color w:val="000000" w:themeColor="text1"/>
        </w:rPr>
        <w:t xml:space="preserve">Charities, the significant ones of which </w:t>
      </w:r>
      <w:r w:rsidRPr="00160BA6">
        <w:rPr>
          <w:color w:val="000000" w:themeColor="text1"/>
        </w:rPr>
        <w:t xml:space="preserve">are detailed below.  </w:t>
      </w:r>
    </w:p>
    <w:p w14:paraId="1268E29B" w14:textId="77777777" w:rsidR="00D50F85" w:rsidRPr="00160BA6" w:rsidRDefault="00D50F85" w:rsidP="001725E7">
      <w:pPr>
        <w:jc w:val="both"/>
        <w:rPr>
          <w:color w:val="000000" w:themeColor="text1"/>
        </w:rPr>
      </w:pPr>
    </w:p>
    <w:p w14:paraId="79551D90" w14:textId="77777777" w:rsidR="00EF01F9" w:rsidRPr="00160BA6" w:rsidRDefault="002619AA" w:rsidP="00EF01F9">
      <w:pPr>
        <w:jc w:val="both"/>
        <w:rPr>
          <w:color w:val="000000" w:themeColor="text1"/>
          <w:u w:val="single"/>
        </w:rPr>
      </w:pPr>
      <w:r w:rsidRPr="00160BA6">
        <w:rPr>
          <w:color w:val="000000" w:themeColor="text1"/>
          <w:u w:val="single"/>
        </w:rPr>
        <w:t>Tower Hamlets Homes</w:t>
      </w:r>
    </w:p>
    <w:p w14:paraId="515C2395" w14:textId="77777777" w:rsidR="00EF01F9" w:rsidRPr="00160BA6" w:rsidRDefault="00EF01F9" w:rsidP="00EF01F9">
      <w:pPr>
        <w:jc w:val="both"/>
        <w:rPr>
          <w:color w:val="000000" w:themeColor="text1"/>
        </w:rPr>
      </w:pPr>
    </w:p>
    <w:p w14:paraId="56CDF826" w14:textId="64A6E0F2" w:rsidR="00EF01F9" w:rsidRPr="00160BA6" w:rsidRDefault="002619AA" w:rsidP="00303EA1">
      <w:pPr>
        <w:rPr>
          <w:color w:val="000000" w:themeColor="text1"/>
        </w:rPr>
      </w:pPr>
      <w:r w:rsidRPr="00160BA6">
        <w:rPr>
          <w:color w:val="000000" w:themeColor="text1"/>
        </w:rPr>
        <w:t xml:space="preserve">The Council has in place a well-established Arm’s Length Management Organisation - Tower Hamlets Homes, a wholly owned subsidiary limited by guarantee to manage the Council’s housing stock.  Tower Hamlets Homes has a formal governance structure and manages its internal affairs and delegated budgets through the Company Board.  Performance is monitored through a formal review process with senior </w:t>
      </w:r>
      <w:r w:rsidR="00652184">
        <w:rPr>
          <w:color w:val="000000" w:themeColor="text1"/>
        </w:rPr>
        <w:t>C</w:t>
      </w:r>
      <w:r w:rsidRPr="00160BA6">
        <w:rPr>
          <w:color w:val="000000" w:themeColor="text1"/>
        </w:rPr>
        <w:t>ouncil officers and elected members.  The company operates its own risk management strategy and is subject to internal and external audit and inspection activities in compliance with the Companies Act.</w:t>
      </w:r>
    </w:p>
    <w:p w14:paraId="36B5AEA9" w14:textId="77777777" w:rsidR="00EF01F9" w:rsidRPr="00160BA6" w:rsidRDefault="00EF01F9" w:rsidP="00303EA1">
      <w:pPr>
        <w:rPr>
          <w:color w:val="000000" w:themeColor="text1"/>
        </w:rPr>
      </w:pPr>
    </w:p>
    <w:p w14:paraId="72FA4F99" w14:textId="7D21CFC3" w:rsidR="00EF01F9" w:rsidRPr="00160BA6" w:rsidRDefault="002619AA" w:rsidP="00303EA1">
      <w:pPr>
        <w:rPr>
          <w:color w:val="000000" w:themeColor="text1"/>
        </w:rPr>
      </w:pPr>
      <w:r w:rsidRPr="00160BA6">
        <w:rPr>
          <w:color w:val="000000" w:themeColor="text1"/>
        </w:rPr>
        <w:t>The Counci</w:t>
      </w:r>
      <w:r w:rsidR="00F34BF8" w:rsidRPr="00160BA6">
        <w:rPr>
          <w:color w:val="000000" w:themeColor="text1"/>
        </w:rPr>
        <w:t>l’s Internal Audit team provides</w:t>
      </w:r>
      <w:r w:rsidRPr="00160BA6">
        <w:rPr>
          <w:color w:val="000000" w:themeColor="text1"/>
        </w:rPr>
        <w:t xml:space="preserve"> internal audit services to THH. In keeping with the Public Sector Internal Audit </w:t>
      </w:r>
      <w:r w:rsidR="00FA1243" w:rsidRPr="00160BA6">
        <w:rPr>
          <w:color w:val="000000" w:themeColor="text1"/>
        </w:rPr>
        <w:t>Standards,</w:t>
      </w:r>
      <w:r w:rsidRPr="00160BA6">
        <w:rPr>
          <w:color w:val="000000" w:themeColor="text1"/>
        </w:rPr>
        <w:t xml:space="preserve"> the Head of Internal Audit issued an annual opinion</w:t>
      </w:r>
      <w:r w:rsidR="00F34BF8" w:rsidRPr="00160BA6">
        <w:rPr>
          <w:color w:val="000000" w:themeColor="text1"/>
        </w:rPr>
        <w:t xml:space="preserve"> for </w:t>
      </w:r>
      <w:r w:rsidR="00F34BF8" w:rsidRPr="00447D01">
        <w:rPr>
          <w:color w:val="000000" w:themeColor="text1"/>
        </w:rPr>
        <w:t>20</w:t>
      </w:r>
      <w:r w:rsidR="00536082" w:rsidRPr="00447D01">
        <w:rPr>
          <w:color w:val="000000" w:themeColor="text1"/>
        </w:rPr>
        <w:t>2</w:t>
      </w:r>
      <w:r w:rsidR="00166124" w:rsidRPr="00447D01">
        <w:rPr>
          <w:color w:val="000000" w:themeColor="text1"/>
        </w:rPr>
        <w:t>1</w:t>
      </w:r>
      <w:r w:rsidR="00447D01" w:rsidRPr="00447D01">
        <w:rPr>
          <w:color w:val="000000" w:themeColor="text1"/>
        </w:rPr>
        <w:t>/</w:t>
      </w:r>
      <w:r w:rsidR="00F34BF8" w:rsidRPr="00447D01">
        <w:rPr>
          <w:color w:val="000000" w:themeColor="text1"/>
        </w:rPr>
        <w:t>2</w:t>
      </w:r>
      <w:r w:rsidR="00166124" w:rsidRPr="00447D01">
        <w:rPr>
          <w:color w:val="000000" w:themeColor="text1"/>
        </w:rPr>
        <w:t>2</w:t>
      </w:r>
      <w:r w:rsidRPr="00160BA6">
        <w:rPr>
          <w:color w:val="000000" w:themeColor="text1"/>
        </w:rPr>
        <w:t xml:space="preserve"> about the governance, risk management and internal control arrangements.  The opinion was as follows:</w:t>
      </w:r>
    </w:p>
    <w:p w14:paraId="07CCA85B" w14:textId="77777777" w:rsidR="0038357B" w:rsidRPr="00160BA6" w:rsidRDefault="0038357B" w:rsidP="00EF01F9">
      <w:pPr>
        <w:spacing w:after="80"/>
        <w:ind w:left="720"/>
        <w:contextualSpacing/>
        <w:rPr>
          <w:rFonts w:cs="Arial"/>
          <w:i/>
          <w:color w:val="000000" w:themeColor="text1"/>
        </w:rPr>
      </w:pPr>
    </w:p>
    <w:p w14:paraId="6F9B3B3E" w14:textId="4B69FF48" w:rsidR="00721C60" w:rsidRPr="00CD39F3" w:rsidRDefault="00721C60" w:rsidP="00303EA1">
      <w:pPr>
        <w:spacing w:after="80"/>
        <w:ind w:left="426" w:right="1058"/>
        <w:contextualSpacing/>
        <w:rPr>
          <w:rFonts w:cs="Arial"/>
          <w:i/>
          <w:iCs/>
          <w:highlight w:val="yellow"/>
        </w:rPr>
      </w:pPr>
      <w:r w:rsidRPr="00721C60">
        <w:rPr>
          <w:rFonts w:cs="Arial"/>
          <w:i/>
          <w:iCs/>
        </w:rPr>
        <w:t>Primarily on the basis of the</w:t>
      </w:r>
      <w:r>
        <w:rPr>
          <w:rFonts w:cs="Arial"/>
          <w:i/>
          <w:iCs/>
        </w:rPr>
        <w:t xml:space="preserve"> internal</w:t>
      </w:r>
      <w:r w:rsidRPr="00721C60">
        <w:rPr>
          <w:rFonts w:cs="Arial"/>
          <w:i/>
          <w:iCs/>
        </w:rPr>
        <w:t xml:space="preserve"> audit and anti-fraud activity undertaken during the year, but also taking into account external assurances and other relevant matters, it is my opinion that I can provide </w:t>
      </w:r>
      <w:r w:rsidRPr="00721C60">
        <w:rPr>
          <w:rFonts w:cs="Arial"/>
          <w:b/>
          <w:bCs/>
          <w:i/>
          <w:iCs/>
        </w:rPr>
        <w:t>Reasonable</w:t>
      </w:r>
      <w:r w:rsidRPr="00721C60">
        <w:rPr>
          <w:rFonts w:cs="Arial"/>
          <w:i/>
          <w:iCs/>
        </w:rPr>
        <w:t xml:space="preserve"> assurance that Tower Hamlets Homes has adequate systems of governance, risk management and internal control.  This is based on one of the eight core audits receiving Substantial assurance and seven audits receiving Reasonable assurance. Two audits were advisory audits and as such had no audit opinions attached to them.</w:t>
      </w:r>
    </w:p>
    <w:p w14:paraId="6CF1F6A5" w14:textId="77777777" w:rsidR="00DA0830" w:rsidRPr="00CD39F3" w:rsidRDefault="00DA0830" w:rsidP="00DA0830">
      <w:pPr>
        <w:spacing w:after="80"/>
        <w:ind w:left="720" w:right="1058"/>
        <w:contextualSpacing/>
        <w:rPr>
          <w:rFonts w:cs="Arial"/>
          <w:i/>
          <w:iCs/>
          <w:color w:val="000000" w:themeColor="text1"/>
          <w:highlight w:val="yellow"/>
        </w:rPr>
      </w:pPr>
    </w:p>
    <w:p w14:paraId="19900C02" w14:textId="2921FCAD" w:rsidR="00DA0830" w:rsidRPr="00160BA6" w:rsidRDefault="00CA23E2" w:rsidP="0086414D">
      <w:pPr>
        <w:ind w:firstLine="426"/>
        <w:rPr>
          <w:i/>
          <w:iCs/>
          <w:color w:val="000000" w:themeColor="text1"/>
        </w:rPr>
      </w:pPr>
      <w:r w:rsidRPr="00CA23E2">
        <w:rPr>
          <w:i/>
          <w:iCs/>
          <w:color w:val="000000" w:themeColor="text1"/>
        </w:rPr>
        <w:t xml:space="preserve">Interim </w:t>
      </w:r>
      <w:r w:rsidR="002619AA" w:rsidRPr="00CA23E2">
        <w:rPr>
          <w:i/>
          <w:iCs/>
          <w:color w:val="000000" w:themeColor="text1"/>
        </w:rPr>
        <w:t xml:space="preserve">Head of Internal Audit, </w:t>
      </w:r>
      <w:r w:rsidRPr="00CA23E2">
        <w:rPr>
          <w:i/>
          <w:iCs/>
          <w:color w:val="000000" w:themeColor="text1"/>
        </w:rPr>
        <w:t>Anti-</w:t>
      </w:r>
      <w:r w:rsidR="002619AA" w:rsidRPr="00CA23E2">
        <w:rPr>
          <w:i/>
          <w:iCs/>
          <w:color w:val="000000" w:themeColor="text1"/>
        </w:rPr>
        <w:t>Fraud and Risk.</w:t>
      </w:r>
      <w:r w:rsidR="002619AA" w:rsidRPr="00160BA6">
        <w:rPr>
          <w:i/>
          <w:iCs/>
          <w:color w:val="000000" w:themeColor="text1"/>
        </w:rPr>
        <w:t xml:space="preserve"> </w:t>
      </w:r>
    </w:p>
    <w:p w14:paraId="46296A24" w14:textId="77777777" w:rsidR="00DA0830" w:rsidRPr="00160BA6" w:rsidRDefault="00DA0830" w:rsidP="00DA0830">
      <w:pPr>
        <w:spacing w:after="80"/>
        <w:ind w:left="720" w:right="1058"/>
        <w:contextualSpacing/>
        <w:rPr>
          <w:rFonts w:cs="Arial"/>
          <w:color w:val="000000" w:themeColor="text1"/>
        </w:rPr>
      </w:pPr>
    </w:p>
    <w:p w14:paraId="3DD9B082" w14:textId="6E2EA617" w:rsidR="00314A88" w:rsidRPr="008137E1" w:rsidRDefault="008137E1" w:rsidP="00923319">
      <w:pPr>
        <w:rPr>
          <w:color w:val="000000" w:themeColor="text1"/>
        </w:rPr>
      </w:pPr>
      <w:r w:rsidRPr="008137E1">
        <w:rPr>
          <w:color w:val="000000" w:themeColor="text1"/>
        </w:rPr>
        <w:t xml:space="preserve">Furthermore, </w:t>
      </w:r>
      <w:r>
        <w:rPr>
          <w:color w:val="000000" w:themeColor="text1"/>
        </w:rPr>
        <w:t>in 2020/21, limited assurance was attributed to THH’s Risk Management systems, however,</w:t>
      </w:r>
      <w:r w:rsidR="00AA634F">
        <w:rPr>
          <w:color w:val="000000" w:themeColor="text1"/>
        </w:rPr>
        <w:t xml:space="preserve"> through the internal audit</w:t>
      </w:r>
      <w:r>
        <w:rPr>
          <w:color w:val="000000" w:themeColor="text1"/>
        </w:rPr>
        <w:t xml:space="preserve"> work performed </w:t>
      </w:r>
      <w:r w:rsidR="00CF49BC">
        <w:rPr>
          <w:color w:val="000000" w:themeColor="text1"/>
        </w:rPr>
        <w:t>in 2021/22</w:t>
      </w:r>
      <w:r w:rsidR="00AA634F">
        <w:rPr>
          <w:color w:val="000000" w:themeColor="text1"/>
        </w:rPr>
        <w:t>, it has enabled us to</w:t>
      </w:r>
      <w:r w:rsidR="00CF49BC">
        <w:rPr>
          <w:color w:val="000000" w:themeColor="text1"/>
        </w:rPr>
        <w:t xml:space="preserve"> confirm </w:t>
      </w:r>
      <w:r w:rsidR="00DB4EAE">
        <w:rPr>
          <w:color w:val="000000" w:themeColor="text1"/>
        </w:rPr>
        <w:t xml:space="preserve">identified </w:t>
      </w:r>
      <w:r w:rsidR="00CF49BC">
        <w:rPr>
          <w:color w:val="000000" w:themeColor="text1"/>
        </w:rPr>
        <w:t>improvements have</w:t>
      </w:r>
      <w:r w:rsidR="00DB4EAE">
        <w:rPr>
          <w:color w:val="000000" w:themeColor="text1"/>
        </w:rPr>
        <w:t xml:space="preserve"> been taken forward by THH</w:t>
      </w:r>
      <w:r w:rsidR="00FA58E2">
        <w:rPr>
          <w:color w:val="000000" w:themeColor="text1"/>
        </w:rPr>
        <w:t xml:space="preserve"> to</w:t>
      </w:r>
      <w:r w:rsidR="00CF49BC">
        <w:rPr>
          <w:color w:val="000000" w:themeColor="text1"/>
        </w:rPr>
        <w:t xml:space="preserve"> </w:t>
      </w:r>
      <w:r w:rsidR="00AA634F">
        <w:rPr>
          <w:color w:val="000000" w:themeColor="text1"/>
        </w:rPr>
        <w:t>aid the maturity of such systems.</w:t>
      </w:r>
      <w:r w:rsidR="00CF49BC">
        <w:rPr>
          <w:color w:val="000000" w:themeColor="text1"/>
        </w:rPr>
        <w:t xml:space="preserve"> </w:t>
      </w:r>
    </w:p>
    <w:p w14:paraId="6355455D" w14:textId="77777777" w:rsidR="00314A88" w:rsidRDefault="00314A88" w:rsidP="00923319">
      <w:pPr>
        <w:rPr>
          <w:color w:val="000000" w:themeColor="text1"/>
          <w:u w:val="single"/>
        </w:rPr>
      </w:pPr>
    </w:p>
    <w:p w14:paraId="210FDB3F" w14:textId="77777777" w:rsidR="00D0377F" w:rsidRDefault="00D0377F" w:rsidP="00D0377F">
      <w:pPr>
        <w:jc w:val="both"/>
        <w:rPr>
          <w:u w:val="single"/>
        </w:rPr>
      </w:pPr>
      <w:r>
        <w:rPr>
          <w:u w:val="single"/>
        </w:rPr>
        <w:lastRenderedPageBreak/>
        <w:t>King George’s Field Trust</w:t>
      </w:r>
    </w:p>
    <w:p w14:paraId="785AD155" w14:textId="77777777" w:rsidR="00D0377F" w:rsidRDefault="00D0377F" w:rsidP="00D0377F">
      <w:pPr>
        <w:jc w:val="both"/>
        <w:rPr>
          <w:u w:val="single"/>
        </w:rPr>
      </w:pPr>
    </w:p>
    <w:p w14:paraId="4F1D94BA" w14:textId="77777777" w:rsidR="00D0377F" w:rsidRDefault="00D0377F" w:rsidP="00D0377F">
      <w:r w:rsidRPr="0056690D">
        <w:t>The Council serves as sole trustee of the King George's Field, Mile End charity. The charity is governed by a Trust Deed, and is unincorporated, being established by a Scheme of the Charity Commission dated 28th February 2000.</w:t>
      </w:r>
      <w:r>
        <w:t xml:space="preserve"> </w:t>
      </w:r>
      <w:r w:rsidRPr="004D3FE5">
        <w:t>The Charity’s objectives are set out in Trust Deeds, which are as follows "To preserve in perpetuity the covenanted land and to apply the land to such charitable purposes as are set out in the Recreational Charities Act 1958, including the construction of indoor recreational facilities, subject to the approval of the National Playing Fields Association and the Charity Commission in respect of any additional purposes".</w:t>
      </w:r>
    </w:p>
    <w:p w14:paraId="3CDF7E4F" w14:textId="77777777" w:rsidR="00D0377F" w:rsidRDefault="00D0377F" w:rsidP="00D0377F"/>
    <w:p w14:paraId="64FD7543" w14:textId="4BE32864" w:rsidR="00D0377F" w:rsidRDefault="00D0377F" w:rsidP="00D0377F">
      <w:r>
        <w:t xml:space="preserve">The Trust has no employees of its </w:t>
      </w:r>
      <w:r w:rsidR="00907A9C">
        <w:t>own and</w:t>
      </w:r>
      <w:r>
        <w:t xml:space="preserve"> is dependent on staff of the Council for its operations; its standing orders with respect to controls for procurement, expenditure and income are aligned to those of the Council. </w:t>
      </w:r>
    </w:p>
    <w:p w14:paraId="79C4A2EF" w14:textId="77777777" w:rsidR="00311A20" w:rsidRPr="00160BA6" w:rsidRDefault="00311A20" w:rsidP="001725E7">
      <w:pPr>
        <w:jc w:val="both"/>
        <w:rPr>
          <w:b/>
          <w:color w:val="000000" w:themeColor="text1"/>
        </w:rPr>
      </w:pPr>
    </w:p>
    <w:p w14:paraId="07AB960D" w14:textId="77777777" w:rsidR="001725E7" w:rsidRPr="00160BA6" w:rsidRDefault="002619AA" w:rsidP="001725E7">
      <w:pPr>
        <w:jc w:val="both"/>
        <w:rPr>
          <w:b/>
          <w:color w:val="000000" w:themeColor="text1"/>
        </w:rPr>
      </w:pPr>
      <w:r w:rsidRPr="00160BA6">
        <w:rPr>
          <w:b/>
          <w:color w:val="000000" w:themeColor="text1"/>
        </w:rPr>
        <w:t>Significant Governance Issues</w:t>
      </w:r>
    </w:p>
    <w:p w14:paraId="5CA82180" w14:textId="77777777" w:rsidR="001725E7" w:rsidRPr="00160BA6" w:rsidRDefault="001725E7" w:rsidP="001725E7">
      <w:pPr>
        <w:jc w:val="both"/>
        <w:rPr>
          <w:b/>
          <w:color w:val="000000" w:themeColor="text1"/>
        </w:rPr>
      </w:pPr>
    </w:p>
    <w:p w14:paraId="391A0EDB" w14:textId="1C55793F" w:rsidR="00032E2A" w:rsidRPr="00160BA6" w:rsidRDefault="002619AA" w:rsidP="001725E7">
      <w:pPr>
        <w:jc w:val="both"/>
        <w:rPr>
          <w:color w:val="000000" w:themeColor="text1"/>
        </w:rPr>
      </w:pPr>
      <w:r w:rsidRPr="00160BA6">
        <w:rPr>
          <w:color w:val="000000" w:themeColor="text1"/>
        </w:rPr>
        <w:t xml:space="preserve">Corporate Directors are required to consider whether there have been any significant governance issues. For the purposes of this </w:t>
      </w:r>
      <w:r w:rsidR="00464B71" w:rsidRPr="00160BA6">
        <w:rPr>
          <w:color w:val="000000" w:themeColor="text1"/>
        </w:rPr>
        <w:t>review,</w:t>
      </w:r>
      <w:r w:rsidRPr="00160BA6">
        <w:rPr>
          <w:color w:val="000000" w:themeColor="text1"/>
        </w:rPr>
        <w:t xml:space="preserve"> we have defined a s</w:t>
      </w:r>
      <w:r w:rsidR="00E607F8" w:rsidRPr="00160BA6">
        <w:rPr>
          <w:color w:val="000000" w:themeColor="text1"/>
        </w:rPr>
        <w:t>ignificant governance issue as something that:</w:t>
      </w:r>
    </w:p>
    <w:p w14:paraId="37B8BBDB" w14:textId="77777777" w:rsidR="00032E2A" w:rsidRPr="00160BA6" w:rsidRDefault="00032E2A" w:rsidP="001725E7">
      <w:pPr>
        <w:jc w:val="both"/>
        <w:rPr>
          <w:color w:val="000000" w:themeColor="text1"/>
        </w:rPr>
      </w:pPr>
    </w:p>
    <w:p w14:paraId="450B814C" w14:textId="77777777" w:rsidR="00E607F8" w:rsidRPr="00160BA6" w:rsidRDefault="002619AA" w:rsidP="00226C1E">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Seriously prejudiced or prevented achievement of one or more principal objectives.</w:t>
      </w:r>
    </w:p>
    <w:p w14:paraId="656C180C" w14:textId="77777777" w:rsidR="00E607F8" w:rsidRPr="00160BA6" w:rsidRDefault="002619AA" w:rsidP="00226C1E">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Resulted in the need to seek additional funding to resolve the issue.</w:t>
      </w:r>
    </w:p>
    <w:p w14:paraId="7EE38396" w14:textId="77777777" w:rsidR="00E607F8" w:rsidRPr="00160BA6" w:rsidRDefault="002619AA" w:rsidP="00226C1E">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Required a significant diversion of resources.</w:t>
      </w:r>
    </w:p>
    <w:p w14:paraId="793BFBAA" w14:textId="77777777" w:rsidR="00E607F8" w:rsidRPr="00160BA6" w:rsidRDefault="002619AA" w:rsidP="00226C1E">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Had a material impact on the accounts.</w:t>
      </w:r>
    </w:p>
    <w:p w14:paraId="0D329170" w14:textId="77777777" w:rsidR="00E607F8" w:rsidRPr="00160BA6" w:rsidRDefault="002619AA" w:rsidP="00226C1E">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Resulted in significant public interest or has seriously damaged the reputation of the Council.</w:t>
      </w:r>
    </w:p>
    <w:p w14:paraId="68021FB8" w14:textId="77777777" w:rsidR="00E607F8" w:rsidRPr="00160BA6" w:rsidRDefault="002619AA" w:rsidP="00226C1E">
      <w:pPr>
        <w:pStyle w:val="ListParagraph"/>
        <w:numPr>
          <w:ilvl w:val="0"/>
          <w:numId w:val="3"/>
        </w:numPr>
        <w:spacing w:after="60"/>
        <w:ind w:left="714" w:hanging="357"/>
        <w:textAlignment w:val="baseline"/>
        <w:rPr>
          <w:rFonts w:cs="Arial"/>
          <w:color w:val="000000" w:themeColor="text1"/>
        </w:rPr>
      </w:pPr>
      <w:r w:rsidRPr="00160BA6">
        <w:rPr>
          <w:rFonts w:cs="Arial"/>
          <w:color w:val="000000" w:themeColor="text1"/>
        </w:rPr>
        <w:t>Resulted in formal actions by the Section 151 (Corporate Director</w:t>
      </w:r>
      <w:r w:rsidR="00912B79" w:rsidRPr="00160BA6">
        <w:rPr>
          <w:rFonts w:cs="Arial"/>
          <w:color w:val="000000" w:themeColor="text1"/>
        </w:rPr>
        <w:t>,</w:t>
      </w:r>
      <w:r w:rsidRPr="00160BA6">
        <w:rPr>
          <w:rFonts w:cs="Arial"/>
          <w:color w:val="000000" w:themeColor="text1"/>
        </w:rPr>
        <w:t xml:space="preserve"> Resources) or Monitoring Officer (Corporate </w:t>
      </w:r>
      <w:r w:rsidR="00912B79" w:rsidRPr="00160BA6">
        <w:rPr>
          <w:rFonts w:cs="Arial"/>
          <w:color w:val="000000" w:themeColor="text1"/>
        </w:rPr>
        <w:t>Director, Governance</w:t>
      </w:r>
      <w:r w:rsidRPr="00160BA6">
        <w:rPr>
          <w:rFonts w:cs="Arial"/>
          <w:color w:val="000000" w:themeColor="text1"/>
        </w:rPr>
        <w:t xml:space="preserve">). </w:t>
      </w:r>
    </w:p>
    <w:p w14:paraId="3487D23A" w14:textId="77777777" w:rsidR="00E607F8" w:rsidRDefault="002619AA" w:rsidP="00226C1E">
      <w:pPr>
        <w:pStyle w:val="ListParagraph"/>
        <w:numPr>
          <w:ilvl w:val="0"/>
          <w:numId w:val="3"/>
        </w:numPr>
        <w:spacing w:after="240"/>
        <w:ind w:left="714" w:hanging="357"/>
        <w:textAlignment w:val="baseline"/>
        <w:rPr>
          <w:rFonts w:cs="Arial"/>
          <w:color w:val="000000" w:themeColor="text1"/>
        </w:rPr>
      </w:pPr>
      <w:r w:rsidRPr="00160BA6">
        <w:rPr>
          <w:rFonts w:cs="Arial"/>
          <w:color w:val="000000" w:themeColor="text1"/>
        </w:rPr>
        <w:t xml:space="preserve">Received significant adverse commentary in an external inspection report and was not or cannot be addressed in a timely manner. </w:t>
      </w:r>
    </w:p>
    <w:p w14:paraId="259C6C68" w14:textId="77777777" w:rsidR="00C17B0A" w:rsidRPr="00160BA6" w:rsidRDefault="00C17B0A" w:rsidP="00C17B0A">
      <w:pPr>
        <w:pStyle w:val="ListParagraph"/>
        <w:spacing w:after="240"/>
        <w:ind w:left="714"/>
        <w:textAlignment w:val="baseline"/>
        <w:rPr>
          <w:rFonts w:cs="Arial"/>
          <w:color w:val="000000" w:themeColor="text1"/>
        </w:rPr>
      </w:pPr>
    </w:p>
    <w:p w14:paraId="5998C2A0" w14:textId="78425141" w:rsidR="00E607F8" w:rsidRPr="00160BA6" w:rsidRDefault="002619AA" w:rsidP="001725E7">
      <w:pPr>
        <w:jc w:val="both"/>
        <w:rPr>
          <w:color w:val="000000" w:themeColor="text1"/>
          <w:u w:val="single"/>
        </w:rPr>
      </w:pPr>
      <w:r w:rsidRPr="00160BA6">
        <w:rPr>
          <w:color w:val="000000" w:themeColor="text1"/>
          <w:u w:val="single"/>
        </w:rPr>
        <w:lastRenderedPageBreak/>
        <w:t xml:space="preserve">Progress against Significant Governance Issues Identified in </w:t>
      </w:r>
      <w:r w:rsidR="00EC1570" w:rsidRPr="00160BA6">
        <w:rPr>
          <w:color w:val="000000" w:themeColor="text1"/>
          <w:u w:val="single"/>
        </w:rPr>
        <w:t>20</w:t>
      </w:r>
      <w:r w:rsidR="00B6755C">
        <w:rPr>
          <w:color w:val="000000" w:themeColor="text1"/>
          <w:u w:val="single"/>
        </w:rPr>
        <w:t>20</w:t>
      </w:r>
      <w:r w:rsidR="00EC1570" w:rsidRPr="00160BA6">
        <w:rPr>
          <w:color w:val="000000" w:themeColor="text1"/>
          <w:u w:val="single"/>
        </w:rPr>
        <w:t>/</w:t>
      </w:r>
      <w:r w:rsidR="00317E4D" w:rsidRPr="00160BA6">
        <w:rPr>
          <w:color w:val="000000" w:themeColor="text1"/>
          <w:u w:val="single"/>
        </w:rPr>
        <w:t>2</w:t>
      </w:r>
      <w:r w:rsidR="00B6755C">
        <w:rPr>
          <w:color w:val="000000" w:themeColor="text1"/>
          <w:u w:val="single"/>
        </w:rPr>
        <w:t>1</w:t>
      </w:r>
    </w:p>
    <w:p w14:paraId="546F5FDF" w14:textId="77777777" w:rsidR="00E607F8" w:rsidRPr="00160BA6" w:rsidRDefault="00E607F8" w:rsidP="001725E7">
      <w:pPr>
        <w:jc w:val="both"/>
        <w:rPr>
          <w:color w:val="000000" w:themeColor="text1"/>
        </w:rPr>
      </w:pPr>
    </w:p>
    <w:p w14:paraId="4FBDCF7E" w14:textId="1309F494" w:rsidR="00032E2A" w:rsidRPr="00160BA6" w:rsidRDefault="002619AA" w:rsidP="00EA76C1">
      <w:pPr>
        <w:rPr>
          <w:color w:val="000000" w:themeColor="text1"/>
        </w:rPr>
      </w:pPr>
      <w:r w:rsidRPr="00160BA6">
        <w:rPr>
          <w:color w:val="000000" w:themeColor="text1"/>
        </w:rPr>
        <w:t>The 20</w:t>
      </w:r>
      <w:r w:rsidR="00B6755C">
        <w:rPr>
          <w:color w:val="000000" w:themeColor="text1"/>
        </w:rPr>
        <w:t>20</w:t>
      </w:r>
      <w:r w:rsidRPr="00160BA6">
        <w:rPr>
          <w:color w:val="000000" w:themeColor="text1"/>
        </w:rPr>
        <w:t>/</w:t>
      </w:r>
      <w:r w:rsidR="00317E4D" w:rsidRPr="00160BA6">
        <w:rPr>
          <w:color w:val="000000" w:themeColor="text1"/>
        </w:rPr>
        <w:t>2</w:t>
      </w:r>
      <w:r w:rsidR="00B6755C">
        <w:rPr>
          <w:color w:val="000000" w:themeColor="text1"/>
        </w:rPr>
        <w:t>1</w:t>
      </w:r>
      <w:r w:rsidR="00E607F8" w:rsidRPr="00160BA6">
        <w:rPr>
          <w:color w:val="000000" w:themeColor="text1"/>
        </w:rPr>
        <w:t xml:space="preserve"> </w:t>
      </w:r>
      <w:r w:rsidR="001725E7" w:rsidRPr="00160BA6">
        <w:rPr>
          <w:color w:val="000000" w:themeColor="text1"/>
        </w:rPr>
        <w:t xml:space="preserve">AGS included </w:t>
      </w:r>
      <w:r w:rsidR="00464B71">
        <w:rPr>
          <w:color w:val="000000" w:themeColor="text1"/>
        </w:rPr>
        <w:t>1</w:t>
      </w:r>
      <w:r w:rsidR="002D2F2F">
        <w:rPr>
          <w:color w:val="000000" w:themeColor="text1"/>
        </w:rPr>
        <w:t>5</w:t>
      </w:r>
      <w:r w:rsidR="001725E7" w:rsidRPr="00160BA6">
        <w:rPr>
          <w:color w:val="000000" w:themeColor="text1"/>
        </w:rPr>
        <w:t xml:space="preserve"> significant governance issues which </w:t>
      </w:r>
      <w:r w:rsidR="00E607F8" w:rsidRPr="00160BA6">
        <w:rPr>
          <w:color w:val="000000" w:themeColor="text1"/>
        </w:rPr>
        <w:t>needed to be</w:t>
      </w:r>
      <w:r w:rsidR="001725E7" w:rsidRPr="00160BA6">
        <w:rPr>
          <w:color w:val="000000" w:themeColor="text1"/>
        </w:rPr>
        <w:t xml:space="preserve"> addressed.  </w:t>
      </w:r>
      <w:r w:rsidRPr="00160BA6">
        <w:rPr>
          <w:color w:val="000000" w:themeColor="text1"/>
        </w:rPr>
        <w:t>A summary of progress/outcomes against these actions follows:</w:t>
      </w:r>
    </w:p>
    <w:p w14:paraId="3FCDFAAD" w14:textId="77777777" w:rsidR="001725E7" w:rsidRPr="00160BA6" w:rsidRDefault="001725E7" w:rsidP="001725E7">
      <w:pPr>
        <w:jc w:val="both"/>
        <w:rPr>
          <w:color w:val="000000" w:themeColor="text1"/>
        </w:rPr>
      </w:pPr>
    </w:p>
    <w:tbl>
      <w:tblPr>
        <w:tblStyle w:val="TableGrid"/>
        <w:tblpPr w:leftFromText="180" w:rightFromText="180" w:vertAnchor="text" w:tblpXSpec="center" w:tblpY="1"/>
        <w:tblOverlap w:val="never"/>
        <w:tblW w:w="14174" w:type="dxa"/>
        <w:tblLayout w:type="fixed"/>
        <w:tblLook w:val="04A0" w:firstRow="1" w:lastRow="0" w:firstColumn="1" w:lastColumn="0" w:noHBand="0" w:noVBand="1"/>
      </w:tblPr>
      <w:tblGrid>
        <w:gridCol w:w="675"/>
        <w:gridCol w:w="3998"/>
        <w:gridCol w:w="4253"/>
        <w:gridCol w:w="5248"/>
      </w:tblGrid>
      <w:tr w:rsidR="007E37FA" w:rsidRPr="00160BA6" w14:paraId="3E433C4A" w14:textId="77777777" w:rsidTr="001737BA">
        <w:trPr>
          <w:trHeight w:val="378"/>
          <w:tblHeader/>
        </w:trPr>
        <w:tc>
          <w:tcPr>
            <w:tcW w:w="675" w:type="dxa"/>
            <w:shd w:val="clear" w:color="auto" w:fill="auto"/>
            <w:vAlign w:val="center"/>
          </w:tcPr>
          <w:p w14:paraId="5C1699E2" w14:textId="77777777" w:rsidR="00164B16" w:rsidRPr="00160BA6" w:rsidRDefault="002619AA" w:rsidP="001737BA">
            <w:pPr>
              <w:rPr>
                <w:rFonts w:cs="Arial"/>
                <w:b/>
                <w:color w:val="000000" w:themeColor="text1"/>
                <w:sz w:val="22"/>
                <w:szCs w:val="22"/>
              </w:rPr>
            </w:pPr>
            <w:r w:rsidRPr="00160BA6">
              <w:rPr>
                <w:rFonts w:cs="Arial"/>
                <w:b/>
                <w:color w:val="000000" w:themeColor="text1"/>
                <w:sz w:val="22"/>
                <w:szCs w:val="22"/>
              </w:rPr>
              <w:t>No.</w:t>
            </w:r>
          </w:p>
        </w:tc>
        <w:tc>
          <w:tcPr>
            <w:tcW w:w="3998" w:type="dxa"/>
            <w:shd w:val="clear" w:color="auto" w:fill="auto"/>
            <w:vAlign w:val="center"/>
          </w:tcPr>
          <w:p w14:paraId="6A1A678A" w14:textId="77777777" w:rsidR="00164B16" w:rsidRPr="00160BA6" w:rsidRDefault="002619AA" w:rsidP="001737BA">
            <w:pPr>
              <w:rPr>
                <w:rFonts w:cs="Arial"/>
                <w:b/>
                <w:color w:val="000000" w:themeColor="text1"/>
                <w:sz w:val="22"/>
                <w:szCs w:val="22"/>
              </w:rPr>
            </w:pPr>
            <w:r w:rsidRPr="00160BA6">
              <w:rPr>
                <w:rFonts w:cs="Arial"/>
                <w:b/>
                <w:color w:val="000000" w:themeColor="text1"/>
                <w:sz w:val="22"/>
                <w:szCs w:val="22"/>
              </w:rPr>
              <w:t>Issue</w:t>
            </w:r>
          </w:p>
        </w:tc>
        <w:tc>
          <w:tcPr>
            <w:tcW w:w="4253" w:type="dxa"/>
            <w:shd w:val="clear" w:color="auto" w:fill="auto"/>
            <w:vAlign w:val="center"/>
          </w:tcPr>
          <w:p w14:paraId="1202FD51" w14:textId="77777777" w:rsidR="00164B16" w:rsidRPr="00160BA6" w:rsidRDefault="002619AA" w:rsidP="001737BA">
            <w:pPr>
              <w:rPr>
                <w:rFonts w:cs="Arial"/>
                <w:b/>
                <w:color w:val="000000" w:themeColor="text1"/>
                <w:sz w:val="22"/>
                <w:szCs w:val="22"/>
              </w:rPr>
            </w:pPr>
            <w:r w:rsidRPr="00160BA6">
              <w:rPr>
                <w:rFonts w:cs="Arial"/>
                <w:b/>
                <w:color w:val="000000" w:themeColor="text1"/>
                <w:sz w:val="22"/>
                <w:szCs w:val="22"/>
              </w:rPr>
              <w:t>Action</w:t>
            </w:r>
          </w:p>
        </w:tc>
        <w:tc>
          <w:tcPr>
            <w:tcW w:w="5248" w:type="dxa"/>
            <w:shd w:val="clear" w:color="auto" w:fill="auto"/>
            <w:vAlign w:val="center"/>
          </w:tcPr>
          <w:p w14:paraId="17BCBA49" w14:textId="77777777" w:rsidR="00164B16" w:rsidRPr="00160BA6" w:rsidRDefault="002619AA" w:rsidP="001737BA">
            <w:pPr>
              <w:rPr>
                <w:rFonts w:cs="Arial"/>
                <w:b/>
                <w:color w:val="000000" w:themeColor="text1"/>
                <w:sz w:val="22"/>
                <w:szCs w:val="22"/>
              </w:rPr>
            </w:pPr>
            <w:r w:rsidRPr="00160BA6">
              <w:rPr>
                <w:rFonts w:cs="Arial"/>
                <w:b/>
                <w:color w:val="000000" w:themeColor="text1"/>
                <w:sz w:val="22"/>
                <w:szCs w:val="22"/>
              </w:rPr>
              <w:t xml:space="preserve">Progress / </w:t>
            </w:r>
            <w:r w:rsidR="005C4855" w:rsidRPr="00160BA6">
              <w:rPr>
                <w:rFonts w:cs="Arial"/>
                <w:b/>
                <w:color w:val="000000" w:themeColor="text1"/>
                <w:sz w:val="22"/>
                <w:szCs w:val="22"/>
              </w:rPr>
              <w:t>Outcome</w:t>
            </w:r>
          </w:p>
        </w:tc>
      </w:tr>
      <w:tr w:rsidR="00252948" w:rsidRPr="00160BA6" w14:paraId="0391CDCA" w14:textId="77777777" w:rsidTr="001737BA">
        <w:tc>
          <w:tcPr>
            <w:tcW w:w="675" w:type="dxa"/>
          </w:tcPr>
          <w:p w14:paraId="346CBE72" w14:textId="66D6BE36" w:rsidR="00252948" w:rsidRPr="00160BA6" w:rsidRDefault="00252948" w:rsidP="001737BA">
            <w:pPr>
              <w:spacing w:before="60" w:after="60"/>
              <w:rPr>
                <w:rFonts w:cs="Arial"/>
                <w:color w:val="000000" w:themeColor="text1"/>
                <w:sz w:val="22"/>
                <w:szCs w:val="22"/>
              </w:rPr>
            </w:pPr>
            <w:r>
              <w:rPr>
                <w:rFonts w:cs="Arial"/>
                <w:color w:val="000000" w:themeColor="text1"/>
                <w:sz w:val="22"/>
                <w:szCs w:val="22"/>
              </w:rPr>
              <w:t>1</w:t>
            </w:r>
          </w:p>
        </w:tc>
        <w:tc>
          <w:tcPr>
            <w:tcW w:w="3998" w:type="dxa"/>
          </w:tcPr>
          <w:p w14:paraId="574C155A" w14:textId="77777777" w:rsidR="00252948" w:rsidRPr="00EB79C0" w:rsidRDefault="00252948" w:rsidP="00CF5096">
            <w:pPr>
              <w:spacing w:before="60"/>
              <w:rPr>
                <w:rFonts w:cs="Arial"/>
                <w:color w:val="000000" w:themeColor="text1"/>
                <w:sz w:val="22"/>
                <w:szCs w:val="22"/>
              </w:rPr>
            </w:pPr>
            <w:r>
              <w:rPr>
                <w:rFonts w:cs="Arial"/>
                <w:color w:val="000000" w:themeColor="text1"/>
                <w:sz w:val="22"/>
                <w:szCs w:val="22"/>
              </w:rPr>
              <w:t>I</w:t>
            </w:r>
            <w:r w:rsidRPr="00EB79C0">
              <w:rPr>
                <w:rFonts w:cs="Arial"/>
                <w:color w:val="000000" w:themeColor="text1"/>
                <w:sz w:val="22"/>
                <w:szCs w:val="22"/>
              </w:rPr>
              <w:t>ssues</w:t>
            </w:r>
            <w:r>
              <w:rPr>
                <w:rFonts w:cs="Arial"/>
                <w:color w:val="000000" w:themeColor="text1"/>
                <w:sz w:val="22"/>
                <w:szCs w:val="22"/>
              </w:rPr>
              <w:t xml:space="preserve"> have been</w:t>
            </w:r>
            <w:r w:rsidRPr="00EB79C0">
              <w:rPr>
                <w:rFonts w:cs="Arial"/>
                <w:color w:val="000000" w:themeColor="text1"/>
                <w:sz w:val="22"/>
                <w:szCs w:val="22"/>
              </w:rPr>
              <w:t xml:space="preserve"> identified with the 2018/19</w:t>
            </w:r>
            <w:r>
              <w:rPr>
                <w:rFonts w:cs="Arial"/>
                <w:color w:val="000000" w:themeColor="text1"/>
                <w:sz w:val="22"/>
                <w:szCs w:val="22"/>
              </w:rPr>
              <w:t xml:space="preserve"> and 2019/20 </w:t>
            </w:r>
            <w:r w:rsidRPr="00EB79C0">
              <w:rPr>
                <w:rFonts w:cs="Arial"/>
                <w:color w:val="000000" w:themeColor="text1"/>
                <w:sz w:val="22"/>
                <w:szCs w:val="22"/>
              </w:rPr>
              <w:t>Statement of Accounts (SoA) and reflected in the 2018/19</w:t>
            </w:r>
            <w:r>
              <w:rPr>
                <w:rFonts w:cs="Arial"/>
                <w:color w:val="000000" w:themeColor="text1"/>
                <w:sz w:val="22"/>
                <w:szCs w:val="22"/>
              </w:rPr>
              <w:t xml:space="preserve"> and 2019/20</w:t>
            </w:r>
            <w:r w:rsidRPr="00EB79C0">
              <w:rPr>
                <w:rFonts w:cs="Arial"/>
                <w:color w:val="000000" w:themeColor="text1"/>
                <w:sz w:val="22"/>
                <w:szCs w:val="22"/>
              </w:rPr>
              <w:t xml:space="preserve"> AGS</w:t>
            </w:r>
            <w:r>
              <w:rPr>
                <w:rFonts w:cs="Arial"/>
                <w:color w:val="000000" w:themeColor="text1"/>
                <w:sz w:val="22"/>
                <w:szCs w:val="22"/>
              </w:rPr>
              <w:t xml:space="preserve"> respectively. These significant issues</w:t>
            </w:r>
            <w:r w:rsidRPr="00EB79C0">
              <w:rPr>
                <w:rFonts w:cs="Arial"/>
                <w:color w:val="000000" w:themeColor="text1"/>
                <w:sz w:val="22"/>
                <w:szCs w:val="22"/>
              </w:rPr>
              <w:t xml:space="preserve"> </w:t>
            </w:r>
            <w:r>
              <w:rPr>
                <w:rFonts w:cs="Arial"/>
                <w:color w:val="000000" w:themeColor="text1"/>
                <w:sz w:val="22"/>
                <w:szCs w:val="22"/>
              </w:rPr>
              <w:t>continue to be addressed. The SoAs continue to be subject to external audit review</w:t>
            </w:r>
            <w:r w:rsidRPr="00EB79C0">
              <w:rPr>
                <w:rFonts w:cs="Arial"/>
                <w:color w:val="000000" w:themeColor="text1"/>
                <w:sz w:val="22"/>
                <w:szCs w:val="22"/>
              </w:rPr>
              <w:t xml:space="preserve"> (by Deloitte). Further adjustments</w:t>
            </w:r>
            <w:r>
              <w:rPr>
                <w:rFonts w:cs="Arial"/>
                <w:color w:val="000000" w:themeColor="text1"/>
                <w:sz w:val="22"/>
                <w:szCs w:val="22"/>
              </w:rPr>
              <w:t xml:space="preserve"> may</w:t>
            </w:r>
            <w:r w:rsidRPr="00EB79C0">
              <w:rPr>
                <w:rFonts w:cs="Arial"/>
                <w:color w:val="000000" w:themeColor="text1"/>
                <w:sz w:val="22"/>
                <w:szCs w:val="22"/>
              </w:rPr>
              <w:t xml:space="preserve"> be required through the audit process</w:t>
            </w:r>
            <w:r>
              <w:rPr>
                <w:rFonts w:cs="Arial"/>
                <w:color w:val="000000" w:themeColor="text1"/>
                <w:sz w:val="22"/>
                <w:szCs w:val="22"/>
              </w:rPr>
              <w:t xml:space="preserve"> but these in themselves may not be sufficient to achieve an unqualified audit opinion</w:t>
            </w:r>
            <w:r w:rsidRPr="00EB79C0">
              <w:rPr>
                <w:rFonts w:cs="Arial"/>
                <w:color w:val="000000" w:themeColor="text1"/>
                <w:sz w:val="22"/>
                <w:szCs w:val="22"/>
              </w:rPr>
              <w:t>.</w:t>
            </w:r>
          </w:p>
          <w:p w14:paraId="1CDC0194" w14:textId="77777777" w:rsidR="00252948" w:rsidRPr="00EB79C0" w:rsidRDefault="00252948" w:rsidP="00CF5096">
            <w:pPr>
              <w:spacing w:before="60"/>
              <w:rPr>
                <w:rFonts w:cs="Arial"/>
                <w:color w:val="000000" w:themeColor="text1"/>
                <w:sz w:val="22"/>
                <w:szCs w:val="22"/>
              </w:rPr>
            </w:pPr>
          </w:p>
          <w:p w14:paraId="2AC209DE" w14:textId="77777777" w:rsidR="00252948" w:rsidRPr="00160BA6" w:rsidRDefault="00252948" w:rsidP="00CF5096">
            <w:pPr>
              <w:spacing w:before="60"/>
              <w:rPr>
                <w:rFonts w:cs="Arial"/>
                <w:color w:val="000000" w:themeColor="text1"/>
                <w:sz w:val="22"/>
                <w:szCs w:val="22"/>
              </w:rPr>
            </w:pPr>
          </w:p>
        </w:tc>
        <w:tc>
          <w:tcPr>
            <w:tcW w:w="4253" w:type="dxa"/>
          </w:tcPr>
          <w:p w14:paraId="3F35431D" w14:textId="77777777" w:rsidR="00252948" w:rsidRPr="00EB79C0" w:rsidRDefault="00252948" w:rsidP="00CF5096">
            <w:pPr>
              <w:spacing w:before="60"/>
              <w:rPr>
                <w:rFonts w:cs="Arial"/>
                <w:color w:val="000000" w:themeColor="text1"/>
                <w:sz w:val="22"/>
                <w:szCs w:val="22"/>
                <w:lang w:val="en-US"/>
              </w:rPr>
            </w:pPr>
            <w:r>
              <w:rPr>
                <w:rFonts w:cs="Arial"/>
                <w:color w:val="000000" w:themeColor="text1"/>
                <w:sz w:val="22"/>
                <w:szCs w:val="22"/>
                <w:lang w:val="en-US"/>
              </w:rPr>
              <w:t>The Council has established a detailed and far-reaching Finance Improvement Plan designed to address the significant issues that have been identified from the Independent Review commissioned following the initial production of the 2018-19 SOA; the initial external audit feedback from Deloitte’s on both outstanding SOAs; the CIPFA review of Financial Management reported in 2018 and a range of matters identified by officers of the Council that require rectification.</w:t>
            </w:r>
          </w:p>
          <w:p w14:paraId="6582A249" w14:textId="77777777" w:rsidR="00252948" w:rsidRPr="00160BA6" w:rsidRDefault="00252948" w:rsidP="00CF5096">
            <w:pPr>
              <w:spacing w:before="60"/>
              <w:rPr>
                <w:rFonts w:cs="Arial"/>
                <w:color w:val="000000" w:themeColor="text1"/>
                <w:sz w:val="22"/>
                <w:szCs w:val="22"/>
              </w:rPr>
            </w:pPr>
          </w:p>
        </w:tc>
        <w:tc>
          <w:tcPr>
            <w:tcW w:w="5248" w:type="dxa"/>
          </w:tcPr>
          <w:p w14:paraId="3F5CE512" w14:textId="4549FA3D" w:rsidR="00B31090" w:rsidRPr="00B31090" w:rsidRDefault="00B31090" w:rsidP="00CF5096">
            <w:pPr>
              <w:spacing w:before="60"/>
              <w:rPr>
                <w:rFonts w:cs="Arial"/>
                <w:color w:val="000000" w:themeColor="text1"/>
                <w:sz w:val="22"/>
                <w:szCs w:val="22"/>
              </w:rPr>
            </w:pPr>
            <w:r w:rsidRPr="00B31090">
              <w:rPr>
                <w:rFonts w:cs="Arial"/>
                <w:color w:val="000000" w:themeColor="text1"/>
                <w:sz w:val="22"/>
                <w:szCs w:val="22"/>
              </w:rPr>
              <w:t xml:space="preserve">Draft audit reports (known as ISA 260 reports) were presented by Deloitte for both 2018/19 and 2019/20 to Audit Committee in January 2022. The Council is restating the SoA for those two years by the end of May </w:t>
            </w:r>
            <w:r>
              <w:rPr>
                <w:rFonts w:cs="Arial"/>
                <w:color w:val="000000" w:themeColor="text1"/>
                <w:sz w:val="22"/>
                <w:szCs w:val="22"/>
              </w:rPr>
              <w:t xml:space="preserve">2022 </w:t>
            </w:r>
            <w:r w:rsidRPr="00B31090">
              <w:rPr>
                <w:rFonts w:cs="Arial"/>
                <w:color w:val="000000" w:themeColor="text1"/>
                <w:sz w:val="22"/>
                <w:szCs w:val="22"/>
              </w:rPr>
              <w:t>for final external audit review. The authority sign</w:t>
            </w:r>
            <w:r>
              <w:rPr>
                <w:rFonts w:cs="Arial"/>
                <w:color w:val="000000" w:themeColor="text1"/>
                <w:sz w:val="22"/>
                <w:szCs w:val="22"/>
              </w:rPr>
              <w:t>-</w:t>
            </w:r>
            <w:r w:rsidRPr="00B31090">
              <w:rPr>
                <w:rFonts w:cs="Arial"/>
                <w:color w:val="000000" w:themeColor="text1"/>
                <w:sz w:val="22"/>
                <w:szCs w:val="22"/>
              </w:rPr>
              <w:t>off the final versions of the SoAs upon completion of agreed amendments has been delegated to the Chair of Audit Committee and the s151 Officer (with the only exception being if, subsequent to the January 2022 meeting, significant and material matters arise).</w:t>
            </w:r>
          </w:p>
          <w:p w14:paraId="69CCB462" w14:textId="77777777" w:rsidR="00B31090" w:rsidRPr="00B31090" w:rsidRDefault="00B31090" w:rsidP="00CF5096">
            <w:pPr>
              <w:spacing w:before="60"/>
              <w:rPr>
                <w:rFonts w:cs="Arial"/>
                <w:color w:val="000000" w:themeColor="text1"/>
                <w:sz w:val="22"/>
                <w:szCs w:val="22"/>
              </w:rPr>
            </w:pPr>
          </w:p>
          <w:p w14:paraId="6D31136D" w14:textId="77777777" w:rsidR="00B31090" w:rsidRPr="00B31090" w:rsidRDefault="00B31090" w:rsidP="00CF5096">
            <w:pPr>
              <w:spacing w:before="60"/>
              <w:rPr>
                <w:rFonts w:cs="Arial"/>
                <w:color w:val="000000" w:themeColor="text1"/>
                <w:sz w:val="22"/>
                <w:szCs w:val="22"/>
              </w:rPr>
            </w:pPr>
            <w:r w:rsidRPr="00B31090">
              <w:rPr>
                <w:rFonts w:cs="Arial"/>
                <w:color w:val="000000" w:themeColor="text1"/>
                <w:sz w:val="22"/>
                <w:szCs w:val="22"/>
              </w:rPr>
              <w:t>Deloitte will then issue a final ISA 260 report to the Council.</w:t>
            </w:r>
          </w:p>
          <w:p w14:paraId="0EC33828" w14:textId="77777777" w:rsidR="00B31090" w:rsidRPr="00B31090" w:rsidRDefault="00B31090" w:rsidP="00CF5096">
            <w:pPr>
              <w:spacing w:before="60"/>
              <w:rPr>
                <w:rFonts w:cs="Arial"/>
                <w:color w:val="000000" w:themeColor="text1"/>
                <w:sz w:val="22"/>
                <w:szCs w:val="22"/>
              </w:rPr>
            </w:pPr>
          </w:p>
          <w:p w14:paraId="724E1E3C" w14:textId="40E3DBFB" w:rsidR="00B31090" w:rsidRPr="00B31090" w:rsidRDefault="00B31090" w:rsidP="00CF5096">
            <w:pPr>
              <w:spacing w:before="60"/>
              <w:rPr>
                <w:rFonts w:cs="Arial"/>
                <w:color w:val="000000" w:themeColor="text1"/>
                <w:sz w:val="22"/>
                <w:szCs w:val="22"/>
              </w:rPr>
            </w:pPr>
            <w:r w:rsidRPr="00B31090">
              <w:rPr>
                <w:rFonts w:cs="Arial"/>
                <w:color w:val="000000" w:themeColor="text1"/>
                <w:sz w:val="22"/>
                <w:szCs w:val="22"/>
              </w:rPr>
              <w:t>The Audit Certificates for those years will only be released (which is the final stage in the Audit process) after KPMG carry out a review and release their Audit Certificates for the two previous years, 2016/17 and 2017/18, as the Certificates for both of those years remain outstanding. The Council is actively working with KPMG to expedite that process.</w:t>
            </w:r>
          </w:p>
          <w:p w14:paraId="39EADD7B" w14:textId="77777777" w:rsidR="00B31090" w:rsidRPr="00B31090" w:rsidRDefault="00B31090" w:rsidP="00CF5096">
            <w:pPr>
              <w:spacing w:before="60"/>
              <w:rPr>
                <w:rFonts w:cs="Arial"/>
                <w:color w:val="000000" w:themeColor="text1"/>
                <w:sz w:val="22"/>
                <w:szCs w:val="22"/>
              </w:rPr>
            </w:pPr>
          </w:p>
          <w:p w14:paraId="023F90ED" w14:textId="68A6D3BC" w:rsidR="00B31090" w:rsidRPr="00B31090" w:rsidRDefault="00B31090" w:rsidP="00CF5096">
            <w:pPr>
              <w:spacing w:before="60"/>
              <w:rPr>
                <w:rFonts w:cs="Arial"/>
                <w:color w:val="000000" w:themeColor="text1"/>
                <w:sz w:val="22"/>
                <w:szCs w:val="22"/>
              </w:rPr>
            </w:pPr>
            <w:r w:rsidRPr="00B31090">
              <w:rPr>
                <w:rFonts w:cs="Arial"/>
                <w:color w:val="000000" w:themeColor="text1"/>
                <w:sz w:val="22"/>
                <w:szCs w:val="22"/>
              </w:rPr>
              <w:lastRenderedPageBreak/>
              <w:t>The Council will then re-present the 2020/21 SoA to Deloitte to include Group Accounts. The</w:t>
            </w:r>
            <w:r>
              <w:rPr>
                <w:rFonts w:cs="Arial"/>
                <w:color w:val="000000" w:themeColor="text1"/>
                <w:sz w:val="22"/>
                <w:szCs w:val="22"/>
              </w:rPr>
              <w:t xml:space="preserve"> External</w:t>
            </w:r>
            <w:r w:rsidRPr="00B31090">
              <w:rPr>
                <w:rFonts w:cs="Arial"/>
                <w:color w:val="000000" w:themeColor="text1"/>
                <w:sz w:val="22"/>
                <w:szCs w:val="22"/>
              </w:rPr>
              <w:t xml:space="preserve"> Audit will commence when Deloitte resources become available.</w:t>
            </w:r>
          </w:p>
          <w:p w14:paraId="5BA79463" w14:textId="77777777" w:rsidR="00B31090" w:rsidRPr="00B31090" w:rsidRDefault="00B31090" w:rsidP="00CF5096">
            <w:pPr>
              <w:spacing w:before="60"/>
              <w:rPr>
                <w:rFonts w:cs="Arial"/>
                <w:color w:val="000000" w:themeColor="text1"/>
                <w:sz w:val="22"/>
                <w:szCs w:val="22"/>
              </w:rPr>
            </w:pPr>
          </w:p>
          <w:p w14:paraId="46F46DF6" w14:textId="6CE50A25" w:rsidR="00B31090" w:rsidRPr="00B31090" w:rsidRDefault="00B31090" w:rsidP="00CF5096">
            <w:pPr>
              <w:spacing w:before="60"/>
              <w:rPr>
                <w:rFonts w:cs="Arial"/>
                <w:color w:val="000000" w:themeColor="text1"/>
                <w:sz w:val="22"/>
                <w:szCs w:val="22"/>
              </w:rPr>
            </w:pPr>
            <w:r w:rsidRPr="00B31090">
              <w:rPr>
                <w:rFonts w:cs="Arial"/>
                <w:color w:val="000000" w:themeColor="text1"/>
                <w:sz w:val="22"/>
                <w:szCs w:val="22"/>
              </w:rPr>
              <w:t xml:space="preserve">The Council is on track to produce the 2021/22 SoA as per its internal timetable, but the </w:t>
            </w:r>
            <w:r>
              <w:rPr>
                <w:rFonts w:cs="Arial"/>
                <w:color w:val="000000" w:themeColor="text1"/>
                <w:sz w:val="22"/>
                <w:szCs w:val="22"/>
              </w:rPr>
              <w:t xml:space="preserve">External </w:t>
            </w:r>
            <w:r w:rsidRPr="00B31090">
              <w:rPr>
                <w:rFonts w:cs="Arial"/>
                <w:color w:val="000000" w:themeColor="text1"/>
                <w:sz w:val="22"/>
                <w:szCs w:val="22"/>
              </w:rPr>
              <w:t xml:space="preserve">Audit will take place after the </w:t>
            </w:r>
            <w:r>
              <w:rPr>
                <w:rFonts w:cs="Arial"/>
                <w:color w:val="000000" w:themeColor="text1"/>
                <w:sz w:val="22"/>
                <w:szCs w:val="22"/>
              </w:rPr>
              <w:t xml:space="preserve">External </w:t>
            </w:r>
            <w:r w:rsidRPr="00B31090">
              <w:rPr>
                <w:rFonts w:cs="Arial"/>
                <w:color w:val="000000" w:themeColor="text1"/>
                <w:sz w:val="22"/>
                <w:szCs w:val="22"/>
              </w:rPr>
              <w:t>Audit for the 2020/21 SoA has been completed, so there is a high probability that the Council will still miss the statutory deadlines for 2021/22. There is a national context regarding delayed completion of audits, where 91% of Local Authorities did not have audited accounts by the statutory deadline for the 2020/21 financial year.</w:t>
            </w:r>
          </w:p>
          <w:p w14:paraId="2A2B589A" w14:textId="77777777" w:rsidR="00B31090" w:rsidRPr="00B31090" w:rsidRDefault="00B31090" w:rsidP="00CF5096">
            <w:pPr>
              <w:spacing w:before="60"/>
              <w:rPr>
                <w:rFonts w:cs="Arial"/>
                <w:color w:val="000000" w:themeColor="text1"/>
                <w:sz w:val="22"/>
                <w:szCs w:val="22"/>
              </w:rPr>
            </w:pPr>
          </w:p>
          <w:p w14:paraId="1BEFDCEB" w14:textId="0788B034" w:rsidR="00194489" w:rsidRDefault="00B31090" w:rsidP="00CF5096">
            <w:pPr>
              <w:spacing w:before="60" w:after="120"/>
              <w:rPr>
                <w:rFonts w:cs="Arial"/>
                <w:color w:val="000000" w:themeColor="text1"/>
                <w:sz w:val="22"/>
                <w:szCs w:val="22"/>
              </w:rPr>
            </w:pPr>
            <w:r w:rsidRPr="00B31090">
              <w:rPr>
                <w:rFonts w:cs="Arial"/>
                <w:color w:val="000000" w:themeColor="text1"/>
                <w:sz w:val="22"/>
                <w:szCs w:val="22"/>
              </w:rPr>
              <w:t>The Council has completed most of the actions identified in the Finance Improvement Plan (FIP) and will update the Audit Committee in a separate report on 28th June</w:t>
            </w:r>
            <w:r>
              <w:rPr>
                <w:rFonts w:cs="Arial"/>
                <w:color w:val="000000" w:themeColor="text1"/>
                <w:sz w:val="22"/>
                <w:szCs w:val="22"/>
              </w:rPr>
              <w:t xml:space="preserve"> 2022</w:t>
            </w:r>
            <w:r w:rsidRPr="00B31090">
              <w:rPr>
                <w:rFonts w:cs="Arial"/>
                <w:color w:val="000000" w:themeColor="text1"/>
                <w:sz w:val="22"/>
                <w:szCs w:val="22"/>
              </w:rPr>
              <w:t xml:space="preserve">. It is planned that future Audit Committee FIP reports will contain an update only for those actions not </w:t>
            </w:r>
            <w:r w:rsidR="008E1CA7">
              <w:rPr>
                <w:rFonts w:cs="Arial"/>
                <w:color w:val="000000" w:themeColor="text1"/>
                <w:sz w:val="22"/>
                <w:szCs w:val="22"/>
              </w:rPr>
              <w:t xml:space="preserve">yet </w:t>
            </w:r>
            <w:r w:rsidRPr="00B31090">
              <w:rPr>
                <w:rFonts w:cs="Arial"/>
                <w:color w:val="000000" w:themeColor="text1"/>
                <w:sz w:val="22"/>
                <w:szCs w:val="22"/>
              </w:rPr>
              <w:t>complete by that point.</w:t>
            </w:r>
          </w:p>
          <w:p w14:paraId="5F98CA32" w14:textId="467599C9" w:rsidR="00194489" w:rsidRPr="00522614" w:rsidRDefault="00194489" w:rsidP="00194489">
            <w:pPr>
              <w:pStyle w:val="BodyText"/>
              <w:spacing w:after="60"/>
              <w:ind w:right="215"/>
              <w:rPr>
                <w:i/>
                <w:iCs/>
                <w:sz w:val="22"/>
                <w:szCs w:val="22"/>
              </w:rPr>
            </w:pPr>
            <w:r w:rsidRPr="00522614">
              <w:rPr>
                <w:i/>
                <w:iCs/>
                <w:sz w:val="22"/>
                <w:szCs w:val="22"/>
              </w:rPr>
              <w:t xml:space="preserve">At the time of updating this draft statement </w:t>
            </w:r>
            <w:r w:rsidR="00522614" w:rsidRPr="00522614">
              <w:rPr>
                <w:i/>
                <w:iCs/>
                <w:sz w:val="22"/>
                <w:szCs w:val="22"/>
              </w:rPr>
              <w:t xml:space="preserve">and resubmitting it for approval </w:t>
            </w:r>
            <w:r w:rsidRPr="00522614">
              <w:rPr>
                <w:i/>
                <w:iCs/>
                <w:sz w:val="22"/>
                <w:szCs w:val="22"/>
              </w:rPr>
              <w:t xml:space="preserve">(October 2023), the 2018/19 and 2019/20 audits remain incomplete.  Draft accounts for 2020/21 were published in January 2022 and work has been started on the external audit of the 2020/21 statement of </w:t>
            </w:r>
            <w:r w:rsidRPr="00522614">
              <w:rPr>
                <w:i/>
                <w:iCs/>
                <w:sz w:val="22"/>
                <w:szCs w:val="22"/>
              </w:rPr>
              <w:lastRenderedPageBreak/>
              <w:t>accounts.</w:t>
            </w:r>
          </w:p>
        </w:tc>
      </w:tr>
      <w:tr w:rsidR="0042714D" w:rsidRPr="00160BA6" w14:paraId="2E659827" w14:textId="77777777" w:rsidTr="001737BA">
        <w:tc>
          <w:tcPr>
            <w:tcW w:w="675" w:type="dxa"/>
          </w:tcPr>
          <w:p w14:paraId="0B9067E6" w14:textId="77777777" w:rsidR="0042714D" w:rsidRPr="00160BA6" w:rsidRDefault="0042714D" w:rsidP="001737BA">
            <w:pPr>
              <w:spacing w:before="60" w:after="60"/>
              <w:rPr>
                <w:rFonts w:cs="Arial"/>
                <w:color w:val="000000" w:themeColor="text1"/>
                <w:sz w:val="22"/>
                <w:szCs w:val="22"/>
              </w:rPr>
            </w:pPr>
            <w:r w:rsidRPr="00160BA6">
              <w:rPr>
                <w:rFonts w:cs="Arial"/>
                <w:color w:val="000000" w:themeColor="text1"/>
                <w:sz w:val="22"/>
                <w:szCs w:val="22"/>
              </w:rPr>
              <w:lastRenderedPageBreak/>
              <w:t>2</w:t>
            </w:r>
          </w:p>
        </w:tc>
        <w:tc>
          <w:tcPr>
            <w:tcW w:w="3998" w:type="dxa"/>
          </w:tcPr>
          <w:p w14:paraId="75D4DB19" w14:textId="77777777" w:rsidR="0042714D" w:rsidRDefault="0042714D" w:rsidP="001737BA">
            <w:pPr>
              <w:spacing w:before="60" w:after="60"/>
              <w:rPr>
                <w:rFonts w:cs="Arial"/>
                <w:color w:val="000000" w:themeColor="text1"/>
                <w:sz w:val="22"/>
                <w:szCs w:val="22"/>
              </w:rPr>
            </w:pPr>
            <w:r w:rsidRPr="00EB79C0">
              <w:rPr>
                <w:rFonts w:cs="Arial"/>
                <w:color w:val="000000" w:themeColor="text1"/>
                <w:sz w:val="22"/>
                <w:szCs w:val="22"/>
              </w:rPr>
              <w:t xml:space="preserve">Budget </w:t>
            </w:r>
            <w:r>
              <w:rPr>
                <w:rFonts w:cs="Arial"/>
                <w:color w:val="000000" w:themeColor="text1"/>
                <w:sz w:val="22"/>
                <w:szCs w:val="22"/>
              </w:rPr>
              <w:t>m</w:t>
            </w:r>
            <w:r w:rsidRPr="00EB79C0">
              <w:rPr>
                <w:rFonts w:cs="Arial"/>
                <w:color w:val="000000" w:themeColor="text1"/>
                <w:sz w:val="22"/>
                <w:szCs w:val="22"/>
              </w:rPr>
              <w:t xml:space="preserve">anagement </w:t>
            </w:r>
            <w:r>
              <w:rPr>
                <w:rFonts w:cs="Arial"/>
                <w:color w:val="000000" w:themeColor="text1"/>
                <w:sz w:val="22"/>
                <w:szCs w:val="22"/>
              </w:rPr>
              <w:t>– there is a persistent overspend in adult social care and budget management (including the closure of account process) needs further strengthening across the directorate.</w:t>
            </w:r>
          </w:p>
          <w:p w14:paraId="01E64346" w14:textId="77777777" w:rsidR="0042714D" w:rsidRDefault="0042714D" w:rsidP="001737BA">
            <w:pPr>
              <w:spacing w:before="60" w:after="60"/>
              <w:rPr>
                <w:rFonts w:cs="Arial"/>
                <w:color w:val="000000" w:themeColor="text1"/>
                <w:sz w:val="22"/>
                <w:szCs w:val="22"/>
              </w:rPr>
            </w:pPr>
          </w:p>
          <w:p w14:paraId="5AA1A9EE" w14:textId="77777777" w:rsidR="0042714D" w:rsidRPr="00160BA6" w:rsidRDefault="0042714D" w:rsidP="001737BA">
            <w:pPr>
              <w:spacing w:before="60" w:after="60"/>
              <w:rPr>
                <w:rFonts w:cs="Arial"/>
                <w:color w:val="000000" w:themeColor="text1"/>
                <w:sz w:val="22"/>
                <w:szCs w:val="22"/>
              </w:rPr>
            </w:pPr>
          </w:p>
        </w:tc>
        <w:tc>
          <w:tcPr>
            <w:tcW w:w="4253" w:type="dxa"/>
          </w:tcPr>
          <w:p w14:paraId="79AF8B33" w14:textId="77777777" w:rsidR="0042714D" w:rsidRDefault="0042714D" w:rsidP="001737BA">
            <w:pPr>
              <w:spacing w:before="60" w:after="60"/>
              <w:rPr>
                <w:rFonts w:cs="Arial"/>
                <w:color w:val="000000" w:themeColor="text1"/>
                <w:sz w:val="22"/>
                <w:szCs w:val="22"/>
                <w:lang w:val="en-US"/>
              </w:rPr>
            </w:pPr>
            <w:r>
              <w:rPr>
                <w:rFonts w:cs="Arial"/>
                <w:color w:val="000000" w:themeColor="text1"/>
                <w:sz w:val="22"/>
                <w:szCs w:val="22"/>
                <w:lang w:val="en-US"/>
              </w:rPr>
              <w:t>Implement savings programme and the recommendations in the forthcoming report by SCIE/CIPFA (this action sits alongside the practice recommendations and work on quality).</w:t>
            </w:r>
          </w:p>
          <w:p w14:paraId="5E7C1B43" w14:textId="77777777" w:rsidR="0042714D" w:rsidRDefault="0042714D" w:rsidP="001737BA">
            <w:pPr>
              <w:spacing w:before="60" w:after="60"/>
              <w:rPr>
                <w:rFonts w:cs="Arial"/>
                <w:color w:val="000000" w:themeColor="text1"/>
                <w:sz w:val="22"/>
                <w:szCs w:val="22"/>
                <w:lang w:val="en-US"/>
              </w:rPr>
            </w:pPr>
          </w:p>
          <w:p w14:paraId="5A2ED44C" w14:textId="77777777" w:rsidR="0042714D" w:rsidRDefault="0042714D" w:rsidP="001737BA">
            <w:pPr>
              <w:spacing w:before="60" w:after="60"/>
              <w:rPr>
                <w:rFonts w:cs="Arial"/>
                <w:color w:val="000000" w:themeColor="text1"/>
                <w:sz w:val="22"/>
                <w:szCs w:val="22"/>
                <w:lang w:val="en-US"/>
              </w:rPr>
            </w:pPr>
            <w:r>
              <w:rPr>
                <w:rFonts w:cs="Arial"/>
                <w:color w:val="000000" w:themeColor="text1"/>
                <w:sz w:val="22"/>
                <w:szCs w:val="22"/>
                <w:lang w:val="en-US"/>
              </w:rPr>
              <w:t>All budget managers and senior staff to work with and support Finance Team to deliver an accurate and timely outturn and closure of account process with a particular focus on accruals.</w:t>
            </w:r>
          </w:p>
          <w:p w14:paraId="51934438" w14:textId="77777777" w:rsidR="0042714D" w:rsidRDefault="0042714D" w:rsidP="001737BA">
            <w:pPr>
              <w:spacing w:before="60" w:after="60"/>
              <w:rPr>
                <w:rFonts w:cs="Arial"/>
                <w:color w:val="000000" w:themeColor="text1"/>
                <w:sz w:val="22"/>
                <w:szCs w:val="22"/>
                <w:lang w:val="en-US"/>
              </w:rPr>
            </w:pPr>
          </w:p>
          <w:p w14:paraId="1DBF2520" w14:textId="3FFC3B9C" w:rsidR="0042714D" w:rsidRDefault="0042714D" w:rsidP="001737BA">
            <w:pPr>
              <w:spacing w:before="60" w:after="60"/>
              <w:rPr>
                <w:rFonts w:cs="Arial"/>
                <w:color w:val="000000" w:themeColor="text1"/>
                <w:sz w:val="22"/>
                <w:szCs w:val="22"/>
              </w:rPr>
            </w:pPr>
            <w:r>
              <w:rPr>
                <w:rFonts w:cs="Arial"/>
                <w:color w:val="000000" w:themeColor="text1"/>
                <w:sz w:val="22"/>
                <w:szCs w:val="22"/>
              </w:rPr>
              <w:t>Reduce levels of debt including charges for care services and NHS debt (including implement recommendations in the internal audit of the Financial Assessments of Contributions to Social Care).</w:t>
            </w:r>
          </w:p>
          <w:p w14:paraId="32678A7C" w14:textId="1E01233D" w:rsidR="0042714D" w:rsidRPr="00160BA6" w:rsidRDefault="0042714D" w:rsidP="001737BA">
            <w:pPr>
              <w:spacing w:before="60" w:after="60"/>
              <w:rPr>
                <w:rFonts w:cs="Arial"/>
                <w:color w:val="000000" w:themeColor="text1"/>
                <w:sz w:val="22"/>
                <w:szCs w:val="22"/>
              </w:rPr>
            </w:pPr>
            <w:r>
              <w:rPr>
                <w:rFonts w:cs="Arial"/>
                <w:color w:val="000000" w:themeColor="text1"/>
                <w:sz w:val="22"/>
                <w:szCs w:val="22"/>
              </w:rPr>
              <w:t>Further strengthen budget management across the directorate and particularly in Adult Social Care with a particular focus on the quality and accuracy of forecasting.</w:t>
            </w:r>
          </w:p>
        </w:tc>
        <w:tc>
          <w:tcPr>
            <w:tcW w:w="5248" w:type="dxa"/>
          </w:tcPr>
          <w:p w14:paraId="42634E1C" w14:textId="0A6E6D43" w:rsidR="00C54A34" w:rsidRDefault="00143E5D" w:rsidP="001737BA">
            <w:pPr>
              <w:spacing w:before="60" w:after="60"/>
              <w:rPr>
                <w:color w:val="000000" w:themeColor="text1"/>
                <w:sz w:val="22"/>
                <w:szCs w:val="22"/>
              </w:rPr>
            </w:pPr>
            <w:r>
              <w:rPr>
                <w:color w:val="000000" w:themeColor="text1"/>
                <w:sz w:val="22"/>
                <w:szCs w:val="22"/>
              </w:rPr>
              <w:t xml:space="preserve">The Council has continued to focus their efforts on addressing adult social care budget challenges, and work has continued throughout 2021/22 </w:t>
            </w:r>
            <w:r w:rsidR="00C54A34">
              <w:rPr>
                <w:color w:val="000000" w:themeColor="text1"/>
                <w:sz w:val="22"/>
                <w:szCs w:val="22"/>
              </w:rPr>
              <w:t xml:space="preserve">in monitoring performance against </w:t>
            </w:r>
            <w:r w:rsidR="008B05C6">
              <w:rPr>
                <w:color w:val="000000" w:themeColor="text1"/>
                <w:sz w:val="22"/>
                <w:szCs w:val="22"/>
              </w:rPr>
              <w:t>financial targets, which has been helped through short term and one-off grant funding, including COVID-19 related grants.</w:t>
            </w:r>
          </w:p>
          <w:p w14:paraId="49625FA8" w14:textId="5DFC9256" w:rsidR="008B05C6" w:rsidRDefault="008B05C6" w:rsidP="001737BA">
            <w:pPr>
              <w:spacing w:before="60" w:after="60"/>
              <w:rPr>
                <w:color w:val="000000" w:themeColor="text1"/>
                <w:sz w:val="22"/>
                <w:szCs w:val="22"/>
              </w:rPr>
            </w:pPr>
          </w:p>
          <w:p w14:paraId="19B0CAED" w14:textId="00881DCB" w:rsidR="0042714D" w:rsidRPr="00160BA6" w:rsidRDefault="008B05C6" w:rsidP="001737BA">
            <w:pPr>
              <w:spacing w:before="60" w:after="60"/>
              <w:rPr>
                <w:color w:val="000000" w:themeColor="text1"/>
                <w:sz w:val="22"/>
                <w:szCs w:val="22"/>
              </w:rPr>
            </w:pPr>
            <w:r>
              <w:rPr>
                <w:color w:val="000000" w:themeColor="text1"/>
                <w:sz w:val="22"/>
                <w:szCs w:val="22"/>
              </w:rPr>
              <w:t>However, there is recognition that work still needs</w:t>
            </w:r>
            <w:r w:rsidR="00034B89">
              <w:rPr>
                <w:color w:val="000000" w:themeColor="text1"/>
                <w:sz w:val="22"/>
                <w:szCs w:val="22"/>
              </w:rPr>
              <w:t xml:space="preserve"> to continue to address underlying budget pressures and overspends, that will require the actions outlined in 2020/21 to continue as an action from 2021/22.</w:t>
            </w:r>
          </w:p>
        </w:tc>
      </w:tr>
      <w:tr w:rsidR="0042714D" w:rsidRPr="00160BA6" w14:paraId="308E3604" w14:textId="77777777" w:rsidTr="001737BA">
        <w:tc>
          <w:tcPr>
            <w:tcW w:w="675" w:type="dxa"/>
          </w:tcPr>
          <w:p w14:paraId="0A8AD089" w14:textId="77777777" w:rsidR="0042714D" w:rsidRPr="00160BA6" w:rsidRDefault="0042714D" w:rsidP="001737BA">
            <w:pPr>
              <w:spacing w:before="60" w:after="60"/>
              <w:rPr>
                <w:rFonts w:cs="Arial"/>
                <w:color w:val="000000" w:themeColor="text1"/>
                <w:sz w:val="22"/>
                <w:szCs w:val="22"/>
              </w:rPr>
            </w:pPr>
            <w:r w:rsidRPr="00160BA6">
              <w:rPr>
                <w:rFonts w:cs="Arial"/>
                <w:color w:val="000000" w:themeColor="text1"/>
                <w:sz w:val="22"/>
                <w:szCs w:val="22"/>
              </w:rPr>
              <w:t>3</w:t>
            </w:r>
          </w:p>
        </w:tc>
        <w:tc>
          <w:tcPr>
            <w:tcW w:w="3998" w:type="dxa"/>
          </w:tcPr>
          <w:p w14:paraId="0A6ECC5F" w14:textId="7843CF3F" w:rsidR="0042714D" w:rsidRPr="00160BA6" w:rsidRDefault="0042714D" w:rsidP="001737BA">
            <w:pPr>
              <w:spacing w:before="60"/>
              <w:rPr>
                <w:rFonts w:cs="Arial"/>
                <w:color w:val="000000" w:themeColor="text1"/>
                <w:sz w:val="22"/>
                <w:szCs w:val="22"/>
              </w:rPr>
            </w:pPr>
            <w:r>
              <w:rPr>
                <w:rFonts w:cs="Arial"/>
                <w:color w:val="000000" w:themeColor="text1"/>
                <w:sz w:val="22"/>
                <w:szCs w:val="22"/>
              </w:rPr>
              <w:t>Impact of Covid-19 pandemic</w:t>
            </w:r>
          </w:p>
        </w:tc>
        <w:tc>
          <w:tcPr>
            <w:tcW w:w="4253" w:type="dxa"/>
          </w:tcPr>
          <w:p w14:paraId="5C729E05" w14:textId="77777777" w:rsidR="0042714D" w:rsidRDefault="0042714D" w:rsidP="001737BA">
            <w:pPr>
              <w:spacing w:before="60"/>
              <w:rPr>
                <w:rFonts w:cs="Arial"/>
                <w:color w:val="000000" w:themeColor="text1"/>
                <w:sz w:val="22"/>
                <w:szCs w:val="22"/>
                <w:lang w:val="en-US"/>
              </w:rPr>
            </w:pPr>
            <w:r>
              <w:rPr>
                <w:rFonts w:cs="Arial"/>
                <w:color w:val="000000" w:themeColor="text1"/>
                <w:sz w:val="22"/>
                <w:szCs w:val="22"/>
                <w:lang w:val="en-US"/>
              </w:rPr>
              <w:t xml:space="preserve">Public Health continue to focus on response to the pandemic and this will continue for some time – manage the risk to business-as-usual activity alongside </w:t>
            </w:r>
            <w:r>
              <w:rPr>
                <w:rFonts w:cs="Arial"/>
                <w:color w:val="000000" w:themeColor="text1"/>
                <w:sz w:val="22"/>
                <w:szCs w:val="22"/>
                <w:lang w:val="en-US"/>
              </w:rPr>
              <w:lastRenderedPageBreak/>
              <w:t>response to the pandemic and recovery from the pandemic.</w:t>
            </w:r>
          </w:p>
          <w:p w14:paraId="342502A7" w14:textId="77777777" w:rsidR="0042714D" w:rsidRDefault="0042714D" w:rsidP="001737BA">
            <w:pPr>
              <w:spacing w:before="60"/>
              <w:rPr>
                <w:rFonts w:cs="Arial"/>
                <w:color w:val="000000" w:themeColor="text1"/>
                <w:sz w:val="22"/>
                <w:szCs w:val="22"/>
                <w:lang w:val="en-US"/>
              </w:rPr>
            </w:pPr>
          </w:p>
          <w:p w14:paraId="37BA53B7" w14:textId="0AE39C89" w:rsidR="0042714D" w:rsidRPr="00160BA6" w:rsidRDefault="0042714D" w:rsidP="001737BA">
            <w:pPr>
              <w:pStyle w:val="Default"/>
              <w:spacing w:before="60" w:after="120"/>
              <w:rPr>
                <w:color w:val="000000" w:themeColor="text1"/>
                <w:sz w:val="22"/>
                <w:szCs w:val="22"/>
              </w:rPr>
            </w:pPr>
            <w:r>
              <w:rPr>
                <w:color w:val="000000" w:themeColor="text1"/>
                <w:sz w:val="22"/>
                <w:szCs w:val="22"/>
                <w:lang w:val="en-US"/>
              </w:rPr>
              <w:t>Manage increases in demand caused by the pandemic including in Adult Social Care, substance misuse services and commissioned domestic violence services.</w:t>
            </w:r>
          </w:p>
        </w:tc>
        <w:tc>
          <w:tcPr>
            <w:tcW w:w="5248" w:type="dxa"/>
          </w:tcPr>
          <w:p w14:paraId="481A4CBA" w14:textId="7944F1BB" w:rsidR="0042714D" w:rsidRDefault="00EF1958" w:rsidP="001737BA">
            <w:pPr>
              <w:spacing w:before="60"/>
              <w:rPr>
                <w:rFonts w:cs="Arial"/>
                <w:color w:val="000000" w:themeColor="text1"/>
                <w:sz w:val="22"/>
                <w:szCs w:val="22"/>
              </w:rPr>
            </w:pPr>
            <w:r>
              <w:rPr>
                <w:rFonts w:cs="Arial"/>
                <w:color w:val="000000" w:themeColor="text1"/>
                <w:sz w:val="22"/>
                <w:szCs w:val="22"/>
              </w:rPr>
              <w:lastRenderedPageBreak/>
              <w:t xml:space="preserve">The Council proactively </w:t>
            </w:r>
            <w:r w:rsidR="008D4B47">
              <w:rPr>
                <w:rFonts w:cs="Arial"/>
                <w:color w:val="000000" w:themeColor="text1"/>
                <w:sz w:val="22"/>
                <w:szCs w:val="22"/>
              </w:rPr>
              <w:t xml:space="preserve">responded to all aspects of the pandemic, </w:t>
            </w:r>
            <w:r w:rsidR="003B4F19">
              <w:rPr>
                <w:rFonts w:cs="Arial"/>
                <w:color w:val="000000" w:themeColor="text1"/>
                <w:sz w:val="22"/>
                <w:szCs w:val="22"/>
              </w:rPr>
              <w:t>but since infections fell and restrictions</w:t>
            </w:r>
            <w:r w:rsidR="00E04EB2">
              <w:rPr>
                <w:rFonts w:cs="Arial"/>
                <w:color w:val="000000" w:themeColor="text1"/>
                <w:sz w:val="22"/>
                <w:szCs w:val="22"/>
              </w:rPr>
              <w:t xml:space="preserve"> have</w:t>
            </w:r>
            <w:r w:rsidR="003B4F19">
              <w:rPr>
                <w:rFonts w:cs="Arial"/>
                <w:color w:val="000000" w:themeColor="text1"/>
                <w:sz w:val="22"/>
                <w:szCs w:val="22"/>
              </w:rPr>
              <w:t xml:space="preserve"> eased, working and living with </w:t>
            </w:r>
            <w:r w:rsidR="003B4F19">
              <w:rPr>
                <w:rFonts w:cs="Arial"/>
                <w:color w:val="000000" w:themeColor="text1"/>
                <w:sz w:val="22"/>
                <w:szCs w:val="22"/>
              </w:rPr>
              <w:lastRenderedPageBreak/>
              <w:t xml:space="preserve">Covid-19 has transitioned into business-as-usual activity. </w:t>
            </w:r>
          </w:p>
          <w:p w14:paraId="022A6C6D" w14:textId="1539365F" w:rsidR="003B4F19" w:rsidRPr="00160BA6" w:rsidRDefault="003B4F19" w:rsidP="001737BA">
            <w:pPr>
              <w:spacing w:before="60"/>
              <w:rPr>
                <w:rFonts w:cs="Arial"/>
                <w:color w:val="000000" w:themeColor="text1"/>
                <w:sz w:val="22"/>
                <w:szCs w:val="22"/>
              </w:rPr>
            </w:pPr>
            <w:r>
              <w:rPr>
                <w:rFonts w:cs="Arial"/>
                <w:color w:val="000000" w:themeColor="text1"/>
                <w:sz w:val="22"/>
                <w:szCs w:val="22"/>
              </w:rPr>
              <w:t xml:space="preserve">Specific </w:t>
            </w:r>
            <w:r w:rsidR="00533C8C">
              <w:rPr>
                <w:rFonts w:cs="Arial"/>
                <w:color w:val="000000" w:themeColor="text1"/>
                <w:sz w:val="22"/>
                <w:szCs w:val="22"/>
              </w:rPr>
              <w:t xml:space="preserve">Covid-19 </w:t>
            </w:r>
            <w:r>
              <w:rPr>
                <w:rFonts w:cs="Arial"/>
                <w:color w:val="000000" w:themeColor="text1"/>
                <w:sz w:val="22"/>
                <w:szCs w:val="22"/>
              </w:rPr>
              <w:t xml:space="preserve">governance and risk management </w:t>
            </w:r>
            <w:r w:rsidR="00533C8C">
              <w:rPr>
                <w:rFonts w:cs="Arial"/>
                <w:color w:val="000000" w:themeColor="text1"/>
                <w:sz w:val="22"/>
                <w:szCs w:val="22"/>
              </w:rPr>
              <w:t xml:space="preserve">structures and mechanisms have </w:t>
            </w:r>
            <w:r w:rsidR="00B01F67">
              <w:rPr>
                <w:rFonts w:cs="Arial"/>
                <w:color w:val="000000" w:themeColor="text1"/>
                <w:sz w:val="22"/>
                <w:szCs w:val="22"/>
              </w:rPr>
              <w:t>retired and</w:t>
            </w:r>
            <w:r w:rsidR="00E04EB2">
              <w:rPr>
                <w:rFonts w:cs="Arial"/>
                <w:color w:val="000000" w:themeColor="text1"/>
                <w:sz w:val="22"/>
                <w:szCs w:val="22"/>
              </w:rPr>
              <w:t xml:space="preserve"> consumed into </w:t>
            </w:r>
            <w:r w:rsidR="00370ECA">
              <w:rPr>
                <w:rFonts w:cs="Arial"/>
                <w:color w:val="000000" w:themeColor="text1"/>
                <w:sz w:val="22"/>
                <w:szCs w:val="22"/>
              </w:rPr>
              <w:t>the Council’s standard governance and monitoring arrangements.</w:t>
            </w:r>
            <w:r w:rsidR="00533C8C">
              <w:rPr>
                <w:rFonts w:cs="Arial"/>
                <w:color w:val="000000" w:themeColor="text1"/>
                <w:sz w:val="22"/>
                <w:szCs w:val="22"/>
              </w:rPr>
              <w:t xml:space="preserve"> </w:t>
            </w:r>
          </w:p>
        </w:tc>
      </w:tr>
      <w:tr w:rsidR="0042714D" w:rsidRPr="00160BA6" w14:paraId="2DEF81A7" w14:textId="77777777" w:rsidTr="001737BA">
        <w:tc>
          <w:tcPr>
            <w:tcW w:w="675" w:type="dxa"/>
          </w:tcPr>
          <w:p w14:paraId="5ABAF592" w14:textId="77777777" w:rsidR="0042714D" w:rsidRPr="00160BA6" w:rsidRDefault="0042714D" w:rsidP="001737BA">
            <w:pPr>
              <w:spacing w:before="60" w:after="60"/>
              <w:rPr>
                <w:rFonts w:cs="Arial"/>
                <w:color w:val="000000" w:themeColor="text1"/>
                <w:sz w:val="22"/>
                <w:szCs w:val="22"/>
              </w:rPr>
            </w:pPr>
            <w:r w:rsidRPr="00160BA6">
              <w:rPr>
                <w:rFonts w:cs="Arial"/>
                <w:color w:val="000000" w:themeColor="text1"/>
                <w:sz w:val="22"/>
                <w:szCs w:val="22"/>
              </w:rPr>
              <w:lastRenderedPageBreak/>
              <w:t>4</w:t>
            </w:r>
          </w:p>
        </w:tc>
        <w:tc>
          <w:tcPr>
            <w:tcW w:w="3998" w:type="dxa"/>
          </w:tcPr>
          <w:p w14:paraId="516BC2C5" w14:textId="196D3715" w:rsidR="0042714D" w:rsidRPr="00160BA6" w:rsidRDefault="0042714D" w:rsidP="001737BA">
            <w:pPr>
              <w:spacing w:before="60"/>
              <w:rPr>
                <w:bCs/>
                <w:color w:val="000000" w:themeColor="text1"/>
                <w:sz w:val="22"/>
                <w:szCs w:val="22"/>
              </w:rPr>
            </w:pPr>
            <w:r>
              <w:rPr>
                <w:rFonts w:cs="Arial"/>
                <w:color w:val="000000" w:themeColor="text1"/>
                <w:sz w:val="22"/>
                <w:szCs w:val="22"/>
              </w:rPr>
              <w:t>Commissioning, re-procurement and contract management of domiciliary care services</w:t>
            </w:r>
          </w:p>
        </w:tc>
        <w:tc>
          <w:tcPr>
            <w:tcW w:w="4253" w:type="dxa"/>
          </w:tcPr>
          <w:p w14:paraId="0DE6D1EF" w14:textId="77777777" w:rsidR="0042714D" w:rsidRDefault="0042714D" w:rsidP="001737BA">
            <w:pPr>
              <w:spacing w:before="60" w:after="120"/>
              <w:rPr>
                <w:rFonts w:cs="Arial"/>
                <w:color w:val="000000" w:themeColor="text1"/>
                <w:sz w:val="22"/>
                <w:szCs w:val="22"/>
                <w:lang w:val="en-US"/>
              </w:rPr>
            </w:pPr>
            <w:r>
              <w:rPr>
                <w:rFonts w:cs="Arial"/>
                <w:color w:val="000000" w:themeColor="text1"/>
                <w:sz w:val="22"/>
                <w:szCs w:val="22"/>
                <w:lang w:val="en-US"/>
              </w:rPr>
              <w:t>Consider future options in relation to electronic home care monitoring.</w:t>
            </w:r>
          </w:p>
          <w:p w14:paraId="6B10853B" w14:textId="77777777" w:rsidR="0042714D" w:rsidRDefault="0042714D" w:rsidP="001737BA">
            <w:pPr>
              <w:spacing w:before="60" w:after="120"/>
              <w:rPr>
                <w:rFonts w:cs="Arial"/>
                <w:color w:val="000000" w:themeColor="text1"/>
                <w:sz w:val="22"/>
                <w:szCs w:val="22"/>
                <w:lang w:val="en-US"/>
              </w:rPr>
            </w:pPr>
          </w:p>
          <w:p w14:paraId="6916FFA2" w14:textId="77777777" w:rsidR="009E3F86" w:rsidRDefault="009E3F86" w:rsidP="001737BA">
            <w:pPr>
              <w:autoSpaceDN w:val="0"/>
              <w:spacing w:before="60" w:after="120"/>
              <w:rPr>
                <w:rFonts w:cs="Arial"/>
                <w:color w:val="000000" w:themeColor="text1"/>
                <w:sz w:val="22"/>
                <w:szCs w:val="22"/>
                <w:lang w:val="en-US"/>
              </w:rPr>
            </w:pPr>
          </w:p>
          <w:p w14:paraId="394208A3" w14:textId="77777777" w:rsidR="009E3F86" w:rsidRDefault="009E3F86" w:rsidP="001737BA">
            <w:pPr>
              <w:autoSpaceDN w:val="0"/>
              <w:spacing w:before="60" w:after="120"/>
              <w:rPr>
                <w:rFonts w:cs="Arial"/>
                <w:color w:val="000000" w:themeColor="text1"/>
                <w:sz w:val="22"/>
                <w:szCs w:val="22"/>
                <w:lang w:val="en-US"/>
              </w:rPr>
            </w:pPr>
          </w:p>
          <w:p w14:paraId="350CEA49" w14:textId="77777777" w:rsidR="009E3F86" w:rsidRDefault="009E3F86" w:rsidP="001737BA">
            <w:pPr>
              <w:autoSpaceDN w:val="0"/>
              <w:spacing w:before="60" w:after="120"/>
              <w:rPr>
                <w:rFonts w:cs="Arial"/>
                <w:color w:val="000000" w:themeColor="text1"/>
                <w:sz w:val="22"/>
                <w:szCs w:val="22"/>
                <w:lang w:val="en-US"/>
              </w:rPr>
            </w:pPr>
          </w:p>
          <w:p w14:paraId="3E30F328" w14:textId="77777777" w:rsidR="009E3F86" w:rsidRDefault="009E3F86" w:rsidP="001737BA">
            <w:pPr>
              <w:autoSpaceDN w:val="0"/>
              <w:spacing w:before="60" w:after="120"/>
              <w:rPr>
                <w:rFonts w:cs="Arial"/>
                <w:color w:val="000000" w:themeColor="text1"/>
                <w:sz w:val="22"/>
                <w:szCs w:val="22"/>
                <w:lang w:val="en-US"/>
              </w:rPr>
            </w:pPr>
          </w:p>
          <w:p w14:paraId="2E1BEC83" w14:textId="76ED2AD5" w:rsidR="0042714D" w:rsidRPr="00160BA6" w:rsidRDefault="0042714D" w:rsidP="001737BA">
            <w:pPr>
              <w:autoSpaceDN w:val="0"/>
              <w:spacing w:before="60" w:after="120"/>
              <w:rPr>
                <w:rFonts w:cs="Arial"/>
                <w:color w:val="000000" w:themeColor="text1"/>
                <w:sz w:val="22"/>
                <w:szCs w:val="22"/>
              </w:rPr>
            </w:pPr>
            <w:r>
              <w:rPr>
                <w:rFonts w:cs="Arial"/>
                <w:color w:val="000000" w:themeColor="text1"/>
                <w:sz w:val="22"/>
                <w:szCs w:val="22"/>
                <w:lang w:val="en-US"/>
              </w:rPr>
              <w:t>Re-procure domiciliary care services worth c£30m p.a. and deliver savings opportunity identified within SCIE/CIPFA report.</w:t>
            </w:r>
          </w:p>
        </w:tc>
        <w:tc>
          <w:tcPr>
            <w:tcW w:w="5248" w:type="dxa"/>
          </w:tcPr>
          <w:p w14:paraId="73215601" w14:textId="77777777" w:rsidR="009E3F86" w:rsidRDefault="00D56356" w:rsidP="001737BA">
            <w:pPr>
              <w:spacing w:before="60" w:after="120"/>
              <w:rPr>
                <w:rFonts w:cs="Arial"/>
                <w:color w:val="000000" w:themeColor="text1"/>
                <w:sz w:val="22"/>
                <w:szCs w:val="22"/>
              </w:rPr>
            </w:pPr>
            <w:r>
              <w:rPr>
                <w:rFonts w:cs="Arial"/>
                <w:color w:val="000000" w:themeColor="text1"/>
                <w:sz w:val="22"/>
                <w:szCs w:val="22"/>
              </w:rPr>
              <w:t xml:space="preserve">Future options in relation to the electronic home care monitoring have been assessed during the period </w:t>
            </w:r>
            <w:r w:rsidR="00E805C0">
              <w:rPr>
                <w:rFonts w:cs="Arial"/>
                <w:color w:val="000000" w:themeColor="text1"/>
                <w:sz w:val="22"/>
                <w:szCs w:val="22"/>
              </w:rPr>
              <w:t>April 2021 to June 2021</w:t>
            </w:r>
            <w:r>
              <w:rPr>
                <w:rFonts w:cs="Arial"/>
                <w:color w:val="000000" w:themeColor="text1"/>
                <w:sz w:val="22"/>
                <w:szCs w:val="22"/>
              </w:rPr>
              <w:t>, and subseq</w:t>
            </w:r>
            <w:r w:rsidR="00DC4E47">
              <w:rPr>
                <w:rFonts w:cs="Arial"/>
                <w:color w:val="000000" w:themeColor="text1"/>
                <w:sz w:val="22"/>
                <w:szCs w:val="22"/>
              </w:rPr>
              <w:t xml:space="preserve">uently, </w:t>
            </w:r>
            <w:r w:rsidR="009E3F86">
              <w:rPr>
                <w:rFonts w:cs="Arial"/>
                <w:color w:val="000000" w:themeColor="text1"/>
                <w:sz w:val="22"/>
                <w:szCs w:val="22"/>
              </w:rPr>
              <w:t>a programme of work to replace the current systems has been added to the capital programme for 2022/23 and beyond.</w:t>
            </w:r>
          </w:p>
          <w:p w14:paraId="0C0A3984" w14:textId="77777777" w:rsidR="009E3F86" w:rsidRDefault="009E3F86" w:rsidP="001737BA">
            <w:pPr>
              <w:spacing w:before="60" w:after="120"/>
              <w:rPr>
                <w:rFonts w:cs="Arial"/>
                <w:color w:val="000000" w:themeColor="text1"/>
                <w:sz w:val="22"/>
                <w:szCs w:val="22"/>
              </w:rPr>
            </w:pPr>
          </w:p>
          <w:p w14:paraId="004D3B7B" w14:textId="552B04C8" w:rsidR="0042714D" w:rsidRPr="00160BA6" w:rsidRDefault="00E805C0" w:rsidP="001737BA">
            <w:pPr>
              <w:spacing w:before="60" w:after="120"/>
              <w:rPr>
                <w:rFonts w:cs="Arial"/>
                <w:color w:val="000000" w:themeColor="text1"/>
                <w:sz w:val="22"/>
                <w:szCs w:val="22"/>
              </w:rPr>
            </w:pPr>
            <w:r>
              <w:rPr>
                <w:rFonts w:cs="Arial"/>
                <w:color w:val="000000" w:themeColor="text1"/>
                <w:sz w:val="22"/>
                <w:szCs w:val="22"/>
              </w:rPr>
              <w:t>At the time of publishing this repo</w:t>
            </w:r>
            <w:r w:rsidR="009E3F86">
              <w:rPr>
                <w:rFonts w:cs="Arial"/>
                <w:color w:val="000000" w:themeColor="text1"/>
                <w:sz w:val="22"/>
                <w:szCs w:val="22"/>
              </w:rPr>
              <w:t>r</w:t>
            </w:r>
            <w:r>
              <w:rPr>
                <w:rFonts w:cs="Arial"/>
                <w:color w:val="000000" w:themeColor="text1"/>
                <w:sz w:val="22"/>
                <w:szCs w:val="22"/>
              </w:rPr>
              <w:t>t,</w:t>
            </w:r>
            <w:r w:rsidR="009E3F86">
              <w:rPr>
                <w:rFonts w:cs="Arial"/>
                <w:color w:val="000000" w:themeColor="text1"/>
                <w:sz w:val="22"/>
                <w:szCs w:val="22"/>
              </w:rPr>
              <w:t xml:space="preserve"> the </w:t>
            </w:r>
            <w:r w:rsidR="004042AC">
              <w:rPr>
                <w:rFonts w:cs="Arial"/>
                <w:color w:val="000000" w:themeColor="text1"/>
                <w:sz w:val="22"/>
                <w:szCs w:val="22"/>
              </w:rPr>
              <w:t xml:space="preserve">re-procurement of the domiciliary care services contract was underway, </w:t>
            </w:r>
            <w:r w:rsidR="0038378F">
              <w:rPr>
                <w:rFonts w:cs="Arial"/>
                <w:color w:val="000000" w:themeColor="text1"/>
                <w:sz w:val="22"/>
                <w:szCs w:val="22"/>
              </w:rPr>
              <w:t xml:space="preserve">with learnings taken from the SCIE/CIPFA report built into the </w:t>
            </w:r>
            <w:r w:rsidR="00E8696F">
              <w:rPr>
                <w:rFonts w:cs="Arial"/>
                <w:color w:val="000000" w:themeColor="text1"/>
                <w:sz w:val="22"/>
                <w:szCs w:val="22"/>
              </w:rPr>
              <w:t>specification and procurement approach accordingly.</w:t>
            </w:r>
            <w:r w:rsidR="0038378F">
              <w:rPr>
                <w:rFonts w:cs="Arial"/>
                <w:color w:val="000000" w:themeColor="text1"/>
                <w:sz w:val="22"/>
                <w:szCs w:val="22"/>
              </w:rPr>
              <w:t xml:space="preserve"> </w:t>
            </w:r>
            <w:r>
              <w:rPr>
                <w:rFonts w:cs="Arial"/>
                <w:color w:val="000000" w:themeColor="text1"/>
                <w:sz w:val="22"/>
                <w:szCs w:val="22"/>
              </w:rPr>
              <w:t xml:space="preserve"> </w:t>
            </w:r>
          </w:p>
        </w:tc>
      </w:tr>
      <w:tr w:rsidR="0042714D" w:rsidRPr="00160BA6" w14:paraId="2E2243A3" w14:textId="77777777" w:rsidTr="001737BA">
        <w:tc>
          <w:tcPr>
            <w:tcW w:w="675" w:type="dxa"/>
          </w:tcPr>
          <w:p w14:paraId="584D9E56" w14:textId="77777777" w:rsidR="0042714D" w:rsidRPr="00160BA6" w:rsidRDefault="0042714D" w:rsidP="001737BA">
            <w:pPr>
              <w:spacing w:before="60" w:after="60"/>
              <w:rPr>
                <w:rFonts w:cs="Arial"/>
                <w:color w:val="000000" w:themeColor="text1"/>
                <w:sz w:val="22"/>
                <w:szCs w:val="22"/>
              </w:rPr>
            </w:pPr>
            <w:r w:rsidRPr="00160BA6">
              <w:rPr>
                <w:rFonts w:cs="Arial"/>
                <w:color w:val="000000" w:themeColor="text1"/>
                <w:sz w:val="22"/>
                <w:szCs w:val="22"/>
              </w:rPr>
              <w:t>5</w:t>
            </w:r>
          </w:p>
        </w:tc>
        <w:tc>
          <w:tcPr>
            <w:tcW w:w="3998" w:type="dxa"/>
          </w:tcPr>
          <w:p w14:paraId="54298142" w14:textId="28006240" w:rsidR="0042714D" w:rsidRPr="00160BA6" w:rsidRDefault="0042714D" w:rsidP="001737BA">
            <w:pPr>
              <w:spacing w:before="60"/>
              <w:rPr>
                <w:bCs/>
                <w:color w:val="000000" w:themeColor="text1"/>
                <w:sz w:val="22"/>
                <w:szCs w:val="22"/>
              </w:rPr>
            </w:pPr>
            <w:r>
              <w:rPr>
                <w:rFonts w:cs="Arial"/>
                <w:color w:val="000000" w:themeColor="text1"/>
                <w:sz w:val="22"/>
                <w:szCs w:val="22"/>
              </w:rPr>
              <w:t>Compliance with standards in relation to video surveillance systems across the Council.</w:t>
            </w:r>
          </w:p>
        </w:tc>
        <w:tc>
          <w:tcPr>
            <w:tcW w:w="4253" w:type="dxa"/>
          </w:tcPr>
          <w:p w14:paraId="671F38B9" w14:textId="31C5F01E" w:rsidR="0042714D" w:rsidRPr="00160BA6" w:rsidRDefault="0042714D" w:rsidP="001737BA">
            <w:pPr>
              <w:pStyle w:val="Default"/>
              <w:spacing w:before="60"/>
              <w:rPr>
                <w:color w:val="000000" w:themeColor="text1"/>
                <w:sz w:val="22"/>
                <w:szCs w:val="22"/>
              </w:rPr>
            </w:pPr>
            <w:r>
              <w:rPr>
                <w:color w:val="000000" w:themeColor="text1"/>
                <w:sz w:val="22"/>
                <w:szCs w:val="22"/>
                <w:lang w:val="en-US"/>
              </w:rPr>
              <w:t>Continue with project (led within directorate but covering systems across the whole Council) to ensure compliance with standards.</w:t>
            </w:r>
          </w:p>
        </w:tc>
        <w:tc>
          <w:tcPr>
            <w:tcW w:w="5248" w:type="dxa"/>
          </w:tcPr>
          <w:p w14:paraId="3A281108" w14:textId="45CD2734" w:rsidR="0042714D" w:rsidRPr="00160BA6" w:rsidRDefault="00B01F67" w:rsidP="001737BA">
            <w:pPr>
              <w:spacing w:before="60" w:after="120"/>
              <w:rPr>
                <w:rFonts w:cs="Arial"/>
                <w:color w:val="000000" w:themeColor="text1"/>
                <w:sz w:val="22"/>
                <w:szCs w:val="22"/>
              </w:rPr>
            </w:pPr>
            <w:r>
              <w:rPr>
                <w:rFonts w:cs="Arial"/>
                <w:color w:val="000000" w:themeColor="text1"/>
                <w:sz w:val="22"/>
                <w:szCs w:val="22"/>
              </w:rPr>
              <w:t xml:space="preserve">Recognising this was a Council-wide </w:t>
            </w:r>
            <w:r w:rsidR="00B776CD">
              <w:rPr>
                <w:rFonts w:cs="Arial"/>
                <w:color w:val="000000" w:themeColor="text1"/>
                <w:sz w:val="22"/>
                <w:szCs w:val="22"/>
              </w:rPr>
              <w:t>issue, a two-year programme commen</w:t>
            </w:r>
            <w:r w:rsidR="00B42603">
              <w:rPr>
                <w:rFonts w:cs="Arial"/>
                <w:color w:val="000000" w:themeColor="text1"/>
                <w:sz w:val="22"/>
                <w:szCs w:val="22"/>
              </w:rPr>
              <w:t>c</w:t>
            </w:r>
            <w:r w:rsidR="00B776CD">
              <w:rPr>
                <w:rFonts w:cs="Arial"/>
                <w:color w:val="000000" w:themeColor="text1"/>
                <w:sz w:val="22"/>
                <w:szCs w:val="22"/>
              </w:rPr>
              <w:t>ed in 2021/22 to complete an action plan to address areas of non-compliance. As progress continues, this action has been c</w:t>
            </w:r>
            <w:r w:rsidR="00111E67">
              <w:rPr>
                <w:rFonts w:cs="Arial"/>
                <w:color w:val="000000" w:themeColor="text1"/>
                <w:sz w:val="22"/>
                <w:szCs w:val="22"/>
              </w:rPr>
              <w:t>arried forward</w:t>
            </w:r>
            <w:r w:rsidR="00B776CD">
              <w:rPr>
                <w:rFonts w:cs="Arial"/>
                <w:color w:val="000000" w:themeColor="text1"/>
                <w:sz w:val="22"/>
                <w:szCs w:val="22"/>
              </w:rPr>
              <w:t xml:space="preserve"> as outlined in the action plan for 2021/22 below.</w:t>
            </w:r>
          </w:p>
        </w:tc>
      </w:tr>
      <w:tr w:rsidR="0042714D" w:rsidRPr="00160BA6" w14:paraId="04222FDE" w14:textId="77777777" w:rsidTr="001737BA">
        <w:tc>
          <w:tcPr>
            <w:tcW w:w="675" w:type="dxa"/>
          </w:tcPr>
          <w:p w14:paraId="738994FC" w14:textId="77777777" w:rsidR="0042714D" w:rsidRPr="00160BA6" w:rsidRDefault="0042714D" w:rsidP="001737BA">
            <w:pPr>
              <w:spacing w:before="60" w:after="60"/>
              <w:rPr>
                <w:rFonts w:cs="Arial"/>
                <w:color w:val="000000" w:themeColor="text1"/>
                <w:sz w:val="22"/>
                <w:szCs w:val="22"/>
              </w:rPr>
            </w:pPr>
            <w:r w:rsidRPr="00160BA6">
              <w:rPr>
                <w:rFonts w:cs="Arial"/>
                <w:color w:val="000000" w:themeColor="text1"/>
                <w:sz w:val="22"/>
                <w:szCs w:val="22"/>
              </w:rPr>
              <w:lastRenderedPageBreak/>
              <w:t>6</w:t>
            </w:r>
          </w:p>
        </w:tc>
        <w:tc>
          <w:tcPr>
            <w:tcW w:w="3998" w:type="dxa"/>
          </w:tcPr>
          <w:p w14:paraId="39BBEF2C" w14:textId="11997196" w:rsidR="0042714D" w:rsidRPr="00160BA6" w:rsidRDefault="0042714D" w:rsidP="001737BA">
            <w:pPr>
              <w:pStyle w:val="Default"/>
              <w:spacing w:before="60"/>
              <w:rPr>
                <w:bCs/>
                <w:color w:val="000000" w:themeColor="text1"/>
                <w:sz w:val="22"/>
                <w:szCs w:val="22"/>
              </w:rPr>
            </w:pPr>
            <w:r>
              <w:rPr>
                <w:color w:val="000000" w:themeColor="text1"/>
                <w:sz w:val="22"/>
                <w:szCs w:val="22"/>
              </w:rPr>
              <w:t>Improvements in consistency and quality of work in Adult Social Care.</w:t>
            </w:r>
          </w:p>
        </w:tc>
        <w:tc>
          <w:tcPr>
            <w:tcW w:w="4253" w:type="dxa"/>
          </w:tcPr>
          <w:p w14:paraId="46A7544B" w14:textId="77777777" w:rsidR="0042714D" w:rsidRDefault="0042714D" w:rsidP="001737BA">
            <w:pPr>
              <w:spacing w:before="60"/>
              <w:rPr>
                <w:rFonts w:cs="Arial"/>
                <w:color w:val="000000" w:themeColor="text1"/>
                <w:sz w:val="22"/>
                <w:szCs w:val="22"/>
                <w:lang w:val="en-US"/>
              </w:rPr>
            </w:pPr>
            <w:r>
              <w:rPr>
                <w:rFonts w:cs="Arial"/>
                <w:color w:val="000000" w:themeColor="text1"/>
                <w:sz w:val="22"/>
                <w:szCs w:val="22"/>
                <w:lang w:val="en-US"/>
              </w:rPr>
              <w:t>Implement improvements identified in forthcoming SCIE/CIPFA report regarding practice (alongside financial/savings opportunities) as part of a comprehensive transformation and improvement programme.</w:t>
            </w:r>
          </w:p>
          <w:p w14:paraId="72AD06FA" w14:textId="77777777" w:rsidR="0042714D" w:rsidRDefault="0042714D" w:rsidP="001737BA">
            <w:pPr>
              <w:spacing w:before="60"/>
              <w:rPr>
                <w:rFonts w:cs="Arial"/>
                <w:color w:val="000000" w:themeColor="text1"/>
                <w:sz w:val="22"/>
                <w:szCs w:val="22"/>
                <w:lang w:val="en-US"/>
              </w:rPr>
            </w:pPr>
          </w:p>
          <w:p w14:paraId="72F195E2" w14:textId="77777777" w:rsidR="0042714D" w:rsidRDefault="0042714D" w:rsidP="001737BA">
            <w:pPr>
              <w:spacing w:before="60"/>
              <w:rPr>
                <w:rFonts w:cs="Arial"/>
                <w:color w:val="000000" w:themeColor="text1"/>
                <w:sz w:val="22"/>
                <w:szCs w:val="22"/>
                <w:lang w:val="en-US"/>
              </w:rPr>
            </w:pPr>
            <w:r>
              <w:rPr>
                <w:rFonts w:cs="Arial"/>
                <w:color w:val="000000" w:themeColor="text1"/>
                <w:sz w:val="22"/>
                <w:szCs w:val="22"/>
                <w:lang w:val="en-US"/>
              </w:rPr>
              <w:t>Implement further development to Mosaic (IT system) and improve the quality of data on the system as part of the above programme.</w:t>
            </w:r>
          </w:p>
          <w:p w14:paraId="3910030D" w14:textId="77777777" w:rsidR="0042714D" w:rsidRDefault="0042714D" w:rsidP="001737BA">
            <w:pPr>
              <w:spacing w:before="60"/>
              <w:rPr>
                <w:rFonts w:cs="Arial"/>
                <w:color w:val="000000" w:themeColor="text1"/>
                <w:sz w:val="22"/>
                <w:szCs w:val="22"/>
                <w:lang w:val="en-US"/>
              </w:rPr>
            </w:pPr>
          </w:p>
          <w:p w14:paraId="1899272C" w14:textId="3651DE9E" w:rsidR="0042714D" w:rsidRPr="00160BA6" w:rsidRDefault="0042714D" w:rsidP="001737BA">
            <w:pPr>
              <w:spacing w:before="60"/>
              <w:rPr>
                <w:rFonts w:cs="Arial"/>
                <w:color w:val="000000" w:themeColor="text1"/>
                <w:sz w:val="22"/>
                <w:szCs w:val="22"/>
              </w:rPr>
            </w:pPr>
            <w:r>
              <w:rPr>
                <w:rFonts w:cs="Arial"/>
                <w:color w:val="000000" w:themeColor="text1"/>
                <w:sz w:val="22"/>
                <w:szCs w:val="22"/>
                <w:lang w:val="en-US"/>
              </w:rPr>
              <w:t>Implement the recommendations in the internal audit of Client Financial Affairs (service managed within Resources Directorate).</w:t>
            </w:r>
          </w:p>
        </w:tc>
        <w:tc>
          <w:tcPr>
            <w:tcW w:w="5248" w:type="dxa"/>
          </w:tcPr>
          <w:p w14:paraId="0C143975" w14:textId="7EBA5A6E" w:rsidR="0042714D" w:rsidRDefault="00CF5423" w:rsidP="001737BA">
            <w:pPr>
              <w:spacing w:before="60"/>
              <w:rPr>
                <w:rFonts w:cs="Arial"/>
                <w:color w:val="000000" w:themeColor="text1"/>
                <w:sz w:val="22"/>
                <w:szCs w:val="22"/>
              </w:rPr>
            </w:pPr>
            <w:r>
              <w:rPr>
                <w:rFonts w:cs="Arial"/>
                <w:color w:val="000000" w:themeColor="text1"/>
                <w:sz w:val="22"/>
                <w:szCs w:val="22"/>
              </w:rPr>
              <w:t>Improvement plan has been developed following the SCIE/CIPFA report regarding practice</w:t>
            </w:r>
            <w:r w:rsidR="005D74AE">
              <w:rPr>
                <w:rFonts w:cs="Arial"/>
                <w:color w:val="000000" w:themeColor="text1"/>
                <w:sz w:val="22"/>
                <w:szCs w:val="22"/>
              </w:rPr>
              <w:t xml:space="preserve">, is funded and underway, with progress reported </w:t>
            </w:r>
            <w:r w:rsidR="00A54E4B">
              <w:rPr>
                <w:rFonts w:cs="Arial"/>
                <w:color w:val="000000" w:themeColor="text1"/>
                <w:sz w:val="22"/>
                <w:szCs w:val="22"/>
              </w:rPr>
              <w:t>periodically.</w:t>
            </w:r>
            <w:r w:rsidR="007C413B">
              <w:rPr>
                <w:rFonts w:cs="Arial"/>
                <w:color w:val="000000" w:themeColor="text1"/>
                <w:sz w:val="22"/>
                <w:szCs w:val="22"/>
              </w:rPr>
              <w:t xml:space="preserve"> This, alongside implementing specific </w:t>
            </w:r>
            <w:r w:rsidR="00590FAC">
              <w:rPr>
                <w:rFonts w:cs="Arial"/>
                <w:color w:val="000000" w:themeColor="text1"/>
                <w:sz w:val="22"/>
                <w:szCs w:val="22"/>
              </w:rPr>
              <w:t>internal audit recommendations for audits conducted previously, and throughout the year, is contributing to significant improvements.</w:t>
            </w:r>
          </w:p>
          <w:p w14:paraId="63D713FD" w14:textId="77777777" w:rsidR="00896F6A" w:rsidRDefault="00896F6A" w:rsidP="001737BA">
            <w:pPr>
              <w:spacing w:before="60"/>
              <w:rPr>
                <w:rFonts w:cs="Arial"/>
                <w:color w:val="000000" w:themeColor="text1"/>
                <w:sz w:val="22"/>
                <w:szCs w:val="22"/>
              </w:rPr>
            </w:pPr>
          </w:p>
          <w:p w14:paraId="5CF5F396" w14:textId="77777777" w:rsidR="00896F6A" w:rsidRDefault="00896F6A" w:rsidP="001737BA">
            <w:pPr>
              <w:spacing w:before="60"/>
              <w:rPr>
                <w:rFonts w:cs="Arial"/>
                <w:color w:val="000000" w:themeColor="text1"/>
                <w:sz w:val="22"/>
                <w:szCs w:val="22"/>
              </w:rPr>
            </w:pPr>
            <w:r>
              <w:rPr>
                <w:rFonts w:cs="Arial"/>
                <w:color w:val="000000" w:themeColor="text1"/>
                <w:sz w:val="22"/>
                <w:szCs w:val="22"/>
              </w:rPr>
              <w:t>Whilst progress has seen significant improvement in the areas of consistency and quality</w:t>
            </w:r>
            <w:r w:rsidR="00A54E4B">
              <w:rPr>
                <w:rFonts w:cs="Arial"/>
                <w:color w:val="000000" w:themeColor="text1"/>
                <w:sz w:val="22"/>
                <w:szCs w:val="22"/>
              </w:rPr>
              <w:t>, there is recognition that data quality issues do remain, especially as further development to Mosaic is needed</w:t>
            </w:r>
            <w:r w:rsidR="007C413B">
              <w:rPr>
                <w:rFonts w:cs="Arial"/>
                <w:color w:val="000000" w:themeColor="text1"/>
                <w:sz w:val="22"/>
                <w:szCs w:val="22"/>
              </w:rPr>
              <w:t>.</w:t>
            </w:r>
          </w:p>
          <w:p w14:paraId="16D81BCD" w14:textId="77777777" w:rsidR="007C413B" w:rsidRDefault="007C413B" w:rsidP="001737BA">
            <w:pPr>
              <w:spacing w:before="60"/>
              <w:rPr>
                <w:rFonts w:cs="Arial"/>
                <w:color w:val="000000" w:themeColor="text1"/>
                <w:sz w:val="22"/>
                <w:szCs w:val="22"/>
              </w:rPr>
            </w:pPr>
          </w:p>
          <w:p w14:paraId="4EED6400" w14:textId="3A8AA6E3" w:rsidR="007C413B" w:rsidRPr="00160BA6" w:rsidRDefault="007C413B" w:rsidP="001737BA">
            <w:pPr>
              <w:spacing w:before="60" w:after="120"/>
              <w:rPr>
                <w:rFonts w:cs="Arial"/>
                <w:color w:val="000000" w:themeColor="text1"/>
                <w:sz w:val="22"/>
                <w:szCs w:val="22"/>
              </w:rPr>
            </w:pPr>
            <w:r>
              <w:rPr>
                <w:rFonts w:cs="Arial"/>
                <w:color w:val="000000" w:themeColor="text1"/>
                <w:sz w:val="22"/>
                <w:szCs w:val="22"/>
              </w:rPr>
              <w:t xml:space="preserve">As a result, work will remain </w:t>
            </w:r>
            <w:r w:rsidR="00590FAC">
              <w:rPr>
                <w:rFonts w:cs="Arial"/>
                <w:color w:val="000000" w:themeColor="text1"/>
                <w:sz w:val="22"/>
                <w:szCs w:val="22"/>
              </w:rPr>
              <w:t xml:space="preserve">in progress </w:t>
            </w:r>
            <w:r w:rsidR="00E81CD7">
              <w:rPr>
                <w:rFonts w:cs="Arial"/>
                <w:color w:val="000000" w:themeColor="text1"/>
                <w:sz w:val="22"/>
                <w:szCs w:val="22"/>
              </w:rPr>
              <w:t>and therefore, this action has been carried forward as outlined in the action plan for 2021/22 below.</w:t>
            </w:r>
          </w:p>
        </w:tc>
      </w:tr>
      <w:tr w:rsidR="0042714D" w:rsidRPr="00160BA6" w14:paraId="5A90147D" w14:textId="77777777" w:rsidTr="001737BA">
        <w:tc>
          <w:tcPr>
            <w:tcW w:w="675" w:type="dxa"/>
          </w:tcPr>
          <w:p w14:paraId="2E92FF49" w14:textId="77777777" w:rsidR="0042714D" w:rsidRPr="00160BA6" w:rsidRDefault="0042714D" w:rsidP="001737BA">
            <w:pPr>
              <w:spacing w:before="60" w:after="60"/>
              <w:rPr>
                <w:rFonts w:cs="Arial"/>
                <w:color w:val="000000" w:themeColor="text1"/>
                <w:sz w:val="22"/>
                <w:szCs w:val="22"/>
              </w:rPr>
            </w:pPr>
            <w:r w:rsidRPr="00160BA6">
              <w:rPr>
                <w:rFonts w:cs="Arial"/>
                <w:color w:val="000000" w:themeColor="text1"/>
                <w:sz w:val="22"/>
                <w:szCs w:val="22"/>
              </w:rPr>
              <w:t>7</w:t>
            </w:r>
          </w:p>
        </w:tc>
        <w:tc>
          <w:tcPr>
            <w:tcW w:w="3998" w:type="dxa"/>
          </w:tcPr>
          <w:p w14:paraId="020A85F8" w14:textId="09DDAE6C" w:rsidR="0042714D" w:rsidRPr="00160BA6" w:rsidRDefault="0042714D" w:rsidP="001737BA">
            <w:pPr>
              <w:pStyle w:val="Default"/>
              <w:spacing w:before="60" w:after="60"/>
              <w:rPr>
                <w:bCs/>
                <w:color w:val="000000" w:themeColor="text1"/>
                <w:sz w:val="22"/>
                <w:szCs w:val="22"/>
              </w:rPr>
            </w:pPr>
            <w:r>
              <w:rPr>
                <w:color w:val="000000" w:themeColor="text1"/>
                <w:sz w:val="22"/>
                <w:szCs w:val="22"/>
              </w:rPr>
              <w:t>SEND performance – weaknesses in performance and provision. Will be subject to a Local Area Inspection by Ofsted and CQC.</w:t>
            </w:r>
          </w:p>
        </w:tc>
        <w:tc>
          <w:tcPr>
            <w:tcW w:w="4253" w:type="dxa"/>
          </w:tcPr>
          <w:p w14:paraId="7EB4CF5D" w14:textId="18791FC2" w:rsidR="0042714D" w:rsidRPr="00160BA6" w:rsidRDefault="0042714D" w:rsidP="001737BA">
            <w:pPr>
              <w:pStyle w:val="Default"/>
              <w:spacing w:before="60" w:after="60"/>
              <w:rPr>
                <w:color w:val="000000" w:themeColor="text1"/>
                <w:sz w:val="22"/>
                <w:szCs w:val="22"/>
              </w:rPr>
            </w:pPr>
            <w:r>
              <w:rPr>
                <w:color w:val="000000" w:themeColor="text1"/>
                <w:sz w:val="22"/>
                <w:szCs w:val="22"/>
                <w:lang w:val="en-US"/>
              </w:rPr>
              <w:t>SEND Improvement Board driving detailed SEND Improvement Plan.</w:t>
            </w:r>
          </w:p>
        </w:tc>
        <w:tc>
          <w:tcPr>
            <w:tcW w:w="5248" w:type="dxa"/>
          </w:tcPr>
          <w:p w14:paraId="79841114" w14:textId="1A3223E5" w:rsidR="0042714D" w:rsidRPr="00160BA6" w:rsidRDefault="005F6A63" w:rsidP="001737BA">
            <w:pPr>
              <w:pStyle w:val="Default"/>
              <w:spacing w:before="60" w:after="120"/>
              <w:rPr>
                <w:color w:val="000000" w:themeColor="text1"/>
                <w:sz w:val="22"/>
                <w:szCs w:val="22"/>
              </w:rPr>
            </w:pPr>
            <w:r>
              <w:rPr>
                <w:color w:val="000000" w:themeColor="text1"/>
                <w:sz w:val="22"/>
                <w:szCs w:val="22"/>
              </w:rPr>
              <w:t xml:space="preserve">The SEND Improvement Plan was developed, monitored and delivered throughout 2021/22, however, following the SEND Local Area Inspection, whilst </w:t>
            </w:r>
            <w:r w:rsidR="004E3090">
              <w:rPr>
                <w:color w:val="000000" w:themeColor="text1"/>
                <w:sz w:val="22"/>
                <w:szCs w:val="22"/>
              </w:rPr>
              <w:t>the content of this improvement plan covered a number of the areas identified, further work has been added, and will continue to be an area of focus for 2022/23</w:t>
            </w:r>
            <w:r w:rsidR="00267D3C">
              <w:rPr>
                <w:color w:val="000000" w:themeColor="text1"/>
                <w:sz w:val="22"/>
                <w:szCs w:val="22"/>
              </w:rPr>
              <w:t>, as such, an action remains to be followed up as outlined in the action plan for 2021/22 below.</w:t>
            </w:r>
          </w:p>
        </w:tc>
      </w:tr>
      <w:tr w:rsidR="0042714D" w:rsidRPr="00160BA6" w14:paraId="60F97402" w14:textId="77777777" w:rsidTr="001737BA">
        <w:tc>
          <w:tcPr>
            <w:tcW w:w="675" w:type="dxa"/>
          </w:tcPr>
          <w:p w14:paraId="646EF2B9" w14:textId="4571BB6F" w:rsidR="0042714D" w:rsidRPr="00160BA6" w:rsidRDefault="0042714D" w:rsidP="001737BA">
            <w:pPr>
              <w:spacing w:before="60" w:after="60"/>
              <w:rPr>
                <w:rFonts w:cs="Arial"/>
                <w:color w:val="000000" w:themeColor="text1"/>
                <w:sz w:val="22"/>
                <w:szCs w:val="22"/>
              </w:rPr>
            </w:pPr>
            <w:r>
              <w:rPr>
                <w:rFonts w:cs="Arial"/>
                <w:color w:val="000000" w:themeColor="text1"/>
                <w:sz w:val="22"/>
                <w:szCs w:val="22"/>
              </w:rPr>
              <w:lastRenderedPageBreak/>
              <w:t>8</w:t>
            </w:r>
          </w:p>
        </w:tc>
        <w:tc>
          <w:tcPr>
            <w:tcW w:w="3998" w:type="dxa"/>
          </w:tcPr>
          <w:p w14:paraId="538602F3" w14:textId="79C403A1" w:rsidR="0042714D" w:rsidRPr="00160BA6" w:rsidRDefault="0042714D" w:rsidP="001737BA">
            <w:pPr>
              <w:pStyle w:val="Default"/>
              <w:spacing w:before="60" w:after="120"/>
              <w:rPr>
                <w:bCs/>
                <w:color w:val="000000" w:themeColor="text1"/>
                <w:sz w:val="22"/>
                <w:szCs w:val="22"/>
              </w:rPr>
            </w:pPr>
            <w:r>
              <w:rPr>
                <w:color w:val="000000" w:themeColor="text1"/>
                <w:sz w:val="22"/>
                <w:szCs w:val="22"/>
              </w:rPr>
              <w:t>King George Fields Trust – Charities Commission investigation into delayed submission of accounts.</w:t>
            </w:r>
          </w:p>
        </w:tc>
        <w:tc>
          <w:tcPr>
            <w:tcW w:w="4253" w:type="dxa"/>
          </w:tcPr>
          <w:p w14:paraId="6FCC337E" w14:textId="77777777" w:rsidR="0042714D" w:rsidRDefault="0042714D" w:rsidP="001737BA">
            <w:pPr>
              <w:spacing w:before="60" w:after="120"/>
              <w:rPr>
                <w:rFonts w:cs="Arial"/>
                <w:color w:val="000000" w:themeColor="text1"/>
                <w:sz w:val="22"/>
                <w:szCs w:val="22"/>
                <w:lang w:val="en-US"/>
              </w:rPr>
            </w:pPr>
            <w:r>
              <w:rPr>
                <w:rFonts w:cs="Arial"/>
                <w:color w:val="000000" w:themeColor="text1"/>
                <w:sz w:val="22"/>
                <w:szCs w:val="22"/>
                <w:lang w:val="en-US"/>
              </w:rPr>
              <w:t>Urgent resolution of accounts.</w:t>
            </w:r>
          </w:p>
          <w:p w14:paraId="572BFECA" w14:textId="07E05A4B" w:rsidR="0042714D" w:rsidRPr="00160BA6" w:rsidRDefault="0042714D" w:rsidP="001737BA">
            <w:pPr>
              <w:spacing w:before="60" w:after="120"/>
              <w:rPr>
                <w:color w:val="000000" w:themeColor="text1"/>
                <w:sz w:val="22"/>
                <w:szCs w:val="22"/>
              </w:rPr>
            </w:pPr>
            <w:r>
              <w:rPr>
                <w:rFonts w:cs="Arial"/>
                <w:color w:val="000000" w:themeColor="text1"/>
                <w:sz w:val="22"/>
                <w:szCs w:val="22"/>
                <w:lang w:val="en-US"/>
              </w:rPr>
              <w:t>Review of governance arrangements.</w:t>
            </w:r>
          </w:p>
        </w:tc>
        <w:tc>
          <w:tcPr>
            <w:tcW w:w="5248" w:type="dxa"/>
          </w:tcPr>
          <w:p w14:paraId="2893CFED" w14:textId="33222F27" w:rsidR="00707804" w:rsidRDefault="00707804" w:rsidP="001737BA">
            <w:pPr>
              <w:spacing w:before="60" w:after="120"/>
              <w:rPr>
                <w:rFonts w:cs="Arial"/>
                <w:color w:val="000000" w:themeColor="text1"/>
                <w:sz w:val="22"/>
                <w:szCs w:val="22"/>
              </w:rPr>
            </w:pPr>
            <w:r>
              <w:rPr>
                <w:rFonts w:cs="Arial"/>
                <w:color w:val="000000" w:themeColor="text1"/>
                <w:sz w:val="22"/>
                <w:szCs w:val="22"/>
              </w:rPr>
              <w:t>The 20</w:t>
            </w:r>
            <w:r w:rsidRPr="00707804">
              <w:rPr>
                <w:rFonts w:cs="Arial"/>
                <w:color w:val="000000" w:themeColor="text1"/>
                <w:sz w:val="22"/>
                <w:szCs w:val="22"/>
              </w:rPr>
              <w:t xml:space="preserve">18/19 and </w:t>
            </w:r>
            <w:r>
              <w:rPr>
                <w:rFonts w:cs="Arial"/>
                <w:color w:val="000000" w:themeColor="text1"/>
                <w:sz w:val="22"/>
                <w:szCs w:val="22"/>
              </w:rPr>
              <w:t>20</w:t>
            </w:r>
            <w:r w:rsidRPr="00707804">
              <w:rPr>
                <w:rFonts w:cs="Arial"/>
                <w:color w:val="000000" w:themeColor="text1"/>
                <w:sz w:val="22"/>
                <w:szCs w:val="22"/>
              </w:rPr>
              <w:t>19/20 accounts and annual reports</w:t>
            </w:r>
            <w:r>
              <w:rPr>
                <w:rFonts w:cs="Arial"/>
                <w:color w:val="000000" w:themeColor="text1"/>
                <w:sz w:val="22"/>
                <w:szCs w:val="22"/>
              </w:rPr>
              <w:t xml:space="preserve"> have now been</w:t>
            </w:r>
            <w:r w:rsidRPr="00707804">
              <w:rPr>
                <w:rFonts w:cs="Arial"/>
                <w:color w:val="000000" w:themeColor="text1"/>
                <w:sz w:val="22"/>
                <w:szCs w:val="22"/>
              </w:rPr>
              <w:t xml:space="preserve"> filed </w:t>
            </w:r>
            <w:r>
              <w:rPr>
                <w:rFonts w:cs="Arial"/>
                <w:color w:val="000000" w:themeColor="text1"/>
                <w:sz w:val="22"/>
                <w:szCs w:val="22"/>
              </w:rPr>
              <w:t>with the</w:t>
            </w:r>
            <w:r w:rsidRPr="00707804">
              <w:rPr>
                <w:rFonts w:cs="Arial"/>
                <w:color w:val="000000" w:themeColor="text1"/>
                <w:sz w:val="22"/>
                <w:szCs w:val="22"/>
              </w:rPr>
              <w:t xml:space="preserve"> Charity Commission satisfied.</w:t>
            </w:r>
          </w:p>
          <w:p w14:paraId="1BCD416F" w14:textId="4D9E80E7" w:rsidR="00C2119D" w:rsidRDefault="00707804" w:rsidP="001737BA">
            <w:pPr>
              <w:spacing w:before="60" w:after="120"/>
              <w:rPr>
                <w:rFonts w:cs="Arial"/>
                <w:color w:val="000000" w:themeColor="text1"/>
                <w:sz w:val="22"/>
                <w:szCs w:val="22"/>
              </w:rPr>
            </w:pPr>
            <w:r>
              <w:rPr>
                <w:rFonts w:cs="Arial"/>
                <w:color w:val="000000" w:themeColor="text1"/>
                <w:sz w:val="22"/>
                <w:szCs w:val="22"/>
              </w:rPr>
              <w:t>The 202</w:t>
            </w:r>
            <w:r w:rsidRPr="00707804">
              <w:rPr>
                <w:rFonts w:cs="Arial"/>
                <w:color w:val="000000" w:themeColor="text1"/>
                <w:sz w:val="22"/>
                <w:szCs w:val="22"/>
              </w:rPr>
              <w:t>20/21 accounts and annual report</w:t>
            </w:r>
            <w:r>
              <w:rPr>
                <w:rFonts w:cs="Arial"/>
                <w:color w:val="000000" w:themeColor="text1"/>
                <w:sz w:val="22"/>
                <w:szCs w:val="22"/>
              </w:rPr>
              <w:t xml:space="preserve"> remain</w:t>
            </w:r>
            <w:r w:rsidRPr="00707804">
              <w:rPr>
                <w:rFonts w:cs="Arial"/>
                <w:color w:val="000000" w:themeColor="text1"/>
                <w:sz w:val="22"/>
                <w:szCs w:val="22"/>
              </w:rPr>
              <w:t xml:space="preserve"> on track to file</w:t>
            </w:r>
            <w:r>
              <w:rPr>
                <w:rFonts w:cs="Arial"/>
                <w:color w:val="000000" w:themeColor="text1"/>
                <w:sz w:val="22"/>
                <w:szCs w:val="22"/>
              </w:rPr>
              <w:t>d</w:t>
            </w:r>
            <w:r w:rsidRPr="00707804">
              <w:rPr>
                <w:rFonts w:cs="Arial"/>
                <w:color w:val="000000" w:themeColor="text1"/>
                <w:sz w:val="22"/>
                <w:szCs w:val="22"/>
              </w:rPr>
              <w:t xml:space="preserve"> by July 2022, which will be late, but </w:t>
            </w:r>
            <w:r>
              <w:rPr>
                <w:rFonts w:cs="Arial"/>
                <w:color w:val="000000" w:themeColor="text1"/>
                <w:sz w:val="22"/>
                <w:szCs w:val="22"/>
              </w:rPr>
              <w:t xml:space="preserve">the </w:t>
            </w:r>
            <w:r w:rsidRPr="00707804">
              <w:rPr>
                <w:rFonts w:cs="Arial"/>
                <w:color w:val="000000" w:themeColor="text1"/>
                <w:sz w:val="22"/>
                <w:szCs w:val="22"/>
              </w:rPr>
              <w:t>Charity Commission</w:t>
            </w:r>
            <w:r>
              <w:rPr>
                <w:rFonts w:cs="Arial"/>
                <w:color w:val="000000" w:themeColor="text1"/>
                <w:sz w:val="22"/>
                <w:szCs w:val="22"/>
              </w:rPr>
              <w:t xml:space="preserve"> remain</w:t>
            </w:r>
            <w:r w:rsidRPr="00707804">
              <w:rPr>
                <w:rFonts w:cs="Arial"/>
                <w:color w:val="000000" w:themeColor="text1"/>
                <w:sz w:val="22"/>
                <w:szCs w:val="22"/>
              </w:rPr>
              <w:t xml:space="preserve"> aware.</w:t>
            </w:r>
          </w:p>
          <w:p w14:paraId="50D6F172" w14:textId="384D3B83" w:rsidR="00C2119D" w:rsidRPr="00160BA6" w:rsidRDefault="00C2119D" w:rsidP="001737BA">
            <w:pPr>
              <w:spacing w:before="60" w:after="120"/>
              <w:rPr>
                <w:rFonts w:cs="Arial"/>
                <w:color w:val="000000" w:themeColor="text1"/>
                <w:sz w:val="22"/>
                <w:szCs w:val="22"/>
              </w:rPr>
            </w:pPr>
            <w:r>
              <w:rPr>
                <w:rFonts w:cs="Arial"/>
                <w:color w:val="000000" w:themeColor="text1"/>
                <w:sz w:val="22"/>
                <w:szCs w:val="22"/>
              </w:rPr>
              <w:t>These remain an area of focus</w:t>
            </w:r>
            <w:r w:rsidR="00E81CD7">
              <w:rPr>
                <w:rFonts w:cs="Arial"/>
                <w:color w:val="000000" w:themeColor="text1"/>
                <w:sz w:val="22"/>
                <w:szCs w:val="22"/>
              </w:rPr>
              <w:t>, along with ongoing governance improvements,</w:t>
            </w:r>
            <w:r>
              <w:rPr>
                <w:rFonts w:cs="Arial"/>
                <w:color w:val="000000" w:themeColor="text1"/>
                <w:sz w:val="22"/>
                <w:szCs w:val="22"/>
              </w:rPr>
              <w:t xml:space="preserve"> and as such, an action remains to be followed up as outlined in </w:t>
            </w:r>
            <w:r w:rsidR="000438CA">
              <w:rPr>
                <w:rFonts w:cs="Arial"/>
                <w:color w:val="000000" w:themeColor="text1"/>
                <w:sz w:val="22"/>
                <w:szCs w:val="22"/>
              </w:rPr>
              <w:t>the action plan for 2021/22 below.</w:t>
            </w:r>
          </w:p>
        </w:tc>
      </w:tr>
      <w:tr w:rsidR="0042714D" w:rsidRPr="00160BA6" w14:paraId="5970B5D2" w14:textId="77777777" w:rsidTr="001737BA">
        <w:tc>
          <w:tcPr>
            <w:tcW w:w="675" w:type="dxa"/>
          </w:tcPr>
          <w:p w14:paraId="5CE46982" w14:textId="3730585B" w:rsidR="0042714D" w:rsidRPr="00160BA6" w:rsidRDefault="0042714D" w:rsidP="001737BA">
            <w:pPr>
              <w:spacing w:before="60" w:after="60"/>
              <w:rPr>
                <w:rFonts w:cs="Arial"/>
                <w:color w:val="000000" w:themeColor="text1"/>
                <w:sz w:val="22"/>
                <w:szCs w:val="22"/>
              </w:rPr>
            </w:pPr>
            <w:r>
              <w:rPr>
                <w:rFonts w:cs="Arial"/>
                <w:color w:val="000000" w:themeColor="text1"/>
                <w:sz w:val="22"/>
                <w:szCs w:val="22"/>
              </w:rPr>
              <w:t>9</w:t>
            </w:r>
          </w:p>
        </w:tc>
        <w:tc>
          <w:tcPr>
            <w:tcW w:w="3998" w:type="dxa"/>
          </w:tcPr>
          <w:p w14:paraId="2EE7FA91" w14:textId="44F4A9EA" w:rsidR="0042714D" w:rsidRPr="00160BA6" w:rsidRDefault="0042714D" w:rsidP="001737BA">
            <w:pPr>
              <w:pStyle w:val="Default"/>
              <w:spacing w:before="60" w:after="60"/>
              <w:rPr>
                <w:bCs/>
                <w:color w:val="000000" w:themeColor="text1"/>
                <w:sz w:val="22"/>
                <w:szCs w:val="22"/>
              </w:rPr>
            </w:pPr>
            <w:r>
              <w:rPr>
                <w:color w:val="000000" w:themeColor="text1"/>
                <w:sz w:val="22"/>
                <w:szCs w:val="22"/>
              </w:rPr>
              <w:t>Ensure the Council is well prepared to meet the provisions contained within the Building Safety Bill to ensure Fire Safety in residential dwelling.</w:t>
            </w:r>
          </w:p>
        </w:tc>
        <w:tc>
          <w:tcPr>
            <w:tcW w:w="4253" w:type="dxa"/>
          </w:tcPr>
          <w:p w14:paraId="79275876" w14:textId="77777777" w:rsidR="0042714D" w:rsidRDefault="0042714D" w:rsidP="003A56C7">
            <w:pPr>
              <w:spacing w:before="60"/>
              <w:rPr>
                <w:rFonts w:cs="Arial"/>
                <w:color w:val="000000" w:themeColor="text1"/>
                <w:sz w:val="22"/>
                <w:szCs w:val="22"/>
              </w:rPr>
            </w:pPr>
            <w:r>
              <w:rPr>
                <w:rFonts w:cs="Arial"/>
                <w:color w:val="000000" w:themeColor="text1"/>
                <w:sz w:val="22"/>
                <w:szCs w:val="22"/>
              </w:rPr>
              <w:t>Review the Council’s Management Agreement (MA) with THH and ensure clear delegated functions are in place with THH including Fire Safety responsibilities.</w:t>
            </w:r>
          </w:p>
          <w:p w14:paraId="75799AA1" w14:textId="77777777" w:rsidR="0042714D" w:rsidRDefault="0042714D" w:rsidP="003A56C7">
            <w:pPr>
              <w:spacing w:before="60"/>
              <w:rPr>
                <w:rFonts w:cs="Arial"/>
                <w:color w:val="000000" w:themeColor="text1"/>
                <w:sz w:val="22"/>
                <w:szCs w:val="22"/>
              </w:rPr>
            </w:pPr>
          </w:p>
          <w:p w14:paraId="552E04C1" w14:textId="77777777" w:rsidR="0042714D" w:rsidRDefault="0042714D" w:rsidP="003A56C7">
            <w:pPr>
              <w:spacing w:before="60"/>
              <w:rPr>
                <w:rFonts w:cs="Arial"/>
                <w:color w:val="000000" w:themeColor="text1"/>
                <w:sz w:val="22"/>
                <w:szCs w:val="22"/>
              </w:rPr>
            </w:pPr>
            <w:r>
              <w:rPr>
                <w:rFonts w:cs="Arial"/>
                <w:color w:val="000000" w:themeColor="text1"/>
                <w:sz w:val="22"/>
                <w:szCs w:val="22"/>
              </w:rPr>
              <w:t>Put in place a shadow structure to meet provisions contained within the bill in advance of legislation.</w:t>
            </w:r>
          </w:p>
          <w:p w14:paraId="61793A1A" w14:textId="77777777" w:rsidR="0042714D" w:rsidRDefault="0042714D" w:rsidP="003A56C7">
            <w:pPr>
              <w:spacing w:before="60"/>
              <w:rPr>
                <w:rFonts w:cs="Arial"/>
                <w:color w:val="000000" w:themeColor="text1"/>
                <w:sz w:val="22"/>
                <w:szCs w:val="22"/>
              </w:rPr>
            </w:pPr>
          </w:p>
          <w:p w14:paraId="0577038C" w14:textId="02B6D70F" w:rsidR="0042714D" w:rsidRPr="00160BA6" w:rsidRDefault="0042714D" w:rsidP="003A56C7">
            <w:pPr>
              <w:spacing w:before="60"/>
              <w:ind w:left="57"/>
              <w:rPr>
                <w:color w:val="000000" w:themeColor="text1"/>
                <w:sz w:val="22"/>
                <w:szCs w:val="22"/>
              </w:rPr>
            </w:pPr>
            <w:r>
              <w:rPr>
                <w:rFonts w:cs="Arial"/>
                <w:color w:val="000000" w:themeColor="text1"/>
                <w:sz w:val="22"/>
                <w:szCs w:val="22"/>
              </w:rPr>
              <w:t>Put in place adequate resources, including ICT infrastructure to meet the demands of the Building Safety Bill and mitigate any risks reading THH housing stock.</w:t>
            </w:r>
          </w:p>
        </w:tc>
        <w:tc>
          <w:tcPr>
            <w:tcW w:w="5248" w:type="dxa"/>
          </w:tcPr>
          <w:p w14:paraId="74E0CB32" w14:textId="77CFCDF9" w:rsidR="003A56C7" w:rsidRPr="00A46D2F" w:rsidRDefault="003A56C7" w:rsidP="00A2285D">
            <w:pPr>
              <w:pStyle w:val="ListParagraph"/>
              <w:spacing w:before="60"/>
              <w:ind w:left="32" w:hanging="32"/>
              <w:rPr>
                <w:rFonts w:cs="Arial"/>
                <w:color w:val="000000" w:themeColor="text1"/>
                <w:sz w:val="22"/>
                <w:szCs w:val="22"/>
              </w:rPr>
            </w:pPr>
            <w:r w:rsidRPr="00A46D2F">
              <w:rPr>
                <w:rFonts w:cs="Arial"/>
                <w:color w:val="000000" w:themeColor="text1"/>
                <w:sz w:val="22"/>
                <w:szCs w:val="22"/>
              </w:rPr>
              <w:t>The LBTH/THH MA sets out THH’s responsibilities to ensure that the Council meets all its regulatory and statutory duties including building and fire safety duties.  Schedule 1 of the MA sets out THH’s repairs and maintenance duties (including fire safety).</w:t>
            </w:r>
          </w:p>
          <w:p w14:paraId="2ACD3A6A" w14:textId="77A7F021" w:rsidR="003A56C7" w:rsidRPr="00A46D2F" w:rsidRDefault="003A56C7" w:rsidP="00A2285D">
            <w:pPr>
              <w:spacing w:before="60" w:after="60"/>
              <w:ind w:left="34" w:hanging="34"/>
              <w:rPr>
                <w:rFonts w:cs="Arial"/>
                <w:color w:val="000000" w:themeColor="text1"/>
                <w:sz w:val="22"/>
                <w:szCs w:val="22"/>
              </w:rPr>
            </w:pPr>
            <w:r w:rsidRPr="00A46D2F">
              <w:rPr>
                <w:rFonts w:cs="Arial"/>
                <w:color w:val="000000" w:themeColor="text1"/>
                <w:sz w:val="22"/>
                <w:szCs w:val="22"/>
              </w:rPr>
              <w:t>The MA states</w:t>
            </w:r>
            <w:r w:rsidR="00A2285D">
              <w:rPr>
                <w:rFonts w:cs="Arial"/>
                <w:color w:val="000000" w:themeColor="text1"/>
                <w:sz w:val="22"/>
                <w:szCs w:val="22"/>
              </w:rPr>
              <w:t>:</w:t>
            </w:r>
          </w:p>
          <w:p w14:paraId="18C6B34A" w14:textId="1C6719E8" w:rsidR="003A56C7" w:rsidRPr="00A46D2F" w:rsidRDefault="003A56C7" w:rsidP="00A2285D">
            <w:pPr>
              <w:spacing w:before="60" w:after="120"/>
              <w:ind w:left="34" w:hanging="34"/>
              <w:rPr>
                <w:rFonts w:cs="Arial"/>
                <w:color w:val="000000" w:themeColor="text1"/>
                <w:sz w:val="22"/>
                <w:szCs w:val="22"/>
              </w:rPr>
            </w:pPr>
            <w:r w:rsidRPr="00A46D2F">
              <w:rPr>
                <w:rFonts w:cs="Arial"/>
                <w:color w:val="000000" w:themeColor="text1"/>
                <w:sz w:val="22"/>
                <w:szCs w:val="22"/>
              </w:rPr>
              <w:t>In section 25.1 ‘THH will comply with all relevant legislation (including but not limited to legislation relating to health and safety, fire safety and equality and diversity)</w:t>
            </w:r>
          </w:p>
          <w:p w14:paraId="2F4EB7CD" w14:textId="17BCAB62" w:rsidR="003A56C7" w:rsidRPr="00A46D2F" w:rsidRDefault="003A56C7" w:rsidP="00A2285D">
            <w:pPr>
              <w:spacing w:before="60" w:after="120"/>
              <w:ind w:left="34" w:hanging="34"/>
              <w:rPr>
                <w:rFonts w:cs="Arial"/>
                <w:color w:val="000000" w:themeColor="text1"/>
                <w:sz w:val="22"/>
                <w:szCs w:val="22"/>
              </w:rPr>
            </w:pPr>
            <w:r w:rsidRPr="00A46D2F">
              <w:rPr>
                <w:rFonts w:cs="Arial"/>
                <w:color w:val="000000" w:themeColor="text1"/>
                <w:sz w:val="22"/>
                <w:szCs w:val="22"/>
              </w:rPr>
              <w:t>In Section 26.2 ‘</w:t>
            </w:r>
            <w:r w:rsidRPr="00A46D2F">
              <w:rPr>
                <w:rFonts w:cs="Arial"/>
                <w:sz w:val="22"/>
                <w:szCs w:val="22"/>
              </w:rPr>
              <w:t xml:space="preserve">THH and the Council acknowledge that following the Government's 2019 publication (Building a Safe Future), new legislation is expected to be brought into force which will change the regulatory framework and statutory requirements for the maintenance and </w:t>
            </w:r>
            <w:r w:rsidRPr="00A46D2F">
              <w:rPr>
                <w:rFonts w:cs="Arial"/>
                <w:sz w:val="22"/>
                <w:szCs w:val="22"/>
              </w:rPr>
              <w:lastRenderedPageBreak/>
              <w:t>management of residential premises of 18 metres (six stories) or more.’</w:t>
            </w:r>
          </w:p>
          <w:p w14:paraId="395CABF2" w14:textId="52414787" w:rsidR="003A56C7" w:rsidRPr="00A46D2F" w:rsidRDefault="003A56C7" w:rsidP="00A2285D">
            <w:pPr>
              <w:pStyle w:val="ListParagraph"/>
              <w:spacing w:before="60" w:after="120"/>
              <w:ind w:left="34"/>
              <w:rPr>
                <w:rFonts w:cs="Arial"/>
                <w:color w:val="000000" w:themeColor="text1"/>
                <w:sz w:val="22"/>
                <w:szCs w:val="22"/>
              </w:rPr>
            </w:pPr>
            <w:r w:rsidRPr="00A46D2F">
              <w:rPr>
                <w:rFonts w:cs="Arial"/>
                <w:color w:val="000000" w:themeColor="text1"/>
                <w:sz w:val="22"/>
                <w:szCs w:val="22"/>
              </w:rPr>
              <w:t xml:space="preserve">The shadow structure was approved by Cabinet on 24 November 2021.  The new Council role of Building Safety Lead was appointed to on 23 May 2022, with THH appointing their interim Fire Safety Manager on March 2022. </w:t>
            </w:r>
            <w:r>
              <w:rPr>
                <w:rFonts w:cs="Arial"/>
                <w:color w:val="000000" w:themeColor="text1"/>
                <w:sz w:val="22"/>
                <w:szCs w:val="22"/>
              </w:rPr>
              <w:t>Further r</w:t>
            </w:r>
            <w:r w:rsidRPr="00A46D2F">
              <w:rPr>
                <w:rFonts w:cs="Arial"/>
                <w:color w:val="000000" w:themeColor="text1"/>
                <w:sz w:val="22"/>
                <w:szCs w:val="22"/>
              </w:rPr>
              <w:t xml:space="preserve">ecruitment </w:t>
            </w:r>
            <w:r>
              <w:rPr>
                <w:rFonts w:cs="Arial"/>
                <w:color w:val="000000" w:themeColor="text1"/>
                <w:sz w:val="22"/>
                <w:szCs w:val="22"/>
              </w:rPr>
              <w:t xml:space="preserve">at THH is underway; a </w:t>
            </w:r>
            <w:r w:rsidRPr="00A46D2F">
              <w:rPr>
                <w:rFonts w:cs="Arial"/>
                <w:color w:val="000000" w:themeColor="text1"/>
                <w:sz w:val="22"/>
                <w:szCs w:val="22"/>
              </w:rPr>
              <w:t xml:space="preserve">Fire Safety officer </w:t>
            </w:r>
            <w:r>
              <w:rPr>
                <w:rFonts w:cs="Arial"/>
                <w:color w:val="000000" w:themeColor="text1"/>
                <w:sz w:val="22"/>
                <w:szCs w:val="22"/>
              </w:rPr>
              <w:t xml:space="preserve">and </w:t>
            </w:r>
            <w:r w:rsidRPr="00A46D2F">
              <w:rPr>
                <w:rFonts w:cs="Arial"/>
                <w:color w:val="000000" w:themeColor="text1"/>
                <w:sz w:val="22"/>
                <w:szCs w:val="22"/>
              </w:rPr>
              <w:t>Building Safety Officers</w:t>
            </w:r>
            <w:r>
              <w:rPr>
                <w:rFonts w:cs="Arial"/>
                <w:color w:val="000000" w:themeColor="text1"/>
                <w:sz w:val="22"/>
                <w:szCs w:val="22"/>
              </w:rPr>
              <w:t>. There have been some delays in recruitment due to a wider</w:t>
            </w:r>
            <w:r w:rsidRPr="00A46D2F">
              <w:rPr>
                <w:rFonts w:cs="Arial"/>
                <w:color w:val="000000" w:themeColor="text1"/>
                <w:sz w:val="22"/>
                <w:szCs w:val="22"/>
              </w:rPr>
              <w:t xml:space="preserve"> restructur</w:t>
            </w:r>
            <w:r>
              <w:rPr>
                <w:rFonts w:cs="Arial"/>
                <w:color w:val="000000" w:themeColor="text1"/>
                <w:sz w:val="22"/>
                <w:szCs w:val="22"/>
              </w:rPr>
              <w:t>ing underway in</w:t>
            </w:r>
            <w:r w:rsidRPr="00A46D2F">
              <w:rPr>
                <w:rFonts w:cs="Arial"/>
                <w:color w:val="000000" w:themeColor="text1"/>
                <w:sz w:val="22"/>
                <w:szCs w:val="22"/>
              </w:rPr>
              <w:t xml:space="preserve"> Asset Management</w:t>
            </w:r>
            <w:r>
              <w:rPr>
                <w:rFonts w:cs="Arial"/>
                <w:color w:val="000000" w:themeColor="text1"/>
                <w:sz w:val="22"/>
                <w:szCs w:val="22"/>
              </w:rPr>
              <w:t>.</w:t>
            </w:r>
          </w:p>
          <w:p w14:paraId="4FB80521" w14:textId="4D61F76A" w:rsidR="003A56C7" w:rsidRPr="00A2285D" w:rsidRDefault="003A56C7" w:rsidP="00A2285D">
            <w:pPr>
              <w:spacing w:before="60" w:after="120"/>
              <w:ind w:left="34"/>
              <w:rPr>
                <w:rFonts w:cs="Arial"/>
                <w:color w:val="000000" w:themeColor="text1"/>
                <w:sz w:val="22"/>
                <w:szCs w:val="22"/>
              </w:rPr>
            </w:pPr>
            <w:r w:rsidRPr="00A46D2F">
              <w:rPr>
                <w:rFonts w:cs="Arial"/>
                <w:color w:val="000000" w:themeColor="text1"/>
                <w:sz w:val="22"/>
                <w:szCs w:val="22"/>
              </w:rPr>
              <w:t xml:space="preserve">There are roles for 7 Building Safety Officers and 1 Building Safety Team leader that are due to be filled. </w:t>
            </w:r>
          </w:p>
          <w:p w14:paraId="43A47AAB" w14:textId="759D011D" w:rsidR="003A56C7" w:rsidRPr="00A2285D" w:rsidRDefault="003A56C7" w:rsidP="00A2285D">
            <w:pPr>
              <w:pStyle w:val="ListParagraph"/>
              <w:spacing w:before="60" w:after="120"/>
              <w:ind w:left="34"/>
              <w:rPr>
                <w:rFonts w:cs="Arial"/>
                <w:color w:val="000000" w:themeColor="text1"/>
                <w:sz w:val="22"/>
                <w:szCs w:val="22"/>
              </w:rPr>
            </w:pPr>
            <w:r w:rsidRPr="00A46D2F">
              <w:rPr>
                <w:rFonts w:cs="Arial"/>
                <w:color w:val="000000" w:themeColor="text1"/>
                <w:sz w:val="22"/>
                <w:szCs w:val="22"/>
              </w:rPr>
              <w:t xml:space="preserve">Meetings have been held with LBTH ICT and the LBTH’s Building Safety </w:t>
            </w:r>
            <w:proofErr w:type="gramStart"/>
            <w:r w:rsidRPr="00A46D2F">
              <w:rPr>
                <w:rFonts w:cs="Arial"/>
                <w:color w:val="000000" w:themeColor="text1"/>
                <w:sz w:val="22"/>
                <w:szCs w:val="22"/>
              </w:rPr>
              <w:t>Le</w:t>
            </w:r>
            <w:r>
              <w:rPr>
                <w:rFonts w:cs="Arial"/>
                <w:color w:val="000000" w:themeColor="text1"/>
                <w:sz w:val="22"/>
                <w:szCs w:val="22"/>
              </w:rPr>
              <w:t>a</w:t>
            </w:r>
            <w:r w:rsidRPr="00A46D2F">
              <w:rPr>
                <w:rFonts w:cs="Arial"/>
                <w:color w:val="000000" w:themeColor="text1"/>
                <w:sz w:val="22"/>
                <w:szCs w:val="22"/>
              </w:rPr>
              <w:t>d</w:t>
            </w:r>
            <w:proofErr w:type="gramEnd"/>
            <w:r w:rsidRPr="00A46D2F">
              <w:rPr>
                <w:rFonts w:cs="Arial"/>
                <w:color w:val="000000" w:themeColor="text1"/>
                <w:sz w:val="22"/>
                <w:szCs w:val="22"/>
              </w:rPr>
              <w:t xml:space="preserve"> to look at resourcing adequate ICT to support delivery of the building safety regime.  The required ICT is pending secondary legislation being published.</w:t>
            </w:r>
          </w:p>
          <w:p w14:paraId="403A5850" w14:textId="44FFC966" w:rsidR="003A56C7" w:rsidRPr="00A2285D" w:rsidRDefault="003A56C7" w:rsidP="00A2285D">
            <w:pPr>
              <w:pStyle w:val="ListParagraph"/>
              <w:spacing w:before="60" w:after="120"/>
              <w:ind w:left="34"/>
              <w:rPr>
                <w:rFonts w:cs="Arial"/>
                <w:color w:val="000000" w:themeColor="text1"/>
                <w:sz w:val="22"/>
                <w:szCs w:val="22"/>
              </w:rPr>
            </w:pPr>
            <w:r w:rsidRPr="00A46D2F">
              <w:rPr>
                <w:rFonts w:cs="Arial"/>
                <w:color w:val="000000" w:themeColor="text1"/>
                <w:sz w:val="22"/>
                <w:szCs w:val="22"/>
              </w:rPr>
              <w:t>THH have procured a 1</w:t>
            </w:r>
            <w:r>
              <w:rPr>
                <w:rFonts w:cs="Arial"/>
                <w:color w:val="000000" w:themeColor="text1"/>
                <w:sz w:val="22"/>
                <w:szCs w:val="22"/>
              </w:rPr>
              <w:t>2-</w:t>
            </w:r>
            <w:r w:rsidRPr="00A46D2F">
              <w:rPr>
                <w:rFonts w:cs="Arial"/>
                <w:color w:val="000000" w:themeColor="text1"/>
                <w:sz w:val="22"/>
                <w:szCs w:val="22"/>
              </w:rPr>
              <w:t>month contract with ‘Active Plan’ for the storage of key building information and the ‘Golden Thread’ this has allowed time for a more permanent solution.</w:t>
            </w:r>
          </w:p>
          <w:p w14:paraId="41CFBC1F" w14:textId="1E45580F" w:rsidR="0042714D" w:rsidRPr="00160BA6" w:rsidRDefault="003A56C7" w:rsidP="00A2285D">
            <w:pPr>
              <w:pStyle w:val="ListParagraph"/>
              <w:spacing w:before="60" w:after="60"/>
              <w:ind w:left="34"/>
              <w:rPr>
                <w:rFonts w:cs="Arial"/>
                <w:color w:val="000000" w:themeColor="text1"/>
                <w:sz w:val="22"/>
                <w:szCs w:val="22"/>
              </w:rPr>
            </w:pPr>
            <w:r w:rsidRPr="00A46D2F">
              <w:rPr>
                <w:rFonts w:cs="Arial"/>
                <w:color w:val="000000" w:themeColor="text1"/>
                <w:sz w:val="22"/>
                <w:szCs w:val="22"/>
              </w:rPr>
              <w:t xml:space="preserve">As part of preparing for the requirements of the Building Safety Act a growth bid was submitted to build a Building Control Team that is fit for purpose to deal with the new requirements and responsibilities. While some growth has been </w:t>
            </w:r>
            <w:r w:rsidRPr="00A46D2F">
              <w:rPr>
                <w:rFonts w:cs="Arial"/>
                <w:color w:val="000000" w:themeColor="text1"/>
                <w:sz w:val="22"/>
                <w:szCs w:val="22"/>
              </w:rPr>
              <w:lastRenderedPageBreak/>
              <w:t xml:space="preserve">approved, the level of funding </w:t>
            </w:r>
            <w:r>
              <w:rPr>
                <w:rFonts w:cs="Arial"/>
                <w:color w:val="000000" w:themeColor="text1"/>
                <w:sz w:val="22"/>
                <w:szCs w:val="22"/>
              </w:rPr>
              <w:t>will be</w:t>
            </w:r>
            <w:r w:rsidRPr="00A46D2F">
              <w:rPr>
                <w:rFonts w:cs="Arial"/>
                <w:color w:val="000000" w:themeColor="text1"/>
                <w:sz w:val="22"/>
                <w:szCs w:val="22"/>
              </w:rPr>
              <w:t xml:space="preserve"> insufficient to deal with the </w:t>
            </w:r>
            <w:r>
              <w:rPr>
                <w:rFonts w:cs="Arial"/>
                <w:color w:val="000000" w:themeColor="text1"/>
                <w:sz w:val="22"/>
                <w:szCs w:val="22"/>
              </w:rPr>
              <w:t xml:space="preserve">full </w:t>
            </w:r>
            <w:r w:rsidRPr="00A46D2F">
              <w:rPr>
                <w:rFonts w:cs="Arial"/>
                <w:color w:val="000000" w:themeColor="text1"/>
                <w:sz w:val="22"/>
                <w:szCs w:val="22"/>
              </w:rPr>
              <w:t>requirements of the Act</w:t>
            </w:r>
            <w:r>
              <w:rPr>
                <w:rFonts w:cs="Arial"/>
                <w:color w:val="000000" w:themeColor="text1"/>
                <w:sz w:val="22"/>
                <w:szCs w:val="22"/>
              </w:rPr>
              <w:t xml:space="preserve"> in relation to building control functions</w:t>
            </w:r>
            <w:r w:rsidRPr="00A46D2F">
              <w:rPr>
                <w:rFonts w:cs="Arial"/>
                <w:color w:val="000000" w:themeColor="text1"/>
                <w:sz w:val="22"/>
                <w:szCs w:val="22"/>
              </w:rPr>
              <w:t>. A phased approach will be taken, with the new structure developed and put in place in 2023/4 and additional growth funding bid for in year two, informed by up to date understanding of the cost recovery process and any new burdens funding</w:t>
            </w:r>
            <w:r>
              <w:rPr>
                <w:rFonts w:cs="Arial"/>
                <w:color w:val="000000" w:themeColor="text1"/>
                <w:sz w:val="22"/>
                <w:szCs w:val="22"/>
              </w:rPr>
              <w:t xml:space="preserve"> from government</w:t>
            </w:r>
            <w:r w:rsidRPr="00A46D2F">
              <w:rPr>
                <w:rFonts w:cs="Arial"/>
                <w:color w:val="000000" w:themeColor="text1"/>
                <w:sz w:val="22"/>
                <w:szCs w:val="22"/>
              </w:rPr>
              <w:t>.</w:t>
            </w:r>
          </w:p>
        </w:tc>
      </w:tr>
      <w:tr w:rsidR="0042714D" w:rsidRPr="00160BA6" w14:paraId="6290196D" w14:textId="77777777" w:rsidTr="001737BA">
        <w:tc>
          <w:tcPr>
            <w:tcW w:w="675" w:type="dxa"/>
          </w:tcPr>
          <w:p w14:paraId="53FC1AD8" w14:textId="1142E04C" w:rsidR="0042714D" w:rsidRPr="00160BA6" w:rsidRDefault="0042714D" w:rsidP="001737BA">
            <w:pPr>
              <w:spacing w:before="60" w:after="60"/>
              <w:rPr>
                <w:rFonts w:cs="Arial"/>
                <w:color w:val="000000" w:themeColor="text1"/>
                <w:sz w:val="22"/>
                <w:szCs w:val="22"/>
              </w:rPr>
            </w:pPr>
            <w:r>
              <w:rPr>
                <w:rFonts w:cs="Arial"/>
                <w:color w:val="000000" w:themeColor="text1"/>
                <w:sz w:val="22"/>
                <w:szCs w:val="22"/>
              </w:rPr>
              <w:lastRenderedPageBreak/>
              <w:t>10</w:t>
            </w:r>
          </w:p>
        </w:tc>
        <w:tc>
          <w:tcPr>
            <w:tcW w:w="3998" w:type="dxa"/>
          </w:tcPr>
          <w:p w14:paraId="29D28986" w14:textId="3F6A49F2" w:rsidR="0042714D" w:rsidRPr="00160BA6" w:rsidRDefault="0042714D" w:rsidP="001737BA">
            <w:pPr>
              <w:spacing w:before="60"/>
              <w:ind w:left="57"/>
              <w:rPr>
                <w:rFonts w:cs="Arial"/>
                <w:color w:val="000000" w:themeColor="text1"/>
                <w:sz w:val="22"/>
                <w:szCs w:val="22"/>
              </w:rPr>
            </w:pPr>
            <w:r>
              <w:rPr>
                <w:rFonts w:cs="Arial"/>
                <w:color w:val="000000" w:themeColor="text1"/>
                <w:sz w:val="22"/>
                <w:szCs w:val="22"/>
              </w:rPr>
              <w:t>Continue to progress remedial fire safety measures for residents in tower blocks in the borough to improve fire safety.</w:t>
            </w:r>
          </w:p>
        </w:tc>
        <w:tc>
          <w:tcPr>
            <w:tcW w:w="4253" w:type="dxa"/>
          </w:tcPr>
          <w:p w14:paraId="6BA3A2AD" w14:textId="77777777" w:rsidR="0042714D" w:rsidRDefault="0042714D" w:rsidP="001737BA">
            <w:pPr>
              <w:spacing w:before="60"/>
              <w:rPr>
                <w:rFonts w:cs="Arial"/>
                <w:color w:val="000000" w:themeColor="text1"/>
                <w:sz w:val="22"/>
                <w:szCs w:val="22"/>
              </w:rPr>
            </w:pPr>
            <w:r>
              <w:rPr>
                <w:rFonts w:cs="Arial"/>
                <w:color w:val="000000" w:themeColor="text1"/>
                <w:sz w:val="22"/>
                <w:szCs w:val="22"/>
              </w:rPr>
              <w:t>Monitor, report and continue to progress ACM remediation with London Fire Brigade, GLA, MHCLG.</w:t>
            </w:r>
          </w:p>
          <w:p w14:paraId="7FA4B7E9" w14:textId="77777777" w:rsidR="0042714D" w:rsidRDefault="0042714D" w:rsidP="001737BA">
            <w:pPr>
              <w:spacing w:before="60"/>
              <w:rPr>
                <w:rFonts w:cs="Arial"/>
                <w:color w:val="000000" w:themeColor="text1"/>
                <w:sz w:val="22"/>
                <w:szCs w:val="22"/>
              </w:rPr>
            </w:pPr>
          </w:p>
          <w:p w14:paraId="6D306997" w14:textId="77777777" w:rsidR="0042714D" w:rsidRDefault="0042714D" w:rsidP="001737BA">
            <w:pPr>
              <w:spacing w:before="60"/>
              <w:rPr>
                <w:rFonts w:cs="Arial"/>
                <w:color w:val="000000" w:themeColor="text1"/>
                <w:sz w:val="22"/>
                <w:szCs w:val="22"/>
              </w:rPr>
            </w:pPr>
            <w:r>
              <w:rPr>
                <w:rFonts w:cs="Arial"/>
                <w:color w:val="000000" w:themeColor="text1"/>
                <w:sz w:val="22"/>
                <w:szCs w:val="22"/>
              </w:rPr>
              <w:t xml:space="preserve">Continue to collect information on External Wall Systems, working with stakeholders (LBF, GLA, MHCLG) to identify and mitigate buildings identified as high risk. </w:t>
            </w:r>
          </w:p>
          <w:p w14:paraId="754FC11C" w14:textId="77777777" w:rsidR="0042714D" w:rsidRDefault="0042714D" w:rsidP="001737BA">
            <w:pPr>
              <w:spacing w:before="60"/>
              <w:rPr>
                <w:rFonts w:cs="Arial"/>
                <w:color w:val="000000" w:themeColor="text1"/>
                <w:sz w:val="22"/>
                <w:szCs w:val="22"/>
              </w:rPr>
            </w:pPr>
          </w:p>
          <w:p w14:paraId="707A0660" w14:textId="0FB047BC" w:rsidR="0042714D" w:rsidRPr="00160BA6" w:rsidRDefault="0042714D" w:rsidP="001737BA">
            <w:pPr>
              <w:spacing w:before="60" w:after="120"/>
              <w:ind w:left="57"/>
              <w:rPr>
                <w:rFonts w:cs="Arial"/>
                <w:color w:val="000000" w:themeColor="text1"/>
                <w:sz w:val="22"/>
                <w:szCs w:val="22"/>
              </w:rPr>
            </w:pPr>
            <w:r>
              <w:rPr>
                <w:rFonts w:cs="Arial"/>
                <w:color w:val="000000" w:themeColor="text1"/>
                <w:sz w:val="22"/>
                <w:szCs w:val="22"/>
              </w:rPr>
              <w:t>Put in place adequate resource, including ICT infrastructure to support fire safety within the private sector.</w:t>
            </w:r>
          </w:p>
        </w:tc>
        <w:tc>
          <w:tcPr>
            <w:tcW w:w="5248" w:type="dxa"/>
          </w:tcPr>
          <w:p w14:paraId="3C7F4BA0" w14:textId="4E79E1F9" w:rsidR="00B10598" w:rsidRDefault="00B10598" w:rsidP="00B10598">
            <w:pPr>
              <w:spacing w:before="60" w:after="120"/>
              <w:rPr>
                <w:rFonts w:cs="Arial"/>
                <w:color w:val="000000" w:themeColor="text1"/>
                <w:sz w:val="22"/>
                <w:szCs w:val="22"/>
              </w:rPr>
            </w:pPr>
            <w:r>
              <w:rPr>
                <w:rFonts w:cs="Arial"/>
                <w:color w:val="000000" w:themeColor="text1"/>
                <w:sz w:val="22"/>
                <w:szCs w:val="22"/>
              </w:rPr>
              <w:t xml:space="preserve">Monthly meeting with DLUHC, LFB, GLA continue as an exchange of information and to inform enforcement action.  The </w:t>
            </w:r>
            <w:r w:rsidR="009B7604">
              <w:rPr>
                <w:rFonts w:cs="Arial"/>
                <w:color w:val="000000" w:themeColor="text1"/>
                <w:sz w:val="22"/>
                <w:szCs w:val="22"/>
              </w:rPr>
              <w:t>Co</w:t>
            </w:r>
            <w:r>
              <w:rPr>
                <w:rFonts w:cs="Arial"/>
                <w:color w:val="000000" w:themeColor="text1"/>
                <w:sz w:val="22"/>
                <w:szCs w:val="22"/>
              </w:rPr>
              <w:t xml:space="preserve">uncil recently hosted a visit from the Director General from DLUHC, further visits are scheduled. Each visit focusses on buildings that need remediation and the cause of the delay. </w:t>
            </w:r>
          </w:p>
          <w:p w14:paraId="5A94E92C" w14:textId="687E47B5" w:rsidR="00B10598" w:rsidRDefault="00B10598" w:rsidP="00B10598">
            <w:pPr>
              <w:spacing w:after="120"/>
              <w:rPr>
                <w:rFonts w:cs="Arial"/>
                <w:color w:val="000000" w:themeColor="text1"/>
                <w:sz w:val="22"/>
                <w:szCs w:val="22"/>
              </w:rPr>
            </w:pPr>
            <w:r>
              <w:rPr>
                <w:rFonts w:cs="Arial"/>
                <w:color w:val="000000" w:themeColor="text1"/>
                <w:sz w:val="22"/>
                <w:szCs w:val="22"/>
              </w:rPr>
              <w:t xml:space="preserve">The </w:t>
            </w:r>
            <w:r w:rsidR="009B7604">
              <w:rPr>
                <w:rFonts w:cs="Arial"/>
                <w:color w:val="000000" w:themeColor="text1"/>
                <w:sz w:val="22"/>
                <w:szCs w:val="22"/>
              </w:rPr>
              <w:t>C</w:t>
            </w:r>
            <w:r>
              <w:rPr>
                <w:rFonts w:cs="Arial"/>
                <w:color w:val="000000" w:themeColor="text1"/>
                <w:sz w:val="22"/>
                <w:szCs w:val="22"/>
              </w:rPr>
              <w:t>ouncil attends and inputs into DLUHC meetings on specific issues such as EWS collection, Delta Updates, BSF application. As well as exploring different ways of working. For example, DLUHC will hold an all-day case conference at Tower Hamlets on the 17</w:t>
            </w:r>
            <w:r w:rsidRPr="00E16761">
              <w:rPr>
                <w:rFonts w:cs="Arial"/>
                <w:color w:val="000000" w:themeColor="text1"/>
                <w:sz w:val="22"/>
                <w:szCs w:val="22"/>
                <w:vertAlign w:val="superscript"/>
              </w:rPr>
              <w:t>th of</w:t>
            </w:r>
            <w:r>
              <w:rPr>
                <w:rFonts w:cs="Arial"/>
                <w:color w:val="000000" w:themeColor="text1"/>
                <w:sz w:val="22"/>
                <w:szCs w:val="22"/>
              </w:rPr>
              <w:t xml:space="preserve"> January to look at new ways of working and collaborating to speed up remediation, how to get information on hard-to-reach building owners, enforcement and data collection and address the shortage of qualified building control surveyor and environmental health and enforcement officers for us to complete this work.      </w:t>
            </w:r>
          </w:p>
          <w:p w14:paraId="2BFFF7D9" w14:textId="45A0609C" w:rsidR="00B10598" w:rsidRDefault="00B10598" w:rsidP="00B10598">
            <w:pPr>
              <w:spacing w:after="120"/>
              <w:rPr>
                <w:rFonts w:cs="Arial"/>
                <w:color w:val="000000" w:themeColor="text1"/>
                <w:sz w:val="22"/>
                <w:szCs w:val="22"/>
              </w:rPr>
            </w:pPr>
            <w:r>
              <w:rPr>
                <w:rFonts w:cs="Arial"/>
                <w:color w:val="000000" w:themeColor="text1"/>
                <w:sz w:val="22"/>
                <w:szCs w:val="22"/>
              </w:rPr>
              <w:lastRenderedPageBreak/>
              <w:t>Database project in progress.  Estimate Live date:  April 2023</w:t>
            </w:r>
          </w:p>
          <w:p w14:paraId="19F4EEA6" w14:textId="34D6A46D" w:rsidR="00B10598" w:rsidRDefault="00B10598" w:rsidP="00B10598">
            <w:pPr>
              <w:spacing w:after="120"/>
              <w:rPr>
                <w:rFonts w:cs="Arial"/>
                <w:color w:val="000000" w:themeColor="text1"/>
                <w:sz w:val="22"/>
                <w:szCs w:val="22"/>
              </w:rPr>
            </w:pPr>
            <w:r>
              <w:rPr>
                <w:rFonts w:cs="Arial"/>
                <w:color w:val="000000" w:themeColor="text1"/>
                <w:sz w:val="22"/>
                <w:szCs w:val="22"/>
              </w:rPr>
              <w:t xml:space="preserve">Recruitment for Environmental Health and Housing Officers and Building Control Surveyors are in progress. These posts will increase our ability to carry out inspections.  </w:t>
            </w:r>
          </w:p>
          <w:p w14:paraId="14538132" w14:textId="474492DB" w:rsidR="0042714D" w:rsidRPr="00160BA6" w:rsidRDefault="00B10598" w:rsidP="00B10598">
            <w:pPr>
              <w:spacing w:after="60"/>
              <w:rPr>
                <w:rFonts w:cs="Arial"/>
                <w:color w:val="000000" w:themeColor="text1"/>
                <w:sz w:val="22"/>
                <w:szCs w:val="22"/>
              </w:rPr>
            </w:pPr>
            <w:r>
              <w:rPr>
                <w:rFonts w:cs="Arial"/>
                <w:color w:val="000000" w:themeColor="text1"/>
                <w:sz w:val="22"/>
                <w:szCs w:val="22"/>
              </w:rPr>
              <w:t xml:space="preserve">Joint working with LFB continues buildings that still have waking watch.  A letter was recently has been sent to all private and housing providers who still have a waking watch to enquire about remediation timelines. </w:t>
            </w:r>
          </w:p>
        </w:tc>
      </w:tr>
      <w:tr w:rsidR="0042714D" w:rsidRPr="00160BA6" w14:paraId="5EA9CC80" w14:textId="77777777" w:rsidTr="001737BA">
        <w:tc>
          <w:tcPr>
            <w:tcW w:w="675" w:type="dxa"/>
          </w:tcPr>
          <w:p w14:paraId="4D2C68A0" w14:textId="1486885F" w:rsidR="0042714D" w:rsidRPr="00160BA6" w:rsidRDefault="0042714D" w:rsidP="001737BA">
            <w:pPr>
              <w:spacing w:before="60" w:after="60"/>
              <w:rPr>
                <w:rFonts w:cs="Arial"/>
                <w:color w:val="000000" w:themeColor="text1"/>
                <w:sz w:val="22"/>
                <w:szCs w:val="22"/>
              </w:rPr>
            </w:pPr>
            <w:r>
              <w:rPr>
                <w:rFonts w:cs="Arial"/>
                <w:color w:val="000000" w:themeColor="text1"/>
                <w:sz w:val="22"/>
                <w:szCs w:val="22"/>
              </w:rPr>
              <w:lastRenderedPageBreak/>
              <w:t>11</w:t>
            </w:r>
          </w:p>
        </w:tc>
        <w:tc>
          <w:tcPr>
            <w:tcW w:w="3998" w:type="dxa"/>
          </w:tcPr>
          <w:p w14:paraId="6A86C200" w14:textId="06C0AFEB" w:rsidR="0042714D" w:rsidRPr="00160BA6" w:rsidRDefault="0042714D" w:rsidP="001737BA">
            <w:pPr>
              <w:spacing w:before="60"/>
              <w:ind w:left="57"/>
              <w:rPr>
                <w:rFonts w:cs="Arial"/>
                <w:color w:val="000000" w:themeColor="text1"/>
                <w:sz w:val="22"/>
                <w:szCs w:val="22"/>
              </w:rPr>
            </w:pPr>
            <w:r>
              <w:rPr>
                <w:rFonts w:cs="Arial"/>
                <w:color w:val="000000" w:themeColor="text1"/>
                <w:sz w:val="22"/>
                <w:szCs w:val="22"/>
              </w:rPr>
              <w:t>Continue to review the stock condition of community shops portfolio and undertake any necessary repairs and maintenance.</w:t>
            </w:r>
          </w:p>
        </w:tc>
        <w:tc>
          <w:tcPr>
            <w:tcW w:w="4253" w:type="dxa"/>
          </w:tcPr>
          <w:p w14:paraId="29298138" w14:textId="77777777" w:rsidR="0042714D" w:rsidRDefault="0042714D" w:rsidP="001737BA">
            <w:pPr>
              <w:spacing w:before="60"/>
              <w:rPr>
                <w:rFonts w:cs="Arial"/>
                <w:color w:val="000000" w:themeColor="text1"/>
                <w:sz w:val="22"/>
                <w:szCs w:val="22"/>
              </w:rPr>
            </w:pPr>
            <w:r>
              <w:rPr>
                <w:rFonts w:cs="Arial"/>
                <w:color w:val="000000" w:themeColor="text1"/>
                <w:sz w:val="22"/>
                <w:szCs w:val="22"/>
              </w:rPr>
              <w:t>Undertake a programme of reviews of community shops, including tenant’s fire and safety management, property owner’s liability guidance and maintenance.</w:t>
            </w:r>
          </w:p>
          <w:p w14:paraId="384F19AF" w14:textId="77777777" w:rsidR="0042714D" w:rsidRDefault="0042714D" w:rsidP="001737BA">
            <w:pPr>
              <w:spacing w:before="60"/>
              <w:rPr>
                <w:rFonts w:cs="Arial"/>
                <w:color w:val="000000" w:themeColor="text1"/>
                <w:sz w:val="22"/>
                <w:szCs w:val="22"/>
              </w:rPr>
            </w:pPr>
          </w:p>
          <w:p w14:paraId="4D992E55" w14:textId="77777777" w:rsidR="0042714D" w:rsidRDefault="0042714D" w:rsidP="001737BA">
            <w:pPr>
              <w:spacing w:before="60"/>
              <w:rPr>
                <w:rFonts w:cs="Arial"/>
                <w:color w:val="000000" w:themeColor="text1"/>
                <w:sz w:val="22"/>
                <w:szCs w:val="22"/>
              </w:rPr>
            </w:pPr>
            <w:r>
              <w:rPr>
                <w:rFonts w:cs="Arial"/>
                <w:color w:val="000000" w:themeColor="text1"/>
                <w:sz w:val="22"/>
                <w:szCs w:val="22"/>
              </w:rPr>
              <w:t>Put in place protection measures for unoccupied units and undertake valuations on buildings ensuring the correct level of cover.</w:t>
            </w:r>
          </w:p>
          <w:p w14:paraId="089351F7" w14:textId="77777777" w:rsidR="0042714D" w:rsidRDefault="0042714D" w:rsidP="001737BA">
            <w:pPr>
              <w:spacing w:before="60"/>
              <w:rPr>
                <w:rFonts w:cs="Arial"/>
                <w:color w:val="000000" w:themeColor="text1"/>
                <w:sz w:val="22"/>
                <w:szCs w:val="22"/>
              </w:rPr>
            </w:pPr>
          </w:p>
          <w:p w14:paraId="4ECD63B9" w14:textId="16BC3777" w:rsidR="0042714D" w:rsidRPr="00160BA6" w:rsidRDefault="0042714D" w:rsidP="001737BA">
            <w:pPr>
              <w:spacing w:before="60" w:after="120"/>
              <w:ind w:left="57"/>
              <w:rPr>
                <w:rFonts w:cs="Arial"/>
                <w:color w:val="000000" w:themeColor="text1"/>
                <w:sz w:val="22"/>
                <w:szCs w:val="22"/>
              </w:rPr>
            </w:pPr>
            <w:r>
              <w:rPr>
                <w:rFonts w:cs="Arial"/>
                <w:color w:val="000000" w:themeColor="text1"/>
                <w:sz w:val="22"/>
                <w:szCs w:val="22"/>
              </w:rPr>
              <w:t>Undertake communications to make tenants aware of risks and obligations around fire safety and the terms of their lease, taking action on shop tenants who fail to adhere to their lease.</w:t>
            </w:r>
          </w:p>
        </w:tc>
        <w:tc>
          <w:tcPr>
            <w:tcW w:w="5248" w:type="dxa"/>
          </w:tcPr>
          <w:p w14:paraId="4AFABBEF" w14:textId="77777777" w:rsidR="003E3F21" w:rsidRDefault="003E3F21" w:rsidP="004F726B">
            <w:pPr>
              <w:spacing w:before="60"/>
              <w:rPr>
                <w:rFonts w:cs="Arial"/>
                <w:color w:val="000000" w:themeColor="text1"/>
                <w:sz w:val="22"/>
                <w:szCs w:val="22"/>
              </w:rPr>
            </w:pPr>
            <w:r w:rsidRPr="2D4CEF92">
              <w:rPr>
                <w:rFonts w:cs="Arial"/>
                <w:color w:val="000000" w:themeColor="text1"/>
                <w:sz w:val="22"/>
                <w:szCs w:val="22"/>
              </w:rPr>
              <w:t xml:space="preserve">A programme of Fire Risk Assessment of the shops was undertaken and largely completed in 2022. A routine inspection is carried out by the Estate Officer and Management surveyors to ensure compliance of tenant lease obligation.  A planned programme of annual inspection of the shop units is currently being put together to ensure continued inspection of tenant’s repairs and maintenance obligation of the units, health and safety including FRA documentation. </w:t>
            </w:r>
          </w:p>
          <w:p w14:paraId="1008ADAC" w14:textId="77777777" w:rsidR="003E3F21" w:rsidRDefault="003E3F21" w:rsidP="003E3F21">
            <w:pPr>
              <w:rPr>
                <w:rFonts w:cs="Arial"/>
                <w:color w:val="000000" w:themeColor="text1"/>
                <w:sz w:val="22"/>
                <w:szCs w:val="22"/>
              </w:rPr>
            </w:pPr>
          </w:p>
          <w:p w14:paraId="37FB5DE7" w14:textId="77777777" w:rsidR="003E3F21" w:rsidRDefault="003E3F21" w:rsidP="003E3F21">
            <w:pPr>
              <w:rPr>
                <w:rFonts w:cs="Arial"/>
                <w:color w:val="000000" w:themeColor="text1"/>
                <w:sz w:val="22"/>
                <w:szCs w:val="22"/>
              </w:rPr>
            </w:pPr>
            <w:r w:rsidRPr="2D4CEF92">
              <w:rPr>
                <w:rFonts w:cs="Arial"/>
                <w:color w:val="000000" w:themeColor="text1"/>
                <w:sz w:val="22"/>
                <w:szCs w:val="22"/>
              </w:rPr>
              <w:t xml:space="preserve">Unoccupied properties are secured and safeguarded from vandalism and illegal occupiers.  Fortnightly inspections are curried out to ensure security measures put in place are intact.  </w:t>
            </w:r>
          </w:p>
          <w:p w14:paraId="414E2628" w14:textId="77777777" w:rsidR="003E3F21" w:rsidRDefault="003E3F21" w:rsidP="003E3F21">
            <w:pPr>
              <w:rPr>
                <w:rFonts w:cs="Arial"/>
                <w:color w:val="000000" w:themeColor="text1"/>
                <w:sz w:val="22"/>
                <w:szCs w:val="22"/>
              </w:rPr>
            </w:pPr>
          </w:p>
          <w:p w14:paraId="112DC803" w14:textId="75BC8131" w:rsidR="003E3F21" w:rsidRDefault="003E3F21" w:rsidP="00D90B82">
            <w:pPr>
              <w:spacing w:after="120"/>
              <w:rPr>
                <w:rFonts w:cs="Arial"/>
                <w:color w:val="000000" w:themeColor="text1"/>
                <w:sz w:val="22"/>
                <w:szCs w:val="22"/>
              </w:rPr>
            </w:pPr>
            <w:r w:rsidRPr="2D4CEF92">
              <w:rPr>
                <w:rFonts w:cs="Arial"/>
                <w:color w:val="000000" w:themeColor="text1"/>
                <w:sz w:val="22"/>
                <w:szCs w:val="22"/>
              </w:rPr>
              <w:lastRenderedPageBreak/>
              <w:t>Reinstatement valuations across the portfolio for insurance purposes are carried out on an on-going basis in liaison with the Insurance team.</w:t>
            </w:r>
          </w:p>
          <w:p w14:paraId="3877955C" w14:textId="5C30FCF3" w:rsidR="003E3F21" w:rsidRPr="00D90B82" w:rsidRDefault="003E3F21" w:rsidP="00B60487">
            <w:pPr>
              <w:spacing w:before="60" w:after="60"/>
              <w:rPr>
                <w:rFonts w:cs="Arial"/>
                <w:color w:val="000000" w:themeColor="text1"/>
                <w:sz w:val="22"/>
                <w:szCs w:val="22"/>
              </w:rPr>
            </w:pPr>
            <w:r w:rsidRPr="2D4CEF92">
              <w:rPr>
                <w:rFonts w:cs="Arial"/>
                <w:color w:val="000000" w:themeColor="text1"/>
                <w:sz w:val="22"/>
                <w:szCs w:val="22"/>
              </w:rPr>
              <w:t>Tenants are made aware and advised of the general risks and obligations around fire safety and the terms of their lease at the start of a tenancy and during routine inspection by officers. Persisten</w:t>
            </w:r>
            <w:r w:rsidR="00D90B82">
              <w:rPr>
                <w:rFonts w:cs="Arial"/>
                <w:color w:val="000000" w:themeColor="text1"/>
                <w:sz w:val="22"/>
                <w:szCs w:val="22"/>
              </w:rPr>
              <w:t xml:space="preserve">t </w:t>
            </w:r>
            <w:r w:rsidR="00D90B82" w:rsidRPr="2D4CEF92">
              <w:rPr>
                <w:rFonts w:cs="Arial"/>
                <w:color w:val="000000" w:themeColor="text1"/>
                <w:sz w:val="22"/>
                <w:szCs w:val="22"/>
              </w:rPr>
              <w:t xml:space="preserve"> breach of tenant lease obligation</w:t>
            </w:r>
            <w:r w:rsidR="00B60487">
              <w:rPr>
                <w:rFonts w:cs="Arial"/>
                <w:color w:val="000000" w:themeColor="text1"/>
                <w:sz w:val="22"/>
                <w:szCs w:val="22"/>
              </w:rPr>
              <w:t>s</w:t>
            </w:r>
            <w:r w:rsidR="00D90B82" w:rsidRPr="2D4CEF92">
              <w:rPr>
                <w:rFonts w:cs="Arial"/>
                <w:color w:val="000000" w:themeColor="text1"/>
                <w:sz w:val="22"/>
                <w:szCs w:val="22"/>
              </w:rPr>
              <w:t xml:space="preserve"> could lead to forfeiture of the lease.</w:t>
            </w:r>
          </w:p>
        </w:tc>
      </w:tr>
      <w:tr w:rsidR="0042714D" w:rsidRPr="00160BA6" w14:paraId="271F60E2" w14:textId="77777777" w:rsidTr="001737BA">
        <w:tc>
          <w:tcPr>
            <w:tcW w:w="675" w:type="dxa"/>
          </w:tcPr>
          <w:p w14:paraId="331741C9" w14:textId="5E193894" w:rsidR="0042714D" w:rsidRPr="00C81E35" w:rsidRDefault="0042714D" w:rsidP="001737BA">
            <w:pPr>
              <w:spacing w:before="60" w:after="60"/>
              <w:rPr>
                <w:rFonts w:cs="Arial"/>
                <w:color w:val="000000" w:themeColor="text1"/>
                <w:sz w:val="22"/>
                <w:szCs w:val="22"/>
              </w:rPr>
            </w:pPr>
            <w:bookmarkStart w:id="1" w:name="_Hlk103084052"/>
            <w:r w:rsidRPr="00C81E35">
              <w:rPr>
                <w:rFonts w:cs="Arial"/>
                <w:color w:val="000000" w:themeColor="text1"/>
                <w:sz w:val="22"/>
                <w:szCs w:val="22"/>
              </w:rPr>
              <w:lastRenderedPageBreak/>
              <w:t>12</w:t>
            </w:r>
          </w:p>
        </w:tc>
        <w:tc>
          <w:tcPr>
            <w:tcW w:w="3998" w:type="dxa"/>
          </w:tcPr>
          <w:p w14:paraId="470D4BCC" w14:textId="77777777" w:rsidR="0042714D" w:rsidRPr="00C81E35" w:rsidRDefault="0042714D" w:rsidP="001737BA">
            <w:pPr>
              <w:spacing w:before="60"/>
              <w:rPr>
                <w:rFonts w:cs="Arial"/>
                <w:color w:val="000000" w:themeColor="text1"/>
                <w:sz w:val="22"/>
                <w:szCs w:val="22"/>
              </w:rPr>
            </w:pPr>
            <w:r w:rsidRPr="00C81E35">
              <w:rPr>
                <w:rFonts w:cs="Arial"/>
                <w:color w:val="000000" w:themeColor="text1"/>
                <w:sz w:val="22"/>
                <w:szCs w:val="22"/>
              </w:rPr>
              <w:t>In its annual letter, relating to 2020/21, the LGSCO stated some positive elements relating to its interaction with the Council such as its satisfaction that the Council complied with 95% of recommendations within a set timeframe. However, the LGSCO also highlighted some negative elements such as 83% of complaints against the Council it investigated resulted in the complaints being upheld and in only 4% of upheld complaints, it found the Council had provided a satisfactory remedy before the complaint reached the LGSCO.</w:t>
            </w:r>
          </w:p>
          <w:p w14:paraId="6421BA02" w14:textId="77777777" w:rsidR="0042714D" w:rsidRPr="00C81E35" w:rsidRDefault="0042714D" w:rsidP="001737BA">
            <w:pPr>
              <w:spacing w:before="60"/>
              <w:rPr>
                <w:rFonts w:cs="Arial"/>
                <w:color w:val="000000" w:themeColor="text1"/>
                <w:sz w:val="22"/>
                <w:szCs w:val="22"/>
              </w:rPr>
            </w:pPr>
          </w:p>
          <w:p w14:paraId="22D5DF37" w14:textId="7CE9C3F4" w:rsidR="0042714D" w:rsidRPr="00C81E35" w:rsidRDefault="0042714D" w:rsidP="001737BA">
            <w:pPr>
              <w:spacing w:before="60"/>
              <w:rPr>
                <w:rFonts w:cs="Arial"/>
                <w:color w:val="000000" w:themeColor="text1"/>
                <w:sz w:val="22"/>
                <w:szCs w:val="22"/>
              </w:rPr>
            </w:pPr>
            <w:r w:rsidRPr="00C81E35">
              <w:rPr>
                <w:rFonts w:cs="Arial"/>
                <w:color w:val="000000" w:themeColor="text1"/>
                <w:sz w:val="22"/>
                <w:szCs w:val="22"/>
              </w:rPr>
              <w:t xml:space="preserve">The number of LGSCO cases is reducing and the numbers are less than most of our neighbouring councils. The performance rate of </w:t>
            </w:r>
            <w:r w:rsidRPr="00C81E35">
              <w:rPr>
                <w:rFonts w:cs="Arial"/>
                <w:color w:val="000000" w:themeColor="text1"/>
                <w:sz w:val="22"/>
                <w:szCs w:val="22"/>
              </w:rPr>
              <w:lastRenderedPageBreak/>
              <w:t>percentage of cases responded to on time has also continued to increase year on year, however, the response on time performance rate of 69% needs to improve further.</w:t>
            </w:r>
          </w:p>
        </w:tc>
        <w:tc>
          <w:tcPr>
            <w:tcW w:w="4253" w:type="dxa"/>
          </w:tcPr>
          <w:p w14:paraId="2F0F50B1" w14:textId="77777777" w:rsidR="0042714D" w:rsidRPr="00C81E35" w:rsidRDefault="0042714D" w:rsidP="001737BA">
            <w:pPr>
              <w:spacing w:before="60"/>
              <w:rPr>
                <w:rFonts w:cs="Arial"/>
                <w:color w:val="000000" w:themeColor="text1"/>
                <w:sz w:val="22"/>
                <w:szCs w:val="22"/>
              </w:rPr>
            </w:pPr>
            <w:r w:rsidRPr="00C81E35">
              <w:rPr>
                <w:rFonts w:cs="Arial"/>
                <w:color w:val="000000" w:themeColor="text1"/>
                <w:sz w:val="22"/>
                <w:szCs w:val="22"/>
              </w:rPr>
              <w:lastRenderedPageBreak/>
              <w:t>Work is ongoing with services to ensure cases are dealt with sensitively and effectively. The improvement work mentioned below will continue at pace with individuals, teams and services. More emphasis has been put on the fact that if the Council wishes to challenge the LGSCO, extensions must be agreed with the LGSCO, and appropriate reasons given for the challenge in consultation with Senior Management.</w:t>
            </w:r>
          </w:p>
          <w:p w14:paraId="3FC77CFF" w14:textId="77777777" w:rsidR="0042714D" w:rsidRPr="00C81E35" w:rsidRDefault="0042714D" w:rsidP="00226C1E">
            <w:pPr>
              <w:pStyle w:val="ListParagraph"/>
              <w:numPr>
                <w:ilvl w:val="0"/>
                <w:numId w:val="6"/>
              </w:numPr>
              <w:spacing w:before="60"/>
              <w:ind w:left="463"/>
              <w:rPr>
                <w:rFonts w:cs="Arial"/>
                <w:color w:val="000000" w:themeColor="text1"/>
                <w:sz w:val="22"/>
                <w:szCs w:val="22"/>
              </w:rPr>
            </w:pPr>
            <w:r w:rsidRPr="00C81E35">
              <w:rPr>
                <w:rFonts w:cs="Arial"/>
                <w:color w:val="000000" w:themeColor="text1"/>
                <w:sz w:val="22"/>
                <w:szCs w:val="22"/>
              </w:rPr>
              <w:t>Better use of technology</w:t>
            </w:r>
          </w:p>
          <w:p w14:paraId="63130818" w14:textId="77777777" w:rsidR="0042714D" w:rsidRPr="00C81E35" w:rsidRDefault="0042714D" w:rsidP="00226C1E">
            <w:pPr>
              <w:pStyle w:val="ListParagraph"/>
              <w:numPr>
                <w:ilvl w:val="0"/>
                <w:numId w:val="6"/>
              </w:numPr>
              <w:spacing w:before="60"/>
              <w:ind w:left="463"/>
              <w:rPr>
                <w:rFonts w:cs="Arial"/>
                <w:color w:val="000000" w:themeColor="text1"/>
                <w:sz w:val="22"/>
                <w:szCs w:val="22"/>
              </w:rPr>
            </w:pPr>
            <w:r w:rsidRPr="00C81E35">
              <w:rPr>
                <w:rFonts w:cs="Arial"/>
                <w:color w:val="000000" w:themeColor="text1"/>
                <w:sz w:val="22"/>
                <w:szCs w:val="22"/>
              </w:rPr>
              <w:t>IG Service is actively encouraging all services to set up their own reporting mechanisms from iCasework.</w:t>
            </w:r>
          </w:p>
          <w:p w14:paraId="6C2A692B" w14:textId="77777777" w:rsidR="0042714D" w:rsidRPr="00C81E35" w:rsidRDefault="0042714D" w:rsidP="00226C1E">
            <w:pPr>
              <w:pStyle w:val="ListParagraph"/>
              <w:numPr>
                <w:ilvl w:val="0"/>
                <w:numId w:val="6"/>
              </w:numPr>
              <w:spacing w:before="60"/>
              <w:ind w:left="463"/>
              <w:rPr>
                <w:rFonts w:cs="Arial"/>
                <w:color w:val="000000" w:themeColor="text1"/>
                <w:sz w:val="22"/>
                <w:szCs w:val="22"/>
              </w:rPr>
            </w:pPr>
            <w:r w:rsidRPr="00C81E35">
              <w:rPr>
                <w:rFonts w:cs="Arial"/>
                <w:color w:val="000000" w:themeColor="text1"/>
                <w:sz w:val="22"/>
                <w:szCs w:val="22"/>
              </w:rPr>
              <w:t>A new outcome based LGSCO Protocol has been initiated by the IG Service.</w:t>
            </w:r>
          </w:p>
          <w:p w14:paraId="32117867" w14:textId="77777777" w:rsidR="0042714D" w:rsidRPr="00C81E35" w:rsidRDefault="0042714D" w:rsidP="00226C1E">
            <w:pPr>
              <w:pStyle w:val="ListParagraph"/>
              <w:numPr>
                <w:ilvl w:val="0"/>
                <w:numId w:val="6"/>
              </w:numPr>
              <w:spacing w:before="60"/>
              <w:ind w:left="463"/>
              <w:rPr>
                <w:rFonts w:cs="Arial"/>
                <w:color w:val="000000" w:themeColor="text1"/>
                <w:sz w:val="22"/>
                <w:szCs w:val="22"/>
              </w:rPr>
            </w:pPr>
            <w:r w:rsidRPr="00C81E35">
              <w:rPr>
                <w:rFonts w:cs="Arial"/>
                <w:color w:val="000000" w:themeColor="text1"/>
                <w:sz w:val="22"/>
                <w:szCs w:val="22"/>
              </w:rPr>
              <w:lastRenderedPageBreak/>
              <w:t>Improved reporting for Directorate Leadership Teams.</w:t>
            </w:r>
          </w:p>
          <w:p w14:paraId="5101021C" w14:textId="77777777" w:rsidR="0042714D" w:rsidRPr="00C81E35" w:rsidRDefault="0042714D" w:rsidP="00226C1E">
            <w:pPr>
              <w:pStyle w:val="ListParagraph"/>
              <w:numPr>
                <w:ilvl w:val="0"/>
                <w:numId w:val="6"/>
              </w:numPr>
              <w:spacing w:before="60"/>
              <w:ind w:left="463"/>
              <w:rPr>
                <w:rFonts w:cs="Arial"/>
                <w:color w:val="000000" w:themeColor="text1"/>
                <w:sz w:val="22"/>
                <w:szCs w:val="22"/>
              </w:rPr>
            </w:pPr>
            <w:r w:rsidRPr="00C81E35">
              <w:rPr>
                <w:rFonts w:cs="Arial"/>
                <w:color w:val="000000" w:themeColor="text1"/>
                <w:sz w:val="22"/>
                <w:szCs w:val="22"/>
              </w:rPr>
              <w:t>Improved functionality in iCasework.</w:t>
            </w:r>
          </w:p>
          <w:p w14:paraId="179733C9" w14:textId="2B43542D" w:rsidR="0042714D" w:rsidRPr="00C81E35" w:rsidRDefault="0042714D" w:rsidP="00226C1E">
            <w:pPr>
              <w:pStyle w:val="ListParagraph"/>
              <w:numPr>
                <w:ilvl w:val="0"/>
                <w:numId w:val="6"/>
              </w:numPr>
              <w:spacing w:before="60"/>
              <w:ind w:left="463"/>
              <w:rPr>
                <w:rFonts w:cs="Arial"/>
                <w:color w:val="000000" w:themeColor="text1"/>
                <w:sz w:val="22"/>
                <w:szCs w:val="22"/>
              </w:rPr>
            </w:pPr>
            <w:r w:rsidRPr="00C81E35">
              <w:rPr>
                <w:rFonts w:cs="Arial"/>
                <w:color w:val="000000" w:themeColor="text1"/>
                <w:sz w:val="22"/>
                <w:szCs w:val="22"/>
              </w:rPr>
              <w:t>Targeted internal training programmes.</w:t>
            </w:r>
          </w:p>
        </w:tc>
        <w:tc>
          <w:tcPr>
            <w:tcW w:w="5248" w:type="dxa"/>
          </w:tcPr>
          <w:p w14:paraId="0753E229" w14:textId="1EA4852C" w:rsidR="0007617E" w:rsidRPr="00C81E35" w:rsidRDefault="0007617E" w:rsidP="001737BA">
            <w:pPr>
              <w:spacing w:before="60"/>
              <w:rPr>
                <w:rFonts w:cs="Arial"/>
                <w:sz w:val="22"/>
                <w:szCs w:val="22"/>
              </w:rPr>
            </w:pPr>
            <w:r w:rsidRPr="00C81E35">
              <w:rPr>
                <w:rFonts w:cs="Arial"/>
                <w:sz w:val="22"/>
                <w:szCs w:val="22"/>
              </w:rPr>
              <w:lastRenderedPageBreak/>
              <w:t xml:space="preserve">A review of the Information Governance service </w:t>
            </w:r>
            <w:r w:rsidR="00267D3C" w:rsidRPr="00C81E35">
              <w:rPr>
                <w:rFonts w:cs="Arial"/>
                <w:sz w:val="22"/>
                <w:szCs w:val="22"/>
              </w:rPr>
              <w:t>commenced</w:t>
            </w:r>
            <w:r w:rsidRPr="00C81E35">
              <w:rPr>
                <w:rFonts w:cs="Arial"/>
                <w:sz w:val="22"/>
                <w:szCs w:val="22"/>
              </w:rPr>
              <w:t xml:space="preserve"> in January 2022 and is nearing completion by the end of July</w:t>
            </w:r>
            <w:r w:rsidR="00D36D63" w:rsidRPr="00C81E35">
              <w:rPr>
                <w:rFonts w:cs="Arial"/>
                <w:sz w:val="22"/>
                <w:szCs w:val="22"/>
              </w:rPr>
              <w:t xml:space="preserve"> 2022</w:t>
            </w:r>
            <w:r w:rsidRPr="00C81E35">
              <w:rPr>
                <w:rFonts w:cs="Arial"/>
                <w:sz w:val="22"/>
                <w:szCs w:val="22"/>
              </w:rPr>
              <w:t xml:space="preserve">.  Improvement work has continued to take </w:t>
            </w:r>
            <w:proofErr w:type="gramStart"/>
            <w:r w:rsidRPr="00C81E35">
              <w:rPr>
                <w:rFonts w:cs="Arial"/>
                <w:sz w:val="22"/>
                <w:szCs w:val="22"/>
              </w:rPr>
              <w:t>place</w:t>
            </w:r>
            <w:proofErr w:type="gramEnd"/>
            <w:r w:rsidRPr="00C81E35">
              <w:rPr>
                <w:rFonts w:cs="Arial"/>
                <w:sz w:val="22"/>
                <w:szCs w:val="22"/>
              </w:rPr>
              <w:t xml:space="preserve"> and the service will be restructured in accordance with the findings of the review and analysis of demand. </w:t>
            </w:r>
          </w:p>
          <w:p w14:paraId="3817E8EE" w14:textId="77777777" w:rsidR="0007617E" w:rsidRPr="00C81E35" w:rsidRDefault="0007617E" w:rsidP="001737BA">
            <w:pPr>
              <w:spacing w:before="60"/>
              <w:rPr>
                <w:rFonts w:cs="Arial"/>
                <w:sz w:val="22"/>
                <w:szCs w:val="22"/>
              </w:rPr>
            </w:pPr>
          </w:p>
          <w:p w14:paraId="77E0FA88" w14:textId="25AC9FF4" w:rsidR="00D36D63" w:rsidRPr="00C81E35" w:rsidRDefault="0007617E" w:rsidP="001737BA">
            <w:pPr>
              <w:spacing w:before="60"/>
              <w:rPr>
                <w:rFonts w:cs="Arial"/>
                <w:sz w:val="22"/>
                <w:szCs w:val="22"/>
              </w:rPr>
            </w:pPr>
            <w:r w:rsidRPr="00C81E35">
              <w:rPr>
                <w:rFonts w:cs="Arial"/>
                <w:sz w:val="22"/>
                <w:szCs w:val="22"/>
              </w:rPr>
              <w:t>We have had no further cause to challenge any LGSCO cases and can report a reduction in cases being investigated by the LGSCO.</w:t>
            </w:r>
          </w:p>
          <w:p w14:paraId="6A812B01" w14:textId="7731BAE3" w:rsidR="00300FE0" w:rsidRPr="00C81E35" w:rsidRDefault="00300FE0" w:rsidP="001737BA">
            <w:pPr>
              <w:spacing w:before="60" w:after="120"/>
              <w:rPr>
                <w:rFonts w:cs="Arial"/>
                <w:sz w:val="22"/>
                <w:szCs w:val="22"/>
              </w:rPr>
            </w:pPr>
            <w:r w:rsidRPr="00C81E35">
              <w:rPr>
                <w:rFonts w:cs="Arial"/>
                <w:sz w:val="22"/>
                <w:szCs w:val="22"/>
              </w:rPr>
              <w:t>Specifically in response to the action areas identified in the AGS in 2020/21:</w:t>
            </w:r>
          </w:p>
          <w:p w14:paraId="21BFDAAC" w14:textId="20171945" w:rsidR="00300FE0" w:rsidRPr="00C81E35" w:rsidRDefault="0007617E" w:rsidP="00226C1E">
            <w:pPr>
              <w:pStyle w:val="ListParagraph"/>
              <w:numPr>
                <w:ilvl w:val="0"/>
                <w:numId w:val="8"/>
              </w:numPr>
              <w:spacing w:before="60" w:after="120"/>
              <w:ind w:left="425" w:hanging="357"/>
              <w:rPr>
                <w:rFonts w:cs="Arial"/>
                <w:sz w:val="22"/>
                <w:szCs w:val="22"/>
              </w:rPr>
            </w:pPr>
            <w:r w:rsidRPr="00C81E35">
              <w:rPr>
                <w:rFonts w:cs="Arial"/>
                <w:sz w:val="22"/>
                <w:szCs w:val="22"/>
                <w:u w:val="single"/>
              </w:rPr>
              <w:t>Better use of technology</w:t>
            </w:r>
            <w:r w:rsidRPr="00C81E35">
              <w:rPr>
                <w:rFonts w:cs="Arial"/>
                <w:sz w:val="22"/>
                <w:szCs w:val="22"/>
              </w:rPr>
              <w:t xml:space="preserve"> – The iCasework System has now been upgraded and rolled</w:t>
            </w:r>
            <w:r w:rsidR="00300FE0" w:rsidRPr="00C81E35">
              <w:rPr>
                <w:rFonts w:cs="Arial"/>
                <w:sz w:val="22"/>
                <w:szCs w:val="22"/>
              </w:rPr>
              <w:t xml:space="preserve"> out</w:t>
            </w:r>
            <w:r w:rsidRPr="00C81E35">
              <w:rPr>
                <w:rFonts w:cs="Arial"/>
                <w:sz w:val="22"/>
                <w:szCs w:val="22"/>
              </w:rPr>
              <w:t>.  The upgrade consisted of improved functionality and users are seeing the benefits of this.   Discussions are taking place with the supplier to enhance and improve the system further in line with our local requirements</w:t>
            </w:r>
          </w:p>
          <w:p w14:paraId="48298EA9" w14:textId="2C14CF51" w:rsidR="00B46963" w:rsidRPr="00C81E35" w:rsidRDefault="0007617E" w:rsidP="00226C1E">
            <w:pPr>
              <w:pStyle w:val="ListParagraph"/>
              <w:numPr>
                <w:ilvl w:val="0"/>
                <w:numId w:val="8"/>
              </w:numPr>
              <w:spacing w:before="60" w:after="120"/>
              <w:ind w:left="425" w:hanging="357"/>
              <w:rPr>
                <w:rFonts w:cs="Arial"/>
                <w:sz w:val="22"/>
                <w:szCs w:val="22"/>
              </w:rPr>
            </w:pPr>
            <w:r w:rsidRPr="00C81E35">
              <w:rPr>
                <w:rFonts w:cs="Arial"/>
                <w:sz w:val="22"/>
                <w:szCs w:val="22"/>
                <w:u w:val="single"/>
              </w:rPr>
              <w:lastRenderedPageBreak/>
              <w:t>IG Service is actively encouraging all services to set up their own reporting mechanisms from iCasework</w:t>
            </w:r>
            <w:r w:rsidRPr="00C81E35">
              <w:rPr>
                <w:rFonts w:cs="Arial"/>
                <w:sz w:val="22"/>
                <w:szCs w:val="22"/>
              </w:rPr>
              <w:t xml:space="preserve"> – Work is in progress to support better reporting from the system and will form part of the </w:t>
            </w:r>
            <w:r w:rsidR="00EF101E" w:rsidRPr="00C81E35">
              <w:rPr>
                <w:rFonts w:cs="Arial"/>
                <w:sz w:val="22"/>
                <w:szCs w:val="22"/>
              </w:rPr>
              <w:t>C</w:t>
            </w:r>
            <w:r w:rsidRPr="00C81E35">
              <w:rPr>
                <w:rFonts w:cs="Arial"/>
                <w:sz w:val="22"/>
                <w:szCs w:val="22"/>
              </w:rPr>
              <w:t>ouncil</w:t>
            </w:r>
            <w:r w:rsidR="00EF101E" w:rsidRPr="00C81E35">
              <w:rPr>
                <w:rFonts w:cs="Arial"/>
                <w:sz w:val="22"/>
                <w:szCs w:val="22"/>
              </w:rPr>
              <w:t>’</w:t>
            </w:r>
            <w:r w:rsidRPr="00C81E35">
              <w:rPr>
                <w:rFonts w:cs="Arial"/>
                <w:sz w:val="22"/>
                <w:szCs w:val="22"/>
              </w:rPr>
              <w:t xml:space="preserve">s wider Business Intelligence and reporting roll out. </w:t>
            </w:r>
          </w:p>
          <w:p w14:paraId="27259A55" w14:textId="77777777" w:rsidR="00B46963" w:rsidRPr="00C81E35" w:rsidRDefault="0007617E" w:rsidP="00226C1E">
            <w:pPr>
              <w:pStyle w:val="ListParagraph"/>
              <w:numPr>
                <w:ilvl w:val="0"/>
                <w:numId w:val="8"/>
              </w:numPr>
              <w:spacing w:before="60" w:after="120"/>
              <w:ind w:left="425" w:hanging="357"/>
              <w:rPr>
                <w:rFonts w:cs="Arial"/>
                <w:sz w:val="22"/>
                <w:szCs w:val="22"/>
              </w:rPr>
            </w:pPr>
            <w:r w:rsidRPr="00C81E35">
              <w:rPr>
                <w:rFonts w:cs="Arial"/>
                <w:sz w:val="22"/>
                <w:szCs w:val="22"/>
                <w:u w:val="single"/>
              </w:rPr>
              <w:t>A new outcome based LGSCO Protocol has been initiated by the IG Service</w:t>
            </w:r>
            <w:r w:rsidRPr="00C81E35">
              <w:rPr>
                <w:rFonts w:cs="Arial"/>
                <w:sz w:val="22"/>
                <w:szCs w:val="22"/>
              </w:rPr>
              <w:t xml:space="preserve"> – </w:t>
            </w:r>
            <w:r w:rsidR="00B46963" w:rsidRPr="00C81E35">
              <w:rPr>
                <w:rFonts w:cs="Arial"/>
                <w:sz w:val="22"/>
                <w:szCs w:val="22"/>
              </w:rPr>
              <w:t>This has been completed and is live.</w:t>
            </w:r>
          </w:p>
          <w:p w14:paraId="3609D40E" w14:textId="6AA19381" w:rsidR="00B46963" w:rsidRPr="00C81E35" w:rsidRDefault="0007617E" w:rsidP="00226C1E">
            <w:pPr>
              <w:pStyle w:val="ListParagraph"/>
              <w:numPr>
                <w:ilvl w:val="0"/>
                <w:numId w:val="8"/>
              </w:numPr>
              <w:spacing w:before="60" w:after="120"/>
              <w:ind w:left="425" w:hanging="357"/>
              <w:rPr>
                <w:rFonts w:cs="Arial"/>
                <w:sz w:val="22"/>
                <w:szCs w:val="22"/>
              </w:rPr>
            </w:pPr>
            <w:r w:rsidRPr="00C81E35">
              <w:rPr>
                <w:rFonts w:cs="Arial"/>
                <w:sz w:val="22"/>
                <w:szCs w:val="22"/>
                <w:u w:val="single"/>
              </w:rPr>
              <w:t>Improved reporting for Directorate Leadership Teams</w:t>
            </w:r>
            <w:r w:rsidRPr="00C81E35">
              <w:rPr>
                <w:rFonts w:cs="Arial"/>
                <w:sz w:val="22"/>
                <w:szCs w:val="22"/>
              </w:rPr>
              <w:t xml:space="preserve"> – This is in progress as per bullet point 2</w:t>
            </w:r>
            <w:r w:rsidR="00B46963" w:rsidRPr="00C81E35">
              <w:rPr>
                <w:rFonts w:cs="Arial"/>
                <w:sz w:val="22"/>
                <w:szCs w:val="22"/>
              </w:rPr>
              <w:t xml:space="preserve"> above.</w:t>
            </w:r>
          </w:p>
          <w:p w14:paraId="78696FF3" w14:textId="77777777" w:rsidR="00B46963" w:rsidRPr="00C81E35" w:rsidRDefault="0007617E" w:rsidP="00226C1E">
            <w:pPr>
              <w:pStyle w:val="ListParagraph"/>
              <w:numPr>
                <w:ilvl w:val="0"/>
                <w:numId w:val="8"/>
              </w:numPr>
              <w:spacing w:before="60" w:after="120"/>
              <w:ind w:left="425" w:hanging="357"/>
              <w:rPr>
                <w:rFonts w:cs="Arial"/>
                <w:sz w:val="22"/>
                <w:szCs w:val="22"/>
              </w:rPr>
            </w:pPr>
            <w:r w:rsidRPr="00C81E35">
              <w:rPr>
                <w:rFonts w:cs="Arial"/>
                <w:sz w:val="22"/>
                <w:szCs w:val="22"/>
                <w:u w:val="single"/>
              </w:rPr>
              <w:t>Improved functionality in iCasework</w:t>
            </w:r>
            <w:r w:rsidRPr="00C81E35">
              <w:rPr>
                <w:rFonts w:cs="Arial"/>
                <w:sz w:val="22"/>
                <w:szCs w:val="22"/>
              </w:rPr>
              <w:t xml:space="preserve"> </w:t>
            </w:r>
            <w:r w:rsidR="00B46963" w:rsidRPr="00C81E35">
              <w:rPr>
                <w:rFonts w:cs="Arial"/>
                <w:sz w:val="22"/>
                <w:szCs w:val="22"/>
              </w:rPr>
              <w:t>–</w:t>
            </w:r>
            <w:r w:rsidRPr="00C81E35">
              <w:rPr>
                <w:rFonts w:cs="Arial"/>
                <w:sz w:val="22"/>
                <w:szCs w:val="22"/>
              </w:rPr>
              <w:t xml:space="preserve"> </w:t>
            </w:r>
            <w:r w:rsidR="00B46963" w:rsidRPr="00C81E35">
              <w:rPr>
                <w:rFonts w:cs="Arial"/>
                <w:sz w:val="22"/>
                <w:szCs w:val="22"/>
              </w:rPr>
              <w:t>Completed per update provided to bullet point 1 above.</w:t>
            </w:r>
          </w:p>
          <w:p w14:paraId="31DDDACB" w14:textId="77011EDA" w:rsidR="00842B1B" w:rsidRPr="00C81E35" w:rsidRDefault="0007617E" w:rsidP="00226C1E">
            <w:pPr>
              <w:pStyle w:val="ListParagraph"/>
              <w:numPr>
                <w:ilvl w:val="0"/>
                <w:numId w:val="8"/>
              </w:numPr>
              <w:spacing w:before="60" w:after="120"/>
              <w:ind w:left="425" w:hanging="357"/>
              <w:rPr>
                <w:rFonts w:cs="Arial"/>
                <w:sz w:val="22"/>
                <w:szCs w:val="22"/>
              </w:rPr>
            </w:pPr>
            <w:r w:rsidRPr="00C81E35">
              <w:rPr>
                <w:rFonts w:cs="Arial"/>
                <w:sz w:val="22"/>
                <w:szCs w:val="22"/>
                <w:u w:val="single"/>
              </w:rPr>
              <w:t>Targeted internal training programmes</w:t>
            </w:r>
            <w:r w:rsidRPr="00C81E35">
              <w:rPr>
                <w:rFonts w:cs="Arial"/>
                <w:sz w:val="22"/>
                <w:szCs w:val="22"/>
              </w:rPr>
              <w:t xml:space="preserve"> – IG is part of the Mandatory training all staff are required to undertake.  There has also been specific training provided on the system where requested.  </w:t>
            </w:r>
          </w:p>
        </w:tc>
      </w:tr>
      <w:tr w:rsidR="00DE784E" w:rsidRPr="00160BA6" w14:paraId="1D9B31BB" w14:textId="77777777" w:rsidTr="001737BA">
        <w:tc>
          <w:tcPr>
            <w:tcW w:w="675" w:type="dxa"/>
          </w:tcPr>
          <w:p w14:paraId="4FD90023" w14:textId="4AA83983" w:rsidR="00DE784E" w:rsidRDefault="00842B1B" w:rsidP="001737BA">
            <w:pPr>
              <w:spacing w:before="60" w:after="60"/>
              <w:rPr>
                <w:rFonts w:cs="Arial"/>
                <w:color w:val="000000" w:themeColor="text1"/>
                <w:sz w:val="22"/>
                <w:szCs w:val="22"/>
              </w:rPr>
            </w:pPr>
            <w:r>
              <w:rPr>
                <w:rFonts w:cs="Arial"/>
                <w:color w:val="000000" w:themeColor="text1"/>
                <w:sz w:val="22"/>
                <w:szCs w:val="22"/>
              </w:rPr>
              <w:lastRenderedPageBreak/>
              <w:t>13</w:t>
            </w:r>
          </w:p>
        </w:tc>
        <w:tc>
          <w:tcPr>
            <w:tcW w:w="3998" w:type="dxa"/>
          </w:tcPr>
          <w:p w14:paraId="52E71CC0" w14:textId="30F772EE" w:rsidR="001C0B65" w:rsidRPr="00382C02" w:rsidRDefault="00842B1B" w:rsidP="0093314D">
            <w:pPr>
              <w:spacing w:before="60" w:after="120"/>
              <w:rPr>
                <w:rFonts w:cs="Arial"/>
                <w:color w:val="000000" w:themeColor="text1"/>
                <w:sz w:val="22"/>
                <w:szCs w:val="22"/>
              </w:rPr>
            </w:pPr>
            <w:r w:rsidRPr="00382C02">
              <w:rPr>
                <w:rFonts w:cs="Arial"/>
                <w:color w:val="000000" w:themeColor="text1"/>
                <w:sz w:val="22"/>
                <w:szCs w:val="22"/>
              </w:rPr>
              <w:t xml:space="preserve">Contemporaneously acknowledged (rather than in the earlier drafts of this document), an audit of Risk Management in 2019/20 identified that whilst the framework, strategy and procedures were well documented, directorate and service level </w:t>
            </w:r>
            <w:r w:rsidRPr="00382C02">
              <w:rPr>
                <w:rFonts w:cs="Arial"/>
                <w:color w:val="000000" w:themeColor="text1"/>
                <w:sz w:val="22"/>
                <w:szCs w:val="22"/>
              </w:rPr>
              <w:lastRenderedPageBreak/>
              <w:t>compliance with the procedures was variable. The audit also found that, for the Corporate Risk Register, there was insufficient management review and challenge by the Corporate Leadership Team.</w:t>
            </w:r>
          </w:p>
        </w:tc>
        <w:tc>
          <w:tcPr>
            <w:tcW w:w="4253" w:type="dxa"/>
          </w:tcPr>
          <w:p w14:paraId="0746CA05" w14:textId="42398D97" w:rsidR="00DE784E" w:rsidRPr="00382C02" w:rsidRDefault="00382C02" w:rsidP="0093314D">
            <w:pPr>
              <w:spacing w:before="60"/>
              <w:rPr>
                <w:rFonts w:cs="Arial"/>
                <w:color w:val="000000" w:themeColor="text1"/>
                <w:sz w:val="22"/>
                <w:szCs w:val="22"/>
              </w:rPr>
            </w:pPr>
            <w:r w:rsidRPr="00382C02">
              <w:rPr>
                <w:sz w:val="22"/>
                <w:szCs w:val="22"/>
              </w:rPr>
              <w:lastRenderedPageBreak/>
              <w:t>Re</w:t>
            </w:r>
            <w:r>
              <w:rPr>
                <w:sz w:val="22"/>
                <w:szCs w:val="22"/>
              </w:rPr>
              <w:t xml:space="preserve">invigorate Risk Management </w:t>
            </w:r>
            <w:r w:rsidR="009C7B88">
              <w:rPr>
                <w:sz w:val="22"/>
                <w:szCs w:val="22"/>
              </w:rPr>
              <w:t xml:space="preserve">Strategy and </w:t>
            </w:r>
            <w:r>
              <w:rPr>
                <w:sz w:val="22"/>
                <w:szCs w:val="22"/>
              </w:rPr>
              <w:t>Framework</w:t>
            </w:r>
            <w:r w:rsidR="009C7B88">
              <w:rPr>
                <w:sz w:val="22"/>
                <w:szCs w:val="22"/>
              </w:rPr>
              <w:t xml:space="preserve">, </w:t>
            </w:r>
            <w:r>
              <w:rPr>
                <w:sz w:val="22"/>
                <w:szCs w:val="22"/>
              </w:rPr>
              <w:t xml:space="preserve">and </w:t>
            </w:r>
            <w:r w:rsidR="00FC41D7">
              <w:rPr>
                <w:sz w:val="22"/>
                <w:szCs w:val="22"/>
              </w:rPr>
              <w:t xml:space="preserve">the </w:t>
            </w:r>
            <w:r>
              <w:rPr>
                <w:sz w:val="22"/>
                <w:szCs w:val="22"/>
              </w:rPr>
              <w:t xml:space="preserve">related reporting arrangements to DLTs and CMT.  </w:t>
            </w:r>
          </w:p>
        </w:tc>
        <w:tc>
          <w:tcPr>
            <w:tcW w:w="5248" w:type="dxa"/>
          </w:tcPr>
          <w:p w14:paraId="41C0D43E" w14:textId="78B11959" w:rsidR="00DE784E" w:rsidRPr="0007617E" w:rsidRDefault="00752B60" w:rsidP="0093314D">
            <w:pPr>
              <w:spacing w:before="60"/>
              <w:rPr>
                <w:rFonts w:cs="Arial"/>
                <w:sz w:val="22"/>
                <w:szCs w:val="22"/>
              </w:rPr>
            </w:pPr>
            <w:r w:rsidRPr="0026740B">
              <w:rPr>
                <w:sz w:val="22"/>
                <w:szCs w:val="22"/>
              </w:rPr>
              <w:t>At the last update provided to Audit Committee, in November 2022, it was stated that some</w:t>
            </w:r>
            <w:r>
              <w:rPr>
                <w:sz w:val="22"/>
                <w:szCs w:val="22"/>
              </w:rPr>
              <w:t xml:space="preserve"> </w:t>
            </w:r>
            <w:r w:rsidRPr="0026740B">
              <w:rPr>
                <w:sz w:val="22"/>
                <w:szCs w:val="22"/>
              </w:rPr>
              <w:t>progress had been made</w:t>
            </w:r>
            <w:r>
              <w:rPr>
                <w:sz w:val="22"/>
                <w:szCs w:val="22"/>
              </w:rPr>
              <w:t xml:space="preserve"> in identification and review of risks</w:t>
            </w:r>
            <w:r w:rsidRPr="0026740B">
              <w:rPr>
                <w:sz w:val="22"/>
                <w:szCs w:val="22"/>
              </w:rPr>
              <w:t xml:space="preserve">, but </w:t>
            </w:r>
            <w:r>
              <w:rPr>
                <w:sz w:val="22"/>
                <w:szCs w:val="22"/>
              </w:rPr>
              <w:t xml:space="preserve">also that </w:t>
            </w:r>
            <w:r w:rsidRPr="0026740B">
              <w:rPr>
                <w:sz w:val="22"/>
                <w:szCs w:val="22"/>
              </w:rPr>
              <w:t>some of the underlying processes that underpin a robust risk register are targeting a delivery date of June 2023.</w:t>
            </w:r>
          </w:p>
        </w:tc>
      </w:tr>
      <w:tr w:rsidR="00704F65" w:rsidRPr="00160BA6" w14:paraId="1C6213FD" w14:textId="77777777" w:rsidTr="001737BA">
        <w:tc>
          <w:tcPr>
            <w:tcW w:w="675" w:type="dxa"/>
          </w:tcPr>
          <w:p w14:paraId="39616366" w14:textId="0FA2F350" w:rsidR="00704F65" w:rsidRDefault="00704F65" w:rsidP="00704F65">
            <w:pPr>
              <w:spacing w:before="60" w:after="60"/>
              <w:rPr>
                <w:rFonts w:cs="Arial"/>
                <w:color w:val="000000" w:themeColor="text1"/>
                <w:sz w:val="22"/>
                <w:szCs w:val="22"/>
              </w:rPr>
            </w:pPr>
            <w:r>
              <w:rPr>
                <w:rFonts w:cs="Arial"/>
                <w:color w:val="000000" w:themeColor="text1"/>
                <w:sz w:val="22"/>
                <w:szCs w:val="22"/>
              </w:rPr>
              <w:t>14</w:t>
            </w:r>
          </w:p>
        </w:tc>
        <w:tc>
          <w:tcPr>
            <w:tcW w:w="3998" w:type="dxa"/>
          </w:tcPr>
          <w:p w14:paraId="1B625F48" w14:textId="77777777" w:rsidR="00704F65" w:rsidRPr="00DD31CF" w:rsidRDefault="00704F65" w:rsidP="00704F65">
            <w:pPr>
              <w:spacing w:before="60" w:after="60"/>
              <w:ind w:left="51"/>
              <w:rPr>
                <w:sz w:val="22"/>
                <w:szCs w:val="22"/>
              </w:rPr>
            </w:pPr>
            <w:r w:rsidRPr="00DD31CF">
              <w:rPr>
                <w:rFonts w:cs="Arial"/>
                <w:sz w:val="22"/>
                <w:szCs w:val="22"/>
              </w:rPr>
              <w:t>In line with best practice set out in CIPFA Bulletin 16 (</w:t>
            </w:r>
            <w:r w:rsidRPr="00DD31CF">
              <w:rPr>
                <w:rFonts w:eastAsiaTheme="minorHAnsi" w:cs="Arial"/>
                <w:sz w:val="22"/>
                <w:szCs w:val="22"/>
              </w:rPr>
              <w:t xml:space="preserve">Local audit delays and the publication of the </w:t>
            </w:r>
            <w:r w:rsidRPr="00DD31CF">
              <w:rPr>
                <w:rFonts w:cs="Arial"/>
                <w:sz w:val="22"/>
                <w:szCs w:val="22"/>
              </w:rPr>
              <w:t>A</w:t>
            </w:r>
            <w:r>
              <w:rPr>
                <w:rFonts w:eastAsiaTheme="minorHAnsi"/>
              </w:rPr>
              <w:t>GS</w:t>
            </w:r>
            <w:r w:rsidRPr="00DD31CF">
              <w:rPr>
                <w:rFonts w:cs="Arial"/>
                <w:sz w:val="22"/>
                <w:szCs w:val="22"/>
              </w:rPr>
              <w:t>)</w:t>
            </w:r>
            <w:r>
              <w:t>,</w:t>
            </w:r>
            <w:r w:rsidRPr="00DD31CF">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t xml:space="preserve">only </w:t>
            </w:r>
            <w:r w:rsidRPr="00DD31CF">
              <w:rPr>
                <w:rFonts w:cs="Arial"/>
                <w:sz w:val="22"/>
                <w:szCs w:val="22"/>
              </w:rPr>
              <w:t>became aware of at a later date.</w:t>
            </w:r>
          </w:p>
          <w:p w14:paraId="27EE1B02" w14:textId="76DE6A20" w:rsidR="00704F65" w:rsidRPr="00DD31CF" w:rsidRDefault="00704F65" w:rsidP="00704F65">
            <w:pPr>
              <w:spacing w:before="60"/>
              <w:ind w:left="53"/>
              <w:rPr>
                <w:rFonts w:cs="Arial"/>
                <w:sz w:val="22"/>
                <w:szCs w:val="22"/>
              </w:rPr>
            </w:pPr>
            <w:r w:rsidRPr="00DD31CF">
              <w:rPr>
                <w:rFonts w:cs="Arial"/>
                <w:sz w:val="22"/>
                <w:szCs w:val="22"/>
              </w:rPr>
              <w:t xml:space="preserve">During 2023/24, </w:t>
            </w:r>
            <w:r>
              <w:t>several</w:t>
            </w:r>
            <w:r w:rsidRPr="00DD31CF">
              <w:rPr>
                <w:rFonts w:cs="Arial"/>
                <w:sz w:val="22"/>
                <w:szCs w:val="22"/>
              </w:rPr>
              <w:t xml:space="preserve"> issues </w:t>
            </w:r>
            <w:r>
              <w:t>came to light</w:t>
            </w:r>
            <w:r w:rsidRPr="00DD31CF">
              <w:rPr>
                <w:rFonts w:cs="Arial"/>
                <w:sz w:val="22"/>
                <w:szCs w:val="22"/>
              </w:rPr>
              <w:t xml:space="preserve"> concerning a multi-party Homecare contract that had been in operation from 2017 onwards. These concerned systemic failures and </w:t>
            </w:r>
            <w:r>
              <w:t>irregularities</w:t>
            </w:r>
            <w:r w:rsidRPr="00DD31CF">
              <w:rPr>
                <w:rFonts w:cs="Arial"/>
                <w:sz w:val="22"/>
                <w:szCs w:val="22"/>
              </w:rPr>
              <w:t xml:space="preserve"> in relation </w:t>
            </w:r>
            <w:r w:rsidR="007B0991">
              <w:rPr>
                <w:rFonts w:cs="Arial"/>
                <w:sz w:val="22"/>
                <w:szCs w:val="22"/>
              </w:rPr>
              <w:t>to</w:t>
            </w:r>
            <w:r w:rsidR="00C207EE">
              <w:rPr>
                <w:rFonts w:cs="Arial"/>
                <w:sz w:val="22"/>
                <w:szCs w:val="22"/>
              </w:rPr>
              <w:t xml:space="preserve"> </w:t>
            </w:r>
            <w:r w:rsidRPr="00DD31CF">
              <w:rPr>
                <w:rFonts w:cs="Arial"/>
                <w:sz w:val="22"/>
                <w:szCs w:val="22"/>
              </w:rPr>
              <w:t xml:space="preserve">supplier oversight, </w:t>
            </w:r>
            <w:r w:rsidRPr="00DD31CF">
              <w:rPr>
                <w:rFonts w:cs="Arial"/>
                <w:sz w:val="22"/>
                <w:szCs w:val="22"/>
                <w:lang w:eastAsia="en-US"/>
              </w:rPr>
              <w:t>supply chain management</w:t>
            </w:r>
            <w:r w:rsidRPr="00DD31CF">
              <w:rPr>
                <w:rFonts w:cs="Arial"/>
                <w:sz w:val="22"/>
                <w:szCs w:val="22"/>
              </w:rPr>
              <w:t>, payments to suppliers</w:t>
            </w:r>
            <w:r w:rsidRPr="00DD31CF">
              <w:rPr>
                <w:rFonts w:cs="Arial"/>
                <w:sz w:val="22"/>
                <w:szCs w:val="22"/>
                <w:lang w:eastAsia="en-US"/>
              </w:rPr>
              <w:t xml:space="preserve"> and procurement processes</w:t>
            </w:r>
            <w:r w:rsidRPr="00DD31CF">
              <w:rPr>
                <w:rFonts w:cs="Arial"/>
                <w:sz w:val="22"/>
                <w:szCs w:val="22"/>
              </w:rPr>
              <w:t xml:space="preserve">. </w:t>
            </w:r>
          </w:p>
          <w:p w14:paraId="682F01D7" w14:textId="77777777" w:rsidR="00704F65" w:rsidRPr="00842B1B" w:rsidRDefault="00704F65" w:rsidP="00704F65">
            <w:pPr>
              <w:spacing w:before="60" w:after="120"/>
              <w:rPr>
                <w:rFonts w:cs="Arial"/>
                <w:color w:val="000000" w:themeColor="text1"/>
                <w:sz w:val="22"/>
                <w:szCs w:val="22"/>
              </w:rPr>
            </w:pPr>
          </w:p>
        </w:tc>
        <w:tc>
          <w:tcPr>
            <w:tcW w:w="4253" w:type="dxa"/>
          </w:tcPr>
          <w:p w14:paraId="3AAEF838" w14:textId="77777777" w:rsidR="002F7E54" w:rsidRPr="0082505F" w:rsidRDefault="002F7E54" w:rsidP="002F7E54">
            <w:pPr>
              <w:pStyle w:val="TableParagraph"/>
              <w:spacing w:before="60" w:after="60"/>
              <w:ind w:left="0"/>
              <w:rPr>
                <w:bCs/>
              </w:rPr>
            </w:pPr>
            <w:r w:rsidRPr="0082505F">
              <w:rPr>
                <w:bCs/>
              </w:rPr>
              <w:t>This matter is currently the subject of a detailed investigation and the Council intends to report its outcome to a public meeting as soon as it is available.</w:t>
            </w:r>
          </w:p>
          <w:p w14:paraId="0C1A403F" w14:textId="77777777" w:rsidR="0082505F" w:rsidRPr="0082505F" w:rsidRDefault="0082505F" w:rsidP="00973E9F">
            <w:pPr>
              <w:pStyle w:val="TableParagraph"/>
              <w:spacing w:before="60" w:after="60"/>
              <w:ind w:left="0"/>
              <w:rPr>
                <w:bCs/>
              </w:rPr>
            </w:pPr>
            <w:r w:rsidRPr="0082505F">
              <w:rPr>
                <w:bCs/>
              </w:rPr>
              <w:t>Concurrently, work is underway to transform the Council’s procurement function and related supplier management practices, including for example:</w:t>
            </w:r>
          </w:p>
          <w:p w14:paraId="661F6C74" w14:textId="77777777" w:rsidR="0082505F" w:rsidRPr="0082505F" w:rsidRDefault="0082505F" w:rsidP="00226C1E">
            <w:pPr>
              <w:pStyle w:val="ListParagraph"/>
              <w:numPr>
                <w:ilvl w:val="0"/>
                <w:numId w:val="10"/>
              </w:numPr>
              <w:suppressAutoHyphens w:val="0"/>
              <w:autoSpaceDN/>
              <w:spacing w:after="120"/>
              <w:ind w:left="320" w:hanging="283"/>
              <w:rPr>
                <w:sz w:val="22"/>
                <w:szCs w:val="22"/>
              </w:rPr>
            </w:pPr>
            <w:r w:rsidRPr="0082505F">
              <w:rPr>
                <w:sz w:val="22"/>
                <w:szCs w:val="22"/>
              </w:rPr>
              <w:t>Revised</w:t>
            </w:r>
            <w:r w:rsidRPr="0082505F">
              <w:rPr>
                <w:rFonts w:eastAsia="Arial"/>
                <w:sz w:val="22"/>
                <w:szCs w:val="22"/>
              </w:rPr>
              <w:t xml:space="preserve"> procurement standing orders and procedures will mandate a quarterly review of new contracts by key suppliers' financial positions to mitigate the risk of supplier failure</w:t>
            </w:r>
          </w:p>
          <w:p w14:paraId="5E90877D" w14:textId="77777777" w:rsidR="0082505F" w:rsidRPr="0082505F" w:rsidRDefault="0082505F" w:rsidP="00226C1E">
            <w:pPr>
              <w:pStyle w:val="ListParagraph"/>
              <w:numPr>
                <w:ilvl w:val="0"/>
                <w:numId w:val="10"/>
              </w:numPr>
              <w:suppressAutoHyphens w:val="0"/>
              <w:autoSpaceDN/>
              <w:spacing w:after="120"/>
              <w:ind w:left="320" w:hanging="283"/>
              <w:rPr>
                <w:sz w:val="22"/>
                <w:szCs w:val="22"/>
              </w:rPr>
            </w:pPr>
            <w:r w:rsidRPr="0082505F">
              <w:rPr>
                <w:sz w:val="22"/>
                <w:szCs w:val="22"/>
              </w:rPr>
              <w:t>C</w:t>
            </w:r>
            <w:r w:rsidRPr="0082505F">
              <w:rPr>
                <w:rFonts w:eastAsia="Arial"/>
                <w:sz w:val="22"/>
                <w:szCs w:val="22"/>
              </w:rPr>
              <w:t>ontracts will be monitored monthly to ensure there is no risk of exceeding the agreed contract value</w:t>
            </w:r>
          </w:p>
          <w:p w14:paraId="69AAAF15" w14:textId="77777777" w:rsidR="0082505F" w:rsidRDefault="0082505F" w:rsidP="00226C1E">
            <w:pPr>
              <w:pStyle w:val="ListParagraph"/>
              <w:numPr>
                <w:ilvl w:val="0"/>
                <w:numId w:val="10"/>
              </w:numPr>
              <w:suppressAutoHyphens w:val="0"/>
              <w:autoSpaceDN/>
              <w:spacing w:after="120"/>
              <w:ind w:left="320" w:hanging="283"/>
              <w:rPr>
                <w:rFonts w:eastAsia="Arial"/>
                <w:sz w:val="22"/>
                <w:szCs w:val="22"/>
              </w:rPr>
            </w:pPr>
            <w:r w:rsidRPr="0082505F">
              <w:rPr>
                <w:rFonts w:eastAsia="Arial"/>
                <w:sz w:val="22"/>
                <w:szCs w:val="22"/>
              </w:rPr>
              <w:t>A new management system, a brokerage data retrieval and reporting regime will allow</w:t>
            </w:r>
            <w:r w:rsidRPr="0082505F">
              <w:rPr>
                <w:sz w:val="22"/>
                <w:szCs w:val="22"/>
              </w:rPr>
              <w:t xml:space="preserve"> the </w:t>
            </w:r>
            <w:r w:rsidRPr="0082505F">
              <w:rPr>
                <w:rFonts w:eastAsia="Arial"/>
                <w:sz w:val="22"/>
                <w:szCs w:val="22"/>
              </w:rPr>
              <w:t xml:space="preserve">Commissioning &amp; Brokerage </w:t>
            </w:r>
            <w:r w:rsidRPr="0082505F">
              <w:rPr>
                <w:sz w:val="22"/>
                <w:szCs w:val="22"/>
              </w:rPr>
              <w:t xml:space="preserve">service </w:t>
            </w:r>
            <w:r w:rsidRPr="0082505F">
              <w:rPr>
                <w:rFonts w:eastAsia="Arial"/>
                <w:sz w:val="22"/>
                <w:szCs w:val="22"/>
              </w:rPr>
              <w:t xml:space="preserve">to regularly </w:t>
            </w:r>
            <w:r w:rsidRPr="0082505F">
              <w:rPr>
                <w:rFonts w:eastAsia="Arial"/>
                <w:sz w:val="22"/>
                <w:szCs w:val="22"/>
              </w:rPr>
              <w:lastRenderedPageBreak/>
              <w:t xml:space="preserve">review and monitor weekly allocation of </w:t>
            </w:r>
            <w:r w:rsidRPr="0082505F">
              <w:rPr>
                <w:sz w:val="22"/>
                <w:szCs w:val="22"/>
              </w:rPr>
              <w:t xml:space="preserve">work </w:t>
            </w:r>
            <w:r w:rsidRPr="0082505F">
              <w:rPr>
                <w:rFonts w:eastAsia="Arial"/>
                <w:sz w:val="22"/>
                <w:szCs w:val="22"/>
              </w:rPr>
              <w:t>to providers</w:t>
            </w:r>
          </w:p>
          <w:p w14:paraId="6E668160" w14:textId="540BAF50" w:rsidR="00704F65" w:rsidRPr="0061519B" w:rsidRDefault="0082505F" w:rsidP="00226C1E">
            <w:pPr>
              <w:pStyle w:val="ListParagraph"/>
              <w:numPr>
                <w:ilvl w:val="0"/>
                <w:numId w:val="10"/>
              </w:numPr>
              <w:suppressAutoHyphens w:val="0"/>
              <w:autoSpaceDN/>
              <w:spacing w:after="120"/>
              <w:ind w:left="320" w:hanging="283"/>
              <w:rPr>
                <w:rFonts w:eastAsia="Arial"/>
                <w:sz w:val="22"/>
                <w:szCs w:val="22"/>
              </w:rPr>
            </w:pPr>
            <w:r w:rsidRPr="0061519B">
              <w:rPr>
                <w:rFonts w:eastAsia="Arial" w:cs="Arial"/>
                <w:sz w:val="22"/>
                <w:szCs w:val="22"/>
              </w:rPr>
              <w:t xml:space="preserve">Power BI reporting tool </w:t>
            </w:r>
            <w:r w:rsidRPr="0061519B">
              <w:rPr>
                <w:sz w:val="22"/>
                <w:szCs w:val="22"/>
              </w:rPr>
              <w:t xml:space="preserve">has been made </w:t>
            </w:r>
            <w:r w:rsidRPr="0061519B">
              <w:rPr>
                <w:rFonts w:eastAsia="Arial" w:cs="Arial"/>
                <w:sz w:val="22"/>
                <w:szCs w:val="22"/>
              </w:rPr>
              <w:t>available for all budget holders. This</w:t>
            </w:r>
            <w:r w:rsidRPr="0061519B">
              <w:rPr>
                <w:sz w:val="22"/>
                <w:szCs w:val="22"/>
              </w:rPr>
              <w:t xml:space="preserve"> </w:t>
            </w:r>
            <w:r w:rsidRPr="0061519B">
              <w:rPr>
                <w:rFonts w:eastAsia="Arial" w:cs="Arial"/>
                <w:sz w:val="22"/>
                <w:szCs w:val="22"/>
              </w:rPr>
              <w:t>will link budgets to contract spending, allowing budget holders to view their current and past spending in real time, enabling them to take early mitigating actions.</w:t>
            </w:r>
          </w:p>
        </w:tc>
        <w:tc>
          <w:tcPr>
            <w:tcW w:w="5248" w:type="dxa"/>
          </w:tcPr>
          <w:p w14:paraId="716D6EB4" w14:textId="656DC094" w:rsidR="00704F65" w:rsidRDefault="00973E9F" w:rsidP="00704F65">
            <w:pPr>
              <w:autoSpaceDN w:val="0"/>
              <w:spacing w:before="60" w:after="120"/>
              <w:rPr>
                <w:sz w:val="22"/>
                <w:szCs w:val="22"/>
              </w:rPr>
            </w:pPr>
            <w:r>
              <w:rPr>
                <w:sz w:val="22"/>
                <w:szCs w:val="22"/>
              </w:rPr>
              <w:lastRenderedPageBreak/>
              <w:t xml:space="preserve">The </w:t>
            </w:r>
            <w:r w:rsidR="00F2226B">
              <w:rPr>
                <w:sz w:val="22"/>
                <w:szCs w:val="22"/>
              </w:rPr>
              <w:t>Council’s i</w:t>
            </w:r>
            <w:r>
              <w:rPr>
                <w:sz w:val="22"/>
                <w:szCs w:val="22"/>
              </w:rPr>
              <w:t>nvestigation</w:t>
            </w:r>
            <w:r w:rsidR="00F2226B">
              <w:rPr>
                <w:sz w:val="22"/>
                <w:szCs w:val="22"/>
              </w:rPr>
              <w:t xml:space="preserve"> of this matter</w:t>
            </w:r>
            <w:r>
              <w:rPr>
                <w:sz w:val="22"/>
                <w:szCs w:val="22"/>
              </w:rPr>
              <w:t xml:space="preserve"> is </w:t>
            </w:r>
            <w:proofErr w:type="gramStart"/>
            <w:r>
              <w:rPr>
                <w:sz w:val="22"/>
                <w:szCs w:val="22"/>
              </w:rPr>
              <w:t>ongoing</w:t>
            </w:r>
            <w:proofErr w:type="gramEnd"/>
            <w:r>
              <w:rPr>
                <w:sz w:val="22"/>
                <w:szCs w:val="22"/>
              </w:rPr>
              <w:t xml:space="preserve"> and it is anticipated that it will conclude </w:t>
            </w:r>
            <w:r w:rsidR="00B828ED">
              <w:rPr>
                <w:sz w:val="22"/>
                <w:szCs w:val="22"/>
              </w:rPr>
              <w:t xml:space="preserve">and be reported </w:t>
            </w:r>
            <w:r>
              <w:rPr>
                <w:sz w:val="22"/>
                <w:szCs w:val="22"/>
              </w:rPr>
              <w:t>during 2024/25.</w:t>
            </w:r>
          </w:p>
          <w:p w14:paraId="6D7E2BC5" w14:textId="06893C72" w:rsidR="00973E9F" w:rsidRPr="00973E9F" w:rsidRDefault="00C34B31" w:rsidP="00704F65">
            <w:pPr>
              <w:autoSpaceDN w:val="0"/>
              <w:spacing w:before="60" w:after="120"/>
              <w:rPr>
                <w:sz w:val="22"/>
                <w:szCs w:val="22"/>
              </w:rPr>
            </w:pPr>
            <w:r>
              <w:rPr>
                <w:sz w:val="22"/>
                <w:szCs w:val="22"/>
              </w:rPr>
              <w:t>The transformation work in the Procurement function</w:t>
            </w:r>
            <w:r w:rsidR="00443507">
              <w:rPr>
                <w:sz w:val="22"/>
                <w:szCs w:val="22"/>
              </w:rPr>
              <w:t xml:space="preserve"> being progressed through a number of workstreams. Formal </w:t>
            </w:r>
            <w:r w:rsidR="00820392">
              <w:rPr>
                <w:sz w:val="22"/>
                <w:szCs w:val="22"/>
              </w:rPr>
              <w:t xml:space="preserve">proposals and updates will be presented to </w:t>
            </w:r>
            <w:r w:rsidR="00854C53">
              <w:rPr>
                <w:sz w:val="22"/>
                <w:szCs w:val="22"/>
              </w:rPr>
              <w:t>CMT and committee</w:t>
            </w:r>
            <w:r w:rsidR="00820392">
              <w:rPr>
                <w:sz w:val="22"/>
                <w:szCs w:val="22"/>
              </w:rPr>
              <w:t xml:space="preserve"> </w:t>
            </w:r>
            <w:r w:rsidR="00F2226B">
              <w:rPr>
                <w:sz w:val="22"/>
                <w:szCs w:val="22"/>
              </w:rPr>
              <w:t>at the appropriate time,</w:t>
            </w:r>
          </w:p>
        </w:tc>
      </w:tr>
      <w:tr w:rsidR="00DC5A84" w:rsidRPr="00160BA6" w14:paraId="05B54F34" w14:textId="77777777" w:rsidTr="001737BA">
        <w:tc>
          <w:tcPr>
            <w:tcW w:w="675" w:type="dxa"/>
          </w:tcPr>
          <w:p w14:paraId="438BA530" w14:textId="26BAAE2F" w:rsidR="00DC5A84" w:rsidRPr="00DC5A84" w:rsidRDefault="00DC5A84" w:rsidP="00DC5A84">
            <w:pPr>
              <w:spacing w:before="60" w:after="60"/>
              <w:rPr>
                <w:rFonts w:cs="Arial"/>
                <w:color w:val="000000" w:themeColor="text1"/>
                <w:sz w:val="22"/>
                <w:szCs w:val="22"/>
              </w:rPr>
            </w:pPr>
            <w:r w:rsidRPr="00DC5A84">
              <w:rPr>
                <w:sz w:val="22"/>
                <w:szCs w:val="22"/>
              </w:rPr>
              <w:t xml:space="preserve"> 15</w:t>
            </w:r>
          </w:p>
        </w:tc>
        <w:tc>
          <w:tcPr>
            <w:tcW w:w="3998" w:type="dxa"/>
          </w:tcPr>
          <w:p w14:paraId="62B8F6DF" w14:textId="77777777" w:rsidR="00DC5A84" w:rsidRPr="00DC5A84" w:rsidRDefault="00DC5A84" w:rsidP="00DC5A84">
            <w:pPr>
              <w:spacing w:before="60" w:after="60"/>
              <w:ind w:left="51"/>
              <w:rPr>
                <w:sz w:val="22"/>
                <w:szCs w:val="22"/>
              </w:rPr>
            </w:pPr>
            <w:r w:rsidRPr="00DC5A84">
              <w:rPr>
                <w:rFonts w:cs="Arial"/>
                <w:sz w:val="22"/>
                <w:szCs w:val="22"/>
              </w:rPr>
              <w:t>In line with best practice set out in CIPFA Bulletin 16 (</w:t>
            </w:r>
            <w:r w:rsidRPr="00DC5A84">
              <w:rPr>
                <w:rFonts w:eastAsiaTheme="minorHAnsi" w:cs="Arial"/>
                <w:sz w:val="22"/>
                <w:szCs w:val="22"/>
              </w:rPr>
              <w:t xml:space="preserve">Local audit delays and the publication of the </w:t>
            </w:r>
            <w:r w:rsidRPr="00DC5A84">
              <w:rPr>
                <w:rFonts w:cs="Arial"/>
                <w:sz w:val="22"/>
                <w:szCs w:val="22"/>
              </w:rPr>
              <w:t>A</w:t>
            </w:r>
            <w:r w:rsidRPr="00DC5A84">
              <w:rPr>
                <w:rFonts w:eastAsiaTheme="minorHAnsi"/>
                <w:sz w:val="22"/>
                <w:szCs w:val="22"/>
              </w:rPr>
              <w:t>GS</w:t>
            </w:r>
            <w:r w:rsidRPr="00DC5A84">
              <w:rPr>
                <w:rFonts w:cs="Arial"/>
                <w:sz w:val="22"/>
                <w:szCs w:val="22"/>
              </w:rPr>
              <w:t>)</w:t>
            </w:r>
            <w:r w:rsidRPr="00DC5A84">
              <w:rPr>
                <w:sz w:val="22"/>
                <w:szCs w:val="22"/>
              </w:rPr>
              <w:t>,</w:t>
            </w:r>
            <w:r w:rsidRPr="00DC5A84">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rsidRPr="00DC5A84">
              <w:rPr>
                <w:sz w:val="22"/>
                <w:szCs w:val="22"/>
              </w:rPr>
              <w:t xml:space="preserve">only </w:t>
            </w:r>
            <w:r w:rsidRPr="00DC5A84">
              <w:rPr>
                <w:rFonts w:cs="Arial"/>
                <w:sz w:val="22"/>
                <w:szCs w:val="22"/>
              </w:rPr>
              <w:t>became aware of at a later date.</w:t>
            </w:r>
          </w:p>
          <w:p w14:paraId="6CE3B2E2" w14:textId="49B158CE" w:rsidR="00DC5A84" w:rsidRPr="00DC5A84" w:rsidRDefault="00DC5A84" w:rsidP="00DC5A84">
            <w:pPr>
              <w:spacing w:before="60" w:after="60"/>
              <w:ind w:left="51"/>
              <w:rPr>
                <w:sz w:val="22"/>
                <w:szCs w:val="22"/>
                <w:lang w:val="en-US"/>
              </w:rPr>
            </w:pPr>
            <w:r w:rsidRPr="00DC5A84">
              <w:rPr>
                <w:sz w:val="22"/>
                <w:szCs w:val="22"/>
              </w:rPr>
              <w:t>On</w:t>
            </w:r>
            <w:r w:rsidRPr="00DC5A84">
              <w:rPr>
                <w:rFonts w:cs="Arial"/>
                <w:sz w:val="22"/>
                <w:szCs w:val="22"/>
              </w:rPr>
              <w:t xml:space="preserve"> 22</w:t>
            </w:r>
            <w:r w:rsidRPr="00DC5A84">
              <w:rPr>
                <w:sz w:val="22"/>
                <w:szCs w:val="22"/>
              </w:rPr>
              <w:t>nd</w:t>
            </w:r>
            <w:r w:rsidRPr="00DC5A84">
              <w:rPr>
                <w:rFonts w:cs="Arial"/>
                <w:sz w:val="22"/>
                <w:szCs w:val="22"/>
              </w:rPr>
              <w:t xml:space="preserve"> February 2024, </w:t>
            </w:r>
            <w:r w:rsidRPr="00DC5A84">
              <w:rPr>
                <w:sz w:val="22"/>
                <w:szCs w:val="22"/>
              </w:rPr>
              <w:t xml:space="preserve">DLUHC </w:t>
            </w:r>
            <w:r w:rsidRPr="00DC5A84">
              <w:rPr>
                <w:rFonts w:cs="Arial"/>
                <w:sz w:val="22"/>
                <w:szCs w:val="22"/>
              </w:rPr>
              <w:t>notified the Council of an inspection to provide assurance of improvement progress in the Council. The</w:t>
            </w:r>
            <w:r w:rsidRPr="00DC5A84">
              <w:rPr>
                <w:sz w:val="22"/>
                <w:szCs w:val="22"/>
              </w:rPr>
              <w:t xml:space="preserve"> [then]</w:t>
            </w:r>
            <w:r w:rsidRPr="00DC5A84">
              <w:rPr>
                <w:rFonts w:cs="Arial"/>
                <w:sz w:val="22"/>
                <w:szCs w:val="22"/>
              </w:rPr>
              <w:t xml:space="preserve"> Secretary of State decided to commission this inspection to provide him with direct, independent assurance that the Council is complying with its Best Value Duty</w:t>
            </w:r>
            <w:r w:rsidR="001F225C">
              <w:rPr>
                <w:rFonts w:cs="Arial"/>
                <w:sz w:val="22"/>
                <w:szCs w:val="22"/>
              </w:rPr>
              <w:t>.</w:t>
            </w:r>
          </w:p>
          <w:p w14:paraId="76527B30" w14:textId="77777777" w:rsidR="00DC5A84" w:rsidRPr="00DC5A84" w:rsidRDefault="00DC5A84" w:rsidP="00DC5A84">
            <w:pPr>
              <w:spacing w:before="60" w:after="60"/>
              <w:ind w:left="51"/>
              <w:rPr>
                <w:sz w:val="22"/>
                <w:szCs w:val="22"/>
              </w:rPr>
            </w:pPr>
            <w:r w:rsidRPr="00B573F3">
              <w:rPr>
                <w:sz w:val="22"/>
                <w:szCs w:val="22"/>
              </w:rPr>
              <w:lastRenderedPageBreak/>
              <w:t xml:space="preserve">The Best Value Inspection Report </w:t>
            </w:r>
            <w:r w:rsidRPr="00DC5A84">
              <w:rPr>
                <w:sz w:val="22"/>
                <w:szCs w:val="22"/>
              </w:rPr>
              <w:t>was published on 12</w:t>
            </w:r>
            <w:r w:rsidRPr="00DC5A84">
              <w:rPr>
                <w:sz w:val="22"/>
                <w:szCs w:val="22"/>
                <w:vertAlign w:val="superscript"/>
              </w:rPr>
              <w:t>th</w:t>
            </w:r>
            <w:r w:rsidRPr="00DC5A84">
              <w:rPr>
                <w:sz w:val="22"/>
                <w:szCs w:val="22"/>
              </w:rPr>
              <w:t xml:space="preserve"> November </w:t>
            </w:r>
            <w:r w:rsidRPr="00B573F3">
              <w:rPr>
                <w:sz w:val="22"/>
                <w:szCs w:val="22"/>
              </w:rPr>
              <w:t xml:space="preserve">by the Minister for Housing. In his response to it he concludes that the Council has failed in its </w:t>
            </w:r>
            <w:r w:rsidRPr="00DC5A84">
              <w:rPr>
                <w:sz w:val="22"/>
                <w:szCs w:val="22"/>
              </w:rPr>
              <w:t>B</w:t>
            </w:r>
            <w:r w:rsidRPr="00B573F3">
              <w:rPr>
                <w:sz w:val="22"/>
                <w:szCs w:val="22"/>
              </w:rPr>
              <w:t xml:space="preserve">est </w:t>
            </w:r>
            <w:r w:rsidRPr="00DC5A84">
              <w:rPr>
                <w:sz w:val="22"/>
                <w:szCs w:val="22"/>
              </w:rPr>
              <w:t>V</w:t>
            </w:r>
            <w:r w:rsidRPr="00B573F3">
              <w:rPr>
                <w:sz w:val="22"/>
                <w:szCs w:val="22"/>
              </w:rPr>
              <w:t xml:space="preserve">alue duty and is proposing that the Council receive a support package comprising two ministerial envoys to work with the </w:t>
            </w:r>
            <w:r w:rsidRPr="00DC5A84">
              <w:rPr>
                <w:sz w:val="22"/>
                <w:szCs w:val="22"/>
              </w:rPr>
              <w:t>C</w:t>
            </w:r>
            <w:r w:rsidRPr="00B573F3">
              <w:rPr>
                <w:sz w:val="22"/>
                <w:szCs w:val="22"/>
              </w:rPr>
              <w:t xml:space="preserve">ouncil to deliver an agreed Best Value Improvement plan. </w:t>
            </w:r>
          </w:p>
          <w:p w14:paraId="554CE0A4" w14:textId="77777777" w:rsidR="00DC5A84" w:rsidRPr="00DC5A84" w:rsidRDefault="00DC5A84" w:rsidP="00DC5A84">
            <w:pPr>
              <w:spacing w:before="60" w:after="60"/>
              <w:ind w:left="51"/>
              <w:rPr>
                <w:sz w:val="22"/>
                <w:szCs w:val="22"/>
              </w:rPr>
            </w:pPr>
            <w:r w:rsidRPr="00B573F3">
              <w:rPr>
                <w:sz w:val="22"/>
                <w:szCs w:val="22"/>
              </w:rPr>
              <w:t xml:space="preserve">At the time of writing the Minister has allowed 10 days for any representations to be made to him in respect of his proposal. The Council has met with the Minister during this period and made it clear that it is committed to working constructively with the government to achieve improvement and provide any assurance going forward. </w:t>
            </w:r>
          </w:p>
          <w:p w14:paraId="5F4D0770" w14:textId="77777777" w:rsidR="00DC5A84" w:rsidRPr="00DC5A84" w:rsidRDefault="00DC5A84" w:rsidP="00DC5A84">
            <w:pPr>
              <w:spacing w:before="60" w:after="60"/>
              <w:ind w:left="51"/>
              <w:rPr>
                <w:rFonts w:cs="Arial"/>
                <w:sz w:val="22"/>
                <w:szCs w:val="22"/>
              </w:rPr>
            </w:pPr>
          </w:p>
        </w:tc>
        <w:tc>
          <w:tcPr>
            <w:tcW w:w="4253" w:type="dxa"/>
          </w:tcPr>
          <w:p w14:paraId="0152C554" w14:textId="77777777" w:rsidR="00DC5A84" w:rsidRPr="00DC5A84" w:rsidRDefault="00DC5A84" w:rsidP="00471637">
            <w:pPr>
              <w:spacing w:before="60" w:after="60"/>
              <w:ind w:left="36"/>
              <w:rPr>
                <w:sz w:val="22"/>
                <w:szCs w:val="22"/>
              </w:rPr>
            </w:pPr>
            <w:r w:rsidRPr="00B573F3">
              <w:rPr>
                <w:sz w:val="22"/>
                <w:szCs w:val="22"/>
              </w:rPr>
              <w:lastRenderedPageBreak/>
              <w:t xml:space="preserve">In deciding upon how to proceed the Minister has acknowledged the Council’s sound financial planning, good service delivery, balanced budget and the fact that it has demonstrated that it has key components of an improvement programme in place. One of these is the Transformation Advisory Board which the Minister proposes to be strengthened in order to cover ‘assurance’. </w:t>
            </w:r>
          </w:p>
          <w:p w14:paraId="5F68E182" w14:textId="77777777" w:rsidR="00DC5A84" w:rsidRPr="00DC5A84" w:rsidRDefault="00DC5A84" w:rsidP="00471637">
            <w:pPr>
              <w:spacing w:before="60" w:after="60"/>
              <w:ind w:left="36"/>
              <w:rPr>
                <w:sz w:val="22"/>
                <w:szCs w:val="22"/>
              </w:rPr>
            </w:pPr>
            <w:r w:rsidRPr="00B573F3">
              <w:rPr>
                <w:sz w:val="22"/>
                <w:szCs w:val="22"/>
              </w:rPr>
              <w:t xml:space="preserve">The Council will retain its </w:t>
            </w:r>
            <w:proofErr w:type="gramStart"/>
            <w:r w:rsidRPr="00B573F3">
              <w:rPr>
                <w:sz w:val="22"/>
                <w:szCs w:val="22"/>
              </w:rPr>
              <w:t>powers</w:t>
            </w:r>
            <w:proofErr w:type="gramEnd"/>
            <w:r w:rsidRPr="00B573F3">
              <w:rPr>
                <w:sz w:val="22"/>
                <w:szCs w:val="22"/>
              </w:rPr>
              <w:t xml:space="preserve"> and the Ministerial envoys will be present two days a week to provide the Transformation Advisory and Assurance Board and the Council with advice and guidance. They will report to the Minister quarterly. </w:t>
            </w:r>
          </w:p>
          <w:p w14:paraId="29234E32" w14:textId="55A028B2" w:rsidR="00DC5A84" w:rsidRPr="00DC5A84" w:rsidRDefault="00DC5A84" w:rsidP="00DC5A84">
            <w:pPr>
              <w:pStyle w:val="TableParagraph"/>
              <w:spacing w:before="60" w:after="60"/>
              <w:ind w:left="0"/>
              <w:rPr>
                <w:bCs/>
              </w:rPr>
            </w:pPr>
            <w:r w:rsidRPr="00B573F3">
              <w:rPr>
                <w:lang w:val="en-GB"/>
              </w:rPr>
              <w:t xml:space="preserve">The Council must demonstrate rapid and meaningful improvement. If not, the Minister reserves the right to review the </w:t>
            </w:r>
            <w:r w:rsidRPr="00B573F3">
              <w:rPr>
                <w:lang w:val="en-GB"/>
              </w:rPr>
              <w:lastRenderedPageBreak/>
              <w:t xml:space="preserve">situation. The government is minded </w:t>
            </w:r>
            <w:proofErr w:type="gramStart"/>
            <w:r w:rsidRPr="00B573F3">
              <w:rPr>
                <w:lang w:val="en-GB"/>
              </w:rPr>
              <w:t>to issue</w:t>
            </w:r>
            <w:proofErr w:type="gramEnd"/>
            <w:r w:rsidRPr="00B573F3">
              <w:rPr>
                <w:lang w:val="en-GB"/>
              </w:rPr>
              <w:t xml:space="preserve"> directions for a </w:t>
            </w:r>
            <w:r w:rsidRPr="00DC5A84">
              <w:rPr>
                <w:lang w:val="en-GB"/>
              </w:rPr>
              <w:t>three-year</w:t>
            </w:r>
            <w:r w:rsidRPr="00B573F3">
              <w:rPr>
                <w:lang w:val="en-GB"/>
              </w:rPr>
              <w:t xml:space="preserve"> period establishing the time frame that these arrangements are in place. This period may or may not be extended at any time. Should satisfactory progress be demonstrated within that time the directions may be modified or removed. </w:t>
            </w:r>
          </w:p>
        </w:tc>
        <w:tc>
          <w:tcPr>
            <w:tcW w:w="5248" w:type="dxa"/>
          </w:tcPr>
          <w:p w14:paraId="4A7BAD54" w14:textId="59981123" w:rsidR="00DC5A84" w:rsidRPr="00DC5A84" w:rsidRDefault="002F7EBA" w:rsidP="00DC5A84">
            <w:pPr>
              <w:autoSpaceDN w:val="0"/>
              <w:spacing w:before="60" w:after="120"/>
              <w:rPr>
                <w:sz w:val="22"/>
                <w:szCs w:val="22"/>
              </w:rPr>
            </w:pPr>
            <w:r>
              <w:rPr>
                <w:sz w:val="22"/>
                <w:szCs w:val="22"/>
              </w:rPr>
              <w:lastRenderedPageBreak/>
              <w:t>The Best Value report was published on 12</w:t>
            </w:r>
            <w:r w:rsidRPr="002F7EBA">
              <w:rPr>
                <w:sz w:val="22"/>
                <w:szCs w:val="22"/>
                <w:vertAlign w:val="superscript"/>
              </w:rPr>
              <w:t>th</w:t>
            </w:r>
            <w:r>
              <w:rPr>
                <w:sz w:val="22"/>
                <w:szCs w:val="22"/>
              </w:rPr>
              <w:t xml:space="preserve"> November 2024 and </w:t>
            </w:r>
            <w:r w:rsidR="006B210F">
              <w:rPr>
                <w:sz w:val="22"/>
                <w:szCs w:val="22"/>
              </w:rPr>
              <w:t xml:space="preserve">although this matter is being addressed urgently, it is </w:t>
            </w:r>
            <w:r w:rsidR="00226C1E">
              <w:rPr>
                <w:sz w:val="22"/>
                <w:szCs w:val="22"/>
              </w:rPr>
              <w:t xml:space="preserve">therefore </w:t>
            </w:r>
            <w:r w:rsidR="006B210F">
              <w:rPr>
                <w:sz w:val="22"/>
                <w:szCs w:val="22"/>
              </w:rPr>
              <w:t xml:space="preserve">not </w:t>
            </w:r>
            <w:r w:rsidR="00226C1E">
              <w:rPr>
                <w:sz w:val="22"/>
                <w:szCs w:val="22"/>
              </w:rPr>
              <w:t xml:space="preserve">currently </w:t>
            </w:r>
            <w:r w:rsidR="006B210F">
              <w:rPr>
                <w:sz w:val="22"/>
                <w:szCs w:val="22"/>
              </w:rPr>
              <w:t>possible to report an outcome</w:t>
            </w:r>
            <w:r w:rsidR="00226C1E">
              <w:rPr>
                <w:sz w:val="22"/>
                <w:szCs w:val="22"/>
              </w:rPr>
              <w:t>.</w:t>
            </w:r>
          </w:p>
        </w:tc>
      </w:tr>
      <w:bookmarkEnd w:id="1"/>
    </w:tbl>
    <w:p w14:paraId="1D841624" w14:textId="77777777" w:rsidR="00AB1A78" w:rsidRDefault="00AB1A78" w:rsidP="00202EB3">
      <w:pPr>
        <w:rPr>
          <w:color w:val="000000" w:themeColor="text1"/>
          <w:u w:val="single"/>
        </w:rPr>
      </w:pPr>
    </w:p>
    <w:p w14:paraId="23CE8C3A" w14:textId="77777777" w:rsidR="001F225C" w:rsidRDefault="001F225C" w:rsidP="00202EB3">
      <w:pPr>
        <w:rPr>
          <w:color w:val="000000" w:themeColor="text1"/>
          <w:u w:val="single"/>
        </w:rPr>
      </w:pPr>
    </w:p>
    <w:p w14:paraId="30F0225F" w14:textId="77777777" w:rsidR="001F225C" w:rsidRDefault="001F225C" w:rsidP="00202EB3">
      <w:pPr>
        <w:rPr>
          <w:color w:val="000000" w:themeColor="text1"/>
          <w:u w:val="single"/>
        </w:rPr>
      </w:pPr>
    </w:p>
    <w:p w14:paraId="0CAC0071" w14:textId="77777777" w:rsidR="001F225C" w:rsidRDefault="001F225C" w:rsidP="00202EB3">
      <w:pPr>
        <w:rPr>
          <w:color w:val="000000" w:themeColor="text1"/>
          <w:u w:val="single"/>
        </w:rPr>
      </w:pPr>
    </w:p>
    <w:p w14:paraId="484DBA1D" w14:textId="77777777" w:rsidR="001F225C" w:rsidRDefault="001F225C" w:rsidP="00202EB3">
      <w:pPr>
        <w:rPr>
          <w:color w:val="000000" w:themeColor="text1"/>
          <w:u w:val="single"/>
        </w:rPr>
      </w:pPr>
    </w:p>
    <w:p w14:paraId="6BB4E1D2" w14:textId="77777777" w:rsidR="001F225C" w:rsidRDefault="001F225C" w:rsidP="00202EB3">
      <w:pPr>
        <w:rPr>
          <w:color w:val="000000" w:themeColor="text1"/>
          <w:u w:val="single"/>
        </w:rPr>
      </w:pPr>
    </w:p>
    <w:p w14:paraId="0AC95C19" w14:textId="77777777" w:rsidR="001F225C" w:rsidRDefault="001F225C" w:rsidP="00202EB3">
      <w:pPr>
        <w:rPr>
          <w:color w:val="000000" w:themeColor="text1"/>
          <w:u w:val="single"/>
        </w:rPr>
      </w:pPr>
    </w:p>
    <w:p w14:paraId="264942E8" w14:textId="77777777" w:rsidR="001F225C" w:rsidRDefault="001F225C" w:rsidP="00202EB3">
      <w:pPr>
        <w:rPr>
          <w:color w:val="000000" w:themeColor="text1"/>
          <w:u w:val="single"/>
        </w:rPr>
      </w:pPr>
    </w:p>
    <w:p w14:paraId="6A65DAC6" w14:textId="69DEE021" w:rsidR="001725E7" w:rsidRPr="00160BA6" w:rsidRDefault="002619AA" w:rsidP="00202EB3">
      <w:pPr>
        <w:rPr>
          <w:color w:val="000000" w:themeColor="text1"/>
          <w:u w:val="single"/>
        </w:rPr>
      </w:pPr>
      <w:r w:rsidRPr="00160BA6">
        <w:rPr>
          <w:color w:val="000000" w:themeColor="text1"/>
          <w:u w:val="single"/>
        </w:rPr>
        <w:lastRenderedPageBreak/>
        <w:t>Significant Governance Issues Identi</w:t>
      </w:r>
      <w:r w:rsidR="001A1B7D" w:rsidRPr="00160BA6">
        <w:rPr>
          <w:color w:val="000000" w:themeColor="text1"/>
          <w:u w:val="single"/>
        </w:rPr>
        <w:t>fied in 20</w:t>
      </w:r>
      <w:r w:rsidR="00185014" w:rsidRPr="00160BA6">
        <w:rPr>
          <w:color w:val="000000" w:themeColor="text1"/>
          <w:u w:val="single"/>
        </w:rPr>
        <w:t>2</w:t>
      </w:r>
      <w:r w:rsidR="00B6755C">
        <w:rPr>
          <w:color w:val="000000" w:themeColor="text1"/>
          <w:u w:val="single"/>
        </w:rPr>
        <w:t>1</w:t>
      </w:r>
      <w:r w:rsidR="001A1B7D" w:rsidRPr="00160BA6">
        <w:rPr>
          <w:color w:val="000000" w:themeColor="text1"/>
          <w:u w:val="single"/>
        </w:rPr>
        <w:t>/2</w:t>
      </w:r>
      <w:r w:rsidR="00B6755C">
        <w:rPr>
          <w:color w:val="000000" w:themeColor="text1"/>
          <w:u w:val="single"/>
        </w:rPr>
        <w:t>2</w:t>
      </w:r>
    </w:p>
    <w:p w14:paraId="6086D43D" w14:textId="77777777" w:rsidR="00C15238" w:rsidRPr="00160BA6" w:rsidRDefault="00C15238" w:rsidP="00202EB3">
      <w:pPr>
        <w:rPr>
          <w:color w:val="000000" w:themeColor="text1"/>
        </w:rPr>
      </w:pPr>
    </w:p>
    <w:p w14:paraId="2F892119" w14:textId="0CBACE62" w:rsidR="001A1B7D" w:rsidRPr="00160BA6" w:rsidRDefault="002619AA" w:rsidP="00202EB3">
      <w:pPr>
        <w:rPr>
          <w:color w:val="000000" w:themeColor="text1"/>
        </w:rPr>
      </w:pPr>
      <w:r w:rsidRPr="00160BA6">
        <w:rPr>
          <w:color w:val="000000" w:themeColor="text1"/>
        </w:rPr>
        <w:t>All f</w:t>
      </w:r>
      <w:r w:rsidR="00407018" w:rsidRPr="00160BA6">
        <w:rPr>
          <w:color w:val="000000" w:themeColor="text1"/>
        </w:rPr>
        <w:t>our</w:t>
      </w:r>
      <w:r w:rsidRPr="00160BA6">
        <w:rPr>
          <w:color w:val="000000" w:themeColor="text1"/>
        </w:rPr>
        <w:t xml:space="preserve"> Corporate Directors submitted their returns for 20</w:t>
      </w:r>
      <w:r w:rsidR="00407018" w:rsidRPr="00160BA6">
        <w:rPr>
          <w:color w:val="000000" w:themeColor="text1"/>
        </w:rPr>
        <w:t>2</w:t>
      </w:r>
      <w:r w:rsidR="00B6755C">
        <w:rPr>
          <w:color w:val="000000" w:themeColor="text1"/>
        </w:rPr>
        <w:t>1</w:t>
      </w:r>
      <w:r w:rsidRPr="00160BA6">
        <w:rPr>
          <w:color w:val="000000" w:themeColor="text1"/>
        </w:rPr>
        <w:t>/2</w:t>
      </w:r>
      <w:r w:rsidR="00B6755C">
        <w:rPr>
          <w:color w:val="000000" w:themeColor="text1"/>
        </w:rPr>
        <w:t>2</w:t>
      </w:r>
      <w:r w:rsidRPr="00160BA6">
        <w:rPr>
          <w:color w:val="000000" w:themeColor="text1"/>
        </w:rPr>
        <w:t xml:space="preserve"> to the Chief Executive. The following table summarises the</w:t>
      </w:r>
      <w:r w:rsidR="0002300E" w:rsidRPr="00160BA6">
        <w:rPr>
          <w:color w:val="000000" w:themeColor="text1"/>
        </w:rPr>
        <w:t xml:space="preserve"> most significant</w:t>
      </w:r>
      <w:r w:rsidRPr="00160BA6">
        <w:rPr>
          <w:color w:val="000000" w:themeColor="text1"/>
        </w:rPr>
        <w:t xml:space="preserve"> issues raised and the proposed actions to address them:</w:t>
      </w:r>
    </w:p>
    <w:p w14:paraId="3AC77601" w14:textId="77777777" w:rsidR="001A1B7D" w:rsidRPr="00160BA6" w:rsidRDefault="001A1B7D" w:rsidP="00202EB3">
      <w:pPr>
        <w:rPr>
          <w:color w:val="000000" w:themeColor="text1"/>
        </w:rPr>
      </w:pPr>
    </w:p>
    <w:tbl>
      <w:tblPr>
        <w:tblStyle w:val="TableGrid"/>
        <w:tblW w:w="14174" w:type="dxa"/>
        <w:jc w:val="center"/>
        <w:tblLayout w:type="fixed"/>
        <w:tblLook w:val="04A0" w:firstRow="1" w:lastRow="0" w:firstColumn="1" w:lastColumn="0" w:noHBand="0" w:noVBand="1"/>
      </w:tblPr>
      <w:tblGrid>
        <w:gridCol w:w="675"/>
        <w:gridCol w:w="4631"/>
        <w:gridCol w:w="4645"/>
        <w:gridCol w:w="2348"/>
        <w:gridCol w:w="1875"/>
      </w:tblGrid>
      <w:tr w:rsidR="007E37FA" w:rsidRPr="00160BA6" w14:paraId="3634AA7F" w14:textId="77777777" w:rsidTr="006F6034">
        <w:trPr>
          <w:trHeight w:val="378"/>
          <w:tblHeader/>
          <w:jc w:val="center"/>
        </w:trPr>
        <w:tc>
          <w:tcPr>
            <w:tcW w:w="675" w:type="dxa"/>
            <w:shd w:val="pct12" w:color="auto" w:fill="auto"/>
            <w:vAlign w:val="center"/>
          </w:tcPr>
          <w:p w14:paraId="1106C781"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No.</w:t>
            </w:r>
          </w:p>
        </w:tc>
        <w:tc>
          <w:tcPr>
            <w:tcW w:w="4631" w:type="dxa"/>
            <w:shd w:val="pct12" w:color="auto" w:fill="auto"/>
            <w:vAlign w:val="center"/>
          </w:tcPr>
          <w:p w14:paraId="4C2049BF"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Issue</w:t>
            </w:r>
          </w:p>
        </w:tc>
        <w:tc>
          <w:tcPr>
            <w:tcW w:w="4645" w:type="dxa"/>
            <w:shd w:val="pct12" w:color="auto" w:fill="auto"/>
            <w:vAlign w:val="center"/>
          </w:tcPr>
          <w:p w14:paraId="0DBA12D6"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Action</w:t>
            </w:r>
          </w:p>
        </w:tc>
        <w:tc>
          <w:tcPr>
            <w:tcW w:w="2348" w:type="dxa"/>
            <w:shd w:val="pct12" w:color="auto" w:fill="auto"/>
            <w:vAlign w:val="center"/>
          </w:tcPr>
          <w:p w14:paraId="3671452E"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Responsible</w:t>
            </w:r>
          </w:p>
        </w:tc>
        <w:tc>
          <w:tcPr>
            <w:tcW w:w="1875" w:type="dxa"/>
            <w:shd w:val="pct12" w:color="auto" w:fill="auto"/>
            <w:vAlign w:val="center"/>
          </w:tcPr>
          <w:p w14:paraId="3277BA59" w14:textId="77777777" w:rsidR="00E607F8" w:rsidRPr="00160BA6" w:rsidRDefault="002619AA" w:rsidP="00C47343">
            <w:pPr>
              <w:rPr>
                <w:rFonts w:cs="Arial"/>
                <w:b/>
                <w:color w:val="000000" w:themeColor="text1"/>
                <w:sz w:val="22"/>
                <w:szCs w:val="22"/>
              </w:rPr>
            </w:pPr>
            <w:r w:rsidRPr="00160BA6">
              <w:rPr>
                <w:rFonts w:cs="Arial"/>
                <w:b/>
                <w:color w:val="000000" w:themeColor="text1"/>
                <w:sz w:val="22"/>
                <w:szCs w:val="22"/>
              </w:rPr>
              <w:t>Timescale</w:t>
            </w:r>
          </w:p>
        </w:tc>
      </w:tr>
      <w:tr w:rsidR="007E37FA" w:rsidRPr="00160BA6" w14:paraId="2195776E" w14:textId="77777777" w:rsidTr="00BA344F">
        <w:trPr>
          <w:jc w:val="center"/>
        </w:trPr>
        <w:tc>
          <w:tcPr>
            <w:tcW w:w="675" w:type="dxa"/>
          </w:tcPr>
          <w:p w14:paraId="1D7D8C87" w14:textId="77777777" w:rsidR="00100DEF" w:rsidRPr="00160BA6" w:rsidRDefault="002619AA" w:rsidP="001737BA">
            <w:pPr>
              <w:spacing w:before="60"/>
              <w:rPr>
                <w:rFonts w:cs="Arial"/>
                <w:color w:val="000000" w:themeColor="text1"/>
                <w:sz w:val="22"/>
                <w:szCs w:val="22"/>
              </w:rPr>
            </w:pPr>
            <w:r w:rsidRPr="00160BA6">
              <w:rPr>
                <w:rFonts w:cs="Arial"/>
                <w:color w:val="000000" w:themeColor="text1"/>
                <w:sz w:val="22"/>
                <w:szCs w:val="22"/>
              </w:rPr>
              <w:t>1</w:t>
            </w:r>
          </w:p>
        </w:tc>
        <w:tc>
          <w:tcPr>
            <w:tcW w:w="4631" w:type="dxa"/>
            <w:tcBorders>
              <w:top w:val="single" w:sz="4" w:space="0" w:color="auto"/>
              <w:left w:val="single" w:sz="4" w:space="0" w:color="auto"/>
              <w:bottom w:val="single" w:sz="4" w:space="0" w:color="auto"/>
              <w:right w:val="single" w:sz="4" w:space="0" w:color="auto"/>
            </w:tcBorders>
          </w:tcPr>
          <w:p w14:paraId="24F86663" w14:textId="20FC4CE9" w:rsidR="00100DEF" w:rsidRPr="00160BA6" w:rsidRDefault="00F97A17" w:rsidP="001737BA">
            <w:pPr>
              <w:spacing w:before="60"/>
              <w:rPr>
                <w:rFonts w:cs="Arial"/>
                <w:color w:val="000000" w:themeColor="text1"/>
                <w:sz w:val="22"/>
                <w:szCs w:val="22"/>
              </w:rPr>
            </w:pPr>
            <w:r w:rsidRPr="00F97A17">
              <w:rPr>
                <w:rFonts w:cs="Arial"/>
                <w:color w:val="000000" w:themeColor="text1"/>
                <w:sz w:val="22"/>
                <w:szCs w:val="22"/>
              </w:rPr>
              <w:t>Issues have</w:t>
            </w:r>
            <w:r w:rsidR="004F591C">
              <w:rPr>
                <w:rFonts w:cs="Arial"/>
                <w:color w:val="000000" w:themeColor="text1"/>
                <w:sz w:val="22"/>
                <w:szCs w:val="22"/>
              </w:rPr>
              <w:t xml:space="preserve"> previously</w:t>
            </w:r>
            <w:r w:rsidRPr="00F97A17">
              <w:rPr>
                <w:rFonts w:cs="Arial"/>
                <w:color w:val="000000" w:themeColor="text1"/>
                <w:sz w:val="22"/>
                <w:szCs w:val="22"/>
              </w:rPr>
              <w:t xml:space="preserve"> been identified with both the 2018/19 and 2019/20 Statement of Accounts (SoA) and reflected in the 2018/19</w:t>
            </w:r>
            <w:r w:rsidR="004F591C">
              <w:rPr>
                <w:rFonts w:cs="Arial"/>
                <w:color w:val="000000" w:themeColor="text1"/>
                <w:sz w:val="22"/>
                <w:szCs w:val="22"/>
              </w:rPr>
              <w:t>,</w:t>
            </w:r>
            <w:r w:rsidRPr="00F97A17">
              <w:rPr>
                <w:rFonts w:cs="Arial"/>
                <w:color w:val="000000" w:themeColor="text1"/>
                <w:sz w:val="22"/>
                <w:szCs w:val="22"/>
              </w:rPr>
              <w:t xml:space="preserve"> 2019/20</w:t>
            </w:r>
            <w:r w:rsidR="004F591C">
              <w:rPr>
                <w:rFonts w:cs="Arial"/>
                <w:color w:val="000000" w:themeColor="text1"/>
                <w:sz w:val="22"/>
                <w:szCs w:val="22"/>
              </w:rPr>
              <w:t xml:space="preserve"> and 2020/21</w:t>
            </w:r>
            <w:r w:rsidRPr="00F97A17">
              <w:rPr>
                <w:rFonts w:cs="Arial"/>
                <w:color w:val="000000" w:themeColor="text1"/>
                <w:sz w:val="22"/>
                <w:szCs w:val="22"/>
              </w:rPr>
              <w:t xml:space="preserve"> AGS</w:t>
            </w:r>
            <w:r w:rsidR="00141B14">
              <w:rPr>
                <w:rFonts w:cs="Arial"/>
                <w:color w:val="000000" w:themeColor="text1"/>
                <w:sz w:val="22"/>
                <w:szCs w:val="22"/>
              </w:rPr>
              <w:t>’</w:t>
            </w:r>
            <w:r w:rsidRPr="00F97A17">
              <w:rPr>
                <w:rFonts w:cs="Arial"/>
                <w:color w:val="000000" w:themeColor="text1"/>
                <w:sz w:val="22"/>
                <w:szCs w:val="22"/>
              </w:rPr>
              <w:t xml:space="preserve"> respectively. These significant issues continue to be addressed. The SoA’s continue to be subject to external audit review (by Deloitte). Further adjustments may be required through the audit process but these in themselves may not be sufficient to achieve an unqualified audit opinion.</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43A38C03" w14:textId="151E385E" w:rsidR="00084CD0" w:rsidRPr="00BA344F" w:rsidRDefault="003F787B" w:rsidP="001737BA">
            <w:pPr>
              <w:autoSpaceDN w:val="0"/>
              <w:spacing w:before="60"/>
              <w:rPr>
                <w:rFonts w:cs="Arial"/>
                <w:color w:val="000000" w:themeColor="text1"/>
                <w:sz w:val="22"/>
                <w:szCs w:val="22"/>
              </w:rPr>
            </w:pPr>
            <w:r w:rsidRPr="00BA344F">
              <w:rPr>
                <w:rFonts w:cs="Arial"/>
                <w:color w:val="000000" w:themeColor="text1"/>
                <w:sz w:val="22"/>
                <w:szCs w:val="22"/>
              </w:rPr>
              <w:t>Th</w:t>
            </w:r>
            <w:r w:rsidR="00286043" w:rsidRPr="00BA344F">
              <w:rPr>
                <w:rFonts w:cs="Arial"/>
                <w:color w:val="000000" w:themeColor="text1"/>
                <w:sz w:val="22"/>
                <w:szCs w:val="22"/>
              </w:rPr>
              <w:t>rough the</w:t>
            </w:r>
            <w:r w:rsidRPr="00BA344F">
              <w:rPr>
                <w:rFonts w:cs="Arial"/>
                <w:color w:val="000000" w:themeColor="text1"/>
                <w:sz w:val="22"/>
                <w:szCs w:val="22"/>
              </w:rPr>
              <w:t xml:space="preserve"> </w:t>
            </w:r>
            <w:r w:rsidR="00E66DFA" w:rsidRPr="00BA344F">
              <w:rPr>
                <w:rFonts w:cs="Arial"/>
                <w:color w:val="000000" w:themeColor="text1"/>
                <w:sz w:val="22"/>
                <w:szCs w:val="22"/>
              </w:rPr>
              <w:t xml:space="preserve">completion of the </w:t>
            </w:r>
            <w:r w:rsidRPr="00BA344F">
              <w:rPr>
                <w:rFonts w:cs="Arial"/>
                <w:color w:val="000000" w:themeColor="text1"/>
                <w:sz w:val="22"/>
                <w:szCs w:val="22"/>
              </w:rPr>
              <w:t>Counci</w:t>
            </w:r>
            <w:r w:rsidR="00E66DFA" w:rsidRPr="00BA344F">
              <w:rPr>
                <w:rFonts w:cs="Arial"/>
                <w:color w:val="000000" w:themeColor="text1"/>
                <w:sz w:val="22"/>
                <w:szCs w:val="22"/>
              </w:rPr>
              <w:t>l</w:t>
            </w:r>
            <w:r w:rsidR="00286043" w:rsidRPr="00BA344F">
              <w:rPr>
                <w:rFonts w:cs="Arial"/>
                <w:color w:val="000000" w:themeColor="text1"/>
                <w:sz w:val="22"/>
                <w:szCs w:val="22"/>
              </w:rPr>
              <w:t>’s</w:t>
            </w:r>
            <w:r w:rsidRPr="00BA344F">
              <w:rPr>
                <w:rFonts w:cs="Arial"/>
                <w:color w:val="000000" w:themeColor="text1"/>
                <w:sz w:val="22"/>
                <w:szCs w:val="22"/>
              </w:rPr>
              <w:t xml:space="preserve"> Finance Improvement Plan</w:t>
            </w:r>
            <w:r w:rsidR="00F12AAC" w:rsidRPr="00BA344F">
              <w:rPr>
                <w:rFonts w:cs="Arial"/>
                <w:color w:val="000000" w:themeColor="text1"/>
                <w:sz w:val="22"/>
                <w:szCs w:val="22"/>
              </w:rPr>
              <w:t xml:space="preserve"> (FIP)</w:t>
            </w:r>
            <w:r w:rsidR="00A90177" w:rsidRPr="00BA344F">
              <w:rPr>
                <w:rFonts w:cs="Arial"/>
                <w:color w:val="000000" w:themeColor="text1"/>
                <w:sz w:val="22"/>
                <w:szCs w:val="22"/>
              </w:rPr>
              <w:t>, the Finance Team’s</w:t>
            </w:r>
            <w:r w:rsidR="00E66DFA" w:rsidRPr="00BA344F">
              <w:rPr>
                <w:rFonts w:cs="Arial"/>
                <w:color w:val="000000" w:themeColor="text1"/>
                <w:sz w:val="22"/>
                <w:szCs w:val="22"/>
              </w:rPr>
              <w:t xml:space="preserve"> ongoing work to address </w:t>
            </w:r>
            <w:r w:rsidR="00A90177" w:rsidRPr="00BA344F">
              <w:rPr>
                <w:rFonts w:cs="Arial"/>
                <w:color w:val="000000" w:themeColor="text1"/>
                <w:sz w:val="22"/>
                <w:szCs w:val="22"/>
              </w:rPr>
              <w:t>audit queries, and</w:t>
            </w:r>
            <w:r w:rsidR="00084CD0" w:rsidRPr="00BA344F">
              <w:rPr>
                <w:rFonts w:cs="Arial"/>
                <w:color w:val="000000" w:themeColor="text1"/>
                <w:sz w:val="22"/>
                <w:szCs w:val="22"/>
              </w:rPr>
              <w:t xml:space="preserve"> finalise the 2018/19 and 2019/20 </w:t>
            </w:r>
            <w:r w:rsidR="00BA344F" w:rsidRPr="00BA344F">
              <w:rPr>
                <w:rFonts w:cs="Arial"/>
                <w:color w:val="000000" w:themeColor="text1"/>
                <w:sz w:val="22"/>
                <w:szCs w:val="22"/>
              </w:rPr>
              <w:t>SoAs audits.</w:t>
            </w:r>
          </w:p>
          <w:p w14:paraId="34E9F174" w14:textId="77777777" w:rsidR="00084CD0" w:rsidRPr="00BA344F" w:rsidRDefault="00084CD0" w:rsidP="001737BA">
            <w:pPr>
              <w:autoSpaceDN w:val="0"/>
              <w:spacing w:before="60"/>
              <w:rPr>
                <w:rFonts w:cs="Arial"/>
                <w:color w:val="000000" w:themeColor="text1"/>
                <w:sz w:val="22"/>
                <w:szCs w:val="22"/>
              </w:rPr>
            </w:pPr>
          </w:p>
          <w:p w14:paraId="1279714F" w14:textId="6E5A532A" w:rsidR="00AC47EE" w:rsidRPr="00BA344F" w:rsidRDefault="00A90177" w:rsidP="001737BA">
            <w:pPr>
              <w:autoSpaceDN w:val="0"/>
              <w:spacing w:before="60" w:after="120"/>
              <w:rPr>
                <w:rFonts w:cs="Arial"/>
                <w:color w:val="000000" w:themeColor="text1"/>
                <w:sz w:val="22"/>
                <w:szCs w:val="22"/>
              </w:rPr>
            </w:pPr>
            <w:r w:rsidRPr="00BA344F">
              <w:rPr>
                <w:rFonts w:cs="Arial"/>
                <w:color w:val="000000" w:themeColor="text1"/>
                <w:sz w:val="22"/>
                <w:szCs w:val="22"/>
              </w:rPr>
              <w:t xml:space="preserve">Build on learnings from the process, and implement the effective </w:t>
            </w:r>
            <w:r w:rsidR="00F12AAC" w:rsidRPr="00BA344F">
              <w:rPr>
                <w:rFonts w:cs="Arial"/>
                <w:color w:val="000000" w:themeColor="text1"/>
                <w:sz w:val="22"/>
                <w:szCs w:val="22"/>
              </w:rPr>
              <w:t>improvements from the FIP, prepare draft versions and complete the audits of both 2020/21 and 2021/22 SoAs.</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CBAD7A1" w14:textId="41F91626" w:rsidR="003F787B" w:rsidRPr="00BA344F" w:rsidRDefault="003F787B" w:rsidP="001737BA">
            <w:pPr>
              <w:pStyle w:val="paragraph"/>
              <w:spacing w:before="60" w:beforeAutospacing="0" w:after="0" w:afterAutospacing="0"/>
              <w:textAlignment w:val="baseline"/>
              <w:rPr>
                <w:rStyle w:val="eop"/>
                <w:rFonts w:cs="Arial"/>
                <w:color w:val="000000"/>
                <w:sz w:val="22"/>
                <w:szCs w:val="22"/>
              </w:rPr>
            </w:pPr>
            <w:r w:rsidRPr="00BA344F">
              <w:rPr>
                <w:rStyle w:val="normaltextrun"/>
                <w:rFonts w:ascii="Arial" w:hAnsi="Arial" w:cs="Arial"/>
                <w:color w:val="000000"/>
                <w:sz w:val="22"/>
                <w:szCs w:val="22"/>
              </w:rPr>
              <w:t>Interim Corporate Director of Resources </w:t>
            </w:r>
            <w:r w:rsidRPr="00BA344F">
              <w:rPr>
                <w:rStyle w:val="eop"/>
                <w:rFonts w:cs="Arial"/>
                <w:color w:val="000000"/>
                <w:sz w:val="22"/>
                <w:szCs w:val="22"/>
              </w:rPr>
              <w:t> </w:t>
            </w:r>
          </w:p>
          <w:p w14:paraId="0BD377D0" w14:textId="7E619828" w:rsidR="003F787B" w:rsidRPr="00BA344F" w:rsidRDefault="003F787B" w:rsidP="001737BA">
            <w:pPr>
              <w:pStyle w:val="paragraph"/>
              <w:spacing w:before="60" w:beforeAutospacing="0" w:after="0" w:afterAutospacing="0"/>
              <w:textAlignment w:val="baseline"/>
              <w:rPr>
                <w:rStyle w:val="eop"/>
                <w:rFonts w:cs="Arial"/>
                <w:color w:val="000000"/>
                <w:sz w:val="22"/>
                <w:szCs w:val="22"/>
              </w:rPr>
            </w:pPr>
          </w:p>
          <w:p w14:paraId="01173F21" w14:textId="77777777" w:rsidR="003F787B" w:rsidRPr="00BA344F" w:rsidRDefault="003F787B" w:rsidP="001737BA">
            <w:pPr>
              <w:pStyle w:val="paragraph"/>
              <w:spacing w:before="60" w:beforeAutospacing="0" w:after="0" w:afterAutospacing="0"/>
              <w:textAlignment w:val="baseline"/>
              <w:rPr>
                <w:rFonts w:ascii="Segoe UI" w:hAnsi="Segoe UI" w:cs="Segoe UI"/>
                <w:color w:val="000000"/>
                <w:sz w:val="18"/>
                <w:szCs w:val="18"/>
              </w:rPr>
            </w:pPr>
          </w:p>
          <w:p w14:paraId="0754D4F2" w14:textId="5A748F1D" w:rsidR="00AC47EE" w:rsidRPr="00BA344F" w:rsidRDefault="00AC47EE" w:rsidP="001737BA">
            <w:pPr>
              <w:spacing w:before="60"/>
              <w:rPr>
                <w:rFonts w:cs="Arial"/>
                <w:color w:val="000000" w:themeColor="text1"/>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53B89071" w14:textId="40081B21" w:rsidR="00CE4396" w:rsidRPr="00BA344F" w:rsidRDefault="00BA344F" w:rsidP="001737BA">
            <w:pPr>
              <w:autoSpaceDN w:val="0"/>
              <w:spacing w:before="60"/>
              <w:rPr>
                <w:rFonts w:cs="Arial"/>
                <w:color w:val="000000" w:themeColor="text1"/>
                <w:sz w:val="22"/>
                <w:szCs w:val="22"/>
              </w:rPr>
            </w:pPr>
            <w:r w:rsidRPr="00BA344F">
              <w:rPr>
                <w:rFonts w:cs="Arial"/>
                <w:color w:val="000000" w:themeColor="text1"/>
                <w:sz w:val="22"/>
                <w:szCs w:val="22"/>
              </w:rPr>
              <w:t>Ongoing</w:t>
            </w:r>
          </w:p>
          <w:p w14:paraId="50F1FD17" w14:textId="77777777" w:rsidR="003F787B" w:rsidRPr="00BA344F" w:rsidRDefault="003F787B" w:rsidP="001737BA">
            <w:pPr>
              <w:autoSpaceDN w:val="0"/>
              <w:spacing w:before="60"/>
              <w:rPr>
                <w:rFonts w:cs="Arial"/>
                <w:color w:val="000000" w:themeColor="text1"/>
                <w:sz w:val="22"/>
                <w:szCs w:val="22"/>
              </w:rPr>
            </w:pPr>
          </w:p>
          <w:p w14:paraId="57328CC1" w14:textId="77777777" w:rsidR="003F787B" w:rsidRPr="00BA344F" w:rsidRDefault="003F787B" w:rsidP="001737BA">
            <w:pPr>
              <w:autoSpaceDN w:val="0"/>
              <w:spacing w:before="60"/>
              <w:rPr>
                <w:rFonts w:cs="Arial"/>
                <w:color w:val="000000" w:themeColor="text1"/>
                <w:sz w:val="22"/>
                <w:szCs w:val="22"/>
              </w:rPr>
            </w:pPr>
          </w:p>
          <w:p w14:paraId="68C49E04" w14:textId="77777777" w:rsidR="003F787B" w:rsidRPr="00BA344F" w:rsidRDefault="003F787B" w:rsidP="001737BA">
            <w:pPr>
              <w:autoSpaceDN w:val="0"/>
              <w:spacing w:before="60"/>
              <w:rPr>
                <w:rFonts w:cs="Arial"/>
                <w:color w:val="000000" w:themeColor="text1"/>
                <w:sz w:val="22"/>
                <w:szCs w:val="22"/>
              </w:rPr>
            </w:pPr>
          </w:p>
          <w:p w14:paraId="40542765" w14:textId="77777777" w:rsidR="003F787B" w:rsidRPr="00BA344F" w:rsidRDefault="003F787B" w:rsidP="001737BA">
            <w:pPr>
              <w:autoSpaceDN w:val="0"/>
              <w:spacing w:before="60"/>
              <w:rPr>
                <w:rFonts w:cs="Arial"/>
                <w:color w:val="000000" w:themeColor="text1"/>
                <w:sz w:val="22"/>
                <w:szCs w:val="22"/>
              </w:rPr>
            </w:pPr>
          </w:p>
          <w:p w14:paraId="0FA2E88C" w14:textId="77777777" w:rsidR="00F12AAC" w:rsidRPr="00BA344F" w:rsidRDefault="00F12AAC" w:rsidP="001737BA">
            <w:pPr>
              <w:autoSpaceDN w:val="0"/>
              <w:spacing w:before="60"/>
              <w:rPr>
                <w:rFonts w:cs="Arial"/>
                <w:color w:val="000000" w:themeColor="text1"/>
                <w:sz w:val="22"/>
                <w:szCs w:val="22"/>
              </w:rPr>
            </w:pPr>
          </w:p>
          <w:p w14:paraId="1CF2150B" w14:textId="77777777" w:rsidR="00F12AAC" w:rsidRPr="00BA344F" w:rsidRDefault="00F12AAC" w:rsidP="001737BA">
            <w:pPr>
              <w:autoSpaceDN w:val="0"/>
              <w:spacing w:before="60"/>
              <w:rPr>
                <w:rFonts w:cs="Arial"/>
                <w:color w:val="000000" w:themeColor="text1"/>
                <w:sz w:val="22"/>
                <w:szCs w:val="22"/>
              </w:rPr>
            </w:pPr>
          </w:p>
          <w:p w14:paraId="302179FE" w14:textId="77777777" w:rsidR="00F12AAC" w:rsidRPr="00BA344F" w:rsidRDefault="00F12AAC" w:rsidP="001737BA">
            <w:pPr>
              <w:autoSpaceDN w:val="0"/>
              <w:spacing w:before="60"/>
              <w:rPr>
                <w:rFonts w:cs="Arial"/>
                <w:color w:val="000000" w:themeColor="text1"/>
                <w:sz w:val="22"/>
                <w:szCs w:val="22"/>
              </w:rPr>
            </w:pPr>
          </w:p>
          <w:p w14:paraId="4F00DA36" w14:textId="77777777" w:rsidR="00F12AAC" w:rsidRPr="00BA344F" w:rsidRDefault="00F12AAC" w:rsidP="001737BA">
            <w:pPr>
              <w:autoSpaceDN w:val="0"/>
              <w:spacing w:before="60"/>
              <w:rPr>
                <w:rFonts w:cs="Arial"/>
                <w:color w:val="000000" w:themeColor="text1"/>
                <w:sz w:val="22"/>
                <w:szCs w:val="22"/>
              </w:rPr>
            </w:pPr>
          </w:p>
          <w:p w14:paraId="6458111D" w14:textId="43652EA9" w:rsidR="003F787B" w:rsidRPr="00BA344F" w:rsidRDefault="003F787B" w:rsidP="001737BA">
            <w:pPr>
              <w:autoSpaceDN w:val="0"/>
              <w:spacing w:before="60"/>
              <w:rPr>
                <w:rFonts w:cs="Arial"/>
                <w:color w:val="000000" w:themeColor="text1"/>
                <w:sz w:val="22"/>
                <w:szCs w:val="22"/>
              </w:rPr>
            </w:pPr>
          </w:p>
        </w:tc>
      </w:tr>
      <w:tr w:rsidR="00C64041" w:rsidRPr="00160BA6" w14:paraId="09939DDF" w14:textId="77777777" w:rsidTr="006F6034">
        <w:trPr>
          <w:jc w:val="center"/>
        </w:trPr>
        <w:tc>
          <w:tcPr>
            <w:tcW w:w="675" w:type="dxa"/>
          </w:tcPr>
          <w:p w14:paraId="5E4DB8BC" w14:textId="7C41FD2D" w:rsidR="00C64041" w:rsidRPr="00160BA6" w:rsidRDefault="00C64041" w:rsidP="001737BA">
            <w:pPr>
              <w:spacing w:before="60"/>
              <w:rPr>
                <w:rFonts w:cs="Arial"/>
                <w:color w:val="000000" w:themeColor="text1"/>
                <w:sz w:val="22"/>
                <w:szCs w:val="22"/>
              </w:rPr>
            </w:pPr>
            <w:r>
              <w:rPr>
                <w:rFonts w:cs="Arial"/>
                <w:color w:val="000000" w:themeColor="text1"/>
                <w:sz w:val="22"/>
                <w:szCs w:val="22"/>
              </w:rPr>
              <w:t>2</w:t>
            </w:r>
          </w:p>
        </w:tc>
        <w:tc>
          <w:tcPr>
            <w:tcW w:w="4631" w:type="dxa"/>
            <w:tcBorders>
              <w:top w:val="single" w:sz="4" w:space="0" w:color="auto"/>
              <w:left w:val="single" w:sz="4" w:space="0" w:color="auto"/>
              <w:bottom w:val="single" w:sz="4" w:space="0" w:color="auto"/>
              <w:right w:val="single" w:sz="4" w:space="0" w:color="auto"/>
            </w:tcBorders>
          </w:tcPr>
          <w:p w14:paraId="66B4E015" w14:textId="08D71E52" w:rsidR="00C64041" w:rsidRDefault="00E532F9" w:rsidP="001737BA">
            <w:pPr>
              <w:spacing w:before="60"/>
              <w:ind w:left="57"/>
              <w:rPr>
                <w:rFonts w:cs="Arial"/>
                <w:color w:val="000000" w:themeColor="text1"/>
                <w:sz w:val="22"/>
                <w:szCs w:val="22"/>
              </w:rPr>
            </w:pPr>
            <w:r>
              <w:rPr>
                <w:rFonts w:cs="Arial"/>
                <w:color w:val="000000" w:themeColor="text1"/>
                <w:sz w:val="22"/>
                <w:szCs w:val="22"/>
              </w:rPr>
              <w:t xml:space="preserve">Financial </w:t>
            </w:r>
            <w:r w:rsidR="00D266D8">
              <w:rPr>
                <w:rFonts w:cs="Arial"/>
                <w:color w:val="000000" w:themeColor="text1"/>
                <w:sz w:val="22"/>
                <w:szCs w:val="22"/>
              </w:rPr>
              <w:t>s</w:t>
            </w:r>
            <w:r>
              <w:rPr>
                <w:rFonts w:cs="Arial"/>
                <w:color w:val="000000" w:themeColor="text1"/>
                <w:sz w:val="22"/>
                <w:szCs w:val="22"/>
              </w:rPr>
              <w:t>ustainability an</w:t>
            </w:r>
            <w:r w:rsidR="000233C7">
              <w:rPr>
                <w:rFonts w:cs="Arial"/>
                <w:color w:val="000000" w:themeColor="text1"/>
                <w:sz w:val="22"/>
                <w:szCs w:val="22"/>
              </w:rPr>
              <w:t xml:space="preserve">d </w:t>
            </w:r>
            <w:r w:rsidR="00D266D8">
              <w:rPr>
                <w:rFonts w:cs="Arial"/>
                <w:color w:val="000000" w:themeColor="text1"/>
                <w:sz w:val="22"/>
                <w:szCs w:val="22"/>
              </w:rPr>
              <w:t>b</w:t>
            </w:r>
            <w:r w:rsidR="00C64041" w:rsidRPr="00C64041">
              <w:rPr>
                <w:rFonts w:cs="Arial"/>
                <w:color w:val="000000" w:themeColor="text1"/>
                <w:sz w:val="22"/>
                <w:szCs w:val="22"/>
              </w:rPr>
              <w:t>udget management – there is a persistent underlying overspend in adult social care and budget management (including the closure of account process) needs further strengthening</w:t>
            </w:r>
          </w:p>
        </w:tc>
        <w:tc>
          <w:tcPr>
            <w:tcW w:w="4645" w:type="dxa"/>
            <w:tcBorders>
              <w:top w:val="single" w:sz="4" w:space="0" w:color="auto"/>
              <w:left w:val="single" w:sz="4" w:space="0" w:color="auto"/>
              <w:bottom w:val="single" w:sz="4" w:space="0" w:color="auto"/>
              <w:right w:val="single" w:sz="4" w:space="0" w:color="auto"/>
            </w:tcBorders>
          </w:tcPr>
          <w:p w14:paraId="4C1B3CEF" w14:textId="65AAF864" w:rsidR="00BA134D" w:rsidRDefault="00C64041" w:rsidP="001737BA">
            <w:pPr>
              <w:autoSpaceDN w:val="0"/>
              <w:spacing w:before="60"/>
              <w:rPr>
                <w:rFonts w:cs="Arial"/>
                <w:color w:val="000000" w:themeColor="text1"/>
                <w:sz w:val="22"/>
                <w:szCs w:val="22"/>
              </w:rPr>
            </w:pPr>
            <w:r w:rsidRPr="00C64041">
              <w:rPr>
                <w:rFonts w:cs="Arial"/>
                <w:color w:val="000000" w:themeColor="text1"/>
                <w:sz w:val="22"/>
                <w:szCs w:val="22"/>
              </w:rPr>
              <w:t xml:space="preserve">Implement the Adult Social Care Improvement Programme (this </w:t>
            </w:r>
            <w:r w:rsidR="000233C7">
              <w:rPr>
                <w:rFonts w:cs="Arial"/>
                <w:color w:val="000000" w:themeColor="text1"/>
                <w:sz w:val="22"/>
                <w:szCs w:val="22"/>
              </w:rPr>
              <w:t xml:space="preserve">programme covers finances, </w:t>
            </w:r>
            <w:r w:rsidR="00234F7A">
              <w:rPr>
                <w:rFonts w:cs="Arial"/>
                <w:color w:val="000000" w:themeColor="text1"/>
                <w:sz w:val="22"/>
                <w:szCs w:val="22"/>
              </w:rPr>
              <w:t>practice,</w:t>
            </w:r>
            <w:r w:rsidR="00BA134D">
              <w:rPr>
                <w:rFonts w:cs="Arial"/>
                <w:color w:val="000000" w:themeColor="text1"/>
                <w:sz w:val="22"/>
                <w:szCs w:val="22"/>
              </w:rPr>
              <w:t xml:space="preserve"> and quality </w:t>
            </w:r>
            <w:r w:rsidR="0015794C">
              <w:rPr>
                <w:rFonts w:cs="Arial"/>
                <w:color w:val="000000" w:themeColor="text1"/>
                <w:sz w:val="22"/>
                <w:szCs w:val="22"/>
              </w:rPr>
              <w:t>(</w:t>
            </w:r>
            <w:r w:rsidR="005D5A9E">
              <w:rPr>
                <w:rFonts w:cs="Arial"/>
                <w:color w:val="000000" w:themeColor="text1"/>
                <w:sz w:val="22"/>
                <w:szCs w:val="22"/>
              </w:rPr>
              <w:t xml:space="preserve">and includes re-procurement of domiciliary </w:t>
            </w:r>
            <w:r w:rsidR="00D266D8">
              <w:rPr>
                <w:rFonts w:cs="Arial"/>
                <w:color w:val="000000" w:themeColor="text1"/>
                <w:sz w:val="22"/>
                <w:szCs w:val="22"/>
              </w:rPr>
              <w:t xml:space="preserve">care services (underway) and </w:t>
            </w:r>
            <w:r w:rsidR="0015794C">
              <w:rPr>
                <w:rFonts w:cs="Arial"/>
                <w:color w:val="000000" w:themeColor="text1"/>
                <w:sz w:val="22"/>
                <w:szCs w:val="22"/>
              </w:rPr>
              <w:t>implementation of electronic home care monitoring)</w:t>
            </w:r>
          </w:p>
          <w:p w14:paraId="55F4C6F9" w14:textId="77777777" w:rsidR="00BA134D" w:rsidRDefault="00BA134D" w:rsidP="001737BA">
            <w:pPr>
              <w:autoSpaceDN w:val="0"/>
              <w:spacing w:before="60"/>
              <w:rPr>
                <w:rFonts w:cs="Arial"/>
                <w:color w:val="000000" w:themeColor="text1"/>
                <w:sz w:val="22"/>
                <w:szCs w:val="22"/>
              </w:rPr>
            </w:pPr>
          </w:p>
          <w:p w14:paraId="3B2667F9" w14:textId="6EC031B1" w:rsidR="00C64041" w:rsidRDefault="00C64041" w:rsidP="001737BA">
            <w:pPr>
              <w:autoSpaceDN w:val="0"/>
              <w:spacing w:before="60"/>
              <w:rPr>
                <w:rFonts w:cs="Arial"/>
                <w:color w:val="000000" w:themeColor="text1"/>
                <w:sz w:val="22"/>
                <w:szCs w:val="22"/>
              </w:rPr>
            </w:pPr>
          </w:p>
          <w:p w14:paraId="5E3F389A" w14:textId="77777777" w:rsidR="00F12AAC" w:rsidRPr="00C64041" w:rsidRDefault="00F12AAC" w:rsidP="001737BA">
            <w:pPr>
              <w:autoSpaceDN w:val="0"/>
              <w:spacing w:before="60"/>
              <w:rPr>
                <w:rFonts w:cs="Arial"/>
                <w:color w:val="000000" w:themeColor="text1"/>
                <w:sz w:val="22"/>
                <w:szCs w:val="22"/>
              </w:rPr>
            </w:pPr>
          </w:p>
          <w:p w14:paraId="7A85B9F4" w14:textId="7FC784B7" w:rsidR="00C64041" w:rsidRPr="00C64041" w:rsidRDefault="00C64041" w:rsidP="001737BA">
            <w:pPr>
              <w:autoSpaceDN w:val="0"/>
              <w:spacing w:before="60"/>
              <w:rPr>
                <w:rFonts w:cs="Arial"/>
                <w:color w:val="000000" w:themeColor="text1"/>
                <w:sz w:val="22"/>
                <w:szCs w:val="22"/>
              </w:rPr>
            </w:pPr>
            <w:r w:rsidRPr="00C64041">
              <w:rPr>
                <w:rFonts w:cs="Arial"/>
                <w:color w:val="000000" w:themeColor="text1"/>
                <w:sz w:val="22"/>
                <w:szCs w:val="22"/>
              </w:rPr>
              <w:t>Reduce levels of debt</w:t>
            </w:r>
            <w:r w:rsidR="00CF5D03">
              <w:rPr>
                <w:rFonts w:cs="Arial"/>
                <w:color w:val="000000" w:themeColor="text1"/>
                <w:sz w:val="22"/>
                <w:szCs w:val="22"/>
              </w:rPr>
              <w:t>,</w:t>
            </w:r>
            <w:r w:rsidRPr="00C64041">
              <w:rPr>
                <w:rFonts w:cs="Arial"/>
                <w:color w:val="000000" w:themeColor="text1"/>
                <w:sz w:val="22"/>
                <w:szCs w:val="22"/>
              </w:rPr>
              <w:t xml:space="preserve"> including charges for care services and NHS debt (including </w:t>
            </w:r>
            <w:r w:rsidRPr="00C64041">
              <w:rPr>
                <w:rFonts w:cs="Arial"/>
                <w:color w:val="000000" w:themeColor="text1"/>
                <w:sz w:val="22"/>
                <w:szCs w:val="22"/>
              </w:rPr>
              <w:lastRenderedPageBreak/>
              <w:t>implement recommendations in the internal audit of the Financial Assessments of Contributions to Social Care internal audit).  Progress in 2021/22 and work ongoing.</w:t>
            </w:r>
          </w:p>
          <w:p w14:paraId="773BBB93" w14:textId="00AF490F" w:rsidR="00C64041" w:rsidRDefault="00C64041" w:rsidP="001737BA">
            <w:pPr>
              <w:autoSpaceDN w:val="0"/>
              <w:spacing w:before="60"/>
              <w:rPr>
                <w:rFonts w:cs="Arial"/>
                <w:color w:val="000000" w:themeColor="text1"/>
                <w:sz w:val="22"/>
                <w:szCs w:val="22"/>
              </w:rPr>
            </w:pPr>
          </w:p>
          <w:p w14:paraId="5F92663E" w14:textId="0E692F4B" w:rsidR="004C3FA0" w:rsidRDefault="004C3FA0" w:rsidP="001737BA">
            <w:pPr>
              <w:autoSpaceDN w:val="0"/>
              <w:spacing w:before="60"/>
              <w:rPr>
                <w:rFonts w:cs="Arial"/>
                <w:color w:val="000000" w:themeColor="text1"/>
                <w:sz w:val="22"/>
                <w:szCs w:val="22"/>
              </w:rPr>
            </w:pPr>
          </w:p>
          <w:p w14:paraId="2047A005" w14:textId="77777777" w:rsidR="00EB4F9A" w:rsidRDefault="00EB4F9A" w:rsidP="00EB4F9A">
            <w:pPr>
              <w:autoSpaceDN w:val="0"/>
              <w:spacing w:before="60" w:after="120"/>
              <w:rPr>
                <w:rFonts w:cs="Arial"/>
                <w:color w:val="000000" w:themeColor="text1"/>
                <w:sz w:val="22"/>
                <w:szCs w:val="22"/>
              </w:rPr>
            </w:pPr>
          </w:p>
          <w:p w14:paraId="4997F302" w14:textId="64DD7E6A" w:rsidR="00C64041" w:rsidRPr="00C64041" w:rsidRDefault="00EB4F9A" w:rsidP="00EB4F9A">
            <w:pPr>
              <w:autoSpaceDN w:val="0"/>
              <w:spacing w:before="60" w:after="120"/>
              <w:rPr>
                <w:rFonts w:cs="Arial"/>
                <w:color w:val="000000" w:themeColor="text1"/>
                <w:sz w:val="22"/>
                <w:szCs w:val="22"/>
              </w:rPr>
            </w:pPr>
            <w:r>
              <w:rPr>
                <w:rFonts w:cs="Arial"/>
                <w:color w:val="000000" w:themeColor="text1"/>
                <w:sz w:val="22"/>
                <w:szCs w:val="22"/>
              </w:rPr>
              <w:br/>
            </w:r>
            <w:r w:rsidR="00C64041" w:rsidRPr="00C64041">
              <w:rPr>
                <w:rFonts w:cs="Arial"/>
                <w:color w:val="000000" w:themeColor="text1"/>
                <w:sz w:val="22"/>
                <w:szCs w:val="22"/>
              </w:rPr>
              <w:t>Further strengthen budget management across the directorate and particularly in Adult Social Care with a particular focus on the quality and accuracy of forecasting</w:t>
            </w:r>
            <w:r w:rsidR="0079285E">
              <w:rPr>
                <w:rFonts w:cs="Arial"/>
                <w:color w:val="000000" w:themeColor="text1"/>
                <w:sz w:val="22"/>
                <w:szCs w:val="22"/>
              </w:rPr>
              <w:t xml:space="preserve"> and the outturn and closure of accounts process. </w:t>
            </w:r>
            <w:r w:rsidR="00C64041" w:rsidRPr="00C64041">
              <w:rPr>
                <w:rFonts w:cs="Arial"/>
                <w:color w:val="000000" w:themeColor="text1"/>
                <w:sz w:val="22"/>
                <w:szCs w:val="22"/>
              </w:rPr>
              <w:t>Significant progress in 2021/22 – focus on adult social care continues.</w:t>
            </w:r>
          </w:p>
          <w:p w14:paraId="44057306" w14:textId="77777777" w:rsidR="00C64041" w:rsidRDefault="00C64041" w:rsidP="001737BA">
            <w:pPr>
              <w:autoSpaceDN w:val="0"/>
              <w:spacing w:before="60"/>
              <w:ind w:left="57"/>
              <w:rPr>
                <w:rFonts w:cs="Arial"/>
                <w:color w:val="000000" w:themeColor="text1"/>
                <w:sz w:val="22"/>
                <w:szCs w:val="22"/>
              </w:rPr>
            </w:pPr>
          </w:p>
        </w:tc>
        <w:tc>
          <w:tcPr>
            <w:tcW w:w="2348" w:type="dxa"/>
            <w:tcBorders>
              <w:top w:val="single" w:sz="4" w:space="0" w:color="auto"/>
              <w:left w:val="single" w:sz="4" w:space="0" w:color="auto"/>
              <w:bottom w:val="single" w:sz="4" w:space="0" w:color="auto"/>
              <w:right w:val="single" w:sz="4" w:space="0" w:color="auto"/>
            </w:tcBorders>
          </w:tcPr>
          <w:p w14:paraId="65527043" w14:textId="77777777" w:rsidR="00C64041" w:rsidRPr="00C64041" w:rsidRDefault="00C64041" w:rsidP="001737BA">
            <w:pPr>
              <w:autoSpaceDN w:val="0"/>
              <w:spacing w:before="60"/>
              <w:rPr>
                <w:rFonts w:cs="Arial"/>
                <w:color w:val="000000" w:themeColor="text1"/>
                <w:sz w:val="22"/>
                <w:szCs w:val="22"/>
              </w:rPr>
            </w:pPr>
            <w:r w:rsidRPr="00C64041">
              <w:rPr>
                <w:rFonts w:cs="Arial"/>
                <w:color w:val="000000" w:themeColor="text1"/>
                <w:sz w:val="22"/>
                <w:szCs w:val="22"/>
              </w:rPr>
              <w:lastRenderedPageBreak/>
              <w:t>Corporate Director, Health, Adults &amp; Community and Divisional Director, Adult Social Care and Joint Director of Integrated Commissioning</w:t>
            </w:r>
          </w:p>
          <w:p w14:paraId="26A9A0B2" w14:textId="77777777" w:rsidR="00C64041" w:rsidRPr="00C64041" w:rsidRDefault="00C64041" w:rsidP="001737BA">
            <w:pPr>
              <w:autoSpaceDN w:val="0"/>
              <w:spacing w:before="60"/>
              <w:rPr>
                <w:rFonts w:cs="Arial"/>
                <w:color w:val="000000" w:themeColor="text1"/>
                <w:sz w:val="22"/>
                <w:szCs w:val="22"/>
              </w:rPr>
            </w:pPr>
          </w:p>
          <w:p w14:paraId="033F93FD" w14:textId="1FF55F95" w:rsidR="00C64041" w:rsidRPr="00C64041" w:rsidRDefault="00C64041" w:rsidP="001737BA">
            <w:pPr>
              <w:autoSpaceDN w:val="0"/>
              <w:spacing w:before="60"/>
              <w:rPr>
                <w:rFonts w:cs="Arial"/>
                <w:color w:val="000000" w:themeColor="text1"/>
                <w:sz w:val="22"/>
                <w:szCs w:val="22"/>
              </w:rPr>
            </w:pPr>
            <w:r w:rsidRPr="00C64041">
              <w:rPr>
                <w:rFonts w:cs="Arial"/>
                <w:color w:val="000000" w:themeColor="text1"/>
                <w:sz w:val="22"/>
                <w:szCs w:val="22"/>
              </w:rPr>
              <w:t xml:space="preserve">Corporate Director, Health, Adults &amp; Community, </w:t>
            </w:r>
            <w:r w:rsidRPr="00C64041">
              <w:rPr>
                <w:rFonts w:cs="Arial"/>
                <w:color w:val="000000" w:themeColor="text1"/>
                <w:sz w:val="22"/>
                <w:szCs w:val="22"/>
              </w:rPr>
              <w:lastRenderedPageBreak/>
              <w:t>Divisional Directors, Financial Assessment Team, Finance Business Partners (Corporate Director, Resources)</w:t>
            </w:r>
          </w:p>
          <w:p w14:paraId="201A8E84" w14:textId="35D2A35D" w:rsidR="00C64041" w:rsidRDefault="00EB4F9A" w:rsidP="001737BA">
            <w:pPr>
              <w:autoSpaceDN w:val="0"/>
              <w:spacing w:before="60" w:after="120"/>
              <w:rPr>
                <w:rFonts w:cs="Arial"/>
                <w:color w:val="000000" w:themeColor="text1"/>
                <w:sz w:val="22"/>
                <w:szCs w:val="22"/>
              </w:rPr>
            </w:pPr>
            <w:r>
              <w:rPr>
                <w:rFonts w:cs="Arial"/>
                <w:color w:val="000000" w:themeColor="text1"/>
                <w:sz w:val="22"/>
                <w:szCs w:val="22"/>
              </w:rPr>
              <w:br/>
            </w:r>
            <w:r>
              <w:rPr>
                <w:rFonts w:cs="Arial"/>
                <w:color w:val="000000" w:themeColor="text1"/>
                <w:sz w:val="22"/>
                <w:szCs w:val="22"/>
              </w:rPr>
              <w:br/>
            </w:r>
            <w:r w:rsidR="00C64041" w:rsidRPr="00C64041">
              <w:rPr>
                <w:rFonts w:cs="Arial"/>
                <w:color w:val="000000" w:themeColor="text1"/>
                <w:sz w:val="22"/>
                <w:szCs w:val="22"/>
              </w:rPr>
              <w:t>Corporate Director, Health, Adults &amp; Community and all Divisional Directors and budget holders in the directorate, Finance Business partners</w:t>
            </w:r>
            <w:r w:rsidR="00BE60C6">
              <w:rPr>
                <w:rFonts w:cs="Arial"/>
                <w:color w:val="000000" w:themeColor="text1"/>
                <w:sz w:val="22"/>
                <w:szCs w:val="22"/>
              </w:rPr>
              <w:t xml:space="preserve"> </w:t>
            </w:r>
            <w:r w:rsidR="00BE60C6" w:rsidRPr="00C64041">
              <w:rPr>
                <w:rFonts w:cs="Arial"/>
                <w:color w:val="000000" w:themeColor="text1"/>
                <w:sz w:val="22"/>
                <w:szCs w:val="22"/>
              </w:rPr>
              <w:t>(Corporate Director, Resources)</w:t>
            </w:r>
            <w:r w:rsidR="00BE60C6">
              <w:rPr>
                <w:rFonts w:cs="Arial"/>
                <w:color w:val="000000" w:themeColor="text1"/>
                <w:sz w:val="22"/>
                <w:szCs w:val="22"/>
              </w:rPr>
              <w:t>.</w:t>
            </w:r>
          </w:p>
        </w:tc>
        <w:tc>
          <w:tcPr>
            <w:tcW w:w="1875" w:type="dxa"/>
            <w:tcBorders>
              <w:top w:val="single" w:sz="4" w:space="0" w:color="auto"/>
              <w:left w:val="single" w:sz="4" w:space="0" w:color="auto"/>
              <w:bottom w:val="single" w:sz="4" w:space="0" w:color="auto"/>
              <w:right w:val="single" w:sz="4" w:space="0" w:color="auto"/>
            </w:tcBorders>
          </w:tcPr>
          <w:p w14:paraId="2BC081AA" w14:textId="77777777" w:rsidR="00C64041" w:rsidRPr="00C64041" w:rsidRDefault="00C64041" w:rsidP="001737BA">
            <w:pPr>
              <w:autoSpaceDN w:val="0"/>
              <w:spacing w:before="60"/>
              <w:rPr>
                <w:rFonts w:cs="Arial"/>
                <w:color w:val="000000" w:themeColor="text1"/>
                <w:sz w:val="22"/>
                <w:szCs w:val="22"/>
              </w:rPr>
            </w:pPr>
            <w:r w:rsidRPr="00C64041">
              <w:rPr>
                <w:rFonts w:cs="Arial"/>
                <w:color w:val="000000" w:themeColor="text1"/>
                <w:sz w:val="22"/>
                <w:szCs w:val="22"/>
              </w:rPr>
              <w:lastRenderedPageBreak/>
              <w:t>2022/23 and 2023/24</w:t>
            </w:r>
          </w:p>
          <w:p w14:paraId="133B2EE0" w14:textId="77777777" w:rsidR="00C64041" w:rsidRPr="00C64041" w:rsidRDefault="00C64041" w:rsidP="001737BA">
            <w:pPr>
              <w:autoSpaceDN w:val="0"/>
              <w:spacing w:before="60"/>
              <w:rPr>
                <w:rFonts w:cs="Arial"/>
                <w:color w:val="000000" w:themeColor="text1"/>
                <w:sz w:val="22"/>
                <w:szCs w:val="22"/>
              </w:rPr>
            </w:pPr>
          </w:p>
          <w:p w14:paraId="6082123A" w14:textId="77777777" w:rsidR="00C64041" w:rsidRPr="00C64041" w:rsidRDefault="00C64041" w:rsidP="001737BA">
            <w:pPr>
              <w:autoSpaceDN w:val="0"/>
              <w:spacing w:before="60"/>
              <w:rPr>
                <w:rFonts w:cs="Arial"/>
                <w:color w:val="000000" w:themeColor="text1"/>
                <w:sz w:val="22"/>
                <w:szCs w:val="22"/>
              </w:rPr>
            </w:pPr>
          </w:p>
          <w:p w14:paraId="79022684" w14:textId="77777777" w:rsidR="00C64041" w:rsidRPr="00C64041" w:rsidRDefault="00C64041" w:rsidP="001737BA">
            <w:pPr>
              <w:autoSpaceDN w:val="0"/>
              <w:spacing w:before="60"/>
              <w:rPr>
                <w:rFonts w:cs="Arial"/>
                <w:color w:val="000000" w:themeColor="text1"/>
                <w:sz w:val="22"/>
                <w:szCs w:val="22"/>
              </w:rPr>
            </w:pPr>
          </w:p>
          <w:p w14:paraId="628C81EC" w14:textId="77777777" w:rsidR="00C64041" w:rsidRPr="00C64041" w:rsidRDefault="00C64041" w:rsidP="001737BA">
            <w:pPr>
              <w:autoSpaceDN w:val="0"/>
              <w:spacing w:before="60"/>
              <w:rPr>
                <w:rFonts w:cs="Arial"/>
                <w:color w:val="000000" w:themeColor="text1"/>
                <w:sz w:val="22"/>
                <w:szCs w:val="22"/>
              </w:rPr>
            </w:pPr>
          </w:p>
          <w:p w14:paraId="43613132" w14:textId="77777777" w:rsidR="00C64041" w:rsidRPr="00C64041" w:rsidRDefault="00C64041" w:rsidP="001737BA">
            <w:pPr>
              <w:autoSpaceDN w:val="0"/>
              <w:spacing w:before="60"/>
              <w:rPr>
                <w:rFonts w:cs="Arial"/>
                <w:color w:val="000000" w:themeColor="text1"/>
                <w:sz w:val="22"/>
                <w:szCs w:val="22"/>
              </w:rPr>
            </w:pPr>
          </w:p>
          <w:p w14:paraId="02A92BAD" w14:textId="77777777" w:rsidR="00C64041" w:rsidRPr="00C64041" w:rsidRDefault="00C64041" w:rsidP="001737BA">
            <w:pPr>
              <w:autoSpaceDN w:val="0"/>
              <w:spacing w:before="60"/>
              <w:rPr>
                <w:rFonts w:cs="Arial"/>
                <w:color w:val="000000" w:themeColor="text1"/>
                <w:sz w:val="22"/>
                <w:szCs w:val="22"/>
              </w:rPr>
            </w:pPr>
          </w:p>
          <w:p w14:paraId="2EFD3D87" w14:textId="77777777" w:rsidR="00C64041" w:rsidRPr="00C64041" w:rsidRDefault="00C64041" w:rsidP="001737BA">
            <w:pPr>
              <w:autoSpaceDN w:val="0"/>
              <w:spacing w:before="60"/>
              <w:rPr>
                <w:rFonts w:cs="Arial"/>
                <w:color w:val="000000" w:themeColor="text1"/>
                <w:sz w:val="22"/>
                <w:szCs w:val="22"/>
              </w:rPr>
            </w:pPr>
          </w:p>
          <w:p w14:paraId="206BC5DC" w14:textId="58820BE8" w:rsidR="00C64041" w:rsidRPr="00C64041" w:rsidRDefault="00C64041" w:rsidP="001737BA">
            <w:pPr>
              <w:autoSpaceDN w:val="0"/>
              <w:spacing w:before="60"/>
              <w:rPr>
                <w:rFonts w:cs="Arial"/>
                <w:color w:val="000000" w:themeColor="text1"/>
                <w:sz w:val="22"/>
                <w:szCs w:val="22"/>
              </w:rPr>
            </w:pPr>
            <w:r w:rsidRPr="00C64041">
              <w:rPr>
                <w:rFonts w:cs="Arial"/>
                <w:color w:val="000000" w:themeColor="text1"/>
                <w:sz w:val="22"/>
                <w:szCs w:val="22"/>
              </w:rPr>
              <w:t>2022/23</w:t>
            </w:r>
          </w:p>
          <w:p w14:paraId="619253B3" w14:textId="77777777" w:rsidR="00C64041" w:rsidRPr="00C64041" w:rsidRDefault="00C64041" w:rsidP="001737BA">
            <w:pPr>
              <w:autoSpaceDN w:val="0"/>
              <w:spacing w:before="60"/>
              <w:rPr>
                <w:rFonts w:cs="Arial"/>
                <w:color w:val="000000" w:themeColor="text1"/>
                <w:sz w:val="22"/>
                <w:szCs w:val="22"/>
              </w:rPr>
            </w:pPr>
          </w:p>
          <w:p w14:paraId="45A1F582" w14:textId="77777777" w:rsidR="00C64041" w:rsidRPr="00C64041" w:rsidRDefault="00C64041" w:rsidP="001737BA">
            <w:pPr>
              <w:autoSpaceDN w:val="0"/>
              <w:spacing w:before="60"/>
              <w:rPr>
                <w:rFonts w:cs="Arial"/>
                <w:color w:val="000000" w:themeColor="text1"/>
                <w:sz w:val="22"/>
                <w:szCs w:val="22"/>
              </w:rPr>
            </w:pPr>
          </w:p>
          <w:p w14:paraId="71546340" w14:textId="77777777" w:rsidR="00C64041" w:rsidRPr="00C64041" w:rsidRDefault="00C64041" w:rsidP="001737BA">
            <w:pPr>
              <w:autoSpaceDN w:val="0"/>
              <w:spacing w:before="60"/>
              <w:rPr>
                <w:rFonts w:cs="Arial"/>
                <w:color w:val="000000" w:themeColor="text1"/>
                <w:sz w:val="22"/>
                <w:szCs w:val="22"/>
              </w:rPr>
            </w:pPr>
          </w:p>
          <w:p w14:paraId="4D708516" w14:textId="77777777" w:rsidR="00C64041" w:rsidRPr="00C64041" w:rsidRDefault="00C64041" w:rsidP="001737BA">
            <w:pPr>
              <w:autoSpaceDN w:val="0"/>
              <w:spacing w:before="60"/>
              <w:rPr>
                <w:rFonts w:cs="Arial"/>
                <w:color w:val="000000" w:themeColor="text1"/>
                <w:sz w:val="22"/>
                <w:szCs w:val="22"/>
              </w:rPr>
            </w:pPr>
          </w:p>
          <w:p w14:paraId="70AE7A20" w14:textId="77777777" w:rsidR="00C64041" w:rsidRPr="00C64041" w:rsidRDefault="00C64041" w:rsidP="001737BA">
            <w:pPr>
              <w:autoSpaceDN w:val="0"/>
              <w:spacing w:before="60"/>
              <w:rPr>
                <w:rFonts w:cs="Arial"/>
                <w:color w:val="000000" w:themeColor="text1"/>
                <w:sz w:val="22"/>
                <w:szCs w:val="22"/>
              </w:rPr>
            </w:pPr>
          </w:p>
          <w:p w14:paraId="7090155C" w14:textId="77777777" w:rsidR="00C64041" w:rsidRPr="00C64041" w:rsidRDefault="00C64041" w:rsidP="001737BA">
            <w:pPr>
              <w:autoSpaceDN w:val="0"/>
              <w:spacing w:before="60"/>
              <w:rPr>
                <w:rFonts w:cs="Arial"/>
                <w:color w:val="000000" w:themeColor="text1"/>
                <w:sz w:val="22"/>
                <w:szCs w:val="22"/>
              </w:rPr>
            </w:pPr>
          </w:p>
          <w:p w14:paraId="62904E73" w14:textId="77777777" w:rsidR="00C64041" w:rsidRPr="00C64041" w:rsidRDefault="00C64041" w:rsidP="001737BA">
            <w:pPr>
              <w:autoSpaceDN w:val="0"/>
              <w:spacing w:before="60"/>
              <w:rPr>
                <w:rFonts w:cs="Arial"/>
                <w:color w:val="000000" w:themeColor="text1"/>
                <w:sz w:val="22"/>
                <w:szCs w:val="22"/>
              </w:rPr>
            </w:pPr>
          </w:p>
          <w:p w14:paraId="551E7E7F" w14:textId="77777777" w:rsidR="00C64041" w:rsidRPr="00C64041" w:rsidRDefault="00C64041" w:rsidP="001737BA">
            <w:pPr>
              <w:autoSpaceDN w:val="0"/>
              <w:spacing w:before="60"/>
              <w:rPr>
                <w:rFonts w:cs="Arial"/>
                <w:color w:val="000000" w:themeColor="text1"/>
                <w:sz w:val="22"/>
                <w:szCs w:val="22"/>
              </w:rPr>
            </w:pPr>
          </w:p>
          <w:p w14:paraId="0DE7BD7C" w14:textId="77777777" w:rsidR="00C64041" w:rsidRPr="00C64041" w:rsidRDefault="00C64041" w:rsidP="001737BA">
            <w:pPr>
              <w:autoSpaceDN w:val="0"/>
              <w:spacing w:before="60"/>
              <w:rPr>
                <w:rFonts w:cs="Arial"/>
                <w:color w:val="000000" w:themeColor="text1"/>
                <w:sz w:val="22"/>
                <w:szCs w:val="22"/>
              </w:rPr>
            </w:pPr>
          </w:p>
          <w:p w14:paraId="35DA0F8E" w14:textId="748ABDAD" w:rsidR="00C64041" w:rsidRDefault="00C64041" w:rsidP="001737BA">
            <w:pPr>
              <w:autoSpaceDN w:val="0"/>
              <w:spacing w:before="60"/>
              <w:rPr>
                <w:rFonts w:cs="Arial"/>
                <w:color w:val="000000" w:themeColor="text1"/>
                <w:sz w:val="22"/>
                <w:szCs w:val="22"/>
              </w:rPr>
            </w:pPr>
            <w:r w:rsidRPr="00C64041">
              <w:rPr>
                <w:rFonts w:cs="Arial"/>
                <w:color w:val="000000" w:themeColor="text1"/>
                <w:sz w:val="22"/>
                <w:szCs w:val="22"/>
              </w:rPr>
              <w:t>Ongoing</w:t>
            </w:r>
          </w:p>
        </w:tc>
      </w:tr>
      <w:tr w:rsidR="0001106C" w:rsidRPr="00160BA6" w14:paraId="1541A33D" w14:textId="77777777" w:rsidTr="006F6034">
        <w:trPr>
          <w:jc w:val="center"/>
        </w:trPr>
        <w:tc>
          <w:tcPr>
            <w:tcW w:w="675" w:type="dxa"/>
          </w:tcPr>
          <w:p w14:paraId="023F6473" w14:textId="63A52500" w:rsidR="0001106C" w:rsidRPr="00160BA6" w:rsidRDefault="0001106C" w:rsidP="001737BA">
            <w:pPr>
              <w:spacing w:before="60"/>
              <w:rPr>
                <w:rFonts w:cs="Arial"/>
                <w:color w:val="000000" w:themeColor="text1"/>
                <w:sz w:val="22"/>
                <w:szCs w:val="22"/>
              </w:rPr>
            </w:pPr>
            <w:r>
              <w:rPr>
                <w:rFonts w:cs="Arial"/>
                <w:color w:val="000000" w:themeColor="text1"/>
                <w:sz w:val="22"/>
                <w:szCs w:val="22"/>
              </w:rPr>
              <w:lastRenderedPageBreak/>
              <w:t>3</w:t>
            </w:r>
          </w:p>
        </w:tc>
        <w:tc>
          <w:tcPr>
            <w:tcW w:w="4631" w:type="dxa"/>
            <w:tcBorders>
              <w:top w:val="single" w:sz="4" w:space="0" w:color="auto"/>
              <w:left w:val="single" w:sz="4" w:space="0" w:color="auto"/>
              <w:bottom w:val="single" w:sz="4" w:space="0" w:color="auto"/>
              <w:right w:val="single" w:sz="4" w:space="0" w:color="auto"/>
            </w:tcBorders>
          </w:tcPr>
          <w:p w14:paraId="55607B44" w14:textId="77777777" w:rsidR="0001106C" w:rsidRPr="0001106C" w:rsidRDefault="0001106C" w:rsidP="001737BA">
            <w:pPr>
              <w:spacing w:before="60"/>
              <w:rPr>
                <w:rFonts w:cs="Arial"/>
                <w:color w:val="000000" w:themeColor="text1"/>
                <w:sz w:val="22"/>
                <w:szCs w:val="22"/>
              </w:rPr>
            </w:pPr>
            <w:r w:rsidRPr="0001106C">
              <w:rPr>
                <w:rFonts w:cs="Arial"/>
                <w:color w:val="000000" w:themeColor="text1"/>
                <w:sz w:val="22"/>
                <w:szCs w:val="22"/>
              </w:rPr>
              <w:t>Compliance with standards in relation to video surveillance systems across the Council</w:t>
            </w:r>
          </w:p>
          <w:p w14:paraId="7165C7ED" w14:textId="77777777" w:rsidR="0001106C" w:rsidRPr="0001106C" w:rsidRDefault="0001106C" w:rsidP="001737BA">
            <w:pPr>
              <w:spacing w:before="60"/>
              <w:ind w:left="57"/>
              <w:rPr>
                <w:rFonts w:cs="Arial"/>
                <w:color w:val="000000" w:themeColor="text1"/>
                <w:sz w:val="22"/>
                <w:szCs w:val="22"/>
              </w:rPr>
            </w:pPr>
          </w:p>
          <w:p w14:paraId="54FD413B" w14:textId="77777777" w:rsidR="0001106C" w:rsidRDefault="0001106C" w:rsidP="001737BA">
            <w:pPr>
              <w:spacing w:before="60"/>
              <w:ind w:left="57"/>
              <w:rPr>
                <w:rFonts w:cs="Arial"/>
                <w:color w:val="000000" w:themeColor="text1"/>
                <w:sz w:val="22"/>
                <w:szCs w:val="22"/>
              </w:rPr>
            </w:pPr>
          </w:p>
        </w:tc>
        <w:tc>
          <w:tcPr>
            <w:tcW w:w="4645" w:type="dxa"/>
            <w:tcBorders>
              <w:top w:val="single" w:sz="4" w:space="0" w:color="auto"/>
              <w:left w:val="single" w:sz="4" w:space="0" w:color="auto"/>
              <w:bottom w:val="single" w:sz="4" w:space="0" w:color="auto"/>
              <w:right w:val="single" w:sz="4" w:space="0" w:color="auto"/>
            </w:tcBorders>
          </w:tcPr>
          <w:p w14:paraId="12BC49C8" w14:textId="68B3C256" w:rsidR="0001106C" w:rsidRDefault="0001106C" w:rsidP="001737BA">
            <w:pPr>
              <w:autoSpaceDN w:val="0"/>
              <w:spacing w:before="60"/>
              <w:rPr>
                <w:rFonts w:cs="Arial"/>
                <w:color w:val="000000" w:themeColor="text1"/>
                <w:sz w:val="22"/>
                <w:szCs w:val="22"/>
              </w:rPr>
            </w:pPr>
            <w:r w:rsidRPr="0001106C">
              <w:rPr>
                <w:rFonts w:cs="Arial"/>
                <w:color w:val="000000" w:themeColor="text1"/>
                <w:sz w:val="22"/>
                <w:szCs w:val="22"/>
              </w:rPr>
              <w:t>Continue with project (led within the directorate but covering systems across the whole Council) to ensure compliance with standards</w:t>
            </w:r>
          </w:p>
        </w:tc>
        <w:tc>
          <w:tcPr>
            <w:tcW w:w="2348" w:type="dxa"/>
            <w:tcBorders>
              <w:top w:val="single" w:sz="4" w:space="0" w:color="auto"/>
              <w:left w:val="single" w:sz="4" w:space="0" w:color="auto"/>
              <w:bottom w:val="single" w:sz="4" w:space="0" w:color="auto"/>
              <w:right w:val="single" w:sz="4" w:space="0" w:color="auto"/>
            </w:tcBorders>
          </w:tcPr>
          <w:p w14:paraId="5C6743DD" w14:textId="5333452B" w:rsidR="0001106C" w:rsidRDefault="0001106C" w:rsidP="001737BA">
            <w:pPr>
              <w:spacing w:before="60" w:after="120"/>
              <w:rPr>
                <w:rFonts w:cs="Arial"/>
                <w:color w:val="000000" w:themeColor="text1"/>
                <w:sz w:val="22"/>
                <w:szCs w:val="22"/>
              </w:rPr>
            </w:pPr>
            <w:r w:rsidRPr="0001106C">
              <w:rPr>
                <w:rFonts w:cs="Arial"/>
                <w:color w:val="000000" w:themeColor="text1"/>
                <w:sz w:val="22"/>
                <w:szCs w:val="22"/>
              </w:rPr>
              <w:t>Divisional Director, Community Safety, Head of Information Governance &amp; all Divisional Directors across the Council with responsibility for the use of surveillance systems</w:t>
            </w:r>
          </w:p>
        </w:tc>
        <w:tc>
          <w:tcPr>
            <w:tcW w:w="1875" w:type="dxa"/>
            <w:tcBorders>
              <w:top w:val="single" w:sz="4" w:space="0" w:color="auto"/>
              <w:left w:val="single" w:sz="4" w:space="0" w:color="auto"/>
              <w:bottom w:val="single" w:sz="4" w:space="0" w:color="auto"/>
              <w:right w:val="single" w:sz="4" w:space="0" w:color="auto"/>
            </w:tcBorders>
          </w:tcPr>
          <w:p w14:paraId="00A356B2" w14:textId="761610CE" w:rsidR="0001106C" w:rsidRDefault="0001106C" w:rsidP="001737BA">
            <w:pPr>
              <w:autoSpaceDN w:val="0"/>
              <w:spacing w:before="60"/>
              <w:rPr>
                <w:rFonts w:cs="Arial"/>
                <w:color w:val="000000" w:themeColor="text1"/>
                <w:sz w:val="22"/>
                <w:szCs w:val="22"/>
              </w:rPr>
            </w:pPr>
            <w:r w:rsidRPr="0001106C">
              <w:rPr>
                <w:rFonts w:cs="Arial"/>
                <w:color w:val="000000" w:themeColor="text1"/>
                <w:sz w:val="22"/>
                <w:szCs w:val="22"/>
              </w:rPr>
              <w:t>2022/23</w:t>
            </w:r>
          </w:p>
        </w:tc>
      </w:tr>
      <w:tr w:rsidR="00187EAB" w:rsidRPr="00160BA6" w14:paraId="3801A8A0" w14:textId="77777777" w:rsidTr="004C3FA0">
        <w:trPr>
          <w:trHeight w:val="525"/>
          <w:jc w:val="center"/>
        </w:trPr>
        <w:tc>
          <w:tcPr>
            <w:tcW w:w="675" w:type="dxa"/>
          </w:tcPr>
          <w:p w14:paraId="4A86FC4C" w14:textId="51895EEB" w:rsidR="00187EAB" w:rsidRPr="00160BA6" w:rsidRDefault="00187EAB" w:rsidP="00F76E11">
            <w:pPr>
              <w:spacing w:before="60"/>
              <w:rPr>
                <w:rFonts w:cs="Arial"/>
                <w:color w:val="000000" w:themeColor="text1"/>
                <w:sz w:val="22"/>
                <w:szCs w:val="22"/>
              </w:rPr>
            </w:pPr>
            <w:r>
              <w:rPr>
                <w:rFonts w:cs="Arial"/>
                <w:color w:val="000000" w:themeColor="text1"/>
                <w:sz w:val="22"/>
                <w:szCs w:val="22"/>
              </w:rPr>
              <w:t>4</w:t>
            </w:r>
          </w:p>
        </w:tc>
        <w:tc>
          <w:tcPr>
            <w:tcW w:w="4631" w:type="dxa"/>
            <w:tcBorders>
              <w:top w:val="single" w:sz="4" w:space="0" w:color="auto"/>
              <w:left w:val="single" w:sz="4" w:space="0" w:color="auto"/>
              <w:bottom w:val="single" w:sz="4" w:space="0" w:color="auto"/>
              <w:right w:val="single" w:sz="4" w:space="0" w:color="auto"/>
            </w:tcBorders>
          </w:tcPr>
          <w:p w14:paraId="3789C122" w14:textId="670AFE34" w:rsidR="00187EAB" w:rsidRDefault="00E83D21" w:rsidP="00F76E11">
            <w:pPr>
              <w:spacing w:before="60"/>
              <w:rPr>
                <w:rFonts w:cs="Arial"/>
                <w:color w:val="000000" w:themeColor="text1"/>
                <w:sz w:val="22"/>
                <w:szCs w:val="22"/>
              </w:rPr>
            </w:pPr>
            <w:r>
              <w:rPr>
                <w:rFonts w:cs="Arial"/>
                <w:color w:val="000000" w:themeColor="text1"/>
                <w:sz w:val="22"/>
                <w:szCs w:val="22"/>
              </w:rPr>
              <w:t>Q</w:t>
            </w:r>
            <w:r w:rsidR="00187EAB" w:rsidRPr="00187EAB">
              <w:rPr>
                <w:rFonts w:cs="Arial"/>
                <w:color w:val="000000" w:themeColor="text1"/>
                <w:sz w:val="22"/>
                <w:szCs w:val="22"/>
              </w:rPr>
              <w:t>uality</w:t>
            </w:r>
            <w:r>
              <w:rPr>
                <w:rFonts w:cs="Arial"/>
                <w:color w:val="000000" w:themeColor="text1"/>
                <w:sz w:val="22"/>
                <w:szCs w:val="22"/>
              </w:rPr>
              <w:t xml:space="preserve"> Assurance</w:t>
            </w:r>
            <w:r w:rsidR="00187EAB" w:rsidRPr="00187EAB">
              <w:rPr>
                <w:rFonts w:cs="Arial"/>
                <w:color w:val="000000" w:themeColor="text1"/>
                <w:sz w:val="22"/>
                <w:szCs w:val="22"/>
              </w:rPr>
              <w:t xml:space="preserve"> in Adult Social Care</w:t>
            </w:r>
          </w:p>
        </w:tc>
        <w:tc>
          <w:tcPr>
            <w:tcW w:w="4645" w:type="dxa"/>
            <w:tcBorders>
              <w:top w:val="single" w:sz="4" w:space="0" w:color="auto"/>
              <w:left w:val="single" w:sz="4" w:space="0" w:color="auto"/>
              <w:bottom w:val="single" w:sz="4" w:space="0" w:color="auto"/>
              <w:right w:val="single" w:sz="4" w:space="0" w:color="auto"/>
            </w:tcBorders>
          </w:tcPr>
          <w:p w14:paraId="1A0EACD8" w14:textId="6F25068E" w:rsidR="00187EAB" w:rsidRDefault="00187EAB" w:rsidP="00F76E11">
            <w:pPr>
              <w:autoSpaceDN w:val="0"/>
              <w:spacing w:before="60"/>
              <w:rPr>
                <w:rFonts w:cs="Arial"/>
                <w:color w:val="000000" w:themeColor="text1"/>
                <w:sz w:val="22"/>
                <w:szCs w:val="22"/>
              </w:rPr>
            </w:pPr>
            <w:r w:rsidRPr="00187EAB">
              <w:rPr>
                <w:rFonts w:cs="Arial"/>
                <w:color w:val="000000" w:themeColor="text1"/>
                <w:sz w:val="22"/>
                <w:szCs w:val="22"/>
              </w:rPr>
              <w:t xml:space="preserve">Implement further developments to Mosaic (IT system) and improve the quality of data </w:t>
            </w:r>
            <w:r w:rsidRPr="00187EAB">
              <w:rPr>
                <w:rFonts w:cs="Arial"/>
                <w:color w:val="000000" w:themeColor="text1"/>
                <w:sz w:val="22"/>
                <w:szCs w:val="22"/>
              </w:rPr>
              <w:lastRenderedPageBreak/>
              <w:t xml:space="preserve">on the system as part of the </w:t>
            </w:r>
            <w:r w:rsidR="00C3569D" w:rsidRPr="00C64041">
              <w:rPr>
                <w:rFonts w:cs="Arial"/>
                <w:color w:val="000000" w:themeColor="text1"/>
                <w:sz w:val="22"/>
                <w:szCs w:val="22"/>
              </w:rPr>
              <w:t>Adult Social Care Improvement Programme</w:t>
            </w:r>
          </w:p>
          <w:p w14:paraId="426C308D" w14:textId="77777777" w:rsidR="008E6158" w:rsidRDefault="008E6158" w:rsidP="00F76E11">
            <w:pPr>
              <w:autoSpaceDN w:val="0"/>
              <w:spacing w:before="60"/>
              <w:rPr>
                <w:rFonts w:cs="Arial"/>
                <w:color w:val="000000" w:themeColor="text1"/>
                <w:sz w:val="22"/>
                <w:szCs w:val="22"/>
              </w:rPr>
            </w:pPr>
          </w:p>
          <w:p w14:paraId="3AC300CE" w14:textId="44F692D8" w:rsidR="00187EAB" w:rsidRDefault="00187EAB" w:rsidP="00F76E11">
            <w:pPr>
              <w:autoSpaceDN w:val="0"/>
              <w:spacing w:before="60" w:after="120"/>
              <w:rPr>
                <w:rFonts w:cs="Arial"/>
                <w:color w:val="000000" w:themeColor="text1"/>
                <w:sz w:val="22"/>
                <w:szCs w:val="22"/>
              </w:rPr>
            </w:pPr>
            <w:r w:rsidRPr="00187EAB">
              <w:rPr>
                <w:rFonts w:cs="Arial"/>
                <w:color w:val="000000" w:themeColor="text1"/>
                <w:sz w:val="22"/>
                <w:szCs w:val="22"/>
              </w:rPr>
              <w:t xml:space="preserve">Strengthen the governance in relation to implementation of recommendations from </w:t>
            </w:r>
            <w:r w:rsidR="004C3FA0">
              <w:rPr>
                <w:rFonts w:cs="Arial"/>
                <w:color w:val="000000" w:themeColor="text1"/>
                <w:sz w:val="22"/>
                <w:szCs w:val="22"/>
              </w:rPr>
              <w:t>S</w:t>
            </w:r>
            <w:r w:rsidRPr="00187EAB">
              <w:rPr>
                <w:rFonts w:cs="Arial"/>
                <w:color w:val="000000" w:themeColor="text1"/>
                <w:sz w:val="22"/>
                <w:szCs w:val="22"/>
              </w:rPr>
              <w:t xml:space="preserve">afeguarding </w:t>
            </w:r>
            <w:r w:rsidR="004C3FA0">
              <w:rPr>
                <w:rFonts w:cs="Arial"/>
                <w:color w:val="000000" w:themeColor="text1"/>
                <w:sz w:val="22"/>
                <w:szCs w:val="22"/>
              </w:rPr>
              <w:t>A</w:t>
            </w:r>
            <w:r w:rsidRPr="00187EAB">
              <w:rPr>
                <w:rFonts w:cs="Arial"/>
                <w:color w:val="000000" w:themeColor="text1"/>
                <w:sz w:val="22"/>
                <w:szCs w:val="22"/>
              </w:rPr>
              <w:t xml:space="preserve">dults </w:t>
            </w:r>
            <w:r w:rsidR="004C3FA0">
              <w:rPr>
                <w:rFonts w:cs="Arial"/>
                <w:color w:val="000000" w:themeColor="text1"/>
                <w:sz w:val="22"/>
                <w:szCs w:val="22"/>
              </w:rPr>
              <w:t>R</w:t>
            </w:r>
            <w:r w:rsidRPr="00187EAB">
              <w:rPr>
                <w:rFonts w:cs="Arial"/>
                <w:color w:val="000000" w:themeColor="text1"/>
                <w:sz w:val="22"/>
                <w:szCs w:val="22"/>
              </w:rPr>
              <w:t>eviews.</w:t>
            </w:r>
          </w:p>
        </w:tc>
        <w:tc>
          <w:tcPr>
            <w:tcW w:w="2348" w:type="dxa"/>
            <w:tcBorders>
              <w:top w:val="single" w:sz="4" w:space="0" w:color="auto"/>
              <w:left w:val="single" w:sz="4" w:space="0" w:color="auto"/>
              <w:bottom w:val="single" w:sz="4" w:space="0" w:color="auto"/>
              <w:right w:val="single" w:sz="4" w:space="0" w:color="auto"/>
            </w:tcBorders>
          </w:tcPr>
          <w:p w14:paraId="19924BBA" w14:textId="77777777" w:rsidR="00187EAB" w:rsidRPr="00187EAB" w:rsidRDefault="00187EAB" w:rsidP="00F76E11">
            <w:pPr>
              <w:autoSpaceDN w:val="0"/>
              <w:spacing w:before="60"/>
              <w:rPr>
                <w:rFonts w:cs="Arial"/>
                <w:color w:val="000000" w:themeColor="text1"/>
                <w:sz w:val="22"/>
                <w:szCs w:val="22"/>
              </w:rPr>
            </w:pPr>
            <w:r w:rsidRPr="00187EAB">
              <w:rPr>
                <w:rFonts w:cs="Arial"/>
                <w:color w:val="000000" w:themeColor="text1"/>
                <w:sz w:val="22"/>
                <w:szCs w:val="22"/>
              </w:rPr>
              <w:lastRenderedPageBreak/>
              <w:t>Divisional Director, Adult Social Care and Divisional Director, IT</w:t>
            </w:r>
          </w:p>
          <w:p w14:paraId="09F95B1A" w14:textId="77777777" w:rsidR="00187EAB" w:rsidRPr="00187EAB" w:rsidRDefault="00187EAB" w:rsidP="00F76E11">
            <w:pPr>
              <w:autoSpaceDN w:val="0"/>
              <w:spacing w:before="60"/>
              <w:rPr>
                <w:rFonts w:cs="Arial"/>
                <w:color w:val="000000" w:themeColor="text1"/>
                <w:sz w:val="22"/>
                <w:szCs w:val="22"/>
              </w:rPr>
            </w:pPr>
          </w:p>
          <w:p w14:paraId="3E28B15D" w14:textId="77777777" w:rsidR="00187EAB" w:rsidRPr="00187EAB" w:rsidRDefault="00187EAB" w:rsidP="00F76E11">
            <w:pPr>
              <w:autoSpaceDN w:val="0"/>
              <w:spacing w:before="60"/>
              <w:rPr>
                <w:rFonts w:cs="Arial"/>
                <w:color w:val="000000" w:themeColor="text1"/>
                <w:sz w:val="22"/>
                <w:szCs w:val="22"/>
              </w:rPr>
            </w:pPr>
          </w:p>
          <w:p w14:paraId="6602B54D" w14:textId="7310DBFB" w:rsidR="00187EAB" w:rsidRDefault="00187EAB" w:rsidP="00F76E11">
            <w:pPr>
              <w:autoSpaceDN w:val="0"/>
              <w:spacing w:before="60"/>
              <w:rPr>
                <w:rFonts w:cs="Arial"/>
                <w:color w:val="000000" w:themeColor="text1"/>
                <w:sz w:val="22"/>
                <w:szCs w:val="22"/>
              </w:rPr>
            </w:pPr>
            <w:r w:rsidRPr="00187EAB">
              <w:rPr>
                <w:rFonts w:cs="Arial"/>
                <w:color w:val="000000" w:themeColor="text1"/>
                <w:sz w:val="22"/>
                <w:szCs w:val="22"/>
              </w:rPr>
              <w:t>Divisional Director, Adult Social Care</w:t>
            </w:r>
          </w:p>
        </w:tc>
        <w:tc>
          <w:tcPr>
            <w:tcW w:w="1875" w:type="dxa"/>
            <w:tcBorders>
              <w:top w:val="single" w:sz="4" w:space="0" w:color="auto"/>
              <w:left w:val="single" w:sz="4" w:space="0" w:color="auto"/>
              <w:bottom w:val="single" w:sz="4" w:space="0" w:color="auto"/>
              <w:right w:val="single" w:sz="4" w:space="0" w:color="auto"/>
            </w:tcBorders>
          </w:tcPr>
          <w:p w14:paraId="63B56DD4" w14:textId="77777777" w:rsidR="00187EAB" w:rsidRPr="00187EAB" w:rsidRDefault="00187EAB" w:rsidP="00F76E11">
            <w:pPr>
              <w:autoSpaceDN w:val="0"/>
              <w:spacing w:before="60"/>
              <w:rPr>
                <w:rFonts w:cs="Arial"/>
                <w:color w:val="000000" w:themeColor="text1"/>
                <w:sz w:val="22"/>
                <w:szCs w:val="22"/>
              </w:rPr>
            </w:pPr>
            <w:r w:rsidRPr="00187EAB">
              <w:rPr>
                <w:rFonts w:cs="Arial"/>
                <w:color w:val="000000" w:themeColor="text1"/>
                <w:sz w:val="22"/>
                <w:szCs w:val="22"/>
              </w:rPr>
              <w:lastRenderedPageBreak/>
              <w:t>2022/23</w:t>
            </w:r>
          </w:p>
          <w:p w14:paraId="42433BC0" w14:textId="77777777" w:rsidR="00187EAB" w:rsidRPr="00187EAB" w:rsidRDefault="00187EAB" w:rsidP="00F76E11">
            <w:pPr>
              <w:autoSpaceDN w:val="0"/>
              <w:spacing w:before="60"/>
              <w:rPr>
                <w:rFonts w:cs="Arial"/>
                <w:color w:val="000000" w:themeColor="text1"/>
                <w:sz w:val="22"/>
                <w:szCs w:val="22"/>
              </w:rPr>
            </w:pPr>
          </w:p>
          <w:p w14:paraId="28581782" w14:textId="77777777" w:rsidR="00187EAB" w:rsidRPr="00187EAB" w:rsidRDefault="00187EAB" w:rsidP="00F76E11">
            <w:pPr>
              <w:autoSpaceDN w:val="0"/>
              <w:spacing w:before="60"/>
              <w:rPr>
                <w:rFonts w:cs="Arial"/>
                <w:color w:val="000000" w:themeColor="text1"/>
                <w:sz w:val="22"/>
                <w:szCs w:val="22"/>
              </w:rPr>
            </w:pPr>
          </w:p>
          <w:p w14:paraId="1E21B56C" w14:textId="77777777" w:rsidR="00187EAB" w:rsidRPr="00187EAB" w:rsidRDefault="00187EAB" w:rsidP="00F76E11">
            <w:pPr>
              <w:autoSpaceDN w:val="0"/>
              <w:spacing w:before="60"/>
              <w:rPr>
                <w:rFonts w:cs="Arial"/>
                <w:color w:val="000000" w:themeColor="text1"/>
                <w:sz w:val="22"/>
                <w:szCs w:val="22"/>
              </w:rPr>
            </w:pPr>
          </w:p>
          <w:p w14:paraId="0E39C4AF" w14:textId="77777777" w:rsidR="00187EAB" w:rsidRPr="00187EAB" w:rsidRDefault="00187EAB" w:rsidP="00F76E11">
            <w:pPr>
              <w:autoSpaceDN w:val="0"/>
              <w:spacing w:before="60"/>
              <w:rPr>
                <w:rFonts w:cs="Arial"/>
                <w:color w:val="000000" w:themeColor="text1"/>
                <w:sz w:val="22"/>
                <w:szCs w:val="22"/>
              </w:rPr>
            </w:pPr>
          </w:p>
          <w:p w14:paraId="4AC374AA" w14:textId="77777777" w:rsidR="00187EAB" w:rsidRPr="00187EAB" w:rsidRDefault="00187EAB" w:rsidP="00F76E11">
            <w:pPr>
              <w:autoSpaceDN w:val="0"/>
              <w:spacing w:before="60"/>
              <w:rPr>
                <w:rFonts w:cs="Arial"/>
                <w:color w:val="000000" w:themeColor="text1"/>
                <w:sz w:val="22"/>
                <w:szCs w:val="22"/>
              </w:rPr>
            </w:pPr>
            <w:r w:rsidRPr="00187EAB">
              <w:rPr>
                <w:rFonts w:cs="Arial"/>
                <w:color w:val="000000" w:themeColor="text1"/>
                <w:sz w:val="22"/>
                <w:szCs w:val="22"/>
              </w:rPr>
              <w:t>2022/23</w:t>
            </w:r>
          </w:p>
          <w:p w14:paraId="10F23C58" w14:textId="77777777" w:rsidR="00187EAB" w:rsidRDefault="00187EAB" w:rsidP="00F76E11">
            <w:pPr>
              <w:autoSpaceDN w:val="0"/>
              <w:spacing w:before="60"/>
              <w:rPr>
                <w:rFonts w:cs="Arial"/>
                <w:color w:val="000000" w:themeColor="text1"/>
                <w:sz w:val="22"/>
                <w:szCs w:val="22"/>
              </w:rPr>
            </w:pPr>
          </w:p>
        </w:tc>
      </w:tr>
      <w:tr w:rsidR="0001106C" w:rsidRPr="00160BA6" w14:paraId="4E5889E1" w14:textId="77777777" w:rsidTr="006F6034">
        <w:trPr>
          <w:jc w:val="center"/>
        </w:trPr>
        <w:tc>
          <w:tcPr>
            <w:tcW w:w="675" w:type="dxa"/>
          </w:tcPr>
          <w:p w14:paraId="2EA9E637" w14:textId="1158C1C3" w:rsidR="0001106C" w:rsidRPr="00160BA6" w:rsidRDefault="00187EAB" w:rsidP="00F76E11">
            <w:pPr>
              <w:spacing w:before="60"/>
              <w:rPr>
                <w:rFonts w:cs="Arial"/>
                <w:color w:val="000000" w:themeColor="text1"/>
                <w:sz w:val="22"/>
                <w:szCs w:val="22"/>
              </w:rPr>
            </w:pPr>
            <w:r>
              <w:rPr>
                <w:rFonts w:cs="Arial"/>
                <w:color w:val="000000" w:themeColor="text1"/>
                <w:sz w:val="22"/>
                <w:szCs w:val="22"/>
              </w:rPr>
              <w:lastRenderedPageBreak/>
              <w:t>5</w:t>
            </w:r>
          </w:p>
        </w:tc>
        <w:tc>
          <w:tcPr>
            <w:tcW w:w="4631" w:type="dxa"/>
            <w:tcBorders>
              <w:top w:val="single" w:sz="4" w:space="0" w:color="auto"/>
              <w:left w:val="single" w:sz="4" w:space="0" w:color="auto"/>
              <w:bottom w:val="single" w:sz="4" w:space="0" w:color="auto"/>
              <w:right w:val="single" w:sz="4" w:space="0" w:color="auto"/>
            </w:tcBorders>
          </w:tcPr>
          <w:p w14:paraId="46F197F5" w14:textId="519BA184" w:rsidR="0001106C" w:rsidRDefault="0001106C" w:rsidP="00F76E11">
            <w:pPr>
              <w:spacing w:before="60"/>
              <w:rPr>
                <w:rFonts w:cs="Arial"/>
                <w:color w:val="000000" w:themeColor="text1"/>
                <w:sz w:val="22"/>
                <w:szCs w:val="22"/>
              </w:rPr>
            </w:pPr>
            <w:r>
              <w:rPr>
                <w:rFonts w:cs="Arial"/>
                <w:color w:val="000000" w:themeColor="text1"/>
                <w:sz w:val="22"/>
                <w:szCs w:val="22"/>
              </w:rPr>
              <w:t>SEND Local Area Inspection 2021 – requirement of the Council and the CCG for a Written Statement of Action in relation to four areas of weakness</w:t>
            </w:r>
          </w:p>
        </w:tc>
        <w:tc>
          <w:tcPr>
            <w:tcW w:w="4645" w:type="dxa"/>
            <w:tcBorders>
              <w:top w:val="single" w:sz="4" w:space="0" w:color="auto"/>
              <w:left w:val="single" w:sz="4" w:space="0" w:color="auto"/>
              <w:bottom w:val="single" w:sz="4" w:space="0" w:color="auto"/>
              <w:right w:val="single" w:sz="4" w:space="0" w:color="auto"/>
            </w:tcBorders>
          </w:tcPr>
          <w:p w14:paraId="5A9031F9" w14:textId="77777777" w:rsidR="0001106C" w:rsidRDefault="0001106C" w:rsidP="00F76E11">
            <w:pPr>
              <w:autoSpaceDN w:val="0"/>
              <w:spacing w:before="60"/>
              <w:ind w:left="57"/>
              <w:rPr>
                <w:rFonts w:cs="Arial"/>
                <w:color w:val="000000" w:themeColor="text1"/>
                <w:sz w:val="22"/>
                <w:szCs w:val="22"/>
              </w:rPr>
            </w:pPr>
            <w:r>
              <w:rPr>
                <w:rFonts w:cs="Arial"/>
                <w:color w:val="000000" w:themeColor="text1"/>
                <w:sz w:val="22"/>
                <w:szCs w:val="22"/>
              </w:rPr>
              <w:t>Written Statement of Action approved by Department for Education (DfE) and NHS England – to be termly monitored</w:t>
            </w:r>
          </w:p>
          <w:p w14:paraId="68DA024F" w14:textId="77777777" w:rsidR="0001106C" w:rsidRDefault="0001106C" w:rsidP="00F76E11">
            <w:pPr>
              <w:autoSpaceDN w:val="0"/>
              <w:spacing w:before="60"/>
              <w:ind w:left="57"/>
              <w:rPr>
                <w:rFonts w:cs="Arial"/>
                <w:color w:val="000000" w:themeColor="text1"/>
                <w:sz w:val="22"/>
                <w:szCs w:val="22"/>
              </w:rPr>
            </w:pPr>
          </w:p>
          <w:p w14:paraId="3D5F72E3" w14:textId="0E977D46" w:rsidR="0001106C" w:rsidRDefault="0001106C" w:rsidP="00F76E11">
            <w:pPr>
              <w:autoSpaceDN w:val="0"/>
              <w:spacing w:before="60"/>
              <w:ind w:left="57"/>
              <w:rPr>
                <w:rFonts w:cs="Arial"/>
                <w:color w:val="000000" w:themeColor="text1"/>
                <w:sz w:val="22"/>
                <w:szCs w:val="22"/>
              </w:rPr>
            </w:pPr>
            <w:r>
              <w:rPr>
                <w:rFonts w:cs="Arial"/>
                <w:color w:val="000000" w:themeColor="text1"/>
                <w:sz w:val="22"/>
                <w:szCs w:val="22"/>
              </w:rPr>
              <w:t>SEND Improvement Plan overseen by SEND Improvement Board</w:t>
            </w:r>
          </w:p>
        </w:tc>
        <w:tc>
          <w:tcPr>
            <w:tcW w:w="2348" w:type="dxa"/>
            <w:tcBorders>
              <w:top w:val="single" w:sz="4" w:space="0" w:color="auto"/>
              <w:left w:val="single" w:sz="4" w:space="0" w:color="auto"/>
              <w:bottom w:val="single" w:sz="4" w:space="0" w:color="auto"/>
              <w:right w:val="single" w:sz="4" w:space="0" w:color="auto"/>
            </w:tcBorders>
          </w:tcPr>
          <w:p w14:paraId="64ADA179" w14:textId="77777777" w:rsidR="0001106C" w:rsidRDefault="0001106C" w:rsidP="00F76E11">
            <w:pPr>
              <w:spacing w:before="60"/>
              <w:rPr>
                <w:rFonts w:cs="Arial"/>
                <w:color w:val="000000" w:themeColor="text1"/>
                <w:sz w:val="22"/>
                <w:szCs w:val="22"/>
              </w:rPr>
            </w:pPr>
            <w:r>
              <w:rPr>
                <w:rFonts w:cs="Arial"/>
                <w:color w:val="000000" w:themeColor="text1"/>
                <w:sz w:val="22"/>
                <w:szCs w:val="22"/>
              </w:rPr>
              <w:t>Director of Education</w:t>
            </w:r>
          </w:p>
          <w:p w14:paraId="74187DE3" w14:textId="77777777" w:rsidR="0001106C" w:rsidRDefault="0001106C" w:rsidP="00F76E11">
            <w:pPr>
              <w:spacing w:before="60"/>
              <w:rPr>
                <w:rFonts w:cs="Arial"/>
                <w:color w:val="000000" w:themeColor="text1"/>
                <w:sz w:val="22"/>
                <w:szCs w:val="22"/>
              </w:rPr>
            </w:pPr>
          </w:p>
          <w:p w14:paraId="6AA272FC" w14:textId="77777777" w:rsidR="0001106C" w:rsidRDefault="0001106C" w:rsidP="00F76E11">
            <w:pPr>
              <w:spacing w:before="60"/>
              <w:rPr>
                <w:rFonts w:cs="Arial"/>
                <w:color w:val="000000" w:themeColor="text1"/>
                <w:sz w:val="22"/>
                <w:szCs w:val="22"/>
              </w:rPr>
            </w:pPr>
          </w:p>
          <w:p w14:paraId="752221C2" w14:textId="77777777" w:rsidR="0001106C" w:rsidRDefault="0001106C" w:rsidP="00F76E11">
            <w:pPr>
              <w:spacing w:before="60"/>
              <w:rPr>
                <w:rFonts w:cs="Arial"/>
                <w:color w:val="000000" w:themeColor="text1"/>
                <w:sz w:val="22"/>
                <w:szCs w:val="22"/>
              </w:rPr>
            </w:pPr>
          </w:p>
          <w:p w14:paraId="11C742FD" w14:textId="3976051D" w:rsidR="0001106C" w:rsidRDefault="0001106C" w:rsidP="00F76E11">
            <w:pPr>
              <w:spacing w:before="60"/>
              <w:rPr>
                <w:rFonts w:cs="Arial"/>
                <w:color w:val="000000" w:themeColor="text1"/>
                <w:sz w:val="22"/>
                <w:szCs w:val="22"/>
              </w:rPr>
            </w:pPr>
            <w:r>
              <w:rPr>
                <w:rFonts w:cs="Arial"/>
                <w:color w:val="000000" w:themeColor="text1"/>
                <w:sz w:val="22"/>
                <w:szCs w:val="22"/>
              </w:rPr>
              <w:t>Corporate Director, Children’s &amp; Culture</w:t>
            </w:r>
          </w:p>
        </w:tc>
        <w:tc>
          <w:tcPr>
            <w:tcW w:w="1875" w:type="dxa"/>
            <w:tcBorders>
              <w:top w:val="single" w:sz="4" w:space="0" w:color="auto"/>
              <w:left w:val="single" w:sz="4" w:space="0" w:color="auto"/>
              <w:bottom w:val="single" w:sz="4" w:space="0" w:color="auto"/>
              <w:right w:val="single" w:sz="4" w:space="0" w:color="auto"/>
            </w:tcBorders>
          </w:tcPr>
          <w:p w14:paraId="7FAF0A44" w14:textId="77777777" w:rsidR="0001106C" w:rsidRDefault="0001106C" w:rsidP="00F76E11">
            <w:pPr>
              <w:autoSpaceDN w:val="0"/>
              <w:spacing w:before="60"/>
              <w:rPr>
                <w:rFonts w:cs="Arial"/>
                <w:color w:val="000000" w:themeColor="text1"/>
                <w:sz w:val="22"/>
                <w:szCs w:val="22"/>
              </w:rPr>
            </w:pPr>
            <w:r>
              <w:rPr>
                <w:rFonts w:cs="Arial"/>
                <w:color w:val="000000" w:themeColor="text1"/>
                <w:sz w:val="22"/>
                <w:szCs w:val="22"/>
              </w:rPr>
              <w:t>Termly Monitoring</w:t>
            </w:r>
          </w:p>
          <w:p w14:paraId="7929BFA5" w14:textId="77777777" w:rsidR="0001106C" w:rsidRDefault="0001106C" w:rsidP="00F76E11">
            <w:pPr>
              <w:autoSpaceDN w:val="0"/>
              <w:spacing w:before="60"/>
              <w:rPr>
                <w:rFonts w:cs="Arial"/>
                <w:color w:val="000000" w:themeColor="text1"/>
                <w:sz w:val="22"/>
                <w:szCs w:val="22"/>
              </w:rPr>
            </w:pPr>
          </w:p>
          <w:p w14:paraId="59986734" w14:textId="77777777" w:rsidR="00DC63DA" w:rsidRDefault="00DC63DA" w:rsidP="00F76E11">
            <w:pPr>
              <w:autoSpaceDN w:val="0"/>
              <w:spacing w:before="60"/>
              <w:rPr>
                <w:rFonts w:cs="Arial"/>
                <w:color w:val="000000" w:themeColor="text1"/>
                <w:sz w:val="22"/>
                <w:szCs w:val="22"/>
              </w:rPr>
            </w:pPr>
          </w:p>
          <w:p w14:paraId="24619331" w14:textId="5FB44549" w:rsidR="0001106C" w:rsidRDefault="0001106C" w:rsidP="00F76E11">
            <w:pPr>
              <w:autoSpaceDN w:val="0"/>
              <w:spacing w:before="60" w:after="120"/>
              <w:rPr>
                <w:rFonts w:cs="Arial"/>
                <w:color w:val="000000" w:themeColor="text1"/>
                <w:sz w:val="22"/>
                <w:szCs w:val="22"/>
              </w:rPr>
            </w:pPr>
            <w:r>
              <w:rPr>
                <w:rFonts w:cs="Arial"/>
                <w:color w:val="000000" w:themeColor="text1"/>
                <w:sz w:val="22"/>
                <w:szCs w:val="22"/>
              </w:rPr>
              <w:t xml:space="preserve">Ongoing – </w:t>
            </w:r>
            <w:r w:rsidR="00016E92">
              <w:rPr>
                <w:rFonts w:cs="Arial"/>
                <w:color w:val="000000" w:themeColor="text1"/>
                <w:sz w:val="22"/>
                <w:szCs w:val="22"/>
              </w:rPr>
              <w:t xml:space="preserve">      </w:t>
            </w:r>
            <w:r>
              <w:rPr>
                <w:rFonts w:cs="Arial"/>
                <w:color w:val="000000" w:themeColor="text1"/>
                <w:sz w:val="22"/>
                <w:szCs w:val="22"/>
              </w:rPr>
              <w:t>bi</w:t>
            </w:r>
            <w:r w:rsidR="00016E92">
              <w:rPr>
                <w:rFonts w:cs="Arial"/>
                <w:color w:val="000000" w:themeColor="text1"/>
                <w:sz w:val="22"/>
                <w:szCs w:val="22"/>
              </w:rPr>
              <w:t>-</w:t>
            </w:r>
            <w:r>
              <w:rPr>
                <w:rFonts w:cs="Arial"/>
                <w:color w:val="000000" w:themeColor="text1"/>
                <w:sz w:val="22"/>
                <w:szCs w:val="22"/>
              </w:rPr>
              <w:t>monthly throughout 2022/23</w:t>
            </w:r>
          </w:p>
        </w:tc>
      </w:tr>
      <w:tr w:rsidR="0001106C" w:rsidRPr="00160BA6" w14:paraId="0F78300E" w14:textId="77777777" w:rsidTr="006F6034">
        <w:trPr>
          <w:jc w:val="center"/>
        </w:trPr>
        <w:tc>
          <w:tcPr>
            <w:tcW w:w="675" w:type="dxa"/>
          </w:tcPr>
          <w:p w14:paraId="7E136E08" w14:textId="150E1C33" w:rsidR="0001106C" w:rsidRPr="00160BA6" w:rsidRDefault="00187EAB" w:rsidP="00F76E11">
            <w:pPr>
              <w:spacing w:before="60"/>
              <w:rPr>
                <w:rFonts w:cs="Arial"/>
                <w:color w:val="000000" w:themeColor="text1"/>
                <w:sz w:val="22"/>
                <w:szCs w:val="22"/>
              </w:rPr>
            </w:pPr>
            <w:r>
              <w:rPr>
                <w:rFonts w:cs="Arial"/>
                <w:color w:val="000000" w:themeColor="text1"/>
                <w:sz w:val="22"/>
                <w:szCs w:val="22"/>
              </w:rPr>
              <w:t>6</w:t>
            </w:r>
          </w:p>
        </w:tc>
        <w:tc>
          <w:tcPr>
            <w:tcW w:w="4631" w:type="dxa"/>
            <w:tcBorders>
              <w:top w:val="single" w:sz="4" w:space="0" w:color="auto"/>
              <w:left w:val="single" w:sz="4" w:space="0" w:color="auto"/>
              <w:bottom w:val="single" w:sz="4" w:space="0" w:color="auto"/>
              <w:right w:val="single" w:sz="4" w:space="0" w:color="auto"/>
            </w:tcBorders>
          </w:tcPr>
          <w:p w14:paraId="639F6BC6" w14:textId="622E13E3" w:rsidR="0001106C" w:rsidRDefault="0001106C" w:rsidP="00F76E11">
            <w:pPr>
              <w:spacing w:before="60"/>
              <w:rPr>
                <w:color w:val="000000" w:themeColor="text1"/>
                <w:sz w:val="22"/>
                <w:szCs w:val="22"/>
              </w:rPr>
            </w:pPr>
            <w:r>
              <w:rPr>
                <w:color w:val="000000" w:themeColor="text1"/>
                <w:sz w:val="22"/>
                <w:szCs w:val="22"/>
              </w:rPr>
              <w:t>King George Fields Trust – Charities Commission investigation into delayed submission of accounts – continued action to submit accounts and annual report in a timely manner.</w:t>
            </w:r>
          </w:p>
          <w:p w14:paraId="0AAC9269" w14:textId="77777777" w:rsidR="0001106C" w:rsidRDefault="0001106C" w:rsidP="00F76E11">
            <w:pPr>
              <w:spacing w:before="60"/>
              <w:ind w:left="57"/>
              <w:rPr>
                <w:color w:val="000000" w:themeColor="text1"/>
                <w:sz w:val="22"/>
                <w:szCs w:val="22"/>
              </w:rPr>
            </w:pPr>
          </w:p>
          <w:p w14:paraId="4A711627" w14:textId="398C245D" w:rsidR="0001106C" w:rsidRPr="00160BA6" w:rsidRDefault="0001106C" w:rsidP="00F76E11">
            <w:pPr>
              <w:spacing w:before="60" w:after="120"/>
              <w:rPr>
                <w:rFonts w:cs="Arial"/>
                <w:bCs/>
                <w:color w:val="000000" w:themeColor="text1"/>
                <w:sz w:val="22"/>
                <w:szCs w:val="22"/>
              </w:rPr>
            </w:pPr>
            <w:r>
              <w:rPr>
                <w:rFonts w:cs="Arial"/>
                <w:color w:val="000000" w:themeColor="text1"/>
                <w:sz w:val="22"/>
                <w:szCs w:val="22"/>
              </w:rPr>
              <w:t>2020/21 accounts and annual report on track to file by July 2022, however, notification this will be late, with Charities Commission aware of progress.</w:t>
            </w:r>
          </w:p>
        </w:tc>
        <w:tc>
          <w:tcPr>
            <w:tcW w:w="4645" w:type="dxa"/>
            <w:tcBorders>
              <w:top w:val="single" w:sz="4" w:space="0" w:color="auto"/>
              <w:left w:val="single" w:sz="4" w:space="0" w:color="auto"/>
              <w:bottom w:val="single" w:sz="4" w:space="0" w:color="auto"/>
              <w:right w:val="single" w:sz="4" w:space="0" w:color="auto"/>
            </w:tcBorders>
          </w:tcPr>
          <w:p w14:paraId="7E6A9720" w14:textId="18AF65FA" w:rsidR="0001106C" w:rsidRDefault="0001106C" w:rsidP="00F76E11">
            <w:pPr>
              <w:spacing w:before="60"/>
              <w:rPr>
                <w:rFonts w:cs="Arial"/>
                <w:color w:val="000000" w:themeColor="text1"/>
                <w:sz w:val="22"/>
                <w:szCs w:val="22"/>
                <w:lang w:val="en-US"/>
              </w:rPr>
            </w:pPr>
            <w:r>
              <w:rPr>
                <w:rFonts w:cs="Arial"/>
                <w:color w:val="000000" w:themeColor="text1"/>
                <w:sz w:val="22"/>
                <w:szCs w:val="22"/>
                <w:lang w:val="en-US"/>
              </w:rPr>
              <w:t>Urgent resolution of 2020/21 accounts and annual report.</w:t>
            </w:r>
          </w:p>
          <w:p w14:paraId="1BE7DCF2" w14:textId="77777777" w:rsidR="00BF0F9E" w:rsidRDefault="00BF0F9E" w:rsidP="00F76E11">
            <w:pPr>
              <w:spacing w:before="60"/>
              <w:rPr>
                <w:rFonts w:cs="Arial"/>
                <w:color w:val="000000" w:themeColor="text1"/>
                <w:sz w:val="22"/>
                <w:szCs w:val="22"/>
                <w:lang w:val="en-US"/>
              </w:rPr>
            </w:pPr>
          </w:p>
          <w:p w14:paraId="7901DEFC" w14:textId="3DE1C0D4" w:rsidR="0001106C" w:rsidRPr="00160BA6" w:rsidRDefault="00BF0F9E" w:rsidP="00F76E11">
            <w:pPr>
              <w:spacing w:before="60"/>
              <w:rPr>
                <w:rFonts w:cs="Arial"/>
                <w:color w:val="000000" w:themeColor="text1"/>
                <w:sz w:val="22"/>
                <w:szCs w:val="22"/>
              </w:rPr>
            </w:pPr>
            <w:r>
              <w:rPr>
                <w:rFonts w:cs="Arial"/>
                <w:color w:val="000000" w:themeColor="text1"/>
                <w:sz w:val="22"/>
                <w:szCs w:val="22"/>
                <w:lang w:val="en-US"/>
              </w:rPr>
              <w:t>Completion of review of</w:t>
            </w:r>
            <w:r w:rsidR="00BF1A83">
              <w:rPr>
                <w:rFonts w:cs="Arial"/>
                <w:color w:val="000000" w:themeColor="text1"/>
                <w:sz w:val="22"/>
                <w:szCs w:val="22"/>
                <w:lang w:val="en-US"/>
              </w:rPr>
              <w:t xml:space="preserve"> governance arrangements.</w:t>
            </w:r>
          </w:p>
        </w:tc>
        <w:tc>
          <w:tcPr>
            <w:tcW w:w="2348" w:type="dxa"/>
            <w:tcBorders>
              <w:top w:val="single" w:sz="4" w:space="0" w:color="auto"/>
              <w:left w:val="single" w:sz="4" w:space="0" w:color="auto"/>
              <w:bottom w:val="single" w:sz="4" w:space="0" w:color="auto"/>
              <w:right w:val="single" w:sz="4" w:space="0" w:color="auto"/>
            </w:tcBorders>
          </w:tcPr>
          <w:p w14:paraId="386ED737" w14:textId="692F99D9" w:rsidR="0001106C" w:rsidRPr="00160BA6" w:rsidRDefault="0001106C" w:rsidP="00F76E11">
            <w:pPr>
              <w:spacing w:before="60"/>
              <w:rPr>
                <w:rFonts w:cs="Arial"/>
                <w:color w:val="000000" w:themeColor="text1"/>
                <w:sz w:val="22"/>
                <w:szCs w:val="22"/>
              </w:rPr>
            </w:pPr>
            <w:r>
              <w:rPr>
                <w:rFonts w:cs="Arial"/>
                <w:color w:val="000000" w:themeColor="text1"/>
                <w:sz w:val="22"/>
                <w:szCs w:val="22"/>
              </w:rPr>
              <w:t>Director of Commissioning &amp; Culture</w:t>
            </w:r>
          </w:p>
        </w:tc>
        <w:tc>
          <w:tcPr>
            <w:tcW w:w="1875" w:type="dxa"/>
            <w:tcBorders>
              <w:top w:val="single" w:sz="4" w:space="0" w:color="auto"/>
              <w:left w:val="single" w:sz="4" w:space="0" w:color="auto"/>
              <w:bottom w:val="single" w:sz="4" w:space="0" w:color="auto"/>
              <w:right w:val="single" w:sz="4" w:space="0" w:color="auto"/>
            </w:tcBorders>
          </w:tcPr>
          <w:p w14:paraId="41EF2C02" w14:textId="3B308BA6" w:rsidR="0001106C" w:rsidRPr="00160BA6" w:rsidRDefault="00BF1A83" w:rsidP="00F76E11">
            <w:pPr>
              <w:autoSpaceDN w:val="0"/>
              <w:spacing w:before="60"/>
              <w:rPr>
                <w:rFonts w:cs="Arial"/>
                <w:color w:val="000000" w:themeColor="text1"/>
                <w:sz w:val="22"/>
                <w:szCs w:val="22"/>
              </w:rPr>
            </w:pPr>
            <w:r>
              <w:rPr>
                <w:rFonts w:cs="Arial"/>
                <w:color w:val="000000" w:themeColor="text1"/>
                <w:sz w:val="22"/>
                <w:szCs w:val="22"/>
              </w:rPr>
              <w:t>J</w:t>
            </w:r>
            <w:r w:rsidR="0001106C">
              <w:rPr>
                <w:rFonts w:cs="Arial"/>
                <w:color w:val="000000" w:themeColor="text1"/>
                <w:sz w:val="22"/>
                <w:szCs w:val="22"/>
              </w:rPr>
              <w:t>uly 2022</w:t>
            </w:r>
          </w:p>
        </w:tc>
      </w:tr>
      <w:tr w:rsidR="00752B60" w:rsidRPr="00160BA6" w14:paraId="1A7BEC19" w14:textId="77777777" w:rsidTr="006F6034">
        <w:trPr>
          <w:jc w:val="center"/>
        </w:trPr>
        <w:tc>
          <w:tcPr>
            <w:tcW w:w="675" w:type="dxa"/>
          </w:tcPr>
          <w:p w14:paraId="55CD6B06" w14:textId="53BFFBBD" w:rsidR="00752B60" w:rsidRPr="00F76E11" w:rsidRDefault="00211C4C" w:rsidP="00C40A43">
            <w:pPr>
              <w:spacing w:before="60"/>
              <w:rPr>
                <w:rFonts w:cs="Arial"/>
                <w:color w:val="000000" w:themeColor="text1"/>
                <w:sz w:val="22"/>
                <w:szCs w:val="22"/>
              </w:rPr>
            </w:pPr>
            <w:r>
              <w:rPr>
                <w:rFonts w:cs="Arial"/>
                <w:color w:val="000000" w:themeColor="text1"/>
                <w:sz w:val="22"/>
                <w:szCs w:val="22"/>
              </w:rPr>
              <w:t>7</w:t>
            </w:r>
          </w:p>
        </w:tc>
        <w:tc>
          <w:tcPr>
            <w:tcW w:w="4631" w:type="dxa"/>
            <w:tcBorders>
              <w:top w:val="single" w:sz="4" w:space="0" w:color="auto"/>
              <w:left w:val="single" w:sz="4" w:space="0" w:color="auto"/>
              <w:bottom w:val="single" w:sz="4" w:space="0" w:color="auto"/>
              <w:right w:val="single" w:sz="4" w:space="0" w:color="auto"/>
            </w:tcBorders>
          </w:tcPr>
          <w:p w14:paraId="403D7AB4" w14:textId="77777777" w:rsidR="00752B60" w:rsidRPr="00F76E11" w:rsidRDefault="00752B60" w:rsidP="00C40A43">
            <w:pPr>
              <w:spacing w:before="60"/>
              <w:rPr>
                <w:rFonts w:cs="Arial"/>
                <w:color w:val="000000" w:themeColor="text1"/>
                <w:sz w:val="22"/>
                <w:szCs w:val="22"/>
              </w:rPr>
            </w:pPr>
            <w:r w:rsidRPr="00F76E11">
              <w:rPr>
                <w:rFonts w:cs="Arial"/>
                <w:color w:val="000000" w:themeColor="text1"/>
                <w:sz w:val="22"/>
                <w:szCs w:val="22"/>
              </w:rPr>
              <w:t xml:space="preserve">Contemporaneously acknowledged (rather than in the earlier drafts of this document), </w:t>
            </w:r>
            <w:r w:rsidRPr="00F76E11">
              <w:rPr>
                <w:rFonts w:cs="Arial"/>
                <w:color w:val="000000" w:themeColor="text1"/>
                <w:sz w:val="22"/>
                <w:szCs w:val="22"/>
              </w:rPr>
              <w:lastRenderedPageBreak/>
              <w:t>an audit of Risk Management in 2019/20 identified that whilst the framework, strategy and procedures were well documented, directorate and service level compliance with the procedures was variable. The audit also found that, for the Corporate Risk Register, there was insufficient management review and challenge by the Corporate Leadership Team.</w:t>
            </w:r>
          </w:p>
          <w:p w14:paraId="448FA011" w14:textId="3CBED925" w:rsidR="00752B60" w:rsidRPr="00F76E11" w:rsidRDefault="00752B60" w:rsidP="0061519B">
            <w:pPr>
              <w:spacing w:before="60"/>
              <w:rPr>
                <w:rFonts w:cs="Arial"/>
                <w:bCs/>
                <w:color w:val="000000" w:themeColor="text1"/>
                <w:sz w:val="22"/>
                <w:szCs w:val="22"/>
              </w:rPr>
            </w:pPr>
          </w:p>
        </w:tc>
        <w:tc>
          <w:tcPr>
            <w:tcW w:w="4645" w:type="dxa"/>
            <w:tcBorders>
              <w:top w:val="single" w:sz="4" w:space="0" w:color="auto"/>
              <w:left w:val="single" w:sz="4" w:space="0" w:color="auto"/>
              <w:bottom w:val="single" w:sz="4" w:space="0" w:color="auto"/>
              <w:right w:val="single" w:sz="4" w:space="0" w:color="auto"/>
            </w:tcBorders>
          </w:tcPr>
          <w:p w14:paraId="54FC92AD" w14:textId="13027B16" w:rsidR="00752B60" w:rsidRPr="00BD6EE8" w:rsidRDefault="00906DA5" w:rsidP="00FB68DA">
            <w:pPr>
              <w:autoSpaceDN w:val="0"/>
              <w:spacing w:before="60" w:after="120"/>
              <w:rPr>
                <w:rFonts w:cs="Arial"/>
                <w:color w:val="000000" w:themeColor="text1"/>
                <w:sz w:val="22"/>
                <w:szCs w:val="22"/>
              </w:rPr>
            </w:pPr>
            <w:r w:rsidRPr="00BD6EE8">
              <w:rPr>
                <w:sz w:val="22"/>
                <w:szCs w:val="22"/>
              </w:rPr>
              <w:lastRenderedPageBreak/>
              <w:t xml:space="preserve">At the </w:t>
            </w:r>
            <w:r w:rsidR="0054229F" w:rsidRPr="00BD6EE8">
              <w:rPr>
                <w:sz w:val="22"/>
                <w:szCs w:val="22"/>
              </w:rPr>
              <w:t xml:space="preserve">update </w:t>
            </w:r>
            <w:r w:rsidRPr="00BD6EE8">
              <w:rPr>
                <w:sz w:val="22"/>
                <w:szCs w:val="22"/>
              </w:rPr>
              <w:t xml:space="preserve">provided to Audit Committee, in November 2022, it was stated that some </w:t>
            </w:r>
            <w:r w:rsidRPr="00BD6EE8">
              <w:rPr>
                <w:sz w:val="22"/>
                <w:szCs w:val="22"/>
              </w:rPr>
              <w:lastRenderedPageBreak/>
              <w:t xml:space="preserve">progress had been made in identification and review of risks, but also that some of the underlying processes that underpin a robust risk register </w:t>
            </w:r>
            <w:r w:rsidR="00BD6EE8" w:rsidRPr="00BD6EE8">
              <w:rPr>
                <w:sz w:val="22"/>
                <w:szCs w:val="22"/>
              </w:rPr>
              <w:t>require further work.</w:t>
            </w:r>
          </w:p>
        </w:tc>
        <w:tc>
          <w:tcPr>
            <w:tcW w:w="2348" w:type="dxa"/>
            <w:tcBorders>
              <w:top w:val="single" w:sz="4" w:space="0" w:color="auto"/>
              <w:left w:val="single" w:sz="4" w:space="0" w:color="auto"/>
              <w:bottom w:val="single" w:sz="4" w:space="0" w:color="auto"/>
              <w:right w:val="single" w:sz="4" w:space="0" w:color="auto"/>
            </w:tcBorders>
          </w:tcPr>
          <w:p w14:paraId="7893E344" w14:textId="44A8723E" w:rsidR="00752B60" w:rsidRPr="00F76E11" w:rsidRDefault="00906DA5" w:rsidP="00C40A43">
            <w:pPr>
              <w:spacing w:before="60"/>
              <w:ind w:left="57"/>
              <w:rPr>
                <w:rFonts w:cs="Arial"/>
                <w:color w:val="000000" w:themeColor="text1"/>
                <w:sz w:val="22"/>
                <w:szCs w:val="22"/>
              </w:rPr>
            </w:pPr>
            <w:r w:rsidRPr="00F76E11">
              <w:rPr>
                <w:rFonts w:cs="Arial"/>
                <w:color w:val="000000" w:themeColor="text1"/>
                <w:sz w:val="22"/>
                <w:szCs w:val="22"/>
              </w:rPr>
              <w:lastRenderedPageBreak/>
              <w:t>Head of Audit, Anti</w:t>
            </w:r>
            <w:r w:rsidR="00211C4C">
              <w:rPr>
                <w:rFonts w:cs="Arial"/>
                <w:color w:val="000000" w:themeColor="text1"/>
                <w:sz w:val="22"/>
                <w:szCs w:val="22"/>
              </w:rPr>
              <w:t>-</w:t>
            </w:r>
            <w:r w:rsidR="00211C4C" w:rsidRPr="00F76E11">
              <w:rPr>
                <w:rFonts w:cs="Arial"/>
                <w:color w:val="000000" w:themeColor="text1"/>
                <w:sz w:val="22"/>
                <w:szCs w:val="22"/>
              </w:rPr>
              <w:t>fraud,</w:t>
            </w:r>
            <w:r w:rsidRPr="00F76E11">
              <w:rPr>
                <w:rFonts w:cs="Arial"/>
                <w:color w:val="000000" w:themeColor="text1"/>
                <w:sz w:val="22"/>
                <w:szCs w:val="22"/>
              </w:rPr>
              <w:t xml:space="preserve"> and Risk</w:t>
            </w:r>
          </w:p>
        </w:tc>
        <w:tc>
          <w:tcPr>
            <w:tcW w:w="1875" w:type="dxa"/>
            <w:tcBorders>
              <w:top w:val="single" w:sz="4" w:space="0" w:color="auto"/>
              <w:left w:val="single" w:sz="4" w:space="0" w:color="auto"/>
              <w:bottom w:val="single" w:sz="4" w:space="0" w:color="auto"/>
              <w:right w:val="single" w:sz="4" w:space="0" w:color="auto"/>
            </w:tcBorders>
          </w:tcPr>
          <w:p w14:paraId="5C82A189" w14:textId="4EFA7836" w:rsidR="00752B60" w:rsidRPr="00F76E11" w:rsidRDefault="00402606" w:rsidP="00C40A43">
            <w:pPr>
              <w:spacing w:before="60"/>
              <w:ind w:left="57"/>
              <w:rPr>
                <w:rFonts w:cs="Arial"/>
                <w:color w:val="000000" w:themeColor="text1"/>
                <w:sz w:val="22"/>
                <w:szCs w:val="22"/>
              </w:rPr>
            </w:pPr>
            <w:r>
              <w:rPr>
                <w:rFonts w:cs="Arial"/>
                <w:color w:val="000000" w:themeColor="text1"/>
                <w:sz w:val="22"/>
                <w:szCs w:val="22"/>
              </w:rPr>
              <w:t>Ongoing</w:t>
            </w:r>
          </w:p>
        </w:tc>
      </w:tr>
      <w:tr w:rsidR="00704F65" w:rsidRPr="00160BA6" w14:paraId="2D86B344" w14:textId="77777777" w:rsidTr="006F6034">
        <w:trPr>
          <w:jc w:val="center"/>
        </w:trPr>
        <w:tc>
          <w:tcPr>
            <w:tcW w:w="675" w:type="dxa"/>
          </w:tcPr>
          <w:p w14:paraId="62787045" w14:textId="563F5E70" w:rsidR="00704F65" w:rsidRDefault="00704F65" w:rsidP="00704F65">
            <w:pPr>
              <w:spacing w:before="60"/>
              <w:rPr>
                <w:rFonts w:cs="Arial"/>
                <w:color w:val="000000" w:themeColor="text1"/>
                <w:sz w:val="22"/>
                <w:szCs w:val="22"/>
              </w:rPr>
            </w:pPr>
            <w:r>
              <w:rPr>
                <w:rFonts w:cs="Arial"/>
                <w:color w:val="000000" w:themeColor="text1"/>
                <w:sz w:val="22"/>
                <w:szCs w:val="22"/>
              </w:rPr>
              <w:t>8</w:t>
            </w:r>
          </w:p>
        </w:tc>
        <w:tc>
          <w:tcPr>
            <w:tcW w:w="4631" w:type="dxa"/>
            <w:tcBorders>
              <w:top w:val="single" w:sz="4" w:space="0" w:color="auto"/>
              <w:left w:val="single" w:sz="4" w:space="0" w:color="auto"/>
              <w:bottom w:val="single" w:sz="4" w:space="0" w:color="auto"/>
              <w:right w:val="single" w:sz="4" w:space="0" w:color="auto"/>
            </w:tcBorders>
          </w:tcPr>
          <w:p w14:paraId="7C3869FB" w14:textId="77777777" w:rsidR="00704F65" w:rsidRPr="0061519B" w:rsidRDefault="00704F65" w:rsidP="00704F65">
            <w:pPr>
              <w:spacing w:before="60" w:after="60"/>
              <w:ind w:left="51"/>
              <w:rPr>
                <w:sz w:val="22"/>
                <w:szCs w:val="22"/>
              </w:rPr>
            </w:pPr>
            <w:r w:rsidRPr="0061519B">
              <w:rPr>
                <w:rFonts w:cs="Arial"/>
                <w:sz w:val="22"/>
                <w:szCs w:val="22"/>
              </w:rPr>
              <w:t>In line with best practice set out in CIPFA Bulletin 16 (</w:t>
            </w:r>
            <w:r w:rsidRPr="0061519B">
              <w:rPr>
                <w:rFonts w:eastAsiaTheme="minorHAnsi" w:cs="Arial"/>
                <w:sz w:val="22"/>
                <w:szCs w:val="22"/>
              </w:rPr>
              <w:t xml:space="preserve">Local audit delays and the publication of the </w:t>
            </w:r>
            <w:r w:rsidRPr="0061519B">
              <w:rPr>
                <w:rFonts w:cs="Arial"/>
                <w:sz w:val="22"/>
                <w:szCs w:val="22"/>
              </w:rPr>
              <w:t>A</w:t>
            </w:r>
            <w:r w:rsidRPr="0061519B">
              <w:rPr>
                <w:rFonts w:eastAsiaTheme="minorHAnsi"/>
                <w:sz w:val="22"/>
                <w:szCs w:val="22"/>
              </w:rPr>
              <w:t>GS</w:t>
            </w:r>
            <w:r w:rsidRPr="0061519B">
              <w:rPr>
                <w:rFonts w:cs="Arial"/>
                <w:sz w:val="22"/>
                <w:szCs w:val="22"/>
              </w:rPr>
              <w:t>)</w:t>
            </w:r>
            <w:r w:rsidRPr="0061519B">
              <w:rPr>
                <w:sz w:val="22"/>
                <w:szCs w:val="22"/>
              </w:rPr>
              <w:t>,</w:t>
            </w:r>
            <w:r w:rsidRPr="0061519B">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rsidRPr="0061519B">
              <w:rPr>
                <w:sz w:val="22"/>
                <w:szCs w:val="22"/>
              </w:rPr>
              <w:t xml:space="preserve">only </w:t>
            </w:r>
            <w:r w:rsidRPr="0061519B">
              <w:rPr>
                <w:rFonts w:cs="Arial"/>
                <w:sz w:val="22"/>
                <w:szCs w:val="22"/>
              </w:rPr>
              <w:t>became aware of at a later date.</w:t>
            </w:r>
          </w:p>
          <w:p w14:paraId="1B46AEC2" w14:textId="6F4DA3EC" w:rsidR="00704F65" w:rsidRPr="0061519B" w:rsidRDefault="00704F65" w:rsidP="00704F65">
            <w:pPr>
              <w:spacing w:before="60"/>
              <w:ind w:left="53"/>
              <w:rPr>
                <w:rFonts w:cs="Arial"/>
                <w:sz w:val="22"/>
                <w:szCs w:val="22"/>
              </w:rPr>
            </w:pPr>
            <w:r w:rsidRPr="0061519B">
              <w:rPr>
                <w:rFonts w:cs="Arial"/>
                <w:sz w:val="22"/>
                <w:szCs w:val="22"/>
              </w:rPr>
              <w:t xml:space="preserve">During 2023/24, </w:t>
            </w:r>
            <w:r w:rsidRPr="0061519B">
              <w:rPr>
                <w:sz w:val="22"/>
                <w:szCs w:val="22"/>
              </w:rPr>
              <w:t>several</w:t>
            </w:r>
            <w:r w:rsidRPr="0061519B">
              <w:rPr>
                <w:rFonts w:cs="Arial"/>
                <w:sz w:val="22"/>
                <w:szCs w:val="22"/>
              </w:rPr>
              <w:t xml:space="preserve"> issues </w:t>
            </w:r>
            <w:r w:rsidRPr="0061519B">
              <w:rPr>
                <w:sz w:val="22"/>
                <w:szCs w:val="22"/>
              </w:rPr>
              <w:t>came to light</w:t>
            </w:r>
            <w:r w:rsidRPr="0061519B">
              <w:rPr>
                <w:rFonts w:cs="Arial"/>
                <w:sz w:val="22"/>
                <w:szCs w:val="22"/>
              </w:rPr>
              <w:t xml:space="preserve"> concerning a multi-party Homecare contract that had been in operation from 2017 onwards. These concerned systemic failures and </w:t>
            </w:r>
            <w:r w:rsidRPr="0061519B">
              <w:rPr>
                <w:sz w:val="22"/>
                <w:szCs w:val="22"/>
              </w:rPr>
              <w:t>irregularities</w:t>
            </w:r>
            <w:r w:rsidRPr="0061519B">
              <w:rPr>
                <w:rFonts w:cs="Arial"/>
                <w:sz w:val="22"/>
                <w:szCs w:val="22"/>
              </w:rPr>
              <w:t xml:space="preserve"> in relation </w:t>
            </w:r>
            <w:r w:rsidR="00A52BCA">
              <w:rPr>
                <w:rFonts w:cs="Arial"/>
                <w:sz w:val="22"/>
                <w:szCs w:val="22"/>
              </w:rPr>
              <w:t xml:space="preserve">to </w:t>
            </w:r>
            <w:r w:rsidRPr="0061519B">
              <w:rPr>
                <w:rFonts w:cs="Arial"/>
                <w:sz w:val="22"/>
                <w:szCs w:val="22"/>
              </w:rPr>
              <w:t xml:space="preserve">supplier oversight, </w:t>
            </w:r>
            <w:r w:rsidRPr="0061519B">
              <w:rPr>
                <w:rFonts w:cs="Arial"/>
                <w:sz w:val="22"/>
                <w:szCs w:val="22"/>
                <w:lang w:eastAsia="en-US"/>
              </w:rPr>
              <w:t>supply chain management</w:t>
            </w:r>
            <w:r w:rsidRPr="0061519B">
              <w:rPr>
                <w:rFonts w:cs="Arial"/>
                <w:sz w:val="22"/>
                <w:szCs w:val="22"/>
              </w:rPr>
              <w:t>, payments to suppliers</w:t>
            </w:r>
            <w:r w:rsidRPr="0061519B">
              <w:rPr>
                <w:rFonts w:cs="Arial"/>
                <w:sz w:val="22"/>
                <w:szCs w:val="22"/>
                <w:lang w:eastAsia="en-US"/>
              </w:rPr>
              <w:t xml:space="preserve"> and procurement processes</w:t>
            </w:r>
            <w:r w:rsidRPr="0061519B">
              <w:rPr>
                <w:rFonts w:cs="Arial"/>
                <w:sz w:val="22"/>
                <w:szCs w:val="22"/>
              </w:rPr>
              <w:t xml:space="preserve">. </w:t>
            </w:r>
          </w:p>
          <w:p w14:paraId="4177FC8E" w14:textId="77777777" w:rsidR="00704F65" w:rsidRPr="0061519B" w:rsidRDefault="00704F65" w:rsidP="00704F65">
            <w:pPr>
              <w:spacing w:before="60"/>
              <w:rPr>
                <w:rFonts w:cs="Arial"/>
                <w:color w:val="000000" w:themeColor="text1"/>
                <w:sz w:val="22"/>
                <w:szCs w:val="22"/>
              </w:rPr>
            </w:pPr>
          </w:p>
        </w:tc>
        <w:tc>
          <w:tcPr>
            <w:tcW w:w="4645" w:type="dxa"/>
            <w:tcBorders>
              <w:top w:val="single" w:sz="4" w:space="0" w:color="auto"/>
              <w:left w:val="single" w:sz="4" w:space="0" w:color="auto"/>
              <w:bottom w:val="single" w:sz="4" w:space="0" w:color="auto"/>
              <w:right w:val="single" w:sz="4" w:space="0" w:color="auto"/>
            </w:tcBorders>
          </w:tcPr>
          <w:p w14:paraId="01AB0399" w14:textId="77777777" w:rsidR="00704F65" w:rsidRPr="0061519B" w:rsidRDefault="00704F65" w:rsidP="00704F65">
            <w:pPr>
              <w:pStyle w:val="TableParagraph"/>
              <w:spacing w:before="60" w:after="60"/>
              <w:ind w:left="108"/>
              <w:rPr>
                <w:bCs/>
              </w:rPr>
            </w:pPr>
            <w:r w:rsidRPr="0061519B">
              <w:rPr>
                <w:bCs/>
              </w:rPr>
              <w:t>This matter is currently the subject of a detailed investigation and the Council intends to report its outcome to a public meeting as soon as it is available.</w:t>
            </w:r>
          </w:p>
          <w:p w14:paraId="18B5C420" w14:textId="77777777" w:rsidR="00704F65" w:rsidRPr="0061519B" w:rsidRDefault="00704F65" w:rsidP="00704F65">
            <w:pPr>
              <w:pStyle w:val="TableParagraph"/>
              <w:spacing w:before="60" w:after="60"/>
              <w:ind w:left="108"/>
              <w:rPr>
                <w:bCs/>
              </w:rPr>
            </w:pPr>
            <w:r w:rsidRPr="0061519B">
              <w:rPr>
                <w:bCs/>
              </w:rPr>
              <w:t>Concurrently, work is underway to transform the Council’s procurement function and related supplier management practices, including for example:</w:t>
            </w:r>
          </w:p>
          <w:p w14:paraId="1031B44E" w14:textId="77777777" w:rsidR="00704F65" w:rsidRPr="0061519B" w:rsidRDefault="00704F65" w:rsidP="00226C1E">
            <w:pPr>
              <w:pStyle w:val="ListParagraph"/>
              <w:numPr>
                <w:ilvl w:val="0"/>
                <w:numId w:val="10"/>
              </w:numPr>
              <w:suppressAutoHyphens w:val="0"/>
              <w:autoSpaceDN/>
              <w:spacing w:after="120"/>
              <w:ind w:left="380" w:hanging="284"/>
              <w:rPr>
                <w:sz w:val="22"/>
                <w:szCs w:val="22"/>
              </w:rPr>
            </w:pPr>
            <w:r w:rsidRPr="0061519B">
              <w:rPr>
                <w:sz w:val="22"/>
                <w:szCs w:val="22"/>
              </w:rPr>
              <w:t>Revised</w:t>
            </w:r>
            <w:r w:rsidRPr="0061519B">
              <w:rPr>
                <w:rFonts w:eastAsia="Arial"/>
                <w:sz w:val="22"/>
                <w:szCs w:val="22"/>
              </w:rPr>
              <w:t xml:space="preserve"> procurement standing orders and procedures will mandate a quarterly review of new contracts by key suppliers' financial positions to mitigate the risk of supplier failure</w:t>
            </w:r>
          </w:p>
          <w:p w14:paraId="5DDED30D" w14:textId="77777777" w:rsidR="00704F65" w:rsidRPr="0061519B" w:rsidRDefault="00704F65" w:rsidP="00226C1E">
            <w:pPr>
              <w:pStyle w:val="ListParagraph"/>
              <w:numPr>
                <w:ilvl w:val="0"/>
                <w:numId w:val="10"/>
              </w:numPr>
              <w:suppressAutoHyphens w:val="0"/>
              <w:autoSpaceDN/>
              <w:spacing w:after="120"/>
              <w:ind w:left="380" w:hanging="284"/>
              <w:rPr>
                <w:sz w:val="22"/>
                <w:szCs w:val="22"/>
              </w:rPr>
            </w:pPr>
            <w:r w:rsidRPr="0061519B">
              <w:rPr>
                <w:sz w:val="22"/>
                <w:szCs w:val="22"/>
              </w:rPr>
              <w:t>C</w:t>
            </w:r>
            <w:r w:rsidRPr="0061519B">
              <w:rPr>
                <w:rFonts w:eastAsia="Arial"/>
                <w:sz w:val="22"/>
                <w:szCs w:val="22"/>
              </w:rPr>
              <w:t>ontracts will be monitored monthly to ensure there is no risk of exceeding the agreed contract value</w:t>
            </w:r>
          </w:p>
          <w:p w14:paraId="485374D6" w14:textId="77777777" w:rsidR="00704F65" w:rsidRDefault="00704F65" w:rsidP="00226C1E">
            <w:pPr>
              <w:pStyle w:val="ListParagraph"/>
              <w:numPr>
                <w:ilvl w:val="0"/>
                <w:numId w:val="10"/>
              </w:numPr>
              <w:suppressAutoHyphens w:val="0"/>
              <w:autoSpaceDN/>
              <w:spacing w:after="120"/>
              <w:ind w:left="380" w:hanging="284"/>
              <w:rPr>
                <w:rFonts w:eastAsia="Arial"/>
                <w:sz w:val="22"/>
                <w:szCs w:val="22"/>
              </w:rPr>
            </w:pPr>
            <w:r w:rsidRPr="0061519B">
              <w:rPr>
                <w:rFonts w:eastAsia="Arial"/>
                <w:sz w:val="22"/>
                <w:szCs w:val="22"/>
              </w:rPr>
              <w:t xml:space="preserve">A new management system, a brokerage data retrieval and reporting regime will </w:t>
            </w:r>
            <w:r w:rsidRPr="0061519B">
              <w:rPr>
                <w:rFonts w:eastAsia="Arial"/>
                <w:sz w:val="22"/>
                <w:szCs w:val="22"/>
              </w:rPr>
              <w:lastRenderedPageBreak/>
              <w:t>allow</w:t>
            </w:r>
            <w:r w:rsidRPr="0061519B">
              <w:rPr>
                <w:sz w:val="22"/>
                <w:szCs w:val="22"/>
              </w:rPr>
              <w:t xml:space="preserve"> the </w:t>
            </w:r>
            <w:r w:rsidRPr="0061519B">
              <w:rPr>
                <w:rFonts w:eastAsia="Arial"/>
                <w:sz w:val="22"/>
                <w:szCs w:val="22"/>
              </w:rPr>
              <w:t xml:space="preserve">Commissioning &amp; Brokerage </w:t>
            </w:r>
            <w:r w:rsidRPr="0061519B">
              <w:rPr>
                <w:sz w:val="22"/>
                <w:szCs w:val="22"/>
              </w:rPr>
              <w:t xml:space="preserve">service </w:t>
            </w:r>
            <w:r w:rsidRPr="0061519B">
              <w:rPr>
                <w:rFonts w:eastAsia="Arial"/>
                <w:sz w:val="22"/>
                <w:szCs w:val="22"/>
              </w:rPr>
              <w:t xml:space="preserve">to regularly review and monitor weekly allocation of </w:t>
            </w:r>
            <w:r w:rsidRPr="0061519B">
              <w:rPr>
                <w:sz w:val="22"/>
                <w:szCs w:val="22"/>
              </w:rPr>
              <w:t xml:space="preserve">work </w:t>
            </w:r>
            <w:r w:rsidRPr="0061519B">
              <w:rPr>
                <w:rFonts w:eastAsia="Arial"/>
                <w:sz w:val="22"/>
                <w:szCs w:val="22"/>
              </w:rPr>
              <w:t>to providers</w:t>
            </w:r>
          </w:p>
          <w:p w14:paraId="3320A63C" w14:textId="44B60AC9" w:rsidR="00704F65" w:rsidRPr="0061519B" w:rsidRDefault="00704F65" w:rsidP="00226C1E">
            <w:pPr>
              <w:pStyle w:val="ListParagraph"/>
              <w:numPr>
                <w:ilvl w:val="0"/>
                <w:numId w:val="10"/>
              </w:numPr>
              <w:suppressAutoHyphens w:val="0"/>
              <w:autoSpaceDN/>
              <w:spacing w:after="120"/>
              <w:ind w:left="380" w:hanging="284"/>
              <w:rPr>
                <w:rFonts w:eastAsia="Arial"/>
                <w:sz w:val="22"/>
                <w:szCs w:val="22"/>
              </w:rPr>
            </w:pPr>
            <w:r w:rsidRPr="0061519B">
              <w:rPr>
                <w:rFonts w:eastAsia="Arial" w:cs="Arial"/>
                <w:sz w:val="22"/>
                <w:szCs w:val="22"/>
              </w:rPr>
              <w:t xml:space="preserve">Power BI reporting tool </w:t>
            </w:r>
            <w:r w:rsidRPr="0061519B">
              <w:rPr>
                <w:sz w:val="22"/>
                <w:szCs w:val="22"/>
              </w:rPr>
              <w:t xml:space="preserve">has been made </w:t>
            </w:r>
            <w:r w:rsidRPr="0061519B">
              <w:rPr>
                <w:rFonts w:eastAsia="Arial" w:cs="Arial"/>
                <w:sz w:val="22"/>
                <w:szCs w:val="22"/>
              </w:rPr>
              <w:t>available for all budget holders. This</w:t>
            </w:r>
            <w:r w:rsidRPr="0061519B">
              <w:rPr>
                <w:sz w:val="22"/>
                <w:szCs w:val="22"/>
              </w:rPr>
              <w:t xml:space="preserve"> </w:t>
            </w:r>
            <w:r w:rsidRPr="0061519B">
              <w:rPr>
                <w:rFonts w:eastAsia="Arial" w:cs="Arial"/>
                <w:sz w:val="22"/>
                <w:szCs w:val="22"/>
              </w:rPr>
              <w:t>will link budgets to contract spending, allowing budget holders to view their current and past spending in real time, enabling them to take early mitigating actions.</w:t>
            </w:r>
          </w:p>
        </w:tc>
        <w:tc>
          <w:tcPr>
            <w:tcW w:w="2348" w:type="dxa"/>
            <w:tcBorders>
              <w:top w:val="single" w:sz="4" w:space="0" w:color="auto"/>
              <w:left w:val="single" w:sz="4" w:space="0" w:color="auto"/>
              <w:bottom w:val="single" w:sz="4" w:space="0" w:color="auto"/>
              <w:right w:val="single" w:sz="4" w:space="0" w:color="auto"/>
            </w:tcBorders>
          </w:tcPr>
          <w:p w14:paraId="16C8A115" w14:textId="77777777" w:rsidR="00704F65" w:rsidRPr="0061519B" w:rsidRDefault="00704F65" w:rsidP="00704F65">
            <w:pPr>
              <w:pStyle w:val="TableParagraph"/>
              <w:spacing w:before="60" w:line="253" w:lineRule="exact"/>
              <w:ind w:left="106"/>
              <w:rPr>
                <w:spacing w:val="-2"/>
              </w:rPr>
            </w:pPr>
            <w:r w:rsidRPr="0061519B">
              <w:lastRenderedPageBreak/>
              <w:t>Corporate</w:t>
            </w:r>
            <w:r w:rsidRPr="0061519B">
              <w:rPr>
                <w:spacing w:val="-16"/>
              </w:rPr>
              <w:t xml:space="preserve"> </w:t>
            </w:r>
            <w:r w:rsidRPr="0061519B">
              <w:t xml:space="preserve">Director, </w:t>
            </w:r>
            <w:r w:rsidRPr="0061519B">
              <w:rPr>
                <w:spacing w:val="-2"/>
              </w:rPr>
              <w:t>Resources</w:t>
            </w:r>
          </w:p>
          <w:p w14:paraId="29D850DD" w14:textId="77777777" w:rsidR="00704F65" w:rsidRPr="0061519B" w:rsidRDefault="00704F65" w:rsidP="00704F65">
            <w:pPr>
              <w:pStyle w:val="TableParagraph"/>
              <w:spacing w:before="60" w:line="253" w:lineRule="exact"/>
              <w:ind w:left="106"/>
              <w:rPr>
                <w:spacing w:val="-2"/>
              </w:rPr>
            </w:pPr>
          </w:p>
          <w:p w14:paraId="06960CB0" w14:textId="6AA2E488" w:rsidR="00704F65" w:rsidRPr="0061519B" w:rsidRDefault="00704F65" w:rsidP="00704F65">
            <w:pPr>
              <w:spacing w:before="60"/>
              <w:ind w:left="57"/>
              <w:rPr>
                <w:rFonts w:cs="Arial"/>
                <w:color w:val="000000" w:themeColor="text1"/>
                <w:sz w:val="22"/>
                <w:szCs w:val="22"/>
              </w:rPr>
            </w:pPr>
            <w:r w:rsidRPr="0061519B">
              <w:rPr>
                <w:spacing w:val="-2"/>
                <w:sz w:val="22"/>
                <w:szCs w:val="22"/>
              </w:rPr>
              <w:t>Corporate Director, Health and Adult Social Care</w:t>
            </w:r>
          </w:p>
        </w:tc>
        <w:tc>
          <w:tcPr>
            <w:tcW w:w="1875" w:type="dxa"/>
            <w:tcBorders>
              <w:top w:val="single" w:sz="4" w:space="0" w:color="auto"/>
              <w:left w:val="single" w:sz="4" w:space="0" w:color="auto"/>
              <w:bottom w:val="single" w:sz="4" w:space="0" w:color="auto"/>
              <w:right w:val="single" w:sz="4" w:space="0" w:color="auto"/>
            </w:tcBorders>
          </w:tcPr>
          <w:p w14:paraId="062622BB" w14:textId="77777777" w:rsidR="00704F65" w:rsidRPr="0061519B" w:rsidRDefault="00704F65" w:rsidP="00704F65">
            <w:pPr>
              <w:pStyle w:val="TableParagraph"/>
              <w:spacing w:before="60"/>
              <w:ind w:left="105"/>
            </w:pPr>
            <w:r w:rsidRPr="0061519B">
              <w:t>2024/25</w:t>
            </w:r>
          </w:p>
          <w:p w14:paraId="000F13F0" w14:textId="77777777" w:rsidR="00704F65" w:rsidRPr="0061519B" w:rsidRDefault="00704F65" w:rsidP="00704F65">
            <w:pPr>
              <w:pStyle w:val="TableParagraph"/>
              <w:spacing w:before="60"/>
              <w:ind w:left="105"/>
            </w:pPr>
          </w:p>
          <w:p w14:paraId="5D7C93E9" w14:textId="77777777" w:rsidR="00704F65" w:rsidRPr="0061519B" w:rsidRDefault="00704F65" w:rsidP="00704F65">
            <w:pPr>
              <w:pStyle w:val="TableParagraph"/>
              <w:spacing w:before="60"/>
              <w:ind w:left="105"/>
            </w:pPr>
          </w:p>
          <w:p w14:paraId="0F43348E" w14:textId="77777777" w:rsidR="00704F65" w:rsidRPr="0061519B" w:rsidRDefault="00704F65" w:rsidP="00704F65">
            <w:pPr>
              <w:pStyle w:val="TableParagraph"/>
              <w:spacing w:before="60"/>
              <w:ind w:left="105"/>
            </w:pPr>
          </w:p>
          <w:p w14:paraId="2043E3B6" w14:textId="77777777" w:rsidR="00704F65" w:rsidRPr="0061519B" w:rsidRDefault="00704F65" w:rsidP="00704F65">
            <w:pPr>
              <w:pStyle w:val="TableParagraph"/>
              <w:spacing w:before="60"/>
              <w:ind w:left="105"/>
            </w:pPr>
          </w:p>
          <w:p w14:paraId="67837277" w14:textId="77777777" w:rsidR="00704F65" w:rsidRPr="0061519B" w:rsidRDefault="00704F65" w:rsidP="00704F65">
            <w:pPr>
              <w:pStyle w:val="TableParagraph"/>
              <w:spacing w:before="60"/>
              <w:ind w:left="105"/>
            </w:pPr>
          </w:p>
          <w:p w14:paraId="45717AF4" w14:textId="77777777" w:rsidR="00704F65" w:rsidRPr="0061519B" w:rsidRDefault="00704F65" w:rsidP="00704F65">
            <w:pPr>
              <w:spacing w:before="60"/>
              <w:ind w:left="57"/>
              <w:rPr>
                <w:rFonts w:cs="Arial"/>
                <w:color w:val="000000" w:themeColor="text1"/>
                <w:sz w:val="22"/>
                <w:szCs w:val="22"/>
              </w:rPr>
            </w:pPr>
          </w:p>
        </w:tc>
      </w:tr>
      <w:tr w:rsidR="00AA21BD" w:rsidRPr="00160BA6" w14:paraId="6AC3F6D9" w14:textId="77777777" w:rsidTr="006F6034">
        <w:trPr>
          <w:jc w:val="center"/>
        </w:trPr>
        <w:tc>
          <w:tcPr>
            <w:tcW w:w="675" w:type="dxa"/>
          </w:tcPr>
          <w:p w14:paraId="355E6A13" w14:textId="5A910352" w:rsidR="00AA21BD" w:rsidRPr="00AA21BD" w:rsidRDefault="00AA21BD" w:rsidP="00AA21BD">
            <w:pPr>
              <w:spacing w:before="60"/>
              <w:rPr>
                <w:rFonts w:cs="Arial"/>
                <w:color w:val="000000" w:themeColor="text1"/>
                <w:sz w:val="22"/>
                <w:szCs w:val="22"/>
              </w:rPr>
            </w:pPr>
            <w:r w:rsidRPr="00AA21BD">
              <w:rPr>
                <w:rFonts w:cs="Arial"/>
                <w:color w:val="000000" w:themeColor="text1"/>
                <w:sz w:val="22"/>
                <w:szCs w:val="22"/>
              </w:rPr>
              <w:t>9</w:t>
            </w:r>
          </w:p>
        </w:tc>
        <w:tc>
          <w:tcPr>
            <w:tcW w:w="4631" w:type="dxa"/>
            <w:tcBorders>
              <w:top w:val="single" w:sz="4" w:space="0" w:color="auto"/>
              <w:left w:val="single" w:sz="4" w:space="0" w:color="auto"/>
              <w:bottom w:val="single" w:sz="4" w:space="0" w:color="auto"/>
              <w:right w:val="single" w:sz="4" w:space="0" w:color="auto"/>
            </w:tcBorders>
          </w:tcPr>
          <w:p w14:paraId="12321AD2" w14:textId="77777777" w:rsidR="00AA21BD" w:rsidRPr="00AA21BD" w:rsidRDefault="00AA21BD" w:rsidP="00AA21BD">
            <w:pPr>
              <w:spacing w:before="60" w:after="60"/>
              <w:ind w:left="51"/>
              <w:rPr>
                <w:sz w:val="22"/>
                <w:szCs w:val="22"/>
              </w:rPr>
            </w:pPr>
            <w:r w:rsidRPr="00AA21BD">
              <w:rPr>
                <w:rFonts w:cs="Arial"/>
                <w:sz w:val="22"/>
                <w:szCs w:val="22"/>
              </w:rPr>
              <w:t>In line with best practice set out in CIPFA Bulletin 16 (</w:t>
            </w:r>
            <w:r w:rsidRPr="00AA21BD">
              <w:rPr>
                <w:rFonts w:eastAsiaTheme="minorHAnsi" w:cs="Arial"/>
                <w:sz w:val="22"/>
                <w:szCs w:val="22"/>
              </w:rPr>
              <w:t xml:space="preserve">Local audit delays and the publication of the </w:t>
            </w:r>
            <w:r w:rsidRPr="00AA21BD">
              <w:rPr>
                <w:rFonts w:cs="Arial"/>
                <w:sz w:val="22"/>
                <w:szCs w:val="22"/>
              </w:rPr>
              <w:t>A</w:t>
            </w:r>
            <w:r w:rsidRPr="00AA21BD">
              <w:rPr>
                <w:rFonts w:eastAsiaTheme="minorHAnsi"/>
                <w:sz w:val="22"/>
                <w:szCs w:val="22"/>
              </w:rPr>
              <w:t>GS</w:t>
            </w:r>
            <w:r w:rsidRPr="00AA21BD">
              <w:rPr>
                <w:rFonts w:cs="Arial"/>
                <w:sz w:val="22"/>
                <w:szCs w:val="22"/>
              </w:rPr>
              <w:t>)</w:t>
            </w:r>
            <w:r w:rsidRPr="00AA21BD">
              <w:rPr>
                <w:sz w:val="22"/>
                <w:szCs w:val="22"/>
              </w:rPr>
              <w:t>,</w:t>
            </w:r>
            <w:r w:rsidRPr="00AA21BD">
              <w:rPr>
                <w:rFonts w:cs="Arial"/>
                <w:sz w:val="22"/>
                <w:szCs w:val="22"/>
              </w:rPr>
              <w:t xml:space="preserve"> which states that the AGS should be kept up to date at the time of publication, the Council has, in the interests of transparency and good governance chosen to disclose a significant issue affecting this period of account that it </w:t>
            </w:r>
            <w:r w:rsidRPr="00AA21BD">
              <w:rPr>
                <w:sz w:val="22"/>
                <w:szCs w:val="22"/>
              </w:rPr>
              <w:t xml:space="preserve">only </w:t>
            </w:r>
            <w:r w:rsidRPr="00AA21BD">
              <w:rPr>
                <w:rFonts w:cs="Arial"/>
                <w:sz w:val="22"/>
                <w:szCs w:val="22"/>
              </w:rPr>
              <w:t>became aware of at a later date.</w:t>
            </w:r>
          </w:p>
          <w:p w14:paraId="273B9A9F" w14:textId="6CCC08F4" w:rsidR="00AA21BD" w:rsidRPr="00AA21BD" w:rsidRDefault="00AA21BD" w:rsidP="00AA21BD">
            <w:pPr>
              <w:spacing w:before="60" w:after="60"/>
              <w:ind w:left="51"/>
              <w:rPr>
                <w:sz w:val="22"/>
                <w:szCs w:val="22"/>
                <w:lang w:val="en-US"/>
              </w:rPr>
            </w:pPr>
            <w:r w:rsidRPr="00AA21BD">
              <w:rPr>
                <w:sz w:val="22"/>
                <w:szCs w:val="22"/>
              </w:rPr>
              <w:t>On</w:t>
            </w:r>
            <w:r w:rsidRPr="00AA21BD">
              <w:rPr>
                <w:rFonts w:cs="Arial"/>
                <w:sz w:val="22"/>
                <w:szCs w:val="22"/>
              </w:rPr>
              <w:t xml:space="preserve"> 22</w:t>
            </w:r>
            <w:r w:rsidRPr="00AA21BD">
              <w:rPr>
                <w:sz w:val="22"/>
                <w:szCs w:val="22"/>
              </w:rPr>
              <w:t>nd</w:t>
            </w:r>
            <w:r w:rsidRPr="00AA21BD">
              <w:rPr>
                <w:rFonts w:cs="Arial"/>
                <w:sz w:val="22"/>
                <w:szCs w:val="22"/>
              </w:rPr>
              <w:t xml:space="preserve"> February 2024, </w:t>
            </w:r>
            <w:r w:rsidRPr="00AA21BD">
              <w:rPr>
                <w:sz w:val="22"/>
                <w:szCs w:val="22"/>
              </w:rPr>
              <w:t xml:space="preserve">DLUHC </w:t>
            </w:r>
            <w:r w:rsidRPr="00AA21BD">
              <w:rPr>
                <w:rFonts w:cs="Arial"/>
                <w:sz w:val="22"/>
                <w:szCs w:val="22"/>
              </w:rPr>
              <w:t>notified the Council of an inspection to provide assurance of improvement progress in the Council. The</w:t>
            </w:r>
            <w:r w:rsidRPr="00AA21BD">
              <w:rPr>
                <w:sz w:val="22"/>
                <w:szCs w:val="22"/>
              </w:rPr>
              <w:t xml:space="preserve"> [then]</w:t>
            </w:r>
            <w:r w:rsidRPr="00AA21BD">
              <w:rPr>
                <w:rFonts w:cs="Arial"/>
                <w:sz w:val="22"/>
                <w:szCs w:val="22"/>
              </w:rPr>
              <w:t xml:space="preserve"> Secretary of State decided to commission this inspection to provide him with direct, independent assurance that the Council is complying with its Best Value Duty</w:t>
            </w:r>
            <w:r w:rsidR="00B87E50">
              <w:rPr>
                <w:rFonts w:cs="Arial"/>
                <w:sz w:val="22"/>
                <w:szCs w:val="22"/>
              </w:rPr>
              <w:t>.</w:t>
            </w:r>
          </w:p>
          <w:p w14:paraId="34A77F4F" w14:textId="77777777" w:rsidR="00AA21BD" w:rsidRPr="00AA21BD" w:rsidRDefault="00AA21BD" w:rsidP="00AA21BD">
            <w:pPr>
              <w:spacing w:before="60" w:after="60"/>
              <w:ind w:left="51"/>
              <w:rPr>
                <w:sz w:val="22"/>
                <w:szCs w:val="22"/>
              </w:rPr>
            </w:pPr>
            <w:r w:rsidRPr="00B573F3">
              <w:rPr>
                <w:sz w:val="22"/>
                <w:szCs w:val="22"/>
              </w:rPr>
              <w:t xml:space="preserve">The Best Value Inspection Report </w:t>
            </w:r>
            <w:r w:rsidRPr="00AA21BD">
              <w:rPr>
                <w:sz w:val="22"/>
                <w:szCs w:val="22"/>
              </w:rPr>
              <w:t>was published on 12</w:t>
            </w:r>
            <w:r w:rsidRPr="00AA21BD">
              <w:rPr>
                <w:sz w:val="22"/>
                <w:szCs w:val="22"/>
                <w:vertAlign w:val="superscript"/>
              </w:rPr>
              <w:t>th</w:t>
            </w:r>
            <w:r w:rsidRPr="00AA21BD">
              <w:rPr>
                <w:sz w:val="22"/>
                <w:szCs w:val="22"/>
              </w:rPr>
              <w:t xml:space="preserve"> November </w:t>
            </w:r>
            <w:r w:rsidRPr="00B573F3">
              <w:rPr>
                <w:sz w:val="22"/>
                <w:szCs w:val="22"/>
              </w:rPr>
              <w:t xml:space="preserve">by the Minister </w:t>
            </w:r>
            <w:r w:rsidRPr="00B573F3">
              <w:rPr>
                <w:sz w:val="22"/>
                <w:szCs w:val="22"/>
              </w:rPr>
              <w:lastRenderedPageBreak/>
              <w:t xml:space="preserve">for Housing. In his response to it he concludes that the Council has failed in its </w:t>
            </w:r>
            <w:r w:rsidRPr="00AA21BD">
              <w:rPr>
                <w:sz w:val="22"/>
                <w:szCs w:val="22"/>
              </w:rPr>
              <w:t>B</w:t>
            </w:r>
            <w:r w:rsidRPr="00B573F3">
              <w:rPr>
                <w:sz w:val="22"/>
                <w:szCs w:val="22"/>
              </w:rPr>
              <w:t xml:space="preserve">est </w:t>
            </w:r>
            <w:r w:rsidRPr="00AA21BD">
              <w:rPr>
                <w:sz w:val="22"/>
                <w:szCs w:val="22"/>
              </w:rPr>
              <w:t>V</w:t>
            </w:r>
            <w:r w:rsidRPr="00B573F3">
              <w:rPr>
                <w:sz w:val="22"/>
                <w:szCs w:val="22"/>
              </w:rPr>
              <w:t xml:space="preserve">alue duty and is proposing that the Council receive a support package comprising two ministerial envoys to work with the </w:t>
            </w:r>
            <w:r w:rsidRPr="00AA21BD">
              <w:rPr>
                <w:sz w:val="22"/>
                <w:szCs w:val="22"/>
              </w:rPr>
              <w:t>C</w:t>
            </w:r>
            <w:r w:rsidRPr="00B573F3">
              <w:rPr>
                <w:sz w:val="22"/>
                <w:szCs w:val="22"/>
              </w:rPr>
              <w:t xml:space="preserve">ouncil to deliver an agreed Best Value Improvement plan. </w:t>
            </w:r>
          </w:p>
          <w:p w14:paraId="18CBC05C" w14:textId="77777777" w:rsidR="00AA21BD" w:rsidRPr="00AA21BD" w:rsidRDefault="00AA21BD" w:rsidP="00AA21BD">
            <w:pPr>
              <w:spacing w:before="60" w:after="60"/>
              <w:ind w:left="51"/>
              <w:rPr>
                <w:sz w:val="22"/>
                <w:szCs w:val="22"/>
              </w:rPr>
            </w:pPr>
            <w:r w:rsidRPr="00B573F3">
              <w:rPr>
                <w:sz w:val="22"/>
                <w:szCs w:val="22"/>
              </w:rPr>
              <w:t xml:space="preserve">At the time of writing the Minister has allowed 10 days for any representations to be made to him in respect of his proposal. The Council has met with the Minister during this period and made it clear that it is committed to working constructively with the government to achieve improvement and provide any assurance going forward. </w:t>
            </w:r>
          </w:p>
          <w:p w14:paraId="021834E5" w14:textId="77777777" w:rsidR="00AA21BD" w:rsidRPr="00AA21BD" w:rsidRDefault="00AA21BD" w:rsidP="00AA21BD">
            <w:pPr>
              <w:spacing w:before="60" w:after="60"/>
              <w:ind w:left="51"/>
              <w:rPr>
                <w:rFonts w:cs="Arial"/>
                <w:sz w:val="22"/>
                <w:szCs w:val="22"/>
              </w:rPr>
            </w:pPr>
          </w:p>
        </w:tc>
        <w:tc>
          <w:tcPr>
            <w:tcW w:w="4645" w:type="dxa"/>
            <w:tcBorders>
              <w:top w:val="single" w:sz="4" w:space="0" w:color="auto"/>
              <w:left w:val="single" w:sz="4" w:space="0" w:color="auto"/>
              <w:bottom w:val="single" w:sz="4" w:space="0" w:color="auto"/>
              <w:right w:val="single" w:sz="4" w:space="0" w:color="auto"/>
            </w:tcBorders>
          </w:tcPr>
          <w:p w14:paraId="5B9F47E9" w14:textId="77777777" w:rsidR="00AA21BD" w:rsidRPr="00AA21BD" w:rsidRDefault="00AA21BD" w:rsidP="00AA21BD">
            <w:pPr>
              <w:spacing w:before="60" w:after="60"/>
              <w:rPr>
                <w:sz w:val="22"/>
                <w:szCs w:val="22"/>
              </w:rPr>
            </w:pPr>
            <w:r w:rsidRPr="00B573F3">
              <w:rPr>
                <w:sz w:val="22"/>
                <w:szCs w:val="22"/>
              </w:rPr>
              <w:lastRenderedPageBreak/>
              <w:t xml:space="preserve">In deciding upon how to proceed the Minister has acknowledged the Council’s sound financial planning, good service delivery, balanced budget and the fact that it has demonstrated that it has key components of an improvement programme in place. One of these is the Transformation Advisory Board which the Minister proposes to be strengthened in order to cover ‘assurance’. </w:t>
            </w:r>
          </w:p>
          <w:p w14:paraId="0896A238" w14:textId="77777777" w:rsidR="00AA21BD" w:rsidRPr="00AA21BD" w:rsidRDefault="00AA21BD" w:rsidP="00AA21BD">
            <w:pPr>
              <w:spacing w:before="60" w:after="60"/>
              <w:rPr>
                <w:sz w:val="22"/>
                <w:szCs w:val="22"/>
              </w:rPr>
            </w:pPr>
            <w:r w:rsidRPr="00B573F3">
              <w:rPr>
                <w:sz w:val="22"/>
                <w:szCs w:val="22"/>
              </w:rPr>
              <w:t xml:space="preserve">The Council will retain its </w:t>
            </w:r>
            <w:proofErr w:type="gramStart"/>
            <w:r w:rsidRPr="00B573F3">
              <w:rPr>
                <w:sz w:val="22"/>
                <w:szCs w:val="22"/>
              </w:rPr>
              <w:t>powers</w:t>
            </w:r>
            <w:proofErr w:type="gramEnd"/>
            <w:r w:rsidRPr="00B573F3">
              <w:rPr>
                <w:sz w:val="22"/>
                <w:szCs w:val="22"/>
              </w:rPr>
              <w:t xml:space="preserve"> and the Ministerial envoys will be present two days a week to provide the Transformation Advisory and Assurance Board and the Council with advice and guidance. They will report to the Minister quarterly. </w:t>
            </w:r>
          </w:p>
          <w:p w14:paraId="75B1EE6F" w14:textId="15D9F964" w:rsidR="00AA21BD" w:rsidRPr="00AA21BD" w:rsidRDefault="00AA21BD" w:rsidP="00AA21BD">
            <w:pPr>
              <w:pStyle w:val="TableParagraph"/>
              <w:spacing w:before="60" w:after="60"/>
              <w:ind w:left="0"/>
              <w:rPr>
                <w:bCs/>
              </w:rPr>
            </w:pPr>
            <w:r w:rsidRPr="00B573F3">
              <w:rPr>
                <w:lang w:val="en-GB"/>
              </w:rPr>
              <w:t xml:space="preserve">The Council must demonstrate rapid and meaningful improvement. If not, the Minister reserves the right to review the situation. The government is minded </w:t>
            </w:r>
            <w:proofErr w:type="gramStart"/>
            <w:r w:rsidRPr="00B573F3">
              <w:rPr>
                <w:lang w:val="en-GB"/>
              </w:rPr>
              <w:t>to issue</w:t>
            </w:r>
            <w:proofErr w:type="gramEnd"/>
            <w:r w:rsidRPr="00B573F3">
              <w:rPr>
                <w:lang w:val="en-GB"/>
              </w:rPr>
              <w:t xml:space="preserve"> directions for </w:t>
            </w:r>
            <w:r w:rsidRPr="00B573F3">
              <w:rPr>
                <w:lang w:val="en-GB"/>
              </w:rPr>
              <w:lastRenderedPageBreak/>
              <w:t xml:space="preserve">a </w:t>
            </w:r>
            <w:r w:rsidRPr="00AA21BD">
              <w:rPr>
                <w:lang w:val="en-GB"/>
              </w:rPr>
              <w:t>three-year</w:t>
            </w:r>
            <w:r w:rsidRPr="00B573F3">
              <w:rPr>
                <w:lang w:val="en-GB"/>
              </w:rPr>
              <w:t xml:space="preserve"> period establishing the time frame that these arrangements are in place. This period may or may not be extended at any time. Should satisfactory progress be demonstrated within that time the directions may be modified or removed. </w:t>
            </w:r>
          </w:p>
        </w:tc>
        <w:tc>
          <w:tcPr>
            <w:tcW w:w="2348" w:type="dxa"/>
            <w:tcBorders>
              <w:top w:val="single" w:sz="4" w:space="0" w:color="auto"/>
              <w:left w:val="single" w:sz="4" w:space="0" w:color="auto"/>
              <w:bottom w:val="single" w:sz="4" w:space="0" w:color="auto"/>
              <w:right w:val="single" w:sz="4" w:space="0" w:color="auto"/>
            </w:tcBorders>
          </w:tcPr>
          <w:p w14:paraId="46150FD6" w14:textId="664129E6" w:rsidR="00AA21BD" w:rsidRPr="00AA21BD" w:rsidRDefault="00AA21BD" w:rsidP="00AA21BD">
            <w:pPr>
              <w:pStyle w:val="TableParagraph"/>
              <w:spacing w:before="60" w:line="253" w:lineRule="exact"/>
              <w:ind w:left="106"/>
            </w:pPr>
            <w:r w:rsidRPr="00AA21BD">
              <w:lastRenderedPageBreak/>
              <w:t>Chief Executive and Corporate Management Team</w:t>
            </w:r>
          </w:p>
        </w:tc>
        <w:tc>
          <w:tcPr>
            <w:tcW w:w="1875" w:type="dxa"/>
            <w:tcBorders>
              <w:top w:val="single" w:sz="4" w:space="0" w:color="auto"/>
              <w:left w:val="single" w:sz="4" w:space="0" w:color="auto"/>
              <w:bottom w:val="single" w:sz="4" w:space="0" w:color="auto"/>
              <w:right w:val="single" w:sz="4" w:space="0" w:color="auto"/>
            </w:tcBorders>
          </w:tcPr>
          <w:p w14:paraId="310D6AB9" w14:textId="6CF13BB6" w:rsidR="00AA21BD" w:rsidRPr="00AA21BD" w:rsidRDefault="00AA21BD" w:rsidP="00AA21BD">
            <w:pPr>
              <w:pStyle w:val="TableParagraph"/>
              <w:spacing w:before="60"/>
              <w:ind w:left="105"/>
            </w:pPr>
            <w:r w:rsidRPr="00AA21BD">
              <w:t>Immediate and ongoing.</w:t>
            </w:r>
          </w:p>
        </w:tc>
      </w:tr>
    </w:tbl>
    <w:p w14:paraId="0F3D0744" w14:textId="77777777" w:rsidR="00E607F8" w:rsidRPr="00160BA6" w:rsidRDefault="00E607F8" w:rsidP="00202EB3">
      <w:pPr>
        <w:rPr>
          <w:color w:val="000000" w:themeColor="text1"/>
        </w:rPr>
      </w:pPr>
    </w:p>
    <w:p w14:paraId="6F6C0679" w14:textId="77777777" w:rsidR="00007089" w:rsidRDefault="00007089" w:rsidP="005D326E">
      <w:pPr>
        <w:rPr>
          <w:color w:val="000000" w:themeColor="text1"/>
          <w:u w:val="single"/>
        </w:rPr>
      </w:pPr>
    </w:p>
    <w:p w14:paraId="46715779" w14:textId="77777777" w:rsidR="00007089" w:rsidRDefault="00007089" w:rsidP="005D326E">
      <w:pPr>
        <w:rPr>
          <w:color w:val="000000" w:themeColor="text1"/>
          <w:u w:val="single"/>
        </w:rPr>
      </w:pPr>
    </w:p>
    <w:p w14:paraId="73098BBD" w14:textId="77777777" w:rsidR="00007089" w:rsidRDefault="00007089" w:rsidP="005D326E">
      <w:pPr>
        <w:rPr>
          <w:color w:val="000000" w:themeColor="text1"/>
          <w:u w:val="single"/>
        </w:rPr>
      </w:pPr>
    </w:p>
    <w:p w14:paraId="2A386DF9" w14:textId="77777777" w:rsidR="00007089" w:rsidRDefault="00007089" w:rsidP="005D326E">
      <w:pPr>
        <w:rPr>
          <w:color w:val="000000" w:themeColor="text1"/>
          <w:u w:val="single"/>
        </w:rPr>
      </w:pPr>
    </w:p>
    <w:p w14:paraId="4F45191D" w14:textId="77777777" w:rsidR="00841A2C" w:rsidRDefault="00841A2C" w:rsidP="005D326E">
      <w:pPr>
        <w:rPr>
          <w:color w:val="000000" w:themeColor="text1"/>
          <w:u w:val="single"/>
        </w:rPr>
      </w:pPr>
    </w:p>
    <w:p w14:paraId="643FCDC5" w14:textId="77777777" w:rsidR="00841A2C" w:rsidRDefault="00841A2C" w:rsidP="005D326E">
      <w:pPr>
        <w:rPr>
          <w:color w:val="000000" w:themeColor="text1"/>
          <w:u w:val="single"/>
        </w:rPr>
      </w:pPr>
    </w:p>
    <w:p w14:paraId="0BAC2A2D" w14:textId="77777777" w:rsidR="00841A2C" w:rsidRDefault="00841A2C" w:rsidP="005D326E">
      <w:pPr>
        <w:rPr>
          <w:color w:val="000000" w:themeColor="text1"/>
          <w:u w:val="single"/>
        </w:rPr>
      </w:pPr>
    </w:p>
    <w:p w14:paraId="6DAA88E9" w14:textId="77777777" w:rsidR="00841A2C" w:rsidRDefault="00841A2C" w:rsidP="005D326E">
      <w:pPr>
        <w:rPr>
          <w:color w:val="000000" w:themeColor="text1"/>
          <w:u w:val="single"/>
        </w:rPr>
      </w:pPr>
    </w:p>
    <w:p w14:paraId="0F4DFB39" w14:textId="77777777" w:rsidR="00841A2C" w:rsidRDefault="00841A2C" w:rsidP="005D326E">
      <w:pPr>
        <w:rPr>
          <w:color w:val="000000" w:themeColor="text1"/>
          <w:u w:val="single"/>
        </w:rPr>
      </w:pPr>
    </w:p>
    <w:p w14:paraId="764041F5" w14:textId="77777777" w:rsidR="00841A2C" w:rsidRDefault="00841A2C" w:rsidP="005D326E">
      <w:pPr>
        <w:rPr>
          <w:color w:val="000000" w:themeColor="text1"/>
          <w:u w:val="single"/>
        </w:rPr>
      </w:pPr>
    </w:p>
    <w:p w14:paraId="222C04B2" w14:textId="77777777" w:rsidR="00841A2C" w:rsidRDefault="00841A2C" w:rsidP="005D326E">
      <w:pPr>
        <w:rPr>
          <w:color w:val="000000" w:themeColor="text1"/>
          <w:u w:val="single"/>
        </w:rPr>
      </w:pPr>
    </w:p>
    <w:p w14:paraId="1FDB5DFC" w14:textId="77777777" w:rsidR="00841A2C" w:rsidRDefault="00841A2C" w:rsidP="005D326E">
      <w:pPr>
        <w:rPr>
          <w:color w:val="000000" w:themeColor="text1"/>
          <w:u w:val="single"/>
        </w:rPr>
      </w:pPr>
    </w:p>
    <w:p w14:paraId="334C7FE4" w14:textId="4273603A" w:rsidR="00140DE9" w:rsidRPr="00160BA6" w:rsidRDefault="002619AA" w:rsidP="005D326E">
      <w:pPr>
        <w:rPr>
          <w:color w:val="000000" w:themeColor="text1"/>
          <w:u w:val="single"/>
        </w:rPr>
      </w:pPr>
      <w:r w:rsidRPr="00160BA6">
        <w:rPr>
          <w:color w:val="000000" w:themeColor="text1"/>
          <w:u w:val="single"/>
        </w:rPr>
        <w:lastRenderedPageBreak/>
        <w:t>Conclusion for 202</w:t>
      </w:r>
      <w:r w:rsidR="00B6755C">
        <w:rPr>
          <w:color w:val="000000" w:themeColor="text1"/>
          <w:u w:val="single"/>
        </w:rPr>
        <w:t>1/</w:t>
      </w:r>
      <w:r w:rsidRPr="00160BA6">
        <w:rPr>
          <w:color w:val="000000" w:themeColor="text1"/>
          <w:u w:val="single"/>
        </w:rPr>
        <w:t>2</w:t>
      </w:r>
      <w:r w:rsidR="00B6755C">
        <w:rPr>
          <w:color w:val="000000" w:themeColor="text1"/>
          <w:u w:val="single"/>
        </w:rPr>
        <w:t>2</w:t>
      </w:r>
    </w:p>
    <w:p w14:paraId="18D30C8C" w14:textId="77777777" w:rsidR="00DC4560" w:rsidRPr="00160BA6" w:rsidRDefault="00DC4560" w:rsidP="005D326E">
      <w:pPr>
        <w:rPr>
          <w:color w:val="000000" w:themeColor="text1"/>
          <w:u w:val="single"/>
        </w:rPr>
      </w:pPr>
    </w:p>
    <w:p w14:paraId="57D4FF63" w14:textId="3D837DBA" w:rsidR="0098612B" w:rsidRPr="00303EA1" w:rsidRDefault="00DC63DA" w:rsidP="00303EA1">
      <w:pPr>
        <w:rPr>
          <w:color w:val="000000" w:themeColor="text1"/>
        </w:rPr>
      </w:pPr>
      <w:r w:rsidRPr="00303EA1">
        <w:rPr>
          <w:color w:val="000000" w:themeColor="text1"/>
        </w:rPr>
        <w:t xml:space="preserve">As </w:t>
      </w:r>
      <w:r w:rsidR="006F5D20" w:rsidRPr="00303EA1">
        <w:rPr>
          <w:color w:val="000000" w:themeColor="text1"/>
        </w:rPr>
        <w:t xml:space="preserve">has been the case in previous years, </w:t>
      </w:r>
      <w:r w:rsidR="00160BA6" w:rsidRPr="00303EA1">
        <w:rPr>
          <w:color w:val="000000" w:themeColor="text1"/>
        </w:rPr>
        <w:t>202</w:t>
      </w:r>
      <w:r w:rsidR="006F5D20" w:rsidRPr="00303EA1">
        <w:rPr>
          <w:color w:val="000000" w:themeColor="text1"/>
        </w:rPr>
        <w:t>1/22</w:t>
      </w:r>
      <w:r w:rsidR="00160BA6" w:rsidRPr="00303EA1">
        <w:rPr>
          <w:color w:val="000000" w:themeColor="text1"/>
        </w:rPr>
        <w:t xml:space="preserve"> has been a challenging year, the COVID-19</w:t>
      </w:r>
      <w:r w:rsidR="00160BA6" w:rsidRPr="00303EA1">
        <w:rPr>
          <w:rFonts w:eastAsiaTheme="minorEastAsia" w:cs="Arial"/>
          <w:color w:val="000000" w:themeColor="text1"/>
          <w:kern w:val="24"/>
        </w:rPr>
        <w:t xml:space="preserve"> </w:t>
      </w:r>
      <w:r w:rsidR="00160BA6" w:rsidRPr="00303EA1">
        <w:rPr>
          <w:color w:val="000000" w:themeColor="text1"/>
        </w:rPr>
        <w:t xml:space="preserve">pandemic </w:t>
      </w:r>
      <w:r w:rsidR="006F5D20" w:rsidRPr="00303EA1">
        <w:rPr>
          <w:color w:val="000000" w:themeColor="text1"/>
        </w:rPr>
        <w:t>continued to have</w:t>
      </w:r>
      <w:r w:rsidR="00160BA6" w:rsidRPr="00303EA1">
        <w:rPr>
          <w:color w:val="000000" w:themeColor="text1"/>
        </w:rPr>
        <w:t xml:space="preserve"> a profound impact on everyone. The pandemic required us to govern differently</w:t>
      </w:r>
      <w:r w:rsidR="0098612B" w:rsidRPr="00303EA1">
        <w:rPr>
          <w:color w:val="000000" w:themeColor="text1"/>
        </w:rPr>
        <w:t xml:space="preserve"> in order</w:t>
      </w:r>
      <w:r w:rsidR="00160BA6" w:rsidRPr="00303EA1">
        <w:rPr>
          <w:color w:val="000000" w:themeColor="text1"/>
        </w:rPr>
        <w:t xml:space="preserve"> to adapt and meet the needs of our community. </w:t>
      </w:r>
      <w:r w:rsidR="0098612B" w:rsidRPr="00303EA1">
        <w:rPr>
          <w:color w:val="000000" w:themeColor="text1"/>
        </w:rPr>
        <w:t>Importantly, our</w:t>
      </w:r>
      <w:r w:rsidR="00160BA6" w:rsidRPr="00303EA1">
        <w:rPr>
          <w:color w:val="000000" w:themeColor="text1"/>
        </w:rPr>
        <w:t xml:space="preserve"> governance arrangements </w:t>
      </w:r>
      <w:r w:rsidR="00CA064C" w:rsidRPr="00303EA1">
        <w:rPr>
          <w:color w:val="000000" w:themeColor="text1"/>
        </w:rPr>
        <w:t xml:space="preserve">continued to operate effectively as we continued to deal with the challenges </w:t>
      </w:r>
      <w:r w:rsidR="00160BA6" w:rsidRPr="00303EA1">
        <w:rPr>
          <w:color w:val="000000" w:themeColor="text1"/>
        </w:rPr>
        <w:t>the pandemic</w:t>
      </w:r>
      <w:r w:rsidR="009E7D3B" w:rsidRPr="00303EA1">
        <w:rPr>
          <w:color w:val="000000" w:themeColor="text1"/>
        </w:rPr>
        <w:t xml:space="preserve"> brought, </w:t>
      </w:r>
      <w:r w:rsidR="00E76EBF" w:rsidRPr="00303EA1">
        <w:rPr>
          <w:color w:val="000000" w:themeColor="text1"/>
        </w:rPr>
        <w:t>especially as an organisation, but also, the wider borough learned to live and work with the COVID-19 pandemic as restrictions were eased and it became a more “business-as-usual” environment.</w:t>
      </w:r>
    </w:p>
    <w:p w14:paraId="07070245" w14:textId="77777777" w:rsidR="0098612B" w:rsidRPr="00222675" w:rsidRDefault="0098612B" w:rsidP="0098612B">
      <w:pPr>
        <w:rPr>
          <w:color w:val="000000" w:themeColor="text1"/>
          <w:highlight w:val="yellow"/>
        </w:rPr>
      </w:pPr>
    </w:p>
    <w:p w14:paraId="29215D28" w14:textId="10F9C85D" w:rsidR="00160BA6" w:rsidRPr="00303EA1" w:rsidRDefault="00160BA6" w:rsidP="00303EA1">
      <w:pPr>
        <w:rPr>
          <w:color w:val="000000" w:themeColor="text1"/>
        </w:rPr>
      </w:pPr>
      <w:r w:rsidRPr="00303EA1">
        <w:rPr>
          <w:color w:val="000000" w:themeColor="text1"/>
        </w:rPr>
        <w:t xml:space="preserve">During this difficult time there have been governance and leadership opportunities which we are keen to hold onto, and we are committed to delivering better outcomes for residents by using the opportunities from new ways of working and the efficiency and effectiveness learnt through our emergency response. The pandemic has compounded our financial challenges. The economic impact has reduced the amount of income that the </w:t>
      </w:r>
      <w:r w:rsidR="004F085A" w:rsidRPr="00303EA1">
        <w:rPr>
          <w:color w:val="000000" w:themeColor="text1"/>
        </w:rPr>
        <w:t>C</w:t>
      </w:r>
      <w:r w:rsidRPr="00303EA1">
        <w:rPr>
          <w:color w:val="000000" w:themeColor="text1"/>
        </w:rPr>
        <w:t>ouncil receives from business rates and council tax in 202</w:t>
      </w:r>
      <w:r w:rsidR="004F085A" w:rsidRPr="00303EA1">
        <w:rPr>
          <w:color w:val="000000" w:themeColor="text1"/>
        </w:rPr>
        <w:t>1</w:t>
      </w:r>
      <w:r w:rsidRPr="00303EA1">
        <w:rPr>
          <w:color w:val="000000" w:themeColor="text1"/>
        </w:rPr>
        <w:t>-2</w:t>
      </w:r>
      <w:r w:rsidR="004F085A" w:rsidRPr="00303EA1">
        <w:rPr>
          <w:color w:val="000000" w:themeColor="text1"/>
        </w:rPr>
        <w:t>2</w:t>
      </w:r>
      <w:r w:rsidRPr="00303EA1">
        <w:rPr>
          <w:color w:val="000000" w:themeColor="text1"/>
        </w:rPr>
        <w:t xml:space="preserve"> and the forecast income for following years. The </w:t>
      </w:r>
      <w:r w:rsidR="004F085A" w:rsidRPr="00303EA1">
        <w:rPr>
          <w:color w:val="000000" w:themeColor="text1"/>
        </w:rPr>
        <w:t>C</w:t>
      </w:r>
      <w:r w:rsidRPr="00303EA1">
        <w:rPr>
          <w:color w:val="000000" w:themeColor="text1"/>
        </w:rPr>
        <w:t xml:space="preserve">ouncil has also incurred significant costs for the pandemic response, a decrease in income from fees and charges and slippage in previously planned savings. In response, we have updated both our Strategic Plan and the Medium-Term Financial Strategy to ensure our budget can support delivery of our priorities and address the significant financial challenges facing the </w:t>
      </w:r>
      <w:r w:rsidR="00EF101E">
        <w:rPr>
          <w:color w:val="000000" w:themeColor="text1"/>
        </w:rPr>
        <w:t>C</w:t>
      </w:r>
      <w:r w:rsidRPr="00303EA1">
        <w:rPr>
          <w:color w:val="000000" w:themeColor="text1"/>
        </w:rPr>
        <w:t xml:space="preserve">ouncil. </w:t>
      </w:r>
    </w:p>
    <w:p w14:paraId="7FFF9EBF" w14:textId="77777777" w:rsidR="00160BA6" w:rsidRPr="00222675" w:rsidRDefault="00160BA6" w:rsidP="00E15945">
      <w:pPr>
        <w:jc w:val="both"/>
        <w:rPr>
          <w:color w:val="000000" w:themeColor="text1"/>
          <w:highlight w:val="yellow"/>
        </w:rPr>
      </w:pPr>
    </w:p>
    <w:p w14:paraId="0E1E833C" w14:textId="6882124B" w:rsidR="00160BA6" w:rsidRPr="00303EA1" w:rsidRDefault="00160BA6" w:rsidP="00303EA1">
      <w:pPr>
        <w:rPr>
          <w:color w:val="000000" w:themeColor="text1"/>
        </w:rPr>
      </w:pPr>
      <w:r w:rsidRPr="00303EA1">
        <w:rPr>
          <w:color w:val="000000" w:themeColor="text1"/>
        </w:rPr>
        <w:t xml:space="preserve">Whilst we have been able to quickly adapt our governance arrangements, there remains significant challenges, in addition to the </w:t>
      </w:r>
      <w:r w:rsidR="00560BA0" w:rsidRPr="00303EA1">
        <w:rPr>
          <w:color w:val="000000" w:themeColor="text1"/>
        </w:rPr>
        <w:t>long-term</w:t>
      </w:r>
      <w:r w:rsidRPr="00303EA1">
        <w:rPr>
          <w:color w:val="000000" w:themeColor="text1"/>
        </w:rPr>
        <w:t xml:space="preserve"> impact of the pandemic, which has included closing our financial accounts, budget management</w:t>
      </w:r>
      <w:r w:rsidR="00560BA0" w:rsidRPr="00303EA1">
        <w:rPr>
          <w:color w:val="000000" w:themeColor="text1"/>
        </w:rPr>
        <w:t xml:space="preserve"> in areas such as Adult Social Care,</w:t>
      </w:r>
      <w:r w:rsidRPr="00303EA1">
        <w:rPr>
          <w:color w:val="000000" w:themeColor="text1"/>
        </w:rPr>
        <w:t xml:space="preserve"> and SEND performance. We recognise that good governance requires a culture of continuous improvement and challenge, we will continue to seek improvement and will be self-critical in doing so to ensure we uphold the highest possible standards of good governance. </w:t>
      </w:r>
    </w:p>
    <w:p w14:paraId="6104C4D3" w14:textId="77777777" w:rsidR="00560BA0" w:rsidRPr="00303EA1" w:rsidRDefault="00560BA0" w:rsidP="00303EA1">
      <w:pPr>
        <w:rPr>
          <w:color w:val="000000" w:themeColor="text1"/>
        </w:rPr>
      </w:pPr>
    </w:p>
    <w:p w14:paraId="0C79EFB7" w14:textId="3CEDE95E" w:rsidR="00160BA6" w:rsidRPr="00160BA6" w:rsidRDefault="00160BA6" w:rsidP="00303EA1">
      <w:pPr>
        <w:rPr>
          <w:color w:val="000000" w:themeColor="text1"/>
        </w:rPr>
      </w:pPr>
      <w:r w:rsidRPr="00303EA1">
        <w:rPr>
          <w:color w:val="000000" w:themeColor="text1"/>
        </w:rPr>
        <w:t>We have put action plans in place to address any issues and regularly report progress via the Corporate Leadership Team and relevant Committees.</w:t>
      </w:r>
      <w:r w:rsidRPr="00160BA6">
        <w:rPr>
          <w:color w:val="000000" w:themeColor="text1"/>
        </w:rPr>
        <w:t xml:space="preserve"> </w:t>
      </w:r>
    </w:p>
    <w:p w14:paraId="4D1FD299" w14:textId="77777777" w:rsidR="00DC4560" w:rsidRPr="00160BA6" w:rsidRDefault="00DC4560" w:rsidP="005D326E">
      <w:pPr>
        <w:rPr>
          <w:b/>
          <w:bCs/>
          <w:color w:val="000000" w:themeColor="text1"/>
        </w:rPr>
      </w:pPr>
    </w:p>
    <w:sectPr w:rsidR="00DC4560" w:rsidRPr="00160BA6" w:rsidSect="00726779">
      <w:footerReference w:type="default" r:id="rId14"/>
      <w:type w:val="continuous"/>
      <w:pgSz w:w="16838" w:h="11906" w:orient="landscape"/>
      <w:pgMar w:top="1800" w:right="1440" w:bottom="1800" w:left="1440"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B9A0" w14:textId="77777777" w:rsidR="00BA4804" w:rsidRDefault="00BA4804">
      <w:r>
        <w:separator/>
      </w:r>
    </w:p>
  </w:endnote>
  <w:endnote w:type="continuationSeparator" w:id="0">
    <w:p w14:paraId="7ADD37C4" w14:textId="77777777" w:rsidR="00BA4804" w:rsidRDefault="00BA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5730" w14:textId="1D0C02DA" w:rsidR="00746E41" w:rsidRDefault="00746E41" w:rsidP="00726779">
    <w:pPr>
      <w:pStyle w:val="Footer"/>
      <w:jc w:val="right"/>
    </w:pPr>
  </w:p>
  <w:p w14:paraId="4B67A707" w14:textId="77777777" w:rsidR="00746E41" w:rsidRDefault="00746E41" w:rsidP="007267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F387" w14:textId="77777777" w:rsidR="00BA4804" w:rsidRDefault="00BA4804" w:rsidP="00202EB3">
      <w:r>
        <w:separator/>
      </w:r>
    </w:p>
  </w:footnote>
  <w:footnote w:type="continuationSeparator" w:id="0">
    <w:p w14:paraId="01E8E50F" w14:textId="77777777" w:rsidR="00BA4804" w:rsidRDefault="00BA4804" w:rsidP="00202EB3">
      <w:r>
        <w:continuationSeparator/>
      </w:r>
    </w:p>
  </w:footnote>
  <w:footnote w:type="continuationNotice" w:id="1">
    <w:p w14:paraId="72409ABC" w14:textId="77777777" w:rsidR="00BA4804" w:rsidRDefault="00BA4804"/>
  </w:footnote>
  <w:footnote w:id="2">
    <w:p w14:paraId="05BE76BA" w14:textId="0A64302D" w:rsidR="00746E41" w:rsidRDefault="00746E41">
      <w:pPr>
        <w:pStyle w:val="FootnoteText"/>
      </w:pPr>
      <w:r>
        <w:rPr>
          <w:rStyle w:val="FootnoteReference"/>
        </w:rPr>
        <w:footnoteRef/>
      </w:r>
      <w:r>
        <w:t xml:space="preserve"> A </w:t>
      </w:r>
      <w:r w:rsidRPr="0045581B">
        <w:t>limited assurance</w:t>
      </w:r>
      <w:r>
        <w:t xml:space="preserve"> opinion</w:t>
      </w:r>
      <w:r w:rsidRPr="00C650B3">
        <w:t xml:space="preserve"> means </w:t>
      </w:r>
      <w:r>
        <w:t>that</w:t>
      </w:r>
      <w:r w:rsidRPr="00C650B3">
        <w:t xml:space="preserve"> significant gaps, </w:t>
      </w:r>
      <w:r w:rsidR="00B67531" w:rsidRPr="00C650B3">
        <w:t>weaknesses,</w:t>
      </w:r>
      <w:r w:rsidRPr="00C650B3">
        <w:t xml:space="preserve"> or non-compliance were identified. Improvement is required to the system of governance, risk management and/or control to effectively manage risks to the achievement of objectives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37B1" w14:textId="5C434C03" w:rsidR="00746E41" w:rsidRDefault="00746E41" w:rsidP="002B4E80">
    <w:pPr>
      <w:pStyle w:val="Header"/>
      <w:ind w:right="-1351"/>
      <w:jc w:val="right"/>
    </w:pPr>
    <w:r>
      <w:rPr>
        <w:noProof/>
      </w:rPr>
      <w:drawing>
        <wp:inline distT="0" distB="0" distL="0" distR="0" wp14:anchorId="3A82095A" wp14:editId="29ADA5CD">
          <wp:extent cx="1535843" cy="1097280"/>
          <wp:effectExtent l="0" t="0" r="7620" b="7620"/>
          <wp:docPr id="1" name="Picture 1" descr="C:\Users\paul.rock\AppData\Local\Microsoft\Windows\Temporary Internet Files\Content.Word\TH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8042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5843"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0ECC"/>
    <w:multiLevelType w:val="hybridMultilevel"/>
    <w:tmpl w:val="B4CA1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76F7F"/>
    <w:multiLevelType w:val="hybridMultilevel"/>
    <w:tmpl w:val="3A1C8CE2"/>
    <w:lvl w:ilvl="0" w:tplc="ACD4DA68">
      <w:numFmt w:val="bullet"/>
      <w:lvlText w:val=""/>
      <w:lvlJc w:val="left"/>
      <w:pPr>
        <w:ind w:left="720" w:hanging="360"/>
      </w:pPr>
      <w:rPr>
        <w:rFonts w:ascii="Symbol" w:hAnsi="Symbol"/>
      </w:rPr>
    </w:lvl>
    <w:lvl w:ilvl="1" w:tplc="42EE0B4A">
      <w:numFmt w:val="bullet"/>
      <w:lvlText w:val="o"/>
      <w:lvlJc w:val="left"/>
      <w:pPr>
        <w:ind w:left="1440" w:hanging="360"/>
      </w:pPr>
      <w:rPr>
        <w:rFonts w:ascii="Courier New" w:hAnsi="Courier New" w:cs="Courier New"/>
      </w:rPr>
    </w:lvl>
    <w:lvl w:ilvl="2" w:tplc="4F72250A">
      <w:numFmt w:val="bullet"/>
      <w:lvlText w:val=""/>
      <w:lvlJc w:val="left"/>
      <w:pPr>
        <w:ind w:left="2160" w:hanging="360"/>
      </w:pPr>
      <w:rPr>
        <w:rFonts w:ascii="Wingdings" w:hAnsi="Wingdings"/>
      </w:rPr>
    </w:lvl>
    <w:lvl w:ilvl="3" w:tplc="60AC36D8">
      <w:numFmt w:val="bullet"/>
      <w:lvlText w:val=""/>
      <w:lvlJc w:val="left"/>
      <w:pPr>
        <w:ind w:left="2880" w:hanging="360"/>
      </w:pPr>
      <w:rPr>
        <w:rFonts w:ascii="Symbol" w:hAnsi="Symbol"/>
      </w:rPr>
    </w:lvl>
    <w:lvl w:ilvl="4" w:tplc="7D744E4C">
      <w:numFmt w:val="bullet"/>
      <w:lvlText w:val="o"/>
      <w:lvlJc w:val="left"/>
      <w:pPr>
        <w:ind w:left="3600" w:hanging="360"/>
      </w:pPr>
      <w:rPr>
        <w:rFonts w:ascii="Courier New" w:hAnsi="Courier New" w:cs="Courier New"/>
      </w:rPr>
    </w:lvl>
    <w:lvl w:ilvl="5" w:tplc="09BE3060">
      <w:numFmt w:val="bullet"/>
      <w:lvlText w:val=""/>
      <w:lvlJc w:val="left"/>
      <w:pPr>
        <w:ind w:left="4320" w:hanging="360"/>
      </w:pPr>
      <w:rPr>
        <w:rFonts w:ascii="Wingdings" w:hAnsi="Wingdings"/>
      </w:rPr>
    </w:lvl>
    <w:lvl w:ilvl="6" w:tplc="5E986188">
      <w:numFmt w:val="bullet"/>
      <w:lvlText w:val=""/>
      <w:lvlJc w:val="left"/>
      <w:pPr>
        <w:ind w:left="5040" w:hanging="360"/>
      </w:pPr>
      <w:rPr>
        <w:rFonts w:ascii="Symbol" w:hAnsi="Symbol"/>
      </w:rPr>
    </w:lvl>
    <w:lvl w:ilvl="7" w:tplc="06D099AC">
      <w:numFmt w:val="bullet"/>
      <w:lvlText w:val="o"/>
      <w:lvlJc w:val="left"/>
      <w:pPr>
        <w:ind w:left="5760" w:hanging="360"/>
      </w:pPr>
      <w:rPr>
        <w:rFonts w:ascii="Courier New" w:hAnsi="Courier New" w:cs="Courier New"/>
      </w:rPr>
    </w:lvl>
    <w:lvl w:ilvl="8" w:tplc="E4589A0C">
      <w:numFmt w:val="bullet"/>
      <w:lvlText w:val=""/>
      <w:lvlJc w:val="left"/>
      <w:pPr>
        <w:ind w:left="6480" w:hanging="360"/>
      </w:pPr>
      <w:rPr>
        <w:rFonts w:ascii="Wingdings" w:hAnsi="Wingdings"/>
      </w:rPr>
    </w:lvl>
  </w:abstractNum>
  <w:abstractNum w:abstractNumId="2" w15:restartNumberingAfterBreak="0">
    <w:nsid w:val="255B4184"/>
    <w:multiLevelType w:val="hybridMultilevel"/>
    <w:tmpl w:val="65F4ABE0"/>
    <w:lvl w:ilvl="0" w:tplc="F6607F3C">
      <w:start w:val="1"/>
      <w:numFmt w:val="bullet"/>
      <w:lvlText w:val=""/>
      <w:lvlJc w:val="left"/>
      <w:pPr>
        <w:ind w:left="720" w:hanging="360"/>
      </w:pPr>
      <w:rPr>
        <w:rFonts w:ascii="Symbol" w:hAnsi="Symbol" w:hint="default"/>
      </w:rPr>
    </w:lvl>
    <w:lvl w:ilvl="1" w:tplc="ABF08524" w:tentative="1">
      <w:start w:val="1"/>
      <w:numFmt w:val="bullet"/>
      <w:lvlText w:val="o"/>
      <w:lvlJc w:val="left"/>
      <w:pPr>
        <w:ind w:left="1440" w:hanging="360"/>
      </w:pPr>
      <w:rPr>
        <w:rFonts w:ascii="Courier New" w:hAnsi="Courier New" w:cs="Courier New" w:hint="default"/>
      </w:rPr>
    </w:lvl>
    <w:lvl w:ilvl="2" w:tplc="2F4CDF58" w:tentative="1">
      <w:start w:val="1"/>
      <w:numFmt w:val="bullet"/>
      <w:lvlText w:val=""/>
      <w:lvlJc w:val="left"/>
      <w:pPr>
        <w:ind w:left="2160" w:hanging="360"/>
      </w:pPr>
      <w:rPr>
        <w:rFonts w:ascii="Wingdings" w:hAnsi="Wingdings" w:hint="default"/>
      </w:rPr>
    </w:lvl>
    <w:lvl w:ilvl="3" w:tplc="C4F81A0E" w:tentative="1">
      <w:start w:val="1"/>
      <w:numFmt w:val="bullet"/>
      <w:lvlText w:val=""/>
      <w:lvlJc w:val="left"/>
      <w:pPr>
        <w:ind w:left="2880" w:hanging="360"/>
      </w:pPr>
      <w:rPr>
        <w:rFonts w:ascii="Symbol" w:hAnsi="Symbol" w:hint="default"/>
      </w:rPr>
    </w:lvl>
    <w:lvl w:ilvl="4" w:tplc="D1FC35C2" w:tentative="1">
      <w:start w:val="1"/>
      <w:numFmt w:val="bullet"/>
      <w:lvlText w:val="o"/>
      <w:lvlJc w:val="left"/>
      <w:pPr>
        <w:ind w:left="3600" w:hanging="360"/>
      </w:pPr>
      <w:rPr>
        <w:rFonts w:ascii="Courier New" w:hAnsi="Courier New" w:cs="Courier New" w:hint="default"/>
      </w:rPr>
    </w:lvl>
    <w:lvl w:ilvl="5" w:tplc="B52CD83C" w:tentative="1">
      <w:start w:val="1"/>
      <w:numFmt w:val="bullet"/>
      <w:lvlText w:val=""/>
      <w:lvlJc w:val="left"/>
      <w:pPr>
        <w:ind w:left="4320" w:hanging="360"/>
      </w:pPr>
      <w:rPr>
        <w:rFonts w:ascii="Wingdings" w:hAnsi="Wingdings" w:hint="default"/>
      </w:rPr>
    </w:lvl>
    <w:lvl w:ilvl="6" w:tplc="0EBEE36E" w:tentative="1">
      <w:start w:val="1"/>
      <w:numFmt w:val="bullet"/>
      <w:lvlText w:val=""/>
      <w:lvlJc w:val="left"/>
      <w:pPr>
        <w:ind w:left="5040" w:hanging="360"/>
      </w:pPr>
      <w:rPr>
        <w:rFonts w:ascii="Symbol" w:hAnsi="Symbol" w:hint="default"/>
      </w:rPr>
    </w:lvl>
    <w:lvl w:ilvl="7" w:tplc="B060F6E8" w:tentative="1">
      <w:start w:val="1"/>
      <w:numFmt w:val="bullet"/>
      <w:lvlText w:val="o"/>
      <w:lvlJc w:val="left"/>
      <w:pPr>
        <w:ind w:left="5760" w:hanging="360"/>
      </w:pPr>
      <w:rPr>
        <w:rFonts w:ascii="Courier New" w:hAnsi="Courier New" w:cs="Courier New" w:hint="default"/>
      </w:rPr>
    </w:lvl>
    <w:lvl w:ilvl="8" w:tplc="CD7EDD74" w:tentative="1">
      <w:start w:val="1"/>
      <w:numFmt w:val="bullet"/>
      <w:lvlText w:val=""/>
      <w:lvlJc w:val="left"/>
      <w:pPr>
        <w:ind w:left="6480" w:hanging="360"/>
      </w:pPr>
      <w:rPr>
        <w:rFonts w:ascii="Wingdings" w:hAnsi="Wingdings" w:hint="default"/>
      </w:rPr>
    </w:lvl>
  </w:abstractNum>
  <w:abstractNum w:abstractNumId="3" w15:restartNumberingAfterBreak="0">
    <w:nsid w:val="27EF451D"/>
    <w:multiLevelType w:val="hybridMultilevel"/>
    <w:tmpl w:val="64BACF10"/>
    <w:lvl w:ilvl="0" w:tplc="4BCC4730">
      <w:start w:val="1"/>
      <w:numFmt w:val="bullet"/>
      <w:lvlText w:val=""/>
      <w:lvlJc w:val="left"/>
      <w:pPr>
        <w:ind w:left="720" w:hanging="360"/>
      </w:pPr>
      <w:rPr>
        <w:rFonts w:ascii="Symbol" w:hAnsi="Symbol" w:hint="default"/>
      </w:rPr>
    </w:lvl>
    <w:lvl w:ilvl="1" w:tplc="77CC59D6" w:tentative="1">
      <w:start w:val="1"/>
      <w:numFmt w:val="bullet"/>
      <w:lvlText w:val="o"/>
      <w:lvlJc w:val="left"/>
      <w:pPr>
        <w:ind w:left="1440" w:hanging="360"/>
      </w:pPr>
      <w:rPr>
        <w:rFonts w:ascii="Courier New" w:hAnsi="Courier New" w:cs="Courier New" w:hint="default"/>
      </w:rPr>
    </w:lvl>
    <w:lvl w:ilvl="2" w:tplc="CA26D0BC" w:tentative="1">
      <w:start w:val="1"/>
      <w:numFmt w:val="bullet"/>
      <w:lvlText w:val=""/>
      <w:lvlJc w:val="left"/>
      <w:pPr>
        <w:ind w:left="2160" w:hanging="360"/>
      </w:pPr>
      <w:rPr>
        <w:rFonts w:ascii="Wingdings" w:hAnsi="Wingdings" w:hint="default"/>
      </w:rPr>
    </w:lvl>
    <w:lvl w:ilvl="3" w:tplc="4B3A7D6C" w:tentative="1">
      <w:start w:val="1"/>
      <w:numFmt w:val="bullet"/>
      <w:lvlText w:val=""/>
      <w:lvlJc w:val="left"/>
      <w:pPr>
        <w:ind w:left="2880" w:hanging="360"/>
      </w:pPr>
      <w:rPr>
        <w:rFonts w:ascii="Symbol" w:hAnsi="Symbol" w:hint="default"/>
      </w:rPr>
    </w:lvl>
    <w:lvl w:ilvl="4" w:tplc="3E3607EC" w:tentative="1">
      <w:start w:val="1"/>
      <w:numFmt w:val="bullet"/>
      <w:lvlText w:val="o"/>
      <w:lvlJc w:val="left"/>
      <w:pPr>
        <w:ind w:left="3600" w:hanging="360"/>
      </w:pPr>
      <w:rPr>
        <w:rFonts w:ascii="Courier New" w:hAnsi="Courier New" w:cs="Courier New" w:hint="default"/>
      </w:rPr>
    </w:lvl>
    <w:lvl w:ilvl="5" w:tplc="36AA5F34" w:tentative="1">
      <w:start w:val="1"/>
      <w:numFmt w:val="bullet"/>
      <w:lvlText w:val=""/>
      <w:lvlJc w:val="left"/>
      <w:pPr>
        <w:ind w:left="4320" w:hanging="360"/>
      </w:pPr>
      <w:rPr>
        <w:rFonts w:ascii="Wingdings" w:hAnsi="Wingdings" w:hint="default"/>
      </w:rPr>
    </w:lvl>
    <w:lvl w:ilvl="6" w:tplc="C246A0C4" w:tentative="1">
      <w:start w:val="1"/>
      <w:numFmt w:val="bullet"/>
      <w:lvlText w:val=""/>
      <w:lvlJc w:val="left"/>
      <w:pPr>
        <w:ind w:left="5040" w:hanging="360"/>
      </w:pPr>
      <w:rPr>
        <w:rFonts w:ascii="Symbol" w:hAnsi="Symbol" w:hint="default"/>
      </w:rPr>
    </w:lvl>
    <w:lvl w:ilvl="7" w:tplc="02DCF662" w:tentative="1">
      <w:start w:val="1"/>
      <w:numFmt w:val="bullet"/>
      <w:lvlText w:val="o"/>
      <w:lvlJc w:val="left"/>
      <w:pPr>
        <w:ind w:left="5760" w:hanging="360"/>
      </w:pPr>
      <w:rPr>
        <w:rFonts w:ascii="Courier New" w:hAnsi="Courier New" w:cs="Courier New" w:hint="default"/>
      </w:rPr>
    </w:lvl>
    <w:lvl w:ilvl="8" w:tplc="C6D4253E" w:tentative="1">
      <w:start w:val="1"/>
      <w:numFmt w:val="bullet"/>
      <w:lvlText w:val=""/>
      <w:lvlJc w:val="left"/>
      <w:pPr>
        <w:ind w:left="6480" w:hanging="360"/>
      </w:pPr>
      <w:rPr>
        <w:rFonts w:ascii="Wingdings" w:hAnsi="Wingdings" w:hint="default"/>
      </w:rPr>
    </w:lvl>
  </w:abstractNum>
  <w:abstractNum w:abstractNumId="4" w15:restartNumberingAfterBreak="0">
    <w:nsid w:val="4A10060B"/>
    <w:multiLevelType w:val="hybridMultilevel"/>
    <w:tmpl w:val="218C69EC"/>
    <w:lvl w:ilvl="0" w:tplc="4B9E666A">
      <w:start w:val="1"/>
      <w:numFmt w:val="upperLetter"/>
      <w:lvlText w:val="%1."/>
      <w:lvlJc w:val="left"/>
      <w:pPr>
        <w:ind w:left="720" w:hanging="360"/>
      </w:pPr>
    </w:lvl>
    <w:lvl w:ilvl="1" w:tplc="53C2CE4C" w:tentative="1">
      <w:start w:val="1"/>
      <w:numFmt w:val="lowerLetter"/>
      <w:lvlText w:val="%2."/>
      <w:lvlJc w:val="left"/>
      <w:pPr>
        <w:ind w:left="1440" w:hanging="360"/>
      </w:pPr>
    </w:lvl>
    <w:lvl w:ilvl="2" w:tplc="D5C09E12" w:tentative="1">
      <w:start w:val="1"/>
      <w:numFmt w:val="lowerRoman"/>
      <w:lvlText w:val="%3."/>
      <w:lvlJc w:val="right"/>
      <w:pPr>
        <w:ind w:left="2160" w:hanging="180"/>
      </w:pPr>
    </w:lvl>
    <w:lvl w:ilvl="3" w:tplc="9EDE4FF2" w:tentative="1">
      <w:start w:val="1"/>
      <w:numFmt w:val="decimal"/>
      <w:lvlText w:val="%4."/>
      <w:lvlJc w:val="left"/>
      <w:pPr>
        <w:ind w:left="2880" w:hanging="360"/>
      </w:pPr>
    </w:lvl>
    <w:lvl w:ilvl="4" w:tplc="5C3CDFE4" w:tentative="1">
      <w:start w:val="1"/>
      <w:numFmt w:val="lowerLetter"/>
      <w:lvlText w:val="%5."/>
      <w:lvlJc w:val="left"/>
      <w:pPr>
        <w:ind w:left="3600" w:hanging="360"/>
      </w:pPr>
    </w:lvl>
    <w:lvl w:ilvl="5" w:tplc="EAC29D36" w:tentative="1">
      <w:start w:val="1"/>
      <w:numFmt w:val="lowerRoman"/>
      <w:lvlText w:val="%6."/>
      <w:lvlJc w:val="right"/>
      <w:pPr>
        <w:ind w:left="4320" w:hanging="180"/>
      </w:pPr>
    </w:lvl>
    <w:lvl w:ilvl="6" w:tplc="9254305A" w:tentative="1">
      <w:start w:val="1"/>
      <w:numFmt w:val="decimal"/>
      <w:lvlText w:val="%7."/>
      <w:lvlJc w:val="left"/>
      <w:pPr>
        <w:ind w:left="5040" w:hanging="360"/>
      </w:pPr>
    </w:lvl>
    <w:lvl w:ilvl="7" w:tplc="4926AD90" w:tentative="1">
      <w:start w:val="1"/>
      <w:numFmt w:val="lowerLetter"/>
      <w:lvlText w:val="%8."/>
      <w:lvlJc w:val="left"/>
      <w:pPr>
        <w:ind w:left="5760" w:hanging="360"/>
      </w:pPr>
    </w:lvl>
    <w:lvl w:ilvl="8" w:tplc="031A6BEE" w:tentative="1">
      <w:start w:val="1"/>
      <w:numFmt w:val="lowerRoman"/>
      <w:lvlText w:val="%9."/>
      <w:lvlJc w:val="right"/>
      <w:pPr>
        <w:ind w:left="6480" w:hanging="180"/>
      </w:pPr>
    </w:lvl>
  </w:abstractNum>
  <w:abstractNum w:abstractNumId="5" w15:restartNumberingAfterBreak="0">
    <w:nsid w:val="516F5A06"/>
    <w:multiLevelType w:val="hybridMultilevel"/>
    <w:tmpl w:val="F8D6B224"/>
    <w:lvl w:ilvl="0" w:tplc="A8C8889E">
      <w:start w:val="1"/>
      <w:numFmt w:val="upperLetter"/>
      <w:lvlText w:val="%1."/>
      <w:lvlJc w:val="left"/>
      <w:pPr>
        <w:ind w:left="720" w:hanging="360"/>
      </w:pPr>
    </w:lvl>
    <w:lvl w:ilvl="1" w:tplc="7870BCFE" w:tentative="1">
      <w:start w:val="1"/>
      <w:numFmt w:val="lowerLetter"/>
      <w:lvlText w:val="%2."/>
      <w:lvlJc w:val="left"/>
      <w:pPr>
        <w:ind w:left="1440" w:hanging="360"/>
      </w:pPr>
    </w:lvl>
    <w:lvl w:ilvl="2" w:tplc="D1EAB5DC" w:tentative="1">
      <w:start w:val="1"/>
      <w:numFmt w:val="lowerRoman"/>
      <w:lvlText w:val="%3."/>
      <w:lvlJc w:val="right"/>
      <w:pPr>
        <w:ind w:left="2160" w:hanging="180"/>
      </w:pPr>
    </w:lvl>
    <w:lvl w:ilvl="3" w:tplc="35EAD9A4" w:tentative="1">
      <w:start w:val="1"/>
      <w:numFmt w:val="decimal"/>
      <w:lvlText w:val="%4."/>
      <w:lvlJc w:val="left"/>
      <w:pPr>
        <w:ind w:left="2880" w:hanging="360"/>
      </w:pPr>
    </w:lvl>
    <w:lvl w:ilvl="4" w:tplc="193688A2" w:tentative="1">
      <w:start w:val="1"/>
      <w:numFmt w:val="lowerLetter"/>
      <w:lvlText w:val="%5."/>
      <w:lvlJc w:val="left"/>
      <w:pPr>
        <w:ind w:left="3600" w:hanging="360"/>
      </w:pPr>
    </w:lvl>
    <w:lvl w:ilvl="5" w:tplc="580055F4" w:tentative="1">
      <w:start w:val="1"/>
      <w:numFmt w:val="lowerRoman"/>
      <w:lvlText w:val="%6."/>
      <w:lvlJc w:val="right"/>
      <w:pPr>
        <w:ind w:left="4320" w:hanging="180"/>
      </w:pPr>
    </w:lvl>
    <w:lvl w:ilvl="6" w:tplc="FAEAADE8" w:tentative="1">
      <w:start w:val="1"/>
      <w:numFmt w:val="decimal"/>
      <w:lvlText w:val="%7."/>
      <w:lvlJc w:val="left"/>
      <w:pPr>
        <w:ind w:left="5040" w:hanging="360"/>
      </w:pPr>
    </w:lvl>
    <w:lvl w:ilvl="7" w:tplc="4230B324" w:tentative="1">
      <w:start w:val="1"/>
      <w:numFmt w:val="lowerLetter"/>
      <w:lvlText w:val="%8."/>
      <w:lvlJc w:val="left"/>
      <w:pPr>
        <w:ind w:left="5760" w:hanging="360"/>
      </w:pPr>
    </w:lvl>
    <w:lvl w:ilvl="8" w:tplc="DA9AFE44" w:tentative="1">
      <w:start w:val="1"/>
      <w:numFmt w:val="lowerRoman"/>
      <w:lvlText w:val="%9."/>
      <w:lvlJc w:val="right"/>
      <w:pPr>
        <w:ind w:left="6480" w:hanging="180"/>
      </w:pPr>
    </w:lvl>
  </w:abstractNum>
  <w:abstractNum w:abstractNumId="6" w15:restartNumberingAfterBreak="0">
    <w:nsid w:val="5FB57090"/>
    <w:multiLevelType w:val="hybridMultilevel"/>
    <w:tmpl w:val="47806F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6C19513D"/>
    <w:multiLevelType w:val="hybridMultilevel"/>
    <w:tmpl w:val="A798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21BDE"/>
    <w:multiLevelType w:val="hybridMultilevel"/>
    <w:tmpl w:val="710C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61FE0"/>
    <w:multiLevelType w:val="hybridMultilevel"/>
    <w:tmpl w:val="095A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286368">
    <w:abstractNumId w:val="4"/>
  </w:num>
  <w:num w:numId="2" w16cid:durableId="194588503">
    <w:abstractNumId w:val="3"/>
  </w:num>
  <w:num w:numId="3" w16cid:durableId="620957498">
    <w:abstractNumId w:val="1"/>
  </w:num>
  <w:num w:numId="4" w16cid:durableId="108817465">
    <w:abstractNumId w:val="5"/>
  </w:num>
  <w:num w:numId="5" w16cid:durableId="1582133320">
    <w:abstractNumId w:val="2"/>
  </w:num>
  <w:num w:numId="6" w16cid:durableId="303125886">
    <w:abstractNumId w:val="7"/>
  </w:num>
  <w:num w:numId="7" w16cid:durableId="492526338">
    <w:abstractNumId w:val="0"/>
  </w:num>
  <w:num w:numId="8" w16cid:durableId="1329603258">
    <w:abstractNumId w:val="8"/>
  </w:num>
  <w:num w:numId="9" w16cid:durableId="649022690">
    <w:abstractNumId w:val="9"/>
  </w:num>
  <w:num w:numId="10" w16cid:durableId="13267800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B3"/>
    <w:rsid w:val="00000207"/>
    <w:rsid w:val="00002098"/>
    <w:rsid w:val="00004572"/>
    <w:rsid w:val="00007089"/>
    <w:rsid w:val="00007E8F"/>
    <w:rsid w:val="00010CAC"/>
    <w:rsid w:val="0001106C"/>
    <w:rsid w:val="00013DF2"/>
    <w:rsid w:val="0001617A"/>
    <w:rsid w:val="00016E92"/>
    <w:rsid w:val="00020BDD"/>
    <w:rsid w:val="00020CD2"/>
    <w:rsid w:val="00021928"/>
    <w:rsid w:val="0002300E"/>
    <w:rsid w:val="000233C7"/>
    <w:rsid w:val="00024413"/>
    <w:rsid w:val="000245EA"/>
    <w:rsid w:val="0002463E"/>
    <w:rsid w:val="00024EF8"/>
    <w:rsid w:val="00026085"/>
    <w:rsid w:val="000272A1"/>
    <w:rsid w:val="000277CC"/>
    <w:rsid w:val="00032E2A"/>
    <w:rsid w:val="00033FE6"/>
    <w:rsid w:val="00034B89"/>
    <w:rsid w:val="0003536B"/>
    <w:rsid w:val="000358DF"/>
    <w:rsid w:val="0003681E"/>
    <w:rsid w:val="00040B45"/>
    <w:rsid w:val="00042058"/>
    <w:rsid w:val="00042798"/>
    <w:rsid w:val="00042CCA"/>
    <w:rsid w:val="000438CA"/>
    <w:rsid w:val="0004408A"/>
    <w:rsid w:val="0004460F"/>
    <w:rsid w:val="00044F5C"/>
    <w:rsid w:val="00045916"/>
    <w:rsid w:val="00046B68"/>
    <w:rsid w:val="0004724E"/>
    <w:rsid w:val="000473D3"/>
    <w:rsid w:val="00050151"/>
    <w:rsid w:val="000517B7"/>
    <w:rsid w:val="00054B27"/>
    <w:rsid w:val="00055207"/>
    <w:rsid w:val="00055D36"/>
    <w:rsid w:val="0005686A"/>
    <w:rsid w:val="00056A23"/>
    <w:rsid w:val="00065568"/>
    <w:rsid w:val="0006616A"/>
    <w:rsid w:val="000665A2"/>
    <w:rsid w:val="000673A6"/>
    <w:rsid w:val="00070312"/>
    <w:rsid w:val="00070839"/>
    <w:rsid w:val="00070922"/>
    <w:rsid w:val="0007243A"/>
    <w:rsid w:val="00072497"/>
    <w:rsid w:val="000724B8"/>
    <w:rsid w:val="00072E98"/>
    <w:rsid w:val="000759F5"/>
    <w:rsid w:val="0007617E"/>
    <w:rsid w:val="0007766B"/>
    <w:rsid w:val="00080846"/>
    <w:rsid w:val="00082620"/>
    <w:rsid w:val="00084CD0"/>
    <w:rsid w:val="00087EE2"/>
    <w:rsid w:val="00091E71"/>
    <w:rsid w:val="000943BC"/>
    <w:rsid w:val="000A2CB8"/>
    <w:rsid w:val="000A3877"/>
    <w:rsid w:val="000A3D39"/>
    <w:rsid w:val="000A59DA"/>
    <w:rsid w:val="000A5EEB"/>
    <w:rsid w:val="000B3F51"/>
    <w:rsid w:val="000B4565"/>
    <w:rsid w:val="000B49B7"/>
    <w:rsid w:val="000B4D67"/>
    <w:rsid w:val="000B6B96"/>
    <w:rsid w:val="000C0C48"/>
    <w:rsid w:val="000C247C"/>
    <w:rsid w:val="000C2504"/>
    <w:rsid w:val="000C2A46"/>
    <w:rsid w:val="000C665E"/>
    <w:rsid w:val="000D13E4"/>
    <w:rsid w:val="000D16C2"/>
    <w:rsid w:val="000D2E06"/>
    <w:rsid w:val="000D66BE"/>
    <w:rsid w:val="000D6D17"/>
    <w:rsid w:val="000D6D1B"/>
    <w:rsid w:val="000E2B63"/>
    <w:rsid w:val="000E3474"/>
    <w:rsid w:val="000E379C"/>
    <w:rsid w:val="000E426B"/>
    <w:rsid w:val="000E44EB"/>
    <w:rsid w:val="000E5DDC"/>
    <w:rsid w:val="000E64B2"/>
    <w:rsid w:val="000E6A86"/>
    <w:rsid w:val="000E7774"/>
    <w:rsid w:val="000F094A"/>
    <w:rsid w:val="000F0AC3"/>
    <w:rsid w:val="000F17B2"/>
    <w:rsid w:val="000F282C"/>
    <w:rsid w:val="000F5E01"/>
    <w:rsid w:val="000F689F"/>
    <w:rsid w:val="00100DEF"/>
    <w:rsid w:val="00101015"/>
    <w:rsid w:val="00105491"/>
    <w:rsid w:val="00105863"/>
    <w:rsid w:val="00106373"/>
    <w:rsid w:val="00107F0F"/>
    <w:rsid w:val="00110E14"/>
    <w:rsid w:val="001114F5"/>
    <w:rsid w:val="00111A36"/>
    <w:rsid w:val="00111E67"/>
    <w:rsid w:val="00116DA8"/>
    <w:rsid w:val="00117340"/>
    <w:rsid w:val="00121119"/>
    <w:rsid w:val="00121F34"/>
    <w:rsid w:val="00123822"/>
    <w:rsid w:val="001239D6"/>
    <w:rsid w:val="00124D7B"/>
    <w:rsid w:val="00130603"/>
    <w:rsid w:val="0013221C"/>
    <w:rsid w:val="001322C3"/>
    <w:rsid w:val="001330DA"/>
    <w:rsid w:val="001334C0"/>
    <w:rsid w:val="00134B11"/>
    <w:rsid w:val="00140DE9"/>
    <w:rsid w:val="00141B14"/>
    <w:rsid w:val="0014380E"/>
    <w:rsid w:val="00143E5D"/>
    <w:rsid w:val="00144A2F"/>
    <w:rsid w:val="00146567"/>
    <w:rsid w:val="001544C7"/>
    <w:rsid w:val="001559C9"/>
    <w:rsid w:val="00156CC5"/>
    <w:rsid w:val="00156D28"/>
    <w:rsid w:val="0015794C"/>
    <w:rsid w:val="00160515"/>
    <w:rsid w:val="00160BA6"/>
    <w:rsid w:val="00160E5D"/>
    <w:rsid w:val="00160F01"/>
    <w:rsid w:val="00164B16"/>
    <w:rsid w:val="00165BA7"/>
    <w:rsid w:val="00166124"/>
    <w:rsid w:val="00170836"/>
    <w:rsid w:val="001710BB"/>
    <w:rsid w:val="001725E7"/>
    <w:rsid w:val="001737BA"/>
    <w:rsid w:val="001802A8"/>
    <w:rsid w:val="00181008"/>
    <w:rsid w:val="001824CE"/>
    <w:rsid w:val="001831AD"/>
    <w:rsid w:val="00184A19"/>
    <w:rsid w:val="00184F81"/>
    <w:rsid w:val="00185014"/>
    <w:rsid w:val="0018642B"/>
    <w:rsid w:val="00187CAD"/>
    <w:rsid w:val="00187EAB"/>
    <w:rsid w:val="001943E8"/>
    <w:rsid w:val="00194489"/>
    <w:rsid w:val="00195121"/>
    <w:rsid w:val="00195EC3"/>
    <w:rsid w:val="00197A0C"/>
    <w:rsid w:val="001A0DBD"/>
    <w:rsid w:val="001A15F6"/>
    <w:rsid w:val="001A1B7D"/>
    <w:rsid w:val="001A22AD"/>
    <w:rsid w:val="001B07AA"/>
    <w:rsid w:val="001B125F"/>
    <w:rsid w:val="001B5F32"/>
    <w:rsid w:val="001B65F6"/>
    <w:rsid w:val="001B7ED6"/>
    <w:rsid w:val="001C0B65"/>
    <w:rsid w:val="001C2BDC"/>
    <w:rsid w:val="001C37AA"/>
    <w:rsid w:val="001C3D4E"/>
    <w:rsid w:val="001C3ED6"/>
    <w:rsid w:val="001C45E7"/>
    <w:rsid w:val="001C537F"/>
    <w:rsid w:val="001C7DD6"/>
    <w:rsid w:val="001D2E4B"/>
    <w:rsid w:val="001D402C"/>
    <w:rsid w:val="001D66D2"/>
    <w:rsid w:val="001D6A0F"/>
    <w:rsid w:val="001D7DA7"/>
    <w:rsid w:val="001E0A4A"/>
    <w:rsid w:val="001E2CC7"/>
    <w:rsid w:val="001E3465"/>
    <w:rsid w:val="001E65D5"/>
    <w:rsid w:val="001E7692"/>
    <w:rsid w:val="001F14A2"/>
    <w:rsid w:val="001F1E1F"/>
    <w:rsid w:val="001F225C"/>
    <w:rsid w:val="001F24A2"/>
    <w:rsid w:val="001F4F2A"/>
    <w:rsid w:val="001F6621"/>
    <w:rsid w:val="00201DFB"/>
    <w:rsid w:val="00202EB3"/>
    <w:rsid w:val="002054A7"/>
    <w:rsid w:val="002054FC"/>
    <w:rsid w:val="00205D88"/>
    <w:rsid w:val="002073DA"/>
    <w:rsid w:val="00207E32"/>
    <w:rsid w:val="00211C4C"/>
    <w:rsid w:val="00213944"/>
    <w:rsid w:val="00213A62"/>
    <w:rsid w:val="002153B3"/>
    <w:rsid w:val="002165FC"/>
    <w:rsid w:val="002169B4"/>
    <w:rsid w:val="00217C02"/>
    <w:rsid w:val="00221BF2"/>
    <w:rsid w:val="00221CC3"/>
    <w:rsid w:val="00222675"/>
    <w:rsid w:val="00222E69"/>
    <w:rsid w:val="00223116"/>
    <w:rsid w:val="00225A94"/>
    <w:rsid w:val="00226C1E"/>
    <w:rsid w:val="0022744E"/>
    <w:rsid w:val="00230376"/>
    <w:rsid w:val="00231627"/>
    <w:rsid w:val="00233952"/>
    <w:rsid w:val="00234F7A"/>
    <w:rsid w:val="00235103"/>
    <w:rsid w:val="00241116"/>
    <w:rsid w:val="002414B1"/>
    <w:rsid w:val="00246E94"/>
    <w:rsid w:val="0025188A"/>
    <w:rsid w:val="00252948"/>
    <w:rsid w:val="00257A83"/>
    <w:rsid w:val="00257E48"/>
    <w:rsid w:val="002619AA"/>
    <w:rsid w:val="00261E8C"/>
    <w:rsid w:val="00262DE7"/>
    <w:rsid w:val="0026557C"/>
    <w:rsid w:val="00265E1C"/>
    <w:rsid w:val="00267D3C"/>
    <w:rsid w:val="00270BAF"/>
    <w:rsid w:val="002716F6"/>
    <w:rsid w:val="00271FC7"/>
    <w:rsid w:val="002721BC"/>
    <w:rsid w:val="00275500"/>
    <w:rsid w:val="00280B8E"/>
    <w:rsid w:val="0028250C"/>
    <w:rsid w:val="002827D5"/>
    <w:rsid w:val="00282F84"/>
    <w:rsid w:val="002833B9"/>
    <w:rsid w:val="00284DDE"/>
    <w:rsid w:val="00285070"/>
    <w:rsid w:val="00285C09"/>
    <w:rsid w:val="00286043"/>
    <w:rsid w:val="002908C5"/>
    <w:rsid w:val="0029276B"/>
    <w:rsid w:val="002935A4"/>
    <w:rsid w:val="00295E46"/>
    <w:rsid w:val="002A1E0F"/>
    <w:rsid w:val="002A2335"/>
    <w:rsid w:val="002A27DD"/>
    <w:rsid w:val="002A28EB"/>
    <w:rsid w:val="002A2AAE"/>
    <w:rsid w:val="002A33F5"/>
    <w:rsid w:val="002A48B7"/>
    <w:rsid w:val="002A76F4"/>
    <w:rsid w:val="002B0C42"/>
    <w:rsid w:val="002B4E80"/>
    <w:rsid w:val="002B74B6"/>
    <w:rsid w:val="002C1353"/>
    <w:rsid w:val="002C549B"/>
    <w:rsid w:val="002C5F39"/>
    <w:rsid w:val="002C7023"/>
    <w:rsid w:val="002C71E1"/>
    <w:rsid w:val="002C7586"/>
    <w:rsid w:val="002D05A1"/>
    <w:rsid w:val="002D0910"/>
    <w:rsid w:val="002D2B26"/>
    <w:rsid w:val="002D2F2F"/>
    <w:rsid w:val="002D35C5"/>
    <w:rsid w:val="002D5966"/>
    <w:rsid w:val="002D610D"/>
    <w:rsid w:val="002D6162"/>
    <w:rsid w:val="002D6290"/>
    <w:rsid w:val="002D632D"/>
    <w:rsid w:val="002D6D1E"/>
    <w:rsid w:val="002E615B"/>
    <w:rsid w:val="002E62E6"/>
    <w:rsid w:val="002E7099"/>
    <w:rsid w:val="002E71CE"/>
    <w:rsid w:val="002E770E"/>
    <w:rsid w:val="002F0FB7"/>
    <w:rsid w:val="002F4EBA"/>
    <w:rsid w:val="002F5654"/>
    <w:rsid w:val="002F67C5"/>
    <w:rsid w:val="002F7E54"/>
    <w:rsid w:val="002F7EBA"/>
    <w:rsid w:val="003009DC"/>
    <w:rsid w:val="00300FE0"/>
    <w:rsid w:val="00302648"/>
    <w:rsid w:val="00303EA1"/>
    <w:rsid w:val="003055DF"/>
    <w:rsid w:val="003066F4"/>
    <w:rsid w:val="00310EE5"/>
    <w:rsid w:val="00311A20"/>
    <w:rsid w:val="00314734"/>
    <w:rsid w:val="00314A88"/>
    <w:rsid w:val="00316E65"/>
    <w:rsid w:val="00317E4D"/>
    <w:rsid w:val="00320F2A"/>
    <w:rsid w:val="00321673"/>
    <w:rsid w:val="00321A96"/>
    <w:rsid w:val="00322F75"/>
    <w:rsid w:val="00324115"/>
    <w:rsid w:val="00324E60"/>
    <w:rsid w:val="003257A5"/>
    <w:rsid w:val="00325CF4"/>
    <w:rsid w:val="0033062B"/>
    <w:rsid w:val="0033097E"/>
    <w:rsid w:val="00330E81"/>
    <w:rsid w:val="003350BA"/>
    <w:rsid w:val="00335F17"/>
    <w:rsid w:val="00336236"/>
    <w:rsid w:val="00337001"/>
    <w:rsid w:val="003411F3"/>
    <w:rsid w:val="00344561"/>
    <w:rsid w:val="00346F22"/>
    <w:rsid w:val="0035010B"/>
    <w:rsid w:val="003507D7"/>
    <w:rsid w:val="003508AD"/>
    <w:rsid w:val="003517B4"/>
    <w:rsid w:val="00351E29"/>
    <w:rsid w:val="00352656"/>
    <w:rsid w:val="003527B6"/>
    <w:rsid w:val="00353BE9"/>
    <w:rsid w:val="00354C2A"/>
    <w:rsid w:val="00356804"/>
    <w:rsid w:val="00361586"/>
    <w:rsid w:val="00361E27"/>
    <w:rsid w:val="00362413"/>
    <w:rsid w:val="00363BB2"/>
    <w:rsid w:val="00363D5A"/>
    <w:rsid w:val="00364559"/>
    <w:rsid w:val="0036463A"/>
    <w:rsid w:val="0036553A"/>
    <w:rsid w:val="00365B7A"/>
    <w:rsid w:val="00367D7A"/>
    <w:rsid w:val="00370E1D"/>
    <w:rsid w:val="00370ECA"/>
    <w:rsid w:val="003728B6"/>
    <w:rsid w:val="00374566"/>
    <w:rsid w:val="00380E4C"/>
    <w:rsid w:val="00382940"/>
    <w:rsid w:val="00382C02"/>
    <w:rsid w:val="0038357B"/>
    <w:rsid w:val="00383596"/>
    <w:rsid w:val="0038378F"/>
    <w:rsid w:val="00384C09"/>
    <w:rsid w:val="00385499"/>
    <w:rsid w:val="00387827"/>
    <w:rsid w:val="0039084D"/>
    <w:rsid w:val="00390B99"/>
    <w:rsid w:val="00395E0B"/>
    <w:rsid w:val="00395F1C"/>
    <w:rsid w:val="00396434"/>
    <w:rsid w:val="00397A29"/>
    <w:rsid w:val="003A0B29"/>
    <w:rsid w:val="003A0C92"/>
    <w:rsid w:val="003A0E43"/>
    <w:rsid w:val="003A2619"/>
    <w:rsid w:val="003A56C7"/>
    <w:rsid w:val="003A62A3"/>
    <w:rsid w:val="003A69EA"/>
    <w:rsid w:val="003B0A39"/>
    <w:rsid w:val="003B2BD3"/>
    <w:rsid w:val="003B2DFE"/>
    <w:rsid w:val="003B3B3A"/>
    <w:rsid w:val="003B4006"/>
    <w:rsid w:val="003B401B"/>
    <w:rsid w:val="003B4D37"/>
    <w:rsid w:val="003B4F19"/>
    <w:rsid w:val="003B7655"/>
    <w:rsid w:val="003C381D"/>
    <w:rsid w:val="003C4461"/>
    <w:rsid w:val="003C6BE1"/>
    <w:rsid w:val="003C7E0A"/>
    <w:rsid w:val="003D72DB"/>
    <w:rsid w:val="003D7CF8"/>
    <w:rsid w:val="003E0C11"/>
    <w:rsid w:val="003E1C2B"/>
    <w:rsid w:val="003E3F21"/>
    <w:rsid w:val="003E41B1"/>
    <w:rsid w:val="003E52E8"/>
    <w:rsid w:val="003E5E97"/>
    <w:rsid w:val="003E6166"/>
    <w:rsid w:val="003E7C5C"/>
    <w:rsid w:val="003F053B"/>
    <w:rsid w:val="003F056B"/>
    <w:rsid w:val="003F0B3F"/>
    <w:rsid w:val="003F3268"/>
    <w:rsid w:val="003F3736"/>
    <w:rsid w:val="003F5CCE"/>
    <w:rsid w:val="003F787B"/>
    <w:rsid w:val="00402606"/>
    <w:rsid w:val="00403BF2"/>
    <w:rsid w:val="004042AC"/>
    <w:rsid w:val="00404742"/>
    <w:rsid w:val="00404FE1"/>
    <w:rsid w:val="0040572C"/>
    <w:rsid w:val="004062EC"/>
    <w:rsid w:val="00406E30"/>
    <w:rsid w:val="00407018"/>
    <w:rsid w:val="00407FFC"/>
    <w:rsid w:val="00411169"/>
    <w:rsid w:val="00411D4A"/>
    <w:rsid w:val="0041482A"/>
    <w:rsid w:val="00415B70"/>
    <w:rsid w:val="004200D8"/>
    <w:rsid w:val="00421D7D"/>
    <w:rsid w:val="004223E2"/>
    <w:rsid w:val="00422BD6"/>
    <w:rsid w:val="00425BD6"/>
    <w:rsid w:val="00426B9C"/>
    <w:rsid w:val="0042714D"/>
    <w:rsid w:val="004307AC"/>
    <w:rsid w:val="004311A6"/>
    <w:rsid w:val="0043185A"/>
    <w:rsid w:val="00436890"/>
    <w:rsid w:val="00437F78"/>
    <w:rsid w:val="00441D3C"/>
    <w:rsid w:val="00443507"/>
    <w:rsid w:val="00443E34"/>
    <w:rsid w:val="00446E27"/>
    <w:rsid w:val="00447169"/>
    <w:rsid w:val="0044794E"/>
    <w:rsid w:val="00447D01"/>
    <w:rsid w:val="00447F17"/>
    <w:rsid w:val="00450902"/>
    <w:rsid w:val="004526C5"/>
    <w:rsid w:val="00453FED"/>
    <w:rsid w:val="0045581B"/>
    <w:rsid w:val="004568A9"/>
    <w:rsid w:val="00460968"/>
    <w:rsid w:val="004629D4"/>
    <w:rsid w:val="00464B71"/>
    <w:rsid w:val="004662FA"/>
    <w:rsid w:val="00467729"/>
    <w:rsid w:val="00471447"/>
    <w:rsid w:val="00471637"/>
    <w:rsid w:val="00472367"/>
    <w:rsid w:val="0047529D"/>
    <w:rsid w:val="00475E65"/>
    <w:rsid w:val="004773D4"/>
    <w:rsid w:val="00483B7D"/>
    <w:rsid w:val="00483BB7"/>
    <w:rsid w:val="004840E3"/>
    <w:rsid w:val="00484526"/>
    <w:rsid w:val="00486AB0"/>
    <w:rsid w:val="004924B5"/>
    <w:rsid w:val="00495C3F"/>
    <w:rsid w:val="00497C65"/>
    <w:rsid w:val="004A03D9"/>
    <w:rsid w:val="004A2233"/>
    <w:rsid w:val="004A35D0"/>
    <w:rsid w:val="004A48D0"/>
    <w:rsid w:val="004A4FCE"/>
    <w:rsid w:val="004A6AE5"/>
    <w:rsid w:val="004B0BF9"/>
    <w:rsid w:val="004B2396"/>
    <w:rsid w:val="004B330C"/>
    <w:rsid w:val="004C04CD"/>
    <w:rsid w:val="004C0B5D"/>
    <w:rsid w:val="004C1B73"/>
    <w:rsid w:val="004C298A"/>
    <w:rsid w:val="004C3414"/>
    <w:rsid w:val="004C34F4"/>
    <w:rsid w:val="004C3FA0"/>
    <w:rsid w:val="004C58C7"/>
    <w:rsid w:val="004C6115"/>
    <w:rsid w:val="004D1DA6"/>
    <w:rsid w:val="004D3369"/>
    <w:rsid w:val="004D3631"/>
    <w:rsid w:val="004D3BCA"/>
    <w:rsid w:val="004D4FA4"/>
    <w:rsid w:val="004D5485"/>
    <w:rsid w:val="004D6179"/>
    <w:rsid w:val="004E089E"/>
    <w:rsid w:val="004E0F1A"/>
    <w:rsid w:val="004E13CB"/>
    <w:rsid w:val="004E2A5C"/>
    <w:rsid w:val="004E2ACB"/>
    <w:rsid w:val="004E3090"/>
    <w:rsid w:val="004E490A"/>
    <w:rsid w:val="004E5896"/>
    <w:rsid w:val="004E6688"/>
    <w:rsid w:val="004F085A"/>
    <w:rsid w:val="004F0B78"/>
    <w:rsid w:val="004F14BB"/>
    <w:rsid w:val="004F54FE"/>
    <w:rsid w:val="004F5672"/>
    <w:rsid w:val="004F591C"/>
    <w:rsid w:val="004F726B"/>
    <w:rsid w:val="004F7FDF"/>
    <w:rsid w:val="005022A2"/>
    <w:rsid w:val="00502E52"/>
    <w:rsid w:val="00503F51"/>
    <w:rsid w:val="005077B5"/>
    <w:rsid w:val="00510743"/>
    <w:rsid w:val="00513493"/>
    <w:rsid w:val="00515F74"/>
    <w:rsid w:val="005213DA"/>
    <w:rsid w:val="00522614"/>
    <w:rsid w:val="005233CC"/>
    <w:rsid w:val="0052353B"/>
    <w:rsid w:val="00525CF9"/>
    <w:rsid w:val="00530931"/>
    <w:rsid w:val="00533C8C"/>
    <w:rsid w:val="00535917"/>
    <w:rsid w:val="00536082"/>
    <w:rsid w:val="0054229F"/>
    <w:rsid w:val="00542751"/>
    <w:rsid w:val="0054481C"/>
    <w:rsid w:val="005476B4"/>
    <w:rsid w:val="005510C0"/>
    <w:rsid w:val="005534EA"/>
    <w:rsid w:val="005547AF"/>
    <w:rsid w:val="00556A24"/>
    <w:rsid w:val="00560BA0"/>
    <w:rsid w:val="005637F5"/>
    <w:rsid w:val="00563C03"/>
    <w:rsid w:val="00564474"/>
    <w:rsid w:val="005671EB"/>
    <w:rsid w:val="0056EFE5"/>
    <w:rsid w:val="00572525"/>
    <w:rsid w:val="00573178"/>
    <w:rsid w:val="00576BC1"/>
    <w:rsid w:val="00577111"/>
    <w:rsid w:val="005816C0"/>
    <w:rsid w:val="005817A6"/>
    <w:rsid w:val="00584DBF"/>
    <w:rsid w:val="0058557D"/>
    <w:rsid w:val="005858B1"/>
    <w:rsid w:val="005860B3"/>
    <w:rsid w:val="00586256"/>
    <w:rsid w:val="005879DF"/>
    <w:rsid w:val="005904BA"/>
    <w:rsid w:val="00590C9B"/>
    <w:rsid w:val="00590FAC"/>
    <w:rsid w:val="00592272"/>
    <w:rsid w:val="00595A92"/>
    <w:rsid w:val="005A1138"/>
    <w:rsid w:val="005A1205"/>
    <w:rsid w:val="005A3125"/>
    <w:rsid w:val="005A51D9"/>
    <w:rsid w:val="005A5629"/>
    <w:rsid w:val="005B0FFC"/>
    <w:rsid w:val="005C0DB1"/>
    <w:rsid w:val="005C211B"/>
    <w:rsid w:val="005C3431"/>
    <w:rsid w:val="005C4855"/>
    <w:rsid w:val="005D0208"/>
    <w:rsid w:val="005D221D"/>
    <w:rsid w:val="005D2420"/>
    <w:rsid w:val="005D326E"/>
    <w:rsid w:val="005D4A12"/>
    <w:rsid w:val="005D5A9E"/>
    <w:rsid w:val="005D68AF"/>
    <w:rsid w:val="005D68BA"/>
    <w:rsid w:val="005D72DE"/>
    <w:rsid w:val="005D74AE"/>
    <w:rsid w:val="005D7AC0"/>
    <w:rsid w:val="005E083F"/>
    <w:rsid w:val="005E0962"/>
    <w:rsid w:val="005E17BB"/>
    <w:rsid w:val="005E183C"/>
    <w:rsid w:val="005E2185"/>
    <w:rsid w:val="005E479B"/>
    <w:rsid w:val="005E60CA"/>
    <w:rsid w:val="005F0856"/>
    <w:rsid w:val="005F0978"/>
    <w:rsid w:val="005F2908"/>
    <w:rsid w:val="005F2FC9"/>
    <w:rsid w:val="005F5DA8"/>
    <w:rsid w:val="005F661F"/>
    <w:rsid w:val="005F6A63"/>
    <w:rsid w:val="005F75E1"/>
    <w:rsid w:val="005F7E04"/>
    <w:rsid w:val="006027CE"/>
    <w:rsid w:val="0060550A"/>
    <w:rsid w:val="0060732D"/>
    <w:rsid w:val="006104EA"/>
    <w:rsid w:val="00611547"/>
    <w:rsid w:val="006121A2"/>
    <w:rsid w:val="006122A6"/>
    <w:rsid w:val="006133B8"/>
    <w:rsid w:val="00613ECD"/>
    <w:rsid w:val="0061519B"/>
    <w:rsid w:val="00615906"/>
    <w:rsid w:val="00617691"/>
    <w:rsid w:val="006202DA"/>
    <w:rsid w:val="00622AC8"/>
    <w:rsid w:val="00624242"/>
    <w:rsid w:val="0062734A"/>
    <w:rsid w:val="00632ED7"/>
    <w:rsid w:val="006353AF"/>
    <w:rsid w:val="00635B96"/>
    <w:rsid w:val="00636154"/>
    <w:rsid w:val="00636DC5"/>
    <w:rsid w:val="00637B9B"/>
    <w:rsid w:val="00640097"/>
    <w:rsid w:val="00641392"/>
    <w:rsid w:val="00642C8C"/>
    <w:rsid w:val="0064399F"/>
    <w:rsid w:val="00650590"/>
    <w:rsid w:val="00652184"/>
    <w:rsid w:val="006540B5"/>
    <w:rsid w:val="006540CB"/>
    <w:rsid w:val="00655CDC"/>
    <w:rsid w:val="00661329"/>
    <w:rsid w:val="00661FC2"/>
    <w:rsid w:val="00662D7E"/>
    <w:rsid w:val="006637EB"/>
    <w:rsid w:val="00671C97"/>
    <w:rsid w:val="00671F91"/>
    <w:rsid w:val="006726B6"/>
    <w:rsid w:val="00673579"/>
    <w:rsid w:val="006735C3"/>
    <w:rsid w:val="00673606"/>
    <w:rsid w:val="00674A0C"/>
    <w:rsid w:val="006822DA"/>
    <w:rsid w:val="006827BE"/>
    <w:rsid w:val="00683988"/>
    <w:rsid w:val="00686339"/>
    <w:rsid w:val="00691C8E"/>
    <w:rsid w:val="00692B56"/>
    <w:rsid w:val="00693351"/>
    <w:rsid w:val="00693B28"/>
    <w:rsid w:val="006945BC"/>
    <w:rsid w:val="00695C99"/>
    <w:rsid w:val="00696B97"/>
    <w:rsid w:val="00696ED3"/>
    <w:rsid w:val="006A14D0"/>
    <w:rsid w:val="006A179A"/>
    <w:rsid w:val="006A264D"/>
    <w:rsid w:val="006A2D88"/>
    <w:rsid w:val="006A3499"/>
    <w:rsid w:val="006A4755"/>
    <w:rsid w:val="006B11DE"/>
    <w:rsid w:val="006B1B94"/>
    <w:rsid w:val="006B210F"/>
    <w:rsid w:val="006B2927"/>
    <w:rsid w:val="006B32A5"/>
    <w:rsid w:val="006B4984"/>
    <w:rsid w:val="006B504A"/>
    <w:rsid w:val="006B5F6B"/>
    <w:rsid w:val="006C14E0"/>
    <w:rsid w:val="006C2D31"/>
    <w:rsid w:val="006C3911"/>
    <w:rsid w:val="006C4582"/>
    <w:rsid w:val="006C6194"/>
    <w:rsid w:val="006C779A"/>
    <w:rsid w:val="006C7867"/>
    <w:rsid w:val="006C7A0E"/>
    <w:rsid w:val="006C7D5C"/>
    <w:rsid w:val="006D12D9"/>
    <w:rsid w:val="006D4A44"/>
    <w:rsid w:val="006E1234"/>
    <w:rsid w:val="006E1B0C"/>
    <w:rsid w:val="006E2AAF"/>
    <w:rsid w:val="006E4C73"/>
    <w:rsid w:val="006E6F9E"/>
    <w:rsid w:val="006F168A"/>
    <w:rsid w:val="006F16E9"/>
    <w:rsid w:val="006F1B5F"/>
    <w:rsid w:val="006F4952"/>
    <w:rsid w:val="006F4AB1"/>
    <w:rsid w:val="006F5616"/>
    <w:rsid w:val="006F5685"/>
    <w:rsid w:val="006F5D20"/>
    <w:rsid w:val="006F6034"/>
    <w:rsid w:val="0070472A"/>
    <w:rsid w:val="00704B03"/>
    <w:rsid w:val="00704F65"/>
    <w:rsid w:val="0070507A"/>
    <w:rsid w:val="00707804"/>
    <w:rsid w:val="00707ABB"/>
    <w:rsid w:val="00710CD8"/>
    <w:rsid w:val="00711310"/>
    <w:rsid w:val="0071167C"/>
    <w:rsid w:val="00716745"/>
    <w:rsid w:val="00720A5F"/>
    <w:rsid w:val="00721424"/>
    <w:rsid w:val="00721C60"/>
    <w:rsid w:val="0072313D"/>
    <w:rsid w:val="00724555"/>
    <w:rsid w:val="00726779"/>
    <w:rsid w:val="00726BA8"/>
    <w:rsid w:val="00727938"/>
    <w:rsid w:val="007304C8"/>
    <w:rsid w:val="0073084D"/>
    <w:rsid w:val="00730F69"/>
    <w:rsid w:val="00731532"/>
    <w:rsid w:val="0073234A"/>
    <w:rsid w:val="0074017D"/>
    <w:rsid w:val="0074051F"/>
    <w:rsid w:val="00744761"/>
    <w:rsid w:val="007461E8"/>
    <w:rsid w:val="0074666C"/>
    <w:rsid w:val="007469A4"/>
    <w:rsid w:val="00746E41"/>
    <w:rsid w:val="00747529"/>
    <w:rsid w:val="00747763"/>
    <w:rsid w:val="007511D9"/>
    <w:rsid w:val="00752B60"/>
    <w:rsid w:val="00754D6C"/>
    <w:rsid w:val="007556CC"/>
    <w:rsid w:val="00755B09"/>
    <w:rsid w:val="00756204"/>
    <w:rsid w:val="00761F3B"/>
    <w:rsid w:val="0076382B"/>
    <w:rsid w:val="00763B96"/>
    <w:rsid w:val="00765BBE"/>
    <w:rsid w:val="00770B75"/>
    <w:rsid w:val="00777014"/>
    <w:rsid w:val="0077785C"/>
    <w:rsid w:val="0078491D"/>
    <w:rsid w:val="00786437"/>
    <w:rsid w:val="00790198"/>
    <w:rsid w:val="00791823"/>
    <w:rsid w:val="0079285E"/>
    <w:rsid w:val="00793484"/>
    <w:rsid w:val="0079508C"/>
    <w:rsid w:val="00795ACB"/>
    <w:rsid w:val="007A0212"/>
    <w:rsid w:val="007A0978"/>
    <w:rsid w:val="007A3AD3"/>
    <w:rsid w:val="007A3F6C"/>
    <w:rsid w:val="007A7995"/>
    <w:rsid w:val="007B0991"/>
    <w:rsid w:val="007B19D3"/>
    <w:rsid w:val="007B24AF"/>
    <w:rsid w:val="007B29B2"/>
    <w:rsid w:val="007B2C24"/>
    <w:rsid w:val="007B2F00"/>
    <w:rsid w:val="007B4839"/>
    <w:rsid w:val="007B486D"/>
    <w:rsid w:val="007B590C"/>
    <w:rsid w:val="007C1458"/>
    <w:rsid w:val="007C413B"/>
    <w:rsid w:val="007C4582"/>
    <w:rsid w:val="007C46D3"/>
    <w:rsid w:val="007C63E9"/>
    <w:rsid w:val="007C6F9B"/>
    <w:rsid w:val="007C74CB"/>
    <w:rsid w:val="007C7B81"/>
    <w:rsid w:val="007C7D47"/>
    <w:rsid w:val="007D078B"/>
    <w:rsid w:val="007D10A7"/>
    <w:rsid w:val="007D78DD"/>
    <w:rsid w:val="007E37FA"/>
    <w:rsid w:val="007E4187"/>
    <w:rsid w:val="007E5088"/>
    <w:rsid w:val="007E7C9D"/>
    <w:rsid w:val="007F1805"/>
    <w:rsid w:val="007F28F8"/>
    <w:rsid w:val="007F4E44"/>
    <w:rsid w:val="007F52AC"/>
    <w:rsid w:val="007F56E6"/>
    <w:rsid w:val="008013E8"/>
    <w:rsid w:val="00802C84"/>
    <w:rsid w:val="008036F9"/>
    <w:rsid w:val="00803A8E"/>
    <w:rsid w:val="00804461"/>
    <w:rsid w:val="0080647D"/>
    <w:rsid w:val="0081284E"/>
    <w:rsid w:val="008137E1"/>
    <w:rsid w:val="00813BFC"/>
    <w:rsid w:val="00815896"/>
    <w:rsid w:val="00816690"/>
    <w:rsid w:val="00820392"/>
    <w:rsid w:val="008204A5"/>
    <w:rsid w:val="0082065D"/>
    <w:rsid w:val="00820757"/>
    <w:rsid w:val="00821311"/>
    <w:rsid w:val="00824B5B"/>
    <w:rsid w:val="0082505F"/>
    <w:rsid w:val="008256FD"/>
    <w:rsid w:val="00826C1E"/>
    <w:rsid w:val="00831042"/>
    <w:rsid w:val="00831BBD"/>
    <w:rsid w:val="00833FFF"/>
    <w:rsid w:val="00841890"/>
    <w:rsid w:val="00841A2C"/>
    <w:rsid w:val="00841AF0"/>
    <w:rsid w:val="00842B1B"/>
    <w:rsid w:val="008458BF"/>
    <w:rsid w:val="00847084"/>
    <w:rsid w:val="00852DC3"/>
    <w:rsid w:val="00854C53"/>
    <w:rsid w:val="00857ACF"/>
    <w:rsid w:val="008603B3"/>
    <w:rsid w:val="00860DD5"/>
    <w:rsid w:val="008623B3"/>
    <w:rsid w:val="0086414D"/>
    <w:rsid w:val="00864D8C"/>
    <w:rsid w:val="00875AD2"/>
    <w:rsid w:val="0087643B"/>
    <w:rsid w:val="00876E27"/>
    <w:rsid w:val="00880289"/>
    <w:rsid w:val="008820BE"/>
    <w:rsid w:val="00882CBB"/>
    <w:rsid w:val="00883885"/>
    <w:rsid w:val="00887F0E"/>
    <w:rsid w:val="00890C52"/>
    <w:rsid w:val="008912BB"/>
    <w:rsid w:val="008918A3"/>
    <w:rsid w:val="00891F56"/>
    <w:rsid w:val="0089253E"/>
    <w:rsid w:val="00892F4E"/>
    <w:rsid w:val="008936D9"/>
    <w:rsid w:val="00893D6F"/>
    <w:rsid w:val="0089405D"/>
    <w:rsid w:val="008969F4"/>
    <w:rsid w:val="00896D15"/>
    <w:rsid w:val="00896F6A"/>
    <w:rsid w:val="008A3569"/>
    <w:rsid w:val="008A4E30"/>
    <w:rsid w:val="008A521D"/>
    <w:rsid w:val="008A5EB4"/>
    <w:rsid w:val="008A69C0"/>
    <w:rsid w:val="008A6A72"/>
    <w:rsid w:val="008A721E"/>
    <w:rsid w:val="008B0287"/>
    <w:rsid w:val="008B040C"/>
    <w:rsid w:val="008B05C6"/>
    <w:rsid w:val="008B0826"/>
    <w:rsid w:val="008B30E6"/>
    <w:rsid w:val="008B35CD"/>
    <w:rsid w:val="008B4D79"/>
    <w:rsid w:val="008B5D3C"/>
    <w:rsid w:val="008B603E"/>
    <w:rsid w:val="008C0F8C"/>
    <w:rsid w:val="008C1649"/>
    <w:rsid w:val="008C1D22"/>
    <w:rsid w:val="008C2C9F"/>
    <w:rsid w:val="008C3763"/>
    <w:rsid w:val="008C38B2"/>
    <w:rsid w:val="008C4E2F"/>
    <w:rsid w:val="008C66F4"/>
    <w:rsid w:val="008D0657"/>
    <w:rsid w:val="008D09CE"/>
    <w:rsid w:val="008D3413"/>
    <w:rsid w:val="008D3642"/>
    <w:rsid w:val="008D395F"/>
    <w:rsid w:val="008D3AFA"/>
    <w:rsid w:val="008D4817"/>
    <w:rsid w:val="008D4B47"/>
    <w:rsid w:val="008D6D07"/>
    <w:rsid w:val="008E0145"/>
    <w:rsid w:val="008E1CA7"/>
    <w:rsid w:val="008E1FA5"/>
    <w:rsid w:val="008E4E31"/>
    <w:rsid w:val="008E6158"/>
    <w:rsid w:val="008E67F7"/>
    <w:rsid w:val="008E7EC9"/>
    <w:rsid w:val="008F0F1B"/>
    <w:rsid w:val="008F4987"/>
    <w:rsid w:val="008F573A"/>
    <w:rsid w:val="008F666B"/>
    <w:rsid w:val="00900052"/>
    <w:rsid w:val="00902D02"/>
    <w:rsid w:val="009040DD"/>
    <w:rsid w:val="00904CD6"/>
    <w:rsid w:val="00905D48"/>
    <w:rsid w:val="00905E82"/>
    <w:rsid w:val="00906DA5"/>
    <w:rsid w:val="00907A9C"/>
    <w:rsid w:val="00912B79"/>
    <w:rsid w:val="00913491"/>
    <w:rsid w:val="0091460A"/>
    <w:rsid w:val="00915FEA"/>
    <w:rsid w:val="00920E80"/>
    <w:rsid w:val="00921095"/>
    <w:rsid w:val="00922E50"/>
    <w:rsid w:val="0092302B"/>
    <w:rsid w:val="00923319"/>
    <w:rsid w:val="0092554C"/>
    <w:rsid w:val="0092585C"/>
    <w:rsid w:val="009258FE"/>
    <w:rsid w:val="00926747"/>
    <w:rsid w:val="009307CF"/>
    <w:rsid w:val="0093314D"/>
    <w:rsid w:val="00944412"/>
    <w:rsid w:val="009469A2"/>
    <w:rsid w:val="00947437"/>
    <w:rsid w:val="00951ADA"/>
    <w:rsid w:val="00953ECE"/>
    <w:rsid w:val="0095444F"/>
    <w:rsid w:val="00955D1F"/>
    <w:rsid w:val="00956547"/>
    <w:rsid w:val="00956CE7"/>
    <w:rsid w:val="009679A8"/>
    <w:rsid w:val="00973E9F"/>
    <w:rsid w:val="0097536F"/>
    <w:rsid w:val="0097552A"/>
    <w:rsid w:val="00976B5C"/>
    <w:rsid w:val="00976CF1"/>
    <w:rsid w:val="009775AE"/>
    <w:rsid w:val="00980F13"/>
    <w:rsid w:val="00981DE7"/>
    <w:rsid w:val="00983B73"/>
    <w:rsid w:val="00984EB2"/>
    <w:rsid w:val="0098612B"/>
    <w:rsid w:val="0098648D"/>
    <w:rsid w:val="00986754"/>
    <w:rsid w:val="00987021"/>
    <w:rsid w:val="00990148"/>
    <w:rsid w:val="00995867"/>
    <w:rsid w:val="009A3A8A"/>
    <w:rsid w:val="009A4EBD"/>
    <w:rsid w:val="009A6D14"/>
    <w:rsid w:val="009A7E10"/>
    <w:rsid w:val="009B7604"/>
    <w:rsid w:val="009C009F"/>
    <w:rsid w:val="009C39FD"/>
    <w:rsid w:val="009C3AF5"/>
    <w:rsid w:val="009C3DEC"/>
    <w:rsid w:val="009C4010"/>
    <w:rsid w:val="009C5C11"/>
    <w:rsid w:val="009C5F3B"/>
    <w:rsid w:val="009C60F4"/>
    <w:rsid w:val="009C689E"/>
    <w:rsid w:val="009C7B88"/>
    <w:rsid w:val="009D01F1"/>
    <w:rsid w:val="009D3181"/>
    <w:rsid w:val="009D61A4"/>
    <w:rsid w:val="009E0AD2"/>
    <w:rsid w:val="009E1BC5"/>
    <w:rsid w:val="009E3F86"/>
    <w:rsid w:val="009E4CCE"/>
    <w:rsid w:val="009E5B66"/>
    <w:rsid w:val="009E6950"/>
    <w:rsid w:val="009E7D3B"/>
    <w:rsid w:val="009F0B65"/>
    <w:rsid w:val="009F64EB"/>
    <w:rsid w:val="009F73BD"/>
    <w:rsid w:val="00A00BA5"/>
    <w:rsid w:val="00A01A01"/>
    <w:rsid w:val="00A02CFD"/>
    <w:rsid w:val="00A0417F"/>
    <w:rsid w:val="00A05449"/>
    <w:rsid w:val="00A05D3F"/>
    <w:rsid w:val="00A103D3"/>
    <w:rsid w:val="00A13C59"/>
    <w:rsid w:val="00A14331"/>
    <w:rsid w:val="00A14DAB"/>
    <w:rsid w:val="00A17FD3"/>
    <w:rsid w:val="00A20635"/>
    <w:rsid w:val="00A2285D"/>
    <w:rsid w:val="00A22CA8"/>
    <w:rsid w:val="00A24224"/>
    <w:rsid w:val="00A2438C"/>
    <w:rsid w:val="00A24B43"/>
    <w:rsid w:val="00A26325"/>
    <w:rsid w:val="00A30A19"/>
    <w:rsid w:val="00A31094"/>
    <w:rsid w:val="00A33EE5"/>
    <w:rsid w:val="00A36C54"/>
    <w:rsid w:val="00A37263"/>
    <w:rsid w:val="00A37509"/>
    <w:rsid w:val="00A40702"/>
    <w:rsid w:val="00A4136A"/>
    <w:rsid w:val="00A415A3"/>
    <w:rsid w:val="00A42E6E"/>
    <w:rsid w:val="00A438DB"/>
    <w:rsid w:val="00A45C11"/>
    <w:rsid w:val="00A46F2E"/>
    <w:rsid w:val="00A504AB"/>
    <w:rsid w:val="00A511AD"/>
    <w:rsid w:val="00A52BCA"/>
    <w:rsid w:val="00A5409A"/>
    <w:rsid w:val="00A548C5"/>
    <w:rsid w:val="00A54914"/>
    <w:rsid w:val="00A54E4B"/>
    <w:rsid w:val="00A55767"/>
    <w:rsid w:val="00A564A9"/>
    <w:rsid w:val="00A57C62"/>
    <w:rsid w:val="00A57D1B"/>
    <w:rsid w:val="00A604BD"/>
    <w:rsid w:val="00A61500"/>
    <w:rsid w:val="00A649E2"/>
    <w:rsid w:val="00A6636B"/>
    <w:rsid w:val="00A70814"/>
    <w:rsid w:val="00A71D21"/>
    <w:rsid w:val="00A740CE"/>
    <w:rsid w:val="00A74661"/>
    <w:rsid w:val="00A758BD"/>
    <w:rsid w:val="00A8096D"/>
    <w:rsid w:val="00A82000"/>
    <w:rsid w:val="00A832AE"/>
    <w:rsid w:val="00A83CD6"/>
    <w:rsid w:val="00A84858"/>
    <w:rsid w:val="00A8498E"/>
    <w:rsid w:val="00A851D3"/>
    <w:rsid w:val="00A90177"/>
    <w:rsid w:val="00A91765"/>
    <w:rsid w:val="00A929D5"/>
    <w:rsid w:val="00A93FA6"/>
    <w:rsid w:val="00A9401C"/>
    <w:rsid w:val="00A9664F"/>
    <w:rsid w:val="00A96B25"/>
    <w:rsid w:val="00AA1CD9"/>
    <w:rsid w:val="00AA1D25"/>
    <w:rsid w:val="00AA21BD"/>
    <w:rsid w:val="00AA634F"/>
    <w:rsid w:val="00AB1A78"/>
    <w:rsid w:val="00AB3D0E"/>
    <w:rsid w:val="00AB45EF"/>
    <w:rsid w:val="00AB51FF"/>
    <w:rsid w:val="00AB7D59"/>
    <w:rsid w:val="00AC04EB"/>
    <w:rsid w:val="00AC13AB"/>
    <w:rsid w:val="00AC17AC"/>
    <w:rsid w:val="00AC457C"/>
    <w:rsid w:val="00AC47EE"/>
    <w:rsid w:val="00AD0F45"/>
    <w:rsid w:val="00AD1700"/>
    <w:rsid w:val="00AD205C"/>
    <w:rsid w:val="00AD358D"/>
    <w:rsid w:val="00AD6569"/>
    <w:rsid w:val="00AD681D"/>
    <w:rsid w:val="00AE0B2B"/>
    <w:rsid w:val="00AE2529"/>
    <w:rsid w:val="00AE2A28"/>
    <w:rsid w:val="00AE33B3"/>
    <w:rsid w:val="00AE377C"/>
    <w:rsid w:val="00AF0F53"/>
    <w:rsid w:val="00AF216A"/>
    <w:rsid w:val="00AF61E6"/>
    <w:rsid w:val="00AF682B"/>
    <w:rsid w:val="00AF6B33"/>
    <w:rsid w:val="00AF6E2D"/>
    <w:rsid w:val="00B01F67"/>
    <w:rsid w:val="00B027F2"/>
    <w:rsid w:val="00B02FB5"/>
    <w:rsid w:val="00B03E8C"/>
    <w:rsid w:val="00B05BD3"/>
    <w:rsid w:val="00B10598"/>
    <w:rsid w:val="00B11394"/>
    <w:rsid w:val="00B1294B"/>
    <w:rsid w:val="00B1307D"/>
    <w:rsid w:val="00B14910"/>
    <w:rsid w:val="00B1502C"/>
    <w:rsid w:val="00B15114"/>
    <w:rsid w:val="00B17286"/>
    <w:rsid w:val="00B21773"/>
    <w:rsid w:val="00B21AFC"/>
    <w:rsid w:val="00B21BE9"/>
    <w:rsid w:val="00B23434"/>
    <w:rsid w:val="00B2422B"/>
    <w:rsid w:val="00B24860"/>
    <w:rsid w:val="00B25995"/>
    <w:rsid w:val="00B25A12"/>
    <w:rsid w:val="00B30EA8"/>
    <w:rsid w:val="00B31090"/>
    <w:rsid w:val="00B31A4C"/>
    <w:rsid w:val="00B3375E"/>
    <w:rsid w:val="00B339B1"/>
    <w:rsid w:val="00B37804"/>
    <w:rsid w:val="00B4029E"/>
    <w:rsid w:val="00B41F12"/>
    <w:rsid w:val="00B42603"/>
    <w:rsid w:val="00B45024"/>
    <w:rsid w:val="00B45A36"/>
    <w:rsid w:val="00B46963"/>
    <w:rsid w:val="00B47381"/>
    <w:rsid w:val="00B47CAD"/>
    <w:rsid w:val="00B50170"/>
    <w:rsid w:val="00B502E5"/>
    <w:rsid w:val="00B50700"/>
    <w:rsid w:val="00B51CE4"/>
    <w:rsid w:val="00B52509"/>
    <w:rsid w:val="00B53DA1"/>
    <w:rsid w:val="00B5414F"/>
    <w:rsid w:val="00B55114"/>
    <w:rsid w:val="00B56A29"/>
    <w:rsid w:val="00B57466"/>
    <w:rsid w:val="00B60487"/>
    <w:rsid w:val="00B60B2A"/>
    <w:rsid w:val="00B62255"/>
    <w:rsid w:val="00B635C7"/>
    <w:rsid w:val="00B63A86"/>
    <w:rsid w:val="00B64529"/>
    <w:rsid w:val="00B6461B"/>
    <w:rsid w:val="00B64FD3"/>
    <w:rsid w:val="00B67531"/>
    <w:rsid w:val="00B6755C"/>
    <w:rsid w:val="00B7134E"/>
    <w:rsid w:val="00B733BF"/>
    <w:rsid w:val="00B75041"/>
    <w:rsid w:val="00B7565A"/>
    <w:rsid w:val="00B75D95"/>
    <w:rsid w:val="00B76771"/>
    <w:rsid w:val="00B776CD"/>
    <w:rsid w:val="00B777DB"/>
    <w:rsid w:val="00B77A46"/>
    <w:rsid w:val="00B8001E"/>
    <w:rsid w:val="00B82241"/>
    <w:rsid w:val="00B828ED"/>
    <w:rsid w:val="00B82DA1"/>
    <w:rsid w:val="00B82E68"/>
    <w:rsid w:val="00B8599D"/>
    <w:rsid w:val="00B859B1"/>
    <w:rsid w:val="00B86725"/>
    <w:rsid w:val="00B87E50"/>
    <w:rsid w:val="00B92CBE"/>
    <w:rsid w:val="00B936EB"/>
    <w:rsid w:val="00B9436A"/>
    <w:rsid w:val="00B94792"/>
    <w:rsid w:val="00B95714"/>
    <w:rsid w:val="00B95759"/>
    <w:rsid w:val="00B960E4"/>
    <w:rsid w:val="00BA0341"/>
    <w:rsid w:val="00BA134D"/>
    <w:rsid w:val="00BA16AE"/>
    <w:rsid w:val="00BA344F"/>
    <w:rsid w:val="00BA4804"/>
    <w:rsid w:val="00BA491C"/>
    <w:rsid w:val="00BA773B"/>
    <w:rsid w:val="00BB021B"/>
    <w:rsid w:val="00BB4D40"/>
    <w:rsid w:val="00BC1BCC"/>
    <w:rsid w:val="00BC322E"/>
    <w:rsid w:val="00BC35F5"/>
    <w:rsid w:val="00BC627E"/>
    <w:rsid w:val="00BC70C7"/>
    <w:rsid w:val="00BD6711"/>
    <w:rsid w:val="00BD6EE8"/>
    <w:rsid w:val="00BD768B"/>
    <w:rsid w:val="00BE3520"/>
    <w:rsid w:val="00BE52F7"/>
    <w:rsid w:val="00BE60C6"/>
    <w:rsid w:val="00BE67A6"/>
    <w:rsid w:val="00BF0944"/>
    <w:rsid w:val="00BF0F9E"/>
    <w:rsid w:val="00BF1A83"/>
    <w:rsid w:val="00BF3B13"/>
    <w:rsid w:val="00BF7328"/>
    <w:rsid w:val="00C023A2"/>
    <w:rsid w:val="00C02D04"/>
    <w:rsid w:val="00C0310F"/>
    <w:rsid w:val="00C03E67"/>
    <w:rsid w:val="00C0423A"/>
    <w:rsid w:val="00C0753A"/>
    <w:rsid w:val="00C12292"/>
    <w:rsid w:val="00C1278F"/>
    <w:rsid w:val="00C134E2"/>
    <w:rsid w:val="00C1353B"/>
    <w:rsid w:val="00C1366C"/>
    <w:rsid w:val="00C14C2D"/>
    <w:rsid w:val="00C15238"/>
    <w:rsid w:val="00C16AD4"/>
    <w:rsid w:val="00C17B0A"/>
    <w:rsid w:val="00C2038E"/>
    <w:rsid w:val="00C204F9"/>
    <w:rsid w:val="00C207EE"/>
    <w:rsid w:val="00C2119D"/>
    <w:rsid w:val="00C24BD9"/>
    <w:rsid w:val="00C251C6"/>
    <w:rsid w:val="00C30A81"/>
    <w:rsid w:val="00C3132D"/>
    <w:rsid w:val="00C341CC"/>
    <w:rsid w:val="00C34B31"/>
    <w:rsid w:val="00C3569D"/>
    <w:rsid w:val="00C36595"/>
    <w:rsid w:val="00C36F4C"/>
    <w:rsid w:val="00C37D2C"/>
    <w:rsid w:val="00C40A43"/>
    <w:rsid w:val="00C435AE"/>
    <w:rsid w:val="00C44332"/>
    <w:rsid w:val="00C44D6E"/>
    <w:rsid w:val="00C47343"/>
    <w:rsid w:val="00C4744E"/>
    <w:rsid w:val="00C54A34"/>
    <w:rsid w:val="00C56FD6"/>
    <w:rsid w:val="00C57073"/>
    <w:rsid w:val="00C63A41"/>
    <w:rsid w:val="00C64041"/>
    <w:rsid w:val="00C650B3"/>
    <w:rsid w:val="00C670C3"/>
    <w:rsid w:val="00C73C6F"/>
    <w:rsid w:val="00C76630"/>
    <w:rsid w:val="00C80E84"/>
    <w:rsid w:val="00C81133"/>
    <w:rsid w:val="00C81E35"/>
    <w:rsid w:val="00C826D2"/>
    <w:rsid w:val="00C82765"/>
    <w:rsid w:val="00C82E64"/>
    <w:rsid w:val="00C90909"/>
    <w:rsid w:val="00C9139F"/>
    <w:rsid w:val="00C92894"/>
    <w:rsid w:val="00C93843"/>
    <w:rsid w:val="00C93A96"/>
    <w:rsid w:val="00C95121"/>
    <w:rsid w:val="00C95193"/>
    <w:rsid w:val="00C961D2"/>
    <w:rsid w:val="00C96E04"/>
    <w:rsid w:val="00CA064C"/>
    <w:rsid w:val="00CA16E0"/>
    <w:rsid w:val="00CA23E2"/>
    <w:rsid w:val="00CA2584"/>
    <w:rsid w:val="00CA2B7A"/>
    <w:rsid w:val="00CA35DC"/>
    <w:rsid w:val="00CA3D40"/>
    <w:rsid w:val="00CA522D"/>
    <w:rsid w:val="00CA6F15"/>
    <w:rsid w:val="00CA73B2"/>
    <w:rsid w:val="00CB0E94"/>
    <w:rsid w:val="00CC0532"/>
    <w:rsid w:val="00CC4351"/>
    <w:rsid w:val="00CC486B"/>
    <w:rsid w:val="00CC5A63"/>
    <w:rsid w:val="00CC6A80"/>
    <w:rsid w:val="00CD0C36"/>
    <w:rsid w:val="00CD0CA7"/>
    <w:rsid w:val="00CD145F"/>
    <w:rsid w:val="00CD39F3"/>
    <w:rsid w:val="00CD4548"/>
    <w:rsid w:val="00CD65DF"/>
    <w:rsid w:val="00CD6CAB"/>
    <w:rsid w:val="00CD7342"/>
    <w:rsid w:val="00CD75AE"/>
    <w:rsid w:val="00CE09FA"/>
    <w:rsid w:val="00CE3785"/>
    <w:rsid w:val="00CE4396"/>
    <w:rsid w:val="00CE5D45"/>
    <w:rsid w:val="00CE7F5B"/>
    <w:rsid w:val="00CF0CB5"/>
    <w:rsid w:val="00CF243A"/>
    <w:rsid w:val="00CF3794"/>
    <w:rsid w:val="00CF49BC"/>
    <w:rsid w:val="00CF5096"/>
    <w:rsid w:val="00CF5423"/>
    <w:rsid w:val="00CF5D03"/>
    <w:rsid w:val="00CF6F57"/>
    <w:rsid w:val="00CF74F7"/>
    <w:rsid w:val="00D01BE1"/>
    <w:rsid w:val="00D0216B"/>
    <w:rsid w:val="00D029FD"/>
    <w:rsid w:val="00D033D3"/>
    <w:rsid w:val="00D0377F"/>
    <w:rsid w:val="00D045EF"/>
    <w:rsid w:val="00D05FC6"/>
    <w:rsid w:val="00D1083A"/>
    <w:rsid w:val="00D131DE"/>
    <w:rsid w:val="00D13A76"/>
    <w:rsid w:val="00D13C5D"/>
    <w:rsid w:val="00D1562C"/>
    <w:rsid w:val="00D16997"/>
    <w:rsid w:val="00D16E2F"/>
    <w:rsid w:val="00D237E2"/>
    <w:rsid w:val="00D266D8"/>
    <w:rsid w:val="00D33694"/>
    <w:rsid w:val="00D3369E"/>
    <w:rsid w:val="00D34ABD"/>
    <w:rsid w:val="00D34DF4"/>
    <w:rsid w:val="00D36107"/>
    <w:rsid w:val="00D36D63"/>
    <w:rsid w:val="00D371F1"/>
    <w:rsid w:val="00D40640"/>
    <w:rsid w:val="00D42234"/>
    <w:rsid w:val="00D4448D"/>
    <w:rsid w:val="00D4513C"/>
    <w:rsid w:val="00D50F85"/>
    <w:rsid w:val="00D51E69"/>
    <w:rsid w:val="00D526BB"/>
    <w:rsid w:val="00D53F6A"/>
    <w:rsid w:val="00D54BA0"/>
    <w:rsid w:val="00D55603"/>
    <w:rsid w:val="00D56356"/>
    <w:rsid w:val="00D57024"/>
    <w:rsid w:val="00D60807"/>
    <w:rsid w:val="00D6082D"/>
    <w:rsid w:val="00D63D02"/>
    <w:rsid w:val="00D70421"/>
    <w:rsid w:val="00D706E5"/>
    <w:rsid w:val="00D70F22"/>
    <w:rsid w:val="00D71DFF"/>
    <w:rsid w:val="00D72BFC"/>
    <w:rsid w:val="00D73045"/>
    <w:rsid w:val="00D738F1"/>
    <w:rsid w:val="00D83D53"/>
    <w:rsid w:val="00D83E94"/>
    <w:rsid w:val="00D85F18"/>
    <w:rsid w:val="00D90B82"/>
    <w:rsid w:val="00D92ABB"/>
    <w:rsid w:val="00D92E2E"/>
    <w:rsid w:val="00D92F12"/>
    <w:rsid w:val="00D93048"/>
    <w:rsid w:val="00D9375A"/>
    <w:rsid w:val="00D947E8"/>
    <w:rsid w:val="00D94D2F"/>
    <w:rsid w:val="00D95ABC"/>
    <w:rsid w:val="00D9633A"/>
    <w:rsid w:val="00DA008E"/>
    <w:rsid w:val="00DA0830"/>
    <w:rsid w:val="00DA563E"/>
    <w:rsid w:val="00DA5A7E"/>
    <w:rsid w:val="00DA63B7"/>
    <w:rsid w:val="00DA7CC5"/>
    <w:rsid w:val="00DB27E1"/>
    <w:rsid w:val="00DB31C1"/>
    <w:rsid w:val="00DB3C3A"/>
    <w:rsid w:val="00DB4EAE"/>
    <w:rsid w:val="00DB691D"/>
    <w:rsid w:val="00DB756B"/>
    <w:rsid w:val="00DC0D0F"/>
    <w:rsid w:val="00DC15E3"/>
    <w:rsid w:val="00DC4560"/>
    <w:rsid w:val="00DC467E"/>
    <w:rsid w:val="00DC4E47"/>
    <w:rsid w:val="00DC5A84"/>
    <w:rsid w:val="00DC60BA"/>
    <w:rsid w:val="00DC63DA"/>
    <w:rsid w:val="00DC7940"/>
    <w:rsid w:val="00DD155D"/>
    <w:rsid w:val="00DD1DCE"/>
    <w:rsid w:val="00DD7287"/>
    <w:rsid w:val="00DD7D2B"/>
    <w:rsid w:val="00DE1234"/>
    <w:rsid w:val="00DE43A7"/>
    <w:rsid w:val="00DE4BA8"/>
    <w:rsid w:val="00DE4BF1"/>
    <w:rsid w:val="00DE5D1B"/>
    <w:rsid w:val="00DE66A4"/>
    <w:rsid w:val="00DE784E"/>
    <w:rsid w:val="00DE78A5"/>
    <w:rsid w:val="00DF2D6F"/>
    <w:rsid w:val="00DF6956"/>
    <w:rsid w:val="00DF6968"/>
    <w:rsid w:val="00DF7734"/>
    <w:rsid w:val="00DF7CA9"/>
    <w:rsid w:val="00E00771"/>
    <w:rsid w:val="00E00C8C"/>
    <w:rsid w:val="00E022F4"/>
    <w:rsid w:val="00E03147"/>
    <w:rsid w:val="00E04EB2"/>
    <w:rsid w:val="00E069CA"/>
    <w:rsid w:val="00E141DA"/>
    <w:rsid w:val="00E15945"/>
    <w:rsid w:val="00E253BB"/>
    <w:rsid w:val="00E25E02"/>
    <w:rsid w:val="00E27E33"/>
    <w:rsid w:val="00E3052B"/>
    <w:rsid w:val="00E30C69"/>
    <w:rsid w:val="00E30E5C"/>
    <w:rsid w:val="00E31F3F"/>
    <w:rsid w:val="00E32434"/>
    <w:rsid w:val="00E349D9"/>
    <w:rsid w:val="00E34DB3"/>
    <w:rsid w:val="00E40A83"/>
    <w:rsid w:val="00E41260"/>
    <w:rsid w:val="00E413B5"/>
    <w:rsid w:val="00E41450"/>
    <w:rsid w:val="00E42624"/>
    <w:rsid w:val="00E501C3"/>
    <w:rsid w:val="00E532F9"/>
    <w:rsid w:val="00E54461"/>
    <w:rsid w:val="00E54D96"/>
    <w:rsid w:val="00E607F8"/>
    <w:rsid w:val="00E62927"/>
    <w:rsid w:val="00E63B05"/>
    <w:rsid w:val="00E63B07"/>
    <w:rsid w:val="00E6503E"/>
    <w:rsid w:val="00E66DFA"/>
    <w:rsid w:val="00E72C88"/>
    <w:rsid w:val="00E744AB"/>
    <w:rsid w:val="00E74C03"/>
    <w:rsid w:val="00E75F85"/>
    <w:rsid w:val="00E76EBF"/>
    <w:rsid w:val="00E8036B"/>
    <w:rsid w:val="00E805C0"/>
    <w:rsid w:val="00E80783"/>
    <w:rsid w:val="00E81CD7"/>
    <w:rsid w:val="00E83D21"/>
    <w:rsid w:val="00E84126"/>
    <w:rsid w:val="00E850F6"/>
    <w:rsid w:val="00E8696F"/>
    <w:rsid w:val="00E964D5"/>
    <w:rsid w:val="00E97914"/>
    <w:rsid w:val="00EA1198"/>
    <w:rsid w:val="00EA3B27"/>
    <w:rsid w:val="00EA5C1F"/>
    <w:rsid w:val="00EA76C1"/>
    <w:rsid w:val="00EB04AE"/>
    <w:rsid w:val="00EB378D"/>
    <w:rsid w:val="00EB40A7"/>
    <w:rsid w:val="00EB4F9A"/>
    <w:rsid w:val="00EB5D4F"/>
    <w:rsid w:val="00EC0659"/>
    <w:rsid w:val="00EC0CF9"/>
    <w:rsid w:val="00EC1146"/>
    <w:rsid w:val="00EC1570"/>
    <w:rsid w:val="00EC1E5E"/>
    <w:rsid w:val="00EC35DC"/>
    <w:rsid w:val="00EC4F10"/>
    <w:rsid w:val="00EC7222"/>
    <w:rsid w:val="00EC73AF"/>
    <w:rsid w:val="00ED0C16"/>
    <w:rsid w:val="00ED4837"/>
    <w:rsid w:val="00ED64DA"/>
    <w:rsid w:val="00EE3986"/>
    <w:rsid w:val="00EE4D64"/>
    <w:rsid w:val="00EF01F9"/>
    <w:rsid w:val="00EF101E"/>
    <w:rsid w:val="00EF1958"/>
    <w:rsid w:val="00EF253B"/>
    <w:rsid w:val="00EF2E55"/>
    <w:rsid w:val="00EF7E50"/>
    <w:rsid w:val="00F000DC"/>
    <w:rsid w:val="00F00525"/>
    <w:rsid w:val="00F00C4F"/>
    <w:rsid w:val="00F03A8A"/>
    <w:rsid w:val="00F03EC8"/>
    <w:rsid w:val="00F04351"/>
    <w:rsid w:val="00F06A27"/>
    <w:rsid w:val="00F1103E"/>
    <w:rsid w:val="00F12AAC"/>
    <w:rsid w:val="00F13337"/>
    <w:rsid w:val="00F16E9A"/>
    <w:rsid w:val="00F16F87"/>
    <w:rsid w:val="00F170B3"/>
    <w:rsid w:val="00F17EE2"/>
    <w:rsid w:val="00F21478"/>
    <w:rsid w:val="00F2226B"/>
    <w:rsid w:val="00F2227F"/>
    <w:rsid w:val="00F24E4D"/>
    <w:rsid w:val="00F251AB"/>
    <w:rsid w:val="00F269A5"/>
    <w:rsid w:val="00F30486"/>
    <w:rsid w:val="00F32177"/>
    <w:rsid w:val="00F32B71"/>
    <w:rsid w:val="00F343DB"/>
    <w:rsid w:val="00F34BF8"/>
    <w:rsid w:val="00F3558E"/>
    <w:rsid w:val="00F36113"/>
    <w:rsid w:val="00F3662E"/>
    <w:rsid w:val="00F367B9"/>
    <w:rsid w:val="00F371F0"/>
    <w:rsid w:val="00F41C56"/>
    <w:rsid w:val="00F45169"/>
    <w:rsid w:val="00F45E2F"/>
    <w:rsid w:val="00F464A9"/>
    <w:rsid w:val="00F464D5"/>
    <w:rsid w:val="00F478E5"/>
    <w:rsid w:val="00F5036B"/>
    <w:rsid w:val="00F52BD2"/>
    <w:rsid w:val="00F5384F"/>
    <w:rsid w:val="00F546B8"/>
    <w:rsid w:val="00F55D6F"/>
    <w:rsid w:val="00F563CF"/>
    <w:rsid w:val="00F57BAD"/>
    <w:rsid w:val="00F60B54"/>
    <w:rsid w:val="00F61E2A"/>
    <w:rsid w:val="00F646E6"/>
    <w:rsid w:val="00F65823"/>
    <w:rsid w:val="00F65E3F"/>
    <w:rsid w:val="00F67279"/>
    <w:rsid w:val="00F7193E"/>
    <w:rsid w:val="00F72FE0"/>
    <w:rsid w:val="00F753C7"/>
    <w:rsid w:val="00F76750"/>
    <w:rsid w:val="00F76E11"/>
    <w:rsid w:val="00F8090E"/>
    <w:rsid w:val="00F80FA9"/>
    <w:rsid w:val="00F81B25"/>
    <w:rsid w:val="00F81B9B"/>
    <w:rsid w:val="00F828C6"/>
    <w:rsid w:val="00F83494"/>
    <w:rsid w:val="00F84DD7"/>
    <w:rsid w:val="00F917FE"/>
    <w:rsid w:val="00F93CEA"/>
    <w:rsid w:val="00F93E27"/>
    <w:rsid w:val="00F9529C"/>
    <w:rsid w:val="00F97111"/>
    <w:rsid w:val="00F97A17"/>
    <w:rsid w:val="00FA00F5"/>
    <w:rsid w:val="00FA1243"/>
    <w:rsid w:val="00FA539D"/>
    <w:rsid w:val="00FA58E2"/>
    <w:rsid w:val="00FA5EC8"/>
    <w:rsid w:val="00FB01E9"/>
    <w:rsid w:val="00FB0AB1"/>
    <w:rsid w:val="00FB2373"/>
    <w:rsid w:val="00FB251D"/>
    <w:rsid w:val="00FB5275"/>
    <w:rsid w:val="00FB68DA"/>
    <w:rsid w:val="00FC1035"/>
    <w:rsid w:val="00FC22BA"/>
    <w:rsid w:val="00FC2AEE"/>
    <w:rsid w:val="00FC41D7"/>
    <w:rsid w:val="00FC4498"/>
    <w:rsid w:val="00FC6BA4"/>
    <w:rsid w:val="00FC7299"/>
    <w:rsid w:val="00FC7359"/>
    <w:rsid w:val="00FD0CA8"/>
    <w:rsid w:val="00FD2BCE"/>
    <w:rsid w:val="00FD6A6A"/>
    <w:rsid w:val="00FE021E"/>
    <w:rsid w:val="00FE03F6"/>
    <w:rsid w:val="00FE07F9"/>
    <w:rsid w:val="00FE2CBF"/>
    <w:rsid w:val="00FE3ED8"/>
    <w:rsid w:val="00FE5F85"/>
    <w:rsid w:val="00FE746D"/>
    <w:rsid w:val="00FF094D"/>
    <w:rsid w:val="00FF12A1"/>
    <w:rsid w:val="00FF1444"/>
    <w:rsid w:val="00FF1C2A"/>
    <w:rsid w:val="00FF36DE"/>
    <w:rsid w:val="00FF4101"/>
    <w:rsid w:val="00FF758F"/>
    <w:rsid w:val="00FF785F"/>
    <w:rsid w:val="01705E41"/>
    <w:rsid w:val="0275F399"/>
    <w:rsid w:val="02811DF7"/>
    <w:rsid w:val="034273BC"/>
    <w:rsid w:val="04033BEB"/>
    <w:rsid w:val="04188FDF"/>
    <w:rsid w:val="0597E2E8"/>
    <w:rsid w:val="0645FD20"/>
    <w:rsid w:val="06CEA9B8"/>
    <w:rsid w:val="07761466"/>
    <w:rsid w:val="096471F9"/>
    <w:rsid w:val="09B20131"/>
    <w:rsid w:val="09FBFDCE"/>
    <w:rsid w:val="0BD8FA45"/>
    <w:rsid w:val="0C0D415E"/>
    <w:rsid w:val="0E0C7917"/>
    <w:rsid w:val="0F349C90"/>
    <w:rsid w:val="10D2090A"/>
    <w:rsid w:val="11C19A65"/>
    <w:rsid w:val="12268384"/>
    <w:rsid w:val="14B1380F"/>
    <w:rsid w:val="1574295D"/>
    <w:rsid w:val="157A385D"/>
    <w:rsid w:val="1587D1E7"/>
    <w:rsid w:val="162D12A9"/>
    <w:rsid w:val="16655308"/>
    <w:rsid w:val="1845B920"/>
    <w:rsid w:val="18E7A40D"/>
    <w:rsid w:val="1A191EAC"/>
    <w:rsid w:val="1A2D58E0"/>
    <w:rsid w:val="1B064B73"/>
    <w:rsid w:val="1B7A2AA3"/>
    <w:rsid w:val="1D867750"/>
    <w:rsid w:val="1E28AB91"/>
    <w:rsid w:val="1E2A55ED"/>
    <w:rsid w:val="1FA68835"/>
    <w:rsid w:val="2025DFB7"/>
    <w:rsid w:val="21557D23"/>
    <w:rsid w:val="225F2750"/>
    <w:rsid w:val="225F4B12"/>
    <w:rsid w:val="249B5FE0"/>
    <w:rsid w:val="24C111D5"/>
    <w:rsid w:val="258D3FD2"/>
    <w:rsid w:val="25ED0B9A"/>
    <w:rsid w:val="26C0DA7D"/>
    <w:rsid w:val="2713EECD"/>
    <w:rsid w:val="276F2376"/>
    <w:rsid w:val="276F9BD7"/>
    <w:rsid w:val="27826E14"/>
    <w:rsid w:val="29963C03"/>
    <w:rsid w:val="2A6FB5D2"/>
    <w:rsid w:val="2A927B2A"/>
    <w:rsid w:val="2AA98B35"/>
    <w:rsid w:val="2B512281"/>
    <w:rsid w:val="2BD2215E"/>
    <w:rsid w:val="2DA6101B"/>
    <w:rsid w:val="2DF69A38"/>
    <w:rsid w:val="2E563778"/>
    <w:rsid w:val="31148096"/>
    <w:rsid w:val="31E14C0A"/>
    <w:rsid w:val="3247A9F6"/>
    <w:rsid w:val="34F45B0A"/>
    <w:rsid w:val="36314A58"/>
    <w:rsid w:val="36650EF8"/>
    <w:rsid w:val="37CD1AB9"/>
    <w:rsid w:val="37E81C26"/>
    <w:rsid w:val="3854F57F"/>
    <w:rsid w:val="387B868F"/>
    <w:rsid w:val="38F59051"/>
    <w:rsid w:val="3923BF8E"/>
    <w:rsid w:val="398587CF"/>
    <w:rsid w:val="3A3F6887"/>
    <w:rsid w:val="3A9758EE"/>
    <w:rsid w:val="3D512219"/>
    <w:rsid w:val="3DFACEC4"/>
    <w:rsid w:val="4056A49E"/>
    <w:rsid w:val="40CA6073"/>
    <w:rsid w:val="4132706D"/>
    <w:rsid w:val="4137F309"/>
    <w:rsid w:val="4162FA3B"/>
    <w:rsid w:val="42371CDA"/>
    <w:rsid w:val="42E5BC6F"/>
    <w:rsid w:val="43740E89"/>
    <w:rsid w:val="43CA1E3D"/>
    <w:rsid w:val="441DA46C"/>
    <w:rsid w:val="445B92F0"/>
    <w:rsid w:val="44C230CA"/>
    <w:rsid w:val="46EAA3FD"/>
    <w:rsid w:val="4877680E"/>
    <w:rsid w:val="4AB3A8F7"/>
    <w:rsid w:val="4B061155"/>
    <w:rsid w:val="4B23D001"/>
    <w:rsid w:val="4B3F6980"/>
    <w:rsid w:val="4BA5215B"/>
    <w:rsid w:val="4BD6947B"/>
    <w:rsid w:val="4C4ABF96"/>
    <w:rsid w:val="4E4D0C9F"/>
    <w:rsid w:val="5172FD1D"/>
    <w:rsid w:val="5186F99B"/>
    <w:rsid w:val="52D1B52E"/>
    <w:rsid w:val="536329E1"/>
    <w:rsid w:val="53C23545"/>
    <w:rsid w:val="5598845B"/>
    <w:rsid w:val="56136B80"/>
    <w:rsid w:val="5714D864"/>
    <w:rsid w:val="58064CA7"/>
    <w:rsid w:val="5898A4C3"/>
    <w:rsid w:val="58AAED26"/>
    <w:rsid w:val="592A944B"/>
    <w:rsid w:val="5BD6B811"/>
    <w:rsid w:val="5DE3E2F4"/>
    <w:rsid w:val="5DEDF5B3"/>
    <w:rsid w:val="5E095B09"/>
    <w:rsid w:val="5EB7CDAE"/>
    <w:rsid w:val="61A61821"/>
    <w:rsid w:val="61AF793D"/>
    <w:rsid w:val="61E02BD7"/>
    <w:rsid w:val="61F4DF36"/>
    <w:rsid w:val="622CD138"/>
    <w:rsid w:val="623B7CC5"/>
    <w:rsid w:val="63D62317"/>
    <w:rsid w:val="64DCABAD"/>
    <w:rsid w:val="654EAE4B"/>
    <w:rsid w:val="659DB1FB"/>
    <w:rsid w:val="67062B55"/>
    <w:rsid w:val="684D3C80"/>
    <w:rsid w:val="69BE3A05"/>
    <w:rsid w:val="6B2BA610"/>
    <w:rsid w:val="6BB8AADD"/>
    <w:rsid w:val="6C988118"/>
    <w:rsid w:val="6F229B8E"/>
    <w:rsid w:val="6FF69330"/>
    <w:rsid w:val="7064F269"/>
    <w:rsid w:val="7092B621"/>
    <w:rsid w:val="71773739"/>
    <w:rsid w:val="72E251AA"/>
    <w:rsid w:val="731D8F98"/>
    <w:rsid w:val="74833BF8"/>
    <w:rsid w:val="74A47040"/>
    <w:rsid w:val="74B95FF9"/>
    <w:rsid w:val="756F0089"/>
    <w:rsid w:val="7582834A"/>
    <w:rsid w:val="75C286A1"/>
    <w:rsid w:val="76B6C551"/>
    <w:rsid w:val="77394C81"/>
    <w:rsid w:val="77481671"/>
    <w:rsid w:val="77773C01"/>
    <w:rsid w:val="78F4CC17"/>
    <w:rsid w:val="79738550"/>
    <w:rsid w:val="79D252B4"/>
    <w:rsid w:val="7AEFF963"/>
    <w:rsid w:val="7AFCCD8A"/>
    <w:rsid w:val="7C1EE0F6"/>
    <w:rsid w:val="7C7C0778"/>
    <w:rsid w:val="7D7B1E29"/>
    <w:rsid w:val="7DDFB637"/>
    <w:rsid w:val="7E60423F"/>
    <w:rsid w:val="7E708D3A"/>
    <w:rsid w:val="7F1C6236"/>
    <w:rsid w:val="7F2DB142"/>
    <w:rsid w:val="7F6D2D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AA2D"/>
  <w15:docId w15:val="{1C8CB8DA-C181-497B-B928-89F6BF28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link w:val="Heading1Char"/>
    <w:uiPriority w:val="9"/>
    <w:qFormat/>
    <w:rsid w:val="008F573A"/>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link w:val="ListParagraphChar"/>
    <w:uiPriority w:val="34"/>
    <w:qFormat/>
    <w:rsid w:val="00202EB3"/>
    <w:pPr>
      <w:suppressAutoHyphens/>
      <w:autoSpaceDN w:val="0"/>
      <w:ind w:left="720"/>
    </w:pPr>
  </w:style>
  <w:style w:type="paragraph" w:styleId="Header">
    <w:name w:val="header"/>
    <w:basedOn w:val="Normal"/>
    <w:link w:val="HeaderChar"/>
    <w:rsid w:val="00202EB3"/>
    <w:pPr>
      <w:tabs>
        <w:tab w:val="center" w:pos="4513"/>
        <w:tab w:val="right" w:pos="9026"/>
      </w:tabs>
    </w:pPr>
  </w:style>
  <w:style w:type="character" w:customStyle="1" w:styleId="HeaderChar">
    <w:name w:val="Header Char"/>
    <w:basedOn w:val="DefaultParagraphFont"/>
    <w:link w:val="Header"/>
    <w:rsid w:val="00202EB3"/>
    <w:rPr>
      <w:rFonts w:ascii="Arial" w:hAnsi="Arial"/>
      <w:sz w:val="24"/>
      <w:szCs w:val="24"/>
    </w:rPr>
  </w:style>
  <w:style w:type="paragraph" w:styleId="Footer">
    <w:name w:val="footer"/>
    <w:basedOn w:val="Normal"/>
    <w:link w:val="FooterChar"/>
    <w:uiPriority w:val="99"/>
    <w:rsid w:val="00202EB3"/>
    <w:pPr>
      <w:tabs>
        <w:tab w:val="center" w:pos="4513"/>
        <w:tab w:val="right" w:pos="9026"/>
      </w:tabs>
    </w:pPr>
  </w:style>
  <w:style w:type="character" w:customStyle="1" w:styleId="FooterChar">
    <w:name w:val="Footer Char"/>
    <w:basedOn w:val="DefaultParagraphFont"/>
    <w:link w:val="Footer"/>
    <w:uiPriority w:val="99"/>
    <w:rsid w:val="00202EB3"/>
    <w:rPr>
      <w:rFonts w:ascii="Arial" w:hAnsi="Arial"/>
      <w:sz w:val="24"/>
      <w:szCs w:val="24"/>
    </w:rPr>
  </w:style>
  <w:style w:type="paragraph" w:styleId="BalloonText">
    <w:name w:val="Balloon Text"/>
    <w:basedOn w:val="Normal"/>
    <w:link w:val="BalloonTextChar"/>
    <w:rsid w:val="00202EB3"/>
    <w:rPr>
      <w:rFonts w:ascii="Tahoma" w:hAnsi="Tahoma" w:cs="Tahoma"/>
      <w:sz w:val="16"/>
      <w:szCs w:val="16"/>
    </w:rPr>
  </w:style>
  <w:style w:type="character" w:customStyle="1" w:styleId="BalloonTextChar">
    <w:name w:val="Balloon Text Char"/>
    <w:basedOn w:val="DefaultParagraphFont"/>
    <w:link w:val="BalloonText"/>
    <w:rsid w:val="00202EB3"/>
    <w:rPr>
      <w:rFonts w:ascii="Tahoma" w:hAnsi="Tahoma" w:cs="Tahoma"/>
      <w:sz w:val="16"/>
      <w:szCs w:val="16"/>
    </w:rPr>
  </w:style>
  <w:style w:type="paragraph" w:customStyle="1" w:styleId="Default">
    <w:name w:val="Default"/>
    <w:rsid w:val="002B4E80"/>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225A94"/>
    <w:rPr>
      <w:b/>
      <w:bCs/>
    </w:rPr>
  </w:style>
  <w:style w:type="table" w:styleId="TableGrid">
    <w:name w:val="Table Grid"/>
    <w:basedOn w:val="TableNormal"/>
    <w:rsid w:val="0017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53E"/>
    <w:rPr>
      <w:color w:val="0000FF" w:themeColor="hyperlink"/>
      <w:u w:val="single"/>
    </w:rPr>
  </w:style>
  <w:style w:type="character" w:customStyle="1" w:styleId="UnresolvedMention1">
    <w:name w:val="Unresolved Mention1"/>
    <w:basedOn w:val="DefaultParagraphFont"/>
    <w:uiPriority w:val="99"/>
    <w:semiHidden/>
    <w:unhideWhenUsed/>
    <w:rsid w:val="0089253E"/>
    <w:rPr>
      <w:color w:val="605E5C"/>
      <w:shd w:val="clear" w:color="auto" w:fill="E1DFDD"/>
    </w:rPr>
  </w:style>
  <w:style w:type="character" w:styleId="FollowedHyperlink">
    <w:name w:val="FollowedHyperlink"/>
    <w:basedOn w:val="DefaultParagraphFont"/>
    <w:semiHidden/>
    <w:unhideWhenUsed/>
    <w:rsid w:val="0089253E"/>
    <w:rPr>
      <w:color w:val="800080" w:themeColor="followedHyperlink"/>
      <w:u w:val="single"/>
    </w:rPr>
  </w:style>
  <w:style w:type="character" w:customStyle="1" w:styleId="Heading1Char">
    <w:name w:val="Heading 1 Char"/>
    <w:basedOn w:val="DefaultParagraphFont"/>
    <w:link w:val="Heading1"/>
    <w:uiPriority w:val="9"/>
    <w:rsid w:val="008F573A"/>
    <w:rPr>
      <w:rFonts w:ascii="Calibri" w:eastAsiaTheme="minorHAnsi" w:hAnsi="Calibri" w:cs="Calibri"/>
      <w:b/>
      <w:bCs/>
      <w:kern w:val="36"/>
      <w:sz w:val="48"/>
      <w:szCs w:val="48"/>
    </w:rPr>
  </w:style>
  <w:style w:type="character" w:styleId="CommentReference">
    <w:name w:val="annotation reference"/>
    <w:basedOn w:val="DefaultParagraphFont"/>
    <w:uiPriority w:val="99"/>
    <w:semiHidden/>
    <w:unhideWhenUsed/>
    <w:rsid w:val="004A6AE5"/>
    <w:rPr>
      <w:sz w:val="16"/>
      <w:szCs w:val="16"/>
    </w:rPr>
  </w:style>
  <w:style w:type="paragraph" w:styleId="CommentText">
    <w:name w:val="annotation text"/>
    <w:basedOn w:val="Normal"/>
    <w:link w:val="CommentTextChar"/>
    <w:uiPriority w:val="99"/>
    <w:unhideWhenUsed/>
    <w:rsid w:val="004A6AE5"/>
    <w:rPr>
      <w:sz w:val="20"/>
      <w:szCs w:val="20"/>
    </w:rPr>
  </w:style>
  <w:style w:type="character" w:customStyle="1" w:styleId="CommentTextChar">
    <w:name w:val="Comment Text Char"/>
    <w:basedOn w:val="DefaultParagraphFont"/>
    <w:link w:val="CommentText"/>
    <w:uiPriority w:val="99"/>
    <w:rsid w:val="004A6AE5"/>
    <w:rPr>
      <w:rFonts w:ascii="Arial" w:hAnsi="Arial"/>
    </w:rPr>
  </w:style>
  <w:style w:type="paragraph" w:styleId="CommentSubject">
    <w:name w:val="annotation subject"/>
    <w:basedOn w:val="CommentText"/>
    <w:next w:val="CommentText"/>
    <w:link w:val="CommentSubjectChar"/>
    <w:semiHidden/>
    <w:unhideWhenUsed/>
    <w:rsid w:val="004A6AE5"/>
    <w:rPr>
      <w:b/>
      <w:bCs/>
    </w:rPr>
  </w:style>
  <w:style w:type="character" w:customStyle="1" w:styleId="CommentSubjectChar">
    <w:name w:val="Comment Subject Char"/>
    <w:basedOn w:val="CommentTextChar"/>
    <w:link w:val="CommentSubject"/>
    <w:semiHidden/>
    <w:rsid w:val="004A6AE5"/>
    <w:rPr>
      <w:rFonts w:ascii="Arial" w:hAnsi="Arial"/>
      <w:b/>
      <w:bCs/>
    </w:rPr>
  </w:style>
  <w:style w:type="character" w:customStyle="1" w:styleId="UnresolvedMention2">
    <w:name w:val="Unresolved Mention2"/>
    <w:basedOn w:val="DefaultParagraphFont"/>
    <w:uiPriority w:val="99"/>
    <w:semiHidden/>
    <w:unhideWhenUsed/>
    <w:rsid w:val="002D0910"/>
    <w:rPr>
      <w:color w:val="605E5C"/>
      <w:shd w:val="clear" w:color="auto" w:fill="E1DFDD"/>
    </w:rPr>
  </w:style>
  <w:style w:type="character" w:customStyle="1" w:styleId="ListParagraphChar">
    <w:name w:val="List Paragraph Char"/>
    <w:aliases w:val="Bullet Points Char"/>
    <w:link w:val="ListParagraph"/>
    <w:uiPriority w:val="34"/>
    <w:locked/>
    <w:rsid w:val="000245EA"/>
    <w:rPr>
      <w:rFonts w:ascii="Arial" w:hAnsi="Arial"/>
      <w:sz w:val="24"/>
      <w:szCs w:val="24"/>
    </w:rPr>
  </w:style>
  <w:style w:type="character" w:customStyle="1" w:styleId="UnresolvedMention3">
    <w:name w:val="Unresolved Mention3"/>
    <w:basedOn w:val="DefaultParagraphFont"/>
    <w:uiPriority w:val="99"/>
    <w:unhideWhenUsed/>
    <w:rsid w:val="00B635C7"/>
    <w:rPr>
      <w:color w:val="605E5C"/>
      <w:shd w:val="clear" w:color="auto" w:fill="E1DFDD"/>
    </w:rPr>
  </w:style>
  <w:style w:type="paragraph" w:styleId="Revision">
    <w:name w:val="Revision"/>
    <w:hidden/>
    <w:uiPriority w:val="99"/>
    <w:semiHidden/>
    <w:rsid w:val="00415B70"/>
    <w:rPr>
      <w:rFonts w:ascii="Arial" w:hAnsi="Arial"/>
      <w:sz w:val="24"/>
      <w:szCs w:val="24"/>
    </w:rPr>
  </w:style>
  <w:style w:type="character" w:customStyle="1" w:styleId="Mention1">
    <w:name w:val="Mention1"/>
    <w:basedOn w:val="DefaultParagraphFont"/>
    <w:uiPriority w:val="99"/>
    <w:unhideWhenUsed/>
    <w:rsid w:val="00D16E2F"/>
    <w:rPr>
      <w:color w:val="2B579A"/>
      <w:shd w:val="clear" w:color="auto" w:fill="E1DFDD"/>
    </w:rPr>
  </w:style>
  <w:style w:type="paragraph" w:styleId="FootnoteText">
    <w:name w:val="footnote text"/>
    <w:basedOn w:val="Normal"/>
    <w:link w:val="FootnoteTextChar"/>
    <w:uiPriority w:val="99"/>
    <w:semiHidden/>
    <w:unhideWhenUsed/>
    <w:rsid w:val="00024EF8"/>
    <w:rPr>
      <w:sz w:val="20"/>
      <w:szCs w:val="20"/>
    </w:rPr>
  </w:style>
  <w:style w:type="character" w:customStyle="1" w:styleId="FootnoteTextChar">
    <w:name w:val="Footnote Text Char"/>
    <w:basedOn w:val="DefaultParagraphFont"/>
    <w:link w:val="FootnoteText"/>
    <w:uiPriority w:val="99"/>
    <w:semiHidden/>
    <w:rsid w:val="00024EF8"/>
    <w:rPr>
      <w:rFonts w:ascii="Arial" w:hAnsi="Arial"/>
    </w:rPr>
  </w:style>
  <w:style w:type="character" w:styleId="FootnoteReference">
    <w:name w:val="footnote reference"/>
    <w:basedOn w:val="DefaultParagraphFont"/>
    <w:uiPriority w:val="99"/>
    <w:semiHidden/>
    <w:unhideWhenUsed/>
    <w:rsid w:val="00024EF8"/>
    <w:rPr>
      <w:vertAlign w:val="superscript"/>
    </w:rPr>
  </w:style>
  <w:style w:type="paragraph" w:styleId="NormalWeb">
    <w:name w:val="Normal (Web)"/>
    <w:basedOn w:val="Normal"/>
    <w:uiPriority w:val="99"/>
    <w:unhideWhenUsed/>
    <w:rsid w:val="00F03A8A"/>
    <w:pPr>
      <w:spacing w:before="100" w:beforeAutospacing="1" w:after="100" w:afterAutospacing="1"/>
    </w:pPr>
    <w:rPr>
      <w:rFonts w:ascii="Times New Roman" w:eastAsiaTheme="minorEastAsia" w:hAnsi="Times New Roman"/>
    </w:rPr>
  </w:style>
  <w:style w:type="paragraph" w:customStyle="1" w:styleId="paragraph">
    <w:name w:val="paragraph"/>
    <w:basedOn w:val="Normal"/>
    <w:rsid w:val="008E1FA5"/>
    <w:pPr>
      <w:spacing w:before="100" w:beforeAutospacing="1" w:after="100" w:afterAutospacing="1"/>
    </w:pPr>
    <w:rPr>
      <w:rFonts w:ascii="Times New Roman" w:hAnsi="Times New Roman"/>
    </w:rPr>
  </w:style>
  <w:style w:type="character" w:customStyle="1" w:styleId="normaltextrun">
    <w:name w:val="normaltextrun"/>
    <w:basedOn w:val="DefaultParagraphFont"/>
    <w:rsid w:val="008E1FA5"/>
  </w:style>
  <w:style w:type="character" w:customStyle="1" w:styleId="eop">
    <w:name w:val="eop"/>
    <w:basedOn w:val="DefaultParagraphFont"/>
    <w:rsid w:val="008E1FA5"/>
  </w:style>
  <w:style w:type="paragraph" w:styleId="BodyText">
    <w:name w:val="Body Text"/>
    <w:basedOn w:val="Normal"/>
    <w:link w:val="BodyTextChar"/>
    <w:uiPriority w:val="1"/>
    <w:qFormat/>
    <w:rsid w:val="00D60807"/>
    <w:pPr>
      <w:widowControl w:val="0"/>
      <w:autoSpaceDE w:val="0"/>
      <w:autoSpaceDN w:val="0"/>
    </w:pPr>
    <w:rPr>
      <w:rFonts w:eastAsia="Arial" w:cs="Arial"/>
      <w:lang w:val="en-US" w:eastAsia="en-US"/>
    </w:rPr>
  </w:style>
  <w:style w:type="character" w:customStyle="1" w:styleId="BodyTextChar">
    <w:name w:val="Body Text Char"/>
    <w:basedOn w:val="DefaultParagraphFont"/>
    <w:link w:val="BodyText"/>
    <w:uiPriority w:val="1"/>
    <w:rsid w:val="00D60807"/>
    <w:rPr>
      <w:rFonts w:ascii="Arial" w:eastAsia="Arial" w:hAnsi="Arial" w:cs="Arial"/>
      <w:sz w:val="24"/>
      <w:szCs w:val="24"/>
      <w:lang w:val="en-US" w:eastAsia="en-US"/>
    </w:rPr>
  </w:style>
  <w:style w:type="character" w:customStyle="1" w:styleId="ui-provider">
    <w:name w:val="ui-provider"/>
    <w:basedOn w:val="DefaultParagraphFont"/>
    <w:rsid w:val="00530931"/>
  </w:style>
  <w:style w:type="paragraph" w:customStyle="1" w:styleId="TableParagraph">
    <w:name w:val="Table Paragraph"/>
    <w:basedOn w:val="Normal"/>
    <w:uiPriority w:val="1"/>
    <w:qFormat/>
    <w:rsid w:val="00704F65"/>
    <w:pPr>
      <w:widowControl w:val="0"/>
      <w:autoSpaceDE w:val="0"/>
      <w:autoSpaceDN w:val="0"/>
      <w:ind w:left="107"/>
    </w:pPr>
    <w:rPr>
      <w:rFonts w:eastAsia="Arial" w:cs="Arial"/>
      <w:sz w:val="22"/>
      <w:szCs w:val="22"/>
      <w:lang w:val="en-US" w:eastAsia="en-US"/>
    </w:rPr>
  </w:style>
  <w:style w:type="character" w:customStyle="1" w:styleId="wacimagecontainer">
    <w:name w:val="wacimagecontainer"/>
    <w:basedOn w:val="DefaultParagraphFont"/>
    <w:rsid w:val="008C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80843">
      <w:bodyDiv w:val="1"/>
      <w:marLeft w:val="0"/>
      <w:marRight w:val="0"/>
      <w:marTop w:val="0"/>
      <w:marBottom w:val="0"/>
      <w:divBdr>
        <w:top w:val="none" w:sz="0" w:space="0" w:color="auto"/>
        <w:left w:val="none" w:sz="0" w:space="0" w:color="auto"/>
        <w:bottom w:val="none" w:sz="0" w:space="0" w:color="auto"/>
        <w:right w:val="none" w:sz="0" w:space="0" w:color="auto"/>
      </w:divBdr>
      <w:divsChild>
        <w:div w:id="1014459637">
          <w:marLeft w:val="0"/>
          <w:marRight w:val="0"/>
          <w:marTop w:val="0"/>
          <w:marBottom w:val="0"/>
          <w:divBdr>
            <w:top w:val="none" w:sz="0" w:space="0" w:color="auto"/>
            <w:left w:val="none" w:sz="0" w:space="0" w:color="auto"/>
            <w:bottom w:val="none" w:sz="0" w:space="0" w:color="auto"/>
            <w:right w:val="none" w:sz="0" w:space="0" w:color="auto"/>
          </w:divBdr>
        </w:div>
        <w:div w:id="156456233">
          <w:marLeft w:val="0"/>
          <w:marRight w:val="0"/>
          <w:marTop w:val="0"/>
          <w:marBottom w:val="0"/>
          <w:divBdr>
            <w:top w:val="none" w:sz="0" w:space="0" w:color="auto"/>
            <w:left w:val="none" w:sz="0" w:space="0" w:color="auto"/>
            <w:bottom w:val="none" w:sz="0" w:space="0" w:color="auto"/>
            <w:right w:val="none" w:sz="0" w:space="0" w:color="auto"/>
          </w:divBdr>
        </w:div>
        <w:div w:id="919828465">
          <w:marLeft w:val="0"/>
          <w:marRight w:val="0"/>
          <w:marTop w:val="0"/>
          <w:marBottom w:val="0"/>
          <w:divBdr>
            <w:top w:val="none" w:sz="0" w:space="0" w:color="auto"/>
            <w:left w:val="none" w:sz="0" w:space="0" w:color="auto"/>
            <w:bottom w:val="none" w:sz="0" w:space="0" w:color="auto"/>
            <w:right w:val="none" w:sz="0" w:space="0" w:color="auto"/>
          </w:divBdr>
        </w:div>
        <w:div w:id="1931500910">
          <w:marLeft w:val="0"/>
          <w:marRight w:val="0"/>
          <w:marTop w:val="0"/>
          <w:marBottom w:val="0"/>
          <w:divBdr>
            <w:top w:val="none" w:sz="0" w:space="0" w:color="auto"/>
            <w:left w:val="none" w:sz="0" w:space="0" w:color="auto"/>
            <w:bottom w:val="none" w:sz="0" w:space="0" w:color="auto"/>
            <w:right w:val="none" w:sz="0" w:space="0" w:color="auto"/>
          </w:divBdr>
        </w:div>
        <w:div w:id="1553349146">
          <w:marLeft w:val="0"/>
          <w:marRight w:val="0"/>
          <w:marTop w:val="0"/>
          <w:marBottom w:val="0"/>
          <w:divBdr>
            <w:top w:val="none" w:sz="0" w:space="0" w:color="auto"/>
            <w:left w:val="none" w:sz="0" w:space="0" w:color="auto"/>
            <w:bottom w:val="none" w:sz="0" w:space="0" w:color="auto"/>
            <w:right w:val="none" w:sz="0" w:space="0" w:color="auto"/>
          </w:divBdr>
        </w:div>
      </w:divsChild>
    </w:div>
    <w:div w:id="619148475">
      <w:bodyDiv w:val="1"/>
      <w:marLeft w:val="0"/>
      <w:marRight w:val="0"/>
      <w:marTop w:val="0"/>
      <w:marBottom w:val="0"/>
      <w:divBdr>
        <w:top w:val="none" w:sz="0" w:space="0" w:color="auto"/>
        <w:left w:val="none" w:sz="0" w:space="0" w:color="auto"/>
        <w:bottom w:val="none" w:sz="0" w:space="0" w:color="auto"/>
        <w:right w:val="none" w:sz="0" w:space="0" w:color="auto"/>
      </w:divBdr>
      <w:divsChild>
        <w:div w:id="1811284449">
          <w:marLeft w:val="0"/>
          <w:marRight w:val="0"/>
          <w:marTop w:val="0"/>
          <w:marBottom w:val="0"/>
          <w:divBdr>
            <w:top w:val="none" w:sz="0" w:space="0" w:color="auto"/>
            <w:left w:val="none" w:sz="0" w:space="0" w:color="auto"/>
            <w:bottom w:val="none" w:sz="0" w:space="0" w:color="auto"/>
            <w:right w:val="none" w:sz="0" w:space="0" w:color="auto"/>
          </w:divBdr>
        </w:div>
        <w:div w:id="458718174">
          <w:marLeft w:val="0"/>
          <w:marRight w:val="0"/>
          <w:marTop w:val="0"/>
          <w:marBottom w:val="0"/>
          <w:divBdr>
            <w:top w:val="none" w:sz="0" w:space="0" w:color="auto"/>
            <w:left w:val="none" w:sz="0" w:space="0" w:color="auto"/>
            <w:bottom w:val="none" w:sz="0" w:space="0" w:color="auto"/>
            <w:right w:val="none" w:sz="0" w:space="0" w:color="auto"/>
          </w:divBdr>
        </w:div>
      </w:divsChild>
    </w:div>
    <w:div w:id="1401558446">
      <w:bodyDiv w:val="1"/>
      <w:marLeft w:val="0"/>
      <w:marRight w:val="0"/>
      <w:marTop w:val="0"/>
      <w:marBottom w:val="0"/>
      <w:divBdr>
        <w:top w:val="none" w:sz="0" w:space="0" w:color="auto"/>
        <w:left w:val="none" w:sz="0" w:space="0" w:color="auto"/>
        <w:bottom w:val="none" w:sz="0" w:space="0" w:color="auto"/>
        <w:right w:val="none" w:sz="0" w:space="0" w:color="auto"/>
      </w:divBdr>
      <w:divsChild>
        <w:div w:id="834806629">
          <w:marLeft w:val="0"/>
          <w:marRight w:val="0"/>
          <w:marTop w:val="0"/>
          <w:marBottom w:val="0"/>
          <w:divBdr>
            <w:top w:val="none" w:sz="0" w:space="0" w:color="auto"/>
            <w:left w:val="none" w:sz="0" w:space="0" w:color="auto"/>
            <w:bottom w:val="none" w:sz="0" w:space="0" w:color="auto"/>
            <w:right w:val="none" w:sz="0" w:space="0" w:color="auto"/>
          </w:divBdr>
        </w:div>
        <w:div w:id="1780486904">
          <w:marLeft w:val="0"/>
          <w:marRight w:val="0"/>
          <w:marTop w:val="0"/>
          <w:marBottom w:val="0"/>
          <w:divBdr>
            <w:top w:val="none" w:sz="0" w:space="0" w:color="auto"/>
            <w:left w:val="none" w:sz="0" w:space="0" w:color="auto"/>
            <w:bottom w:val="none" w:sz="0" w:space="0" w:color="auto"/>
            <w:right w:val="none" w:sz="0" w:space="0" w:color="auto"/>
          </w:divBdr>
        </w:div>
        <w:div w:id="983705121">
          <w:marLeft w:val="0"/>
          <w:marRight w:val="0"/>
          <w:marTop w:val="0"/>
          <w:marBottom w:val="0"/>
          <w:divBdr>
            <w:top w:val="none" w:sz="0" w:space="0" w:color="auto"/>
            <w:left w:val="none" w:sz="0" w:space="0" w:color="auto"/>
            <w:bottom w:val="none" w:sz="0" w:space="0" w:color="auto"/>
            <w:right w:val="none" w:sz="0" w:space="0" w:color="auto"/>
          </w:divBdr>
        </w:div>
      </w:divsChild>
    </w:div>
    <w:div w:id="1600019178">
      <w:bodyDiv w:val="1"/>
      <w:marLeft w:val="0"/>
      <w:marRight w:val="0"/>
      <w:marTop w:val="0"/>
      <w:marBottom w:val="0"/>
      <w:divBdr>
        <w:top w:val="none" w:sz="0" w:space="0" w:color="auto"/>
        <w:left w:val="none" w:sz="0" w:space="0" w:color="auto"/>
        <w:bottom w:val="none" w:sz="0" w:space="0" w:color="auto"/>
        <w:right w:val="none" w:sz="0" w:space="0" w:color="auto"/>
      </w:divBdr>
      <w:divsChild>
        <w:div w:id="1233782894">
          <w:marLeft w:val="0"/>
          <w:marRight w:val="0"/>
          <w:marTop w:val="0"/>
          <w:marBottom w:val="0"/>
          <w:divBdr>
            <w:top w:val="none" w:sz="0" w:space="0" w:color="auto"/>
            <w:left w:val="none" w:sz="0" w:space="0" w:color="auto"/>
            <w:bottom w:val="none" w:sz="0" w:space="0" w:color="auto"/>
            <w:right w:val="none" w:sz="0" w:space="0" w:color="auto"/>
          </w:divBdr>
        </w:div>
        <w:div w:id="191300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9b716bdd7a3270fdcfb48e5b99043496">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de072384d7b3b6907c38116759712c7e"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805c4e-0c56-4440-9a5c-7368fcebf474}"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0DD1-3BC0-4101-9B40-354AEAB8F24A}">
  <ds:schemaRefs>
    <ds:schemaRef ds:uri="http://schemas.microsoft.com/sharepoint/v3/contenttype/forms"/>
  </ds:schemaRefs>
</ds:datastoreItem>
</file>

<file path=customXml/itemProps2.xml><?xml version="1.0" encoding="utf-8"?>
<ds:datastoreItem xmlns:ds="http://schemas.openxmlformats.org/officeDocument/2006/customXml" ds:itemID="{84FCBB4C-27A0-482B-B5B8-6AB43F75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E89B-F361-4233-AB11-5637C2185DE6}">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customXml/itemProps4.xml><?xml version="1.0" encoding="utf-8"?>
<ds:datastoreItem xmlns:ds="http://schemas.openxmlformats.org/officeDocument/2006/customXml" ds:itemID="{EFDA51C5-25AA-46A5-97EC-2A8EE840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12512</Words>
  <Characters>71319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83664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Rock</dc:creator>
  <cp:lastModifiedBy>Fikriye Ozkan</cp:lastModifiedBy>
  <cp:revision>3</cp:revision>
  <cp:lastPrinted>2024-12-11T11:32:00Z</cp:lastPrinted>
  <dcterms:created xsi:type="dcterms:W3CDTF">2024-12-11T17:39:00Z</dcterms:created>
  <dcterms:modified xsi:type="dcterms:W3CDTF">2024-12-12T14:23:00Z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