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704E1" w14:textId="77777777" w:rsidR="00476000" w:rsidRPr="004C13B7" w:rsidRDefault="00476000" w:rsidP="00476000">
      <w:pPr>
        <w:jc w:val="center"/>
        <w:rPr>
          <w:rFonts w:ascii="Arial" w:hAnsi="Arial" w:cs="Arial"/>
          <w:b/>
        </w:rPr>
      </w:pPr>
      <w:smartTag w:uri="urn:schemas-microsoft-com:office:smarttags" w:element="place">
        <w:smartTag w:uri="urn:schemas-microsoft-com:office:smarttags" w:element="City">
          <w:r w:rsidRPr="004C13B7">
            <w:rPr>
              <w:rFonts w:ascii="Arial" w:hAnsi="Arial" w:cs="Arial"/>
              <w:b/>
            </w:rPr>
            <w:t>London</w:t>
          </w:r>
        </w:smartTag>
      </w:smartTag>
      <w:r w:rsidRPr="004C13B7">
        <w:rPr>
          <w:rFonts w:ascii="Arial" w:hAnsi="Arial" w:cs="Arial"/>
          <w:b/>
        </w:rPr>
        <w:t xml:space="preserve"> Borough of Tower Hamlets</w:t>
      </w:r>
    </w:p>
    <w:p w14:paraId="4722E309" w14:textId="77777777" w:rsidR="00476000" w:rsidRPr="004C13B7" w:rsidRDefault="00476000" w:rsidP="00476000">
      <w:pPr>
        <w:jc w:val="center"/>
        <w:rPr>
          <w:rFonts w:ascii="Arial" w:hAnsi="Arial" w:cs="Arial"/>
          <w:b/>
        </w:rPr>
      </w:pPr>
      <w:r w:rsidRPr="004C13B7">
        <w:rPr>
          <w:rFonts w:ascii="Arial" w:hAnsi="Arial" w:cs="Arial"/>
          <w:b/>
        </w:rPr>
        <w:t>School Forum</w:t>
      </w:r>
    </w:p>
    <w:p w14:paraId="206CAC0F" w14:textId="77777777" w:rsidR="00476000" w:rsidRDefault="00476000" w:rsidP="00476000">
      <w:pPr>
        <w:jc w:val="center"/>
        <w:rPr>
          <w:rFonts w:ascii="Arial" w:hAnsi="Arial" w:cs="Arial"/>
          <w:b/>
        </w:rPr>
      </w:pPr>
      <w:r w:rsidRPr="004C13B7">
        <w:rPr>
          <w:rFonts w:ascii="Arial" w:hAnsi="Arial" w:cs="Arial"/>
          <w:b/>
        </w:rPr>
        <w:t>Executive Summary</w:t>
      </w:r>
    </w:p>
    <w:p w14:paraId="0411827C" w14:textId="77777777" w:rsidR="00161ABB" w:rsidRPr="004C13B7" w:rsidRDefault="00161ABB" w:rsidP="00476000">
      <w:pPr>
        <w:jc w:val="center"/>
        <w:rPr>
          <w:rFonts w:ascii="Arial" w:hAnsi="Arial" w:cs="Arial"/>
          <w:b/>
        </w:rPr>
      </w:pPr>
    </w:p>
    <w:p w14:paraId="2EC78A04" w14:textId="77777777" w:rsidR="00476000" w:rsidRPr="008E3D68" w:rsidRDefault="00476000" w:rsidP="00476000">
      <w:pPr>
        <w:pStyle w:val="BodyTextIndent"/>
        <w:pBdr>
          <w:top w:val="single" w:sz="4" w:space="1" w:color="auto"/>
          <w:left w:val="single" w:sz="4" w:space="4" w:color="auto"/>
          <w:bottom w:val="single" w:sz="4" w:space="1" w:color="auto"/>
          <w:right w:val="single" w:sz="4" w:space="4" w:color="auto"/>
        </w:pBdr>
        <w:tabs>
          <w:tab w:val="clear" w:pos="360"/>
        </w:tabs>
        <w:ind w:left="0" w:firstLine="0"/>
        <w:jc w:val="both"/>
        <w:rPr>
          <w:b/>
          <w:sz w:val="32"/>
          <w:szCs w:val="32"/>
        </w:rPr>
      </w:pPr>
      <w:r w:rsidRPr="008E3D68">
        <w:rPr>
          <w:b/>
          <w:sz w:val="32"/>
          <w:szCs w:val="32"/>
        </w:rPr>
        <w:t xml:space="preserve">AGENDA ITEM </w:t>
      </w:r>
      <w:r w:rsidR="00BE647F">
        <w:rPr>
          <w:b/>
          <w:sz w:val="32"/>
          <w:szCs w:val="32"/>
        </w:rPr>
        <w:t>4</w:t>
      </w:r>
    </w:p>
    <w:p w14:paraId="3806936B" w14:textId="77777777" w:rsidR="00476000" w:rsidRPr="004C13B7" w:rsidRDefault="00476000" w:rsidP="00476000">
      <w:pPr>
        <w:rPr>
          <w:rFonts w:ascii="Arial" w:hAnsi="Arial" w:cs="Arial"/>
          <w:b/>
        </w:rPr>
      </w:pPr>
    </w:p>
    <w:p w14:paraId="6F525326" w14:textId="77777777" w:rsidR="003E7CFA" w:rsidRDefault="00476000" w:rsidP="00476000">
      <w:pPr>
        <w:pBdr>
          <w:top w:val="single" w:sz="4" w:space="1" w:color="auto"/>
          <w:left w:val="single" w:sz="4" w:space="4" w:color="auto"/>
          <w:bottom w:val="single" w:sz="4" w:space="1" w:color="auto"/>
          <w:right w:val="single" w:sz="4" w:space="4" w:color="auto"/>
        </w:pBdr>
        <w:rPr>
          <w:rFonts w:ascii="Arial" w:hAnsi="Arial" w:cs="Arial"/>
          <w:b/>
        </w:rPr>
      </w:pPr>
      <w:r w:rsidRPr="004C13B7">
        <w:rPr>
          <w:rFonts w:ascii="Arial" w:hAnsi="Arial" w:cs="Arial"/>
          <w:b/>
        </w:rPr>
        <w:t xml:space="preserve">Title of report: </w:t>
      </w:r>
    </w:p>
    <w:p w14:paraId="444CCC7E" w14:textId="77777777" w:rsidR="00476000" w:rsidRPr="003E7CFA" w:rsidRDefault="003E7CFA" w:rsidP="00476000">
      <w:pPr>
        <w:pBdr>
          <w:top w:val="single" w:sz="4" w:space="1" w:color="auto"/>
          <w:left w:val="single" w:sz="4" w:space="4" w:color="auto"/>
          <w:bottom w:val="single" w:sz="4" w:space="1" w:color="auto"/>
          <w:right w:val="single" w:sz="4" w:space="4" w:color="auto"/>
        </w:pBdr>
        <w:rPr>
          <w:rFonts w:ascii="Arial" w:hAnsi="Arial" w:cs="Arial"/>
          <w:b/>
        </w:rPr>
      </w:pPr>
      <w:bookmarkStart w:id="0" w:name="_GoBack"/>
      <w:r w:rsidRPr="003E7CFA">
        <w:rPr>
          <w:rFonts w:ascii="Arial" w:hAnsi="Arial" w:cs="Arial"/>
          <w:b/>
        </w:rPr>
        <w:t>Dedicated Schools Grant</w:t>
      </w:r>
      <w:r>
        <w:rPr>
          <w:rFonts w:ascii="Arial" w:hAnsi="Arial" w:cs="Arial"/>
          <w:b/>
        </w:rPr>
        <w:t xml:space="preserve"> (DSG)</w:t>
      </w:r>
      <w:r w:rsidRPr="003E7CFA">
        <w:rPr>
          <w:rFonts w:ascii="Arial" w:hAnsi="Arial" w:cs="Arial"/>
          <w:b/>
        </w:rPr>
        <w:t xml:space="preserve"> - 2018-19 Budget Monitoring and 2019-20 Overview.</w:t>
      </w:r>
    </w:p>
    <w:bookmarkEnd w:id="0"/>
    <w:p w14:paraId="514DE8FF" w14:textId="77777777" w:rsidR="00476000" w:rsidRPr="004C13B7" w:rsidRDefault="00476000" w:rsidP="00476000">
      <w:pPr>
        <w:rPr>
          <w:rFonts w:ascii="Arial" w:hAnsi="Arial" w:cs="Arial"/>
          <w:b/>
          <w:u w:val="single"/>
        </w:rPr>
      </w:pPr>
    </w:p>
    <w:p w14:paraId="34F055B4" w14:textId="77777777" w:rsidR="00DD0D5B" w:rsidRPr="00DD0D5B" w:rsidRDefault="00476000" w:rsidP="00DD0D5B">
      <w:pPr>
        <w:pBdr>
          <w:top w:val="single" w:sz="4" w:space="1" w:color="auto"/>
          <w:left w:val="single" w:sz="4" w:space="4" w:color="auto"/>
          <w:bottom w:val="single" w:sz="4" w:space="1" w:color="auto"/>
          <w:right w:val="single" w:sz="4" w:space="4" w:color="auto"/>
        </w:pBdr>
        <w:rPr>
          <w:rFonts w:ascii="Arial" w:hAnsi="Arial" w:cs="Arial"/>
          <w:b/>
        </w:rPr>
      </w:pPr>
      <w:r w:rsidRPr="004C13B7">
        <w:rPr>
          <w:rFonts w:ascii="Arial" w:hAnsi="Arial" w:cs="Arial"/>
          <w:b/>
        </w:rPr>
        <w:t xml:space="preserve">Author of the paper: </w:t>
      </w:r>
      <w:proofErr w:type="spellStart"/>
      <w:r w:rsidR="00DD0D5B" w:rsidRPr="00DD0D5B">
        <w:rPr>
          <w:rFonts w:ascii="Arial" w:hAnsi="Arial" w:cs="Arial"/>
          <w:b/>
        </w:rPr>
        <w:t>Sailesh</w:t>
      </w:r>
      <w:proofErr w:type="spellEnd"/>
      <w:r w:rsidR="00DD0D5B" w:rsidRPr="00DD0D5B">
        <w:rPr>
          <w:rFonts w:ascii="Arial" w:hAnsi="Arial" w:cs="Arial"/>
          <w:b/>
        </w:rPr>
        <w:t xml:space="preserve"> Patel /Steve worth </w:t>
      </w:r>
    </w:p>
    <w:p w14:paraId="0314B6C8" w14:textId="77777777" w:rsidR="00476000" w:rsidRDefault="00476000" w:rsidP="00476000">
      <w:pPr>
        <w:pBdr>
          <w:top w:val="single" w:sz="4" w:space="1" w:color="auto"/>
          <w:left w:val="single" w:sz="4" w:space="4" w:color="auto"/>
          <w:bottom w:val="single" w:sz="4" w:space="1" w:color="auto"/>
          <w:right w:val="single" w:sz="4" w:space="4" w:color="auto"/>
        </w:pBdr>
        <w:rPr>
          <w:rFonts w:ascii="Arial" w:hAnsi="Arial" w:cs="Arial"/>
          <w:b/>
        </w:rPr>
      </w:pPr>
    </w:p>
    <w:p w14:paraId="4CB4C8B5" w14:textId="77777777" w:rsidR="00D548E4" w:rsidRPr="00D548E4" w:rsidRDefault="00D548E4" w:rsidP="00476000">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E84AE7B" w14:textId="77777777" w:rsidR="00476000" w:rsidRPr="004C13B7" w:rsidRDefault="00476000" w:rsidP="00476000">
      <w:pPr>
        <w:rPr>
          <w:rFonts w:ascii="Arial" w:hAnsi="Arial" w:cs="Arial"/>
        </w:rPr>
      </w:pPr>
    </w:p>
    <w:p w14:paraId="532696A6" w14:textId="77777777" w:rsidR="00476000" w:rsidRDefault="00476000" w:rsidP="00476000">
      <w:pPr>
        <w:pBdr>
          <w:top w:val="single" w:sz="4" w:space="1" w:color="auto"/>
          <w:left w:val="single" w:sz="4" w:space="4" w:color="auto"/>
          <w:bottom w:val="single" w:sz="4" w:space="1" w:color="auto"/>
          <w:right w:val="single" w:sz="4" w:space="4" w:color="auto"/>
        </w:pBdr>
        <w:rPr>
          <w:rFonts w:ascii="Arial" w:hAnsi="Arial" w:cs="Arial"/>
          <w:b/>
        </w:rPr>
      </w:pPr>
      <w:r w:rsidRPr="004C13B7">
        <w:rPr>
          <w:rFonts w:ascii="Arial" w:hAnsi="Arial" w:cs="Arial"/>
          <w:b/>
        </w:rPr>
        <w:t xml:space="preserve">Officer to present the paper to School Forum: </w:t>
      </w:r>
      <w:proofErr w:type="spellStart"/>
      <w:r w:rsidR="00DD0D5B">
        <w:rPr>
          <w:rFonts w:ascii="Arial" w:hAnsi="Arial" w:cs="Arial"/>
          <w:b/>
        </w:rPr>
        <w:t>Sailesh</w:t>
      </w:r>
      <w:proofErr w:type="spellEnd"/>
      <w:r w:rsidR="00DD0D5B">
        <w:rPr>
          <w:rFonts w:ascii="Arial" w:hAnsi="Arial" w:cs="Arial"/>
          <w:b/>
        </w:rPr>
        <w:t xml:space="preserve"> Patel /Steve worth </w:t>
      </w:r>
    </w:p>
    <w:p w14:paraId="0A6E42B6" w14:textId="77777777" w:rsidR="00D548E4" w:rsidRPr="00D548E4" w:rsidRDefault="00D548E4" w:rsidP="00476000">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30202E1" w14:textId="77777777" w:rsidR="00D548E4" w:rsidRPr="00D548E4" w:rsidRDefault="00D548E4" w:rsidP="00476000">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F354582" w14:textId="77777777" w:rsidR="00476000" w:rsidRPr="004C13B7" w:rsidRDefault="00476000" w:rsidP="00476000">
      <w:pPr>
        <w:rPr>
          <w:rFonts w:ascii="Arial" w:hAnsi="Arial" w:cs="Arial"/>
        </w:rPr>
      </w:pPr>
    </w:p>
    <w:p w14:paraId="79B868E9" w14:textId="77777777" w:rsidR="00476000" w:rsidRDefault="00476000" w:rsidP="00476000">
      <w:pPr>
        <w:pBdr>
          <w:top w:val="single" w:sz="4" w:space="1" w:color="auto"/>
          <w:left w:val="single" w:sz="4" w:space="4" w:color="auto"/>
          <w:bottom w:val="single" w:sz="4" w:space="1" w:color="auto"/>
          <w:right w:val="single" w:sz="4" w:space="4" w:color="auto"/>
        </w:pBdr>
        <w:rPr>
          <w:rFonts w:ascii="Arial" w:hAnsi="Arial" w:cs="Arial"/>
          <w:b/>
        </w:rPr>
      </w:pPr>
      <w:r w:rsidRPr="004C13B7">
        <w:rPr>
          <w:rFonts w:ascii="Arial" w:hAnsi="Arial" w:cs="Arial"/>
          <w:b/>
        </w:rPr>
        <w:t>Details on who has been consulted with on this paper to date:</w:t>
      </w:r>
    </w:p>
    <w:p w14:paraId="329DA6EF" w14:textId="77777777" w:rsidR="00D548E4" w:rsidRDefault="00D548E4" w:rsidP="00476000">
      <w:pPr>
        <w:pBdr>
          <w:top w:val="single" w:sz="4" w:space="1" w:color="auto"/>
          <w:left w:val="single" w:sz="4" w:space="4" w:color="auto"/>
          <w:bottom w:val="single" w:sz="4" w:space="1" w:color="auto"/>
          <w:right w:val="single" w:sz="4" w:space="4" w:color="auto"/>
        </w:pBdr>
        <w:rPr>
          <w:rFonts w:ascii="Arial" w:hAnsi="Arial" w:cs="Arial"/>
          <w:b/>
        </w:rPr>
      </w:pPr>
    </w:p>
    <w:p w14:paraId="6519F511" w14:textId="77777777" w:rsidR="00D548E4" w:rsidRPr="00D548E4" w:rsidRDefault="00D548E4" w:rsidP="00476000">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FDB69A3" w14:textId="77777777" w:rsidR="00476000" w:rsidRPr="004C13B7" w:rsidRDefault="00476000" w:rsidP="00476000">
      <w:pPr>
        <w:rPr>
          <w:rFonts w:ascii="Arial" w:hAnsi="Arial" w:cs="Arial"/>
        </w:rPr>
      </w:pPr>
    </w:p>
    <w:p w14:paraId="0F70719A" w14:textId="77777777" w:rsidR="00B07502" w:rsidRDefault="00476000" w:rsidP="00245F6F">
      <w:pPr>
        <w:pBdr>
          <w:top w:val="single" w:sz="4" w:space="0" w:color="auto"/>
          <w:left w:val="single" w:sz="4" w:space="5" w:color="auto"/>
          <w:bottom w:val="single" w:sz="4" w:space="1" w:color="auto"/>
          <w:right w:val="single" w:sz="4" w:space="1" w:color="auto"/>
        </w:pBdr>
        <w:rPr>
          <w:rFonts w:ascii="Arial" w:hAnsi="Arial" w:cs="Arial"/>
          <w:b/>
        </w:rPr>
      </w:pPr>
      <w:r w:rsidRPr="00B07502">
        <w:rPr>
          <w:rFonts w:ascii="Arial" w:hAnsi="Arial" w:cs="Arial"/>
          <w:b/>
        </w:rPr>
        <w:t>Exec Summary:</w:t>
      </w:r>
      <w:r w:rsidR="00245F6F">
        <w:rPr>
          <w:rFonts w:ascii="Arial" w:hAnsi="Arial" w:cs="Arial"/>
          <w:b/>
        </w:rPr>
        <w:t xml:space="preserve"> </w:t>
      </w:r>
    </w:p>
    <w:p w14:paraId="67C2DD30" w14:textId="77777777" w:rsidR="00C04A0F" w:rsidRPr="00B07502" w:rsidRDefault="00C04A0F" w:rsidP="00245F6F">
      <w:pPr>
        <w:pBdr>
          <w:top w:val="single" w:sz="4" w:space="0" w:color="auto"/>
          <w:left w:val="single" w:sz="4" w:space="5" w:color="auto"/>
          <w:bottom w:val="single" w:sz="4" w:space="1" w:color="auto"/>
          <w:right w:val="single" w:sz="4" w:space="1" w:color="auto"/>
        </w:pBdr>
        <w:rPr>
          <w:rFonts w:ascii="Arial" w:hAnsi="Arial" w:cs="Arial"/>
          <w:b/>
        </w:rPr>
      </w:pPr>
    </w:p>
    <w:p w14:paraId="39AC55C7" w14:textId="77777777" w:rsidR="00B07502" w:rsidRDefault="003E7CFA" w:rsidP="00245F6F">
      <w:pPr>
        <w:pBdr>
          <w:top w:val="single" w:sz="4" w:space="0" w:color="auto"/>
          <w:left w:val="single" w:sz="4" w:space="5" w:color="auto"/>
          <w:bottom w:val="single" w:sz="4" w:space="1" w:color="auto"/>
          <w:right w:val="single" w:sz="4" w:space="1" w:color="auto"/>
        </w:pBdr>
        <w:rPr>
          <w:rFonts w:ascii="Arial" w:hAnsi="Arial" w:cs="Arial"/>
          <w:sz w:val="24"/>
          <w:szCs w:val="24"/>
        </w:rPr>
      </w:pPr>
      <w:r>
        <w:rPr>
          <w:rFonts w:ascii="Arial" w:hAnsi="Arial" w:cs="Arial"/>
          <w:sz w:val="24"/>
          <w:szCs w:val="24"/>
        </w:rPr>
        <w:t>The report sets out the original and revised DSG for 2018-19 and the monitoring position for the centrally managed elements of it.</w:t>
      </w:r>
    </w:p>
    <w:p w14:paraId="236376E1" w14:textId="77777777" w:rsidR="003E7CFA" w:rsidRDefault="003E7CFA" w:rsidP="00245F6F">
      <w:pPr>
        <w:pBdr>
          <w:top w:val="single" w:sz="4" w:space="0" w:color="auto"/>
          <w:left w:val="single" w:sz="4" w:space="5" w:color="auto"/>
          <w:bottom w:val="single" w:sz="4" w:space="1" w:color="auto"/>
          <w:right w:val="single" w:sz="4" w:space="1" w:color="auto"/>
        </w:pBdr>
        <w:rPr>
          <w:rFonts w:ascii="Arial" w:hAnsi="Arial" w:cs="Arial"/>
          <w:sz w:val="24"/>
          <w:szCs w:val="24"/>
        </w:rPr>
      </w:pPr>
    </w:p>
    <w:p w14:paraId="39D4696F" w14:textId="77777777" w:rsidR="00D548E4" w:rsidRDefault="003E7CFA" w:rsidP="00245F6F">
      <w:pPr>
        <w:pBdr>
          <w:top w:val="single" w:sz="4" w:space="0" w:color="auto"/>
          <w:left w:val="single" w:sz="4" w:space="5" w:color="auto"/>
          <w:bottom w:val="single" w:sz="4" w:space="1" w:color="auto"/>
          <w:right w:val="single" w:sz="4" w:space="1" w:color="auto"/>
        </w:pBdr>
        <w:rPr>
          <w:rFonts w:ascii="Arial" w:hAnsi="Arial" w:cs="Arial"/>
          <w:sz w:val="24"/>
          <w:szCs w:val="24"/>
        </w:rPr>
      </w:pPr>
      <w:r>
        <w:rPr>
          <w:rFonts w:ascii="Arial" w:hAnsi="Arial" w:cs="Arial"/>
          <w:sz w:val="24"/>
          <w:szCs w:val="24"/>
        </w:rPr>
        <w:t>The report also sets out the indicative DSG for 2019-20 and the initial proposals for its use.</w:t>
      </w:r>
    </w:p>
    <w:p w14:paraId="24DD9D0B" w14:textId="77777777" w:rsidR="00D548E4" w:rsidRDefault="00D548E4" w:rsidP="00245F6F">
      <w:pPr>
        <w:pBdr>
          <w:top w:val="single" w:sz="4" w:space="0" w:color="auto"/>
          <w:left w:val="single" w:sz="4" w:space="5" w:color="auto"/>
          <w:bottom w:val="single" w:sz="4" w:space="1" w:color="auto"/>
          <w:right w:val="single" w:sz="4" w:space="1" w:color="auto"/>
        </w:pBdr>
        <w:rPr>
          <w:rFonts w:ascii="Arial" w:hAnsi="Arial" w:cs="Arial"/>
          <w:sz w:val="24"/>
          <w:szCs w:val="24"/>
        </w:rPr>
      </w:pPr>
    </w:p>
    <w:p w14:paraId="64DE810A" w14:textId="77777777" w:rsidR="00112AFD" w:rsidRDefault="00112AFD" w:rsidP="00112AFD">
      <w:pPr>
        <w:rPr>
          <w:rFonts w:ascii="Arial" w:hAnsi="Arial" w:cs="Arial"/>
          <w:sz w:val="24"/>
          <w:szCs w:val="24"/>
        </w:rPr>
      </w:pPr>
    </w:p>
    <w:p w14:paraId="470958DD" w14:textId="77777777" w:rsidR="00112AFD" w:rsidRPr="00D548E4" w:rsidRDefault="00112AFD" w:rsidP="00245F6F">
      <w:pPr>
        <w:pBdr>
          <w:top w:val="single" w:sz="4" w:space="0" w:color="auto"/>
          <w:left w:val="single" w:sz="4" w:space="5" w:color="auto"/>
          <w:bottom w:val="single" w:sz="4" w:space="1" w:color="auto"/>
          <w:right w:val="single" w:sz="4" w:space="1" w:color="auto"/>
        </w:pBdr>
        <w:rPr>
          <w:rFonts w:ascii="Arial" w:hAnsi="Arial" w:cs="Arial"/>
          <w:b/>
        </w:rPr>
      </w:pPr>
      <w:r w:rsidRPr="00D548E4">
        <w:rPr>
          <w:rFonts w:ascii="Arial" w:hAnsi="Arial" w:cs="Arial"/>
          <w:b/>
        </w:rPr>
        <w:t>Action Required</w:t>
      </w:r>
      <w:r w:rsidR="00D548E4">
        <w:rPr>
          <w:rFonts w:ascii="Arial" w:hAnsi="Arial" w:cs="Arial"/>
          <w:b/>
        </w:rPr>
        <w:t>:</w:t>
      </w:r>
    </w:p>
    <w:p w14:paraId="4CA2F645" w14:textId="77777777" w:rsidR="00112AFD" w:rsidRDefault="00112AFD" w:rsidP="00245F6F">
      <w:pPr>
        <w:pBdr>
          <w:top w:val="single" w:sz="4" w:space="0" w:color="auto"/>
          <w:left w:val="single" w:sz="4" w:space="5" w:color="auto"/>
          <w:bottom w:val="single" w:sz="4" w:space="1" w:color="auto"/>
          <w:right w:val="single" w:sz="4" w:space="1" w:color="auto"/>
        </w:pBdr>
        <w:rPr>
          <w:rFonts w:ascii="Arial" w:hAnsi="Arial" w:cs="Arial"/>
          <w:sz w:val="24"/>
          <w:szCs w:val="24"/>
        </w:rPr>
      </w:pPr>
    </w:p>
    <w:p w14:paraId="22CE82B2" w14:textId="77777777" w:rsidR="006835DD" w:rsidRDefault="00B07502" w:rsidP="00245F6F">
      <w:pPr>
        <w:pBdr>
          <w:top w:val="single" w:sz="4" w:space="0" w:color="auto"/>
          <w:left w:val="single" w:sz="4" w:space="5" w:color="auto"/>
          <w:bottom w:val="single" w:sz="4" w:space="1" w:color="auto"/>
          <w:right w:val="single" w:sz="4" w:space="1" w:color="auto"/>
        </w:pBdr>
        <w:ind w:left="720" w:hanging="720"/>
        <w:rPr>
          <w:rFonts w:ascii="Arial" w:hAnsi="Arial" w:cs="Arial"/>
          <w:sz w:val="24"/>
          <w:szCs w:val="24"/>
        </w:rPr>
      </w:pPr>
      <w:r>
        <w:rPr>
          <w:rFonts w:ascii="Arial" w:hAnsi="Arial" w:cs="Arial"/>
          <w:sz w:val="24"/>
          <w:szCs w:val="24"/>
        </w:rPr>
        <w:t>Schools Forum is invited to</w:t>
      </w:r>
      <w:r w:rsidR="00D548E4">
        <w:rPr>
          <w:rFonts w:ascii="Arial" w:hAnsi="Arial" w:cs="Arial"/>
          <w:sz w:val="24"/>
          <w:szCs w:val="24"/>
        </w:rPr>
        <w:t>:</w:t>
      </w:r>
    </w:p>
    <w:p w14:paraId="6778A108" w14:textId="77777777" w:rsidR="003E7CFA" w:rsidRDefault="003E7CFA" w:rsidP="00245F6F">
      <w:pPr>
        <w:pBdr>
          <w:top w:val="single" w:sz="4" w:space="0" w:color="auto"/>
          <w:left w:val="single" w:sz="4" w:space="5" w:color="auto"/>
          <w:bottom w:val="single" w:sz="4" w:space="1" w:color="auto"/>
          <w:right w:val="single" w:sz="4" w:space="1" w:color="auto"/>
        </w:pBdr>
        <w:ind w:left="720" w:hanging="720"/>
        <w:rPr>
          <w:rFonts w:ascii="Arial" w:hAnsi="Arial" w:cs="Arial"/>
          <w:sz w:val="24"/>
          <w:szCs w:val="24"/>
        </w:rPr>
      </w:pPr>
      <w:r>
        <w:rPr>
          <w:rFonts w:ascii="Arial" w:hAnsi="Arial" w:cs="Arial"/>
          <w:sz w:val="24"/>
          <w:szCs w:val="24"/>
        </w:rPr>
        <w:t>Note the current projections for 2018-19 centrally retained budgets.</w:t>
      </w:r>
    </w:p>
    <w:p w14:paraId="19C69CDB" w14:textId="77777777" w:rsidR="003E7CFA" w:rsidRDefault="003E7CFA" w:rsidP="00245F6F">
      <w:pPr>
        <w:pBdr>
          <w:top w:val="single" w:sz="4" w:space="0" w:color="auto"/>
          <w:left w:val="single" w:sz="4" w:space="5" w:color="auto"/>
          <w:bottom w:val="single" w:sz="4" w:space="1" w:color="auto"/>
          <w:right w:val="single" w:sz="4" w:space="1" w:color="auto"/>
        </w:pBdr>
        <w:ind w:left="720" w:hanging="720"/>
        <w:rPr>
          <w:rFonts w:ascii="Arial" w:hAnsi="Arial" w:cs="Arial"/>
          <w:sz w:val="24"/>
          <w:lang w:val="en-US"/>
        </w:rPr>
      </w:pPr>
      <w:r>
        <w:rPr>
          <w:rFonts w:ascii="Arial" w:hAnsi="Arial" w:cs="Arial"/>
          <w:sz w:val="24"/>
          <w:szCs w:val="24"/>
        </w:rPr>
        <w:t xml:space="preserve">Comment on the </w:t>
      </w:r>
      <w:r w:rsidR="00184F0D">
        <w:rPr>
          <w:rFonts w:ascii="Arial" w:hAnsi="Arial" w:cs="Arial"/>
          <w:sz w:val="24"/>
          <w:szCs w:val="24"/>
        </w:rPr>
        <w:t>initial proposals for the 2019-20 centrally retained elements.</w:t>
      </w:r>
    </w:p>
    <w:p w14:paraId="737C3514" w14:textId="77777777" w:rsidR="00B07502" w:rsidRPr="00B07502" w:rsidRDefault="00B07502" w:rsidP="008B0F37">
      <w:pPr>
        <w:pBdr>
          <w:top w:val="single" w:sz="4" w:space="0" w:color="auto"/>
          <w:left w:val="single" w:sz="4" w:space="5" w:color="auto"/>
          <w:bottom w:val="single" w:sz="4" w:space="1" w:color="auto"/>
          <w:right w:val="single" w:sz="4" w:space="1" w:color="auto"/>
        </w:pBdr>
        <w:rPr>
          <w:rFonts w:ascii="Arial" w:hAnsi="Arial" w:cs="Arial"/>
          <w:sz w:val="24"/>
          <w:szCs w:val="24"/>
        </w:rPr>
      </w:pPr>
    </w:p>
    <w:p w14:paraId="7F0D30F4" w14:textId="77777777" w:rsidR="00476000" w:rsidRPr="004C13B7" w:rsidRDefault="00476000" w:rsidP="00476000">
      <w:pPr>
        <w:rPr>
          <w:rFonts w:ascii="Arial" w:hAnsi="Arial" w:cs="Arial"/>
        </w:rPr>
      </w:pPr>
    </w:p>
    <w:p w14:paraId="381C0809" w14:textId="77777777" w:rsidR="00920CD6" w:rsidRPr="00D81074" w:rsidRDefault="00112AFD" w:rsidP="00D81074">
      <w:pPr>
        <w:pStyle w:val="BodyTextIndent"/>
        <w:tabs>
          <w:tab w:val="clear" w:pos="360"/>
        </w:tabs>
        <w:ind w:left="0" w:firstLine="0"/>
        <w:jc w:val="both"/>
        <w:rPr>
          <w:sz w:val="24"/>
        </w:rPr>
      </w:pPr>
      <w:r>
        <w:rPr>
          <w:sz w:val="24"/>
        </w:rPr>
        <w:br w:type="page"/>
      </w:r>
    </w:p>
    <w:p w14:paraId="266D23CD" w14:textId="77777777" w:rsidR="00D81074" w:rsidRDefault="00B666D4" w:rsidP="00D81074">
      <w:pPr>
        <w:numPr>
          <w:ilvl w:val="0"/>
          <w:numId w:val="4"/>
        </w:numPr>
        <w:tabs>
          <w:tab w:val="clear" w:pos="360"/>
          <w:tab w:val="num" w:pos="709"/>
        </w:tabs>
        <w:spacing w:before="60" w:after="60"/>
        <w:ind w:left="709" w:hanging="709"/>
        <w:jc w:val="both"/>
        <w:rPr>
          <w:rFonts w:ascii="Arial" w:hAnsi="Arial"/>
          <w:b/>
          <w:sz w:val="22"/>
          <w:szCs w:val="22"/>
        </w:rPr>
      </w:pPr>
      <w:r>
        <w:rPr>
          <w:rFonts w:ascii="Arial" w:hAnsi="Arial"/>
          <w:b/>
          <w:sz w:val="22"/>
          <w:szCs w:val="22"/>
        </w:rPr>
        <w:lastRenderedPageBreak/>
        <w:t>INTRODUCTION</w:t>
      </w:r>
      <w:r w:rsidR="00D81074" w:rsidRPr="002A6338">
        <w:rPr>
          <w:rFonts w:ascii="Arial" w:hAnsi="Arial"/>
          <w:b/>
          <w:sz w:val="22"/>
          <w:szCs w:val="22"/>
        </w:rPr>
        <w:t>.</w:t>
      </w:r>
    </w:p>
    <w:p w14:paraId="440343D8" w14:textId="77777777" w:rsidR="00B666D4" w:rsidRPr="0083472B" w:rsidRDefault="00B666D4" w:rsidP="00B666D4">
      <w:pPr>
        <w:numPr>
          <w:ilvl w:val="1"/>
          <w:numId w:val="4"/>
        </w:numPr>
        <w:tabs>
          <w:tab w:val="num" w:pos="709"/>
        </w:tabs>
        <w:spacing w:before="60" w:after="60"/>
        <w:ind w:left="709" w:hanging="596"/>
        <w:jc w:val="both"/>
        <w:rPr>
          <w:rFonts w:ascii="Arial" w:hAnsi="Arial"/>
          <w:b/>
          <w:sz w:val="22"/>
          <w:szCs w:val="22"/>
        </w:rPr>
      </w:pPr>
      <w:r>
        <w:rPr>
          <w:rFonts w:ascii="Arial" w:hAnsi="Arial"/>
          <w:sz w:val="22"/>
          <w:szCs w:val="22"/>
        </w:rPr>
        <w:t>The Dedicated Schools Grant (DSG) is a ring-fenced grant used to fund pupil-led education spending. The initial notification of the value of the grant is received in the December preceding the financial year in question and updated at various stages as new data becomes available. As a ring-fenced grant any under or overspends are carried forward into future years.</w:t>
      </w:r>
    </w:p>
    <w:p w14:paraId="4C4E7D2D" w14:textId="77777777" w:rsidR="0083472B" w:rsidRPr="0083472B" w:rsidRDefault="0083472B" w:rsidP="00B666D4">
      <w:pPr>
        <w:numPr>
          <w:ilvl w:val="1"/>
          <w:numId w:val="4"/>
        </w:numPr>
        <w:tabs>
          <w:tab w:val="num" w:pos="709"/>
        </w:tabs>
        <w:spacing w:before="60" w:after="60"/>
        <w:ind w:left="709" w:hanging="596"/>
        <w:jc w:val="both"/>
        <w:rPr>
          <w:rFonts w:ascii="Arial" w:hAnsi="Arial"/>
          <w:b/>
          <w:sz w:val="22"/>
          <w:szCs w:val="22"/>
        </w:rPr>
      </w:pPr>
      <w:r>
        <w:rPr>
          <w:rFonts w:ascii="Arial" w:hAnsi="Arial"/>
          <w:sz w:val="22"/>
          <w:szCs w:val="22"/>
        </w:rPr>
        <w:t>The grant is split into four blocks:</w:t>
      </w:r>
    </w:p>
    <w:p w14:paraId="7A24FAAA" w14:textId="77777777" w:rsidR="0083472B" w:rsidRDefault="0083472B" w:rsidP="0083472B">
      <w:pPr>
        <w:numPr>
          <w:ilvl w:val="0"/>
          <w:numId w:val="35"/>
        </w:numPr>
        <w:spacing w:before="60" w:after="60"/>
        <w:jc w:val="both"/>
        <w:rPr>
          <w:rFonts w:ascii="Arial" w:hAnsi="Arial"/>
          <w:sz w:val="22"/>
          <w:szCs w:val="22"/>
        </w:rPr>
      </w:pPr>
      <w:r w:rsidRPr="0083472B">
        <w:rPr>
          <w:rFonts w:ascii="Arial" w:hAnsi="Arial"/>
          <w:sz w:val="22"/>
          <w:szCs w:val="22"/>
        </w:rPr>
        <w:t>The Schools Block</w:t>
      </w:r>
      <w:r>
        <w:rPr>
          <w:rFonts w:ascii="Arial" w:hAnsi="Arial"/>
          <w:sz w:val="22"/>
          <w:szCs w:val="22"/>
        </w:rPr>
        <w:t xml:space="preserve"> (SB)</w:t>
      </w:r>
      <w:r w:rsidRPr="0083472B">
        <w:rPr>
          <w:rFonts w:ascii="Arial" w:hAnsi="Arial"/>
          <w:sz w:val="22"/>
          <w:szCs w:val="22"/>
        </w:rPr>
        <w:t>.</w:t>
      </w:r>
      <w:r>
        <w:rPr>
          <w:rFonts w:ascii="Arial" w:hAnsi="Arial"/>
          <w:sz w:val="22"/>
          <w:szCs w:val="22"/>
        </w:rPr>
        <w:t xml:space="preserve"> </w:t>
      </w:r>
      <w:r w:rsidR="00C04A0F">
        <w:rPr>
          <w:rFonts w:ascii="Arial" w:hAnsi="Arial"/>
          <w:sz w:val="22"/>
          <w:szCs w:val="22"/>
        </w:rPr>
        <w:t xml:space="preserve">The SB is fully allocated to schools through the Schools Funding Formula, except for the </w:t>
      </w:r>
      <w:r w:rsidR="00F875EA">
        <w:rPr>
          <w:rFonts w:ascii="Arial" w:hAnsi="Arial"/>
          <w:sz w:val="22"/>
          <w:szCs w:val="22"/>
        </w:rPr>
        <w:t xml:space="preserve">Growth Fund </w:t>
      </w:r>
      <w:r w:rsidR="00C04A0F">
        <w:rPr>
          <w:rFonts w:ascii="Arial" w:hAnsi="Arial"/>
          <w:sz w:val="22"/>
          <w:szCs w:val="22"/>
        </w:rPr>
        <w:t xml:space="preserve">of </w:t>
      </w:r>
      <w:r w:rsidR="00F875EA">
        <w:rPr>
          <w:rFonts w:ascii="Arial" w:hAnsi="Arial"/>
          <w:sz w:val="22"/>
          <w:szCs w:val="22"/>
        </w:rPr>
        <w:t>£2.471m</w:t>
      </w:r>
      <w:r w:rsidR="00C04A0F">
        <w:rPr>
          <w:rFonts w:ascii="Arial" w:hAnsi="Arial"/>
          <w:sz w:val="22"/>
          <w:szCs w:val="22"/>
        </w:rPr>
        <w:t xml:space="preserve"> which is distribute</w:t>
      </w:r>
      <w:r w:rsidR="00F804B7">
        <w:rPr>
          <w:rFonts w:ascii="Arial" w:hAnsi="Arial"/>
          <w:sz w:val="22"/>
          <w:szCs w:val="22"/>
        </w:rPr>
        <w:t>d to schools during the course of the year.</w:t>
      </w:r>
      <w:r w:rsidR="00C04A0F">
        <w:rPr>
          <w:rFonts w:ascii="Arial" w:hAnsi="Arial"/>
          <w:sz w:val="22"/>
          <w:szCs w:val="22"/>
        </w:rPr>
        <w:t xml:space="preserve"> </w:t>
      </w:r>
      <w:r w:rsidR="005F0C0C">
        <w:rPr>
          <w:rFonts w:ascii="Arial" w:hAnsi="Arial"/>
          <w:sz w:val="22"/>
          <w:szCs w:val="22"/>
        </w:rPr>
        <w:t xml:space="preserve">The SB includes funding for local academies and free schools; the formula allocations </w:t>
      </w:r>
      <w:r w:rsidR="00F875EA">
        <w:rPr>
          <w:rFonts w:ascii="Arial" w:hAnsi="Arial"/>
          <w:sz w:val="22"/>
          <w:szCs w:val="22"/>
        </w:rPr>
        <w:t xml:space="preserve">for these </w:t>
      </w:r>
      <w:r w:rsidR="005F0C0C">
        <w:rPr>
          <w:rFonts w:ascii="Arial" w:hAnsi="Arial"/>
          <w:sz w:val="22"/>
          <w:szCs w:val="22"/>
        </w:rPr>
        <w:t>are removed (recouped) from the DSG and paid directly to the institutions by the Education and Skills Funding Agency (ESFA).</w:t>
      </w:r>
      <w:r w:rsidR="00F875EA">
        <w:rPr>
          <w:rFonts w:ascii="Arial" w:hAnsi="Arial"/>
          <w:sz w:val="22"/>
          <w:szCs w:val="22"/>
        </w:rPr>
        <w:t xml:space="preserve"> Schools Forum can agree to de-delegate funding from maintained schools for use centrally for the benefit of maintained schools. In 2018-19 de-delegation totalled £1.728m, leaving £254.977m in school budget shares. </w:t>
      </w:r>
      <w:r w:rsidR="005F0C0C">
        <w:rPr>
          <w:rFonts w:ascii="Arial" w:hAnsi="Arial"/>
          <w:sz w:val="22"/>
          <w:szCs w:val="22"/>
        </w:rPr>
        <w:t xml:space="preserve"> </w:t>
      </w:r>
    </w:p>
    <w:p w14:paraId="77B14B5C" w14:textId="77777777" w:rsidR="0083472B" w:rsidRDefault="0083472B" w:rsidP="0083472B">
      <w:pPr>
        <w:numPr>
          <w:ilvl w:val="0"/>
          <w:numId w:val="35"/>
        </w:numPr>
        <w:spacing w:before="60" w:after="60"/>
        <w:jc w:val="both"/>
        <w:rPr>
          <w:rFonts w:ascii="Arial" w:hAnsi="Arial"/>
          <w:sz w:val="22"/>
          <w:szCs w:val="22"/>
        </w:rPr>
      </w:pPr>
      <w:r>
        <w:rPr>
          <w:rFonts w:ascii="Arial" w:hAnsi="Arial"/>
          <w:sz w:val="22"/>
          <w:szCs w:val="22"/>
        </w:rPr>
        <w:t>Central Schools Services Block (CSSB). This is to fund ongoing central services such as Admissions and a reducing level of historical commitments.</w:t>
      </w:r>
      <w:r w:rsidR="00BC33F6">
        <w:rPr>
          <w:rFonts w:ascii="Arial" w:hAnsi="Arial"/>
          <w:sz w:val="22"/>
          <w:szCs w:val="22"/>
        </w:rPr>
        <w:t xml:space="preserve"> The CSSB is reducing annually as the Block is moved to a formulaic distribution.</w:t>
      </w:r>
      <w:r>
        <w:rPr>
          <w:rFonts w:ascii="Arial" w:hAnsi="Arial"/>
          <w:sz w:val="22"/>
          <w:szCs w:val="22"/>
        </w:rPr>
        <w:t xml:space="preserve"> It can be supplemented if Forum agrees to de-delegate funding from maintained schools for specific purposes.</w:t>
      </w:r>
      <w:r w:rsidR="000A7E7F">
        <w:rPr>
          <w:rFonts w:ascii="Arial" w:hAnsi="Arial"/>
          <w:sz w:val="22"/>
          <w:szCs w:val="22"/>
        </w:rPr>
        <w:t xml:space="preserve"> The CSSB requires Forum approval annually.</w:t>
      </w:r>
    </w:p>
    <w:p w14:paraId="67A4EF25" w14:textId="77777777" w:rsidR="00AC503A" w:rsidRDefault="0083472B" w:rsidP="0083472B">
      <w:pPr>
        <w:numPr>
          <w:ilvl w:val="0"/>
          <w:numId w:val="35"/>
        </w:numPr>
        <w:spacing w:before="60" w:after="60"/>
        <w:jc w:val="both"/>
        <w:rPr>
          <w:rFonts w:ascii="Arial" w:hAnsi="Arial"/>
          <w:sz w:val="22"/>
          <w:szCs w:val="22"/>
        </w:rPr>
      </w:pPr>
      <w:r>
        <w:rPr>
          <w:rFonts w:ascii="Arial" w:hAnsi="Arial"/>
          <w:sz w:val="22"/>
          <w:szCs w:val="22"/>
        </w:rPr>
        <w:t>High Needs Block (HNB). This funds the additional cost of pupils with high needs. It includes the funding of places in special scho</w:t>
      </w:r>
      <w:r w:rsidR="00AC503A">
        <w:rPr>
          <w:rFonts w:ascii="Arial" w:hAnsi="Arial"/>
          <w:sz w:val="22"/>
          <w:szCs w:val="22"/>
        </w:rPr>
        <w:t>ols, alternative provision and Private, Voluntary and I</w:t>
      </w:r>
      <w:r>
        <w:rPr>
          <w:rFonts w:ascii="Arial" w:hAnsi="Arial"/>
          <w:sz w:val="22"/>
          <w:szCs w:val="22"/>
        </w:rPr>
        <w:t xml:space="preserve">ndependent </w:t>
      </w:r>
      <w:r w:rsidR="001F059E">
        <w:rPr>
          <w:rFonts w:ascii="Arial" w:hAnsi="Arial"/>
          <w:sz w:val="22"/>
          <w:szCs w:val="22"/>
        </w:rPr>
        <w:t xml:space="preserve">(PVI) </w:t>
      </w:r>
      <w:r>
        <w:rPr>
          <w:rFonts w:ascii="Arial" w:hAnsi="Arial"/>
          <w:sz w:val="22"/>
          <w:szCs w:val="22"/>
        </w:rPr>
        <w:t xml:space="preserve">provision. It also provides top-up funding for </w:t>
      </w:r>
      <w:r w:rsidR="00AC503A">
        <w:rPr>
          <w:rFonts w:ascii="Arial" w:hAnsi="Arial"/>
          <w:sz w:val="22"/>
          <w:szCs w:val="22"/>
        </w:rPr>
        <w:t>pupils with special needs</w:t>
      </w:r>
      <w:r>
        <w:rPr>
          <w:rFonts w:ascii="Arial" w:hAnsi="Arial"/>
          <w:sz w:val="22"/>
          <w:szCs w:val="22"/>
        </w:rPr>
        <w:t xml:space="preserve"> in mainstream provision. The HNB</w:t>
      </w:r>
      <w:r w:rsidR="00AC503A">
        <w:rPr>
          <w:rFonts w:ascii="Arial" w:hAnsi="Arial"/>
          <w:sz w:val="22"/>
          <w:szCs w:val="22"/>
        </w:rPr>
        <w:t xml:space="preserve"> covers students in further education to the age of 25.</w:t>
      </w:r>
      <w:r w:rsidR="0096071D">
        <w:rPr>
          <w:rFonts w:ascii="Arial" w:hAnsi="Arial"/>
          <w:sz w:val="22"/>
          <w:szCs w:val="22"/>
        </w:rPr>
        <w:t xml:space="preserve"> The ESFA recoups funding in respect of academies and other direct payments. </w:t>
      </w:r>
      <w:r w:rsidR="00BB1096">
        <w:rPr>
          <w:rFonts w:ascii="Arial" w:hAnsi="Arial"/>
          <w:sz w:val="22"/>
          <w:szCs w:val="22"/>
        </w:rPr>
        <w:t xml:space="preserve">The Local Authority decides how this block is used but </w:t>
      </w:r>
      <w:r w:rsidR="00C10459">
        <w:rPr>
          <w:rFonts w:ascii="Arial" w:hAnsi="Arial"/>
          <w:sz w:val="22"/>
          <w:szCs w:val="22"/>
        </w:rPr>
        <w:t>it is recommended practice to discuss with the Forum.</w:t>
      </w:r>
    </w:p>
    <w:p w14:paraId="3D775FD8" w14:textId="498EC3CF" w:rsidR="0083472B" w:rsidRPr="0083472B" w:rsidRDefault="00AC503A" w:rsidP="0083472B">
      <w:pPr>
        <w:numPr>
          <w:ilvl w:val="0"/>
          <w:numId w:val="35"/>
        </w:numPr>
        <w:spacing w:before="60" w:after="60"/>
        <w:jc w:val="both"/>
        <w:rPr>
          <w:rFonts w:ascii="Arial" w:hAnsi="Arial"/>
          <w:sz w:val="22"/>
          <w:szCs w:val="22"/>
        </w:rPr>
      </w:pPr>
      <w:r>
        <w:rPr>
          <w:rFonts w:ascii="Arial" w:hAnsi="Arial"/>
          <w:sz w:val="22"/>
          <w:szCs w:val="22"/>
        </w:rPr>
        <w:t>Early Years Block (EYB). The majority of this is delegated to maintained school</w:t>
      </w:r>
      <w:r w:rsidR="001F059E">
        <w:rPr>
          <w:rFonts w:ascii="Arial" w:hAnsi="Arial"/>
          <w:sz w:val="22"/>
          <w:szCs w:val="22"/>
        </w:rPr>
        <w:t>s,</w:t>
      </w:r>
      <w:r>
        <w:rPr>
          <w:rFonts w:ascii="Arial" w:hAnsi="Arial"/>
          <w:sz w:val="22"/>
          <w:szCs w:val="22"/>
        </w:rPr>
        <w:t xml:space="preserve"> nursery schools</w:t>
      </w:r>
      <w:r w:rsidR="001F059E">
        <w:rPr>
          <w:rFonts w:ascii="Arial" w:hAnsi="Arial"/>
          <w:sz w:val="22"/>
          <w:szCs w:val="22"/>
        </w:rPr>
        <w:t xml:space="preserve"> and </w:t>
      </w:r>
      <w:r>
        <w:rPr>
          <w:rFonts w:ascii="Arial" w:hAnsi="Arial"/>
          <w:sz w:val="22"/>
          <w:szCs w:val="22"/>
        </w:rPr>
        <w:t>providers in the P</w:t>
      </w:r>
      <w:r w:rsidR="001F059E">
        <w:rPr>
          <w:rFonts w:ascii="Arial" w:hAnsi="Arial"/>
          <w:sz w:val="22"/>
          <w:szCs w:val="22"/>
        </w:rPr>
        <w:t xml:space="preserve">VI sector. It covers the statutory universal provision of part-time education to all three and four year olds, the provision of full-time education for three and four year olds with working parents and the </w:t>
      </w:r>
      <w:r w:rsidR="008634A1">
        <w:rPr>
          <w:rFonts w:ascii="Arial" w:hAnsi="Arial"/>
          <w:sz w:val="22"/>
          <w:szCs w:val="22"/>
        </w:rPr>
        <w:t>provision of part-time education to eligible two-year olds. The Local Authority (LA) can retain 5</w:t>
      </w:r>
      <w:r w:rsidR="005A4663">
        <w:rPr>
          <w:rFonts w:ascii="Arial" w:hAnsi="Arial"/>
          <w:sz w:val="22"/>
          <w:szCs w:val="22"/>
        </w:rPr>
        <w:t xml:space="preserve"> per cent</w:t>
      </w:r>
      <w:r w:rsidR="008634A1">
        <w:rPr>
          <w:rFonts w:ascii="Arial" w:hAnsi="Arial"/>
          <w:sz w:val="22"/>
          <w:szCs w:val="22"/>
        </w:rPr>
        <w:t xml:space="preserve"> of three and </w:t>
      </w:r>
      <w:proofErr w:type="gramStart"/>
      <w:r w:rsidR="008634A1">
        <w:rPr>
          <w:rFonts w:ascii="Arial" w:hAnsi="Arial"/>
          <w:sz w:val="22"/>
          <w:szCs w:val="22"/>
        </w:rPr>
        <w:t>four year old</w:t>
      </w:r>
      <w:proofErr w:type="gramEnd"/>
      <w:r w:rsidR="008634A1">
        <w:rPr>
          <w:rFonts w:ascii="Arial" w:hAnsi="Arial"/>
          <w:sz w:val="22"/>
          <w:szCs w:val="22"/>
        </w:rPr>
        <w:t xml:space="preserve"> funding to provide central services</w:t>
      </w:r>
      <w:r w:rsidR="000A7E7F">
        <w:rPr>
          <w:rFonts w:ascii="Arial" w:hAnsi="Arial"/>
          <w:sz w:val="22"/>
          <w:szCs w:val="22"/>
        </w:rPr>
        <w:t>, the use of which requires Forum permission. The amount centrally retained can be increased if</w:t>
      </w:r>
      <w:r w:rsidR="009C3420">
        <w:rPr>
          <w:rFonts w:ascii="Arial" w:hAnsi="Arial"/>
          <w:sz w:val="22"/>
          <w:szCs w:val="22"/>
        </w:rPr>
        <w:t xml:space="preserve"> dispensation is given by the Secretary of State for Education</w:t>
      </w:r>
      <w:r w:rsidR="008634A1">
        <w:rPr>
          <w:rFonts w:ascii="Arial" w:hAnsi="Arial"/>
          <w:sz w:val="22"/>
          <w:szCs w:val="22"/>
        </w:rPr>
        <w:t>. The EYB also contains specific funds such as the Disability Access Fund.</w:t>
      </w:r>
      <w:r w:rsidR="001F059E">
        <w:rPr>
          <w:rFonts w:ascii="Arial" w:hAnsi="Arial"/>
          <w:sz w:val="22"/>
          <w:szCs w:val="22"/>
        </w:rPr>
        <w:t xml:space="preserve"> </w:t>
      </w:r>
    </w:p>
    <w:p w14:paraId="27A4AF8C" w14:textId="77777777" w:rsidR="00B666D4" w:rsidRPr="00B666D4" w:rsidRDefault="00B666D4" w:rsidP="00B666D4">
      <w:pPr>
        <w:spacing w:before="60" w:after="60"/>
        <w:ind w:left="709"/>
        <w:jc w:val="both"/>
        <w:rPr>
          <w:rFonts w:ascii="Arial" w:hAnsi="Arial"/>
          <w:b/>
          <w:sz w:val="22"/>
          <w:szCs w:val="22"/>
        </w:rPr>
      </w:pPr>
    </w:p>
    <w:p w14:paraId="73EF4BAC" w14:textId="77777777" w:rsidR="00B666D4" w:rsidRDefault="00B666D4" w:rsidP="00B666D4">
      <w:pPr>
        <w:numPr>
          <w:ilvl w:val="0"/>
          <w:numId w:val="4"/>
        </w:numPr>
        <w:tabs>
          <w:tab w:val="clear" w:pos="360"/>
          <w:tab w:val="num" w:pos="709"/>
        </w:tabs>
        <w:spacing w:before="60" w:after="60"/>
        <w:ind w:left="709" w:hanging="709"/>
        <w:jc w:val="both"/>
        <w:rPr>
          <w:rFonts w:ascii="Arial" w:hAnsi="Arial"/>
          <w:b/>
          <w:sz w:val="22"/>
          <w:szCs w:val="22"/>
        </w:rPr>
      </w:pPr>
      <w:r w:rsidRPr="00B666D4">
        <w:rPr>
          <w:rFonts w:ascii="Arial" w:hAnsi="Arial"/>
          <w:b/>
          <w:sz w:val="22"/>
          <w:szCs w:val="22"/>
        </w:rPr>
        <w:t>DSG 2018-19</w:t>
      </w:r>
      <w:r>
        <w:rPr>
          <w:rFonts w:ascii="Arial" w:hAnsi="Arial"/>
          <w:b/>
          <w:sz w:val="22"/>
          <w:szCs w:val="22"/>
        </w:rPr>
        <w:t>.</w:t>
      </w:r>
    </w:p>
    <w:p w14:paraId="3E370011" w14:textId="77777777" w:rsidR="00B666D4" w:rsidRPr="001A108D" w:rsidRDefault="00B666D4" w:rsidP="001A108D">
      <w:pPr>
        <w:numPr>
          <w:ilvl w:val="1"/>
          <w:numId w:val="4"/>
        </w:numPr>
        <w:tabs>
          <w:tab w:val="num" w:pos="709"/>
        </w:tabs>
        <w:spacing w:before="60" w:after="60"/>
        <w:ind w:left="709" w:hanging="596"/>
        <w:jc w:val="both"/>
        <w:rPr>
          <w:rFonts w:ascii="Arial" w:hAnsi="Arial"/>
          <w:sz w:val="22"/>
          <w:szCs w:val="22"/>
        </w:rPr>
      </w:pPr>
      <w:r>
        <w:rPr>
          <w:rFonts w:ascii="Arial" w:hAnsi="Arial"/>
          <w:sz w:val="22"/>
          <w:szCs w:val="22"/>
        </w:rPr>
        <w:t xml:space="preserve">The latest position for </w:t>
      </w:r>
      <w:r w:rsidR="002E582E">
        <w:rPr>
          <w:rFonts w:ascii="Arial" w:hAnsi="Arial"/>
          <w:sz w:val="22"/>
          <w:szCs w:val="22"/>
        </w:rPr>
        <w:t xml:space="preserve">the </w:t>
      </w:r>
      <w:r>
        <w:rPr>
          <w:rFonts w:ascii="Arial" w:hAnsi="Arial"/>
          <w:sz w:val="22"/>
          <w:szCs w:val="22"/>
        </w:rPr>
        <w:t xml:space="preserve">2018-19 </w:t>
      </w:r>
      <w:r w:rsidR="002E582E">
        <w:rPr>
          <w:rFonts w:ascii="Arial" w:hAnsi="Arial"/>
          <w:sz w:val="22"/>
          <w:szCs w:val="22"/>
        </w:rPr>
        <w:t xml:space="preserve">DSG </w:t>
      </w:r>
      <w:r>
        <w:rPr>
          <w:rFonts w:ascii="Arial" w:hAnsi="Arial"/>
          <w:sz w:val="22"/>
          <w:szCs w:val="22"/>
        </w:rPr>
        <w:t>is set out in Table 1.</w:t>
      </w:r>
    </w:p>
    <w:p w14:paraId="5F0A6C4F" w14:textId="77777777" w:rsidR="00F875EA" w:rsidRDefault="00F875EA" w:rsidP="001A108D">
      <w:pPr>
        <w:spacing w:before="60" w:after="60"/>
        <w:ind w:left="709"/>
        <w:jc w:val="both"/>
        <w:rPr>
          <w:rFonts w:ascii="Arial" w:hAnsi="Arial"/>
          <w:sz w:val="22"/>
          <w:szCs w:val="22"/>
        </w:rPr>
      </w:pPr>
    </w:p>
    <w:p w14:paraId="2DE9EE43" w14:textId="77777777" w:rsidR="003F7D4C" w:rsidRDefault="003F7D4C" w:rsidP="00740287">
      <w:pPr>
        <w:spacing w:before="60" w:after="60"/>
        <w:ind w:left="709"/>
        <w:jc w:val="both"/>
        <w:rPr>
          <w:rFonts w:ascii="Arial" w:hAnsi="Arial"/>
          <w:sz w:val="22"/>
          <w:szCs w:val="22"/>
        </w:rPr>
      </w:pPr>
    </w:p>
    <w:p w14:paraId="026658D6" w14:textId="77777777" w:rsidR="003F7D4C" w:rsidRDefault="003F7D4C" w:rsidP="00740287">
      <w:pPr>
        <w:spacing w:before="60" w:after="60"/>
        <w:ind w:left="709"/>
        <w:jc w:val="both"/>
        <w:rPr>
          <w:rFonts w:ascii="Arial" w:hAnsi="Arial"/>
          <w:sz w:val="22"/>
          <w:szCs w:val="22"/>
        </w:rPr>
      </w:pPr>
    </w:p>
    <w:p w14:paraId="2B6AAAB6" w14:textId="77777777" w:rsidR="00B666D4" w:rsidRPr="00C21285" w:rsidRDefault="00740287" w:rsidP="00F875EA">
      <w:pPr>
        <w:keepNext/>
        <w:spacing w:before="60" w:after="60"/>
        <w:ind w:left="709"/>
        <w:jc w:val="both"/>
        <w:rPr>
          <w:rFonts w:ascii="Arial" w:hAnsi="Arial"/>
          <w:b/>
          <w:sz w:val="22"/>
          <w:szCs w:val="22"/>
        </w:rPr>
      </w:pPr>
      <w:r w:rsidRPr="00C21285">
        <w:rPr>
          <w:rFonts w:ascii="Arial" w:hAnsi="Arial"/>
          <w:b/>
          <w:sz w:val="22"/>
          <w:szCs w:val="22"/>
        </w:rPr>
        <w:lastRenderedPageBreak/>
        <w:t xml:space="preserve">Table 1 </w:t>
      </w:r>
      <w:r w:rsidR="00C21285" w:rsidRPr="00C21285">
        <w:rPr>
          <w:rFonts w:ascii="Arial" w:hAnsi="Arial"/>
          <w:b/>
          <w:sz w:val="22"/>
          <w:szCs w:val="22"/>
        </w:rPr>
        <w:t>Dedicated Schools Grant Settlement 2018-19.</w:t>
      </w:r>
    </w:p>
    <w:tbl>
      <w:tblPr>
        <w:tblStyle w:val="TableGrid"/>
        <w:tblW w:w="0" w:type="auto"/>
        <w:tblLook w:val="04A0" w:firstRow="1" w:lastRow="0" w:firstColumn="1" w:lastColumn="0" w:noHBand="0" w:noVBand="1"/>
      </w:tblPr>
      <w:tblGrid>
        <w:gridCol w:w="2977"/>
        <w:gridCol w:w="1783"/>
        <w:gridCol w:w="1784"/>
        <w:gridCol w:w="1784"/>
      </w:tblGrid>
      <w:tr w:rsidR="00B666D4" w:rsidRPr="00541488" w14:paraId="600BE248" w14:textId="77777777" w:rsidTr="005679CA">
        <w:tc>
          <w:tcPr>
            <w:tcW w:w="2977" w:type="dxa"/>
          </w:tcPr>
          <w:p w14:paraId="3623DEF6" w14:textId="77777777" w:rsidR="00B666D4" w:rsidRPr="00541488" w:rsidRDefault="00B666D4" w:rsidP="00F875EA">
            <w:pPr>
              <w:keepNext/>
              <w:spacing w:before="60" w:after="60"/>
              <w:jc w:val="both"/>
              <w:rPr>
                <w:rFonts w:ascii="Arial" w:hAnsi="Arial"/>
                <w:b/>
                <w:sz w:val="22"/>
                <w:szCs w:val="22"/>
              </w:rPr>
            </w:pPr>
            <w:r w:rsidRPr="00541488">
              <w:rPr>
                <w:rFonts w:ascii="Arial" w:hAnsi="Arial"/>
                <w:b/>
                <w:sz w:val="22"/>
                <w:szCs w:val="22"/>
              </w:rPr>
              <w:t>Block</w:t>
            </w:r>
          </w:p>
        </w:tc>
        <w:tc>
          <w:tcPr>
            <w:tcW w:w="1783" w:type="dxa"/>
          </w:tcPr>
          <w:p w14:paraId="192D61DB" w14:textId="77777777" w:rsidR="00B666D4" w:rsidRPr="00541488" w:rsidRDefault="0083472B" w:rsidP="00F875EA">
            <w:pPr>
              <w:keepNext/>
              <w:spacing w:before="60" w:after="60"/>
              <w:jc w:val="center"/>
              <w:rPr>
                <w:rFonts w:ascii="Arial" w:hAnsi="Arial"/>
                <w:b/>
                <w:sz w:val="22"/>
                <w:szCs w:val="22"/>
              </w:rPr>
            </w:pPr>
            <w:r w:rsidRPr="00541488">
              <w:rPr>
                <w:rFonts w:ascii="Arial" w:hAnsi="Arial"/>
                <w:b/>
                <w:sz w:val="22"/>
                <w:szCs w:val="22"/>
              </w:rPr>
              <w:t>Original Allocation</w:t>
            </w:r>
          </w:p>
        </w:tc>
        <w:tc>
          <w:tcPr>
            <w:tcW w:w="1784" w:type="dxa"/>
          </w:tcPr>
          <w:p w14:paraId="7D0FC3E7" w14:textId="77777777" w:rsidR="00B666D4" w:rsidRPr="00541488" w:rsidRDefault="0083472B" w:rsidP="00F875EA">
            <w:pPr>
              <w:keepNext/>
              <w:spacing w:before="60" w:after="60"/>
              <w:jc w:val="center"/>
              <w:rPr>
                <w:rFonts w:ascii="Arial" w:hAnsi="Arial"/>
                <w:b/>
                <w:sz w:val="22"/>
                <w:szCs w:val="22"/>
              </w:rPr>
            </w:pPr>
            <w:r w:rsidRPr="00541488">
              <w:rPr>
                <w:rFonts w:ascii="Arial" w:hAnsi="Arial"/>
                <w:b/>
                <w:sz w:val="22"/>
                <w:szCs w:val="22"/>
              </w:rPr>
              <w:t>Adjustment</w:t>
            </w:r>
          </w:p>
        </w:tc>
        <w:tc>
          <w:tcPr>
            <w:tcW w:w="1784" w:type="dxa"/>
          </w:tcPr>
          <w:p w14:paraId="60DB81B5" w14:textId="77777777" w:rsidR="00B666D4" w:rsidRPr="00541488" w:rsidRDefault="0083472B" w:rsidP="00F875EA">
            <w:pPr>
              <w:keepNext/>
              <w:spacing w:before="60" w:after="60"/>
              <w:jc w:val="center"/>
              <w:rPr>
                <w:rFonts w:ascii="Arial" w:hAnsi="Arial"/>
                <w:b/>
                <w:sz w:val="22"/>
                <w:szCs w:val="22"/>
              </w:rPr>
            </w:pPr>
            <w:r w:rsidRPr="00541488">
              <w:rPr>
                <w:rFonts w:ascii="Arial" w:hAnsi="Arial"/>
                <w:b/>
                <w:sz w:val="22"/>
                <w:szCs w:val="22"/>
              </w:rPr>
              <w:t>Revised Allocation</w:t>
            </w:r>
          </w:p>
        </w:tc>
      </w:tr>
      <w:tr w:rsidR="0083472B" w:rsidRPr="00541488" w14:paraId="0B8A0535" w14:textId="77777777" w:rsidTr="005679CA">
        <w:tc>
          <w:tcPr>
            <w:tcW w:w="2977" w:type="dxa"/>
          </w:tcPr>
          <w:p w14:paraId="42F4C2B7" w14:textId="77777777" w:rsidR="0083472B" w:rsidRPr="00541488" w:rsidRDefault="0083472B" w:rsidP="00541488">
            <w:pPr>
              <w:spacing w:before="60" w:after="60"/>
              <w:jc w:val="both"/>
              <w:rPr>
                <w:rFonts w:ascii="Arial" w:hAnsi="Arial"/>
                <w:b/>
                <w:sz w:val="22"/>
                <w:szCs w:val="22"/>
              </w:rPr>
            </w:pPr>
          </w:p>
        </w:tc>
        <w:tc>
          <w:tcPr>
            <w:tcW w:w="1783" w:type="dxa"/>
          </w:tcPr>
          <w:p w14:paraId="42DEC929" w14:textId="77777777" w:rsidR="0083472B" w:rsidRPr="00541488" w:rsidRDefault="0083472B" w:rsidP="00541488">
            <w:pPr>
              <w:spacing w:before="60" w:after="60"/>
              <w:jc w:val="center"/>
              <w:rPr>
                <w:rFonts w:ascii="Arial" w:hAnsi="Arial"/>
                <w:b/>
                <w:sz w:val="22"/>
                <w:szCs w:val="22"/>
              </w:rPr>
            </w:pPr>
            <w:r w:rsidRPr="00541488">
              <w:rPr>
                <w:rFonts w:ascii="Arial" w:hAnsi="Arial"/>
                <w:b/>
                <w:sz w:val="22"/>
                <w:szCs w:val="22"/>
              </w:rPr>
              <w:t>£m</w:t>
            </w:r>
          </w:p>
        </w:tc>
        <w:tc>
          <w:tcPr>
            <w:tcW w:w="1784" w:type="dxa"/>
          </w:tcPr>
          <w:p w14:paraId="77D80C33" w14:textId="77777777" w:rsidR="0083472B" w:rsidRPr="00541488" w:rsidRDefault="0083472B" w:rsidP="00541488">
            <w:pPr>
              <w:spacing w:before="60" w:after="60"/>
              <w:jc w:val="center"/>
              <w:rPr>
                <w:rFonts w:ascii="Arial" w:hAnsi="Arial"/>
                <w:b/>
                <w:sz w:val="22"/>
                <w:szCs w:val="22"/>
              </w:rPr>
            </w:pPr>
            <w:r w:rsidRPr="00541488">
              <w:rPr>
                <w:rFonts w:ascii="Arial" w:hAnsi="Arial"/>
                <w:b/>
                <w:sz w:val="22"/>
                <w:szCs w:val="22"/>
              </w:rPr>
              <w:t>£m</w:t>
            </w:r>
          </w:p>
        </w:tc>
        <w:tc>
          <w:tcPr>
            <w:tcW w:w="1784" w:type="dxa"/>
          </w:tcPr>
          <w:p w14:paraId="3658E65B" w14:textId="77777777" w:rsidR="0083472B" w:rsidRPr="00541488" w:rsidRDefault="0083472B" w:rsidP="00541488">
            <w:pPr>
              <w:spacing w:before="60" w:after="60"/>
              <w:jc w:val="center"/>
              <w:rPr>
                <w:rFonts w:ascii="Arial" w:hAnsi="Arial"/>
                <w:b/>
                <w:sz w:val="22"/>
                <w:szCs w:val="22"/>
              </w:rPr>
            </w:pPr>
            <w:r w:rsidRPr="00541488">
              <w:rPr>
                <w:rFonts w:ascii="Arial" w:hAnsi="Arial"/>
                <w:b/>
                <w:sz w:val="22"/>
                <w:szCs w:val="22"/>
              </w:rPr>
              <w:t>£m</w:t>
            </w:r>
          </w:p>
        </w:tc>
      </w:tr>
      <w:tr w:rsidR="00B666D4" w:rsidRPr="00541488" w14:paraId="3C21170C" w14:textId="77777777" w:rsidTr="005679CA">
        <w:tc>
          <w:tcPr>
            <w:tcW w:w="2977" w:type="dxa"/>
          </w:tcPr>
          <w:p w14:paraId="48F6750E" w14:textId="77777777" w:rsidR="00B666D4" w:rsidRPr="00541488" w:rsidRDefault="00B666D4" w:rsidP="00541488">
            <w:pPr>
              <w:spacing w:before="60" w:after="60"/>
              <w:jc w:val="both"/>
              <w:rPr>
                <w:rFonts w:ascii="Arial" w:hAnsi="Arial"/>
                <w:b/>
                <w:sz w:val="22"/>
                <w:szCs w:val="22"/>
              </w:rPr>
            </w:pPr>
            <w:r w:rsidRPr="00541488">
              <w:rPr>
                <w:rFonts w:ascii="Arial" w:hAnsi="Arial"/>
                <w:b/>
                <w:sz w:val="22"/>
                <w:szCs w:val="22"/>
              </w:rPr>
              <w:t>Schools Block</w:t>
            </w:r>
          </w:p>
        </w:tc>
        <w:tc>
          <w:tcPr>
            <w:tcW w:w="1783" w:type="dxa"/>
          </w:tcPr>
          <w:p w14:paraId="31F579C5" w14:textId="77777777" w:rsidR="00B666D4" w:rsidRPr="00FF32CD" w:rsidRDefault="00FF32CD" w:rsidP="00541488">
            <w:pPr>
              <w:spacing w:before="60" w:after="60"/>
              <w:jc w:val="right"/>
              <w:rPr>
                <w:rFonts w:ascii="Arial" w:hAnsi="Arial"/>
                <w:sz w:val="22"/>
                <w:szCs w:val="22"/>
              </w:rPr>
            </w:pPr>
            <w:r>
              <w:rPr>
                <w:rFonts w:ascii="Arial" w:hAnsi="Arial"/>
                <w:sz w:val="22"/>
                <w:szCs w:val="22"/>
              </w:rPr>
              <w:t>259.176</w:t>
            </w:r>
          </w:p>
        </w:tc>
        <w:tc>
          <w:tcPr>
            <w:tcW w:w="1784" w:type="dxa"/>
          </w:tcPr>
          <w:p w14:paraId="314D52AF" w14:textId="77777777" w:rsidR="00B666D4" w:rsidRPr="00FF32CD" w:rsidRDefault="00FF32CD" w:rsidP="00541488">
            <w:pPr>
              <w:spacing w:before="60" w:after="60"/>
              <w:jc w:val="right"/>
              <w:rPr>
                <w:rFonts w:ascii="Arial" w:hAnsi="Arial"/>
                <w:sz w:val="22"/>
                <w:szCs w:val="22"/>
              </w:rPr>
            </w:pPr>
            <w:r>
              <w:rPr>
                <w:rFonts w:ascii="Arial" w:hAnsi="Arial"/>
                <w:sz w:val="22"/>
                <w:szCs w:val="22"/>
              </w:rPr>
              <w:t>0</w:t>
            </w:r>
          </w:p>
        </w:tc>
        <w:tc>
          <w:tcPr>
            <w:tcW w:w="1784" w:type="dxa"/>
          </w:tcPr>
          <w:p w14:paraId="7E69CE6D" w14:textId="77777777" w:rsidR="00B666D4" w:rsidRPr="00FF32CD" w:rsidRDefault="00FF32CD" w:rsidP="00541488">
            <w:pPr>
              <w:spacing w:before="60" w:after="60"/>
              <w:jc w:val="right"/>
              <w:rPr>
                <w:rFonts w:ascii="Arial" w:hAnsi="Arial"/>
                <w:sz w:val="22"/>
                <w:szCs w:val="22"/>
              </w:rPr>
            </w:pPr>
            <w:r w:rsidRPr="00FF32CD">
              <w:rPr>
                <w:rFonts w:ascii="Arial" w:hAnsi="Arial"/>
                <w:sz w:val="22"/>
                <w:szCs w:val="22"/>
              </w:rPr>
              <w:t>259.176</w:t>
            </w:r>
          </w:p>
        </w:tc>
      </w:tr>
      <w:tr w:rsidR="00B666D4" w:rsidRPr="00541488" w14:paraId="6D2D5771" w14:textId="77777777" w:rsidTr="005679CA">
        <w:tc>
          <w:tcPr>
            <w:tcW w:w="2977" w:type="dxa"/>
          </w:tcPr>
          <w:p w14:paraId="5C7DED1E" w14:textId="77777777" w:rsidR="00B666D4" w:rsidRPr="00541488" w:rsidRDefault="00B666D4" w:rsidP="00541488">
            <w:pPr>
              <w:spacing w:before="60" w:after="60"/>
              <w:jc w:val="both"/>
              <w:rPr>
                <w:rFonts w:ascii="Arial" w:hAnsi="Arial"/>
                <w:b/>
                <w:sz w:val="22"/>
                <w:szCs w:val="22"/>
              </w:rPr>
            </w:pPr>
            <w:r w:rsidRPr="00541488">
              <w:rPr>
                <w:rFonts w:ascii="Arial" w:hAnsi="Arial"/>
                <w:b/>
                <w:sz w:val="22"/>
                <w:szCs w:val="22"/>
              </w:rPr>
              <w:t>Central Schools Services Block</w:t>
            </w:r>
          </w:p>
        </w:tc>
        <w:tc>
          <w:tcPr>
            <w:tcW w:w="1783" w:type="dxa"/>
          </w:tcPr>
          <w:p w14:paraId="65FE75DB" w14:textId="77777777" w:rsidR="00B666D4" w:rsidRPr="00FF32CD" w:rsidRDefault="00FF32CD" w:rsidP="00541488">
            <w:pPr>
              <w:spacing w:before="60" w:after="60"/>
              <w:jc w:val="right"/>
              <w:rPr>
                <w:rFonts w:ascii="Arial" w:hAnsi="Arial"/>
                <w:sz w:val="22"/>
                <w:szCs w:val="22"/>
              </w:rPr>
            </w:pPr>
            <w:r>
              <w:rPr>
                <w:rFonts w:ascii="Arial" w:hAnsi="Arial"/>
                <w:sz w:val="22"/>
                <w:szCs w:val="22"/>
              </w:rPr>
              <w:t>4.851</w:t>
            </w:r>
          </w:p>
        </w:tc>
        <w:tc>
          <w:tcPr>
            <w:tcW w:w="1784" w:type="dxa"/>
          </w:tcPr>
          <w:p w14:paraId="6DFC4A37" w14:textId="77777777" w:rsidR="00B666D4" w:rsidRPr="00FF32CD" w:rsidRDefault="00FF32CD" w:rsidP="00541488">
            <w:pPr>
              <w:spacing w:before="60" w:after="60"/>
              <w:jc w:val="right"/>
              <w:rPr>
                <w:rFonts w:ascii="Arial" w:hAnsi="Arial"/>
                <w:sz w:val="22"/>
                <w:szCs w:val="22"/>
              </w:rPr>
            </w:pPr>
            <w:r>
              <w:rPr>
                <w:rFonts w:ascii="Arial" w:hAnsi="Arial"/>
                <w:sz w:val="22"/>
                <w:szCs w:val="22"/>
              </w:rPr>
              <w:t>0</w:t>
            </w:r>
          </w:p>
        </w:tc>
        <w:tc>
          <w:tcPr>
            <w:tcW w:w="1784" w:type="dxa"/>
          </w:tcPr>
          <w:p w14:paraId="02B82342" w14:textId="77777777" w:rsidR="00B666D4" w:rsidRPr="00FF32CD" w:rsidRDefault="00FF32CD" w:rsidP="00541488">
            <w:pPr>
              <w:spacing w:before="60" w:after="60"/>
              <w:jc w:val="right"/>
              <w:rPr>
                <w:rFonts w:ascii="Arial" w:hAnsi="Arial"/>
                <w:sz w:val="22"/>
                <w:szCs w:val="22"/>
              </w:rPr>
            </w:pPr>
            <w:r w:rsidRPr="00FF32CD">
              <w:rPr>
                <w:rFonts w:ascii="Arial" w:hAnsi="Arial"/>
                <w:sz w:val="22"/>
                <w:szCs w:val="22"/>
              </w:rPr>
              <w:t>4.851</w:t>
            </w:r>
          </w:p>
        </w:tc>
      </w:tr>
      <w:tr w:rsidR="00B666D4" w:rsidRPr="00541488" w14:paraId="52CBEB61" w14:textId="77777777" w:rsidTr="005679CA">
        <w:tc>
          <w:tcPr>
            <w:tcW w:w="2977" w:type="dxa"/>
          </w:tcPr>
          <w:p w14:paraId="7F807A4B" w14:textId="77777777" w:rsidR="00B666D4" w:rsidRPr="00541488" w:rsidRDefault="00B666D4" w:rsidP="00541488">
            <w:pPr>
              <w:spacing w:before="60" w:after="60"/>
              <w:jc w:val="both"/>
              <w:rPr>
                <w:rFonts w:ascii="Arial" w:hAnsi="Arial"/>
                <w:b/>
                <w:sz w:val="22"/>
                <w:szCs w:val="22"/>
              </w:rPr>
            </w:pPr>
            <w:r w:rsidRPr="00541488">
              <w:rPr>
                <w:rFonts w:ascii="Arial" w:hAnsi="Arial"/>
                <w:b/>
                <w:sz w:val="22"/>
                <w:szCs w:val="22"/>
              </w:rPr>
              <w:t>High Needs Block</w:t>
            </w:r>
          </w:p>
        </w:tc>
        <w:tc>
          <w:tcPr>
            <w:tcW w:w="1783" w:type="dxa"/>
          </w:tcPr>
          <w:p w14:paraId="7EE083E8" w14:textId="77777777" w:rsidR="00B666D4" w:rsidRPr="00FF32CD" w:rsidRDefault="00FF32CD" w:rsidP="00541488">
            <w:pPr>
              <w:spacing w:before="60" w:after="60"/>
              <w:jc w:val="right"/>
              <w:rPr>
                <w:rFonts w:ascii="Arial" w:hAnsi="Arial"/>
                <w:sz w:val="22"/>
                <w:szCs w:val="22"/>
              </w:rPr>
            </w:pPr>
            <w:r>
              <w:rPr>
                <w:rFonts w:ascii="Arial" w:hAnsi="Arial"/>
                <w:sz w:val="22"/>
                <w:szCs w:val="22"/>
              </w:rPr>
              <w:t>48.524</w:t>
            </w:r>
          </w:p>
        </w:tc>
        <w:tc>
          <w:tcPr>
            <w:tcW w:w="1784" w:type="dxa"/>
          </w:tcPr>
          <w:p w14:paraId="06315472" w14:textId="77777777" w:rsidR="00B666D4" w:rsidRPr="00FF32CD" w:rsidRDefault="00FF32CD" w:rsidP="00541488">
            <w:pPr>
              <w:spacing w:before="60" w:after="60"/>
              <w:jc w:val="right"/>
              <w:rPr>
                <w:rFonts w:ascii="Arial" w:hAnsi="Arial"/>
                <w:sz w:val="22"/>
                <w:szCs w:val="22"/>
              </w:rPr>
            </w:pPr>
            <w:r>
              <w:rPr>
                <w:rFonts w:ascii="Arial" w:hAnsi="Arial"/>
                <w:sz w:val="22"/>
                <w:szCs w:val="22"/>
              </w:rPr>
              <w:t>0.534</w:t>
            </w:r>
          </w:p>
        </w:tc>
        <w:tc>
          <w:tcPr>
            <w:tcW w:w="1784" w:type="dxa"/>
          </w:tcPr>
          <w:p w14:paraId="2D8141F4" w14:textId="77777777" w:rsidR="00B666D4" w:rsidRPr="00FF32CD" w:rsidRDefault="00FF32CD" w:rsidP="00541488">
            <w:pPr>
              <w:spacing w:before="60" w:after="60"/>
              <w:jc w:val="right"/>
              <w:rPr>
                <w:rFonts w:ascii="Arial" w:hAnsi="Arial"/>
                <w:sz w:val="22"/>
                <w:szCs w:val="22"/>
              </w:rPr>
            </w:pPr>
            <w:r>
              <w:rPr>
                <w:rFonts w:ascii="Arial" w:hAnsi="Arial"/>
                <w:sz w:val="22"/>
                <w:szCs w:val="22"/>
              </w:rPr>
              <w:t>49.058</w:t>
            </w:r>
          </w:p>
        </w:tc>
      </w:tr>
      <w:tr w:rsidR="00B666D4" w:rsidRPr="00541488" w14:paraId="791AE7AF" w14:textId="77777777" w:rsidTr="005679CA">
        <w:tc>
          <w:tcPr>
            <w:tcW w:w="2977" w:type="dxa"/>
          </w:tcPr>
          <w:p w14:paraId="7411DBDA" w14:textId="77777777" w:rsidR="00B666D4" w:rsidRPr="00541488" w:rsidRDefault="00B666D4" w:rsidP="00541488">
            <w:pPr>
              <w:spacing w:before="60" w:after="60"/>
              <w:jc w:val="both"/>
              <w:rPr>
                <w:rFonts w:ascii="Arial" w:hAnsi="Arial"/>
                <w:b/>
                <w:sz w:val="22"/>
                <w:szCs w:val="22"/>
              </w:rPr>
            </w:pPr>
            <w:r w:rsidRPr="00541488">
              <w:rPr>
                <w:rFonts w:ascii="Arial" w:hAnsi="Arial"/>
                <w:b/>
                <w:sz w:val="22"/>
                <w:szCs w:val="22"/>
              </w:rPr>
              <w:t>Early Years Block</w:t>
            </w:r>
          </w:p>
        </w:tc>
        <w:tc>
          <w:tcPr>
            <w:tcW w:w="1783" w:type="dxa"/>
          </w:tcPr>
          <w:p w14:paraId="6C2C1E72" w14:textId="77777777" w:rsidR="00B666D4" w:rsidRPr="00FF32CD" w:rsidRDefault="00FF32CD" w:rsidP="00541488">
            <w:pPr>
              <w:spacing w:before="60" w:after="60"/>
              <w:jc w:val="right"/>
              <w:rPr>
                <w:rFonts w:ascii="Arial" w:hAnsi="Arial"/>
                <w:sz w:val="22"/>
                <w:szCs w:val="22"/>
              </w:rPr>
            </w:pPr>
            <w:r>
              <w:rPr>
                <w:rFonts w:ascii="Arial" w:hAnsi="Arial"/>
                <w:sz w:val="22"/>
                <w:szCs w:val="22"/>
              </w:rPr>
              <w:t>28.280</w:t>
            </w:r>
          </w:p>
        </w:tc>
        <w:tc>
          <w:tcPr>
            <w:tcW w:w="1784" w:type="dxa"/>
          </w:tcPr>
          <w:p w14:paraId="7398FD1D" w14:textId="77777777" w:rsidR="00B666D4" w:rsidRPr="00FF32CD" w:rsidRDefault="00FF32CD" w:rsidP="00541488">
            <w:pPr>
              <w:spacing w:before="60" w:after="60"/>
              <w:jc w:val="right"/>
              <w:rPr>
                <w:rFonts w:ascii="Arial" w:hAnsi="Arial"/>
                <w:sz w:val="22"/>
                <w:szCs w:val="22"/>
              </w:rPr>
            </w:pPr>
            <w:r>
              <w:rPr>
                <w:rFonts w:ascii="Arial" w:hAnsi="Arial"/>
                <w:sz w:val="22"/>
                <w:szCs w:val="22"/>
              </w:rPr>
              <w:t>1.248</w:t>
            </w:r>
          </w:p>
        </w:tc>
        <w:tc>
          <w:tcPr>
            <w:tcW w:w="1784" w:type="dxa"/>
          </w:tcPr>
          <w:p w14:paraId="4F332B8F" w14:textId="77777777" w:rsidR="00B666D4" w:rsidRPr="00FF32CD" w:rsidRDefault="00FF32CD" w:rsidP="00541488">
            <w:pPr>
              <w:spacing w:before="60" w:after="60"/>
              <w:jc w:val="right"/>
              <w:rPr>
                <w:rFonts w:ascii="Arial" w:hAnsi="Arial"/>
                <w:sz w:val="22"/>
                <w:szCs w:val="22"/>
              </w:rPr>
            </w:pPr>
            <w:r>
              <w:rPr>
                <w:rFonts w:ascii="Arial" w:hAnsi="Arial"/>
                <w:sz w:val="22"/>
                <w:szCs w:val="22"/>
              </w:rPr>
              <w:t>29.528</w:t>
            </w:r>
          </w:p>
        </w:tc>
      </w:tr>
      <w:tr w:rsidR="00B666D4" w:rsidRPr="00541488" w14:paraId="4F6FB94B" w14:textId="77777777" w:rsidTr="005679CA">
        <w:tc>
          <w:tcPr>
            <w:tcW w:w="2977" w:type="dxa"/>
          </w:tcPr>
          <w:p w14:paraId="18372381" w14:textId="77777777" w:rsidR="00B666D4" w:rsidRPr="00541488" w:rsidRDefault="00B666D4" w:rsidP="00541488">
            <w:pPr>
              <w:spacing w:before="60" w:after="60"/>
              <w:jc w:val="both"/>
              <w:rPr>
                <w:rFonts w:ascii="Arial" w:hAnsi="Arial"/>
                <w:b/>
                <w:sz w:val="22"/>
                <w:szCs w:val="22"/>
              </w:rPr>
            </w:pPr>
            <w:r w:rsidRPr="00541488">
              <w:rPr>
                <w:rFonts w:ascii="Arial" w:hAnsi="Arial"/>
                <w:b/>
                <w:sz w:val="22"/>
                <w:szCs w:val="22"/>
              </w:rPr>
              <w:t>Total</w:t>
            </w:r>
          </w:p>
        </w:tc>
        <w:tc>
          <w:tcPr>
            <w:tcW w:w="1783" w:type="dxa"/>
          </w:tcPr>
          <w:p w14:paraId="1659DA51" w14:textId="77777777" w:rsidR="00B666D4" w:rsidRPr="00FF32CD" w:rsidRDefault="00FF32CD" w:rsidP="00541488">
            <w:pPr>
              <w:spacing w:before="60" w:after="60"/>
              <w:jc w:val="right"/>
              <w:rPr>
                <w:rFonts w:ascii="Arial" w:hAnsi="Arial"/>
                <w:sz w:val="22"/>
                <w:szCs w:val="22"/>
              </w:rPr>
            </w:pPr>
            <w:r>
              <w:rPr>
                <w:rFonts w:ascii="Arial" w:hAnsi="Arial"/>
                <w:sz w:val="22"/>
                <w:szCs w:val="22"/>
              </w:rPr>
              <w:t>340.830</w:t>
            </w:r>
          </w:p>
        </w:tc>
        <w:tc>
          <w:tcPr>
            <w:tcW w:w="1784" w:type="dxa"/>
          </w:tcPr>
          <w:p w14:paraId="10190FB9" w14:textId="77777777" w:rsidR="00B666D4" w:rsidRPr="00FF32CD" w:rsidRDefault="00FF32CD" w:rsidP="00541488">
            <w:pPr>
              <w:spacing w:before="60" w:after="60"/>
              <w:jc w:val="right"/>
              <w:rPr>
                <w:rFonts w:ascii="Arial" w:hAnsi="Arial"/>
                <w:sz w:val="22"/>
                <w:szCs w:val="22"/>
              </w:rPr>
            </w:pPr>
            <w:r>
              <w:rPr>
                <w:rFonts w:ascii="Arial" w:hAnsi="Arial"/>
                <w:sz w:val="22"/>
                <w:szCs w:val="22"/>
              </w:rPr>
              <w:t>1.782</w:t>
            </w:r>
          </w:p>
        </w:tc>
        <w:tc>
          <w:tcPr>
            <w:tcW w:w="1784" w:type="dxa"/>
          </w:tcPr>
          <w:p w14:paraId="2C7CEBD3" w14:textId="77777777" w:rsidR="00B666D4" w:rsidRPr="00FF32CD" w:rsidRDefault="00FF32CD" w:rsidP="00541488">
            <w:pPr>
              <w:spacing w:before="60" w:after="60"/>
              <w:jc w:val="right"/>
              <w:rPr>
                <w:rFonts w:ascii="Arial" w:hAnsi="Arial"/>
                <w:sz w:val="22"/>
                <w:szCs w:val="22"/>
              </w:rPr>
            </w:pPr>
            <w:r>
              <w:rPr>
                <w:rFonts w:ascii="Arial" w:hAnsi="Arial"/>
                <w:sz w:val="22"/>
                <w:szCs w:val="22"/>
              </w:rPr>
              <w:t>342.612</w:t>
            </w:r>
          </w:p>
        </w:tc>
      </w:tr>
    </w:tbl>
    <w:p w14:paraId="0C246291" w14:textId="77777777" w:rsidR="003F7D4C" w:rsidRDefault="003F7D4C" w:rsidP="003F7D4C">
      <w:pPr>
        <w:spacing w:before="60" w:after="60"/>
        <w:jc w:val="both"/>
        <w:rPr>
          <w:rFonts w:ascii="Arial" w:hAnsi="Arial"/>
          <w:sz w:val="22"/>
          <w:szCs w:val="22"/>
        </w:rPr>
      </w:pPr>
    </w:p>
    <w:p w14:paraId="6AE612DD" w14:textId="77777777" w:rsidR="003F7D4C" w:rsidRPr="00DB12A9" w:rsidRDefault="003F7D4C" w:rsidP="003F7D4C">
      <w:pPr>
        <w:numPr>
          <w:ilvl w:val="1"/>
          <w:numId w:val="4"/>
        </w:numPr>
        <w:tabs>
          <w:tab w:val="num" w:pos="709"/>
        </w:tabs>
        <w:spacing w:before="60" w:after="60"/>
        <w:ind w:left="709" w:hanging="596"/>
        <w:jc w:val="both"/>
        <w:rPr>
          <w:rFonts w:ascii="Arial" w:hAnsi="Arial"/>
          <w:sz w:val="22"/>
          <w:szCs w:val="22"/>
        </w:rPr>
      </w:pPr>
      <w:r>
        <w:rPr>
          <w:rFonts w:ascii="Arial" w:hAnsi="Arial"/>
          <w:sz w:val="22"/>
          <w:szCs w:val="22"/>
        </w:rPr>
        <w:t>The DSG allocation</w:t>
      </w:r>
      <w:r w:rsidR="00FC769F">
        <w:rPr>
          <w:rFonts w:ascii="Arial" w:hAnsi="Arial"/>
          <w:sz w:val="22"/>
          <w:szCs w:val="22"/>
        </w:rPr>
        <w:t>, net of recoupment, underpins</w:t>
      </w:r>
      <w:r>
        <w:rPr>
          <w:rFonts w:ascii="Arial" w:hAnsi="Arial"/>
          <w:sz w:val="22"/>
          <w:szCs w:val="22"/>
        </w:rPr>
        <w:t xml:space="preserve"> the central</w:t>
      </w:r>
      <w:r w:rsidR="00194936">
        <w:rPr>
          <w:rFonts w:ascii="Arial" w:hAnsi="Arial"/>
          <w:sz w:val="22"/>
          <w:szCs w:val="22"/>
        </w:rPr>
        <w:t>ly retained budgets</w:t>
      </w:r>
      <w:r>
        <w:rPr>
          <w:rFonts w:ascii="Arial" w:hAnsi="Arial"/>
          <w:sz w:val="22"/>
          <w:szCs w:val="22"/>
        </w:rPr>
        <w:t>. The latest monitoring position is set out in Table 2. This include</w:t>
      </w:r>
      <w:r w:rsidR="00FC769F">
        <w:rPr>
          <w:rFonts w:ascii="Arial" w:hAnsi="Arial"/>
          <w:sz w:val="22"/>
          <w:szCs w:val="22"/>
        </w:rPr>
        <w:t>s balances brought forward, expenditure</w:t>
      </w:r>
      <w:r>
        <w:rPr>
          <w:rFonts w:ascii="Arial" w:hAnsi="Arial"/>
          <w:sz w:val="22"/>
          <w:szCs w:val="22"/>
        </w:rPr>
        <w:t xml:space="preserve"> to the end of August, the projected outturn and balances carried forward. The Table excludes </w:t>
      </w:r>
      <w:r w:rsidR="00FC769F">
        <w:rPr>
          <w:rFonts w:ascii="Arial" w:hAnsi="Arial"/>
          <w:sz w:val="22"/>
          <w:szCs w:val="22"/>
        </w:rPr>
        <w:t>individual school budget shares and balances.</w:t>
      </w:r>
      <w:r>
        <w:rPr>
          <w:rFonts w:ascii="Arial" w:hAnsi="Arial"/>
          <w:sz w:val="22"/>
          <w:szCs w:val="22"/>
        </w:rPr>
        <w:t xml:space="preserve"> </w:t>
      </w:r>
    </w:p>
    <w:p w14:paraId="176E9F59" w14:textId="77777777" w:rsidR="00B666D4" w:rsidRPr="00F91535" w:rsidRDefault="00B666D4" w:rsidP="00D672C6">
      <w:pPr>
        <w:spacing w:before="60" w:after="60"/>
        <w:ind w:left="360"/>
        <w:jc w:val="both"/>
        <w:rPr>
          <w:rFonts w:ascii="Arial" w:hAnsi="Arial"/>
          <w:b/>
          <w:sz w:val="22"/>
          <w:szCs w:val="22"/>
        </w:rPr>
      </w:pPr>
    </w:p>
    <w:p w14:paraId="09E3E4F0" w14:textId="77777777" w:rsidR="00F91535" w:rsidRPr="00F91535" w:rsidRDefault="00F91535" w:rsidP="00F91535">
      <w:pPr>
        <w:spacing w:before="60" w:after="60"/>
        <w:ind w:left="360"/>
        <w:jc w:val="both"/>
        <w:rPr>
          <w:rFonts w:ascii="Arial" w:hAnsi="Arial"/>
          <w:b/>
          <w:sz w:val="22"/>
          <w:szCs w:val="22"/>
        </w:rPr>
      </w:pPr>
      <w:r w:rsidRPr="00F91535">
        <w:rPr>
          <w:rFonts w:ascii="Arial" w:hAnsi="Arial"/>
          <w:b/>
          <w:sz w:val="22"/>
          <w:szCs w:val="22"/>
        </w:rPr>
        <w:t>Table 2. Monitoring of 2018-19 DSG Budgets</w:t>
      </w:r>
      <w:r w:rsidR="003F7D4C">
        <w:rPr>
          <w:rFonts w:ascii="Arial" w:hAnsi="Arial"/>
          <w:b/>
          <w:sz w:val="22"/>
          <w:szCs w:val="22"/>
        </w:rPr>
        <w:t xml:space="preserve"> - Summary</w:t>
      </w:r>
      <w:r w:rsidRPr="00F91535">
        <w:rPr>
          <w:rFonts w:ascii="Arial" w:hAnsi="Arial"/>
          <w:b/>
          <w:sz w:val="22"/>
          <w:szCs w:val="22"/>
        </w:rPr>
        <w:t>.</w:t>
      </w:r>
    </w:p>
    <w:p w14:paraId="06D2893B" w14:textId="77777777" w:rsidR="003F7D4C" w:rsidRPr="00BE40BB" w:rsidRDefault="00A27403" w:rsidP="003F7D4C">
      <w:pPr>
        <w:spacing w:before="60" w:after="60"/>
        <w:ind w:left="360"/>
        <w:jc w:val="both"/>
        <w:rPr>
          <w:rFonts w:ascii="Arial" w:hAnsi="Arial"/>
          <w:sz w:val="20"/>
        </w:rPr>
      </w:pPr>
      <w:r w:rsidRPr="00BE40BB">
        <w:rPr>
          <w:rFonts w:ascii="Arial" w:hAnsi="Arial"/>
          <w:sz w:val="20"/>
        </w:rPr>
        <w:t>Note: SB column is for centrally retained budgets only.</w:t>
      </w:r>
      <w:r w:rsidR="002F4E8C" w:rsidRPr="00BE40BB">
        <w:rPr>
          <w:rFonts w:ascii="Arial" w:hAnsi="Arial"/>
          <w:sz w:val="20"/>
        </w:rPr>
        <w:t xml:space="preserve"> </w:t>
      </w:r>
    </w:p>
    <w:tbl>
      <w:tblPr>
        <w:tblStyle w:val="TableGrid"/>
        <w:tblW w:w="8079" w:type="dxa"/>
        <w:tblLook w:val="04A0" w:firstRow="1" w:lastRow="0" w:firstColumn="1" w:lastColumn="0" w:noHBand="0" w:noVBand="1"/>
      </w:tblPr>
      <w:tblGrid>
        <w:gridCol w:w="2268"/>
        <w:gridCol w:w="992"/>
        <w:gridCol w:w="1134"/>
        <w:gridCol w:w="1134"/>
        <w:gridCol w:w="1134"/>
        <w:gridCol w:w="1417"/>
      </w:tblGrid>
      <w:tr w:rsidR="00414259" w:rsidRPr="00414259" w14:paraId="44ED4582" w14:textId="77777777" w:rsidTr="005679CA">
        <w:trPr>
          <w:trHeight w:val="300"/>
        </w:trPr>
        <w:tc>
          <w:tcPr>
            <w:tcW w:w="2268" w:type="dxa"/>
            <w:hideMark/>
          </w:tcPr>
          <w:p w14:paraId="55E75F32" w14:textId="77777777" w:rsidR="00414259" w:rsidRPr="00414259" w:rsidRDefault="00414259" w:rsidP="00414259">
            <w:pPr>
              <w:jc w:val="both"/>
              <w:rPr>
                <w:rFonts w:ascii="Arial" w:hAnsi="Arial" w:cs="Arial"/>
                <w:b/>
                <w:bCs/>
                <w:color w:val="000000"/>
                <w:sz w:val="22"/>
                <w:szCs w:val="22"/>
                <w:lang w:eastAsia="en-GB"/>
              </w:rPr>
            </w:pPr>
            <w:r w:rsidRPr="00414259">
              <w:rPr>
                <w:rFonts w:ascii="Arial" w:hAnsi="Arial"/>
                <w:b/>
                <w:bCs/>
                <w:color w:val="000000"/>
                <w:sz w:val="22"/>
                <w:szCs w:val="22"/>
                <w:lang w:eastAsia="en-GB"/>
              </w:rPr>
              <w:t>Description</w:t>
            </w:r>
          </w:p>
        </w:tc>
        <w:tc>
          <w:tcPr>
            <w:tcW w:w="992" w:type="dxa"/>
            <w:hideMark/>
          </w:tcPr>
          <w:p w14:paraId="283BD4F0"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b/>
                <w:bCs/>
                <w:color w:val="000000"/>
                <w:sz w:val="22"/>
                <w:szCs w:val="22"/>
                <w:lang w:eastAsia="en-GB"/>
              </w:rPr>
              <w:t>SB</w:t>
            </w:r>
          </w:p>
        </w:tc>
        <w:tc>
          <w:tcPr>
            <w:tcW w:w="1134" w:type="dxa"/>
            <w:hideMark/>
          </w:tcPr>
          <w:p w14:paraId="1A64B183"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b/>
                <w:bCs/>
                <w:color w:val="000000"/>
                <w:sz w:val="22"/>
                <w:szCs w:val="22"/>
                <w:lang w:eastAsia="en-GB"/>
              </w:rPr>
              <w:t>HNB</w:t>
            </w:r>
          </w:p>
        </w:tc>
        <w:tc>
          <w:tcPr>
            <w:tcW w:w="1134" w:type="dxa"/>
            <w:hideMark/>
          </w:tcPr>
          <w:p w14:paraId="23FABC84"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b/>
                <w:bCs/>
                <w:color w:val="000000"/>
                <w:sz w:val="22"/>
                <w:szCs w:val="22"/>
                <w:lang w:eastAsia="en-GB"/>
              </w:rPr>
              <w:t>EYB</w:t>
            </w:r>
          </w:p>
        </w:tc>
        <w:tc>
          <w:tcPr>
            <w:tcW w:w="1134" w:type="dxa"/>
            <w:hideMark/>
          </w:tcPr>
          <w:p w14:paraId="651EEA32"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b/>
                <w:bCs/>
                <w:color w:val="000000"/>
                <w:sz w:val="22"/>
                <w:szCs w:val="22"/>
                <w:lang w:eastAsia="en-GB"/>
              </w:rPr>
              <w:t>CSSB</w:t>
            </w:r>
          </w:p>
        </w:tc>
        <w:tc>
          <w:tcPr>
            <w:tcW w:w="1417" w:type="dxa"/>
            <w:hideMark/>
          </w:tcPr>
          <w:p w14:paraId="6E0B5CA0"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b/>
                <w:bCs/>
                <w:color w:val="000000"/>
                <w:sz w:val="22"/>
                <w:szCs w:val="22"/>
                <w:lang w:eastAsia="en-GB"/>
              </w:rPr>
              <w:t>Total</w:t>
            </w:r>
          </w:p>
        </w:tc>
      </w:tr>
      <w:tr w:rsidR="00414259" w:rsidRPr="00414259" w14:paraId="70434200" w14:textId="77777777" w:rsidTr="005679CA">
        <w:trPr>
          <w:trHeight w:val="300"/>
        </w:trPr>
        <w:tc>
          <w:tcPr>
            <w:tcW w:w="2268" w:type="dxa"/>
            <w:hideMark/>
          </w:tcPr>
          <w:p w14:paraId="5D906EE8"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olor w:val="000000"/>
                <w:sz w:val="22"/>
                <w:szCs w:val="22"/>
                <w:lang w:eastAsia="en-GB"/>
              </w:rPr>
              <w:t> </w:t>
            </w:r>
          </w:p>
        </w:tc>
        <w:tc>
          <w:tcPr>
            <w:tcW w:w="992" w:type="dxa"/>
            <w:hideMark/>
          </w:tcPr>
          <w:p w14:paraId="08FB9C97"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olor w:val="000000"/>
                <w:sz w:val="22"/>
                <w:szCs w:val="22"/>
                <w:lang w:eastAsia="en-GB"/>
              </w:rPr>
              <w:t>£m</w:t>
            </w:r>
          </w:p>
        </w:tc>
        <w:tc>
          <w:tcPr>
            <w:tcW w:w="1134" w:type="dxa"/>
            <w:hideMark/>
          </w:tcPr>
          <w:p w14:paraId="37B30C52"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olor w:val="000000"/>
                <w:sz w:val="22"/>
                <w:szCs w:val="22"/>
                <w:lang w:eastAsia="en-GB"/>
              </w:rPr>
              <w:t>£m</w:t>
            </w:r>
          </w:p>
        </w:tc>
        <w:tc>
          <w:tcPr>
            <w:tcW w:w="1134" w:type="dxa"/>
            <w:hideMark/>
          </w:tcPr>
          <w:p w14:paraId="6AEC79DB"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olor w:val="000000"/>
                <w:sz w:val="22"/>
                <w:szCs w:val="22"/>
                <w:lang w:eastAsia="en-GB"/>
              </w:rPr>
              <w:t>£m</w:t>
            </w:r>
          </w:p>
        </w:tc>
        <w:tc>
          <w:tcPr>
            <w:tcW w:w="1134" w:type="dxa"/>
            <w:hideMark/>
          </w:tcPr>
          <w:p w14:paraId="0D0BBF1F"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olor w:val="000000"/>
                <w:sz w:val="22"/>
                <w:szCs w:val="22"/>
                <w:lang w:eastAsia="en-GB"/>
              </w:rPr>
              <w:t>£m</w:t>
            </w:r>
          </w:p>
        </w:tc>
        <w:tc>
          <w:tcPr>
            <w:tcW w:w="1417" w:type="dxa"/>
            <w:hideMark/>
          </w:tcPr>
          <w:p w14:paraId="16AFC5C8"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olor w:val="000000"/>
                <w:sz w:val="22"/>
                <w:szCs w:val="22"/>
                <w:lang w:eastAsia="en-GB"/>
              </w:rPr>
              <w:t>£m</w:t>
            </w:r>
          </w:p>
        </w:tc>
      </w:tr>
      <w:tr w:rsidR="00414259" w:rsidRPr="00414259" w14:paraId="29B2DA1B" w14:textId="77777777" w:rsidTr="005679CA">
        <w:trPr>
          <w:trHeight w:val="300"/>
        </w:trPr>
        <w:tc>
          <w:tcPr>
            <w:tcW w:w="2268" w:type="dxa"/>
            <w:hideMark/>
          </w:tcPr>
          <w:p w14:paraId="5F47EA9E"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olor w:val="000000"/>
                <w:sz w:val="22"/>
                <w:szCs w:val="22"/>
                <w:lang w:eastAsia="en-GB"/>
              </w:rPr>
              <w:t>DSG Allocation</w:t>
            </w:r>
          </w:p>
        </w:tc>
        <w:tc>
          <w:tcPr>
            <w:tcW w:w="992" w:type="dxa"/>
            <w:hideMark/>
          </w:tcPr>
          <w:p w14:paraId="65008989"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2.471</w:t>
            </w:r>
          </w:p>
        </w:tc>
        <w:tc>
          <w:tcPr>
            <w:tcW w:w="1134" w:type="dxa"/>
            <w:hideMark/>
          </w:tcPr>
          <w:p w14:paraId="60A93A5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49.058</w:t>
            </w:r>
          </w:p>
        </w:tc>
        <w:tc>
          <w:tcPr>
            <w:tcW w:w="1134" w:type="dxa"/>
            <w:hideMark/>
          </w:tcPr>
          <w:p w14:paraId="572EFE54"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29.528</w:t>
            </w:r>
          </w:p>
        </w:tc>
        <w:tc>
          <w:tcPr>
            <w:tcW w:w="1134" w:type="dxa"/>
            <w:hideMark/>
          </w:tcPr>
          <w:p w14:paraId="40DFD29A"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4.851</w:t>
            </w:r>
          </w:p>
        </w:tc>
        <w:tc>
          <w:tcPr>
            <w:tcW w:w="1417" w:type="dxa"/>
            <w:hideMark/>
          </w:tcPr>
          <w:p w14:paraId="659F41F9"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85.908</w:t>
            </w:r>
          </w:p>
        </w:tc>
      </w:tr>
      <w:tr w:rsidR="00414259" w:rsidRPr="00414259" w14:paraId="5B798657" w14:textId="77777777" w:rsidTr="005679CA">
        <w:trPr>
          <w:trHeight w:val="300"/>
        </w:trPr>
        <w:tc>
          <w:tcPr>
            <w:tcW w:w="2268" w:type="dxa"/>
            <w:hideMark/>
          </w:tcPr>
          <w:p w14:paraId="4D65FFD2"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olor w:val="000000"/>
                <w:sz w:val="22"/>
                <w:szCs w:val="22"/>
                <w:lang w:eastAsia="en-GB"/>
              </w:rPr>
              <w:t>Recoupment</w:t>
            </w:r>
          </w:p>
        </w:tc>
        <w:tc>
          <w:tcPr>
            <w:tcW w:w="992" w:type="dxa"/>
            <w:hideMark/>
          </w:tcPr>
          <w:p w14:paraId="5D13F61A"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134" w:type="dxa"/>
            <w:hideMark/>
          </w:tcPr>
          <w:p w14:paraId="61D522FA"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-4.851</w:t>
            </w:r>
          </w:p>
        </w:tc>
        <w:tc>
          <w:tcPr>
            <w:tcW w:w="1134" w:type="dxa"/>
            <w:hideMark/>
          </w:tcPr>
          <w:p w14:paraId="48ABC15D"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 </w:t>
            </w:r>
          </w:p>
        </w:tc>
        <w:tc>
          <w:tcPr>
            <w:tcW w:w="1134" w:type="dxa"/>
            <w:hideMark/>
          </w:tcPr>
          <w:p w14:paraId="0025DFE3"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 </w:t>
            </w:r>
          </w:p>
        </w:tc>
        <w:tc>
          <w:tcPr>
            <w:tcW w:w="1417" w:type="dxa"/>
            <w:hideMark/>
          </w:tcPr>
          <w:p w14:paraId="480AA57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-4.851</w:t>
            </w:r>
          </w:p>
        </w:tc>
      </w:tr>
      <w:tr w:rsidR="00414259" w:rsidRPr="00414259" w14:paraId="6502756E" w14:textId="77777777" w:rsidTr="005679CA">
        <w:trPr>
          <w:trHeight w:val="300"/>
        </w:trPr>
        <w:tc>
          <w:tcPr>
            <w:tcW w:w="2268" w:type="dxa"/>
            <w:hideMark/>
          </w:tcPr>
          <w:p w14:paraId="602398DC"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olor w:val="000000"/>
                <w:sz w:val="22"/>
                <w:szCs w:val="22"/>
                <w:lang w:eastAsia="en-GB"/>
              </w:rPr>
              <w:t>De-Delegation</w:t>
            </w:r>
          </w:p>
        </w:tc>
        <w:tc>
          <w:tcPr>
            <w:tcW w:w="992" w:type="dxa"/>
            <w:hideMark/>
          </w:tcPr>
          <w:p w14:paraId="50AC2748"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1.728</w:t>
            </w:r>
          </w:p>
        </w:tc>
        <w:tc>
          <w:tcPr>
            <w:tcW w:w="1134" w:type="dxa"/>
            <w:hideMark/>
          </w:tcPr>
          <w:p w14:paraId="776BDC8E"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 </w:t>
            </w:r>
          </w:p>
        </w:tc>
        <w:tc>
          <w:tcPr>
            <w:tcW w:w="1134" w:type="dxa"/>
            <w:hideMark/>
          </w:tcPr>
          <w:p w14:paraId="7FF926E6"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 </w:t>
            </w:r>
          </w:p>
        </w:tc>
        <w:tc>
          <w:tcPr>
            <w:tcW w:w="1134" w:type="dxa"/>
            <w:hideMark/>
          </w:tcPr>
          <w:p w14:paraId="1456346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 </w:t>
            </w:r>
          </w:p>
        </w:tc>
        <w:tc>
          <w:tcPr>
            <w:tcW w:w="1417" w:type="dxa"/>
            <w:hideMark/>
          </w:tcPr>
          <w:p w14:paraId="4A24133A"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1.727</w:t>
            </w:r>
          </w:p>
        </w:tc>
      </w:tr>
      <w:tr w:rsidR="00414259" w:rsidRPr="00414259" w14:paraId="71AB2BE7" w14:textId="77777777" w:rsidTr="005679CA">
        <w:trPr>
          <w:trHeight w:val="300"/>
        </w:trPr>
        <w:tc>
          <w:tcPr>
            <w:tcW w:w="2268" w:type="dxa"/>
            <w:hideMark/>
          </w:tcPr>
          <w:p w14:paraId="2A5FE33D" w14:textId="77777777" w:rsidR="00414259" w:rsidRPr="00414259" w:rsidRDefault="00414259" w:rsidP="00414259">
            <w:pPr>
              <w:jc w:val="both"/>
              <w:rPr>
                <w:rFonts w:ascii="Arial" w:hAnsi="Arial" w:cs="Arial"/>
                <w:b/>
                <w:bCs/>
                <w:color w:val="000000"/>
                <w:sz w:val="22"/>
                <w:szCs w:val="22"/>
                <w:lang w:eastAsia="en-GB"/>
              </w:rPr>
            </w:pPr>
            <w:r w:rsidRPr="00414259">
              <w:rPr>
                <w:rFonts w:ascii="Arial" w:hAnsi="Arial"/>
                <w:b/>
                <w:bCs/>
                <w:color w:val="000000"/>
                <w:sz w:val="22"/>
                <w:szCs w:val="22"/>
                <w:lang w:eastAsia="en-GB"/>
              </w:rPr>
              <w:t>Central Budgets</w:t>
            </w:r>
          </w:p>
        </w:tc>
        <w:tc>
          <w:tcPr>
            <w:tcW w:w="992" w:type="dxa"/>
            <w:hideMark/>
          </w:tcPr>
          <w:p w14:paraId="3B9D72AD"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b/>
                <w:bCs/>
                <w:color w:val="000000"/>
                <w:sz w:val="22"/>
                <w:szCs w:val="22"/>
                <w:lang w:eastAsia="en-GB"/>
              </w:rPr>
              <w:t>4.199</w:t>
            </w:r>
          </w:p>
        </w:tc>
        <w:tc>
          <w:tcPr>
            <w:tcW w:w="1134" w:type="dxa"/>
            <w:hideMark/>
          </w:tcPr>
          <w:p w14:paraId="224536AF"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b/>
                <w:bCs/>
                <w:color w:val="000000"/>
                <w:sz w:val="22"/>
                <w:szCs w:val="22"/>
                <w:lang w:eastAsia="en-GB"/>
              </w:rPr>
              <w:t>44.207</w:t>
            </w:r>
          </w:p>
        </w:tc>
        <w:tc>
          <w:tcPr>
            <w:tcW w:w="1134" w:type="dxa"/>
            <w:hideMark/>
          </w:tcPr>
          <w:p w14:paraId="544F9743"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b/>
                <w:bCs/>
                <w:color w:val="000000"/>
                <w:sz w:val="22"/>
                <w:szCs w:val="22"/>
                <w:lang w:eastAsia="en-GB"/>
              </w:rPr>
              <w:t>29.528</w:t>
            </w:r>
          </w:p>
        </w:tc>
        <w:tc>
          <w:tcPr>
            <w:tcW w:w="1134" w:type="dxa"/>
            <w:hideMark/>
          </w:tcPr>
          <w:p w14:paraId="0C6ACE51"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b/>
                <w:bCs/>
                <w:color w:val="000000"/>
                <w:sz w:val="22"/>
                <w:szCs w:val="22"/>
                <w:lang w:eastAsia="en-GB"/>
              </w:rPr>
              <w:t>4.851</w:t>
            </w:r>
          </w:p>
        </w:tc>
        <w:tc>
          <w:tcPr>
            <w:tcW w:w="1417" w:type="dxa"/>
            <w:hideMark/>
          </w:tcPr>
          <w:p w14:paraId="7879BF41"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b/>
                <w:bCs/>
                <w:color w:val="000000"/>
                <w:sz w:val="22"/>
                <w:szCs w:val="22"/>
                <w:lang w:eastAsia="en-GB"/>
              </w:rPr>
              <w:t>82.783</w:t>
            </w:r>
          </w:p>
        </w:tc>
      </w:tr>
      <w:tr w:rsidR="00414259" w:rsidRPr="00414259" w14:paraId="746BC31E" w14:textId="77777777" w:rsidTr="005679CA">
        <w:trPr>
          <w:trHeight w:val="300"/>
        </w:trPr>
        <w:tc>
          <w:tcPr>
            <w:tcW w:w="2268" w:type="dxa"/>
            <w:hideMark/>
          </w:tcPr>
          <w:p w14:paraId="4EC03088"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olor w:val="000000"/>
                <w:sz w:val="22"/>
                <w:szCs w:val="22"/>
                <w:lang w:eastAsia="en-GB"/>
              </w:rPr>
              <w:t>Spend to End August</w:t>
            </w:r>
          </w:p>
        </w:tc>
        <w:tc>
          <w:tcPr>
            <w:tcW w:w="992" w:type="dxa"/>
            <w:hideMark/>
          </w:tcPr>
          <w:p w14:paraId="3E12B5BC"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0.635</w:t>
            </w:r>
          </w:p>
        </w:tc>
        <w:tc>
          <w:tcPr>
            <w:tcW w:w="1134" w:type="dxa"/>
            <w:hideMark/>
          </w:tcPr>
          <w:p w14:paraId="6ED2CF73"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26.749</w:t>
            </w:r>
          </w:p>
        </w:tc>
        <w:tc>
          <w:tcPr>
            <w:tcW w:w="1134" w:type="dxa"/>
            <w:hideMark/>
          </w:tcPr>
          <w:p w14:paraId="286D6D09"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12.31</w:t>
            </w:r>
          </w:p>
        </w:tc>
        <w:tc>
          <w:tcPr>
            <w:tcW w:w="1134" w:type="dxa"/>
            <w:hideMark/>
          </w:tcPr>
          <w:p w14:paraId="08FCA84C"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2.021</w:t>
            </w:r>
          </w:p>
        </w:tc>
        <w:tc>
          <w:tcPr>
            <w:tcW w:w="1417" w:type="dxa"/>
            <w:hideMark/>
          </w:tcPr>
          <w:p w14:paraId="5FD11DA9"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41.715</w:t>
            </w:r>
          </w:p>
        </w:tc>
      </w:tr>
      <w:tr w:rsidR="00414259" w:rsidRPr="00414259" w14:paraId="52366336" w14:textId="77777777" w:rsidTr="005679CA">
        <w:trPr>
          <w:trHeight w:val="300"/>
        </w:trPr>
        <w:tc>
          <w:tcPr>
            <w:tcW w:w="2268" w:type="dxa"/>
            <w:hideMark/>
          </w:tcPr>
          <w:p w14:paraId="65295739"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olor w:val="000000"/>
                <w:sz w:val="22"/>
                <w:szCs w:val="22"/>
                <w:lang w:eastAsia="en-GB"/>
              </w:rPr>
              <w:t>Projected Outturn</w:t>
            </w:r>
          </w:p>
        </w:tc>
        <w:tc>
          <w:tcPr>
            <w:tcW w:w="992" w:type="dxa"/>
            <w:hideMark/>
          </w:tcPr>
          <w:p w14:paraId="7E041353"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cs="Arial"/>
                <w:b/>
                <w:bCs/>
                <w:color w:val="000000"/>
                <w:sz w:val="22"/>
                <w:szCs w:val="22"/>
                <w:lang w:eastAsia="en-GB"/>
              </w:rPr>
              <w:t>3.604</w:t>
            </w:r>
          </w:p>
        </w:tc>
        <w:tc>
          <w:tcPr>
            <w:tcW w:w="1134" w:type="dxa"/>
            <w:hideMark/>
          </w:tcPr>
          <w:p w14:paraId="7D664D63"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b/>
                <w:bCs/>
                <w:color w:val="000000"/>
                <w:sz w:val="22"/>
                <w:szCs w:val="22"/>
                <w:lang w:eastAsia="en-GB"/>
              </w:rPr>
              <w:t>46.813</w:t>
            </w:r>
          </w:p>
        </w:tc>
        <w:tc>
          <w:tcPr>
            <w:tcW w:w="1134" w:type="dxa"/>
            <w:hideMark/>
          </w:tcPr>
          <w:p w14:paraId="58B3C114"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b/>
                <w:bCs/>
                <w:color w:val="000000"/>
                <w:sz w:val="22"/>
                <w:szCs w:val="22"/>
                <w:lang w:eastAsia="en-GB"/>
              </w:rPr>
              <w:t>29.865</w:t>
            </w:r>
          </w:p>
        </w:tc>
        <w:tc>
          <w:tcPr>
            <w:tcW w:w="1134" w:type="dxa"/>
            <w:hideMark/>
          </w:tcPr>
          <w:p w14:paraId="03030EAF"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cs="Arial"/>
                <w:b/>
                <w:bCs/>
                <w:color w:val="000000"/>
                <w:sz w:val="22"/>
                <w:szCs w:val="22"/>
                <w:lang w:eastAsia="en-GB"/>
              </w:rPr>
              <w:t>4.851</w:t>
            </w:r>
          </w:p>
        </w:tc>
        <w:tc>
          <w:tcPr>
            <w:tcW w:w="1417" w:type="dxa"/>
            <w:hideMark/>
          </w:tcPr>
          <w:p w14:paraId="27571110"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b/>
                <w:bCs/>
                <w:color w:val="000000"/>
                <w:sz w:val="22"/>
                <w:szCs w:val="22"/>
                <w:lang w:eastAsia="en-GB"/>
              </w:rPr>
              <w:t>85.133</w:t>
            </w:r>
          </w:p>
        </w:tc>
      </w:tr>
      <w:tr w:rsidR="00414259" w:rsidRPr="00414259" w14:paraId="1E99F338" w14:textId="77777777" w:rsidTr="005679CA">
        <w:trPr>
          <w:trHeight w:val="300"/>
        </w:trPr>
        <w:tc>
          <w:tcPr>
            <w:tcW w:w="2268" w:type="dxa"/>
            <w:hideMark/>
          </w:tcPr>
          <w:p w14:paraId="0B88FBA4"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olor w:val="000000"/>
                <w:sz w:val="22"/>
                <w:szCs w:val="22"/>
                <w:lang w:eastAsia="en-GB"/>
              </w:rPr>
              <w:t>18-19 Balance</w:t>
            </w:r>
          </w:p>
        </w:tc>
        <w:tc>
          <w:tcPr>
            <w:tcW w:w="992" w:type="dxa"/>
            <w:hideMark/>
          </w:tcPr>
          <w:p w14:paraId="212A8112"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-0.595</w:t>
            </w:r>
          </w:p>
        </w:tc>
        <w:tc>
          <w:tcPr>
            <w:tcW w:w="1134" w:type="dxa"/>
            <w:hideMark/>
          </w:tcPr>
          <w:p w14:paraId="76A655BE" w14:textId="77777777" w:rsidR="00414259" w:rsidRPr="00DD0D5B" w:rsidRDefault="00414259" w:rsidP="00414259">
            <w:pPr>
              <w:jc w:val="right"/>
              <w:rPr>
                <w:rFonts w:ascii="Arial" w:hAnsi="Arial" w:cs="Arial"/>
                <w:b/>
                <w:color w:val="000000"/>
                <w:sz w:val="22"/>
                <w:szCs w:val="22"/>
                <w:lang w:eastAsia="en-GB"/>
              </w:rPr>
            </w:pPr>
            <w:r w:rsidRPr="00DD0D5B">
              <w:rPr>
                <w:rFonts w:ascii="Arial" w:hAnsi="Arial" w:cs="Arial"/>
                <w:b/>
                <w:color w:val="000000"/>
                <w:sz w:val="22"/>
                <w:szCs w:val="22"/>
                <w:lang w:eastAsia="en-GB"/>
              </w:rPr>
              <w:t>2.606</w:t>
            </w:r>
          </w:p>
        </w:tc>
        <w:tc>
          <w:tcPr>
            <w:tcW w:w="1134" w:type="dxa"/>
            <w:hideMark/>
          </w:tcPr>
          <w:p w14:paraId="663461CB"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0.337</w:t>
            </w:r>
          </w:p>
        </w:tc>
        <w:tc>
          <w:tcPr>
            <w:tcW w:w="1134" w:type="dxa"/>
            <w:hideMark/>
          </w:tcPr>
          <w:p w14:paraId="029887AF"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0.000</w:t>
            </w:r>
          </w:p>
        </w:tc>
        <w:tc>
          <w:tcPr>
            <w:tcW w:w="1417" w:type="dxa"/>
            <w:hideMark/>
          </w:tcPr>
          <w:p w14:paraId="3099FD5F"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2.350</w:t>
            </w:r>
          </w:p>
        </w:tc>
      </w:tr>
      <w:tr w:rsidR="00414259" w:rsidRPr="00414259" w14:paraId="1355E7AB" w14:textId="77777777" w:rsidTr="005679CA">
        <w:trPr>
          <w:trHeight w:val="300"/>
        </w:trPr>
        <w:tc>
          <w:tcPr>
            <w:tcW w:w="2268" w:type="dxa"/>
            <w:hideMark/>
          </w:tcPr>
          <w:p w14:paraId="13145D53"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992" w:type="dxa"/>
            <w:hideMark/>
          </w:tcPr>
          <w:p w14:paraId="0F4CF28D"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134" w:type="dxa"/>
            <w:hideMark/>
          </w:tcPr>
          <w:p w14:paraId="1601C3F2"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134" w:type="dxa"/>
            <w:hideMark/>
          </w:tcPr>
          <w:p w14:paraId="5CC6E1A5"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134" w:type="dxa"/>
            <w:hideMark/>
          </w:tcPr>
          <w:p w14:paraId="54CB62C3"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417" w:type="dxa"/>
            <w:hideMark/>
          </w:tcPr>
          <w:p w14:paraId="1998BB4B"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r>
      <w:tr w:rsidR="00414259" w:rsidRPr="00414259" w14:paraId="0203386F" w14:textId="77777777" w:rsidTr="005679CA">
        <w:trPr>
          <w:trHeight w:val="300"/>
        </w:trPr>
        <w:tc>
          <w:tcPr>
            <w:tcW w:w="2268" w:type="dxa"/>
            <w:hideMark/>
          </w:tcPr>
          <w:p w14:paraId="61A5402B"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olor w:val="000000"/>
                <w:sz w:val="22"/>
                <w:szCs w:val="22"/>
                <w:lang w:eastAsia="en-GB"/>
              </w:rPr>
              <w:t>Prior Year Bal</w:t>
            </w:r>
          </w:p>
        </w:tc>
        <w:tc>
          <w:tcPr>
            <w:tcW w:w="992" w:type="dxa"/>
            <w:hideMark/>
          </w:tcPr>
          <w:p w14:paraId="1B9BA28A"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1.160</w:t>
            </w:r>
          </w:p>
        </w:tc>
        <w:tc>
          <w:tcPr>
            <w:tcW w:w="1134" w:type="dxa"/>
            <w:hideMark/>
          </w:tcPr>
          <w:p w14:paraId="3CB757B5"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-1.424</w:t>
            </w:r>
          </w:p>
        </w:tc>
        <w:tc>
          <w:tcPr>
            <w:tcW w:w="1134" w:type="dxa"/>
            <w:hideMark/>
          </w:tcPr>
          <w:p w14:paraId="60AC90D8"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-0.156</w:t>
            </w:r>
          </w:p>
        </w:tc>
        <w:tc>
          <w:tcPr>
            <w:tcW w:w="1134" w:type="dxa"/>
            <w:hideMark/>
          </w:tcPr>
          <w:p w14:paraId="573DA35B"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0.605</w:t>
            </w:r>
          </w:p>
        </w:tc>
        <w:tc>
          <w:tcPr>
            <w:tcW w:w="1417" w:type="dxa"/>
            <w:hideMark/>
          </w:tcPr>
          <w:p w14:paraId="72B0C1AF"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-0.185</w:t>
            </w:r>
          </w:p>
        </w:tc>
      </w:tr>
      <w:tr w:rsidR="00414259" w:rsidRPr="00414259" w14:paraId="66035381" w14:textId="77777777" w:rsidTr="005679CA">
        <w:trPr>
          <w:trHeight w:val="384"/>
        </w:trPr>
        <w:tc>
          <w:tcPr>
            <w:tcW w:w="2268" w:type="dxa"/>
            <w:hideMark/>
          </w:tcPr>
          <w:p w14:paraId="5098B67E"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olor w:val="000000"/>
                <w:sz w:val="22"/>
                <w:szCs w:val="22"/>
                <w:lang w:eastAsia="en-GB"/>
              </w:rPr>
              <w:t>Bal Carried Forward 19-20</w:t>
            </w:r>
          </w:p>
        </w:tc>
        <w:tc>
          <w:tcPr>
            <w:tcW w:w="992" w:type="dxa"/>
            <w:hideMark/>
          </w:tcPr>
          <w:p w14:paraId="0D9DD426"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134" w:type="dxa"/>
            <w:hideMark/>
          </w:tcPr>
          <w:p w14:paraId="7AE06E26"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 </w:t>
            </w:r>
          </w:p>
        </w:tc>
        <w:tc>
          <w:tcPr>
            <w:tcW w:w="1134" w:type="dxa"/>
            <w:hideMark/>
          </w:tcPr>
          <w:p w14:paraId="0EEE986D"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 </w:t>
            </w:r>
          </w:p>
        </w:tc>
        <w:tc>
          <w:tcPr>
            <w:tcW w:w="1134" w:type="dxa"/>
            <w:hideMark/>
          </w:tcPr>
          <w:p w14:paraId="725A415F"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olor w:val="000000"/>
                <w:sz w:val="22"/>
                <w:szCs w:val="22"/>
                <w:lang w:eastAsia="en-GB"/>
              </w:rPr>
              <w:t> </w:t>
            </w:r>
          </w:p>
        </w:tc>
        <w:tc>
          <w:tcPr>
            <w:tcW w:w="1417" w:type="dxa"/>
            <w:hideMark/>
          </w:tcPr>
          <w:p w14:paraId="0B8AC70F"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b/>
                <w:bCs/>
                <w:color w:val="000000"/>
                <w:sz w:val="22"/>
                <w:szCs w:val="22"/>
                <w:lang w:eastAsia="en-GB"/>
              </w:rPr>
              <w:t>2.165</w:t>
            </w:r>
          </w:p>
        </w:tc>
      </w:tr>
    </w:tbl>
    <w:p w14:paraId="28A75987" w14:textId="77777777" w:rsidR="003F7D4C" w:rsidRDefault="003F7D4C" w:rsidP="003F7D4C">
      <w:pPr>
        <w:spacing w:before="60" w:after="60"/>
        <w:ind w:left="360"/>
        <w:jc w:val="both"/>
        <w:rPr>
          <w:rFonts w:ascii="Arial" w:hAnsi="Arial"/>
          <w:sz w:val="22"/>
          <w:szCs w:val="22"/>
        </w:rPr>
      </w:pPr>
    </w:p>
    <w:p w14:paraId="37224578" w14:textId="77777777" w:rsidR="00744150" w:rsidRPr="00744150" w:rsidRDefault="003F7D4C" w:rsidP="00744150">
      <w:pPr>
        <w:numPr>
          <w:ilvl w:val="1"/>
          <w:numId w:val="4"/>
        </w:numPr>
        <w:tabs>
          <w:tab w:val="num" w:pos="709"/>
        </w:tabs>
        <w:spacing w:before="60" w:after="60"/>
        <w:ind w:left="709" w:hanging="596"/>
        <w:jc w:val="both"/>
        <w:rPr>
          <w:rFonts w:ascii="Arial" w:hAnsi="Arial"/>
          <w:b/>
          <w:sz w:val="22"/>
          <w:szCs w:val="22"/>
        </w:rPr>
      </w:pPr>
      <w:r w:rsidRPr="00220BFA">
        <w:rPr>
          <w:rFonts w:ascii="Arial" w:hAnsi="Arial"/>
          <w:b/>
          <w:sz w:val="22"/>
          <w:szCs w:val="22"/>
        </w:rPr>
        <w:t>High Needs Block.</w:t>
      </w:r>
      <w:r w:rsidR="009C2218">
        <w:rPr>
          <w:rFonts w:ascii="Arial" w:hAnsi="Arial"/>
          <w:sz w:val="22"/>
          <w:szCs w:val="22"/>
        </w:rPr>
        <w:t xml:space="preserve"> This budget is under significant pressure</w:t>
      </w:r>
      <w:r w:rsidR="00194936">
        <w:rPr>
          <w:rFonts w:ascii="Arial" w:hAnsi="Arial"/>
          <w:sz w:val="22"/>
          <w:szCs w:val="22"/>
        </w:rPr>
        <w:t xml:space="preserve">; </w:t>
      </w:r>
      <w:r w:rsidR="00041E65">
        <w:rPr>
          <w:rFonts w:ascii="Arial" w:hAnsi="Arial"/>
          <w:sz w:val="22"/>
          <w:szCs w:val="22"/>
        </w:rPr>
        <w:t xml:space="preserve">last year the overall block had an </w:t>
      </w:r>
      <w:r w:rsidR="00AC3AB0">
        <w:rPr>
          <w:rFonts w:ascii="Arial" w:hAnsi="Arial"/>
          <w:sz w:val="22"/>
          <w:szCs w:val="22"/>
        </w:rPr>
        <w:t xml:space="preserve">in-year </w:t>
      </w:r>
      <w:r w:rsidR="00194936">
        <w:rPr>
          <w:rFonts w:ascii="Arial" w:hAnsi="Arial"/>
          <w:sz w:val="22"/>
          <w:szCs w:val="22"/>
        </w:rPr>
        <w:t>overspend</w:t>
      </w:r>
      <w:r w:rsidR="00DB062F">
        <w:rPr>
          <w:rFonts w:ascii="Arial" w:hAnsi="Arial"/>
          <w:sz w:val="22"/>
          <w:szCs w:val="22"/>
        </w:rPr>
        <w:t xml:space="preserve"> of £1.424m which was supported by the DSG carry forward reserves, the current year forecast </w:t>
      </w:r>
      <w:r w:rsidR="00041E65">
        <w:rPr>
          <w:rFonts w:ascii="Arial" w:hAnsi="Arial"/>
          <w:sz w:val="22"/>
          <w:szCs w:val="22"/>
        </w:rPr>
        <w:t>has now increase</w:t>
      </w:r>
      <w:r w:rsidR="00744150">
        <w:rPr>
          <w:rFonts w:ascii="Arial" w:hAnsi="Arial"/>
          <w:sz w:val="22"/>
          <w:szCs w:val="22"/>
        </w:rPr>
        <w:t>d</w:t>
      </w:r>
      <w:r w:rsidR="00041E65">
        <w:rPr>
          <w:rFonts w:ascii="Arial" w:hAnsi="Arial"/>
          <w:sz w:val="22"/>
          <w:szCs w:val="22"/>
        </w:rPr>
        <w:t xml:space="preserve"> to nearly £</w:t>
      </w:r>
      <w:r w:rsidR="0065352E">
        <w:rPr>
          <w:rFonts w:ascii="Arial" w:hAnsi="Arial"/>
          <w:sz w:val="22"/>
          <w:szCs w:val="22"/>
        </w:rPr>
        <w:t>2.</w:t>
      </w:r>
      <w:r w:rsidR="00414259">
        <w:rPr>
          <w:rFonts w:ascii="Arial" w:hAnsi="Arial"/>
          <w:sz w:val="22"/>
          <w:szCs w:val="22"/>
        </w:rPr>
        <w:t>606</w:t>
      </w:r>
      <w:r w:rsidR="00041E65">
        <w:rPr>
          <w:rFonts w:ascii="Arial" w:hAnsi="Arial"/>
          <w:sz w:val="22"/>
          <w:szCs w:val="22"/>
        </w:rPr>
        <w:t>m</w:t>
      </w:r>
      <w:r w:rsidR="00AC3AB0">
        <w:rPr>
          <w:rFonts w:ascii="Arial" w:hAnsi="Arial"/>
          <w:sz w:val="22"/>
          <w:szCs w:val="22"/>
        </w:rPr>
        <w:t>.</w:t>
      </w:r>
      <w:r w:rsidR="009C2218">
        <w:rPr>
          <w:rFonts w:ascii="Arial" w:hAnsi="Arial"/>
          <w:sz w:val="22"/>
          <w:szCs w:val="22"/>
        </w:rPr>
        <w:t xml:space="preserve"> The position is summarised in Table 3 and explained in the following sections.</w:t>
      </w:r>
    </w:p>
    <w:p w14:paraId="38CFD3A0" w14:textId="77777777" w:rsidR="00194936" w:rsidRDefault="00194936" w:rsidP="00194936">
      <w:pPr>
        <w:tabs>
          <w:tab w:val="num" w:pos="815"/>
        </w:tabs>
        <w:spacing w:before="60" w:after="60"/>
        <w:jc w:val="both"/>
        <w:rPr>
          <w:rFonts w:ascii="Arial" w:hAnsi="Arial"/>
          <w:b/>
          <w:sz w:val="22"/>
          <w:szCs w:val="22"/>
        </w:rPr>
      </w:pPr>
    </w:p>
    <w:p w14:paraId="17F68276" w14:textId="77777777" w:rsidR="00744150" w:rsidRDefault="00744150" w:rsidP="00194936">
      <w:pPr>
        <w:tabs>
          <w:tab w:val="num" w:pos="815"/>
        </w:tabs>
        <w:spacing w:before="60" w:after="60"/>
        <w:jc w:val="both"/>
        <w:rPr>
          <w:rFonts w:ascii="Arial" w:hAnsi="Arial"/>
          <w:b/>
          <w:sz w:val="22"/>
          <w:szCs w:val="22"/>
        </w:rPr>
      </w:pPr>
    </w:p>
    <w:p w14:paraId="66F79A78" w14:textId="77777777" w:rsidR="00414259" w:rsidRDefault="00414259" w:rsidP="00194936">
      <w:pPr>
        <w:tabs>
          <w:tab w:val="num" w:pos="815"/>
        </w:tabs>
        <w:spacing w:before="60" w:after="60"/>
        <w:jc w:val="both"/>
        <w:rPr>
          <w:rFonts w:ascii="Arial" w:hAnsi="Arial"/>
          <w:b/>
          <w:sz w:val="22"/>
          <w:szCs w:val="22"/>
        </w:rPr>
      </w:pPr>
    </w:p>
    <w:p w14:paraId="43EDD0E0" w14:textId="77777777" w:rsidR="00744150" w:rsidRPr="00220BFA" w:rsidRDefault="00744150" w:rsidP="00194936">
      <w:pPr>
        <w:tabs>
          <w:tab w:val="num" w:pos="815"/>
        </w:tabs>
        <w:spacing w:before="60" w:after="60"/>
        <w:jc w:val="both"/>
        <w:rPr>
          <w:rFonts w:ascii="Arial" w:hAnsi="Arial"/>
          <w:b/>
          <w:sz w:val="22"/>
          <w:szCs w:val="22"/>
        </w:rPr>
      </w:pPr>
    </w:p>
    <w:p w14:paraId="1572EEB4" w14:textId="77777777" w:rsidR="0051010A" w:rsidRPr="00220BFA" w:rsidRDefault="00220BFA" w:rsidP="009C2218">
      <w:pPr>
        <w:spacing w:before="60" w:after="60"/>
        <w:ind w:left="113" w:firstLine="596"/>
        <w:jc w:val="both"/>
        <w:rPr>
          <w:rFonts w:ascii="Arial" w:hAnsi="Arial"/>
          <w:b/>
          <w:sz w:val="22"/>
          <w:szCs w:val="22"/>
        </w:rPr>
      </w:pPr>
      <w:r>
        <w:rPr>
          <w:rFonts w:ascii="Arial" w:hAnsi="Arial"/>
          <w:b/>
          <w:sz w:val="22"/>
          <w:szCs w:val="22"/>
        </w:rPr>
        <w:t>Table 3</w:t>
      </w:r>
      <w:r w:rsidRPr="00220BFA">
        <w:rPr>
          <w:rFonts w:ascii="Arial" w:hAnsi="Arial"/>
          <w:b/>
          <w:sz w:val="22"/>
          <w:szCs w:val="22"/>
        </w:rPr>
        <w:t>: Monitoring Summary for High Needs Block.</w:t>
      </w:r>
    </w:p>
    <w:tbl>
      <w:tblPr>
        <w:tblStyle w:val="TableGrid"/>
        <w:tblW w:w="8079" w:type="dxa"/>
        <w:tblLook w:val="04A0" w:firstRow="1" w:lastRow="0" w:firstColumn="1" w:lastColumn="0" w:noHBand="0" w:noVBand="1"/>
      </w:tblPr>
      <w:tblGrid>
        <w:gridCol w:w="2551"/>
        <w:gridCol w:w="1107"/>
        <w:gridCol w:w="1360"/>
        <w:gridCol w:w="1502"/>
        <w:gridCol w:w="1559"/>
      </w:tblGrid>
      <w:tr w:rsidR="00414259" w:rsidRPr="00414259" w14:paraId="43CC873A" w14:textId="77777777" w:rsidTr="005679CA">
        <w:trPr>
          <w:trHeight w:val="840"/>
        </w:trPr>
        <w:tc>
          <w:tcPr>
            <w:tcW w:w="2551" w:type="dxa"/>
            <w:hideMark/>
          </w:tcPr>
          <w:p w14:paraId="753C343F" w14:textId="77777777" w:rsidR="00414259" w:rsidRPr="00414259" w:rsidRDefault="00414259" w:rsidP="00414259">
            <w:pPr>
              <w:jc w:val="both"/>
              <w:rPr>
                <w:rFonts w:ascii="Arial" w:hAnsi="Arial" w:cs="Arial"/>
                <w:b/>
                <w:bCs/>
                <w:color w:val="000000"/>
                <w:sz w:val="22"/>
                <w:szCs w:val="22"/>
                <w:lang w:eastAsia="en-GB"/>
              </w:rPr>
            </w:pPr>
            <w:r w:rsidRPr="00414259">
              <w:rPr>
                <w:rFonts w:ascii="Arial" w:hAnsi="Arial" w:cs="Arial"/>
                <w:b/>
                <w:bCs/>
                <w:color w:val="000000"/>
                <w:sz w:val="22"/>
                <w:szCs w:val="22"/>
                <w:lang w:eastAsia="en-GB"/>
              </w:rPr>
              <w:lastRenderedPageBreak/>
              <w:t>Description</w:t>
            </w:r>
          </w:p>
        </w:tc>
        <w:tc>
          <w:tcPr>
            <w:tcW w:w="1107" w:type="dxa"/>
            <w:hideMark/>
          </w:tcPr>
          <w:p w14:paraId="21AD5252"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cs="Arial"/>
                <w:b/>
                <w:bCs/>
                <w:color w:val="000000"/>
                <w:sz w:val="22"/>
                <w:szCs w:val="22"/>
                <w:lang w:eastAsia="en-GB"/>
              </w:rPr>
              <w:t>Budget</w:t>
            </w:r>
          </w:p>
        </w:tc>
        <w:tc>
          <w:tcPr>
            <w:tcW w:w="1360" w:type="dxa"/>
            <w:hideMark/>
          </w:tcPr>
          <w:p w14:paraId="113BC9F7"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cs="Arial"/>
                <w:b/>
                <w:bCs/>
                <w:color w:val="000000"/>
                <w:sz w:val="22"/>
                <w:szCs w:val="22"/>
                <w:lang w:eastAsia="en-GB"/>
              </w:rPr>
              <w:t>Spend to 31/8/18</w:t>
            </w:r>
          </w:p>
        </w:tc>
        <w:tc>
          <w:tcPr>
            <w:tcW w:w="1502" w:type="dxa"/>
            <w:hideMark/>
          </w:tcPr>
          <w:p w14:paraId="3DBFC8B8"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cs="Arial"/>
                <w:b/>
                <w:bCs/>
                <w:color w:val="000000"/>
                <w:sz w:val="22"/>
                <w:szCs w:val="22"/>
                <w:lang w:eastAsia="en-GB"/>
              </w:rPr>
              <w:t>Projected Outturn</w:t>
            </w:r>
          </w:p>
        </w:tc>
        <w:tc>
          <w:tcPr>
            <w:tcW w:w="1559" w:type="dxa"/>
            <w:hideMark/>
          </w:tcPr>
          <w:p w14:paraId="01841955"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cs="Arial"/>
                <w:b/>
                <w:bCs/>
                <w:color w:val="000000"/>
                <w:sz w:val="22"/>
                <w:szCs w:val="22"/>
                <w:lang w:eastAsia="en-GB"/>
              </w:rPr>
              <w:t>Variance</w:t>
            </w:r>
          </w:p>
        </w:tc>
      </w:tr>
      <w:tr w:rsidR="00414259" w:rsidRPr="00414259" w14:paraId="3E975952" w14:textId="77777777" w:rsidTr="005679CA">
        <w:trPr>
          <w:trHeight w:val="300"/>
        </w:trPr>
        <w:tc>
          <w:tcPr>
            <w:tcW w:w="2551" w:type="dxa"/>
            <w:hideMark/>
          </w:tcPr>
          <w:p w14:paraId="186CA280"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107" w:type="dxa"/>
            <w:hideMark/>
          </w:tcPr>
          <w:p w14:paraId="1AA2D30E"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s="Arial"/>
                <w:color w:val="000000"/>
                <w:sz w:val="22"/>
                <w:szCs w:val="22"/>
                <w:lang w:eastAsia="en-GB"/>
              </w:rPr>
              <w:t>£m</w:t>
            </w:r>
          </w:p>
        </w:tc>
        <w:tc>
          <w:tcPr>
            <w:tcW w:w="1360" w:type="dxa"/>
            <w:hideMark/>
          </w:tcPr>
          <w:p w14:paraId="73878FA8"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s="Arial"/>
                <w:color w:val="000000"/>
                <w:sz w:val="22"/>
                <w:szCs w:val="22"/>
                <w:lang w:eastAsia="en-GB"/>
              </w:rPr>
              <w:t>£m</w:t>
            </w:r>
          </w:p>
        </w:tc>
        <w:tc>
          <w:tcPr>
            <w:tcW w:w="1502" w:type="dxa"/>
            <w:hideMark/>
          </w:tcPr>
          <w:p w14:paraId="329F1C7D"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s="Arial"/>
                <w:color w:val="000000"/>
                <w:sz w:val="22"/>
                <w:szCs w:val="22"/>
                <w:lang w:eastAsia="en-GB"/>
              </w:rPr>
              <w:t>£m</w:t>
            </w:r>
          </w:p>
        </w:tc>
        <w:tc>
          <w:tcPr>
            <w:tcW w:w="1559" w:type="dxa"/>
            <w:hideMark/>
          </w:tcPr>
          <w:p w14:paraId="1D14B603"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s="Arial"/>
                <w:color w:val="000000"/>
                <w:sz w:val="22"/>
                <w:szCs w:val="22"/>
                <w:lang w:eastAsia="en-GB"/>
              </w:rPr>
              <w:t>£m</w:t>
            </w:r>
          </w:p>
        </w:tc>
      </w:tr>
      <w:tr w:rsidR="00414259" w:rsidRPr="00414259" w14:paraId="775DDF14" w14:textId="77777777" w:rsidTr="005679CA">
        <w:trPr>
          <w:trHeight w:val="300"/>
        </w:trPr>
        <w:tc>
          <w:tcPr>
            <w:tcW w:w="2551" w:type="dxa"/>
            <w:hideMark/>
          </w:tcPr>
          <w:p w14:paraId="4F4A7C86"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Delegated Budgets</w:t>
            </w:r>
          </w:p>
        </w:tc>
        <w:tc>
          <w:tcPr>
            <w:tcW w:w="1107" w:type="dxa"/>
            <w:hideMark/>
          </w:tcPr>
          <w:p w14:paraId="7798036F"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7.488</w:t>
            </w:r>
          </w:p>
        </w:tc>
        <w:tc>
          <w:tcPr>
            <w:tcW w:w="1360" w:type="dxa"/>
            <w:hideMark/>
          </w:tcPr>
          <w:p w14:paraId="1DC8A29A"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3.267</w:t>
            </w:r>
          </w:p>
        </w:tc>
        <w:tc>
          <w:tcPr>
            <w:tcW w:w="1502" w:type="dxa"/>
            <w:hideMark/>
          </w:tcPr>
          <w:p w14:paraId="3512A95D"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7.840</w:t>
            </w:r>
          </w:p>
        </w:tc>
        <w:tc>
          <w:tcPr>
            <w:tcW w:w="1559" w:type="dxa"/>
            <w:hideMark/>
          </w:tcPr>
          <w:p w14:paraId="27F83033"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0.352</w:t>
            </w:r>
          </w:p>
        </w:tc>
      </w:tr>
      <w:tr w:rsidR="00414259" w:rsidRPr="00414259" w14:paraId="5D3A3EA7" w14:textId="77777777" w:rsidTr="005679CA">
        <w:trPr>
          <w:trHeight w:val="300"/>
        </w:trPr>
        <w:tc>
          <w:tcPr>
            <w:tcW w:w="2551" w:type="dxa"/>
            <w:hideMark/>
          </w:tcPr>
          <w:p w14:paraId="6743F833"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Central Support Services</w:t>
            </w:r>
          </w:p>
        </w:tc>
        <w:tc>
          <w:tcPr>
            <w:tcW w:w="1107" w:type="dxa"/>
            <w:hideMark/>
          </w:tcPr>
          <w:p w14:paraId="3595B922"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3.373</w:t>
            </w:r>
          </w:p>
        </w:tc>
        <w:tc>
          <w:tcPr>
            <w:tcW w:w="1360" w:type="dxa"/>
            <w:hideMark/>
          </w:tcPr>
          <w:p w14:paraId="4BEC29D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1.265</w:t>
            </w:r>
          </w:p>
        </w:tc>
        <w:tc>
          <w:tcPr>
            <w:tcW w:w="1502" w:type="dxa"/>
            <w:hideMark/>
          </w:tcPr>
          <w:p w14:paraId="3E0CEFF2"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3.037</w:t>
            </w:r>
          </w:p>
        </w:tc>
        <w:tc>
          <w:tcPr>
            <w:tcW w:w="1559" w:type="dxa"/>
            <w:hideMark/>
          </w:tcPr>
          <w:p w14:paraId="115DF986"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-0.336</w:t>
            </w:r>
          </w:p>
        </w:tc>
      </w:tr>
      <w:tr w:rsidR="00414259" w:rsidRPr="00414259" w14:paraId="5B9A843D" w14:textId="77777777" w:rsidTr="005679CA">
        <w:trPr>
          <w:trHeight w:val="300"/>
        </w:trPr>
        <w:tc>
          <w:tcPr>
            <w:tcW w:w="2551" w:type="dxa"/>
            <w:hideMark/>
          </w:tcPr>
          <w:p w14:paraId="1E82769E"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 xml:space="preserve">PFI </w:t>
            </w:r>
          </w:p>
        </w:tc>
        <w:tc>
          <w:tcPr>
            <w:tcW w:w="1107" w:type="dxa"/>
            <w:hideMark/>
          </w:tcPr>
          <w:p w14:paraId="0E0D5F19"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0.042</w:t>
            </w:r>
          </w:p>
        </w:tc>
        <w:tc>
          <w:tcPr>
            <w:tcW w:w="1360" w:type="dxa"/>
            <w:hideMark/>
          </w:tcPr>
          <w:p w14:paraId="3205F17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502" w:type="dxa"/>
            <w:hideMark/>
          </w:tcPr>
          <w:p w14:paraId="290C27BC"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0.042</w:t>
            </w:r>
          </w:p>
        </w:tc>
        <w:tc>
          <w:tcPr>
            <w:tcW w:w="1559" w:type="dxa"/>
            <w:hideMark/>
          </w:tcPr>
          <w:p w14:paraId="525D2D2A"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0.000</w:t>
            </w:r>
          </w:p>
        </w:tc>
      </w:tr>
      <w:tr w:rsidR="00414259" w:rsidRPr="00414259" w14:paraId="0003153A" w14:textId="77777777" w:rsidTr="005679CA">
        <w:trPr>
          <w:trHeight w:val="300"/>
        </w:trPr>
        <w:tc>
          <w:tcPr>
            <w:tcW w:w="2551" w:type="dxa"/>
            <w:hideMark/>
          </w:tcPr>
          <w:p w14:paraId="51D00C26" w14:textId="77777777" w:rsidR="00414259" w:rsidRPr="00414259" w:rsidRDefault="00414259" w:rsidP="00414259">
            <w:pPr>
              <w:jc w:val="both"/>
              <w:rPr>
                <w:rFonts w:ascii="Arial" w:hAnsi="Arial" w:cs="Arial"/>
                <w:b/>
                <w:bCs/>
                <w:i/>
                <w:iCs/>
                <w:color w:val="000000"/>
                <w:sz w:val="22"/>
                <w:szCs w:val="22"/>
                <w:lang w:eastAsia="en-GB"/>
              </w:rPr>
            </w:pPr>
            <w:r w:rsidRPr="00414259">
              <w:rPr>
                <w:rFonts w:ascii="Arial" w:hAnsi="Arial" w:cs="Arial"/>
                <w:b/>
                <w:bCs/>
                <w:i/>
                <w:iCs/>
                <w:color w:val="000000"/>
                <w:sz w:val="22"/>
                <w:szCs w:val="22"/>
                <w:lang w:eastAsia="en-GB"/>
              </w:rPr>
              <w:t>Top-up Funding</w:t>
            </w:r>
          </w:p>
        </w:tc>
        <w:tc>
          <w:tcPr>
            <w:tcW w:w="1107" w:type="dxa"/>
            <w:hideMark/>
          </w:tcPr>
          <w:p w14:paraId="356EEE8A"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360" w:type="dxa"/>
            <w:hideMark/>
          </w:tcPr>
          <w:p w14:paraId="7BC1EAB6"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502" w:type="dxa"/>
            <w:hideMark/>
          </w:tcPr>
          <w:p w14:paraId="59564C5D"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559" w:type="dxa"/>
            <w:hideMark/>
          </w:tcPr>
          <w:p w14:paraId="5EBC7C8D"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r>
      <w:tr w:rsidR="00414259" w:rsidRPr="00414259" w14:paraId="0BFD636A" w14:textId="77777777" w:rsidTr="005679CA">
        <w:trPr>
          <w:trHeight w:val="300"/>
        </w:trPr>
        <w:tc>
          <w:tcPr>
            <w:tcW w:w="2551" w:type="dxa"/>
            <w:hideMark/>
          </w:tcPr>
          <w:p w14:paraId="11520A0C"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 xml:space="preserve">LBTH Special schools </w:t>
            </w:r>
          </w:p>
        </w:tc>
        <w:tc>
          <w:tcPr>
            <w:tcW w:w="1107" w:type="dxa"/>
            <w:hideMark/>
          </w:tcPr>
          <w:p w14:paraId="135815C7"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10.046</w:t>
            </w:r>
          </w:p>
        </w:tc>
        <w:tc>
          <w:tcPr>
            <w:tcW w:w="1360" w:type="dxa"/>
            <w:hideMark/>
          </w:tcPr>
          <w:p w14:paraId="35482310" w14:textId="77777777" w:rsidR="00414259" w:rsidRPr="00414259" w:rsidRDefault="00A41C54" w:rsidP="00414259">
            <w:pPr>
              <w:jc w:val="right"/>
              <w:rPr>
                <w:rFonts w:ascii="Arial" w:hAnsi="Arial" w:cs="Arial"/>
                <w:color w:val="000000"/>
                <w:sz w:val="22"/>
                <w:szCs w:val="22"/>
                <w:lang w:eastAsia="en-GB"/>
              </w:rPr>
            </w:pPr>
            <w:r>
              <w:rPr>
                <w:rFonts w:ascii="Arial" w:hAnsi="Arial" w:cs="Arial"/>
                <w:color w:val="000000"/>
                <w:sz w:val="22"/>
                <w:szCs w:val="22"/>
                <w:lang w:eastAsia="en-GB"/>
              </w:rPr>
              <w:t>4.750</w:t>
            </w:r>
          </w:p>
        </w:tc>
        <w:tc>
          <w:tcPr>
            <w:tcW w:w="1502" w:type="dxa"/>
            <w:hideMark/>
          </w:tcPr>
          <w:p w14:paraId="2B75DBA4"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11.400</w:t>
            </w:r>
          </w:p>
        </w:tc>
        <w:tc>
          <w:tcPr>
            <w:tcW w:w="1559" w:type="dxa"/>
            <w:hideMark/>
          </w:tcPr>
          <w:p w14:paraId="6377F4F6"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1.354</w:t>
            </w:r>
          </w:p>
        </w:tc>
      </w:tr>
      <w:tr w:rsidR="00414259" w:rsidRPr="00414259" w14:paraId="19C852CA" w14:textId="77777777" w:rsidTr="005679CA">
        <w:trPr>
          <w:trHeight w:val="300"/>
        </w:trPr>
        <w:tc>
          <w:tcPr>
            <w:tcW w:w="2551" w:type="dxa"/>
            <w:hideMark/>
          </w:tcPr>
          <w:p w14:paraId="12DB93CE"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 xml:space="preserve">LBTH Mainstream </w:t>
            </w:r>
            <w:proofErr w:type="spellStart"/>
            <w:r w:rsidRPr="00414259">
              <w:rPr>
                <w:rFonts w:ascii="Arial" w:hAnsi="Arial" w:cs="Arial"/>
                <w:color w:val="000000"/>
                <w:sz w:val="22"/>
                <w:szCs w:val="22"/>
                <w:lang w:eastAsia="en-GB"/>
              </w:rPr>
              <w:t>schs</w:t>
            </w:r>
            <w:proofErr w:type="spellEnd"/>
          </w:p>
        </w:tc>
        <w:tc>
          <w:tcPr>
            <w:tcW w:w="1107" w:type="dxa"/>
            <w:hideMark/>
          </w:tcPr>
          <w:p w14:paraId="0CC20574"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11.819</w:t>
            </w:r>
          </w:p>
        </w:tc>
        <w:tc>
          <w:tcPr>
            <w:tcW w:w="1360" w:type="dxa"/>
            <w:hideMark/>
          </w:tcPr>
          <w:p w14:paraId="0A57EECA"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5.620</w:t>
            </w:r>
          </w:p>
        </w:tc>
        <w:tc>
          <w:tcPr>
            <w:tcW w:w="1502" w:type="dxa"/>
            <w:hideMark/>
          </w:tcPr>
          <w:p w14:paraId="6A705EF9"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13.489</w:t>
            </w:r>
          </w:p>
        </w:tc>
        <w:tc>
          <w:tcPr>
            <w:tcW w:w="1559" w:type="dxa"/>
            <w:hideMark/>
          </w:tcPr>
          <w:p w14:paraId="73F85B02"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1.670</w:t>
            </w:r>
          </w:p>
        </w:tc>
      </w:tr>
      <w:tr w:rsidR="00414259" w:rsidRPr="00414259" w14:paraId="063E128E" w14:textId="77777777" w:rsidTr="005679CA">
        <w:trPr>
          <w:trHeight w:val="300"/>
        </w:trPr>
        <w:tc>
          <w:tcPr>
            <w:tcW w:w="2551" w:type="dxa"/>
            <w:hideMark/>
          </w:tcPr>
          <w:p w14:paraId="351CDAFD"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 xml:space="preserve">Academies &amp; free </w:t>
            </w:r>
            <w:proofErr w:type="spellStart"/>
            <w:r w:rsidRPr="00414259">
              <w:rPr>
                <w:rFonts w:ascii="Arial" w:hAnsi="Arial" w:cs="Arial"/>
                <w:color w:val="000000"/>
                <w:sz w:val="22"/>
                <w:szCs w:val="22"/>
                <w:lang w:eastAsia="en-GB"/>
              </w:rPr>
              <w:t>schs</w:t>
            </w:r>
            <w:proofErr w:type="spellEnd"/>
          </w:p>
        </w:tc>
        <w:tc>
          <w:tcPr>
            <w:tcW w:w="1107" w:type="dxa"/>
            <w:hideMark/>
          </w:tcPr>
          <w:p w14:paraId="2F09D9F4"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1.486</w:t>
            </w:r>
          </w:p>
        </w:tc>
        <w:tc>
          <w:tcPr>
            <w:tcW w:w="1360" w:type="dxa"/>
            <w:hideMark/>
          </w:tcPr>
          <w:p w14:paraId="27FB2867"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1.047</w:t>
            </w:r>
          </w:p>
        </w:tc>
        <w:tc>
          <w:tcPr>
            <w:tcW w:w="1502" w:type="dxa"/>
            <w:hideMark/>
          </w:tcPr>
          <w:p w14:paraId="6949CB3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1.047</w:t>
            </w:r>
          </w:p>
        </w:tc>
        <w:tc>
          <w:tcPr>
            <w:tcW w:w="1559" w:type="dxa"/>
            <w:hideMark/>
          </w:tcPr>
          <w:p w14:paraId="4F04CD2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-0.439</w:t>
            </w:r>
          </w:p>
        </w:tc>
      </w:tr>
      <w:tr w:rsidR="00414259" w:rsidRPr="00414259" w14:paraId="7694594E" w14:textId="77777777" w:rsidTr="005679CA">
        <w:trPr>
          <w:trHeight w:val="300"/>
        </w:trPr>
        <w:tc>
          <w:tcPr>
            <w:tcW w:w="2551" w:type="dxa"/>
            <w:hideMark/>
          </w:tcPr>
          <w:p w14:paraId="165A8178"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FE colleges</w:t>
            </w:r>
          </w:p>
        </w:tc>
        <w:tc>
          <w:tcPr>
            <w:tcW w:w="1107" w:type="dxa"/>
            <w:hideMark/>
          </w:tcPr>
          <w:p w14:paraId="29258EB2"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0.943</w:t>
            </w:r>
          </w:p>
        </w:tc>
        <w:tc>
          <w:tcPr>
            <w:tcW w:w="1360" w:type="dxa"/>
            <w:hideMark/>
          </w:tcPr>
          <w:p w14:paraId="20DFFBB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0.443</w:t>
            </w:r>
          </w:p>
        </w:tc>
        <w:tc>
          <w:tcPr>
            <w:tcW w:w="1502" w:type="dxa"/>
            <w:hideMark/>
          </w:tcPr>
          <w:p w14:paraId="4BC74B2E"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1.063</w:t>
            </w:r>
          </w:p>
        </w:tc>
        <w:tc>
          <w:tcPr>
            <w:tcW w:w="1559" w:type="dxa"/>
            <w:hideMark/>
          </w:tcPr>
          <w:p w14:paraId="379BFF0D"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0.120</w:t>
            </w:r>
          </w:p>
        </w:tc>
      </w:tr>
      <w:tr w:rsidR="00414259" w:rsidRPr="00414259" w14:paraId="4C57B6AC" w14:textId="77777777" w:rsidTr="005679CA">
        <w:trPr>
          <w:trHeight w:val="300"/>
        </w:trPr>
        <w:tc>
          <w:tcPr>
            <w:tcW w:w="2551" w:type="dxa"/>
            <w:hideMark/>
          </w:tcPr>
          <w:p w14:paraId="3432FF65"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Special Resource Provision</w:t>
            </w:r>
          </w:p>
        </w:tc>
        <w:tc>
          <w:tcPr>
            <w:tcW w:w="1107" w:type="dxa"/>
            <w:hideMark/>
          </w:tcPr>
          <w:p w14:paraId="237C9B7D"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0.576</w:t>
            </w:r>
          </w:p>
        </w:tc>
        <w:tc>
          <w:tcPr>
            <w:tcW w:w="1360" w:type="dxa"/>
            <w:hideMark/>
          </w:tcPr>
          <w:p w14:paraId="7E65BD0F"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0.240</w:t>
            </w:r>
          </w:p>
        </w:tc>
        <w:tc>
          <w:tcPr>
            <w:tcW w:w="1502" w:type="dxa"/>
            <w:hideMark/>
          </w:tcPr>
          <w:p w14:paraId="2012E09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0.576</w:t>
            </w:r>
          </w:p>
        </w:tc>
        <w:tc>
          <w:tcPr>
            <w:tcW w:w="1559" w:type="dxa"/>
            <w:hideMark/>
          </w:tcPr>
          <w:p w14:paraId="0F3DAE63"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0.000</w:t>
            </w:r>
          </w:p>
        </w:tc>
      </w:tr>
      <w:tr w:rsidR="00414259" w:rsidRPr="00414259" w14:paraId="2D2F7807" w14:textId="77777777" w:rsidTr="005679CA">
        <w:trPr>
          <w:trHeight w:val="300"/>
        </w:trPr>
        <w:tc>
          <w:tcPr>
            <w:tcW w:w="2551" w:type="dxa"/>
            <w:hideMark/>
          </w:tcPr>
          <w:p w14:paraId="5C07D2DA"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Other Boroughs</w:t>
            </w:r>
          </w:p>
        </w:tc>
        <w:tc>
          <w:tcPr>
            <w:tcW w:w="1107" w:type="dxa"/>
            <w:hideMark/>
          </w:tcPr>
          <w:p w14:paraId="3330E464"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1.133</w:t>
            </w:r>
          </w:p>
        </w:tc>
        <w:tc>
          <w:tcPr>
            <w:tcW w:w="1360" w:type="dxa"/>
            <w:hideMark/>
          </w:tcPr>
          <w:p w14:paraId="75B69915"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0.472</w:t>
            </w:r>
          </w:p>
        </w:tc>
        <w:tc>
          <w:tcPr>
            <w:tcW w:w="1502" w:type="dxa"/>
            <w:hideMark/>
          </w:tcPr>
          <w:p w14:paraId="791BA2C7"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1.133</w:t>
            </w:r>
          </w:p>
        </w:tc>
        <w:tc>
          <w:tcPr>
            <w:tcW w:w="1559" w:type="dxa"/>
            <w:hideMark/>
          </w:tcPr>
          <w:p w14:paraId="344098B7"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0.000</w:t>
            </w:r>
          </w:p>
        </w:tc>
      </w:tr>
      <w:tr w:rsidR="00414259" w:rsidRPr="00414259" w14:paraId="41E3F147" w14:textId="77777777" w:rsidTr="005679CA">
        <w:trPr>
          <w:trHeight w:val="300"/>
        </w:trPr>
        <w:tc>
          <w:tcPr>
            <w:tcW w:w="2551" w:type="dxa"/>
            <w:hideMark/>
          </w:tcPr>
          <w:p w14:paraId="111C6C54"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Alternative Provision</w:t>
            </w:r>
          </w:p>
        </w:tc>
        <w:tc>
          <w:tcPr>
            <w:tcW w:w="1107" w:type="dxa"/>
            <w:hideMark/>
          </w:tcPr>
          <w:p w14:paraId="0A748672"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2.399</w:t>
            </w:r>
          </w:p>
        </w:tc>
        <w:tc>
          <w:tcPr>
            <w:tcW w:w="1360" w:type="dxa"/>
            <w:hideMark/>
          </w:tcPr>
          <w:p w14:paraId="3356722C"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0.994</w:t>
            </w:r>
          </w:p>
        </w:tc>
        <w:tc>
          <w:tcPr>
            <w:tcW w:w="1502" w:type="dxa"/>
            <w:hideMark/>
          </w:tcPr>
          <w:p w14:paraId="1666C2A6"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2.385</w:t>
            </w:r>
          </w:p>
        </w:tc>
        <w:tc>
          <w:tcPr>
            <w:tcW w:w="1559" w:type="dxa"/>
            <w:hideMark/>
          </w:tcPr>
          <w:p w14:paraId="7F462AC6"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-0.014</w:t>
            </w:r>
          </w:p>
        </w:tc>
      </w:tr>
      <w:tr w:rsidR="00414259" w:rsidRPr="00414259" w14:paraId="1608B2F6" w14:textId="77777777" w:rsidTr="005679CA">
        <w:trPr>
          <w:trHeight w:val="300"/>
        </w:trPr>
        <w:tc>
          <w:tcPr>
            <w:tcW w:w="2551" w:type="dxa"/>
            <w:hideMark/>
          </w:tcPr>
          <w:p w14:paraId="60AC1AAA"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Private and Independent</w:t>
            </w:r>
          </w:p>
        </w:tc>
        <w:tc>
          <w:tcPr>
            <w:tcW w:w="1107" w:type="dxa"/>
            <w:hideMark/>
          </w:tcPr>
          <w:p w14:paraId="4587DED9"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4.902</w:t>
            </w:r>
          </w:p>
        </w:tc>
        <w:tc>
          <w:tcPr>
            <w:tcW w:w="1360" w:type="dxa"/>
            <w:hideMark/>
          </w:tcPr>
          <w:p w14:paraId="087D04AD"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2.000</w:t>
            </w:r>
          </w:p>
        </w:tc>
        <w:tc>
          <w:tcPr>
            <w:tcW w:w="1502" w:type="dxa"/>
            <w:hideMark/>
          </w:tcPr>
          <w:p w14:paraId="3F290C28"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4.801</w:t>
            </w:r>
          </w:p>
        </w:tc>
        <w:tc>
          <w:tcPr>
            <w:tcW w:w="1559" w:type="dxa"/>
            <w:hideMark/>
          </w:tcPr>
          <w:p w14:paraId="24C433EC"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-0.101</w:t>
            </w:r>
          </w:p>
        </w:tc>
      </w:tr>
      <w:tr w:rsidR="00414259" w:rsidRPr="00414259" w14:paraId="0E53BCAA" w14:textId="77777777" w:rsidTr="005679CA">
        <w:trPr>
          <w:trHeight w:val="300"/>
        </w:trPr>
        <w:tc>
          <w:tcPr>
            <w:tcW w:w="2551" w:type="dxa"/>
            <w:hideMark/>
          </w:tcPr>
          <w:p w14:paraId="66C6531E"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107" w:type="dxa"/>
            <w:hideMark/>
          </w:tcPr>
          <w:p w14:paraId="616F983D"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360" w:type="dxa"/>
            <w:hideMark/>
          </w:tcPr>
          <w:p w14:paraId="11303D0C"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cs="Arial"/>
                <w:b/>
                <w:bCs/>
                <w:color w:val="000000"/>
                <w:sz w:val="22"/>
                <w:szCs w:val="22"/>
                <w:lang w:eastAsia="en-GB"/>
              </w:rPr>
              <w:t> </w:t>
            </w:r>
          </w:p>
        </w:tc>
        <w:tc>
          <w:tcPr>
            <w:tcW w:w="1502" w:type="dxa"/>
            <w:hideMark/>
          </w:tcPr>
          <w:p w14:paraId="02A2A385"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cs="Arial"/>
                <w:b/>
                <w:bCs/>
                <w:color w:val="000000"/>
                <w:sz w:val="22"/>
                <w:szCs w:val="22"/>
                <w:lang w:eastAsia="en-GB"/>
              </w:rPr>
              <w:t> </w:t>
            </w:r>
          </w:p>
        </w:tc>
        <w:tc>
          <w:tcPr>
            <w:tcW w:w="1559" w:type="dxa"/>
            <w:hideMark/>
          </w:tcPr>
          <w:p w14:paraId="3467D499"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r>
      <w:tr w:rsidR="00414259" w:rsidRPr="00414259" w14:paraId="5E9CD76C" w14:textId="77777777" w:rsidTr="005679CA">
        <w:trPr>
          <w:trHeight w:val="300"/>
        </w:trPr>
        <w:tc>
          <w:tcPr>
            <w:tcW w:w="2551" w:type="dxa"/>
            <w:hideMark/>
          </w:tcPr>
          <w:p w14:paraId="3D799063" w14:textId="77777777" w:rsidR="00414259" w:rsidRPr="00414259" w:rsidRDefault="001068C9" w:rsidP="00414259">
            <w:pPr>
              <w:jc w:val="both"/>
              <w:rPr>
                <w:rFonts w:ascii="Arial" w:hAnsi="Arial" w:cs="Arial"/>
                <w:b/>
                <w:bCs/>
                <w:color w:val="000000"/>
                <w:sz w:val="22"/>
                <w:szCs w:val="22"/>
                <w:lang w:eastAsia="en-GB"/>
              </w:rPr>
            </w:pPr>
            <w:r>
              <w:rPr>
                <w:rFonts w:ascii="Arial" w:hAnsi="Arial" w:cs="Arial"/>
                <w:b/>
                <w:bCs/>
                <w:color w:val="000000"/>
                <w:sz w:val="22"/>
                <w:szCs w:val="22"/>
                <w:lang w:eastAsia="en-GB"/>
              </w:rPr>
              <w:t>T</w:t>
            </w:r>
            <w:r w:rsidR="00414259" w:rsidRPr="00414259">
              <w:rPr>
                <w:rFonts w:ascii="Arial" w:hAnsi="Arial" w:cs="Arial"/>
                <w:b/>
                <w:bCs/>
                <w:color w:val="000000"/>
                <w:sz w:val="22"/>
                <w:szCs w:val="22"/>
                <w:lang w:eastAsia="en-GB"/>
              </w:rPr>
              <w:t>OTAL</w:t>
            </w:r>
          </w:p>
        </w:tc>
        <w:tc>
          <w:tcPr>
            <w:tcW w:w="1107" w:type="dxa"/>
            <w:hideMark/>
          </w:tcPr>
          <w:p w14:paraId="7BA4FC81"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cs="Arial"/>
                <w:b/>
                <w:bCs/>
                <w:color w:val="000000"/>
                <w:sz w:val="22"/>
                <w:szCs w:val="22"/>
                <w:lang w:eastAsia="en-GB"/>
              </w:rPr>
              <w:t>44.207</w:t>
            </w:r>
          </w:p>
        </w:tc>
        <w:tc>
          <w:tcPr>
            <w:tcW w:w="1360" w:type="dxa"/>
            <w:hideMark/>
          </w:tcPr>
          <w:p w14:paraId="0377D934" w14:textId="77777777" w:rsidR="00414259" w:rsidRPr="00414259" w:rsidRDefault="00414259" w:rsidP="00A41C54">
            <w:pPr>
              <w:jc w:val="right"/>
              <w:rPr>
                <w:rFonts w:ascii="Arial" w:hAnsi="Arial" w:cs="Arial"/>
                <w:b/>
                <w:bCs/>
                <w:color w:val="000000"/>
                <w:sz w:val="22"/>
                <w:szCs w:val="22"/>
                <w:lang w:eastAsia="en-GB"/>
              </w:rPr>
            </w:pPr>
            <w:r w:rsidRPr="00414259">
              <w:rPr>
                <w:rFonts w:ascii="Arial" w:hAnsi="Arial" w:cs="Arial"/>
                <w:b/>
                <w:bCs/>
                <w:color w:val="000000"/>
                <w:sz w:val="22"/>
                <w:szCs w:val="22"/>
                <w:lang w:eastAsia="en-GB"/>
              </w:rPr>
              <w:t>2</w:t>
            </w:r>
            <w:r w:rsidR="00A41C54">
              <w:rPr>
                <w:rFonts w:ascii="Arial" w:hAnsi="Arial" w:cs="Arial"/>
                <w:b/>
                <w:bCs/>
                <w:color w:val="000000"/>
                <w:sz w:val="22"/>
                <w:szCs w:val="22"/>
                <w:lang w:eastAsia="en-GB"/>
              </w:rPr>
              <w:t>0.098</w:t>
            </w:r>
          </w:p>
        </w:tc>
        <w:tc>
          <w:tcPr>
            <w:tcW w:w="1502" w:type="dxa"/>
            <w:hideMark/>
          </w:tcPr>
          <w:p w14:paraId="27D44894"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cs="Arial"/>
                <w:b/>
                <w:bCs/>
                <w:color w:val="000000"/>
                <w:sz w:val="22"/>
                <w:szCs w:val="22"/>
                <w:lang w:eastAsia="en-GB"/>
              </w:rPr>
              <w:t>46.813</w:t>
            </w:r>
          </w:p>
        </w:tc>
        <w:tc>
          <w:tcPr>
            <w:tcW w:w="1559" w:type="dxa"/>
            <w:hideMark/>
          </w:tcPr>
          <w:p w14:paraId="15F12172"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cs="Arial"/>
                <w:b/>
                <w:bCs/>
                <w:color w:val="000000"/>
                <w:sz w:val="22"/>
                <w:szCs w:val="22"/>
                <w:lang w:eastAsia="en-GB"/>
              </w:rPr>
              <w:t>2.606</w:t>
            </w:r>
          </w:p>
        </w:tc>
      </w:tr>
    </w:tbl>
    <w:p w14:paraId="42012F3D" w14:textId="77777777" w:rsidR="001068C9" w:rsidRDefault="001068C9" w:rsidP="001068C9">
      <w:pPr>
        <w:pStyle w:val="Heading3"/>
        <w:numPr>
          <w:ilvl w:val="0"/>
          <w:numId w:val="0"/>
        </w:numPr>
        <w:ind w:left="720"/>
        <w:rPr>
          <w:b w:val="0"/>
        </w:rPr>
      </w:pPr>
    </w:p>
    <w:p w14:paraId="427E0B4E" w14:textId="77777777" w:rsidR="00110DA2" w:rsidRPr="00110DA2" w:rsidRDefault="00110DA2" w:rsidP="00273B7E">
      <w:pPr>
        <w:jc w:val="both"/>
      </w:pPr>
    </w:p>
    <w:p w14:paraId="7884887F" w14:textId="77777777" w:rsidR="001068C9" w:rsidRPr="001068C9" w:rsidRDefault="001068C9" w:rsidP="00273B7E">
      <w:pPr>
        <w:pStyle w:val="ListParagraph"/>
        <w:keepNext/>
        <w:numPr>
          <w:ilvl w:val="0"/>
          <w:numId w:val="38"/>
        </w:numPr>
        <w:tabs>
          <w:tab w:val="left" w:pos="720"/>
          <w:tab w:val="left" w:pos="1440"/>
        </w:tabs>
        <w:jc w:val="both"/>
        <w:outlineLvl w:val="0"/>
        <w:rPr>
          <w:rFonts w:ascii="Arial" w:hAnsi="Arial"/>
          <w:vanish/>
          <w:sz w:val="24"/>
        </w:rPr>
      </w:pPr>
    </w:p>
    <w:p w14:paraId="0F757630" w14:textId="77777777" w:rsidR="001068C9" w:rsidRPr="001068C9" w:rsidRDefault="001068C9" w:rsidP="00273B7E">
      <w:pPr>
        <w:pStyle w:val="ListParagraph"/>
        <w:keepNext/>
        <w:numPr>
          <w:ilvl w:val="0"/>
          <w:numId w:val="38"/>
        </w:numPr>
        <w:tabs>
          <w:tab w:val="left" w:pos="720"/>
          <w:tab w:val="left" w:pos="1440"/>
        </w:tabs>
        <w:jc w:val="both"/>
        <w:outlineLvl w:val="0"/>
        <w:rPr>
          <w:rFonts w:ascii="Arial" w:hAnsi="Arial"/>
          <w:vanish/>
          <w:sz w:val="24"/>
        </w:rPr>
      </w:pPr>
    </w:p>
    <w:p w14:paraId="2843C144" w14:textId="77777777" w:rsidR="001068C9" w:rsidRPr="001068C9" w:rsidRDefault="001068C9" w:rsidP="00273B7E">
      <w:pPr>
        <w:pStyle w:val="ListParagraph"/>
        <w:keepNext/>
        <w:numPr>
          <w:ilvl w:val="1"/>
          <w:numId w:val="38"/>
        </w:numPr>
        <w:tabs>
          <w:tab w:val="left" w:pos="720"/>
          <w:tab w:val="left" w:pos="1440"/>
        </w:tabs>
        <w:jc w:val="both"/>
        <w:outlineLvl w:val="1"/>
        <w:rPr>
          <w:rFonts w:ascii="Arial" w:hAnsi="Arial"/>
          <w:b/>
          <w:vanish/>
          <w:sz w:val="24"/>
          <w:u w:val="single"/>
        </w:rPr>
      </w:pPr>
    </w:p>
    <w:p w14:paraId="4A5A1F86" w14:textId="77777777" w:rsidR="001068C9" w:rsidRPr="001068C9" w:rsidRDefault="001068C9" w:rsidP="00273B7E">
      <w:pPr>
        <w:pStyle w:val="ListParagraph"/>
        <w:keepNext/>
        <w:numPr>
          <w:ilvl w:val="1"/>
          <w:numId w:val="38"/>
        </w:numPr>
        <w:tabs>
          <w:tab w:val="left" w:pos="720"/>
          <w:tab w:val="left" w:pos="1440"/>
        </w:tabs>
        <w:jc w:val="both"/>
        <w:outlineLvl w:val="1"/>
        <w:rPr>
          <w:rFonts w:ascii="Arial" w:hAnsi="Arial"/>
          <w:b/>
          <w:vanish/>
          <w:sz w:val="24"/>
          <w:u w:val="single"/>
        </w:rPr>
      </w:pPr>
    </w:p>
    <w:p w14:paraId="7E783F01" w14:textId="77777777" w:rsidR="001068C9" w:rsidRPr="001068C9" w:rsidRDefault="001068C9" w:rsidP="00273B7E">
      <w:pPr>
        <w:pStyle w:val="ListParagraph"/>
        <w:keepNext/>
        <w:numPr>
          <w:ilvl w:val="1"/>
          <w:numId w:val="38"/>
        </w:numPr>
        <w:tabs>
          <w:tab w:val="left" w:pos="720"/>
          <w:tab w:val="left" w:pos="1440"/>
        </w:tabs>
        <w:jc w:val="both"/>
        <w:outlineLvl w:val="1"/>
        <w:rPr>
          <w:rFonts w:ascii="Arial" w:hAnsi="Arial"/>
          <w:b/>
          <w:vanish/>
          <w:sz w:val="24"/>
          <w:u w:val="single"/>
        </w:rPr>
      </w:pPr>
    </w:p>
    <w:p w14:paraId="6615F5B5" w14:textId="3DB015A8" w:rsidR="001068C9" w:rsidRDefault="000F22EB" w:rsidP="00273B7E">
      <w:pPr>
        <w:pStyle w:val="Heading3"/>
        <w:jc w:val="both"/>
        <w:rPr>
          <w:rFonts w:ascii="Arial" w:hAnsi="Arial" w:cs="Arial"/>
          <w:b w:val="0"/>
          <w:sz w:val="22"/>
          <w:szCs w:val="22"/>
        </w:rPr>
      </w:pPr>
      <w:r>
        <w:rPr>
          <w:rFonts w:ascii="Arial" w:hAnsi="Arial" w:cs="Arial"/>
          <w:b w:val="0"/>
          <w:sz w:val="22"/>
          <w:szCs w:val="22"/>
        </w:rPr>
        <w:t xml:space="preserve">There has </w:t>
      </w:r>
      <w:r w:rsidR="001068C9" w:rsidRPr="001068C9">
        <w:rPr>
          <w:rFonts w:ascii="Arial" w:hAnsi="Arial" w:cs="Arial"/>
          <w:b w:val="0"/>
          <w:sz w:val="22"/>
          <w:szCs w:val="22"/>
        </w:rPr>
        <w:t>been a significant growth in demand for Education Health and Care Plans (EHCPs) and in the complexity and cost of SEN provision across the whole age range. This growth mirrors the national position and pressure is expected to inc</w:t>
      </w:r>
      <w:r w:rsidR="00D033C8">
        <w:rPr>
          <w:rFonts w:ascii="Arial" w:hAnsi="Arial" w:cs="Arial"/>
          <w:b w:val="0"/>
          <w:sz w:val="22"/>
          <w:szCs w:val="22"/>
        </w:rPr>
        <w:t>rease further with a projected 2</w:t>
      </w:r>
      <w:r w:rsidR="001068C9" w:rsidRPr="001068C9">
        <w:rPr>
          <w:rFonts w:ascii="Arial" w:hAnsi="Arial" w:cs="Arial"/>
          <w:b w:val="0"/>
          <w:sz w:val="22"/>
          <w:szCs w:val="22"/>
        </w:rPr>
        <w:t>8</w:t>
      </w:r>
      <w:r w:rsidR="005A4663">
        <w:rPr>
          <w:rFonts w:ascii="Arial" w:hAnsi="Arial" w:cs="Arial"/>
          <w:b w:val="0"/>
          <w:sz w:val="22"/>
          <w:szCs w:val="22"/>
        </w:rPr>
        <w:t xml:space="preserve"> per cent</w:t>
      </w:r>
      <w:r w:rsidR="001068C9" w:rsidRPr="001068C9">
        <w:rPr>
          <w:rFonts w:ascii="Arial" w:hAnsi="Arial" w:cs="Arial"/>
          <w:b w:val="0"/>
          <w:sz w:val="22"/>
          <w:szCs w:val="22"/>
        </w:rPr>
        <w:t xml:space="preserve"> increase in Plans over the next 10 years. </w:t>
      </w:r>
    </w:p>
    <w:p w14:paraId="738013C4" w14:textId="77777777" w:rsidR="001068C9" w:rsidRPr="001068C9" w:rsidRDefault="001068C9" w:rsidP="00273B7E">
      <w:pPr>
        <w:jc w:val="both"/>
      </w:pPr>
    </w:p>
    <w:p w14:paraId="13833F71" w14:textId="77777777" w:rsidR="001068C9" w:rsidRDefault="001068C9" w:rsidP="00273B7E">
      <w:pPr>
        <w:pStyle w:val="Heading3"/>
        <w:jc w:val="both"/>
        <w:rPr>
          <w:rFonts w:ascii="Arial" w:hAnsi="Arial" w:cs="Arial"/>
          <w:b w:val="0"/>
          <w:sz w:val="22"/>
          <w:szCs w:val="22"/>
        </w:rPr>
      </w:pPr>
      <w:r w:rsidRPr="001068C9">
        <w:rPr>
          <w:rFonts w:ascii="Arial" w:hAnsi="Arial" w:cs="Arial"/>
          <w:b w:val="0"/>
          <w:sz w:val="22"/>
          <w:szCs w:val="22"/>
        </w:rPr>
        <w:t>The pressure on the Block has intensified since national changes increased the responsibilities of the HNB in early years and in further education for the 19-25 age-group. The increase in top-up funding for the latter group is projected to rise year on year.</w:t>
      </w:r>
    </w:p>
    <w:p w14:paraId="2D2581A2" w14:textId="77777777" w:rsidR="00A012D9" w:rsidRPr="00A012D9" w:rsidRDefault="00A012D9" w:rsidP="00273B7E">
      <w:pPr>
        <w:jc w:val="both"/>
      </w:pPr>
    </w:p>
    <w:p w14:paraId="12EAE471" w14:textId="77777777" w:rsidR="001068C9" w:rsidRDefault="001068C9" w:rsidP="00273B7E">
      <w:pPr>
        <w:pStyle w:val="Heading3"/>
        <w:jc w:val="both"/>
        <w:rPr>
          <w:rFonts w:ascii="Arial" w:hAnsi="Arial" w:cs="Arial"/>
          <w:b w:val="0"/>
          <w:sz w:val="22"/>
          <w:szCs w:val="22"/>
        </w:rPr>
      </w:pPr>
      <w:r w:rsidRPr="001068C9">
        <w:rPr>
          <w:rFonts w:ascii="Arial" w:hAnsi="Arial" w:cs="Arial"/>
          <w:b w:val="0"/>
          <w:sz w:val="22"/>
          <w:szCs w:val="22"/>
        </w:rPr>
        <w:t>There has also been increased pressure for schools to be more inclusive as parental choice has led to more pupils entering mainstream settings. This has fuelled costs related to Provision/Placement During Assessment (PDA) and requests for backdated support. This is compounded by a lack of capacity within mainstream settings to provide a graduated response to additional needs before turning to a statutory process and a banding system that is inflexible and not nuanced enough to provide interim support at the point of need.</w:t>
      </w:r>
    </w:p>
    <w:p w14:paraId="584A8C8E" w14:textId="77777777" w:rsidR="00A012D9" w:rsidRPr="00A012D9" w:rsidRDefault="00A012D9" w:rsidP="00273B7E">
      <w:pPr>
        <w:jc w:val="both"/>
      </w:pPr>
    </w:p>
    <w:p w14:paraId="3EFF04B2" w14:textId="77777777" w:rsidR="001068C9" w:rsidRDefault="001068C9" w:rsidP="00273B7E">
      <w:pPr>
        <w:pStyle w:val="Heading3"/>
        <w:jc w:val="both"/>
        <w:rPr>
          <w:rFonts w:ascii="Arial" w:hAnsi="Arial" w:cs="Arial"/>
          <w:b w:val="0"/>
          <w:sz w:val="22"/>
          <w:szCs w:val="22"/>
        </w:rPr>
      </w:pPr>
      <w:r w:rsidRPr="001068C9">
        <w:rPr>
          <w:rFonts w:ascii="Arial" w:hAnsi="Arial" w:cs="Arial"/>
          <w:b w:val="0"/>
          <w:sz w:val="22"/>
          <w:szCs w:val="22"/>
        </w:rPr>
        <w:t>There is an increasing budgetary pressure in respect of pupils with Social, Emotional and Mental Health (SEMH). Included within this are those with complex needs that often result in challenging and extreme behaviours involving services such as Social Care and Health. Intervention may require expensive specialist provision.</w:t>
      </w:r>
    </w:p>
    <w:p w14:paraId="5863E3B9" w14:textId="77777777" w:rsidR="00A012D9" w:rsidRPr="00A012D9" w:rsidRDefault="00A012D9" w:rsidP="00A012D9"/>
    <w:p w14:paraId="0B241FDB" w14:textId="77777777" w:rsidR="001068C9" w:rsidRPr="001068C9" w:rsidRDefault="001068C9" w:rsidP="001068C9">
      <w:pPr>
        <w:pStyle w:val="Heading3"/>
        <w:rPr>
          <w:rFonts w:ascii="Arial" w:hAnsi="Arial" w:cs="Arial"/>
          <w:b w:val="0"/>
          <w:sz w:val="22"/>
          <w:szCs w:val="22"/>
        </w:rPr>
      </w:pPr>
      <w:r w:rsidRPr="001068C9">
        <w:rPr>
          <w:rFonts w:ascii="Arial" w:hAnsi="Arial" w:cs="Arial"/>
          <w:b w:val="0"/>
          <w:sz w:val="22"/>
          <w:szCs w:val="22"/>
        </w:rPr>
        <w:lastRenderedPageBreak/>
        <w:t>Action taken to address the pressures includes increasing in-borough provision and developing the Special Educational Need and Disability Strategy. The latter has the following four strategic priorities:</w:t>
      </w:r>
    </w:p>
    <w:p w14:paraId="03E6BA67" w14:textId="77777777" w:rsidR="001068C9" w:rsidRPr="001068C9" w:rsidRDefault="001068C9" w:rsidP="001068C9">
      <w:pPr>
        <w:rPr>
          <w:rFonts w:ascii="Arial" w:hAnsi="Arial" w:cs="Arial"/>
          <w:sz w:val="22"/>
          <w:szCs w:val="22"/>
        </w:rPr>
      </w:pPr>
    </w:p>
    <w:p w14:paraId="4589AA7B" w14:textId="77777777" w:rsidR="001068C9" w:rsidRPr="00B142BC" w:rsidRDefault="001068C9" w:rsidP="001068C9">
      <w:pPr>
        <w:spacing w:before="60" w:after="60"/>
        <w:ind w:firstLine="709"/>
        <w:jc w:val="both"/>
        <w:rPr>
          <w:rFonts w:ascii="Arial" w:hAnsi="Arial"/>
          <w:sz w:val="22"/>
          <w:szCs w:val="22"/>
        </w:rPr>
      </w:pPr>
      <w:r w:rsidRPr="00B142BC">
        <w:rPr>
          <w:rFonts w:ascii="Arial" w:hAnsi="Arial"/>
          <w:sz w:val="22"/>
          <w:szCs w:val="22"/>
        </w:rPr>
        <w:t>Strategic Priority 1:</w:t>
      </w:r>
    </w:p>
    <w:p w14:paraId="4D5DF8D7" w14:textId="77777777" w:rsidR="001068C9" w:rsidRDefault="001068C9" w:rsidP="001068C9">
      <w:pPr>
        <w:tabs>
          <w:tab w:val="left" w:pos="709"/>
        </w:tabs>
        <w:spacing w:before="60" w:after="60"/>
        <w:ind w:left="815"/>
        <w:jc w:val="both"/>
        <w:rPr>
          <w:rFonts w:ascii="Arial" w:hAnsi="Arial"/>
          <w:sz w:val="22"/>
          <w:szCs w:val="22"/>
        </w:rPr>
      </w:pPr>
      <w:r>
        <w:rPr>
          <w:rFonts w:ascii="Arial" w:hAnsi="Arial"/>
          <w:sz w:val="22"/>
          <w:szCs w:val="22"/>
        </w:rPr>
        <w:tab/>
      </w:r>
      <w:r w:rsidRPr="00B142BC">
        <w:rPr>
          <w:rFonts w:ascii="Arial" w:hAnsi="Arial"/>
          <w:sz w:val="22"/>
          <w:szCs w:val="22"/>
        </w:rPr>
        <w:t>Review in-borough specialist provision in the context of a changing</w:t>
      </w:r>
      <w:r>
        <w:rPr>
          <w:rFonts w:ascii="Arial" w:hAnsi="Arial"/>
          <w:sz w:val="22"/>
          <w:szCs w:val="22"/>
        </w:rPr>
        <w:t xml:space="preserve"> </w:t>
      </w:r>
      <w:r>
        <w:rPr>
          <w:rFonts w:ascii="Arial" w:hAnsi="Arial"/>
          <w:sz w:val="22"/>
          <w:szCs w:val="22"/>
        </w:rPr>
        <w:tab/>
      </w:r>
      <w:r w:rsidRPr="00B142BC">
        <w:rPr>
          <w:rFonts w:ascii="Arial" w:hAnsi="Arial"/>
          <w:sz w:val="22"/>
          <w:szCs w:val="22"/>
        </w:rPr>
        <w:t>demographic profile, pre-school, school and college organisational</w:t>
      </w:r>
      <w:r>
        <w:rPr>
          <w:rFonts w:ascii="Arial" w:hAnsi="Arial"/>
          <w:sz w:val="22"/>
          <w:szCs w:val="22"/>
        </w:rPr>
        <w:t xml:space="preserve"> </w:t>
      </w:r>
      <w:r>
        <w:rPr>
          <w:rFonts w:ascii="Arial" w:hAnsi="Arial"/>
          <w:sz w:val="22"/>
          <w:szCs w:val="22"/>
        </w:rPr>
        <w:tab/>
      </w:r>
      <w:r w:rsidRPr="00B142BC">
        <w:rPr>
          <w:rFonts w:ascii="Arial" w:hAnsi="Arial"/>
          <w:sz w:val="22"/>
          <w:szCs w:val="22"/>
        </w:rPr>
        <w:t>changes and other developments.</w:t>
      </w:r>
    </w:p>
    <w:p w14:paraId="292026E0" w14:textId="77777777" w:rsidR="001068C9" w:rsidRPr="00B142BC" w:rsidRDefault="001068C9" w:rsidP="001068C9">
      <w:pPr>
        <w:spacing w:before="60" w:after="60"/>
        <w:ind w:firstLine="720"/>
        <w:jc w:val="both"/>
        <w:rPr>
          <w:rFonts w:ascii="Arial" w:hAnsi="Arial"/>
          <w:sz w:val="22"/>
          <w:szCs w:val="22"/>
        </w:rPr>
      </w:pPr>
      <w:r w:rsidRPr="00B142BC">
        <w:rPr>
          <w:rFonts w:ascii="Arial" w:hAnsi="Arial"/>
          <w:sz w:val="22"/>
          <w:szCs w:val="22"/>
        </w:rPr>
        <w:t>Strategic Priority 2:</w:t>
      </w:r>
    </w:p>
    <w:p w14:paraId="51801FE3" w14:textId="77777777" w:rsidR="001068C9" w:rsidRPr="00B142BC" w:rsidRDefault="001068C9" w:rsidP="001068C9">
      <w:pPr>
        <w:spacing w:before="60" w:after="60"/>
        <w:ind w:left="815"/>
        <w:jc w:val="both"/>
        <w:rPr>
          <w:rFonts w:ascii="Arial" w:hAnsi="Arial"/>
          <w:sz w:val="22"/>
          <w:szCs w:val="22"/>
        </w:rPr>
      </w:pPr>
      <w:r>
        <w:rPr>
          <w:rFonts w:ascii="Arial" w:hAnsi="Arial"/>
          <w:sz w:val="22"/>
          <w:szCs w:val="22"/>
        </w:rPr>
        <w:tab/>
      </w:r>
      <w:r w:rsidRPr="00B142BC">
        <w:rPr>
          <w:rFonts w:ascii="Arial" w:hAnsi="Arial"/>
          <w:sz w:val="22"/>
          <w:szCs w:val="22"/>
        </w:rPr>
        <w:t xml:space="preserve">Review current provision and need for children, young people and </w:t>
      </w:r>
      <w:r>
        <w:rPr>
          <w:rFonts w:ascii="Arial" w:hAnsi="Arial"/>
          <w:sz w:val="22"/>
          <w:szCs w:val="22"/>
        </w:rPr>
        <w:tab/>
      </w:r>
      <w:r w:rsidRPr="00B142BC">
        <w:rPr>
          <w:rFonts w:ascii="Arial" w:hAnsi="Arial"/>
          <w:sz w:val="22"/>
          <w:szCs w:val="22"/>
        </w:rPr>
        <w:t>young</w:t>
      </w:r>
      <w:r>
        <w:rPr>
          <w:rFonts w:ascii="Arial" w:hAnsi="Arial"/>
          <w:sz w:val="22"/>
          <w:szCs w:val="22"/>
        </w:rPr>
        <w:tab/>
      </w:r>
      <w:r w:rsidRPr="00B142BC">
        <w:rPr>
          <w:rFonts w:ascii="Arial" w:hAnsi="Arial"/>
          <w:sz w:val="22"/>
          <w:szCs w:val="22"/>
        </w:rPr>
        <w:t xml:space="preserve">adults with social, behaviour and mental health needs to ensure </w:t>
      </w:r>
      <w:r>
        <w:rPr>
          <w:rFonts w:ascii="Arial" w:hAnsi="Arial"/>
          <w:sz w:val="22"/>
          <w:szCs w:val="22"/>
        </w:rPr>
        <w:tab/>
      </w:r>
      <w:r w:rsidRPr="00B142BC">
        <w:rPr>
          <w:rFonts w:ascii="Arial" w:hAnsi="Arial"/>
          <w:sz w:val="22"/>
          <w:szCs w:val="22"/>
        </w:rPr>
        <w:t>continuum</w:t>
      </w:r>
      <w:r>
        <w:rPr>
          <w:rFonts w:ascii="Arial" w:hAnsi="Arial"/>
          <w:sz w:val="22"/>
          <w:szCs w:val="22"/>
        </w:rPr>
        <w:t xml:space="preserve"> </w:t>
      </w:r>
      <w:r w:rsidRPr="00B142BC">
        <w:rPr>
          <w:rFonts w:ascii="Arial" w:hAnsi="Arial"/>
          <w:sz w:val="22"/>
          <w:szCs w:val="22"/>
        </w:rPr>
        <w:t>of provision and support. (Previously SEBD)</w:t>
      </w:r>
    </w:p>
    <w:p w14:paraId="3B54305D" w14:textId="77777777" w:rsidR="001068C9" w:rsidRPr="00B142BC" w:rsidRDefault="001068C9" w:rsidP="001068C9">
      <w:pPr>
        <w:spacing w:before="60" w:after="60"/>
        <w:ind w:firstLine="720"/>
        <w:jc w:val="both"/>
        <w:rPr>
          <w:rFonts w:ascii="Arial" w:hAnsi="Arial"/>
          <w:sz w:val="22"/>
          <w:szCs w:val="22"/>
        </w:rPr>
      </w:pPr>
      <w:r w:rsidRPr="00B142BC">
        <w:rPr>
          <w:rFonts w:ascii="Arial" w:hAnsi="Arial"/>
          <w:sz w:val="22"/>
          <w:szCs w:val="22"/>
        </w:rPr>
        <w:t>Strategic Priority 3:</w:t>
      </w:r>
    </w:p>
    <w:p w14:paraId="27D04504" w14:textId="77777777" w:rsidR="001068C9" w:rsidRPr="00B142BC" w:rsidRDefault="001068C9" w:rsidP="001068C9">
      <w:pPr>
        <w:spacing w:before="60" w:after="60"/>
        <w:ind w:left="815"/>
        <w:jc w:val="both"/>
        <w:rPr>
          <w:rFonts w:ascii="Arial" w:hAnsi="Arial"/>
          <w:sz w:val="22"/>
          <w:szCs w:val="22"/>
        </w:rPr>
      </w:pPr>
      <w:r>
        <w:rPr>
          <w:rFonts w:ascii="Arial" w:hAnsi="Arial"/>
          <w:sz w:val="22"/>
          <w:szCs w:val="22"/>
        </w:rPr>
        <w:tab/>
      </w:r>
      <w:r w:rsidRPr="00B142BC">
        <w:rPr>
          <w:rFonts w:ascii="Arial" w:hAnsi="Arial"/>
          <w:sz w:val="22"/>
          <w:szCs w:val="22"/>
        </w:rPr>
        <w:t xml:space="preserve">Improve local education and social care opportunities for post-16 and </w:t>
      </w:r>
      <w:r>
        <w:rPr>
          <w:rFonts w:ascii="Arial" w:hAnsi="Arial"/>
          <w:sz w:val="22"/>
          <w:szCs w:val="22"/>
        </w:rPr>
        <w:tab/>
      </w:r>
      <w:r w:rsidRPr="00B142BC">
        <w:rPr>
          <w:rFonts w:ascii="Arial" w:hAnsi="Arial"/>
          <w:sz w:val="22"/>
          <w:szCs w:val="22"/>
        </w:rPr>
        <w:t>post</w:t>
      </w:r>
      <w:r>
        <w:rPr>
          <w:rFonts w:ascii="Arial" w:hAnsi="Arial"/>
          <w:sz w:val="22"/>
          <w:szCs w:val="22"/>
        </w:rPr>
        <w:t xml:space="preserve"> </w:t>
      </w:r>
      <w:r w:rsidRPr="00B142BC">
        <w:rPr>
          <w:rFonts w:ascii="Arial" w:hAnsi="Arial"/>
          <w:sz w:val="22"/>
          <w:szCs w:val="22"/>
        </w:rPr>
        <w:t xml:space="preserve">18 provision working in partnership with other agencies including </w:t>
      </w:r>
      <w:r>
        <w:rPr>
          <w:rFonts w:ascii="Arial" w:hAnsi="Arial"/>
          <w:sz w:val="22"/>
          <w:szCs w:val="22"/>
        </w:rPr>
        <w:tab/>
      </w:r>
      <w:r w:rsidRPr="00B142BC">
        <w:rPr>
          <w:rFonts w:ascii="Arial" w:hAnsi="Arial"/>
          <w:sz w:val="22"/>
          <w:szCs w:val="22"/>
        </w:rPr>
        <w:t>colleges</w:t>
      </w:r>
      <w:r>
        <w:rPr>
          <w:rFonts w:ascii="Arial" w:hAnsi="Arial"/>
          <w:sz w:val="22"/>
          <w:szCs w:val="22"/>
        </w:rPr>
        <w:t xml:space="preserve"> </w:t>
      </w:r>
      <w:r w:rsidRPr="00B142BC">
        <w:rPr>
          <w:rFonts w:ascii="Arial" w:hAnsi="Arial"/>
          <w:sz w:val="22"/>
          <w:szCs w:val="22"/>
        </w:rPr>
        <w:t>and voluntary sector.</w:t>
      </w:r>
    </w:p>
    <w:p w14:paraId="7BF46D23" w14:textId="77777777" w:rsidR="001068C9" w:rsidRPr="00B142BC" w:rsidRDefault="001068C9" w:rsidP="001068C9">
      <w:pPr>
        <w:spacing w:before="60" w:after="60"/>
        <w:ind w:firstLine="720"/>
        <w:jc w:val="both"/>
        <w:rPr>
          <w:rFonts w:ascii="Arial" w:hAnsi="Arial"/>
          <w:sz w:val="22"/>
          <w:szCs w:val="22"/>
        </w:rPr>
      </w:pPr>
      <w:r w:rsidRPr="00B142BC">
        <w:rPr>
          <w:rFonts w:ascii="Arial" w:hAnsi="Arial"/>
          <w:sz w:val="22"/>
          <w:szCs w:val="22"/>
        </w:rPr>
        <w:t>Strategic Priority 4:</w:t>
      </w:r>
    </w:p>
    <w:p w14:paraId="6B0BCAE1" w14:textId="77777777" w:rsidR="001068C9" w:rsidRDefault="001068C9" w:rsidP="001068C9">
      <w:pPr>
        <w:spacing w:before="60" w:after="60"/>
        <w:ind w:left="815"/>
        <w:jc w:val="both"/>
        <w:rPr>
          <w:rFonts w:ascii="Arial" w:hAnsi="Arial"/>
          <w:sz w:val="22"/>
          <w:szCs w:val="22"/>
        </w:rPr>
      </w:pPr>
      <w:r>
        <w:rPr>
          <w:rFonts w:ascii="Arial" w:hAnsi="Arial"/>
          <w:sz w:val="22"/>
          <w:szCs w:val="22"/>
        </w:rPr>
        <w:tab/>
      </w:r>
      <w:r w:rsidRPr="00B142BC">
        <w:rPr>
          <w:rFonts w:ascii="Arial" w:hAnsi="Arial"/>
          <w:sz w:val="22"/>
          <w:szCs w:val="22"/>
        </w:rPr>
        <w:t>Improve outcomes for children and young people (0-25) with SEND and</w:t>
      </w:r>
      <w:r>
        <w:rPr>
          <w:rFonts w:ascii="Arial" w:hAnsi="Arial"/>
          <w:sz w:val="22"/>
          <w:szCs w:val="22"/>
        </w:rPr>
        <w:tab/>
      </w:r>
      <w:r w:rsidRPr="00B142BC">
        <w:rPr>
          <w:rFonts w:ascii="Arial" w:hAnsi="Arial"/>
          <w:sz w:val="22"/>
          <w:szCs w:val="22"/>
        </w:rPr>
        <w:t>ensure appropriate staff skilled and qualified in all provision.</w:t>
      </w:r>
    </w:p>
    <w:p w14:paraId="3E72FA9F" w14:textId="77777777" w:rsidR="00A012D9" w:rsidRDefault="00A012D9" w:rsidP="001068C9">
      <w:pPr>
        <w:spacing w:before="60" w:after="60"/>
        <w:ind w:left="815"/>
        <w:jc w:val="both"/>
        <w:rPr>
          <w:rFonts w:ascii="Arial" w:hAnsi="Arial"/>
          <w:sz w:val="22"/>
          <w:szCs w:val="22"/>
        </w:rPr>
      </w:pPr>
    </w:p>
    <w:p w14:paraId="5C057A5B" w14:textId="77777777" w:rsidR="00AC3AB0" w:rsidRPr="00AC3AB0" w:rsidRDefault="00AC3AB0" w:rsidP="00AC3AB0">
      <w:pPr>
        <w:numPr>
          <w:ilvl w:val="1"/>
          <w:numId w:val="4"/>
        </w:numPr>
        <w:tabs>
          <w:tab w:val="num" w:pos="709"/>
        </w:tabs>
        <w:spacing w:before="60" w:after="60"/>
        <w:ind w:left="709" w:hanging="596"/>
        <w:jc w:val="both"/>
        <w:rPr>
          <w:rFonts w:ascii="Arial" w:hAnsi="Arial"/>
          <w:b/>
          <w:sz w:val="22"/>
          <w:szCs w:val="22"/>
        </w:rPr>
      </w:pPr>
      <w:r>
        <w:rPr>
          <w:rFonts w:ascii="Arial" w:hAnsi="Arial"/>
          <w:b/>
          <w:sz w:val="22"/>
          <w:szCs w:val="22"/>
        </w:rPr>
        <w:t xml:space="preserve">Early Years Block. </w:t>
      </w:r>
      <w:r>
        <w:rPr>
          <w:rFonts w:ascii="Arial" w:hAnsi="Arial"/>
          <w:sz w:val="22"/>
          <w:szCs w:val="22"/>
        </w:rPr>
        <w:t xml:space="preserve">The current monitoring position is set out in Table 4 and </w:t>
      </w:r>
      <w:r w:rsidR="005543AC">
        <w:rPr>
          <w:rFonts w:ascii="Arial" w:hAnsi="Arial"/>
          <w:sz w:val="22"/>
          <w:szCs w:val="22"/>
        </w:rPr>
        <w:t xml:space="preserve">significant variances are </w:t>
      </w:r>
      <w:r>
        <w:rPr>
          <w:rFonts w:ascii="Arial" w:hAnsi="Arial"/>
          <w:sz w:val="22"/>
          <w:szCs w:val="22"/>
        </w:rPr>
        <w:t>explained in the following sections.</w:t>
      </w:r>
    </w:p>
    <w:p w14:paraId="5933D1AB" w14:textId="77777777" w:rsidR="00AC3AB0" w:rsidRPr="00AC3AB0" w:rsidRDefault="00AC3AB0" w:rsidP="00AC3AB0">
      <w:pPr>
        <w:spacing w:before="60" w:after="60"/>
        <w:ind w:left="709"/>
        <w:jc w:val="both"/>
        <w:rPr>
          <w:rFonts w:ascii="Arial" w:hAnsi="Arial"/>
          <w:b/>
          <w:sz w:val="22"/>
          <w:szCs w:val="22"/>
        </w:rPr>
      </w:pPr>
    </w:p>
    <w:p w14:paraId="33FF7A71" w14:textId="77777777" w:rsidR="0051010A" w:rsidRPr="00220BFA" w:rsidRDefault="00220BFA" w:rsidP="001A108D">
      <w:pPr>
        <w:spacing w:before="60" w:after="60"/>
        <w:ind w:left="113" w:firstLine="596"/>
        <w:jc w:val="both"/>
        <w:rPr>
          <w:rFonts w:ascii="Arial" w:hAnsi="Arial"/>
          <w:b/>
          <w:sz w:val="22"/>
          <w:szCs w:val="22"/>
        </w:rPr>
      </w:pPr>
      <w:r>
        <w:rPr>
          <w:rFonts w:ascii="Arial" w:hAnsi="Arial"/>
          <w:b/>
          <w:sz w:val="22"/>
          <w:szCs w:val="22"/>
        </w:rPr>
        <w:t>Table 4</w:t>
      </w:r>
      <w:r w:rsidRPr="00220BFA">
        <w:rPr>
          <w:rFonts w:ascii="Arial" w:hAnsi="Arial"/>
          <w:b/>
          <w:sz w:val="22"/>
          <w:szCs w:val="22"/>
        </w:rPr>
        <w:t>: Monitoring Summary for Early Years Block.</w:t>
      </w:r>
    </w:p>
    <w:tbl>
      <w:tblPr>
        <w:tblStyle w:val="TableGrid"/>
        <w:tblW w:w="7783" w:type="dxa"/>
        <w:tblLook w:val="04A0" w:firstRow="1" w:lastRow="0" w:firstColumn="1" w:lastColumn="0" w:noHBand="0" w:noVBand="1"/>
      </w:tblPr>
      <w:tblGrid>
        <w:gridCol w:w="2694"/>
        <w:gridCol w:w="1134"/>
        <w:gridCol w:w="1417"/>
        <w:gridCol w:w="1276"/>
        <w:gridCol w:w="1262"/>
      </w:tblGrid>
      <w:tr w:rsidR="00414259" w:rsidRPr="00414259" w14:paraId="4D996EB4" w14:textId="77777777" w:rsidTr="005679CA">
        <w:trPr>
          <w:trHeight w:val="564"/>
        </w:trPr>
        <w:tc>
          <w:tcPr>
            <w:tcW w:w="2694" w:type="dxa"/>
            <w:hideMark/>
          </w:tcPr>
          <w:p w14:paraId="6B091B69" w14:textId="77777777" w:rsidR="00414259" w:rsidRPr="00414259" w:rsidRDefault="00414259" w:rsidP="00414259">
            <w:pPr>
              <w:jc w:val="both"/>
              <w:rPr>
                <w:rFonts w:ascii="Arial" w:hAnsi="Arial" w:cs="Arial"/>
                <w:b/>
                <w:bCs/>
                <w:color w:val="000000"/>
                <w:sz w:val="22"/>
                <w:szCs w:val="22"/>
                <w:lang w:eastAsia="en-GB"/>
              </w:rPr>
            </w:pPr>
            <w:r w:rsidRPr="00414259">
              <w:rPr>
                <w:rFonts w:ascii="Arial" w:hAnsi="Arial" w:cs="Arial"/>
                <w:b/>
                <w:bCs/>
                <w:color w:val="000000"/>
                <w:sz w:val="22"/>
                <w:szCs w:val="22"/>
                <w:lang w:eastAsia="en-GB"/>
              </w:rPr>
              <w:t>Description</w:t>
            </w:r>
          </w:p>
        </w:tc>
        <w:tc>
          <w:tcPr>
            <w:tcW w:w="1134" w:type="dxa"/>
            <w:hideMark/>
          </w:tcPr>
          <w:p w14:paraId="576D8D98"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cs="Arial"/>
                <w:b/>
                <w:bCs/>
                <w:color w:val="000000"/>
                <w:sz w:val="22"/>
                <w:szCs w:val="22"/>
                <w:lang w:eastAsia="en-GB"/>
              </w:rPr>
              <w:t>Budget</w:t>
            </w:r>
          </w:p>
        </w:tc>
        <w:tc>
          <w:tcPr>
            <w:tcW w:w="1417" w:type="dxa"/>
            <w:hideMark/>
          </w:tcPr>
          <w:p w14:paraId="20DDE334"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cs="Arial"/>
                <w:b/>
                <w:bCs/>
                <w:color w:val="000000"/>
                <w:sz w:val="22"/>
                <w:szCs w:val="22"/>
                <w:lang w:eastAsia="en-GB"/>
              </w:rPr>
              <w:t>Spend to 31/8/18</w:t>
            </w:r>
          </w:p>
        </w:tc>
        <w:tc>
          <w:tcPr>
            <w:tcW w:w="1276" w:type="dxa"/>
            <w:hideMark/>
          </w:tcPr>
          <w:p w14:paraId="7B61F357"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cs="Arial"/>
                <w:b/>
                <w:bCs/>
                <w:color w:val="000000"/>
                <w:sz w:val="22"/>
                <w:szCs w:val="22"/>
                <w:lang w:eastAsia="en-GB"/>
              </w:rPr>
              <w:t>Projected Outturn</w:t>
            </w:r>
          </w:p>
        </w:tc>
        <w:tc>
          <w:tcPr>
            <w:tcW w:w="1262" w:type="dxa"/>
            <w:hideMark/>
          </w:tcPr>
          <w:p w14:paraId="77C14C4F"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cs="Arial"/>
                <w:b/>
                <w:bCs/>
                <w:color w:val="000000"/>
                <w:sz w:val="22"/>
                <w:szCs w:val="22"/>
                <w:lang w:eastAsia="en-GB"/>
              </w:rPr>
              <w:t>Variance</w:t>
            </w:r>
          </w:p>
        </w:tc>
      </w:tr>
      <w:tr w:rsidR="00414259" w:rsidRPr="00414259" w14:paraId="0F0A2B10" w14:textId="77777777" w:rsidTr="005679CA">
        <w:trPr>
          <w:trHeight w:val="300"/>
        </w:trPr>
        <w:tc>
          <w:tcPr>
            <w:tcW w:w="2694" w:type="dxa"/>
            <w:hideMark/>
          </w:tcPr>
          <w:p w14:paraId="1238E0E9"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134" w:type="dxa"/>
            <w:hideMark/>
          </w:tcPr>
          <w:p w14:paraId="2B19053D"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s="Arial"/>
                <w:color w:val="000000"/>
                <w:sz w:val="22"/>
                <w:szCs w:val="22"/>
                <w:lang w:eastAsia="en-GB"/>
              </w:rPr>
              <w:t>£m</w:t>
            </w:r>
          </w:p>
        </w:tc>
        <w:tc>
          <w:tcPr>
            <w:tcW w:w="1417" w:type="dxa"/>
            <w:hideMark/>
          </w:tcPr>
          <w:p w14:paraId="79EAD0A5"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s="Arial"/>
                <w:color w:val="000000"/>
                <w:sz w:val="22"/>
                <w:szCs w:val="22"/>
                <w:lang w:eastAsia="en-GB"/>
              </w:rPr>
              <w:t>£m</w:t>
            </w:r>
          </w:p>
        </w:tc>
        <w:tc>
          <w:tcPr>
            <w:tcW w:w="1276" w:type="dxa"/>
            <w:hideMark/>
          </w:tcPr>
          <w:p w14:paraId="405341D4"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s="Arial"/>
                <w:color w:val="000000"/>
                <w:sz w:val="22"/>
                <w:szCs w:val="22"/>
                <w:lang w:eastAsia="en-GB"/>
              </w:rPr>
              <w:t>£m</w:t>
            </w:r>
          </w:p>
        </w:tc>
        <w:tc>
          <w:tcPr>
            <w:tcW w:w="1262" w:type="dxa"/>
            <w:hideMark/>
          </w:tcPr>
          <w:p w14:paraId="55112D78"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s="Arial"/>
                <w:color w:val="000000"/>
                <w:sz w:val="22"/>
                <w:szCs w:val="22"/>
                <w:lang w:eastAsia="en-GB"/>
              </w:rPr>
              <w:t>£m</w:t>
            </w:r>
          </w:p>
        </w:tc>
      </w:tr>
      <w:tr w:rsidR="00414259" w:rsidRPr="00414259" w14:paraId="5A96B9E0" w14:textId="77777777" w:rsidTr="005679CA">
        <w:trPr>
          <w:trHeight w:val="300"/>
        </w:trPr>
        <w:tc>
          <w:tcPr>
            <w:tcW w:w="2694" w:type="dxa"/>
            <w:hideMark/>
          </w:tcPr>
          <w:p w14:paraId="1422CFD2"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3&amp;4 YO Universal</w:t>
            </w:r>
          </w:p>
        </w:tc>
        <w:tc>
          <w:tcPr>
            <w:tcW w:w="1134" w:type="dxa"/>
            <w:hideMark/>
          </w:tcPr>
          <w:p w14:paraId="168B57F3"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20.872</w:t>
            </w:r>
          </w:p>
        </w:tc>
        <w:tc>
          <w:tcPr>
            <w:tcW w:w="1417" w:type="dxa"/>
            <w:hideMark/>
          </w:tcPr>
          <w:p w14:paraId="7AB9C2A4"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9.031</w:t>
            </w:r>
          </w:p>
        </w:tc>
        <w:tc>
          <w:tcPr>
            <w:tcW w:w="1276" w:type="dxa"/>
            <w:hideMark/>
          </w:tcPr>
          <w:p w14:paraId="436D04B7"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21.673</w:t>
            </w:r>
          </w:p>
        </w:tc>
        <w:tc>
          <w:tcPr>
            <w:tcW w:w="1262" w:type="dxa"/>
            <w:hideMark/>
          </w:tcPr>
          <w:p w14:paraId="485AB32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0.801</w:t>
            </w:r>
          </w:p>
        </w:tc>
      </w:tr>
      <w:tr w:rsidR="00414259" w:rsidRPr="00414259" w14:paraId="6DFFEB83" w14:textId="77777777" w:rsidTr="005679CA">
        <w:trPr>
          <w:trHeight w:val="300"/>
        </w:trPr>
        <w:tc>
          <w:tcPr>
            <w:tcW w:w="2694" w:type="dxa"/>
            <w:hideMark/>
          </w:tcPr>
          <w:p w14:paraId="6365ABC0"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3&amp;4 YO Targeted</w:t>
            </w:r>
          </w:p>
        </w:tc>
        <w:tc>
          <w:tcPr>
            <w:tcW w:w="1134" w:type="dxa"/>
            <w:hideMark/>
          </w:tcPr>
          <w:p w14:paraId="4E7ADBBC"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3.252</w:t>
            </w:r>
          </w:p>
        </w:tc>
        <w:tc>
          <w:tcPr>
            <w:tcW w:w="1417" w:type="dxa"/>
            <w:hideMark/>
          </w:tcPr>
          <w:p w14:paraId="5A4CA638"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1.111</w:t>
            </w:r>
          </w:p>
        </w:tc>
        <w:tc>
          <w:tcPr>
            <w:tcW w:w="1276" w:type="dxa"/>
            <w:hideMark/>
          </w:tcPr>
          <w:p w14:paraId="499193E6"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2.664</w:t>
            </w:r>
          </w:p>
        </w:tc>
        <w:tc>
          <w:tcPr>
            <w:tcW w:w="1262" w:type="dxa"/>
            <w:hideMark/>
          </w:tcPr>
          <w:p w14:paraId="70E3CB6C"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-0.588</w:t>
            </w:r>
          </w:p>
        </w:tc>
      </w:tr>
      <w:tr w:rsidR="00414259" w:rsidRPr="00414259" w14:paraId="1EC0B650" w14:textId="77777777" w:rsidTr="005679CA">
        <w:trPr>
          <w:trHeight w:val="300"/>
        </w:trPr>
        <w:tc>
          <w:tcPr>
            <w:tcW w:w="2694" w:type="dxa"/>
            <w:hideMark/>
          </w:tcPr>
          <w:p w14:paraId="0DFAF568"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2 YO</w:t>
            </w:r>
          </w:p>
        </w:tc>
        <w:tc>
          <w:tcPr>
            <w:tcW w:w="1134" w:type="dxa"/>
            <w:hideMark/>
          </w:tcPr>
          <w:p w14:paraId="6FA55126"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3.212</w:t>
            </w:r>
          </w:p>
        </w:tc>
        <w:tc>
          <w:tcPr>
            <w:tcW w:w="1417" w:type="dxa"/>
            <w:hideMark/>
          </w:tcPr>
          <w:p w14:paraId="34270BC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1.322</w:t>
            </w:r>
          </w:p>
        </w:tc>
        <w:tc>
          <w:tcPr>
            <w:tcW w:w="1276" w:type="dxa"/>
            <w:hideMark/>
          </w:tcPr>
          <w:p w14:paraId="58FAA2C9"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3.173</w:t>
            </w:r>
          </w:p>
        </w:tc>
        <w:tc>
          <w:tcPr>
            <w:tcW w:w="1262" w:type="dxa"/>
            <w:hideMark/>
          </w:tcPr>
          <w:p w14:paraId="2243D14A"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-0.039</w:t>
            </w:r>
          </w:p>
        </w:tc>
      </w:tr>
      <w:tr w:rsidR="00414259" w:rsidRPr="00414259" w14:paraId="19492E12" w14:textId="77777777" w:rsidTr="005679CA">
        <w:trPr>
          <w:trHeight w:val="300"/>
        </w:trPr>
        <w:tc>
          <w:tcPr>
            <w:tcW w:w="2694" w:type="dxa"/>
            <w:hideMark/>
          </w:tcPr>
          <w:p w14:paraId="621ED7E7"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DAF</w:t>
            </w:r>
          </w:p>
        </w:tc>
        <w:tc>
          <w:tcPr>
            <w:tcW w:w="1134" w:type="dxa"/>
            <w:hideMark/>
          </w:tcPr>
          <w:p w14:paraId="544DA5A3"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0.095</w:t>
            </w:r>
          </w:p>
        </w:tc>
        <w:tc>
          <w:tcPr>
            <w:tcW w:w="1417" w:type="dxa"/>
            <w:hideMark/>
          </w:tcPr>
          <w:p w14:paraId="41D84D8F"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0.017</w:t>
            </w:r>
          </w:p>
        </w:tc>
        <w:tc>
          <w:tcPr>
            <w:tcW w:w="1276" w:type="dxa"/>
            <w:hideMark/>
          </w:tcPr>
          <w:p w14:paraId="22243DA5"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0.095</w:t>
            </w:r>
          </w:p>
        </w:tc>
        <w:tc>
          <w:tcPr>
            <w:tcW w:w="1262" w:type="dxa"/>
            <w:hideMark/>
          </w:tcPr>
          <w:p w14:paraId="635D9C7C"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0.000</w:t>
            </w:r>
          </w:p>
        </w:tc>
      </w:tr>
      <w:tr w:rsidR="00414259" w:rsidRPr="00414259" w14:paraId="7A7E3FF4" w14:textId="77777777" w:rsidTr="005679CA">
        <w:trPr>
          <w:trHeight w:val="300"/>
        </w:trPr>
        <w:tc>
          <w:tcPr>
            <w:tcW w:w="2694" w:type="dxa"/>
            <w:hideMark/>
          </w:tcPr>
          <w:p w14:paraId="27792708"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M. Nursery Supplement</w:t>
            </w:r>
          </w:p>
        </w:tc>
        <w:tc>
          <w:tcPr>
            <w:tcW w:w="1134" w:type="dxa"/>
            <w:hideMark/>
          </w:tcPr>
          <w:p w14:paraId="6DDB241D"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0.559</w:t>
            </w:r>
          </w:p>
        </w:tc>
        <w:tc>
          <w:tcPr>
            <w:tcW w:w="1417" w:type="dxa"/>
            <w:hideMark/>
          </w:tcPr>
          <w:p w14:paraId="0B054DF2"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0.301</w:t>
            </w:r>
          </w:p>
        </w:tc>
        <w:tc>
          <w:tcPr>
            <w:tcW w:w="1276" w:type="dxa"/>
            <w:hideMark/>
          </w:tcPr>
          <w:p w14:paraId="658BF57C"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0.722</w:t>
            </w:r>
          </w:p>
        </w:tc>
        <w:tc>
          <w:tcPr>
            <w:tcW w:w="1262" w:type="dxa"/>
            <w:hideMark/>
          </w:tcPr>
          <w:p w14:paraId="45557535"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0.163</w:t>
            </w:r>
          </w:p>
        </w:tc>
      </w:tr>
      <w:tr w:rsidR="00414259" w:rsidRPr="00414259" w14:paraId="05525D92" w14:textId="77777777" w:rsidTr="005679CA">
        <w:trPr>
          <w:trHeight w:val="300"/>
        </w:trPr>
        <w:tc>
          <w:tcPr>
            <w:tcW w:w="2694" w:type="dxa"/>
            <w:hideMark/>
          </w:tcPr>
          <w:p w14:paraId="58685B57"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Pupil Premium</w:t>
            </w:r>
          </w:p>
        </w:tc>
        <w:tc>
          <w:tcPr>
            <w:tcW w:w="1134" w:type="dxa"/>
            <w:hideMark/>
          </w:tcPr>
          <w:p w14:paraId="3685016E"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0.298</w:t>
            </w:r>
          </w:p>
        </w:tc>
        <w:tc>
          <w:tcPr>
            <w:tcW w:w="1417" w:type="dxa"/>
            <w:hideMark/>
          </w:tcPr>
          <w:p w14:paraId="2794B739"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0.124</w:t>
            </w:r>
          </w:p>
        </w:tc>
        <w:tc>
          <w:tcPr>
            <w:tcW w:w="1276" w:type="dxa"/>
            <w:hideMark/>
          </w:tcPr>
          <w:p w14:paraId="0F45CC84"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0.298</w:t>
            </w:r>
          </w:p>
        </w:tc>
        <w:tc>
          <w:tcPr>
            <w:tcW w:w="1262" w:type="dxa"/>
            <w:hideMark/>
          </w:tcPr>
          <w:p w14:paraId="03C3B062"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0.000</w:t>
            </w:r>
          </w:p>
        </w:tc>
      </w:tr>
      <w:tr w:rsidR="00414259" w:rsidRPr="00414259" w14:paraId="7D1D5AB1" w14:textId="77777777" w:rsidTr="005679CA">
        <w:trPr>
          <w:trHeight w:val="300"/>
        </w:trPr>
        <w:tc>
          <w:tcPr>
            <w:tcW w:w="2694" w:type="dxa"/>
            <w:hideMark/>
          </w:tcPr>
          <w:p w14:paraId="43DC65D5"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LADN</w:t>
            </w:r>
          </w:p>
        </w:tc>
        <w:tc>
          <w:tcPr>
            <w:tcW w:w="1134" w:type="dxa"/>
            <w:hideMark/>
          </w:tcPr>
          <w:p w14:paraId="793B7444"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0.271</w:t>
            </w:r>
          </w:p>
        </w:tc>
        <w:tc>
          <w:tcPr>
            <w:tcW w:w="1417" w:type="dxa"/>
            <w:hideMark/>
          </w:tcPr>
          <w:p w14:paraId="78E8576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w:t>
            </w:r>
          </w:p>
        </w:tc>
        <w:tc>
          <w:tcPr>
            <w:tcW w:w="1276" w:type="dxa"/>
            <w:hideMark/>
          </w:tcPr>
          <w:p w14:paraId="046CF5B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0.271</w:t>
            </w:r>
          </w:p>
        </w:tc>
        <w:tc>
          <w:tcPr>
            <w:tcW w:w="1262" w:type="dxa"/>
            <w:hideMark/>
          </w:tcPr>
          <w:p w14:paraId="631A257F"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0.000</w:t>
            </w:r>
          </w:p>
        </w:tc>
      </w:tr>
      <w:tr w:rsidR="00414259" w:rsidRPr="00414259" w14:paraId="16F76A17" w14:textId="77777777" w:rsidTr="005679CA">
        <w:trPr>
          <w:trHeight w:val="300"/>
        </w:trPr>
        <w:tc>
          <w:tcPr>
            <w:tcW w:w="2694" w:type="dxa"/>
            <w:hideMark/>
          </w:tcPr>
          <w:p w14:paraId="6A2D252B"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Other Centrally Retained</w:t>
            </w:r>
          </w:p>
        </w:tc>
        <w:tc>
          <w:tcPr>
            <w:tcW w:w="1134" w:type="dxa"/>
            <w:hideMark/>
          </w:tcPr>
          <w:p w14:paraId="60F7DFF9"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0.969</w:t>
            </w:r>
          </w:p>
        </w:tc>
        <w:tc>
          <w:tcPr>
            <w:tcW w:w="1417" w:type="dxa"/>
            <w:hideMark/>
          </w:tcPr>
          <w:p w14:paraId="20584F3E"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0.404</w:t>
            </w:r>
          </w:p>
        </w:tc>
        <w:tc>
          <w:tcPr>
            <w:tcW w:w="1276" w:type="dxa"/>
            <w:hideMark/>
          </w:tcPr>
          <w:p w14:paraId="76E4B3B2"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0.969</w:t>
            </w:r>
          </w:p>
        </w:tc>
        <w:tc>
          <w:tcPr>
            <w:tcW w:w="1262" w:type="dxa"/>
            <w:hideMark/>
          </w:tcPr>
          <w:p w14:paraId="3ECE9A04"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0.000</w:t>
            </w:r>
          </w:p>
        </w:tc>
      </w:tr>
      <w:tr w:rsidR="00414259" w:rsidRPr="00414259" w14:paraId="156FE675" w14:textId="77777777" w:rsidTr="005679CA">
        <w:trPr>
          <w:trHeight w:val="300"/>
        </w:trPr>
        <w:tc>
          <w:tcPr>
            <w:tcW w:w="2694" w:type="dxa"/>
            <w:hideMark/>
          </w:tcPr>
          <w:p w14:paraId="2CADB7A5" w14:textId="77777777" w:rsidR="00414259" w:rsidRPr="00414259" w:rsidRDefault="00414259" w:rsidP="00414259">
            <w:pPr>
              <w:jc w:val="both"/>
              <w:rPr>
                <w:rFonts w:ascii="Arial" w:hAnsi="Arial" w:cs="Arial"/>
                <w:b/>
                <w:bCs/>
                <w:color w:val="000000"/>
                <w:sz w:val="22"/>
                <w:szCs w:val="22"/>
                <w:lang w:eastAsia="en-GB"/>
              </w:rPr>
            </w:pPr>
            <w:r w:rsidRPr="00414259">
              <w:rPr>
                <w:rFonts w:ascii="Arial" w:hAnsi="Arial" w:cs="Arial"/>
                <w:b/>
                <w:bCs/>
                <w:color w:val="000000"/>
                <w:sz w:val="22"/>
                <w:szCs w:val="22"/>
                <w:lang w:eastAsia="en-GB"/>
              </w:rPr>
              <w:t>Total</w:t>
            </w:r>
          </w:p>
        </w:tc>
        <w:tc>
          <w:tcPr>
            <w:tcW w:w="1134" w:type="dxa"/>
            <w:hideMark/>
          </w:tcPr>
          <w:p w14:paraId="1F6AECC4"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cs="Arial"/>
                <w:b/>
                <w:bCs/>
                <w:color w:val="000000"/>
                <w:sz w:val="22"/>
                <w:szCs w:val="22"/>
                <w:lang w:eastAsia="en-GB"/>
              </w:rPr>
              <w:t>29.528</w:t>
            </w:r>
          </w:p>
        </w:tc>
        <w:tc>
          <w:tcPr>
            <w:tcW w:w="1417" w:type="dxa"/>
            <w:hideMark/>
          </w:tcPr>
          <w:p w14:paraId="6409DB0A"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cs="Arial"/>
                <w:b/>
                <w:bCs/>
                <w:color w:val="000000"/>
                <w:sz w:val="22"/>
                <w:szCs w:val="22"/>
                <w:lang w:eastAsia="en-GB"/>
              </w:rPr>
              <w:t>12.31</w:t>
            </w:r>
          </w:p>
        </w:tc>
        <w:tc>
          <w:tcPr>
            <w:tcW w:w="1276" w:type="dxa"/>
            <w:hideMark/>
          </w:tcPr>
          <w:p w14:paraId="6925058B"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cs="Arial"/>
                <w:b/>
                <w:bCs/>
                <w:color w:val="000000"/>
                <w:sz w:val="22"/>
                <w:szCs w:val="22"/>
                <w:lang w:eastAsia="en-GB"/>
              </w:rPr>
              <w:t>29.865</w:t>
            </w:r>
          </w:p>
        </w:tc>
        <w:tc>
          <w:tcPr>
            <w:tcW w:w="1262" w:type="dxa"/>
            <w:hideMark/>
          </w:tcPr>
          <w:p w14:paraId="4C528973"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cs="Arial"/>
                <w:b/>
                <w:bCs/>
                <w:color w:val="000000"/>
                <w:sz w:val="22"/>
                <w:szCs w:val="22"/>
                <w:lang w:eastAsia="en-GB"/>
              </w:rPr>
              <w:t>0.337</w:t>
            </w:r>
          </w:p>
        </w:tc>
      </w:tr>
    </w:tbl>
    <w:p w14:paraId="00E8DCA4" w14:textId="77777777" w:rsidR="001A108D" w:rsidRDefault="001A108D" w:rsidP="0051010A">
      <w:pPr>
        <w:tabs>
          <w:tab w:val="num" w:pos="815"/>
        </w:tabs>
        <w:spacing w:before="60" w:after="60"/>
        <w:ind w:left="709"/>
        <w:jc w:val="both"/>
        <w:rPr>
          <w:rFonts w:ascii="Arial" w:hAnsi="Arial"/>
          <w:sz w:val="22"/>
          <w:szCs w:val="22"/>
        </w:rPr>
      </w:pPr>
    </w:p>
    <w:p w14:paraId="006533A8" w14:textId="77777777" w:rsidR="00AC3AB0" w:rsidRPr="00AC3AB0" w:rsidRDefault="00AC3AB0" w:rsidP="00AC3AB0">
      <w:pPr>
        <w:pStyle w:val="ListParagraph"/>
        <w:keepNext/>
        <w:numPr>
          <w:ilvl w:val="1"/>
          <w:numId w:val="38"/>
        </w:numPr>
        <w:tabs>
          <w:tab w:val="left" w:pos="720"/>
          <w:tab w:val="left" w:pos="1440"/>
        </w:tabs>
        <w:outlineLvl w:val="1"/>
        <w:rPr>
          <w:rFonts w:ascii="Arial" w:hAnsi="Arial"/>
          <w:b/>
          <w:vanish/>
          <w:sz w:val="24"/>
          <w:u w:val="single"/>
        </w:rPr>
      </w:pPr>
    </w:p>
    <w:p w14:paraId="457B70B9" w14:textId="77777777" w:rsidR="007B1DA6" w:rsidRDefault="002966A3" w:rsidP="00A20AF9">
      <w:pPr>
        <w:pStyle w:val="Heading3"/>
        <w:jc w:val="both"/>
        <w:rPr>
          <w:rFonts w:ascii="Arial" w:hAnsi="Arial" w:cs="Arial"/>
          <w:b w:val="0"/>
          <w:sz w:val="22"/>
          <w:szCs w:val="22"/>
        </w:rPr>
      </w:pPr>
      <w:r>
        <w:rPr>
          <w:rFonts w:ascii="Arial" w:hAnsi="Arial" w:cs="Arial"/>
          <w:b w:val="0"/>
          <w:sz w:val="22"/>
          <w:szCs w:val="22"/>
        </w:rPr>
        <w:t>Overall a net overspend of £0.337m is projected. This represents a significant overspend of £0.801m on universal provision for three and four year olds</w:t>
      </w:r>
      <w:r w:rsidR="00542FA8">
        <w:rPr>
          <w:rFonts w:ascii="Arial" w:hAnsi="Arial" w:cs="Arial"/>
          <w:b w:val="0"/>
          <w:sz w:val="22"/>
          <w:szCs w:val="22"/>
        </w:rPr>
        <w:t xml:space="preserve"> plus a small overspend on maintained nurseries. These are offset by underspends </w:t>
      </w:r>
      <w:r w:rsidR="00F645BC">
        <w:rPr>
          <w:rFonts w:ascii="Arial" w:hAnsi="Arial" w:cs="Arial"/>
          <w:b w:val="0"/>
          <w:sz w:val="22"/>
          <w:szCs w:val="22"/>
        </w:rPr>
        <w:t xml:space="preserve">on </w:t>
      </w:r>
      <w:r w:rsidR="00542FA8">
        <w:rPr>
          <w:rFonts w:ascii="Arial" w:hAnsi="Arial" w:cs="Arial"/>
          <w:b w:val="0"/>
          <w:sz w:val="22"/>
          <w:szCs w:val="22"/>
        </w:rPr>
        <w:t>targeted provision for three and four year olds and two year olds.</w:t>
      </w:r>
    </w:p>
    <w:p w14:paraId="2BA0537E" w14:textId="77777777" w:rsidR="007B1DA6" w:rsidRPr="007B1DA6" w:rsidRDefault="007B1DA6" w:rsidP="00A20AF9">
      <w:pPr>
        <w:jc w:val="both"/>
      </w:pPr>
    </w:p>
    <w:p w14:paraId="40AFD487" w14:textId="77777777" w:rsidR="007B1DA6" w:rsidRDefault="007B1DA6" w:rsidP="00A20AF9">
      <w:pPr>
        <w:pStyle w:val="Heading3"/>
        <w:jc w:val="both"/>
        <w:rPr>
          <w:rFonts w:ascii="Arial" w:hAnsi="Arial" w:cs="Arial"/>
          <w:b w:val="0"/>
          <w:sz w:val="22"/>
          <w:szCs w:val="22"/>
        </w:rPr>
      </w:pPr>
      <w:r>
        <w:rPr>
          <w:rFonts w:ascii="Arial" w:hAnsi="Arial" w:cs="Arial"/>
          <w:b w:val="0"/>
          <w:sz w:val="22"/>
          <w:szCs w:val="22"/>
        </w:rPr>
        <w:t xml:space="preserve">The overspend in three and four year old universal provision is demand driven, primarily in the PVI and academy sector. It should be noted that the EYB will be updated following the January 2019 census and increased numbers of children </w:t>
      </w:r>
      <w:r>
        <w:rPr>
          <w:rFonts w:ascii="Arial" w:hAnsi="Arial" w:cs="Arial"/>
          <w:b w:val="0"/>
          <w:sz w:val="22"/>
          <w:szCs w:val="22"/>
        </w:rPr>
        <w:lastRenderedPageBreak/>
        <w:t xml:space="preserve">in provisions should increase DSG funding. A caveat is that numbers will fluctuate during the year but only the number at the census date will generate funding. </w:t>
      </w:r>
    </w:p>
    <w:p w14:paraId="34790B05" w14:textId="77777777" w:rsidR="007B1DA6" w:rsidRPr="007B1DA6" w:rsidRDefault="007B1DA6" w:rsidP="00A20AF9">
      <w:pPr>
        <w:jc w:val="both"/>
      </w:pPr>
    </w:p>
    <w:p w14:paraId="22A89FB3" w14:textId="77777777" w:rsidR="005543AC" w:rsidRDefault="002B2C50" w:rsidP="00A20AF9">
      <w:pPr>
        <w:pStyle w:val="Heading3"/>
        <w:jc w:val="both"/>
        <w:rPr>
          <w:rFonts w:ascii="Arial" w:hAnsi="Arial" w:cs="Arial"/>
          <w:b w:val="0"/>
          <w:sz w:val="22"/>
          <w:szCs w:val="22"/>
        </w:rPr>
      </w:pPr>
      <w:r>
        <w:rPr>
          <w:rFonts w:ascii="Arial" w:hAnsi="Arial" w:cs="Arial"/>
          <w:b w:val="0"/>
          <w:sz w:val="22"/>
          <w:szCs w:val="22"/>
        </w:rPr>
        <w:t xml:space="preserve">There has been a significant increase in the number of extended hours being provided, predominantly in schools, and a project worker is working on extending this further. The increase still results in a projected underspend as the EYB funding is partly based on estimates rather than </w:t>
      </w:r>
      <w:r w:rsidR="00FC7C3A">
        <w:rPr>
          <w:rFonts w:ascii="Arial" w:hAnsi="Arial" w:cs="Arial"/>
          <w:b w:val="0"/>
          <w:sz w:val="22"/>
          <w:szCs w:val="22"/>
        </w:rPr>
        <w:t xml:space="preserve">fully on </w:t>
      </w:r>
      <w:r>
        <w:rPr>
          <w:rFonts w:ascii="Arial" w:hAnsi="Arial" w:cs="Arial"/>
          <w:b w:val="0"/>
          <w:sz w:val="22"/>
          <w:szCs w:val="22"/>
        </w:rPr>
        <w:t>actual take-up</w:t>
      </w:r>
      <w:r w:rsidR="005543AC">
        <w:rPr>
          <w:rFonts w:ascii="Arial" w:hAnsi="Arial" w:cs="Arial"/>
          <w:b w:val="0"/>
          <w:sz w:val="22"/>
          <w:szCs w:val="22"/>
        </w:rPr>
        <w:t>. As with the universal provision there will be a revision to funding following the January 2019 census.</w:t>
      </w:r>
    </w:p>
    <w:p w14:paraId="3A036A8C" w14:textId="77777777" w:rsidR="002B7D92" w:rsidRPr="002B7D92" w:rsidRDefault="002B7D92" w:rsidP="00A20AF9">
      <w:pPr>
        <w:jc w:val="both"/>
      </w:pPr>
    </w:p>
    <w:p w14:paraId="301B5281" w14:textId="57FC26F9" w:rsidR="002B7D92" w:rsidRPr="002B7D92" w:rsidRDefault="002B7D92" w:rsidP="00A20AF9">
      <w:pPr>
        <w:pStyle w:val="Heading3"/>
        <w:jc w:val="both"/>
      </w:pPr>
      <w:r>
        <w:rPr>
          <w:rFonts w:ascii="Arial" w:hAnsi="Arial" w:cs="Arial"/>
          <w:b w:val="0"/>
          <w:sz w:val="22"/>
          <w:szCs w:val="22"/>
        </w:rPr>
        <w:t xml:space="preserve">The take-up of </w:t>
      </w:r>
      <w:proofErr w:type="gramStart"/>
      <w:r>
        <w:rPr>
          <w:rFonts w:ascii="Arial" w:hAnsi="Arial" w:cs="Arial"/>
          <w:b w:val="0"/>
          <w:sz w:val="22"/>
          <w:szCs w:val="22"/>
        </w:rPr>
        <w:t>two year old</w:t>
      </w:r>
      <w:proofErr w:type="gramEnd"/>
      <w:r>
        <w:rPr>
          <w:rFonts w:ascii="Arial" w:hAnsi="Arial" w:cs="Arial"/>
          <w:b w:val="0"/>
          <w:sz w:val="22"/>
          <w:szCs w:val="22"/>
        </w:rPr>
        <w:t xml:space="preserve"> places has increased and in September stood at 831 children, an increase of 8</w:t>
      </w:r>
      <w:r w:rsidR="005A4663">
        <w:rPr>
          <w:rFonts w:ascii="Arial" w:hAnsi="Arial" w:cs="Arial"/>
          <w:b w:val="0"/>
          <w:sz w:val="22"/>
          <w:szCs w:val="22"/>
        </w:rPr>
        <w:t xml:space="preserve"> per cent</w:t>
      </w:r>
      <w:r>
        <w:rPr>
          <w:rFonts w:ascii="Arial" w:hAnsi="Arial" w:cs="Arial"/>
          <w:b w:val="0"/>
          <w:sz w:val="22"/>
          <w:szCs w:val="22"/>
        </w:rPr>
        <w:t xml:space="preserve"> over this time last year. The number of eligible children has also increased. A number of schools have expressed interest in taking two year olds and the </w:t>
      </w:r>
      <w:r w:rsidR="00157CF2">
        <w:rPr>
          <w:rFonts w:ascii="Arial" w:hAnsi="Arial" w:cs="Arial"/>
          <w:b w:val="0"/>
          <w:sz w:val="22"/>
          <w:szCs w:val="22"/>
        </w:rPr>
        <w:t xml:space="preserve">Integrated Early </w:t>
      </w:r>
      <w:proofErr w:type="spellStart"/>
      <w:r w:rsidR="00157CF2">
        <w:rPr>
          <w:rFonts w:ascii="Arial" w:hAnsi="Arial" w:cs="Arial"/>
          <w:b w:val="0"/>
          <w:sz w:val="22"/>
          <w:szCs w:val="22"/>
        </w:rPr>
        <w:t>Years Service</w:t>
      </w:r>
      <w:proofErr w:type="spellEnd"/>
      <w:r w:rsidR="00157CF2">
        <w:rPr>
          <w:rFonts w:ascii="Arial" w:hAnsi="Arial" w:cs="Arial"/>
          <w:b w:val="0"/>
          <w:sz w:val="22"/>
          <w:szCs w:val="22"/>
        </w:rPr>
        <w:t xml:space="preserve"> (IEYS) is offering them guidance and support. The IEYS is also working with families to increase take-up generally.</w:t>
      </w:r>
    </w:p>
    <w:p w14:paraId="2338E9F2" w14:textId="77777777" w:rsidR="005543AC" w:rsidRPr="005543AC" w:rsidRDefault="005543AC" w:rsidP="00A20AF9">
      <w:pPr>
        <w:jc w:val="both"/>
      </w:pPr>
    </w:p>
    <w:p w14:paraId="59739C8A" w14:textId="77777777" w:rsidR="005543AC" w:rsidRDefault="005543AC" w:rsidP="00A20AF9">
      <w:pPr>
        <w:pStyle w:val="Heading3"/>
        <w:jc w:val="both"/>
        <w:rPr>
          <w:rFonts w:ascii="Arial" w:hAnsi="Arial" w:cs="Arial"/>
          <w:b w:val="0"/>
          <w:sz w:val="22"/>
          <w:szCs w:val="22"/>
        </w:rPr>
      </w:pPr>
      <w:r>
        <w:rPr>
          <w:rFonts w:ascii="Arial" w:hAnsi="Arial" w:cs="Arial"/>
          <w:b w:val="0"/>
          <w:sz w:val="22"/>
          <w:szCs w:val="22"/>
        </w:rPr>
        <w:t xml:space="preserve">The overspend on the Maintained Nursery Grant reflects the higher historic funding received by nursery schools that the original EYB allocation significantly underfunded. The revised DSG allocation in July 2018 reduced the difference significantly but a gap still remains. </w:t>
      </w:r>
    </w:p>
    <w:p w14:paraId="434939BE" w14:textId="77777777" w:rsidR="005543AC" w:rsidRPr="005543AC" w:rsidRDefault="005543AC" w:rsidP="00A20AF9">
      <w:pPr>
        <w:jc w:val="both"/>
      </w:pPr>
    </w:p>
    <w:p w14:paraId="6B38FF2B" w14:textId="77777777" w:rsidR="002B7D92" w:rsidRDefault="005543AC" w:rsidP="00A20AF9">
      <w:pPr>
        <w:pStyle w:val="Heading3"/>
        <w:jc w:val="both"/>
        <w:rPr>
          <w:rFonts w:ascii="Arial" w:hAnsi="Arial" w:cs="Arial"/>
          <w:b w:val="0"/>
          <w:sz w:val="22"/>
          <w:szCs w:val="22"/>
        </w:rPr>
      </w:pPr>
      <w:r>
        <w:rPr>
          <w:rFonts w:ascii="Arial" w:hAnsi="Arial" w:cs="Arial"/>
          <w:b w:val="0"/>
          <w:sz w:val="22"/>
          <w:szCs w:val="22"/>
        </w:rPr>
        <w:t>Local Authority Day Nurseries (LADN) are the subject of a separate report on this agenda. The budget of £271k is the six months funding agreed by Forum. A further contingency of £271k is contained in the Other Centrally Retained line.</w:t>
      </w:r>
    </w:p>
    <w:p w14:paraId="04A209F6" w14:textId="77777777" w:rsidR="002B7D92" w:rsidRPr="002B7D92" w:rsidRDefault="002B7D92" w:rsidP="00A20AF9">
      <w:pPr>
        <w:jc w:val="both"/>
      </w:pPr>
    </w:p>
    <w:p w14:paraId="5764E73A" w14:textId="77777777" w:rsidR="00AC3AB0" w:rsidRPr="00AC3AB0" w:rsidRDefault="007B1DA6" w:rsidP="00A20AF9">
      <w:pPr>
        <w:pStyle w:val="Heading3"/>
        <w:jc w:val="both"/>
        <w:rPr>
          <w:rFonts w:ascii="Arial" w:hAnsi="Arial" w:cs="Arial"/>
          <w:sz w:val="22"/>
          <w:szCs w:val="22"/>
        </w:rPr>
      </w:pPr>
      <w:r>
        <w:rPr>
          <w:rFonts w:ascii="Arial" w:hAnsi="Arial" w:cs="Arial"/>
          <w:b w:val="0"/>
          <w:sz w:val="22"/>
          <w:szCs w:val="22"/>
        </w:rPr>
        <w:t xml:space="preserve"> </w:t>
      </w:r>
      <w:r w:rsidR="002B7D92">
        <w:rPr>
          <w:rFonts w:ascii="Arial" w:hAnsi="Arial" w:cs="Arial"/>
          <w:b w:val="0"/>
          <w:sz w:val="22"/>
          <w:szCs w:val="22"/>
        </w:rPr>
        <w:t>The EYB includes various funds such as the Early Years Pupil Premium Grant and the Disability Access Fund. Both are projected to be within budget and more information on the latter is given in the Section 3.</w:t>
      </w:r>
      <w:r w:rsidR="00542FA8">
        <w:rPr>
          <w:rFonts w:ascii="Arial" w:hAnsi="Arial" w:cs="Arial"/>
          <w:b w:val="0"/>
          <w:sz w:val="22"/>
          <w:szCs w:val="22"/>
        </w:rPr>
        <w:t xml:space="preserve"> </w:t>
      </w:r>
      <w:r w:rsidR="002966A3">
        <w:rPr>
          <w:rFonts w:ascii="Arial" w:hAnsi="Arial" w:cs="Arial"/>
          <w:b w:val="0"/>
          <w:sz w:val="22"/>
          <w:szCs w:val="22"/>
        </w:rPr>
        <w:t xml:space="preserve"> </w:t>
      </w:r>
    </w:p>
    <w:p w14:paraId="55077323" w14:textId="77777777" w:rsidR="00AC3AB0" w:rsidRDefault="00AC3AB0" w:rsidP="00A20AF9">
      <w:pPr>
        <w:tabs>
          <w:tab w:val="num" w:pos="815"/>
        </w:tabs>
        <w:spacing w:before="60" w:after="60"/>
        <w:ind w:left="709"/>
        <w:jc w:val="both"/>
        <w:rPr>
          <w:rFonts w:ascii="Arial" w:hAnsi="Arial"/>
          <w:sz w:val="22"/>
          <w:szCs w:val="22"/>
        </w:rPr>
      </w:pPr>
    </w:p>
    <w:p w14:paraId="19D8E21B" w14:textId="77777777" w:rsidR="00DE7C40" w:rsidRPr="00FC7C3A" w:rsidRDefault="003F7D4C" w:rsidP="001068C9">
      <w:pPr>
        <w:pStyle w:val="Heading2"/>
        <w:rPr>
          <w:u w:val="none"/>
        </w:rPr>
      </w:pPr>
      <w:r w:rsidRPr="00FC7C3A">
        <w:rPr>
          <w:u w:val="none"/>
        </w:rPr>
        <w:t>Schools Block and Central School Services Block.</w:t>
      </w:r>
    </w:p>
    <w:p w14:paraId="3066D7DD" w14:textId="77777777" w:rsidR="00A20AF9" w:rsidRPr="00A20AF9" w:rsidRDefault="00A20AF9" w:rsidP="00A20AF9"/>
    <w:p w14:paraId="7473F9A5" w14:textId="77777777" w:rsidR="000B0A97" w:rsidRPr="00A20AF9" w:rsidRDefault="00540699" w:rsidP="00A20AF9">
      <w:pPr>
        <w:tabs>
          <w:tab w:val="num" w:pos="815"/>
        </w:tabs>
        <w:spacing w:before="60" w:after="60"/>
        <w:ind w:left="709"/>
        <w:jc w:val="both"/>
        <w:rPr>
          <w:rFonts w:ascii="Arial" w:hAnsi="Arial"/>
          <w:b/>
          <w:sz w:val="22"/>
          <w:szCs w:val="22"/>
        </w:rPr>
      </w:pPr>
      <w:r w:rsidRPr="00540699">
        <w:rPr>
          <w:rFonts w:ascii="Arial" w:hAnsi="Arial"/>
          <w:b/>
          <w:sz w:val="22"/>
          <w:szCs w:val="22"/>
        </w:rPr>
        <w:t xml:space="preserve">Table </w:t>
      </w:r>
      <w:r w:rsidR="00220BFA">
        <w:rPr>
          <w:rFonts w:ascii="Arial" w:hAnsi="Arial"/>
          <w:b/>
          <w:sz w:val="22"/>
          <w:szCs w:val="22"/>
        </w:rPr>
        <w:t>5</w:t>
      </w:r>
      <w:r w:rsidRPr="00540699">
        <w:rPr>
          <w:rFonts w:ascii="Arial" w:hAnsi="Arial"/>
          <w:b/>
          <w:sz w:val="22"/>
          <w:szCs w:val="22"/>
        </w:rPr>
        <w:t>: Monitoring Summary for CSSB, De-delegated Budgets and Growth Fund.</w:t>
      </w:r>
    </w:p>
    <w:tbl>
      <w:tblPr>
        <w:tblStyle w:val="TableGrid"/>
        <w:tblW w:w="7783" w:type="dxa"/>
        <w:tblLook w:val="04A0" w:firstRow="1" w:lastRow="0" w:firstColumn="1" w:lastColumn="0" w:noHBand="0" w:noVBand="1"/>
      </w:tblPr>
      <w:tblGrid>
        <w:gridCol w:w="2552"/>
        <w:gridCol w:w="1134"/>
        <w:gridCol w:w="1217"/>
        <w:gridCol w:w="1400"/>
        <w:gridCol w:w="1480"/>
      </w:tblGrid>
      <w:tr w:rsidR="00414259" w:rsidRPr="00414259" w14:paraId="60056097" w14:textId="77777777" w:rsidTr="006171E3">
        <w:trPr>
          <w:trHeight w:val="564"/>
        </w:trPr>
        <w:tc>
          <w:tcPr>
            <w:tcW w:w="2552" w:type="dxa"/>
            <w:hideMark/>
          </w:tcPr>
          <w:p w14:paraId="203D3045" w14:textId="77777777" w:rsidR="00414259" w:rsidRPr="00414259" w:rsidRDefault="00414259" w:rsidP="00414259">
            <w:pPr>
              <w:jc w:val="both"/>
              <w:rPr>
                <w:rFonts w:ascii="Arial" w:hAnsi="Arial" w:cs="Arial"/>
                <w:b/>
                <w:bCs/>
                <w:color w:val="000000"/>
                <w:sz w:val="22"/>
                <w:szCs w:val="22"/>
                <w:lang w:eastAsia="en-GB"/>
              </w:rPr>
            </w:pPr>
            <w:r w:rsidRPr="00414259">
              <w:rPr>
                <w:rFonts w:ascii="Arial" w:hAnsi="Arial" w:cs="Arial"/>
                <w:b/>
                <w:bCs/>
                <w:color w:val="000000"/>
                <w:sz w:val="22"/>
                <w:szCs w:val="22"/>
                <w:lang w:eastAsia="en-GB"/>
              </w:rPr>
              <w:t>Description</w:t>
            </w:r>
          </w:p>
        </w:tc>
        <w:tc>
          <w:tcPr>
            <w:tcW w:w="1134" w:type="dxa"/>
            <w:hideMark/>
          </w:tcPr>
          <w:p w14:paraId="66718E52"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cs="Arial"/>
                <w:b/>
                <w:bCs/>
                <w:color w:val="000000"/>
                <w:sz w:val="22"/>
                <w:szCs w:val="22"/>
                <w:lang w:eastAsia="en-GB"/>
              </w:rPr>
              <w:t>Budget</w:t>
            </w:r>
          </w:p>
        </w:tc>
        <w:tc>
          <w:tcPr>
            <w:tcW w:w="1217" w:type="dxa"/>
            <w:hideMark/>
          </w:tcPr>
          <w:p w14:paraId="2D6DD607"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cs="Arial"/>
                <w:b/>
                <w:bCs/>
                <w:color w:val="000000"/>
                <w:sz w:val="22"/>
                <w:szCs w:val="22"/>
                <w:lang w:eastAsia="en-GB"/>
              </w:rPr>
              <w:t>Spend to 31/8/18</w:t>
            </w:r>
          </w:p>
        </w:tc>
        <w:tc>
          <w:tcPr>
            <w:tcW w:w="1400" w:type="dxa"/>
            <w:hideMark/>
          </w:tcPr>
          <w:p w14:paraId="69B89625"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cs="Arial"/>
                <w:b/>
                <w:bCs/>
                <w:color w:val="000000"/>
                <w:sz w:val="22"/>
                <w:szCs w:val="22"/>
                <w:lang w:eastAsia="en-GB"/>
              </w:rPr>
              <w:t>Projected Outturn</w:t>
            </w:r>
          </w:p>
        </w:tc>
        <w:tc>
          <w:tcPr>
            <w:tcW w:w="1480" w:type="dxa"/>
            <w:hideMark/>
          </w:tcPr>
          <w:p w14:paraId="6964EDD8" w14:textId="77777777" w:rsidR="00414259" w:rsidRPr="00414259" w:rsidRDefault="00414259" w:rsidP="00414259">
            <w:pPr>
              <w:jc w:val="center"/>
              <w:rPr>
                <w:rFonts w:ascii="Arial" w:hAnsi="Arial" w:cs="Arial"/>
                <w:b/>
                <w:bCs/>
                <w:color w:val="000000"/>
                <w:sz w:val="22"/>
                <w:szCs w:val="22"/>
                <w:lang w:eastAsia="en-GB"/>
              </w:rPr>
            </w:pPr>
            <w:r w:rsidRPr="00414259">
              <w:rPr>
                <w:rFonts w:ascii="Arial" w:hAnsi="Arial" w:cs="Arial"/>
                <w:b/>
                <w:bCs/>
                <w:color w:val="000000"/>
                <w:sz w:val="22"/>
                <w:szCs w:val="22"/>
                <w:lang w:eastAsia="en-GB"/>
              </w:rPr>
              <w:t>Variance</w:t>
            </w:r>
          </w:p>
        </w:tc>
      </w:tr>
      <w:tr w:rsidR="00414259" w:rsidRPr="00414259" w14:paraId="24FC4879" w14:textId="77777777" w:rsidTr="006171E3">
        <w:trPr>
          <w:trHeight w:val="300"/>
        </w:trPr>
        <w:tc>
          <w:tcPr>
            <w:tcW w:w="2552" w:type="dxa"/>
            <w:hideMark/>
          </w:tcPr>
          <w:p w14:paraId="49577AFD"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134" w:type="dxa"/>
            <w:hideMark/>
          </w:tcPr>
          <w:p w14:paraId="3C161899"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s="Arial"/>
                <w:color w:val="000000"/>
                <w:sz w:val="22"/>
                <w:szCs w:val="22"/>
                <w:lang w:eastAsia="en-GB"/>
              </w:rPr>
              <w:t>£m</w:t>
            </w:r>
          </w:p>
        </w:tc>
        <w:tc>
          <w:tcPr>
            <w:tcW w:w="1217" w:type="dxa"/>
            <w:hideMark/>
          </w:tcPr>
          <w:p w14:paraId="36BA7382"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s="Arial"/>
                <w:color w:val="000000"/>
                <w:sz w:val="22"/>
                <w:szCs w:val="22"/>
                <w:lang w:eastAsia="en-GB"/>
              </w:rPr>
              <w:t>£m</w:t>
            </w:r>
          </w:p>
        </w:tc>
        <w:tc>
          <w:tcPr>
            <w:tcW w:w="1400" w:type="dxa"/>
            <w:hideMark/>
          </w:tcPr>
          <w:p w14:paraId="29EE1878"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s="Arial"/>
                <w:color w:val="000000"/>
                <w:sz w:val="22"/>
                <w:szCs w:val="22"/>
                <w:lang w:eastAsia="en-GB"/>
              </w:rPr>
              <w:t>£m</w:t>
            </w:r>
          </w:p>
        </w:tc>
        <w:tc>
          <w:tcPr>
            <w:tcW w:w="1480" w:type="dxa"/>
            <w:hideMark/>
          </w:tcPr>
          <w:p w14:paraId="2E2D900F" w14:textId="77777777" w:rsidR="00414259" w:rsidRPr="00414259" w:rsidRDefault="00414259" w:rsidP="00414259">
            <w:pPr>
              <w:jc w:val="center"/>
              <w:rPr>
                <w:rFonts w:ascii="Arial" w:hAnsi="Arial" w:cs="Arial"/>
                <w:color w:val="000000"/>
                <w:sz w:val="22"/>
                <w:szCs w:val="22"/>
                <w:lang w:eastAsia="en-GB"/>
              </w:rPr>
            </w:pPr>
            <w:r w:rsidRPr="00414259">
              <w:rPr>
                <w:rFonts w:ascii="Arial" w:hAnsi="Arial" w:cs="Arial"/>
                <w:color w:val="000000"/>
                <w:sz w:val="22"/>
                <w:szCs w:val="22"/>
                <w:lang w:eastAsia="en-GB"/>
              </w:rPr>
              <w:t>£m</w:t>
            </w:r>
          </w:p>
        </w:tc>
      </w:tr>
      <w:tr w:rsidR="00414259" w:rsidRPr="00414259" w14:paraId="7742FD05" w14:textId="77777777" w:rsidTr="006171E3">
        <w:trPr>
          <w:trHeight w:val="300"/>
        </w:trPr>
        <w:tc>
          <w:tcPr>
            <w:tcW w:w="2552" w:type="dxa"/>
            <w:hideMark/>
          </w:tcPr>
          <w:p w14:paraId="7D750632"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Growth Fund</w:t>
            </w:r>
          </w:p>
        </w:tc>
        <w:tc>
          <w:tcPr>
            <w:tcW w:w="1134" w:type="dxa"/>
            <w:hideMark/>
          </w:tcPr>
          <w:p w14:paraId="0D7BADDE"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2.471</w:t>
            </w:r>
          </w:p>
        </w:tc>
        <w:tc>
          <w:tcPr>
            <w:tcW w:w="1217" w:type="dxa"/>
            <w:hideMark/>
          </w:tcPr>
          <w:p w14:paraId="5CC9E14F"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w:t>
            </w:r>
          </w:p>
        </w:tc>
        <w:tc>
          <w:tcPr>
            <w:tcW w:w="1400" w:type="dxa"/>
            <w:hideMark/>
          </w:tcPr>
          <w:p w14:paraId="47D56E5D"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1.876</w:t>
            </w:r>
          </w:p>
        </w:tc>
        <w:tc>
          <w:tcPr>
            <w:tcW w:w="1480" w:type="dxa"/>
            <w:hideMark/>
          </w:tcPr>
          <w:p w14:paraId="61F7B761"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-0.595</w:t>
            </w:r>
          </w:p>
        </w:tc>
      </w:tr>
      <w:tr w:rsidR="00414259" w:rsidRPr="00414259" w14:paraId="0D49CF5D" w14:textId="77777777" w:rsidTr="006171E3">
        <w:trPr>
          <w:trHeight w:val="300"/>
        </w:trPr>
        <w:tc>
          <w:tcPr>
            <w:tcW w:w="2552" w:type="dxa"/>
            <w:hideMark/>
          </w:tcPr>
          <w:p w14:paraId="5FF1A186" w14:textId="77777777" w:rsidR="00414259" w:rsidRPr="00414259" w:rsidRDefault="00414259" w:rsidP="00414259">
            <w:pPr>
              <w:jc w:val="both"/>
              <w:rPr>
                <w:rFonts w:ascii="Arial" w:hAnsi="Arial" w:cs="Arial"/>
                <w:b/>
                <w:bCs/>
                <w:i/>
                <w:iCs/>
                <w:color w:val="000000"/>
                <w:sz w:val="22"/>
                <w:szCs w:val="22"/>
                <w:lang w:eastAsia="en-GB"/>
              </w:rPr>
            </w:pPr>
            <w:r w:rsidRPr="00414259">
              <w:rPr>
                <w:rFonts w:ascii="Arial" w:hAnsi="Arial" w:cs="Arial"/>
                <w:b/>
                <w:bCs/>
                <w:i/>
                <w:iCs/>
                <w:color w:val="000000"/>
                <w:sz w:val="22"/>
                <w:szCs w:val="22"/>
                <w:lang w:eastAsia="en-GB"/>
              </w:rPr>
              <w:t>De-delegated</w:t>
            </w:r>
          </w:p>
        </w:tc>
        <w:tc>
          <w:tcPr>
            <w:tcW w:w="1134" w:type="dxa"/>
            <w:hideMark/>
          </w:tcPr>
          <w:p w14:paraId="53CE837F"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217" w:type="dxa"/>
            <w:hideMark/>
          </w:tcPr>
          <w:p w14:paraId="3497759B"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400" w:type="dxa"/>
            <w:hideMark/>
          </w:tcPr>
          <w:p w14:paraId="3187865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480" w:type="dxa"/>
            <w:hideMark/>
          </w:tcPr>
          <w:p w14:paraId="37387E15"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0.000</w:t>
            </w:r>
          </w:p>
        </w:tc>
      </w:tr>
      <w:tr w:rsidR="00414259" w:rsidRPr="00414259" w14:paraId="1683E55B" w14:textId="77777777" w:rsidTr="006171E3">
        <w:trPr>
          <w:trHeight w:val="300"/>
        </w:trPr>
        <w:tc>
          <w:tcPr>
            <w:tcW w:w="2552" w:type="dxa"/>
            <w:hideMark/>
          </w:tcPr>
          <w:p w14:paraId="63A4CD31"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Contingency</w:t>
            </w:r>
          </w:p>
        </w:tc>
        <w:tc>
          <w:tcPr>
            <w:tcW w:w="1134" w:type="dxa"/>
            <w:hideMark/>
          </w:tcPr>
          <w:p w14:paraId="4460C9A9"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0.457</w:t>
            </w:r>
          </w:p>
        </w:tc>
        <w:tc>
          <w:tcPr>
            <w:tcW w:w="1217" w:type="dxa"/>
            <w:hideMark/>
          </w:tcPr>
          <w:p w14:paraId="502531B5"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0.105</w:t>
            </w:r>
          </w:p>
        </w:tc>
        <w:tc>
          <w:tcPr>
            <w:tcW w:w="1400" w:type="dxa"/>
            <w:hideMark/>
          </w:tcPr>
          <w:p w14:paraId="3DF0DA6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0.457</w:t>
            </w:r>
          </w:p>
        </w:tc>
        <w:tc>
          <w:tcPr>
            <w:tcW w:w="1480" w:type="dxa"/>
            <w:hideMark/>
          </w:tcPr>
          <w:p w14:paraId="5BF664BF"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0.000</w:t>
            </w:r>
          </w:p>
        </w:tc>
      </w:tr>
      <w:tr w:rsidR="00414259" w:rsidRPr="00414259" w14:paraId="1CACE4A6" w14:textId="77777777" w:rsidTr="006171E3">
        <w:trPr>
          <w:trHeight w:val="300"/>
        </w:trPr>
        <w:tc>
          <w:tcPr>
            <w:tcW w:w="2552" w:type="dxa"/>
            <w:hideMark/>
          </w:tcPr>
          <w:p w14:paraId="5D029219"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ESG</w:t>
            </w:r>
          </w:p>
        </w:tc>
        <w:tc>
          <w:tcPr>
            <w:tcW w:w="1134" w:type="dxa"/>
            <w:hideMark/>
          </w:tcPr>
          <w:p w14:paraId="46ABB235"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0.842</w:t>
            </w:r>
          </w:p>
        </w:tc>
        <w:tc>
          <w:tcPr>
            <w:tcW w:w="1217" w:type="dxa"/>
            <w:hideMark/>
          </w:tcPr>
          <w:p w14:paraId="43E06F06"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0.351</w:t>
            </w:r>
          </w:p>
        </w:tc>
        <w:tc>
          <w:tcPr>
            <w:tcW w:w="1400" w:type="dxa"/>
            <w:hideMark/>
          </w:tcPr>
          <w:p w14:paraId="141015DE"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0.842</w:t>
            </w:r>
          </w:p>
        </w:tc>
        <w:tc>
          <w:tcPr>
            <w:tcW w:w="1480" w:type="dxa"/>
            <w:hideMark/>
          </w:tcPr>
          <w:p w14:paraId="4823B393"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0.000</w:t>
            </w:r>
          </w:p>
        </w:tc>
      </w:tr>
      <w:tr w:rsidR="00414259" w:rsidRPr="00414259" w14:paraId="71BA0EE2" w14:textId="77777777" w:rsidTr="006171E3">
        <w:trPr>
          <w:trHeight w:val="300"/>
        </w:trPr>
        <w:tc>
          <w:tcPr>
            <w:tcW w:w="2552" w:type="dxa"/>
            <w:hideMark/>
          </w:tcPr>
          <w:p w14:paraId="2FCC6A67"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Other</w:t>
            </w:r>
          </w:p>
        </w:tc>
        <w:tc>
          <w:tcPr>
            <w:tcW w:w="1134" w:type="dxa"/>
            <w:hideMark/>
          </w:tcPr>
          <w:p w14:paraId="501AD0CD"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0.429</w:t>
            </w:r>
          </w:p>
        </w:tc>
        <w:tc>
          <w:tcPr>
            <w:tcW w:w="1217" w:type="dxa"/>
            <w:hideMark/>
          </w:tcPr>
          <w:p w14:paraId="2FC92B14"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0.179</w:t>
            </w:r>
          </w:p>
        </w:tc>
        <w:tc>
          <w:tcPr>
            <w:tcW w:w="1400" w:type="dxa"/>
            <w:hideMark/>
          </w:tcPr>
          <w:p w14:paraId="5386799A"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0.429</w:t>
            </w:r>
          </w:p>
        </w:tc>
        <w:tc>
          <w:tcPr>
            <w:tcW w:w="1480" w:type="dxa"/>
            <w:hideMark/>
          </w:tcPr>
          <w:p w14:paraId="68F3F2E4"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0.000</w:t>
            </w:r>
          </w:p>
        </w:tc>
      </w:tr>
      <w:tr w:rsidR="00414259" w:rsidRPr="00414259" w14:paraId="5898095C" w14:textId="77777777" w:rsidTr="006171E3">
        <w:trPr>
          <w:trHeight w:val="300"/>
        </w:trPr>
        <w:tc>
          <w:tcPr>
            <w:tcW w:w="2552" w:type="dxa"/>
            <w:hideMark/>
          </w:tcPr>
          <w:p w14:paraId="09D9F030" w14:textId="77777777" w:rsidR="00414259" w:rsidRPr="00414259" w:rsidRDefault="00414259" w:rsidP="00414259">
            <w:pPr>
              <w:jc w:val="both"/>
              <w:rPr>
                <w:rFonts w:ascii="Arial" w:hAnsi="Arial" w:cs="Arial"/>
                <w:b/>
                <w:bCs/>
                <w:i/>
                <w:iCs/>
                <w:color w:val="000000"/>
                <w:sz w:val="22"/>
                <w:szCs w:val="22"/>
                <w:lang w:eastAsia="en-GB"/>
              </w:rPr>
            </w:pPr>
            <w:r w:rsidRPr="00414259">
              <w:rPr>
                <w:rFonts w:ascii="Arial" w:hAnsi="Arial" w:cs="Arial"/>
                <w:b/>
                <w:bCs/>
                <w:i/>
                <w:iCs/>
                <w:color w:val="000000"/>
                <w:sz w:val="22"/>
                <w:szCs w:val="22"/>
                <w:lang w:eastAsia="en-GB"/>
              </w:rPr>
              <w:t>CSSB</w:t>
            </w:r>
          </w:p>
        </w:tc>
        <w:tc>
          <w:tcPr>
            <w:tcW w:w="1134" w:type="dxa"/>
            <w:hideMark/>
          </w:tcPr>
          <w:p w14:paraId="08E00D2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217" w:type="dxa"/>
            <w:hideMark/>
          </w:tcPr>
          <w:p w14:paraId="16643422"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400" w:type="dxa"/>
            <w:hideMark/>
          </w:tcPr>
          <w:p w14:paraId="1D30B5F9"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 </w:t>
            </w:r>
          </w:p>
        </w:tc>
        <w:tc>
          <w:tcPr>
            <w:tcW w:w="1480" w:type="dxa"/>
            <w:hideMark/>
          </w:tcPr>
          <w:p w14:paraId="70C1DF15"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0.000</w:t>
            </w:r>
          </w:p>
        </w:tc>
      </w:tr>
      <w:tr w:rsidR="00414259" w:rsidRPr="00414259" w14:paraId="2F2680F9" w14:textId="77777777" w:rsidTr="006171E3">
        <w:trPr>
          <w:trHeight w:val="300"/>
        </w:trPr>
        <w:tc>
          <w:tcPr>
            <w:tcW w:w="2552" w:type="dxa"/>
            <w:hideMark/>
          </w:tcPr>
          <w:p w14:paraId="5BABFB71"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Ongoing Duties</w:t>
            </w:r>
          </w:p>
        </w:tc>
        <w:tc>
          <w:tcPr>
            <w:tcW w:w="1134" w:type="dxa"/>
            <w:hideMark/>
          </w:tcPr>
          <w:p w14:paraId="6FDA02E7"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2.098</w:t>
            </w:r>
          </w:p>
        </w:tc>
        <w:tc>
          <w:tcPr>
            <w:tcW w:w="1217" w:type="dxa"/>
            <w:hideMark/>
          </w:tcPr>
          <w:p w14:paraId="19AE447E"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0.874</w:t>
            </w:r>
          </w:p>
        </w:tc>
        <w:tc>
          <w:tcPr>
            <w:tcW w:w="1400" w:type="dxa"/>
            <w:hideMark/>
          </w:tcPr>
          <w:p w14:paraId="4D8650E4"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2.098</w:t>
            </w:r>
          </w:p>
        </w:tc>
        <w:tc>
          <w:tcPr>
            <w:tcW w:w="1480" w:type="dxa"/>
            <w:hideMark/>
          </w:tcPr>
          <w:p w14:paraId="34DA20BB"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0.000</w:t>
            </w:r>
          </w:p>
        </w:tc>
      </w:tr>
      <w:tr w:rsidR="00414259" w:rsidRPr="00414259" w14:paraId="6CDCB554" w14:textId="77777777" w:rsidTr="006171E3">
        <w:trPr>
          <w:trHeight w:val="300"/>
        </w:trPr>
        <w:tc>
          <w:tcPr>
            <w:tcW w:w="2552" w:type="dxa"/>
            <w:hideMark/>
          </w:tcPr>
          <w:p w14:paraId="732E9E88"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Redundancies</w:t>
            </w:r>
          </w:p>
        </w:tc>
        <w:tc>
          <w:tcPr>
            <w:tcW w:w="1134" w:type="dxa"/>
            <w:hideMark/>
          </w:tcPr>
          <w:p w14:paraId="5E84AB95"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1.117</w:t>
            </w:r>
          </w:p>
        </w:tc>
        <w:tc>
          <w:tcPr>
            <w:tcW w:w="1217" w:type="dxa"/>
            <w:hideMark/>
          </w:tcPr>
          <w:p w14:paraId="22B76DCA"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0.465</w:t>
            </w:r>
          </w:p>
        </w:tc>
        <w:tc>
          <w:tcPr>
            <w:tcW w:w="1400" w:type="dxa"/>
            <w:hideMark/>
          </w:tcPr>
          <w:p w14:paraId="71FB9F1E"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1.117</w:t>
            </w:r>
          </w:p>
        </w:tc>
        <w:tc>
          <w:tcPr>
            <w:tcW w:w="1480" w:type="dxa"/>
            <w:hideMark/>
          </w:tcPr>
          <w:p w14:paraId="5D143FB4"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0.000</w:t>
            </w:r>
          </w:p>
        </w:tc>
      </w:tr>
      <w:tr w:rsidR="00414259" w:rsidRPr="00414259" w14:paraId="1A6070E5" w14:textId="77777777" w:rsidTr="006171E3">
        <w:trPr>
          <w:trHeight w:val="300"/>
        </w:trPr>
        <w:tc>
          <w:tcPr>
            <w:tcW w:w="2552" w:type="dxa"/>
            <w:hideMark/>
          </w:tcPr>
          <w:p w14:paraId="6A2548A8" w14:textId="77777777" w:rsidR="00414259" w:rsidRPr="00414259" w:rsidRDefault="00414259" w:rsidP="00414259">
            <w:pPr>
              <w:jc w:val="both"/>
              <w:rPr>
                <w:rFonts w:ascii="Arial" w:hAnsi="Arial" w:cs="Arial"/>
                <w:color w:val="000000"/>
                <w:sz w:val="22"/>
                <w:szCs w:val="22"/>
                <w:lang w:eastAsia="en-GB"/>
              </w:rPr>
            </w:pPr>
            <w:r w:rsidRPr="00414259">
              <w:rPr>
                <w:rFonts w:ascii="Arial" w:hAnsi="Arial" w:cs="Arial"/>
                <w:color w:val="000000"/>
                <w:sz w:val="22"/>
                <w:szCs w:val="22"/>
                <w:lang w:eastAsia="en-GB"/>
              </w:rPr>
              <w:t>Other Historic Commitments</w:t>
            </w:r>
          </w:p>
        </w:tc>
        <w:tc>
          <w:tcPr>
            <w:tcW w:w="1134" w:type="dxa"/>
            <w:hideMark/>
          </w:tcPr>
          <w:p w14:paraId="336139A9"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1.636</w:t>
            </w:r>
          </w:p>
        </w:tc>
        <w:tc>
          <w:tcPr>
            <w:tcW w:w="1217" w:type="dxa"/>
            <w:hideMark/>
          </w:tcPr>
          <w:p w14:paraId="33EDE010"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0.682</w:t>
            </w:r>
          </w:p>
        </w:tc>
        <w:tc>
          <w:tcPr>
            <w:tcW w:w="1400" w:type="dxa"/>
            <w:hideMark/>
          </w:tcPr>
          <w:p w14:paraId="47B98D38"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1.636</w:t>
            </w:r>
          </w:p>
        </w:tc>
        <w:tc>
          <w:tcPr>
            <w:tcW w:w="1480" w:type="dxa"/>
            <w:hideMark/>
          </w:tcPr>
          <w:p w14:paraId="346B7B28" w14:textId="77777777" w:rsidR="00414259" w:rsidRPr="00414259" w:rsidRDefault="00414259" w:rsidP="00414259">
            <w:pPr>
              <w:jc w:val="right"/>
              <w:rPr>
                <w:rFonts w:ascii="Arial" w:hAnsi="Arial" w:cs="Arial"/>
                <w:color w:val="000000"/>
                <w:sz w:val="22"/>
                <w:szCs w:val="22"/>
                <w:lang w:eastAsia="en-GB"/>
              </w:rPr>
            </w:pPr>
            <w:r w:rsidRPr="00414259">
              <w:rPr>
                <w:rFonts w:ascii="Arial" w:hAnsi="Arial" w:cs="Arial"/>
                <w:color w:val="000000"/>
                <w:sz w:val="22"/>
                <w:szCs w:val="22"/>
                <w:lang w:eastAsia="en-GB"/>
              </w:rPr>
              <w:t>0.000</w:t>
            </w:r>
          </w:p>
        </w:tc>
      </w:tr>
      <w:tr w:rsidR="00414259" w:rsidRPr="00414259" w14:paraId="4FA5D538" w14:textId="77777777" w:rsidTr="006171E3">
        <w:trPr>
          <w:trHeight w:val="300"/>
        </w:trPr>
        <w:tc>
          <w:tcPr>
            <w:tcW w:w="2552" w:type="dxa"/>
            <w:hideMark/>
          </w:tcPr>
          <w:p w14:paraId="00D7BFFC" w14:textId="77777777" w:rsidR="00414259" w:rsidRPr="00414259" w:rsidRDefault="00414259" w:rsidP="00414259">
            <w:pPr>
              <w:jc w:val="both"/>
              <w:rPr>
                <w:rFonts w:ascii="Arial" w:hAnsi="Arial" w:cs="Arial"/>
                <w:b/>
                <w:bCs/>
                <w:color w:val="000000"/>
                <w:sz w:val="22"/>
                <w:szCs w:val="22"/>
                <w:lang w:eastAsia="en-GB"/>
              </w:rPr>
            </w:pPr>
            <w:r w:rsidRPr="00414259">
              <w:rPr>
                <w:rFonts w:ascii="Arial" w:hAnsi="Arial" w:cs="Arial"/>
                <w:b/>
                <w:bCs/>
                <w:color w:val="000000"/>
                <w:sz w:val="22"/>
                <w:szCs w:val="22"/>
                <w:lang w:eastAsia="en-GB"/>
              </w:rPr>
              <w:t>TOTAL</w:t>
            </w:r>
          </w:p>
        </w:tc>
        <w:tc>
          <w:tcPr>
            <w:tcW w:w="1134" w:type="dxa"/>
            <w:hideMark/>
          </w:tcPr>
          <w:p w14:paraId="6FECE243"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cs="Arial"/>
                <w:b/>
                <w:bCs/>
                <w:color w:val="000000"/>
                <w:sz w:val="22"/>
                <w:szCs w:val="22"/>
                <w:lang w:eastAsia="en-GB"/>
              </w:rPr>
              <w:t>9.050</w:t>
            </w:r>
          </w:p>
        </w:tc>
        <w:tc>
          <w:tcPr>
            <w:tcW w:w="1217" w:type="dxa"/>
            <w:hideMark/>
          </w:tcPr>
          <w:p w14:paraId="6DB11BA0"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cs="Arial"/>
                <w:b/>
                <w:bCs/>
                <w:color w:val="000000"/>
                <w:sz w:val="22"/>
                <w:szCs w:val="22"/>
                <w:lang w:eastAsia="en-GB"/>
              </w:rPr>
              <w:t>2.656</w:t>
            </w:r>
          </w:p>
        </w:tc>
        <w:tc>
          <w:tcPr>
            <w:tcW w:w="1400" w:type="dxa"/>
            <w:hideMark/>
          </w:tcPr>
          <w:p w14:paraId="3E7DB519"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cs="Arial"/>
                <w:b/>
                <w:bCs/>
                <w:color w:val="000000"/>
                <w:sz w:val="22"/>
                <w:szCs w:val="22"/>
                <w:lang w:eastAsia="en-GB"/>
              </w:rPr>
              <w:t>8.455</w:t>
            </w:r>
          </w:p>
        </w:tc>
        <w:tc>
          <w:tcPr>
            <w:tcW w:w="1480" w:type="dxa"/>
            <w:hideMark/>
          </w:tcPr>
          <w:p w14:paraId="7799502D" w14:textId="77777777" w:rsidR="00414259" w:rsidRPr="00414259" w:rsidRDefault="00414259" w:rsidP="00414259">
            <w:pPr>
              <w:jc w:val="right"/>
              <w:rPr>
                <w:rFonts w:ascii="Arial" w:hAnsi="Arial" w:cs="Arial"/>
                <w:b/>
                <w:bCs/>
                <w:color w:val="000000"/>
                <w:sz w:val="22"/>
                <w:szCs w:val="22"/>
                <w:lang w:eastAsia="en-GB"/>
              </w:rPr>
            </w:pPr>
            <w:r w:rsidRPr="00414259">
              <w:rPr>
                <w:rFonts w:ascii="Arial" w:hAnsi="Arial" w:cs="Arial"/>
                <w:b/>
                <w:bCs/>
                <w:color w:val="000000"/>
                <w:sz w:val="22"/>
                <w:szCs w:val="22"/>
                <w:lang w:eastAsia="en-GB"/>
              </w:rPr>
              <w:t>-0.595</w:t>
            </w:r>
          </w:p>
        </w:tc>
      </w:tr>
    </w:tbl>
    <w:p w14:paraId="27F19D63" w14:textId="77777777" w:rsidR="00FC7C3A" w:rsidRPr="00BD2BAF" w:rsidRDefault="00FC7C3A" w:rsidP="00BD2BAF">
      <w:pPr>
        <w:pStyle w:val="Heading3"/>
        <w:rPr>
          <w:rFonts w:ascii="Arial" w:hAnsi="Arial" w:cs="Arial"/>
          <w:b w:val="0"/>
          <w:sz w:val="22"/>
          <w:szCs w:val="22"/>
        </w:rPr>
      </w:pPr>
      <w:r w:rsidRPr="00BD2BAF">
        <w:rPr>
          <w:rFonts w:ascii="Arial" w:hAnsi="Arial" w:cs="Arial"/>
          <w:b w:val="0"/>
          <w:sz w:val="22"/>
          <w:szCs w:val="22"/>
        </w:rPr>
        <w:t xml:space="preserve">Table 5 brings together centrally retained funding supporting the Schools Block. All are currently projected to be within budget except the Growth Fund where an </w:t>
      </w:r>
      <w:r w:rsidRPr="00BD2BAF">
        <w:rPr>
          <w:rFonts w:ascii="Arial" w:hAnsi="Arial" w:cs="Arial"/>
          <w:b w:val="0"/>
          <w:sz w:val="22"/>
          <w:szCs w:val="22"/>
        </w:rPr>
        <w:lastRenderedPageBreak/>
        <w:t>underspend of £0.595m is proj</w:t>
      </w:r>
      <w:r w:rsidR="00DD0D5B">
        <w:rPr>
          <w:rFonts w:ascii="Arial" w:hAnsi="Arial" w:cs="Arial"/>
          <w:b w:val="0"/>
          <w:sz w:val="22"/>
          <w:szCs w:val="22"/>
        </w:rPr>
        <w:t>ected mainly as the expect growth in the free schools/ academies haven’t transpired.</w:t>
      </w:r>
    </w:p>
    <w:p w14:paraId="7B2FA2D9" w14:textId="77777777" w:rsidR="001A108D" w:rsidRPr="00BD2BAF" w:rsidRDefault="00FC7C3A" w:rsidP="00FC7C3A">
      <w:pPr>
        <w:pStyle w:val="Heading2"/>
        <w:numPr>
          <w:ilvl w:val="0"/>
          <w:numId w:val="0"/>
        </w:numPr>
        <w:tabs>
          <w:tab w:val="clear" w:pos="720"/>
          <w:tab w:val="left" w:pos="567"/>
        </w:tabs>
        <w:ind w:left="576"/>
        <w:rPr>
          <w:b w:val="0"/>
          <w:sz w:val="22"/>
          <w:szCs w:val="22"/>
          <w:u w:val="none"/>
        </w:rPr>
      </w:pPr>
      <w:r w:rsidRPr="00BD2BAF">
        <w:rPr>
          <w:b w:val="0"/>
          <w:sz w:val="22"/>
          <w:szCs w:val="22"/>
          <w:u w:val="none"/>
        </w:rPr>
        <w:t xml:space="preserve"> </w:t>
      </w:r>
    </w:p>
    <w:p w14:paraId="6D874E66" w14:textId="77777777" w:rsidR="00D672C6" w:rsidRPr="00A20AF9" w:rsidRDefault="00D672C6" w:rsidP="001068C9">
      <w:pPr>
        <w:pStyle w:val="Heading1"/>
        <w:rPr>
          <w:b/>
          <w:sz w:val="22"/>
          <w:szCs w:val="22"/>
        </w:rPr>
      </w:pPr>
      <w:r w:rsidRPr="00A20AF9">
        <w:rPr>
          <w:b/>
          <w:sz w:val="22"/>
          <w:szCs w:val="22"/>
        </w:rPr>
        <w:t>DSG 2019-20.</w:t>
      </w:r>
    </w:p>
    <w:p w14:paraId="7AD78AB9" w14:textId="77777777" w:rsidR="001068C9" w:rsidRPr="001068C9" w:rsidRDefault="001068C9" w:rsidP="001068C9"/>
    <w:p w14:paraId="39F1DC29" w14:textId="16B5B263" w:rsidR="00D737E3" w:rsidRDefault="00D737E3" w:rsidP="00A20AF9">
      <w:pPr>
        <w:pStyle w:val="Heading2"/>
        <w:tabs>
          <w:tab w:val="clear" w:pos="720"/>
          <w:tab w:val="left" w:pos="567"/>
        </w:tabs>
        <w:jc w:val="both"/>
        <w:rPr>
          <w:b w:val="0"/>
          <w:sz w:val="22"/>
          <w:szCs w:val="22"/>
          <w:u w:val="none"/>
        </w:rPr>
      </w:pPr>
      <w:r w:rsidRPr="001068C9">
        <w:rPr>
          <w:b w:val="0"/>
          <w:sz w:val="22"/>
          <w:szCs w:val="22"/>
          <w:u w:val="none"/>
        </w:rPr>
        <w:t>The i</w:t>
      </w:r>
      <w:r w:rsidR="00D672C6" w:rsidRPr="001068C9">
        <w:rPr>
          <w:b w:val="0"/>
          <w:sz w:val="22"/>
          <w:szCs w:val="22"/>
          <w:u w:val="none"/>
        </w:rPr>
        <w:t xml:space="preserve">ndicative </w:t>
      </w:r>
      <w:r w:rsidRPr="001068C9">
        <w:rPr>
          <w:b w:val="0"/>
          <w:sz w:val="22"/>
          <w:szCs w:val="22"/>
          <w:u w:val="none"/>
        </w:rPr>
        <w:t xml:space="preserve">DSG </w:t>
      </w:r>
      <w:r w:rsidR="00D672C6" w:rsidRPr="001068C9">
        <w:rPr>
          <w:b w:val="0"/>
          <w:sz w:val="22"/>
          <w:szCs w:val="22"/>
          <w:u w:val="none"/>
        </w:rPr>
        <w:t xml:space="preserve">allocation based on October 2017 pupil numbers and the guaranteed </w:t>
      </w:r>
      <w:r w:rsidRPr="001068C9">
        <w:rPr>
          <w:b w:val="0"/>
          <w:sz w:val="22"/>
          <w:szCs w:val="22"/>
          <w:u w:val="none"/>
        </w:rPr>
        <w:t>Primary and Secondary Units of</w:t>
      </w:r>
      <w:r w:rsidR="00D672C6" w:rsidRPr="001068C9">
        <w:rPr>
          <w:b w:val="0"/>
          <w:sz w:val="22"/>
          <w:szCs w:val="22"/>
          <w:u w:val="none"/>
        </w:rPr>
        <w:t xml:space="preserve"> funding</w:t>
      </w:r>
      <w:r w:rsidRPr="001068C9">
        <w:rPr>
          <w:b w:val="0"/>
          <w:sz w:val="22"/>
          <w:szCs w:val="22"/>
          <w:u w:val="none"/>
        </w:rPr>
        <w:t xml:space="preserve"> (PUF and SUF)</w:t>
      </w:r>
      <w:r w:rsidR="00D672C6" w:rsidRPr="001068C9">
        <w:rPr>
          <w:b w:val="0"/>
          <w:sz w:val="22"/>
          <w:szCs w:val="22"/>
          <w:u w:val="none"/>
        </w:rPr>
        <w:t xml:space="preserve"> for</w:t>
      </w:r>
      <w:r w:rsidR="00216930" w:rsidRPr="001068C9">
        <w:rPr>
          <w:b w:val="0"/>
          <w:sz w:val="22"/>
          <w:szCs w:val="22"/>
          <w:u w:val="none"/>
        </w:rPr>
        <w:t xml:space="preserve"> 2019-</w:t>
      </w:r>
      <w:r w:rsidRPr="001068C9">
        <w:rPr>
          <w:b w:val="0"/>
          <w:sz w:val="22"/>
          <w:szCs w:val="22"/>
          <w:u w:val="none"/>
        </w:rPr>
        <w:t>20 was</w:t>
      </w:r>
      <w:r w:rsidR="00216930" w:rsidRPr="001068C9">
        <w:rPr>
          <w:b w:val="0"/>
          <w:sz w:val="22"/>
          <w:szCs w:val="22"/>
          <w:u w:val="none"/>
        </w:rPr>
        <w:t xml:space="preserve"> issued in July. </w:t>
      </w:r>
      <w:r w:rsidRPr="001068C9">
        <w:rPr>
          <w:b w:val="0"/>
          <w:sz w:val="22"/>
          <w:szCs w:val="22"/>
          <w:u w:val="none"/>
        </w:rPr>
        <w:t>This</w:t>
      </w:r>
      <w:r w:rsidR="00216930" w:rsidRPr="001068C9">
        <w:rPr>
          <w:b w:val="0"/>
          <w:sz w:val="22"/>
          <w:szCs w:val="22"/>
          <w:u w:val="none"/>
        </w:rPr>
        <w:t xml:space="preserve"> will be updated in mid-December when the October 2018 census data becomes available. Both the HNB and the </w:t>
      </w:r>
      <w:r w:rsidRPr="001068C9">
        <w:rPr>
          <w:b w:val="0"/>
          <w:sz w:val="22"/>
          <w:szCs w:val="22"/>
          <w:u w:val="none"/>
        </w:rPr>
        <w:t xml:space="preserve">PUF and SUF </w:t>
      </w:r>
      <w:r w:rsidR="00216930" w:rsidRPr="001068C9">
        <w:rPr>
          <w:b w:val="0"/>
          <w:sz w:val="22"/>
          <w:szCs w:val="22"/>
          <w:u w:val="none"/>
        </w:rPr>
        <w:t>have been uplifted to include the 0.5</w:t>
      </w:r>
      <w:r w:rsidR="005A4663">
        <w:rPr>
          <w:b w:val="0"/>
          <w:sz w:val="22"/>
          <w:szCs w:val="22"/>
          <w:u w:val="none"/>
        </w:rPr>
        <w:t xml:space="preserve"> per cent</w:t>
      </w:r>
      <w:r w:rsidR="00216930" w:rsidRPr="001068C9">
        <w:rPr>
          <w:b w:val="0"/>
          <w:sz w:val="22"/>
          <w:szCs w:val="22"/>
          <w:u w:val="none"/>
        </w:rPr>
        <w:t xml:space="preserve"> per-pupil increase promised by the Government</w:t>
      </w:r>
      <w:r w:rsidRPr="001068C9">
        <w:rPr>
          <w:b w:val="0"/>
          <w:sz w:val="22"/>
          <w:szCs w:val="22"/>
          <w:u w:val="none"/>
        </w:rPr>
        <w:t>, in the case of the SUF the increase is 0.7</w:t>
      </w:r>
      <w:r w:rsidR="005A4663">
        <w:rPr>
          <w:b w:val="0"/>
          <w:sz w:val="22"/>
          <w:szCs w:val="22"/>
          <w:u w:val="none"/>
        </w:rPr>
        <w:t xml:space="preserve"> per cent</w:t>
      </w:r>
      <w:r w:rsidR="00216930" w:rsidRPr="001068C9">
        <w:rPr>
          <w:b w:val="0"/>
          <w:sz w:val="22"/>
          <w:szCs w:val="22"/>
          <w:u w:val="none"/>
        </w:rPr>
        <w:t>.</w:t>
      </w:r>
      <w:r w:rsidRPr="001068C9">
        <w:rPr>
          <w:b w:val="0"/>
          <w:sz w:val="22"/>
          <w:szCs w:val="22"/>
          <w:u w:val="none"/>
        </w:rPr>
        <w:t xml:space="preserve"> Table </w:t>
      </w:r>
      <w:r w:rsidR="00194936" w:rsidRPr="001068C9">
        <w:rPr>
          <w:b w:val="0"/>
          <w:sz w:val="22"/>
          <w:szCs w:val="22"/>
          <w:u w:val="none"/>
        </w:rPr>
        <w:t>6</w:t>
      </w:r>
      <w:r w:rsidRPr="001068C9">
        <w:rPr>
          <w:b w:val="0"/>
          <w:sz w:val="22"/>
          <w:szCs w:val="22"/>
          <w:u w:val="none"/>
        </w:rPr>
        <w:t xml:space="preserve"> sets out the indicative allocation.</w:t>
      </w:r>
    </w:p>
    <w:p w14:paraId="0E97DB9A" w14:textId="77777777" w:rsidR="001068C9" w:rsidRPr="001068C9" w:rsidRDefault="001068C9" w:rsidP="001068C9"/>
    <w:p w14:paraId="72D05A17" w14:textId="77777777" w:rsidR="00D737E3" w:rsidRPr="00220BFA" w:rsidRDefault="00AE3450" w:rsidP="00220BFA">
      <w:pPr>
        <w:keepNext/>
        <w:tabs>
          <w:tab w:val="num" w:pos="815"/>
        </w:tabs>
        <w:spacing w:before="60" w:after="60"/>
        <w:jc w:val="both"/>
        <w:rPr>
          <w:rFonts w:ascii="Arial" w:hAnsi="Arial"/>
          <w:b/>
          <w:sz w:val="22"/>
          <w:szCs w:val="22"/>
        </w:rPr>
      </w:pPr>
      <w:r>
        <w:rPr>
          <w:rFonts w:ascii="Arial" w:hAnsi="Arial"/>
          <w:b/>
          <w:sz w:val="22"/>
          <w:szCs w:val="22"/>
        </w:rPr>
        <w:t xml:space="preserve">    </w:t>
      </w:r>
      <w:r w:rsidR="00220BFA">
        <w:rPr>
          <w:rFonts w:ascii="Arial" w:hAnsi="Arial"/>
          <w:b/>
          <w:sz w:val="22"/>
          <w:szCs w:val="22"/>
        </w:rPr>
        <w:t>Table 6</w:t>
      </w:r>
      <w:r w:rsidR="00220BFA" w:rsidRPr="00220BFA">
        <w:rPr>
          <w:rFonts w:ascii="Arial" w:hAnsi="Arial"/>
          <w:b/>
          <w:sz w:val="22"/>
          <w:szCs w:val="22"/>
        </w:rPr>
        <w:t>: Indicative DSG Allocation 2019-20.</w:t>
      </w:r>
    </w:p>
    <w:tbl>
      <w:tblPr>
        <w:tblStyle w:val="TableGrid"/>
        <w:tblW w:w="0" w:type="auto"/>
        <w:tblLook w:val="04A0" w:firstRow="1" w:lastRow="0" w:firstColumn="1" w:lastColumn="0" w:noHBand="0" w:noVBand="1"/>
      </w:tblPr>
      <w:tblGrid>
        <w:gridCol w:w="2268"/>
        <w:gridCol w:w="1700"/>
        <w:gridCol w:w="2180"/>
        <w:gridCol w:w="2073"/>
      </w:tblGrid>
      <w:tr w:rsidR="00D737E3" w:rsidRPr="00FA466C" w14:paraId="3000255A" w14:textId="77777777" w:rsidTr="006171E3">
        <w:tc>
          <w:tcPr>
            <w:tcW w:w="2268" w:type="dxa"/>
          </w:tcPr>
          <w:p w14:paraId="3E1D1892" w14:textId="77777777" w:rsidR="00D737E3" w:rsidRPr="00FA466C" w:rsidRDefault="00D737E3" w:rsidP="00FA466C">
            <w:pPr>
              <w:keepNext/>
              <w:spacing w:before="60" w:after="60"/>
              <w:rPr>
                <w:rFonts w:ascii="Arial" w:hAnsi="Arial"/>
                <w:b/>
                <w:sz w:val="22"/>
                <w:szCs w:val="22"/>
              </w:rPr>
            </w:pPr>
            <w:r w:rsidRPr="00FA466C">
              <w:rPr>
                <w:rFonts w:ascii="Arial" w:hAnsi="Arial"/>
                <w:b/>
                <w:sz w:val="22"/>
                <w:szCs w:val="22"/>
              </w:rPr>
              <w:t>Block</w:t>
            </w:r>
          </w:p>
        </w:tc>
        <w:tc>
          <w:tcPr>
            <w:tcW w:w="1700" w:type="dxa"/>
          </w:tcPr>
          <w:p w14:paraId="7D446862" w14:textId="77777777" w:rsidR="00D737E3" w:rsidRPr="00FA466C" w:rsidRDefault="00D737E3" w:rsidP="00FA466C">
            <w:pPr>
              <w:keepNext/>
              <w:spacing w:before="60" w:after="60"/>
              <w:jc w:val="center"/>
              <w:rPr>
                <w:rFonts w:ascii="Arial" w:hAnsi="Arial"/>
                <w:b/>
                <w:sz w:val="22"/>
                <w:szCs w:val="22"/>
              </w:rPr>
            </w:pPr>
            <w:r w:rsidRPr="00FA466C">
              <w:rPr>
                <w:rFonts w:ascii="Arial" w:hAnsi="Arial"/>
                <w:b/>
                <w:sz w:val="22"/>
                <w:szCs w:val="22"/>
              </w:rPr>
              <w:t>2019-20</w:t>
            </w:r>
          </w:p>
        </w:tc>
        <w:tc>
          <w:tcPr>
            <w:tcW w:w="2180" w:type="dxa"/>
          </w:tcPr>
          <w:p w14:paraId="44658584" w14:textId="77777777" w:rsidR="00D737E3" w:rsidRPr="00FA466C" w:rsidRDefault="00D737E3" w:rsidP="00FA466C">
            <w:pPr>
              <w:keepNext/>
              <w:spacing w:before="60" w:after="60"/>
              <w:jc w:val="center"/>
              <w:rPr>
                <w:rFonts w:ascii="Arial" w:hAnsi="Arial"/>
                <w:b/>
                <w:sz w:val="22"/>
                <w:szCs w:val="22"/>
              </w:rPr>
            </w:pPr>
            <w:r w:rsidRPr="00FA466C">
              <w:rPr>
                <w:rFonts w:ascii="Arial" w:hAnsi="Arial"/>
                <w:b/>
                <w:sz w:val="22"/>
                <w:szCs w:val="22"/>
              </w:rPr>
              <w:t>2018-19</w:t>
            </w:r>
          </w:p>
        </w:tc>
        <w:tc>
          <w:tcPr>
            <w:tcW w:w="2073" w:type="dxa"/>
          </w:tcPr>
          <w:p w14:paraId="05BFF3FF" w14:textId="77777777" w:rsidR="00D737E3" w:rsidRPr="00FA466C" w:rsidRDefault="00D737E3" w:rsidP="00FA466C">
            <w:pPr>
              <w:keepNext/>
              <w:spacing w:before="60" w:after="60"/>
              <w:jc w:val="center"/>
              <w:rPr>
                <w:rFonts w:ascii="Arial" w:hAnsi="Arial"/>
                <w:b/>
                <w:sz w:val="22"/>
                <w:szCs w:val="22"/>
              </w:rPr>
            </w:pPr>
            <w:r w:rsidRPr="00FA466C">
              <w:rPr>
                <w:rFonts w:ascii="Arial" w:hAnsi="Arial"/>
                <w:b/>
                <w:sz w:val="22"/>
                <w:szCs w:val="22"/>
              </w:rPr>
              <w:t>Change</w:t>
            </w:r>
          </w:p>
        </w:tc>
      </w:tr>
      <w:tr w:rsidR="00D737E3" w:rsidRPr="00FA466C" w14:paraId="4999B08A" w14:textId="77777777" w:rsidTr="006171E3">
        <w:tc>
          <w:tcPr>
            <w:tcW w:w="2268" w:type="dxa"/>
          </w:tcPr>
          <w:p w14:paraId="10A5AB84" w14:textId="77777777" w:rsidR="00D737E3" w:rsidRPr="00FA466C" w:rsidRDefault="00D737E3" w:rsidP="00FA466C">
            <w:pPr>
              <w:keepNext/>
              <w:spacing w:before="60" w:after="60"/>
              <w:jc w:val="both"/>
              <w:rPr>
                <w:rFonts w:ascii="Arial" w:hAnsi="Arial"/>
                <w:sz w:val="22"/>
                <w:szCs w:val="22"/>
              </w:rPr>
            </w:pPr>
          </w:p>
        </w:tc>
        <w:tc>
          <w:tcPr>
            <w:tcW w:w="1700" w:type="dxa"/>
          </w:tcPr>
          <w:p w14:paraId="3EB194CF" w14:textId="77777777" w:rsidR="00D737E3" w:rsidRPr="00FA466C" w:rsidRDefault="009737BD" w:rsidP="00FA466C">
            <w:pPr>
              <w:keepNext/>
              <w:spacing w:before="60" w:after="60"/>
              <w:jc w:val="center"/>
              <w:rPr>
                <w:rFonts w:ascii="Arial" w:hAnsi="Arial"/>
                <w:sz w:val="22"/>
                <w:szCs w:val="22"/>
              </w:rPr>
            </w:pPr>
            <w:r w:rsidRPr="00FA466C">
              <w:rPr>
                <w:rFonts w:ascii="Arial" w:hAnsi="Arial"/>
                <w:sz w:val="22"/>
                <w:szCs w:val="22"/>
              </w:rPr>
              <w:t>£m</w:t>
            </w:r>
          </w:p>
        </w:tc>
        <w:tc>
          <w:tcPr>
            <w:tcW w:w="2180" w:type="dxa"/>
          </w:tcPr>
          <w:p w14:paraId="3DA6A955" w14:textId="77777777" w:rsidR="00D737E3" w:rsidRPr="00FA466C" w:rsidRDefault="009737BD" w:rsidP="00FA466C">
            <w:pPr>
              <w:keepNext/>
              <w:spacing w:before="60" w:after="60"/>
              <w:jc w:val="center"/>
              <w:rPr>
                <w:rFonts w:ascii="Arial" w:hAnsi="Arial"/>
                <w:sz w:val="22"/>
                <w:szCs w:val="22"/>
              </w:rPr>
            </w:pPr>
            <w:r w:rsidRPr="00FA466C">
              <w:rPr>
                <w:rFonts w:ascii="Arial" w:hAnsi="Arial"/>
                <w:sz w:val="22"/>
                <w:szCs w:val="22"/>
              </w:rPr>
              <w:t>£m</w:t>
            </w:r>
          </w:p>
        </w:tc>
        <w:tc>
          <w:tcPr>
            <w:tcW w:w="2073" w:type="dxa"/>
          </w:tcPr>
          <w:p w14:paraId="3DBAFD71" w14:textId="77777777" w:rsidR="00D737E3" w:rsidRPr="00FA466C" w:rsidRDefault="009737BD" w:rsidP="00FA466C">
            <w:pPr>
              <w:keepNext/>
              <w:spacing w:before="60" w:after="60"/>
              <w:jc w:val="center"/>
              <w:rPr>
                <w:rFonts w:ascii="Arial" w:hAnsi="Arial"/>
                <w:sz w:val="22"/>
                <w:szCs w:val="22"/>
              </w:rPr>
            </w:pPr>
            <w:r w:rsidRPr="00FA466C">
              <w:rPr>
                <w:rFonts w:ascii="Arial" w:hAnsi="Arial"/>
                <w:sz w:val="22"/>
                <w:szCs w:val="22"/>
              </w:rPr>
              <w:t>£m</w:t>
            </w:r>
          </w:p>
        </w:tc>
      </w:tr>
      <w:tr w:rsidR="00D737E3" w:rsidRPr="00FA466C" w14:paraId="151060D8" w14:textId="77777777" w:rsidTr="006171E3">
        <w:tc>
          <w:tcPr>
            <w:tcW w:w="2268" w:type="dxa"/>
          </w:tcPr>
          <w:p w14:paraId="28168BD4" w14:textId="77777777" w:rsidR="00D737E3" w:rsidRPr="00FA466C" w:rsidRDefault="00D737E3" w:rsidP="00FA466C">
            <w:pPr>
              <w:keepNext/>
              <w:spacing w:before="60" w:after="60"/>
              <w:jc w:val="both"/>
              <w:rPr>
                <w:rFonts w:ascii="Arial" w:hAnsi="Arial"/>
                <w:b/>
                <w:sz w:val="22"/>
                <w:szCs w:val="22"/>
              </w:rPr>
            </w:pPr>
            <w:r w:rsidRPr="00FA466C">
              <w:rPr>
                <w:rFonts w:ascii="Arial" w:hAnsi="Arial"/>
                <w:b/>
                <w:sz w:val="22"/>
                <w:szCs w:val="22"/>
              </w:rPr>
              <w:t>Schools Block</w:t>
            </w:r>
          </w:p>
        </w:tc>
        <w:tc>
          <w:tcPr>
            <w:tcW w:w="1700" w:type="dxa"/>
          </w:tcPr>
          <w:p w14:paraId="03FF1ADD" w14:textId="77777777" w:rsidR="00D737E3" w:rsidRPr="00FA466C" w:rsidRDefault="00134569" w:rsidP="00FA466C">
            <w:pPr>
              <w:keepNext/>
              <w:spacing w:before="60" w:after="60"/>
              <w:jc w:val="right"/>
              <w:rPr>
                <w:rFonts w:ascii="Arial" w:hAnsi="Arial"/>
                <w:sz w:val="22"/>
                <w:szCs w:val="22"/>
              </w:rPr>
            </w:pPr>
            <w:r w:rsidRPr="00FA466C">
              <w:rPr>
                <w:rFonts w:ascii="Arial" w:hAnsi="Arial"/>
                <w:sz w:val="22"/>
                <w:szCs w:val="22"/>
              </w:rPr>
              <w:t>260.193</w:t>
            </w:r>
          </w:p>
        </w:tc>
        <w:tc>
          <w:tcPr>
            <w:tcW w:w="2180" w:type="dxa"/>
          </w:tcPr>
          <w:p w14:paraId="6CB63167" w14:textId="77777777" w:rsidR="00D737E3" w:rsidRPr="00FA466C" w:rsidRDefault="00134569" w:rsidP="00FA466C">
            <w:pPr>
              <w:keepNext/>
              <w:spacing w:before="60" w:after="60"/>
              <w:jc w:val="right"/>
              <w:rPr>
                <w:rFonts w:ascii="Arial" w:hAnsi="Arial"/>
                <w:sz w:val="22"/>
                <w:szCs w:val="22"/>
              </w:rPr>
            </w:pPr>
            <w:r w:rsidRPr="00FA466C">
              <w:rPr>
                <w:rFonts w:ascii="Arial" w:hAnsi="Arial"/>
                <w:sz w:val="22"/>
                <w:szCs w:val="22"/>
              </w:rPr>
              <w:t>259.176</w:t>
            </w:r>
          </w:p>
        </w:tc>
        <w:tc>
          <w:tcPr>
            <w:tcW w:w="2073" w:type="dxa"/>
          </w:tcPr>
          <w:p w14:paraId="24922133" w14:textId="77777777" w:rsidR="00D737E3" w:rsidRPr="00FA466C" w:rsidRDefault="00134569" w:rsidP="00FA466C">
            <w:pPr>
              <w:keepNext/>
              <w:spacing w:before="60" w:after="60"/>
              <w:jc w:val="right"/>
              <w:rPr>
                <w:rFonts w:ascii="Arial" w:hAnsi="Arial"/>
                <w:sz w:val="22"/>
                <w:szCs w:val="22"/>
              </w:rPr>
            </w:pPr>
            <w:r w:rsidRPr="00FA466C">
              <w:rPr>
                <w:rFonts w:ascii="Arial" w:hAnsi="Arial"/>
                <w:sz w:val="22"/>
                <w:szCs w:val="22"/>
              </w:rPr>
              <w:t>1.017</w:t>
            </w:r>
          </w:p>
        </w:tc>
      </w:tr>
      <w:tr w:rsidR="00D737E3" w:rsidRPr="00FA466C" w14:paraId="12B86DE4" w14:textId="77777777" w:rsidTr="006171E3">
        <w:tc>
          <w:tcPr>
            <w:tcW w:w="2268" w:type="dxa"/>
          </w:tcPr>
          <w:p w14:paraId="3060049A" w14:textId="77777777" w:rsidR="00D737E3" w:rsidRPr="00FA466C" w:rsidRDefault="00D737E3" w:rsidP="00FA466C">
            <w:pPr>
              <w:keepNext/>
              <w:spacing w:before="60" w:after="60"/>
              <w:jc w:val="both"/>
              <w:rPr>
                <w:rFonts w:ascii="Arial" w:hAnsi="Arial"/>
                <w:b/>
                <w:sz w:val="22"/>
                <w:szCs w:val="22"/>
              </w:rPr>
            </w:pPr>
            <w:r w:rsidRPr="00FA466C">
              <w:rPr>
                <w:rFonts w:ascii="Arial" w:hAnsi="Arial"/>
                <w:b/>
                <w:sz w:val="22"/>
                <w:szCs w:val="22"/>
              </w:rPr>
              <w:t>CSSB</w:t>
            </w:r>
          </w:p>
        </w:tc>
        <w:tc>
          <w:tcPr>
            <w:tcW w:w="1700" w:type="dxa"/>
          </w:tcPr>
          <w:p w14:paraId="6E9D6262" w14:textId="77777777" w:rsidR="00D737E3" w:rsidRPr="00FA466C" w:rsidRDefault="00134569" w:rsidP="00FA466C">
            <w:pPr>
              <w:jc w:val="right"/>
              <w:rPr>
                <w:rFonts w:ascii="Arial" w:hAnsi="Arial" w:cs="Arial"/>
                <w:color w:val="000000"/>
                <w:sz w:val="22"/>
                <w:szCs w:val="22"/>
              </w:rPr>
            </w:pPr>
            <w:r w:rsidRPr="00FA466C">
              <w:rPr>
                <w:rFonts w:ascii="Arial" w:hAnsi="Arial" w:cs="Arial"/>
                <w:color w:val="000000"/>
                <w:sz w:val="22"/>
                <w:szCs w:val="22"/>
              </w:rPr>
              <w:t>4.798</w:t>
            </w:r>
          </w:p>
        </w:tc>
        <w:tc>
          <w:tcPr>
            <w:tcW w:w="2180" w:type="dxa"/>
          </w:tcPr>
          <w:p w14:paraId="26D42CA9" w14:textId="77777777" w:rsidR="00D737E3" w:rsidRPr="00FA466C" w:rsidRDefault="00134569" w:rsidP="00FA466C">
            <w:pPr>
              <w:keepNext/>
              <w:spacing w:before="60" w:after="60"/>
              <w:jc w:val="right"/>
              <w:rPr>
                <w:rFonts w:ascii="Arial" w:hAnsi="Arial"/>
                <w:sz w:val="22"/>
                <w:szCs w:val="22"/>
              </w:rPr>
            </w:pPr>
            <w:r w:rsidRPr="00FA466C">
              <w:rPr>
                <w:rFonts w:ascii="Arial" w:hAnsi="Arial"/>
                <w:sz w:val="22"/>
                <w:szCs w:val="22"/>
              </w:rPr>
              <w:t>4.851</w:t>
            </w:r>
          </w:p>
        </w:tc>
        <w:tc>
          <w:tcPr>
            <w:tcW w:w="2073" w:type="dxa"/>
          </w:tcPr>
          <w:p w14:paraId="34C207F7" w14:textId="77777777" w:rsidR="00D737E3" w:rsidRPr="00FA466C" w:rsidRDefault="00134569" w:rsidP="00FA466C">
            <w:pPr>
              <w:keepNext/>
              <w:spacing w:before="60" w:after="60"/>
              <w:jc w:val="right"/>
              <w:rPr>
                <w:rFonts w:ascii="Arial" w:hAnsi="Arial"/>
                <w:sz w:val="22"/>
                <w:szCs w:val="22"/>
              </w:rPr>
            </w:pPr>
            <w:r w:rsidRPr="00FA466C">
              <w:rPr>
                <w:rFonts w:ascii="Arial" w:hAnsi="Arial"/>
                <w:sz w:val="22"/>
                <w:szCs w:val="22"/>
              </w:rPr>
              <w:t>(0.053)</w:t>
            </w:r>
          </w:p>
        </w:tc>
      </w:tr>
      <w:tr w:rsidR="00D737E3" w:rsidRPr="00FA466C" w14:paraId="58788A86" w14:textId="77777777" w:rsidTr="006171E3">
        <w:tc>
          <w:tcPr>
            <w:tcW w:w="2268" w:type="dxa"/>
          </w:tcPr>
          <w:p w14:paraId="485C9187" w14:textId="77777777" w:rsidR="00D737E3" w:rsidRPr="00FA466C" w:rsidRDefault="00D737E3" w:rsidP="00FA466C">
            <w:pPr>
              <w:keepNext/>
              <w:spacing w:before="60" w:after="60"/>
              <w:jc w:val="both"/>
              <w:rPr>
                <w:rFonts w:ascii="Arial" w:hAnsi="Arial"/>
                <w:b/>
                <w:sz w:val="22"/>
                <w:szCs w:val="22"/>
              </w:rPr>
            </w:pPr>
            <w:r w:rsidRPr="00FA466C">
              <w:rPr>
                <w:rFonts w:ascii="Arial" w:hAnsi="Arial"/>
                <w:b/>
                <w:sz w:val="22"/>
                <w:szCs w:val="22"/>
              </w:rPr>
              <w:t>High Needs Block</w:t>
            </w:r>
          </w:p>
        </w:tc>
        <w:tc>
          <w:tcPr>
            <w:tcW w:w="1700" w:type="dxa"/>
          </w:tcPr>
          <w:p w14:paraId="2247CFBF" w14:textId="77777777" w:rsidR="00D737E3" w:rsidRPr="00FA466C" w:rsidRDefault="00134569" w:rsidP="00FA466C">
            <w:pPr>
              <w:keepNext/>
              <w:spacing w:before="60" w:after="60"/>
              <w:jc w:val="right"/>
              <w:rPr>
                <w:rFonts w:ascii="Arial" w:hAnsi="Arial"/>
                <w:sz w:val="22"/>
                <w:szCs w:val="22"/>
              </w:rPr>
            </w:pPr>
            <w:r w:rsidRPr="00FA466C">
              <w:rPr>
                <w:rFonts w:ascii="Arial" w:hAnsi="Arial"/>
                <w:sz w:val="22"/>
                <w:szCs w:val="22"/>
              </w:rPr>
              <w:t>49.574</w:t>
            </w:r>
          </w:p>
        </w:tc>
        <w:tc>
          <w:tcPr>
            <w:tcW w:w="2180" w:type="dxa"/>
          </w:tcPr>
          <w:p w14:paraId="37F994D9" w14:textId="77777777" w:rsidR="00D737E3" w:rsidRPr="00FA466C" w:rsidRDefault="00134569" w:rsidP="00FA466C">
            <w:pPr>
              <w:keepNext/>
              <w:spacing w:before="60" w:after="60"/>
              <w:jc w:val="right"/>
              <w:rPr>
                <w:rFonts w:ascii="Arial" w:hAnsi="Arial"/>
                <w:sz w:val="22"/>
                <w:szCs w:val="22"/>
              </w:rPr>
            </w:pPr>
            <w:r w:rsidRPr="00FA466C">
              <w:rPr>
                <w:rFonts w:ascii="Arial" w:hAnsi="Arial"/>
                <w:sz w:val="22"/>
                <w:szCs w:val="22"/>
              </w:rPr>
              <w:t>49.058</w:t>
            </w:r>
          </w:p>
        </w:tc>
        <w:tc>
          <w:tcPr>
            <w:tcW w:w="2073" w:type="dxa"/>
          </w:tcPr>
          <w:p w14:paraId="7CD02717" w14:textId="77777777" w:rsidR="00D737E3" w:rsidRPr="00FA466C" w:rsidRDefault="00134569" w:rsidP="00FA466C">
            <w:pPr>
              <w:keepNext/>
              <w:spacing w:before="60" w:after="60"/>
              <w:jc w:val="right"/>
              <w:rPr>
                <w:rFonts w:ascii="Arial" w:hAnsi="Arial"/>
                <w:sz w:val="22"/>
                <w:szCs w:val="22"/>
              </w:rPr>
            </w:pPr>
            <w:r w:rsidRPr="00FA466C">
              <w:rPr>
                <w:rFonts w:ascii="Arial" w:hAnsi="Arial"/>
                <w:sz w:val="22"/>
                <w:szCs w:val="22"/>
              </w:rPr>
              <w:t>0.516</w:t>
            </w:r>
          </w:p>
        </w:tc>
      </w:tr>
      <w:tr w:rsidR="00D737E3" w:rsidRPr="00FA466C" w14:paraId="70174B86" w14:textId="77777777" w:rsidTr="006171E3">
        <w:tc>
          <w:tcPr>
            <w:tcW w:w="2268" w:type="dxa"/>
          </w:tcPr>
          <w:p w14:paraId="2367298C" w14:textId="77777777" w:rsidR="00D737E3" w:rsidRPr="00FA466C" w:rsidRDefault="00D737E3" w:rsidP="00FA466C">
            <w:pPr>
              <w:keepNext/>
              <w:spacing w:before="60" w:after="60"/>
              <w:jc w:val="both"/>
              <w:rPr>
                <w:rFonts w:ascii="Arial" w:hAnsi="Arial"/>
                <w:b/>
                <w:sz w:val="22"/>
                <w:szCs w:val="22"/>
              </w:rPr>
            </w:pPr>
            <w:r w:rsidRPr="00FA466C">
              <w:rPr>
                <w:rFonts w:ascii="Arial" w:hAnsi="Arial"/>
                <w:b/>
                <w:sz w:val="22"/>
                <w:szCs w:val="22"/>
              </w:rPr>
              <w:t>Early Years Block</w:t>
            </w:r>
          </w:p>
        </w:tc>
        <w:tc>
          <w:tcPr>
            <w:tcW w:w="1700" w:type="dxa"/>
          </w:tcPr>
          <w:p w14:paraId="47B1A4CB" w14:textId="77777777" w:rsidR="00D737E3" w:rsidRPr="00FA466C" w:rsidRDefault="00134569" w:rsidP="00FA466C">
            <w:pPr>
              <w:keepNext/>
              <w:spacing w:before="60" w:after="60"/>
              <w:jc w:val="right"/>
              <w:rPr>
                <w:rFonts w:ascii="Arial" w:hAnsi="Arial"/>
                <w:sz w:val="22"/>
                <w:szCs w:val="22"/>
              </w:rPr>
            </w:pPr>
            <w:r w:rsidRPr="00FA466C">
              <w:rPr>
                <w:rFonts w:ascii="Arial" w:hAnsi="Arial"/>
                <w:sz w:val="22"/>
                <w:szCs w:val="22"/>
              </w:rPr>
              <w:t>29.528</w:t>
            </w:r>
          </w:p>
        </w:tc>
        <w:tc>
          <w:tcPr>
            <w:tcW w:w="2180" w:type="dxa"/>
          </w:tcPr>
          <w:p w14:paraId="050BDDC9" w14:textId="77777777" w:rsidR="00D737E3" w:rsidRPr="00FA466C" w:rsidRDefault="00134569" w:rsidP="00FA466C">
            <w:pPr>
              <w:keepNext/>
              <w:spacing w:before="60" w:after="60"/>
              <w:jc w:val="right"/>
              <w:rPr>
                <w:rFonts w:ascii="Arial" w:hAnsi="Arial"/>
                <w:sz w:val="22"/>
                <w:szCs w:val="22"/>
              </w:rPr>
            </w:pPr>
            <w:r w:rsidRPr="00FA466C">
              <w:rPr>
                <w:rFonts w:ascii="Arial" w:hAnsi="Arial"/>
                <w:sz w:val="22"/>
                <w:szCs w:val="22"/>
              </w:rPr>
              <w:t>29.528</w:t>
            </w:r>
          </w:p>
        </w:tc>
        <w:tc>
          <w:tcPr>
            <w:tcW w:w="2073" w:type="dxa"/>
          </w:tcPr>
          <w:p w14:paraId="334819EC" w14:textId="77777777" w:rsidR="00D737E3" w:rsidRPr="00FA466C" w:rsidRDefault="00134569" w:rsidP="00FA466C">
            <w:pPr>
              <w:keepNext/>
              <w:spacing w:before="60" w:after="60"/>
              <w:jc w:val="right"/>
              <w:rPr>
                <w:rFonts w:ascii="Arial" w:hAnsi="Arial"/>
                <w:sz w:val="22"/>
                <w:szCs w:val="22"/>
              </w:rPr>
            </w:pPr>
            <w:r w:rsidRPr="00FA466C">
              <w:rPr>
                <w:rFonts w:ascii="Arial" w:hAnsi="Arial"/>
                <w:sz w:val="22"/>
                <w:szCs w:val="22"/>
              </w:rPr>
              <w:t>0.0</w:t>
            </w:r>
          </w:p>
        </w:tc>
      </w:tr>
      <w:tr w:rsidR="00D737E3" w:rsidRPr="00FA466C" w14:paraId="287C2468" w14:textId="77777777" w:rsidTr="006171E3">
        <w:tc>
          <w:tcPr>
            <w:tcW w:w="2268" w:type="dxa"/>
          </w:tcPr>
          <w:p w14:paraId="48B936E2" w14:textId="77777777" w:rsidR="00D737E3" w:rsidRPr="00FA466C" w:rsidRDefault="00D737E3" w:rsidP="00FA466C">
            <w:pPr>
              <w:keepNext/>
              <w:spacing w:before="60" w:after="60"/>
              <w:jc w:val="both"/>
              <w:rPr>
                <w:rFonts w:ascii="Arial" w:hAnsi="Arial"/>
                <w:b/>
                <w:sz w:val="22"/>
                <w:szCs w:val="22"/>
              </w:rPr>
            </w:pPr>
            <w:r w:rsidRPr="00FA466C">
              <w:rPr>
                <w:rFonts w:ascii="Arial" w:hAnsi="Arial"/>
                <w:b/>
                <w:sz w:val="22"/>
                <w:szCs w:val="22"/>
              </w:rPr>
              <w:t>Total</w:t>
            </w:r>
          </w:p>
        </w:tc>
        <w:tc>
          <w:tcPr>
            <w:tcW w:w="1700" w:type="dxa"/>
          </w:tcPr>
          <w:p w14:paraId="047B68D4" w14:textId="77777777" w:rsidR="00D737E3" w:rsidRPr="00FA466C" w:rsidRDefault="00134569" w:rsidP="00FA466C">
            <w:pPr>
              <w:keepNext/>
              <w:spacing w:before="60" w:after="60"/>
              <w:jc w:val="right"/>
              <w:rPr>
                <w:rFonts w:ascii="Arial" w:hAnsi="Arial"/>
                <w:sz w:val="22"/>
                <w:szCs w:val="22"/>
              </w:rPr>
            </w:pPr>
            <w:r w:rsidRPr="00FA466C">
              <w:rPr>
                <w:rFonts w:ascii="Arial" w:hAnsi="Arial"/>
                <w:sz w:val="22"/>
                <w:szCs w:val="22"/>
              </w:rPr>
              <w:t>344.093</w:t>
            </w:r>
          </w:p>
        </w:tc>
        <w:tc>
          <w:tcPr>
            <w:tcW w:w="2180" w:type="dxa"/>
          </w:tcPr>
          <w:p w14:paraId="0D712FA3" w14:textId="77777777" w:rsidR="00D737E3" w:rsidRPr="00FA466C" w:rsidRDefault="00134569" w:rsidP="00FA466C">
            <w:pPr>
              <w:keepNext/>
              <w:spacing w:before="60" w:after="60"/>
              <w:jc w:val="right"/>
              <w:rPr>
                <w:rFonts w:ascii="Arial" w:hAnsi="Arial"/>
                <w:sz w:val="22"/>
                <w:szCs w:val="22"/>
              </w:rPr>
            </w:pPr>
            <w:r w:rsidRPr="00FA466C">
              <w:rPr>
                <w:rFonts w:ascii="Arial" w:hAnsi="Arial"/>
                <w:sz w:val="22"/>
                <w:szCs w:val="22"/>
              </w:rPr>
              <w:t>342.613</w:t>
            </w:r>
          </w:p>
        </w:tc>
        <w:tc>
          <w:tcPr>
            <w:tcW w:w="2073" w:type="dxa"/>
          </w:tcPr>
          <w:p w14:paraId="4A3D308B" w14:textId="77777777" w:rsidR="00D737E3" w:rsidRPr="00FA466C" w:rsidRDefault="00134569" w:rsidP="00FA466C">
            <w:pPr>
              <w:keepNext/>
              <w:spacing w:before="60" w:after="60"/>
              <w:jc w:val="right"/>
              <w:rPr>
                <w:rFonts w:ascii="Arial" w:hAnsi="Arial"/>
                <w:sz w:val="22"/>
                <w:szCs w:val="22"/>
              </w:rPr>
            </w:pPr>
            <w:r w:rsidRPr="00FA466C">
              <w:rPr>
                <w:rFonts w:ascii="Arial" w:hAnsi="Arial"/>
                <w:sz w:val="22"/>
                <w:szCs w:val="22"/>
              </w:rPr>
              <w:t>1.480</w:t>
            </w:r>
          </w:p>
        </w:tc>
      </w:tr>
    </w:tbl>
    <w:p w14:paraId="3D8D7070" w14:textId="77777777" w:rsidR="009737BD" w:rsidRDefault="00AE3450" w:rsidP="00437A9F">
      <w:pPr>
        <w:keepNext/>
        <w:spacing w:before="60" w:after="60"/>
        <w:jc w:val="both"/>
        <w:rPr>
          <w:rFonts w:ascii="Arial" w:hAnsi="Arial"/>
          <w:sz w:val="20"/>
        </w:rPr>
      </w:pPr>
      <w:r>
        <w:rPr>
          <w:rFonts w:ascii="Arial" w:hAnsi="Arial"/>
          <w:sz w:val="20"/>
        </w:rPr>
        <w:t xml:space="preserve">     </w:t>
      </w:r>
      <w:r w:rsidR="001931E1" w:rsidRPr="00BE40BB">
        <w:rPr>
          <w:rFonts w:ascii="Arial" w:hAnsi="Arial"/>
          <w:sz w:val="20"/>
        </w:rPr>
        <w:t xml:space="preserve">Note: The EYB will not be updated from 2018-19 until the January </w:t>
      </w:r>
      <w:r w:rsidR="00BE40BB">
        <w:rPr>
          <w:rFonts w:ascii="Arial" w:hAnsi="Arial"/>
          <w:sz w:val="20"/>
        </w:rPr>
        <w:t xml:space="preserve">2019 </w:t>
      </w:r>
      <w:r w:rsidR="001931E1" w:rsidRPr="00BE40BB">
        <w:rPr>
          <w:rFonts w:ascii="Arial" w:hAnsi="Arial"/>
          <w:sz w:val="20"/>
        </w:rPr>
        <w:t>census is available.</w:t>
      </w:r>
    </w:p>
    <w:p w14:paraId="761F5D8A" w14:textId="77777777" w:rsidR="00194936" w:rsidRPr="00437A9F" w:rsidRDefault="00194936" w:rsidP="00437A9F">
      <w:pPr>
        <w:keepNext/>
        <w:spacing w:before="60" w:after="60"/>
        <w:jc w:val="both"/>
        <w:rPr>
          <w:rFonts w:ascii="Arial" w:hAnsi="Arial"/>
          <w:sz w:val="20"/>
        </w:rPr>
      </w:pPr>
    </w:p>
    <w:p w14:paraId="2C5463B5" w14:textId="77777777" w:rsidR="00D672C6" w:rsidRDefault="009737BD" w:rsidP="00A20AF9">
      <w:pPr>
        <w:pStyle w:val="Heading2"/>
        <w:tabs>
          <w:tab w:val="clear" w:pos="720"/>
          <w:tab w:val="left" w:pos="567"/>
        </w:tabs>
        <w:ind w:hanging="567"/>
        <w:jc w:val="both"/>
        <w:rPr>
          <w:rFonts w:cs="Arial"/>
          <w:b w:val="0"/>
          <w:sz w:val="22"/>
          <w:szCs w:val="22"/>
          <w:u w:val="none"/>
        </w:rPr>
      </w:pPr>
      <w:r w:rsidRPr="00BD2BAF">
        <w:rPr>
          <w:rFonts w:cs="Arial"/>
          <w:sz w:val="22"/>
          <w:szCs w:val="22"/>
          <w:u w:val="none"/>
        </w:rPr>
        <w:t>Schools Block</w:t>
      </w:r>
      <w:r w:rsidRPr="00A012D9">
        <w:rPr>
          <w:rFonts w:cs="Arial"/>
          <w:b w:val="0"/>
          <w:sz w:val="22"/>
          <w:szCs w:val="22"/>
          <w:u w:val="none"/>
        </w:rPr>
        <w:t>.</w:t>
      </w:r>
      <w:r w:rsidR="00194936" w:rsidRPr="00A012D9">
        <w:rPr>
          <w:rFonts w:cs="Arial"/>
          <w:b w:val="0"/>
          <w:sz w:val="22"/>
          <w:szCs w:val="22"/>
          <w:u w:val="none"/>
        </w:rPr>
        <w:t xml:space="preserve"> Consultation on the</w:t>
      </w:r>
      <w:r w:rsidRPr="00A012D9">
        <w:rPr>
          <w:rFonts w:cs="Arial"/>
          <w:b w:val="0"/>
          <w:sz w:val="22"/>
          <w:szCs w:val="22"/>
          <w:u w:val="none"/>
        </w:rPr>
        <w:t xml:space="preserve"> funding formula is </w:t>
      </w:r>
      <w:r w:rsidR="00194936" w:rsidRPr="00A012D9">
        <w:rPr>
          <w:rFonts w:cs="Arial"/>
          <w:b w:val="0"/>
          <w:sz w:val="22"/>
          <w:szCs w:val="22"/>
          <w:u w:val="none"/>
        </w:rPr>
        <w:t xml:space="preserve">the subject </w:t>
      </w:r>
      <w:r w:rsidR="001B1DEA" w:rsidRPr="00A012D9">
        <w:rPr>
          <w:rFonts w:cs="Arial"/>
          <w:b w:val="0"/>
          <w:sz w:val="22"/>
          <w:szCs w:val="22"/>
          <w:u w:val="none"/>
        </w:rPr>
        <w:t>of</w:t>
      </w:r>
      <w:r w:rsidRPr="00A012D9">
        <w:rPr>
          <w:rFonts w:cs="Arial"/>
          <w:b w:val="0"/>
          <w:sz w:val="22"/>
          <w:szCs w:val="22"/>
          <w:u w:val="none"/>
        </w:rPr>
        <w:t xml:space="preserve"> a separate agenda item. </w:t>
      </w:r>
      <w:r w:rsidR="00112BCF" w:rsidRPr="00A012D9">
        <w:rPr>
          <w:rFonts w:cs="Arial"/>
          <w:b w:val="0"/>
          <w:sz w:val="22"/>
          <w:szCs w:val="22"/>
          <w:u w:val="none"/>
        </w:rPr>
        <w:t xml:space="preserve">That report </w:t>
      </w:r>
      <w:r w:rsidRPr="00A012D9">
        <w:rPr>
          <w:rFonts w:cs="Arial"/>
          <w:b w:val="0"/>
          <w:sz w:val="22"/>
          <w:szCs w:val="22"/>
          <w:u w:val="none"/>
        </w:rPr>
        <w:t>propose</w:t>
      </w:r>
      <w:r w:rsidR="00112BCF" w:rsidRPr="00A012D9">
        <w:rPr>
          <w:rFonts w:cs="Arial"/>
          <w:b w:val="0"/>
          <w:sz w:val="22"/>
          <w:szCs w:val="22"/>
          <w:u w:val="none"/>
        </w:rPr>
        <w:t>s</w:t>
      </w:r>
      <w:r w:rsidRPr="00A012D9">
        <w:rPr>
          <w:rFonts w:cs="Arial"/>
          <w:b w:val="0"/>
          <w:sz w:val="22"/>
          <w:szCs w:val="22"/>
          <w:u w:val="none"/>
        </w:rPr>
        <w:t xml:space="preserve"> that one-off funding</w:t>
      </w:r>
      <w:r w:rsidR="0027580C" w:rsidRPr="00A012D9">
        <w:rPr>
          <w:rFonts w:cs="Arial"/>
          <w:b w:val="0"/>
          <w:sz w:val="22"/>
          <w:szCs w:val="22"/>
          <w:u w:val="none"/>
        </w:rPr>
        <w:t xml:space="preserve"> of £0.92m</w:t>
      </w:r>
      <w:r w:rsidRPr="00A012D9">
        <w:rPr>
          <w:rFonts w:cs="Arial"/>
          <w:b w:val="0"/>
          <w:sz w:val="22"/>
          <w:szCs w:val="22"/>
          <w:u w:val="none"/>
        </w:rPr>
        <w:t xml:space="preserve"> released by reductions in National Non-Domestic Rates in 2019-20 is transferred into the HND to help ease the pressures in the Block reported in 2.3.</w:t>
      </w:r>
      <w:r w:rsidR="00112BCF" w:rsidRPr="00A012D9">
        <w:rPr>
          <w:rFonts w:cs="Arial"/>
          <w:b w:val="0"/>
          <w:sz w:val="22"/>
          <w:szCs w:val="22"/>
          <w:u w:val="none"/>
        </w:rPr>
        <w:t xml:space="preserve"> Other initial proposals for the Block are:</w:t>
      </w:r>
    </w:p>
    <w:p w14:paraId="3C81D1DF" w14:textId="77777777" w:rsidR="00A012D9" w:rsidRPr="00A012D9" w:rsidRDefault="00A012D9" w:rsidP="00A20AF9">
      <w:pPr>
        <w:ind w:hanging="567"/>
        <w:jc w:val="both"/>
      </w:pPr>
    </w:p>
    <w:p w14:paraId="5B5D3DEA" w14:textId="77777777" w:rsidR="00112BCF" w:rsidRDefault="00112BCF" w:rsidP="00A20AF9">
      <w:pPr>
        <w:pStyle w:val="Heading3"/>
        <w:ind w:hanging="567"/>
        <w:jc w:val="both"/>
        <w:rPr>
          <w:rFonts w:ascii="Arial" w:hAnsi="Arial" w:cs="Arial"/>
          <w:b w:val="0"/>
          <w:sz w:val="22"/>
          <w:szCs w:val="22"/>
        </w:rPr>
      </w:pPr>
      <w:r w:rsidRPr="00A012D9">
        <w:rPr>
          <w:rFonts w:ascii="Arial" w:hAnsi="Arial" w:cs="Arial"/>
          <w:b w:val="0"/>
          <w:sz w:val="22"/>
          <w:szCs w:val="22"/>
        </w:rPr>
        <w:t>The level and purposes of de-delegation remain at the 2018-19 level. The detail of this and specific recommendations will be brought back to the Forum in December.</w:t>
      </w:r>
    </w:p>
    <w:p w14:paraId="231D150C" w14:textId="77777777" w:rsidR="00A012D9" w:rsidRPr="00A012D9" w:rsidRDefault="00A012D9" w:rsidP="00A20AF9">
      <w:pPr>
        <w:ind w:hanging="567"/>
        <w:jc w:val="both"/>
      </w:pPr>
    </w:p>
    <w:p w14:paraId="2DBD3B70" w14:textId="77777777" w:rsidR="0027580C" w:rsidRDefault="00112BCF" w:rsidP="00A20AF9">
      <w:pPr>
        <w:pStyle w:val="Heading3"/>
        <w:ind w:hanging="567"/>
        <w:jc w:val="both"/>
        <w:rPr>
          <w:rFonts w:ascii="Arial" w:hAnsi="Arial" w:cs="Arial"/>
          <w:b w:val="0"/>
          <w:sz w:val="22"/>
          <w:szCs w:val="22"/>
        </w:rPr>
      </w:pPr>
      <w:r w:rsidRPr="00DD0D5B">
        <w:rPr>
          <w:rFonts w:ascii="Arial" w:hAnsi="Arial" w:cs="Arial"/>
          <w:sz w:val="22"/>
          <w:szCs w:val="22"/>
        </w:rPr>
        <w:t>The Growth Fund</w:t>
      </w:r>
      <w:r w:rsidRPr="00A012D9">
        <w:rPr>
          <w:rFonts w:ascii="Arial" w:hAnsi="Arial" w:cs="Arial"/>
          <w:b w:val="0"/>
          <w:sz w:val="22"/>
          <w:szCs w:val="22"/>
        </w:rPr>
        <w:t xml:space="preserve"> remains at the 2018-19</w:t>
      </w:r>
      <w:r w:rsidR="00C803BD" w:rsidRPr="00A012D9">
        <w:rPr>
          <w:rFonts w:ascii="Arial" w:hAnsi="Arial" w:cs="Arial"/>
          <w:b w:val="0"/>
          <w:sz w:val="22"/>
          <w:szCs w:val="22"/>
        </w:rPr>
        <w:t xml:space="preserve"> </w:t>
      </w:r>
      <w:r w:rsidR="00DB1713" w:rsidRPr="00A012D9">
        <w:rPr>
          <w:rFonts w:ascii="Arial" w:hAnsi="Arial" w:cs="Arial"/>
          <w:b w:val="0"/>
          <w:sz w:val="22"/>
          <w:szCs w:val="22"/>
        </w:rPr>
        <w:t>level;</w:t>
      </w:r>
      <w:r w:rsidRPr="00A012D9">
        <w:rPr>
          <w:rFonts w:ascii="Arial" w:hAnsi="Arial" w:cs="Arial"/>
          <w:b w:val="0"/>
          <w:sz w:val="22"/>
          <w:szCs w:val="22"/>
        </w:rPr>
        <w:t xml:space="preserve"> this will also be considered in more detail in December.</w:t>
      </w:r>
    </w:p>
    <w:p w14:paraId="4F9DF581" w14:textId="77777777" w:rsidR="00A012D9" w:rsidRPr="00A012D9" w:rsidRDefault="00A012D9" w:rsidP="00A20AF9">
      <w:pPr>
        <w:ind w:hanging="567"/>
        <w:jc w:val="both"/>
      </w:pPr>
    </w:p>
    <w:p w14:paraId="79E02A14" w14:textId="77777777" w:rsidR="00112BCF" w:rsidRDefault="0027580C" w:rsidP="00A20AF9">
      <w:pPr>
        <w:pStyle w:val="Heading2"/>
        <w:tabs>
          <w:tab w:val="clear" w:pos="720"/>
          <w:tab w:val="left" w:pos="567"/>
        </w:tabs>
        <w:ind w:hanging="567"/>
        <w:jc w:val="both"/>
        <w:rPr>
          <w:rFonts w:cs="Arial"/>
          <w:b w:val="0"/>
          <w:sz w:val="22"/>
          <w:szCs w:val="22"/>
          <w:u w:val="none"/>
        </w:rPr>
      </w:pPr>
      <w:r w:rsidRPr="00D706D9">
        <w:rPr>
          <w:rFonts w:cs="Arial"/>
          <w:sz w:val="22"/>
          <w:szCs w:val="22"/>
          <w:u w:val="none"/>
        </w:rPr>
        <w:t>Central Schools Services Block</w:t>
      </w:r>
      <w:r w:rsidRPr="00A012D9">
        <w:rPr>
          <w:rFonts w:cs="Arial"/>
          <w:b w:val="0"/>
          <w:sz w:val="22"/>
          <w:szCs w:val="22"/>
          <w:u w:val="none"/>
        </w:rPr>
        <w:t>.</w:t>
      </w:r>
      <w:r w:rsidR="00112BCF" w:rsidRPr="00A012D9">
        <w:rPr>
          <w:rFonts w:cs="Arial"/>
          <w:b w:val="0"/>
          <w:sz w:val="22"/>
          <w:szCs w:val="22"/>
          <w:u w:val="none"/>
        </w:rPr>
        <w:t xml:space="preserve"> </w:t>
      </w:r>
      <w:r w:rsidRPr="00A012D9">
        <w:rPr>
          <w:rFonts w:cs="Arial"/>
          <w:b w:val="0"/>
          <w:sz w:val="22"/>
          <w:szCs w:val="22"/>
          <w:u w:val="none"/>
        </w:rPr>
        <w:t>The reduction in funding of £0.053m will need to be contained within the Block. The December meeting will be asked to agree the LA’s proposals on the use of this Block.</w:t>
      </w:r>
    </w:p>
    <w:p w14:paraId="27BB47C4" w14:textId="77777777" w:rsidR="00A012D9" w:rsidRPr="00A012D9" w:rsidRDefault="00A012D9" w:rsidP="00A20AF9">
      <w:pPr>
        <w:ind w:hanging="567"/>
        <w:jc w:val="both"/>
      </w:pPr>
    </w:p>
    <w:p w14:paraId="56BCDF7A" w14:textId="77777777" w:rsidR="00825F6F" w:rsidRDefault="00825F6F" w:rsidP="00A20AF9">
      <w:pPr>
        <w:pStyle w:val="Heading2"/>
        <w:tabs>
          <w:tab w:val="clear" w:pos="720"/>
          <w:tab w:val="left" w:pos="567"/>
        </w:tabs>
        <w:jc w:val="both"/>
        <w:rPr>
          <w:rFonts w:cs="Arial"/>
          <w:b w:val="0"/>
          <w:sz w:val="22"/>
          <w:szCs w:val="22"/>
          <w:u w:val="none"/>
        </w:rPr>
      </w:pPr>
      <w:r w:rsidRPr="00D706D9">
        <w:rPr>
          <w:rFonts w:cs="Arial"/>
          <w:sz w:val="22"/>
          <w:szCs w:val="22"/>
          <w:u w:val="none"/>
        </w:rPr>
        <w:t>High Needs Block</w:t>
      </w:r>
      <w:r w:rsidRPr="00D706D9">
        <w:rPr>
          <w:rFonts w:cs="Arial"/>
          <w:b w:val="0"/>
          <w:sz w:val="22"/>
          <w:szCs w:val="22"/>
          <w:u w:val="none"/>
        </w:rPr>
        <w:t xml:space="preserve">. The proposals for this block are included for discussion with the Forum but Forum approval is not needed. Following the recommendations of the High Needs Funding (HNF) Review in 2017, accepted by the Forum in January 2018, progress through 2018 has included the following. </w:t>
      </w:r>
    </w:p>
    <w:p w14:paraId="26D62AC8" w14:textId="77777777" w:rsidR="00BD2BAF" w:rsidRPr="00BD2BAF" w:rsidRDefault="00BD2BAF" w:rsidP="00BD2BAF"/>
    <w:p w14:paraId="0133FDDF" w14:textId="77777777" w:rsidR="00825F6F" w:rsidRPr="0013452D" w:rsidRDefault="00825F6F" w:rsidP="00A20AF9">
      <w:pPr>
        <w:numPr>
          <w:ilvl w:val="2"/>
          <w:numId w:val="38"/>
        </w:numPr>
        <w:tabs>
          <w:tab w:val="num" w:pos="851"/>
        </w:tabs>
        <w:spacing w:before="60" w:after="60"/>
        <w:ind w:left="851" w:hanging="709"/>
        <w:jc w:val="both"/>
        <w:rPr>
          <w:rFonts w:ascii="Arial" w:hAnsi="Arial"/>
          <w:sz w:val="22"/>
          <w:szCs w:val="22"/>
        </w:rPr>
      </w:pPr>
      <w:r>
        <w:rPr>
          <w:rFonts w:ascii="Arial" w:hAnsi="Arial"/>
          <w:b/>
          <w:sz w:val="22"/>
          <w:szCs w:val="22"/>
        </w:rPr>
        <w:t xml:space="preserve">Reduction in the budget retained by LBTH: </w:t>
      </w:r>
      <w:r>
        <w:rPr>
          <w:rFonts w:ascii="Arial" w:hAnsi="Arial"/>
          <w:sz w:val="22"/>
          <w:szCs w:val="22"/>
        </w:rPr>
        <w:t xml:space="preserve">in 2017-18 about £4.8 million of the HNF block was retained to support direct delivery of services, together with some management costs and other commissioned support. The target is to </w:t>
      </w:r>
      <w:r>
        <w:rPr>
          <w:rFonts w:ascii="Arial" w:hAnsi="Arial"/>
          <w:sz w:val="22"/>
          <w:szCs w:val="22"/>
        </w:rPr>
        <w:lastRenderedPageBreak/>
        <w:t xml:space="preserve">reduce this by half by 2021. The largest proportion of this retained budget is allocated to the Support for Learning Service. LBTH is in the early stages of reviewing the Support for Learning Service, looking to shift many of its services onto the basis of service level agreements with schools and to review its cost-effectiveness. </w:t>
      </w:r>
    </w:p>
    <w:p w14:paraId="429F04DD" w14:textId="77777777" w:rsidR="00825F6F" w:rsidRDefault="00825F6F" w:rsidP="00A20AF9">
      <w:pPr>
        <w:numPr>
          <w:ilvl w:val="2"/>
          <w:numId w:val="38"/>
        </w:numPr>
        <w:tabs>
          <w:tab w:val="num" w:pos="851"/>
        </w:tabs>
        <w:spacing w:before="60" w:after="60"/>
        <w:ind w:left="851" w:hanging="709"/>
        <w:jc w:val="both"/>
        <w:rPr>
          <w:rFonts w:ascii="Arial" w:hAnsi="Arial"/>
          <w:sz w:val="22"/>
          <w:szCs w:val="22"/>
        </w:rPr>
      </w:pPr>
      <w:r>
        <w:rPr>
          <w:rFonts w:ascii="Arial" w:hAnsi="Arial"/>
          <w:b/>
          <w:sz w:val="22"/>
          <w:szCs w:val="22"/>
        </w:rPr>
        <w:t>Reviewing top-up bandings to increase inclusivity:</w:t>
      </w:r>
      <w:r>
        <w:rPr>
          <w:rFonts w:ascii="Arial" w:hAnsi="Arial"/>
          <w:sz w:val="22"/>
          <w:szCs w:val="22"/>
        </w:rPr>
        <w:t xml:space="preserve"> LBTH is looking at options to change the top-up bandings for children and young people placed in mainstream schools. Research is being undertaken with other inner London boroughs to benchmark the sums allocated in Tower Hamlets, alongside options that would give flexibility for smaller earlier intervention allocations and a different top-up payment scale for mainstream schools with disproportionately low levels of pupils with SEND. </w:t>
      </w:r>
    </w:p>
    <w:p w14:paraId="698A7C9B" w14:textId="77777777" w:rsidR="00825F6F" w:rsidRDefault="00825F6F" w:rsidP="00A20AF9">
      <w:pPr>
        <w:numPr>
          <w:ilvl w:val="2"/>
          <w:numId w:val="38"/>
        </w:numPr>
        <w:tabs>
          <w:tab w:val="num" w:pos="851"/>
        </w:tabs>
        <w:spacing w:before="60" w:after="60"/>
        <w:ind w:left="851" w:hanging="709"/>
        <w:jc w:val="both"/>
        <w:rPr>
          <w:rFonts w:ascii="Arial" w:hAnsi="Arial"/>
          <w:sz w:val="22"/>
          <w:szCs w:val="22"/>
        </w:rPr>
      </w:pPr>
      <w:r>
        <w:rPr>
          <w:rFonts w:ascii="Arial" w:hAnsi="Arial"/>
          <w:b/>
          <w:sz w:val="22"/>
          <w:szCs w:val="22"/>
        </w:rPr>
        <w:t>Reviewing levels of resource base top-ups:</w:t>
      </w:r>
      <w:r>
        <w:rPr>
          <w:rFonts w:ascii="Arial" w:hAnsi="Arial"/>
          <w:sz w:val="22"/>
          <w:szCs w:val="22"/>
        </w:rPr>
        <w:t xml:space="preserve"> As part of the current primary place review, the disparity of top-up levels for similar resource bases is being looked at, together with making recommendations about processes for the local authority to be able to re-designate resource bases.</w:t>
      </w:r>
    </w:p>
    <w:p w14:paraId="00DB4850" w14:textId="77777777" w:rsidR="00825F6F" w:rsidRDefault="00825F6F" w:rsidP="00A20AF9">
      <w:pPr>
        <w:numPr>
          <w:ilvl w:val="2"/>
          <w:numId w:val="38"/>
        </w:numPr>
        <w:tabs>
          <w:tab w:val="num" w:pos="851"/>
        </w:tabs>
        <w:spacing w:before="60" w:after="60"/>
        <w:ind w:left="851" w:hanging="709"/>
        <w:jc w:val="both"/>
        <w:rPr>
          <w:rFonts w:ascii="Arial" w:hAnsi="Arial"/>
          <w:sz w:val="22"/>
          <w:szCs w:val="22"/>
        </w:rPr>
      </w:pPr>
      <w:r>
        <w:rPr>
          <w:rFonts w:ascii="Arial" w:hAnsi="Arial"/>
          <w:b/>
          <w:sz w:val="22"/>
          <w:szCs w:val="22"/>
        </w:rPr>
        <w:t>Reviewing SEMH Schooling:</w:t>
      </w:r>
      <w:r>
        <w:rPr>
          <w:rFonts w:ascii="Arial" w:hAnsi="Arial"/>
          <w:sz w:val="22"/>
          <w:szCs w:val="22"/>
        </w:rPr>
        <w:t xml:space="preserve"> A school-led Review Group has had its first meeting, led by an independent chairperson, to look at better meeting the needs of pupils in Tower Hamlets with high levels of social, emotional and mental health needs. The scope of the review includes: </w:t>
      </w:r>
    </w:p>
    <w:p w14:paraId="7771DE28" w14:textId="77777777" w:rsidR="00825F6F" w:rsidRPr="00945061" w:rsidRDefault="00825F6F" w:rsidP="00A20AF9">
      <w:pPr>
        <w:numPr>
          <w:ilvl w:val="2"/>
          <w:numId w:val="42"/>
        </w:numPr>
        <w:spacing w:before="60"/>
        <w:jc w:val="both"/>
        <w:rPr>
          <w:rFonts w:ascii="Arial" w:hAnsi="Arial"/>
          <w:sz w:val="22"/>
          <w:szCs w:val="22"/>
        </w:rPr>
      </w:pPr>
      <w:r>
        <w:rPr>
          <w:rFonts w:ascii="Arial" w:hAnsi="Arial"/>
          <w:sz w:val="22"/>
          <w:szCs w:val="22"/>
        </w:rPr>
        <w:t>assessing</w:t>
      </w:r>
      <w:r w:rsidRPr="00945061">
        <w:rPr>
          <w:rFonts w:ascii="Arial" w:hAnsi="Arial"/>
          <w:sz w:val="22"/>
          <w:szCs w:val="22"/>
        </w:rPr>
        <w:t xml:space="preserve"> the outcomes currently being sought for these children and young people up to age 19, consider how these are reported / mon</w:t>
      </w:r>
      <w:r>
        <w:rPr>
          <w:rFonts w:ascii="Arial" w:hAnsi="Arial"/>
          <w:sz w:val="22"/>
          <w:szCs w:val="22"/>
        </w:rPr>
        <w:t>itored and make recommendations;</w:t>
      </w:r>
    </w:p>
    <w:p w14:paraId="66648E1B" w14:textId="77777777" w:rsidR="00825F6F" w:rsidRPr="00945061" w:rsidRDefault="00825F6F" w:rsidP="00A20AF9">
      <w:pPr>
        <w:numPr>
          <w:ilvl w:val="2"/>
          <w:numId w:val="42"/>
        </w:numPr>
        <w:spacing w:before="60" w:after="60"/>
        <w:jc w:val="both"/>
        <w:rPr>
          <w:rFonts w:ascii="Arial" w:hAnsi="Arial"/>
          <w:sz w:val="22"/>
          <w:szCs w:val="22"/>
        </w:rPr>
      </w:pPr>
      <w:r w:rsidRPr="00945061">
        <w:rPr>
          <w:rFonts w:ascii="Arial" w:hAnsi="Arial"/>
          <w:sz w:val="22"/>
          <w:szCs w:val="22"/>
        </w:rPr>
        <w:t>To consider the financial sustainability of the current education provision and make recommendations</w:t>
      </w:r>
      <w:r>
        <w:rPr>
          <w:rFonts w:ascii="Arial" w:hAnsi="Arial"/>
          <w:sz w:val="22"/>
          <w:szCs w:val="22"/>
        </w:rPr>
        <w:t>;</w:t>
      </w:r>
    </w:p>
    <w:p w14:paraId="3AAC84A4" w14:textId="77777777" w:rsidR="00825F6F" w:rsidRPr="00945061" w:rsidRDefault="00825F6F" w:rsidP="00A20AF9">
      <w:pPr>
        <w:numPr>
          <w:ilvl w:val="2"/>
          <w:numId w:val="42"/>
        </w:numPr>
        <w:spacing w:before="60" w:after="60"/>
        <w:jc w:val="both"/>
        <w:rPr>
          <w:rFonts w:ascii="Arial" w:hAnsi="Arial"/>
          <w:sz w:val="22"/>
          <w:szCs w:val="22"/>
        </w:rPr>
      </w:pPr>
      <w:r w:rsidRPr="00945061">
        <w:rPr>
          <w:rFonts w:ascii="Arial" w:hAnsi="Arial"/>
          <w:sz w:val="22"/>
          <w:szCs w:val="22"/>
        </w:rPr>
        <w:t>To consider future demand pressures a</w:t>
      </w:r>
      <w:r>
        <w:rPr>
          <w:rFonts w:ascii="Arial" w:hAnsi="Arial"/>
          <w:sz w:val="22"/>
          <w:szCs w:val="22"/>
        </w:rPr>
        <w:t>nd options for addressing these;</w:t>
      </w:r>
    </w:p>
    <w:p w14:paraId="07695176" w14:textId="77777777" w:rsidR="00825F6F" w:rsidRDefault="00825F6F" w:rsidP="00A20AF9">
      <w:pPr>
        <w:numPr>
          <w:ilvl w:val="2"/>
          <w:numId w:val="42"/>
        </w:numPr>
        <w:spacing w:before="60" w:after="60"/>
        <w:jc w:val="both"/>
        <w:rPr>
          <w:rFonts w:ascii="Arial" w:hAnsi="Arial"/>
          <w:sz w:val="22"/>
          <w:szCs w:val="22"/>
        </w:rPr>
      </w:pPr>
      <w:r w:rsidRPr="00945061">
        <w:rPr>
          <w:rFonts w:ascii="Arial" w:hAnsi="Arial"/>
          <w:sz w:val="22"/>
          <w:szCs w:val="22"/>
        </w:rPr>
        <w:t>As a result of the above, to recommend principles and actions to develop a renewed model / pathway approach and recommend ways this could be deployed.</w:t>
      </w:r>
    </w:p>
    <w:p w14:paraId="6E66D316" w14:textId="77777777" w:rsidR="00825F6F" w:rsidRDefault="00825F6F" w:rsidP="00A20AF9">
      <w:pPr>
        <w:numPr>
          <w:ilvl w:val="2"/>
          <w:numId w:val="38"/>
        </w:numPr>
        <w:tabs>
          <w:tab w:val="num" w:pos="851"/>
        </w:tabs>
        <w:spacing w:before="60" w:after="60"/>
        <w:ind w:left="851" w:hanging="709"/>
        <w:jc w:val="both"/>
        <w:rPr>
          <w:rFonts w:ascii="Arial" w:hAnsi="Arial"/>
          <w:sz w:val="22"/>
          <w:szCs w:val="22"/>
        </w:rPr>
      </w:pPr>
      <w:r>
        <w:rPr>
          <w:rFonts w:ascii="Arial" w:hAnsi="Arial"/>
          <w:sz w:val="22"/>
          <w:szCs w:val="22"/>
        </w:rPr>
        <w:t>The recommendations of this Review will be reported to the Forum in January 2019.</w:t>
      </w:r>
    </w:p>
    <w:p w14:paraId="79BCEE2C" w14:textId="77777777" w:rsidR="00825F6F" w:rsidRPr="006D6BAF" w:rsidRDefault="00825F6F" w:rsidP="00A20AF9">
      <w:pPr>
        <w:spacing w:before="60" w:after="60"/>
        <w:ind w:left="709"/>
        <w:jc w:val="both"/>
        <w:rPr>
          <w:rFonts w:ascii="Arial" w:hAnsi="Arial"/>
          <w:sz w:val="22"/>
          <w:szCs w:val="22"/>
        </w:rPr>
      </w:pPr>
    </w:p>
    <w:p w14:paraId="6009FF80" w14:textId="77777777" w:rsidR="006441AA" w:rsidRDefault="006441AA" w:rsidP="00A20AF9">
      <w:pPr>
        <w:pStyle w:val="Heading2"/>
        <w:jc w:val="both"/>
        <w:rPr>
          <w:u w:val="none"/>
        </w:rPr>
      </w:pPr>
      <w:r w:rsidRPr="00BD2BAF">
        <w:rPr>
          <w:u w:val="none"/>
        </w:rPr>
        <w:t>Early Years Block.</w:t>
      </w:r>
    </w:p>
    <w:p w14:paraId="7A9BB287" w14:textId="77777777" w:rsidR="00BD2BAF" w:rsidRPr="00BD2BAF" w:rsidRDefault="00BD2BAF" w:rsidP="00BD2BAF"/>
    <w:p w14:paraId="421CEDDD" w14:textId="77777777" w:rsidR="000E78C6" w:rsidRDefault="000E78C6" w:rsidP="00A20AF9">
      <w:pPr>
        <w:numPr>
          <w:ilvl w:val="2"/>
          <w:numId w:val="38"/>
        </w:numPr>
        <w:tabs>
          <w:tab w:val="num" w:pos="851"/>
        </w:tabs>
        <w:spacing w:before="60" w:after="60"/>
        <w:ind w:left="851" w:hanging="709"/>
        <w:jc w:val="both"/>
        <w:rPr>
          <w:rFonts w:ascii="Arial" w:hAnsi="Arial" w:cs="Arial"/>
          <w:sz w:val="22"/>
          <w:szCs w:val="22"/>
        </w:rPr>
      </w:pPr>
      <w:r>
        <w:rPr>
          <w:rFonts w:ascii="Arial" w:hAnsi="Arial" w:cs="Arial"/>
          <w:sz w:val="22"/>
          <w:szCs w:val="22"/>
        </w:rPr>
        <w:t xml:space="preserve">As well as the work to develop provision set out in Section 2.4, work will continue next year in developing the use of the Disability Access Fund and SEN Inclusion Fund. </w:t>
      </w:r>
    </w:p>
    <w:p w14:paraId="6ADE04D5" w14:textId="77777777" w:rsidR="00246D39" w:rsidRPr="005D52AC" w:rsidRDefault="00246D39" w:rsidP="00A20AF9">
      <w:pPr>
        <w:numPr>
          <w:ilvl w:val="2"/>
          <w:numId w:val="38"/>
        </w:numPr>
        <w:tabs>
          <w:tab w:val="num" w:pos="851"/>
        </w:tabs>
        <w:spacing w:before="60" w:after="60"/>
        <w:ind w:left="851" w:hanging="709"/>
        <w:jc w:val="both"/>
        <w:rPr>
          <w:rFonts w:ascii="Arial" w:hAnsi="Arial" w:cs="Arial"/>
          <w:sz w:val="22"/>
          <w:szCs w:val="22"/>
        </w:rPr>
      </w:pPr>
      <w:r w:rsidRPr="005D52AC">
        <w:rPr>
          <w:rFonts w:ascii="Arial" w:hAnsi="Arial" w:cs="Arial"/>
          <w:sz w:val="22"/>
          <w:szCs w:val="22"/>
        </w:rPr>
        <w:t>The DfE has provided additional funding of £615 per child in receipt of Disability Living Allowance (DLA). This is a fund for providers to support children with disabilities or special educational needs. It aids access to Free Entitlement places for early years by supporting providers in making reasonable adjustments to their settings.</w:t>
      </w:r>
    </w:p>
    <w:p w14:paraId="626C5F81" w14:textId="77777777" w:rsidR="00246D39" w:rsidRPr="005D52AC" w:rsidRDefault="00246D39" w:rsidP="00A20AF9">
      <w:pPr>
        <w:numPr>
          <w:ilvl w:val="2"/>
          <w:numId w:val="38"/>
        </w:numPr>
        <w:tabs>
          <w:tab w:val="num" w:pos="851"/>
        </w:tabs>
        <w:spacing w:before="60" w:after="60"/>
        <w:ind w:left="851" w:hanging="709"/>
        <w:jc w:val="both"/>
        <w:rPr>
          <w:rFonts w:ascii="Arial" w:hAnsi="Arial" w:cs="Arial"/>
          <w:sz w:val="22"/>
          <w:szCs w:val="22"/>
        </w:rPr>
      </w:pPr>
      <w:r w:rsidRPr="005D52AC">
        <w:rPr>
          <w:rFonts w:ascii="Arial" w:hAnsi="Arial" w:cs="Arial"/>
          <w:sz w:val="22"/>
          <w:szCs w:val="22"/>
        </w:rPr>
        <w:t xml:space="preserve">As of September 2018, </w:t>
      </w:r>
      <w:r w:rsidRPr="00DD0D5B">
        <w:rPr>
          <w:rFonts w:ascii="Arial" w:hAnsi="Arial" w:cs="Arial"/>
          <w:b/>
          <w:sz w:val="22"/>
          <w:szCs w:val="22"/>
        </w:rPr>
        <w:t>27</w:t>
      </w:r>
      <w:r w:rsidRPr="005D52AC">
        <w:rPr>
          <w:rFonts w:ascii="Arial" w:hAnsi="Arial" w:cs="Arial"/>
          <w:sz w:val="22"/>
          <w:szCs w:val="22"/>
        </w:rPr>
        <w:t xml:space="preserve"> </w:t>
      </w:r>
      <w:r w:rsidRPr="00DD0D5B">
        <w:rPr>
          <w:rFonts w:ascii="Arial" w:hAnsi="Arial" w:cs="Arial"/>
          <w:b/>
          <w:sz w:val="22"/>
          <w:szCs w:val="22"/>
        </w:rPr>
        <w:t>DAF application</w:t>
      </w:r>
      <w:r w:rsidRPr="005D52AC">
        <w:rPr>
          <w:rFonts w:ascii="Arial" w:hAnsi="Arial" w:cs="Arial"/>
          <w:sz w:val="22"/>
          <w:szCs w:val="22"/>
        </w:rPr>
        <w:t xml:space="preserve"> forms have been received from schools (15) and MPVIs (12). The DWP estimates that there are 154 three and four year olds children in Tower Hamlets who may be eligible for DAF in 2018 – 19. Schools and childcare settings are not claiming for 127 children locally.</w:t>
      </w:r>
    </w:p>
    <w:p w14:paraId="7298C914" w14:textId="77777777" w:rsidR="000E78C6" w:rsidRPr="000E78C6" w:rsidRDefault="00246D39" w:rsidP="00A20AF9">
      <w:pPr>
        <w:numPr>
          <w:ilvl w:val="2"/>
          <w:numId w:val="38"/>
        </w:numPr>
        <w:tabs>
          <w:tab w:val="num" w:pos="851"/>
        </w:tabs>
        <w:spacing w:before="60" w:after="60"/>
        <w:ind w:left="851" w:hanging="709"/>
        <w:jc w:val="both"/>
        <w:rPr>
          <w:rFonts w:ascii="Arial" w:hAnsi="Arial" w:cs="Arial"/>
          <w:sz w:val="22"/>
          <w:szCs w:val="22"/>
        </w:rPr>
      </w:pPr>
      <w:r w:rsidRPr="005D52AC">
        <w:rPr>
          <w:rFonts w:ascii="Arial" w:hAnsi="Arial" w:cs="Arial"/>
          <w:sz w:val="22"/>
          <w:szCs w:val="22"/>
        </w:rPr>
        <w:t>We believe th</w:t>
      </w:r>
      <w:r w:rsidR="000E78C6">
        <w:rPr>
          <w:rFonts w:ascii="Arial" w:hAnsi="Arial" w:cs="Arial"/>
          <w:sz w:val="22"/>
          <w:szCs w:val="22"/>
        </w:rPr>
        <w:t>e slow take-up</w:t>
      </w:r>
      <w:r w:rsidRPr="005D52AC">
        <w:rPr>
          <w:rFonts w:ascii="Arial" w:hAnsi="Arial" w:cs="Arial"/>
          <w:sz w:val="22"/>
          <w:szCs w:val="22"/>
        </w:rPr>
        <w:t xml:space="preserve"> is due to the fund only being rolled out  last year.  Few parents and schools are yet aware of this.  Schools and MPVI settings have </w:t>
      </w:r>
      <w:r w:rsidRPr="005D52AC">
        <w:rPr>
          <w:rFonts w:ascii="Arial" w:hAnsi="Arial" w:cs="Arial"/>
          <w:sz w:val="22"/>
          <w:szCs w:val="22"/>
        </w:rPr>
        <w:lastRenderedPageBreak/>
        <w:t xml:space="preserve">been informed of this funding through head teacher’s bulletin and the termly forums.  The forums are followed up by letters from Christine McInnes. The information and application form are available on the Tower Hamlets </w:t>
      </w:r>
      <w:hyperlink r:id="rId12" w:history="1">
        <w:r w:rsidRPr="005D52AC">
          <w:rPr>
            <w:rStyle w:val="Hyperlink"/>
            <w:rFonts w:ascii="Arial" w:hAnsi="Arial" w:cs="Arial"/>
            <w:sz w:val="22"/>
            <w:szCs w:val="22"/>
          </w:rPr>
          <w:t>website</w:t>
        </w:r>
      </w:hyperlink>
      <w:r w:rsidRPr="005D52AC">
        <w:rPr>
          <w:rFonts w:ascii="Arial" w:hAnsi="Arial" w:cs="Arial"/>
          <w:sz w:val="22"/>
          <w:szCs w:val="22"/>
        </w:rPr>
        <w:t>. We will continue to work with schools and MPVIs in order to raise the awareness of this funding.</w:t>
      </w:r>
    </w:p>
    <w:p w14:paraId="6A66EFB6" w14:textId="77777777" w:rsidR="000E78C6" w:rsidRPr="000E78C6" w:rsidRDefault="00246D39" w:rsidP="00A20AF9">
      <w:pPr>
        <w:numPr>
          <w:ilvl w:val="2"/>
          <w:numId w:val="38"/>
        </w:numPr>
        <w:tabs>
          <w:tab w:val="num" w:pos="851"/>
        </w:tabs>
        <w:spacing w:before="60" w:after="60"/>
        <w:ind w:left="851" w:hanging="709"/>
        <w:jc w:val="both"/>
        <w:rPr>
          <w:rFonts w:ascii="Arial" w:hAnsi="Arial" w:cs="Arial"/>
          <w:b/>
          <w:sz w:val="22"/>
          <w:szCs w:val="22"/>
        </w:rPr>
      </w:pPr>
      <w:r w:rsidRPr="005D52AC">
        <w:rPr>
          <w:rFonts w:ascii="Arial" w:hAnsi="Arial" w:cs="Arial"/>
          <w:b/>
          <w:sz w:val="22"/>
          <w:szCs w:val="22"/>
        </w:rPr>
        <w:t>Distributing DAF funding to early years providers</w:t>
      </w:r>
      <w:r w:rsidR="000E78C6">
        <w:rPr>
          <w:rFonts w:ascii="Arial" w:hAnsi="Arial" w:cs="Arial"/>
          <w:b/>
          <w:sz w:val="22"/>
          <w:szCs w:val="22"/>
        </w:rPr>
        <w:t>.</w:t>
      </w:r>
      <w:r w:rsidRPr="005D52AC">
        <w:rPr>
          <w:rFonts w:ascii="Arial" w:hAnsi="Arial" w:cs="Arial"/>
          <w:b/>
          <w:sz w:val="22"/>
          <w:szCs w:val="22"/>
        </w:rPr>
        <w:t xml:space="preserve"> </w:t>
      </w:r>
      <w:r w:rsidRPr="000E78C6">
        <w:rPr>
          <w:rFonts w:ascii="Arial" w:hAnsi="Arial" w:cs="Arial"/>
          <w:sz w:val="22"/>
          <w:szCs w:val="22"/>
        </w:rPr>
        <w:t>Local authorities must fund all early years setti</w:t>
      </w:r>
      <w:r w:rsidR="000E78C6">
        <w:rPr>
          <w:rFonts w:ascii="Arial" w:hAnsi="Arial" w:cs="Arial"/>
          <w:sz w:val="22"/>
          <w:szCs w:val="22"/>
        </w:rPr>
        <w:t xml:space="preserve">ngs providing a place for each </w:t>
      </w:r>
      <w:r w:rsidRPr="000E78C6">
        <w:rPr>
          <w:rFonts w:ascii="Arial" w:hAnsi="Arial" w:cs="Arial"/>
          <w:sz w:val="22"/>
          <w:szCs w:val="22"/>
        </w:rPr>
        <w:t xml:space="preserve">child eligible for the DAF in their area at the fixed annual rate of £615 per eligible child.  DAF should not be offset </w:t>
      </w:r>
      <w:r w:rsidR="000E78C6">
        <w:rPr>
          <w:rFonts w:ascii="Arial" w:hAnsi="Arial" w:cs="Arial"/>
          <w:sz w:val="22"/>
          <w:szCs w:val="22"/>
        </w:rPr>
        <w:t xml:space="preserve">against any other funding which </w:t>
      </w:r>
      <w:r w:rsidRPr="000E78C6">
        <w:rPr>
          <w:rFonts w:ascii="Arial" w:hAnsi="Arial" w:cs="Arial"/>
          <w:sz w:val="22"/>
          <w:szCs w:val="22"/>
        </w:rPr>
        <w:t xml:space="preserve">an authority may ordinarily be providing for children eligible for the DAF. </w:t>
      </w:r>
    </w:p>
    <w:p w14:paraId="0A07053E" w14:textId="77777777" w:rsidR="00246D39" w:rsidRPr="000E78C6" w:rsidRDefault="00246D39" w:rsidP="00A20AF9">
      <w:pPr>
        <w:numPr>
          <w:ilvl w:val="2"/>
          <w:numId w:val="38"/>
        </w:numPr>
        <w:tabs>
          <w:tab w:val="num" w:pos="851"/>
        </w:tabs>
        <w:spacing w:before="60" w:after="60"/>
        <w:ind w:left="851" w:hanging="709"/>
        <w:jc w:val="both"/>
        <w:rPr>
          <w:rFonts w:ascii="Arial" w:hAnsi="Arial" w:cs="Arial"/>
          <w:b/>
          <w:sz w:val="22"/>
          <w:szCs w:val="22"/>
        </w:rPr>
      </w:pPr>
      <w:r w:rsidRPr="000E78C6">
        <w:rPr>
          <w:rFonts w:ascii="Arial" w:hAnsi="Arial" w:cs="Arial"/>
          <w:sz w:val="22"/>
          <w:szCs w:val="22"/>
        </w:rPr>
        <w:t>DAF is payable as a lump sum once a year per eligi</w:t>
      </w:r>
      <w:r w:rsidR="000E78C6">
        <w:rPr>
          <w:rFonts w:ascii="Arial" w:hAnsi="Arial" w:cs="Arial"/>
          <w:sz w:val="22"/>
          <w:szCs w:val="22"/>
        </w:rPr>
        <w:t xml:space="preserve">ble child. If a child eligible </w:t>
      </w:r>
      <w:r w:rsidRPr="000E78C6">
        <w:rPr>
          <w:rFonts w:ascii="Arial" w:hAnsi="Arial" w:cs="Arial"/>
          <w:sz w:val="22"/>
          <w:szCs w:val="22"/>
        </w:rPr>
        <w:t xml:space="preserve">for the DAF is splitting their free entitlement across two or more providers, for example a school nursery class and a child minder, the local authority should ask parents to nominate the main setting to receive DAF. This setting will be where local authorities  pay the DAF for the child. </w:t>
      </w:r>
    </w:p>
    <w:p w14:paraId="4A60D31F" w14:textId="77777777" w:rsidR="000E78C6" w:rsidRPr="000E78C6" w:rsidRDefault="00246D39" w:rsidP="00A20AF9">
      <w:pPr>
        <w:numPr>
          <w:ilvl w:val="2"/>
          <w:numId w:val="38"/>
        </w:numPr>
        <w:tabs>
          <w:tab w:val="num" w:pos="851"/>
        </w:tabs>
        <w:spacing w:before="60" w:after="60"/>
        <w:ind w:left="851" w:hanging="709"/>
        <w:jc w:val="both"/>
        <w:rPr>
          <w:rFonts w:ascii="Arial" w:hAnsi="Arial" w:cs="Arial"/>
          <w:sz w:val="22"/>
          <w:szCs w:val="22"/>
        </w:rPr>
      </w:pPr>
      <w:r w:rsidRPr="005D52AC">
        <w:rPr>
          <w:rFonts w:ascii="Arial" w:hAnsi="Arial" w:cs="Arial"/>
          <w:sz w:val="22"/>
          <w:szCs w:val="22"/>
        </w:rPr>
        <w:t>If a child receiving DAF moves from one setting to another within a financial year, the new setting is not eligible to receive DAF funding for this child within the same financial year. DAF funding received by the original setting will not be recouped. In cases where a child who lives in one authority area attends a</w:t>
      </w:r>
      <w:r>
        <w:rPr>
          <w:rFonts w:ascii="Arial" w:hAnsi="Arial" w:cs="Arial"/>
          <w:sz w:val="22"/>
          <w:szCs w:val="22"/>
        </w:rPr>
        <w:t xml:space="preserve"> </w:t>
      </w:r>
      <w:r w:rsidRPr="005D52AC">
        <w:rPr>
          <w:rFonts w:ascii="Arial" w:hAnsi="Arial" w:cs="Arial"/>
          <w:sz w:val="22"/>
          <w:szCs w:val="22"/>
        </w:rPr>
        <w:t xml:space="preserve">provider in a different local authority, the provider’s local authority is responsible for funding the DAF for the child and eligibility checking. </w:t>
      </w:r>
    </w:p>
    <w:p w14:paraId="7F901D8E" w14:textId="77777777" w:rsidR="000E78C6" w:rsidRPr="000E78C6" w:rsidRDefault="000E78C6" w:rsidP="00A20AF9">
      <w:pPr>
        <w:numPr>
          <w:ilvl w:val="2"/>
          <w:numId w:val="38"/>
        </w:numPr>
        <w:tabs>
          <w:tab w:val="num" w:pos="851"/>
        </w:tabs>
        <w:spacing w:before="60" w:after="60"/>
        <w:ind w:left="851" w:hanging="709"/>
        <w:jc w:val="both"/>
        <w:rPr>
          <w:rFonts w:ascii="Arial" w:hAnsi="Arial" w:cs="Arial"/>
          <w:sz w:val="22"/>
          <w:szCs w:val="22"/>
        </w:rPr>
      </w:pPr>
      <w:r w:rsidRPr="00AC6887">
        <w:rPr>
          <w:rFonts w:ascii="Arial" w:hAnsi="Arial" w:cs="Arial"/>
          <w:b/>
          <w:sz w:val="22"/>
          <w:szCs w:val="22"/>
        </w:rPr>
        <w:t>SEN Inclusion Fund</w:t>
      </w:r>
      <w:r w:rsidRPr="000E78C6">
        <w:rPr>
          <w:rFonts w:ascii="Arial" w:hAnsi="Arial" w:cs="Arial"/>
          <w:sz w:val="22"/>
          <w:szCs w:val="22"/>
        </w:rPr>
        <w:t>.</w:t>
      </w:r>
      <w:r>
        <w:rPr>
          <w:rFonts w:ascii="Arial" w:hAnsi="Arial" w:cs="Arial"/>
          <w:sz w:val="22"/>
          <w:szCs w:val="22"/>
        </w:rPr>
        <w:t xml:space="preserve"> The</w:t>
      </w:r>
      <w:r w:rsidR="00AC6887">
        <w:rPr>
          <w:rFonts w:ascii="Arial" w:hAnsi="Arial" w:cs="Arial"/>
          <w:sz w:val="22"/>
          <w:szCs w:val="22"/>
        </w:rPr>
        <w:t>re is a</w:t>
      </w:r>
      <w:r>
        <w:rPr>
          <w:rFonts w:ascii="Arial" w:hAnsi="Arial" w:cs="Arial"/>
          <w:sz w:val="22"/>
          <w:szCs w:val="22"/>
        </w:rPr>
        <w:t xml:space="preserve"> r</w:t>
      </w:r>
      <w:r w:rsidRPr="000E78C6">
        <w:rPr>
          <w:rFonts w:ascii="Arial" w:hAnsi="Arial" w:cs="Arial"/>
          <w:sz w:val="22"/>
          <w:szCs w:val="22"/>
        </w:rPr>
        <w:t>equirement to establish an inclusion fund for three and for year olds with SEND taking up the government entitlements and, at the council’s discretion, two year olds who are accessing the free entitlement.</w:t>
      </w:r>
      <w:r w:rsidR="00AC6887">
        <w:rPr>
          <w:rFonts w:ascii="Arial" w:hAnsi="Arial" w:cs="Arial"/>
          <w:sz w:val="22"/>
          <w:szCs w:val="22"/>
        </w:rPr>
        <w:t xml:space="preserve">  This forms part of the H</w:t>
      </w:r>
      <w:r w:rsidRPr="000E78C6">
        <w:rPr>
          <w:rFonts w:ascii="Arial" w:hAnsi="Arial" w:cs="Arial"/>
          <w:sz w:val="22"/>
          <w:szCs w:val="22"/>
        </w:rPr>
        <w:t xml:space="preserve">igh </w:t>
      </w:r>
      <w:r w:rsidR="00AC6887">
        <w:rPr>
          <w:rFonts w:ascii="Arial" w:hAnsi="Arial" w:cs="Arial"/>
          <w:sz w:val="22"/>
          <w:szCs w:val="22"/>
        </w:rPr>
        <w:t>N</w:t>
      </w:r>
      <w:r w:rsidRPr="000E78C6">
        <w:rPr>
          <w:rFonts w:ascii="Arial" w:hAnsi="Arial" w:cs="Arial"/>
          <w:sz w:val="22"/>
          <w:szCs w:val="22"/>
        </w:rPr>
        <w:t xml:space="preserve">eeds </w:t>
      </w:r>
      <w:r w:rsidR="00AC6887">
        <w:rPr>
          <w:rFonts w:ascii="Arial" w:hAnsi="Arial" w:cs="Arial"/>
          <w:sz w:val="22"/>
          <w:szCs w:val="22"/>
        </w:rPr>
        <w:t>B</w:t>
      </w:r>
      <w:r w:rsidRPr="000E78C6">
        <w:rPr>
          <w:rFonts w:ascii="Arial" w:hAnsi="Arial" w:cs="Arial"/>
          <w:sz w:val="22"/>
          <w:szCs w:val="22"/>
        </w:rPr>
        <w:t>lock (access to childcare).</w:t>
      </w:r>
    </w:p>
    <w:p w14:paraId="56CAD3DC" w14:textId="77777777" w:rsidR="000E78C6" w:rsidRPr="00AC6887" w:rsidRDefault="000E78C6" w:rsidP="00A20AF9">
      <w:pPr>
        <w:numPr>
          <w:ilvl w:val="2"/>
          <w:numId w:val="38"/>
        </w:numPr>
        <w:tabs>
          <w:tab w:val="num" w:pos="851"/>
        </w:tabs>
        <w:spacing w:before="60" w:after="60"/>
        <w:ind w:left="851" w:hanging="709"/>
        <w:jc w:val="both"/>
        <w:rPr>
          <w:rFonts w:ascii="Arial" w:hAnsi="Arial" w:cs="Arial"/>
          <w:sz w:val="22"/>
          <w:szCs w:val="22"/>
        </w:rPr>
      </w:pPr>
      <w:r w:rsidRPr="00AC6887">
        <w:rPr>
          <w:rFonts w:ascii="Arial" w:hAnsi="Arial" w:cs="Arial"/>
          <w:b/>
          <w:sz w:val="22"/>
          <w:szCs w:val="22"/>
        </w:rPr>
        <w:t>Eligibility</w:t>
      </w:r>
      <w:r w:rsidR="00AC6887">
        <w:rPr>
          <w:rFonts w:ascii="Arial" w:hAnsi="Arial" w:cs="Arial"/>
          <w:sz w:val="22"/>
          <w:szCs w:val="22"/>
        </w:rPr>
        <w:t xml:space="preserve">. </w:t>
      </w:r>
      <w:r w:rsidRPr="00AC6887">
        <w:rPr>
          <w:rFonts w:ascii="Arial" w:hAnsi="Arial" w:cs="Arial"/>
          <w:sz w:val="22"/>
          <w:szCs w:val="22"/>
        </w:rPr>
        <w:t xml:space="preserve">The SEND Inclusion Fund is for children taking up the government entitlements for early childhood education and care. Local authorities must target the fund to children with lower level or emerging SEND to facilitate their access to private, voluntary and independent childcare settings.  Locally this is overseen by the IEYS Area Inclusion Coordinators (Area </w:t>
      </w:r>
      <w:proofErr w:type="spellStart"/>
      <w:r w:rsidRPr="00AC6887">
        <w:rPr>
          <w:rFonts w:ascii="Arial" w:hAnsi="Arial" w:cs="Arial"/>
          <w:sz w:val="22"/>
          <w:szCs w:val="22"/>
        </w:rPr>
        <w:t>SENCos</w:t>
      </w:r>
      <w:proofErr w:type="spellEnd"/>
      <w:r w:rsidRPr="00AC6887">
        <w:rPr>
          <w:rFonts w:ascii="Arial" w:hAnsi="Arial" w:cs="Arial"/>
          <w:sz w:val="22"/>
          <w:szCs w:val="22"/>
        </w:rPr>
        <w:t xml:space="preserve"> in the SEND code of practice).  These qualified teachers work with the child, family and setting and assist with identification and planning for children with SEND and transition planning to school using a person centred approach.  The enabling funding for access (equipment, additional support) comes from the high needs block.</w:t>
      </w:r>
      <w:r w:rsidR="00AC6887">
        <w:rPr>
          <w:rFonts w:ascii="Arial" w:hAnsi="Arial" w:cs="Arial"/>
          <w:sz w:val="22"/>
          <w:szCs w:val="22"/>
        </w:rPr>
        <w:t xml:space="preserve"> </w:t>
      </w:r>
      <w:r w:rsidRPr="00AC6887">
        <w:rPr>
          <w:rFonts w:ascii="Arial" w:hAnsi="Arial" w:cs="Arial"/>
          <w:sz w:val="22"/>
          <w:szCs w:val="22"/>
        </w:rPr>
        <w:t>Children with more complex needs in receipt of an Education, Health and Care Plan (EHCP) continue to be eligible to receive funding via the high needs block of the DSG.</w:t>
      </w:r>
    </w:p>
    <w:sectPr w:rsidR="000E78C6" w:rsidRPr="00AC6887" w:rsidSect="00161ABB">
      <w:footerReference w:type="even" r:id="rId13"/>
      <w:footerReference w:type="default" r:id="rId14"/>
      <w:headerReference w:type="first" r:id="rId15"/>
      <w:footerReference w:type="first" r:id="rId16"/>
      <w:pgSz w:w="11906" w:h="16838"/>
      <w:pgMar w:top="1418" w:right="1701" w:bottom="1418" w:left="1701" w:header="72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04F2C" w14:textId="77777777" w:rsidR="00E369CF" w:rsidRDefault="00E369CF">
      <w:r>
        <w:separator/>
      </w:r>
    </w:p>
  </w:endnote>
  <w:endnote w:type="continuationSeparator" w:id="0">
    <w:p w14:paraId="538455F9" w14:textId="77777777" w:rsidR="00E369CF" w:rsidRDefault="00E3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CCA96" w14:textId="77777777" w:rsidR="00D548E4" w:rsidRDefault="00D548E4" w:rsidP="00A22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C48D59" w14:textId="77777777" w:rsidR="00D548E4" w:rsidRDefault="00D54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B346B" w14:textId="77777777" w:rsidR="00D548E4" w:rsidRDefault="00D548E4" w:rsidP="00A22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3556">
      <w:rPr>
        <w:rStyle w:val="PageNumber"/>
        <w:noProof/>
      </w:rPr>
      <w:t>2</w:t>
    </w:r>
    <w:r>
      <w:rPr>
        <w:rStyle w:val="PageNumber"/>
      </w:rPr>
      <w:fldChar w:fldCharType="end"/>
    </w:r>
  </w:p>
  <w:p w14:paraId="7976D458" w14:textId="77777777" w:rsidR="00D548E4" w:rsidRDefault="00D548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2C21" w14:textId="77777777" w:rsidR="00D548E4" w:rsidRDefault="00D548E4" w:rsidP="007D1863">
    <w:pPr>
      <w:pStyle w:val="Footer"/>
      <w:framePr w:wrap="around" w:vAnchor="text" w:hAnchor="margin" w:xAlign="right" w:y="1"/>
      <w:rPr>
        <w:rStyle w:val="PageNumber"/>
      </w:rPr>
    </w:pPr>
    <w:r>
      <w:rPr>
        <w:rStyle w:val="PageNumber"/>
      </w:rPr>
      <w:tab/>
    </w:r>
  </w:p>
  <w:p w14:paraId="1AEDC056" w14:textId="77777777" w:rsidR="00D548E4" w:rsidRDefault="00D548E4" w:rsidP="007D1863">
    <w:pPr>
      <w:pStyle w:val="Footer"/>
      <w:framePr w:wrap="around" w:vAnchor="text" w:hAnchor="margin" w:xAlign="right" w:y="1"/>
      <w:rPr>
        <w:rStyle w:val="PageNumber"/>
      </w:rPr>
    </w:pPr>
  </w:p>
  <w:p w14:paraId="2DF86E9F" w14:textId="77777777" w:rsidR="00D548E4" w:rsidRDefault="00D548E4" w:rsidP="00161A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E81C1" w14:textId="77777777" w:rsidR="00E369CF" w:rsidRDefault="00E369CF">
      <w:r>
        <w:separator/>
      </w:r>
    </w:p>
  </w:footnote>
  <w:footnote w:type="continuationSeparator" w:id="0">
    <w:p w14:paraId="10F7F7DD" w14:textId="77777777" w:rsidR="00E369CF" w:rsidRDefault="00E36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C042A" w14:textId="77777777" w:rsidR="00D548E4" w:rsidRPr="005679CA" w:rsidRDefault="00D548E4" w:rsidP="00B07502">
    <w:pPr>
      <w:pStyle w:val="Header"/>
      <w:jc w:val="center"/>
      <w:rPr>
        <w:rFonts w:ascii="Arial" w:hAnsi="Arial" w:cs="Arial"/>
        <w:b/>
        <w:sz w:val="24"/>
        <w:szCs w:val="24"/>
      </w:rPr>
    </w:pPr>
    <w:r w:rsidRPr="005679CA">
      <w:rPr>
        <w:rFonts w:ascii="Arial" w:hAnsi="Arial" w:cs="Arial"/>
        <w:b/>
        <w:sz w:val="24"/>
        <w:szCs w:val="24"/>
      </w:rPr>
      <w:t xml:space="preserve">Schools Forum </w:t>
    </w:r>
    <w:r w:rsidR="003E7CFA" w:rsidRPr="005679CA">
      <w:rPr>
        <w:rFonts w:ascii="Arial" w:hAnsi="Arial" w:cs="Arial"/>
        <w:b/>
        <w:sz w:val="24"/>
        <w:szCs w:val="24"/>
      </w:rPr>
      <w:t>10 October 2018</w:t>
    </w:r>
  </w:p>
  <w:p w14:paraId="11187B34" w14:textId="0F6A95BB" w:rsidR="00D548E4" w:rsidRPr="005679CA" w:rsidRDefault="003E7CFA" w:rsidP="00B07502">
    <w:pPr>
      <w:pStyle w:val="Header"/>
      <w:jc w:val="center"/>
      <w:rPr>
        <w:rFonts w:ascii="Arial" w:hAnsi="Arial" w:cs="Arial"/>
        <w:b/>
        <w:sz w:val="24"/>
        <w:szCs w:val="24"/>
      </w:rPr>
    </w:pPr>
    <w:r w:rsidRPr="005679CA">
      <w:rPr>
        <w:rFonts w:ascii="Arial" w:hAnsi="Arial" w:cs="Arial"/>
        <w:b/>
        <w:sz w:val="24"/>
        <w:szCs w:val="24"/>
      </w:rPr>
      <w:t>DSG – 18-19 Monitoring and 19-20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84E0A5"/>
    <w:multiLevelType w:val="hybridMultilevel"/>
    <w:tmpl w:val="CA4FF1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C0354"/>
    <w:multiLevelType w:val="singleLevel"/>
    <w:tmpl w:val="FB382064"/>
    <w:lvl w:ilvl="0">
      <w:start w:val="1"/>
      <w:numFmt w:val="bullet"/>
      <w:lvlText w:val=""/>
      <w:lvlJc w:val="left"/>
      <w:pPr>
        <w:tabs>
          <w:tab w:val="num" w:pos="1080"/>
        </w:tabs>
        <w:ind w:left="720" w:firstLine="0"/>
      </w:pPr>
      <w:rPr>
        <w:rFonts w:ascii="Symbol" w:hAnsi="Symbol" w:hint="default"/>
        <w:sz w:val="16"/>
      </w:rPr>
    </w:lvl>
  </w:abstractNum>
  <w:abstractNum w:abstractNumId="2" w15:restartNumberingAfterBreak="0">
    <w:nsid w:val="09C20321"/>
    <w:multiLevelType w:val="hybridMultilevel"/>
    <w:tmpl w:val="4ECA1CCC"/>
    <w:lvl w:ilvl="0" w:tplc="F4108AB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60897"/>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4" w15:restartNumberingAfterBreak="0">
    <w:nsid w:val="11E65FC5"/>
    <w:multiLevelType w:val="multilevel"/>
    <w:tmpl w:val="0A7C886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15"/>
        </w:tabs>
        <w:ind w:left="815" w:hanging="247"/>
      </w:pPr>
      <w:rPr>
        <w:rFonts w:ascii="Arial" w:hAnsi="Arial" w:cs="Arial" w:hint="default"/>
        <w:b w:val="0"/>
      </w:rPr>
    </w:lvl>
    <w:lvl w:ilvl="2">
      <w:start w:val="1"/>
      <w:numFmt w:val="lowerLetter"/>
      <w:lvlText w:val="%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713A1C"/>
    <w:multiLevelType w:val="hybridMultilevel"/>
    <w:tmpl w:val="E7100E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164450"/>
    <w:multiLevelType w:val="hybridMultilevel"/>
    <w:tmpl w:val="CBA8838E"/>
    <w:lvl w:ilvl="0" w:tplc="0809000F">
      <w:start w:val="1"/>
      <w:numFmt w:val="decimal"/>
      <w:lvlText w:val="%1."/>
      <w:lvlJc w:val="left"/>
      <w:pPr>
        <w:tabs>
          <w:tab w:val="num" w:pos="1636"/>
        </w:tabs>
        <w:ind w:left="1636" w:hanging="360"/>
      </w:pPr>
      <w:rPr>
        <w:rFonts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7" w15:restartNumberingAfterBreak="0">
    <w:nsid w:val="1CE2427F"/>
    <w:multiLevelType w:val="hybridMultilevel"/>
    <w:tmpl w:val="73A26C12"/>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8" w15:restartNumberingAfterBreak="0">
    <w:nsid w:val="215F7D5A"/>
    <w:multiLevelType w:val="multilevel"/>
    <w:tmpl w:val="0A7C886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247"/>
      </w:pPr>
      <w:rPr>
        <w:rFonts w:ascii="Arial" w:hAnsi="Arial" w:cs="Arial" w:hint="default"/>
        <w:b w:val="0"/>
      </w:rPr>
    </w:lvl>
    <w:lvl w:ilvl="2">
      <w:start w:val="1"/>
      <w:numFmt w:val="lowerLetter"/>
      <w:lvlText w:val="%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6386F03"/>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11" w15:restartNumberingAfterBreak="0">
    <w:nsid w:val="274D72FA"/>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12" w15:restartNumberingAfterBreak="0">
    <w:nsid w:val="27A11785"/>
    <w:multiLevelType w:val="hybridMultilevel"/>
    <w:tmpl w:val="D8D888DC"/>
    <w:lvl w:ilvl="0" w:tplc="08090003">
      <w:start w:val="1"/>
      <w:numFmt w:val="bullet"/>
      <w:lvlText w:val="o"/>
      <w:lvlJc w:val="left"/>
      <w:pPr>
        <w:tabs>
          <w:tab w:val="num" w:pos="2149"/>
        </w:tabs>
        <w:ind w:left="2149" w:hanging="360"/>
      </w:pPr>
      <w:rPr>
        <w:rFonts w:ascii="Courier New" w:hAnsi="Courier New" w:cs="Courier New"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CF164FA"/>
    <w:multiLevelType w:val="hybridMultilevel"/>
    <w:tmpl w:val="2ADECFB0"/>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EB8727A"/>
    <w:multiLevelType w:val="multilevel"/>
    <w:tmpl w:val="EA763166"/>
    <w:lvl w:ilvl="0">
      <w:start w:val="1"/>
      <w:numFmt w:val="decimal"/>
      <w:pStyle w:val="Heading1"/>
      <w:lvlText w:val="%1"/>
      <w:lvlJc w:val="left"/>
      <w:pPr>
        <w:ind w:left="432" w:hanging="432"/>
      </w:pPr>
      <w:rPr>
        <w:rFonts w:hint="default"/>
        <w:b/>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ascii="Arial" w:hAnsi="Arial" w:cs="Arial" w:hint="default"/>
        <w:b w:val="0"/>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24A0F48"/>
    <w:multiLevelType w:val="multilevel"/>
    <w:tmpl w:val="CC708636"/>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247"/>
      </w:pPr>
      <w:rPr>
        <w:rFonts w:ascii="Arial" w:hAnsi="Arial" w:cs="Aria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6256C64"/>
    <w:multiLevelType w:val="hybridMultilevel"/>
    <w:tmpl w:val="30E66F4A"/>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69525C5"/>
    <w:multiLevelType w:val="hybridMultilevel"/>
    <w:tmpl w:val="7386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52573"/>
    <w:multiLevelType w:val="hybridMultilevel"/>
    <w:tmpl w:val="A7D2AD3C"/>
    <w:lvl w:ilvl="0" w:tplc="0809000F">
      <w:start w:val="1"/>
      <w:numFmt w:val="decimal"/>
      <w:lvlText w:val="%1."/>
      <w:lvlJc w:val="left"/>
      <w:pPr>
        <w:tabs>
          <w:tab w:val="num" w:pos="1636"/>
        </w:tabs>
        <w:ind w:left="1636" w:hanging="360"/>
      </w:pPr>
      <w:rPr>
        <w:rFonts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19" w15:restartNumberingAfterBreak="0">
    <w:nsid w:val="388579E8"/>
    <w:multiLevelType w:val="hybridMultilevel"/>
    <w:tmpl w:val="36E2FBEA"/>
    <w:lvl w:ilvl="0" w:tplc="08090001">
      <w:start w:val="1"/>
      <w:numFmt w:val="bullet"/>
      <w:lvlText w:val=""/>
      <w:lvlJc w:val="left"/>
      <w:pPr>
        <w:tabs>
          <w:tab w:val="num" w:pos="1995"/>
        </w:tabs>
        <w:ind w:left="1995" w:hanging="360"/>
      </w:pPr>
      <w:rPr>
        <w:rFonts w:ascii="Symbol" w:hAnsi="Symbol" w:hint="default"/>
      </w:rPr>
    </w:lvl>
    <w:lvl w:ilvl="1" w:tplc="08090003" w:tentative="1">
      <w:start w:val="1"/>
      <w:numFmt w:val="bullet"/>
      <w:lvlText w:val="o"/>
      <w:lvlJc w:val="left"/>
      <w:pPr>
        <w:tabs>
          <w:tab w:val="num" w:pos="2715"/>
        </w:tabs>
        <w:ind w:left="2715" w:hanging="360"/>
      </w:pPr>
      <w:rPr>
        <w:rFonts w:ascii="Courier New" w:hAnsi="Courier New" w:cs="Courier New" w:hint="default"/>
      </w:rPr>
    </w:lvl>
    <w:lvl w:ilvl="2" w:tplc="08090005" w:tentative="1">
      <w:start w:val="1"/>
      <w:numFmt w:val="bullet"/>
      <w:lvlText w:val=""/>
      <w:lvlJc w:val="left"/>
      <w:pPr>
        <w:tabs>
          <w:tab w:val="num" w:pos="3435"/>
        </w:tabs>
        <w:ind w:left="3435" w:hanging="360"/>
      </w:pPr>
      <w:rPr>
        <w:rFonts w:ascii="Wingdings" w:hAnsi="Wingdings" w:hint="default"/>
      </w:rPr>
    </w:lvl>
    <w:lvl w:ilvl="3" w:tplc="08090001" w:tentative="1">
      <w:start w:val="1"/>
      <w:numFmt w:val="bullet"/>
      <w:lvlText w:val=""/>
      <w:lvlJc w:val="left"/>
      <w:pPr>
        <w:tabs>
          <w:tab w:val="num" w:pos="4155"/>
        </w:tabs>
        <w:ind w:left="4155" w:hanging="360"/>
      </w:pPr>
      <w:rPr>
        <w:rFonts w:ascii="Symbol" w:hAnsi="Symbol" w:hint="default"/>
      </w:rPr>
    </w:lvl>
    <w:lvl w:ilvl="4" w:tplc="08090003" w:tentative="1">
      <w:start w:val="1"/>
      <w:numFmt w:val="bullet"/>
      <w:lvlText w:val="o"/>
      <w:lvlJc w:val="left"/>
      <w:pPr>
        <w:tabs>
          <w:tab w:val="num" w:pos="4875"/>
        </w:tabs>
        <w:ind w:left="4875" w:hanging="360"/>
      </w:pPr>
      <w:rPr>
        <w:rFonts w:ascii="Courier New" w:hAnsi="Courier New" w:cs="Courier New" w:hint="default"/>
      </w:rPr>
    </w:lvl>
    <w:lvl w:ilvl="5" w:tplc="08090005" w:tentative="1">
      <w:start w:val="1"/>
      <w:numFmt w:val="bullet"/>
      <w:lvlText w:val=""/>
      <w:lvlJc w:val="left"/>
      <w:pPr>
        <w:tabs>
          <w:tab w:val="num" w:pos="5595"/>
        </w:tabs>
        <w:ind w:left="5595" w:hanging="360"/>
      </w:pPr>
      <w:rPr>
        <w:rFonts w:ascii="Wingdings" w:hAnsi="Wingdings" w:hint="default"/>
      </w:rPr>
    </w:lvl>
    <w:lvl w:ilvl="6" w:tplc="08090001" w:tentative="1">
      <w:start w:val="1"/>
      <w:numFmt w:val="bullet"/>
      <w:lvlText w:val=""/>
      <w:lvlJc w:val="left"/>
      <w:pPr>
        <w:tabs>
          <w:tab w:val="num" w:pos="6315"/>
        </w:tabs>
        <w:ind w:left="6315" w:hanging="360"/>
      </w:pPr>
      <w:rPr>
        <w:rFonts w:ascii="Symbol" w:hAnsi="Symbol" w:hint="default"/>
      </w:rPr>
    </w:lvl>
    <w:lvl w:ilvl="7" w:tplc="08090003" w:tentative="1">
      <w:start w:val="1"/>
      <w:numFmt w:val="bullet"/>
      <w:lvlText w:val="o"/>
      <w:lvlJc w:val="left"/>
      <w:pPr>
        <w:tabs>
          <w:tab w:val="num" w:pos="7035"/>
        </w:tabs>
        <w:ind w:left="7035" w:hanging="360"/>
      </w:pPr>
      <w:rPr>
        <w:rFonts w:ascii="Courier New" w:hAnsi="Courier New" w:cs="Courier New" w:hint="default"/>
      </w:rPr>
    </w:lvl>
    <w:lvl w:ilvl="8" w:tplc="08090005" w:tentative="1">
      <w:start w:val="1"/>
      <w:numFmt w:val="bullet"/>
      <w:lvlText w:val=""/>
      <w:lvlJc w:val="left"/>
      <w:pPr>
        <w:tabs>
          <w:tab w:val="num" w:pos="7755"/>
        </w:tabs>
        <w:ind w:left="7755" w:hanging="360"/>
      </w:pPr>
      <w:rPr>
        <w:rFonts w:ascii="Wingdings" w:hAnsi="Wingdings" w:hint="default"/>
      </w:rPr>
    </w:lvl>
  </w:abstractNum>
  <w:abstractNum w:abstractNumId="20" w15:restartNumberingAfterBreak="0">
    <w:nsid w:val="3D4118EE"/>
    <w:multiLevelType w:val="multilevel"/>
    <w:tmpl w:val="11124C6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113989"/>
    <w:multiLevelType w:val="singleLevel"/>
    <w:tmpl w:val="C4A45CB8"/>
    <w:lvl w:ilvl="0">
      <w:start w:val="1"/>
      <w:numFmt w:val="bullet"/>
      <w:lvlText w:val=""/>
      <w:lvlJc w:val="left"/>
      <w:pPr>
        <w:tabs>
          <w:tab w:val="num" w:pos="1080"/>
        </w:tabs>
        <w:ind w:left="720" w:firstLine="0"/>
      </w:pPr>
      <w:rPr>
        <w:rFonts w:ascii="Symbol" w:hAnsi="Symbol" w:hint="default"/>
        <w:sz w:val="16"/>
      </w:rPr>
    </w:lvl>
  </w:abstractNum>
  <w:abstractNum w:abstractNumId="22" w15:restartNumberingAfterBreak="0">
    <w:nsid w:val="44D143A9"/>
    <w:multiLevelType w:val="hybridMultilevel"/>
    <w:tmpl w:val="D9E0E938"/>
    <w:lvl w:ilvl="0" w:tplc="0E7E6B60">
      <w:start w:val="1"/>
      <w:numFmt w:val="lowerLetter"/>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692433"/>
    <w:multiLevelType w:val="hybridMultilevel"/>
    <w:tmpl w:val="EDDA70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BC163E"/>
    <w:multiLevelType w:val="multilevel"/>
    <w:tmpl w:val="0A7C886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247"/>
      </w:pPr>
      <w:rPr>
        <w:rFonts w:ascii="Arial" w:hAnsi="Arial" w:cs="Arial" w:hint="default"/>
        <w:b w:val="0"/>
      </w:rPr>
    </w:lvl>
    <w:lvl w:ilvl="2">
      <w:start w:val="1"/>
      <w:numFmt w:val="lowerLetter"/>
      <w:lvlText w:val="%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4BFD6D3D"/>
    <w:multiLevelType w:val="multilevel"/>
    <w:tmpl w:val="178A63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18771B"/>
    <w:multiLevelType w:val="multilevel"/>
    <w:tmpl w:val="4498EB5C"/>
    <w:lvl w:ilvl="0">
      <w:start w:val="1"/>
      <w:numFmt w:val="bullet"/>
      <w:pStyle w:val="ListBullet"/>
      <w:lvlText w:val=""/>
      <w:lvlJc w:val="left"/>
      <w:pPr>
        <w:tabs>
          <w:tab w:val="num" w:pos="1145"/>
        </w:tabs>
        <w:ind w:left="1145" w:hanging="425"/>
      </w:pPr>
      <w:rPr>
        <w:rFonts w:ascii="Wingdings 2" w:hAnsi="Wingdings 2"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8" w15:restartNumberingAfterBreak="0">
    <w:nsid w:val="59803FCE"/>
    <w:multiLevelType w:val="multilevel"/>
    <w:tmpl w:val="ED9AC0D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0070F3"/>
    <w:multiLevelType w:val="hybridMultilevel"/>
    <w:tmpl w:val="EA763A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BB2FF2"/>
    <w:multiLevelType w:val="hybridMultilevel"/>
    <w:tmpl w:val="B3680F12"/>
    <w:lvl w:ilvl="0" w:tplc="73748FE4">
      <w:start w:val="1"/>
      <w:numFmt w:val="lowerLetter"/>
      <w:lvlText w:val="%1)"/>
      <w:lvlJc w:val="left"/>
      <w:pPr>
        <w:tabs>
          <w:tab w:val="num" w:pos="1353"/>
        </w:tabs>
        <w:ind w:left="1353" w:hanging="360"/>
      </w:pPr>
      <w:rPr>
        <w:rFonts w:hint="default"/>
        <w:color w:val="000000"/>
      </w:rPr>
    </w:lvl>
    <w:lvl w:ilvl="1" w:tplc="B5E24208">
      <w:start w:val="1"/>
      <w:numFmt w:val="bullet"/>
      <w:lvlText w:val=""/>
      <w:lvlJc w:val="left"/>
      <w:pPr>
        <w:tabs>
          <w:tab w:val="num" w:pos="1713"/>
        </w:tabs>
        <w:ind w:left="1713" w:hanging="360"/>
      </w:pPr>
      <w:rPr>
        <w:rFonts w:ascii="Symbol" w:hAnsi="Symbol" w:hint="default"/>
      </w:rPr>
    </w:lvl>
    <w:lvl w:ilvl="2" w:tplc="04090005">
      <w:start w:val="1"/>
      <w:numFmt w:val="bullet"/>
      <w:lvlText w:val=""/>
      <w:lvlJc w:val="left"/>
      <w:pPr>
        <w:tabs>
          <w:tab w:val="num" w:pos="2433"/>
        </w:tabs>
        <w:ind w:left="2433" w:hanging="360"/>
      </w:pPr>
      <w:rPr>
        <w:rFonts w:ascii="Wingdings" w:hAnsi="Wingdings" w:hint="default"/>
      </w:rPr>
    </w:lvl>
    <w:lvl w:ilvl="3" w:tplc="19B0BA74">
      <w:start w:val="1"/>
      <w:numFmt w:val="decimal"/>
      <w:lvlText w:val="%4"/>
      <w:lvlJc w:val="left"/>
      <w:pPr>
        <w:tabs>
          <w:tab w:val="num" w:pos="3153"/>
        </w:tabs>
        <w:ind w:left="3153" w:hanging="360"/>
      </w:pPr>
      <w:rPr>
        <w:rFonts w:hint="default"/>
        <w:color w:val="auto"/>
      </w:rPr>
    </w:lvl>
    <w:lvl w:ilvl="4" w:tplc="372CDE76">
      <w:start w:val="1"/>
      <w:numFmt w:val="decimal"/>
      <w:lvlText w:val="%5."/>
      <w:lvlJc w:val="left"/>
      <w:pPr>
        <w:tabs>
          <w:tab w:val="num" w:pos="3873"/>
        </w:tabs>
        <w:ind w:left="3873" w:hanging="360"/>
      </w:pPr>
      <w:rPr>
        <w:rFonts w:hint="default"/>
        <w:color w:val="auto"/>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31" w15:restartNumberingAfterBreak="0">
    <w:nsid w:val="60AA2114"/>
    <w:multiLevelType w:val="hybridMultilevel"/>
    <w:tmpl w:val="42F2C1D4"/>
    <w:lvl w:ilvl="0" w:tplc="07CC8C56">
      <w:start w:val="1"/>
      <w:numFmt w:val="lowerRoman"/>
      <w:lvlText w:val="(%1)"/>
      <w:lvlJc w:val="left"/>
      <w:pPr>
        <w:tabs>
          <w:tab w:val="num" w:pos="2689"/>
        </w:tabs>
        <w:ind w:left="2689" w:hanging="720"/>
      </w:pPr>
      <w:rPr>
        <w:rFonts w:cs="Arial" w:hint="default"/>
      </w:rPr>
    </w:lvl>
    <w:lvl w:ilvl="1" w:tplc="08090019" w:tentative="1">
      <w:start w:val="1"/>
      <w:numFmt w:val="lowerLetter"/>
      <w:lvlText w:val="%2."/>
      <w:lvlJc w:val="left"/>
      <w:pPr>
        <w:tabs>
          <w:tab w:val="num" w:pos="3049"/>
        </w:tabs>
        <w:ind w:left="3049" w:hanging="360"/>
      </w:pPr>
    </w:lvl>
    <w:lvl w:ilvl="2" w:tplc="0809001B" w:tentative="1">
      <w:start w:val="1"/>
      <w:numFmt w:val="lowerRoman"/>
      <w:lvlText w:val="%3."/>
      <w:lvlJc w:val="right"/>
      <w:pPr>
        <w:tabs>
          <w:tab w:val="num" w:pos="3769"/>
        </w:tabs>
        <w:ind w:left="3769" w:hanging="180"/>
      </w:pPr>
    </w:lvl>
    <w:lvl w:ilvl="3" w:tplc="0809000F" w:tentative="1">
      <w:start w:val="1"/>
      <w:numFmt w:val="decimal"/>
      <w:lvlText w:val="%4."/>
      <w:lvlJc w:val="left"/>
      <w:pPr>
        <w:tabs>
          <w:tab w:val="num" w:pos="4489"/>
        </w:tabs>
        <w:ind w:left="4489" w:hanging="360"/>
      </w:pPr>
    </w:lvl>
    <w:lvl w:ilvl="4" w:tplc="08090019" w:tentative="1">
      <w:start w:val="1"/>
      <w:numFmt w:val="lowerLetter"/>
      <w:lvlText w:val="%5."/>
      <w:lvlJc w:val="left"/>
      <w:pPr>
        <w:tabs>
          <w:tab w:val="num" w:pos="5209"/>
        </w:tabs>
        <w:ind w:left="5209" w:hanging="360"/>
      </w:pPr>
    </w:lvl>
    <w:lvl w:ilvl="5" w:tplc="0809001B" w:tentative="1">
      <w:start w:val="1"/>
      <w:numFmt w:val="lowerRoman"/>
      <w:lvlText w:val="%6."/>
      <w:lvlJc w:val="right"/>
      <w:pPr>
        <w:tabs>
          <w:tab w:val="num" w:pos="5929"/>
        </w:tabs>
        <w:ind w:left="5929" w:hanging="180"/>
      </w:pPr>
    </w:lvl>
    <w:lvl w:ilvl="6" w:tplc="0809000F" w:tentative="1">
      <w:start w:val="1"/>
      <w:numFmt w:val="decimal"/>
      <w:lvlText w:val="%7."/>
      <w:lvlJc w:val="left"/>
      <w:pPr>
        <w:tabs>
          <w:tab w:val="num" w:pos="6649"/>
        </w:tabs>
        <w:ind w:left="6649" w:hanging="360"/>
      </w:pPr>
    </w:lvl>
    <w:lvl w:ilvl="7" w:tplc="08090019" w:tentative="1">
      <w:start w:val="1"/>
      <w:numFmt w:val="lowerLetter"/>
      <w:lvlText w:val="%8."/>
      <w:lvlJc w:val="left"/>
      <w:pPr>
        <w:tabs>
          <w:tab w:val="num" w:pos="7369"/>
        </w:tabs>
        <w:ind w:left="7369" w:hanging="360"/>
      </w:pPr>
    </w:lvl>
    <w:lvl w:ilvl="8" w:tplc="0809001B" w:tentative="1">
      <w:start w:val="1"/>
      <w:numFmt w:val="lowerRoman"/>
      <w:lvlText w:val="%9."/>
      <w:lvlJc w:val="right"/>
      <w:pPr>
        <w:tabs>
          <w:tab w:val="num" w:pos="8089"/>
        </w:tabs>
        <w:ind w:left="8089" w:hanging="180"/>
      </w:pPr>
    </w:lvl>
  </w:abstractNum>
  <w:abstractNum w:abstractNumId="32" w15:restartNumberingAfterBreak="0">
    <w:nsid w:val="630E5D1B"/>
    <w:multiLevelType w:val="multilevel"/>
    <w:tmpl w:val="4B929542"/>
    <w:name w:val="seq1"/>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3" w15:restartNumberingAfterBreak="0">
    <w:nsid w:val="67933B69"/>
    <w:multiLevelType w:val="hybridMultilevel"/>
    <w:tmpl w:val="F9B09698"/>
    <w:lvl w:ilvl="0" w:tplc="84FAFC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7D93782"/>
    <w:multiLevelType w:val="hybridMultilevel"/>
    <w:tmpl w:val="5E901630"/>
    <w:lvl w:ilvl="0" w:tplc="B5E24208">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2032"/>
        </w:tabs>
        <w:ind w:left="2032" w:hanging="360"/>
      </w:pPr>
      <w:rPr>
        <w:rFonts w:ascii="Courier New" w:hAnsi="Courier New" w:cs="Courier New" w:hint="default"/>
      </w:rPr>
    </w:lvl>
    <w:lvl w:ilvl="2" w:tplc="08090005" w:tentative="1">
      <w:start w:val="1"/>
      <w:numFmt w:val="bullet"/>
      <w:lvlText w:val=""/>
      <w:lvlJc w:val="left"/>
      <w:pPr>
        <w:tabs>
          <w:tab w:val="num" w:pos="2752"/>
        </w:tabs>
        <w:ind w:left="2752" w:hanging="360"/>
      </w:pPr>
      <w:rPr>
        <w:rFonts w:ascii="Wingdings" w:hAnsi="Wingdings" w:hint="default"/>
      </w:rPr>
    </w:lvl>
    <w:lvl w:ilvl="3" w:tplc="08090001" w:tentative="1">
      <w:start w:val="1"/>
      <w:numFmt w:val="bullet"/>
      <w:lvlText w:val=""/>
      <w:lvlJc w:val="left"/>
      <w:pPr>
        <w:tabs>
          <w:tab w:val="num" w:pos="3472"/>
        </w:tabs>
        <w:ind w:left="3472" w:hanging="360"/>
      </w:pPr>
      <w:rPr>
        <w:rFonts w:ascii="Symbol" w:hAnsi="Symbol" w:hint="default"/>
      </w:rPr>
    </w:lvl>
    <w:lvl w:ilvl="4" w:tplc="08090003" w:tentative="1">
      <w:start w:val="1"/>
      <w:numFmt w:val="bullet"/>
      <w:lvlText w:val="o"/>
      <w:lvlJc w:val="left"/>
      <w:pPr>
        <w:tabs>
          <w:tab w:val="num" w:pos="4192"/>
        </w:tabs>
        <w:ind w:left="4192" w:hanging="360"/>
      </w:pPr>
      <w:rPr>
        <w:rFonts w:ascii="Courier New" w:hAnsi="Courier New" w:cs="Courier New" w:hint="default"/>
      </w:rPr>
    </w:lvl>
    <w:lvl w:ilvl="5" w:tplc="08090005" w:tentative="1">
      <w:start w:val="1"/>
      <w:numFmt w:val="bullet"/>
      <w:lvlText w:val=""/>
      <w:lvlJc w:val="left"/>
      <w:pPr>
        <w:tabs>
          <w:tab w:val="num" w:pos="4912"/>
        </w:tabs>
        <w:ind w:left="4912" w:hanging="360"/>
      </w:pPr>
      <w:rPr>
        <w:rFonts w:ascii="Wingdings" w:hAnsi="Wingdings" w:hint="default"/>
      </w:rPr>
    </w:lvl>
    <w:lvl w:ilvl="6" w:tplc="08090001" w:tentative="1">
      <w:start w:val="1"/>
      <w:numFmt w:val="bullet"/>
      <w:lvlText w:val=""/>
      <w:lvlJc w:val="left"/>
      <w:pPr>
        <w:tabs>
          <w:tab w:val="num" w:pos="5632"/>
        </w:tabs>
        <w:ind w:left="5632" w:hanging="360"/>
      </w:pPr>
      <w:rPr>
        <w:rFonts w:ascii="Symbol" w:hAnsi="Symbol" w:hint="default"/>
      </w:rPr>
    </w:lvl>
    <w:lvl w:ilvl="7" w:tplc="08090003" w:tentative="1">
      <w:start w:val="1"/>
      <w:numFmt w:val="bullet"/>
      <w:lvlText w:val="o"/>
      <w:lvlJc w:val="left"/>
      <w:pPr>
        <w:tabs>
          <w:tab w:val="num" w:pos="6352"/>
        </w:tabs>
        <w:ind w:left="6352" w:hanging="360"/>
      </w:pPr>
      <w:rPr>
        <w:rFonts w:ascii="Courier New" w:hAnsi="Courier New" w:cs="Courier New" w:hint="default"/>
      </w:rPr>
    </w:lvl>
    <w:lvl w:ilvl="8" w:tplc="08090005" w:tentative="1">
      <w:start w:val="1"/>
      <w:numFmt w:val="bullet"/>
      <w:lvlText w:val=""/>
      <w:lvlJc w:val="left"/>
      <w:pPr>
        <w:tabs>
          <w:tab w:val="num" w:pos="7072"/>
        </w:tabs>
        <w:ind w:left="7072" w:hanging="360"/>
      </w:pPr>
      <w:rPr>
        <w:rFonts w:ascii="Wingdings" w:hAnsi="Wingdings" w:hint="default"/>
      </w:rPr>
    </w:lvl>
  </w:abstractNum>
  <w:abstractNum w:abstractNumId="35" w15:restartNumberingAfterBreak="0">
    <w:nsid w:val="688924DF"/>
    <w:multiLevelType w:val="multilevel"/>
    <w:tmpl w:val="0A7C886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15"/>
        </w:tabs>
        <w:ind w:left="815" w:hanging="247"/>
      </w:pPr>
      <w:rPr>
        <w:rFonts w:ascii="Arial" w:hAnsi="Arial" w:cs="Arial" w:hint="default"/>
        <w:b w:val="0"/>
      </w:rPr>
    </w:lvl>
    <w:lvl w:ilvl="2">
      <w:start w:val="1"/>
      <w:numFmt w:val="lowerLetter"/>
      <w:lvlText w:val="%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69AB0C5B"/>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37" w15:restartNumberingAfterBreak="0">
    <w:nsid w:val="70FD5E12"/>
    <w:multiLevelType w:val="hybridMultilevel"/>
    <w:tmpl w:val="969C431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8" w15:restartNumberingAfterBreak="0">
    <w:nsid w:val="75FD3D34"/>
    <w:multiLevelType w:val="hybridMultilevel"/>
    <w:tmpl w:val="790427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6B147DD"/>
    <w:multiLevelType w:val="hybridMultilevel"/>
    <w:tmpl w:val="5C5A4B44"/>
    <w:lvl w:ilvl="0" w:tplc="05BC3DC2">
      <w:start w:val="1"/>
      <w:numFmt w:val="decimal"/>
      <w:lvlText w:val="%1."/>
      <w:lvlJc w:val="left"/>
      <w:pPr>
        <w:tabs>
          <w:tab w:val="num" w:pos="1211"/>
        </w:tabs>
        <w:ind w:left="1211" w:hanging="360"/>
      </w:pPr>
      <w:rPr>
        <w:rFonts w:hint="default"/>
      </w:rPr>
    </w:lvl>
    <w:lvl w:ilvl="1" w:tplc="08090019" w:tentative="1">
      <w:start w:val="1"/>
      <w:numFmt w:val="lowerLetter"/>
      <w:lvlText w:val="%2."/>
      <w:lvlJc w:val="left"/>
      <w:pPr>
        <w:tabs>
          <w:tab w:val="num" w:pos="1571"/>
        </w:tabs>
        <w:ind w:left="1571" w:hanging="360"/>
      </w:pPr>
    </w:lvl>
    <w:lvl w:ilvl="2" w:tplc="0809001B" w:tentative="1">
      <w:start w:val="1"/>
      <w:numFmt w:val="lowerRoman"/>
      <w:lvlText w:val="%3."/>
      <w:lvlJc w:val="right"/>
      <w:pPr>
        <w:tabs>
          <w:tab w:val="num" w:pos="2291"/>
        </w:tabs>
        <w:ind w:left="2291" w:hanging="180"/>
      </w:pPr>
    </w:lvl>
    <w:lvl w:ilvl="3" w:tplc="0809000F" w:tentative="1">
      <w:start w:val="1"/>
      <w:numFmt w:val="decimal"/>
      <w:lvlText w:val="%4."/>
      <w:lvlJc w:val="left"/>
      <w:pPr>
        <w:tabs>
          <w:tab w:val="num" w:pos="3011"/>
        </w:tabs>
        <w:ind w:left="3011" w:hanging="360"/>
      </w:pPr>
    </w:lvl>
    <w:lvl w:ilvl="4" w:tplc="08090019" w:tentative="1">
      <w:start w:val="1"/>
      <w:numFmt w:val="lowerLetter"/>
      <w:lvlText w:val="%5."/>
      <w:lvlJc w:val="left"/>
      <w:pPr>
        <w:tabs>
          <w:tab w:val="num" w:pos="3731"/>
        </w:tabs>
        <w:ind w:left="3731" w:hanging="360"/>
      </w:pPr>
    </w:lvl>
    <w:lvl w:ilvl="5" w:tplc="0809001B" w:tentative="1">
      <w:start w:val="1"/>
      <w:numFmt w:val="lowerRoman"/>
      <w:lvlText w:val="%6."/>
      <w:lvlJc w:val="right"/>
      <w:pPr>
        <w:tabs>
          <w:tab w:val="num" w:pos="4451"/>
        </w:tabs>
        <w:ind w:left="4451" w:hanging="180"/>
      </w:pPr>
    </w:lvl>
    <w:lvl w:ilvl="6" w:tplc="0809000F" w:tentative="1">
      <w:start w:val="1"/>
      <w:numFmt w:val="decimal"/>
      <w:lvlText w:val="%7."/>
      <w:lvlJc w:val="left"/>
      <w:pPr>
        <w:tabs>
          <w:tab w:val="num" w:pos="5171"/>
        </w:tabs>
        <w:ind w:left="5171" w:hanging="360"/>
      </w:pPr>
    </w:lvl>
    <w:lvl w:ilvl="7" w:tplc="08090019" w:tentative="1">
      <w:start w:val="1"/>
      <w:numFmt w:val="lowerLetter"/>
      <w:lvlText w:val="%8."/>
      <w:lvlJc w:val="left"/>
      <w:pPr>
        <w:tabs>
          <w:tab w:val="num" w:pos="5891"/>
        </w:tabs>
        <w:ind w:left="5891" w:hanging="360"/>
      </w:pPr>
    </w:lvl>
    <w:lvl w:ilvl="8" w:tplc="0809001B" w:tentative="1">
      <w:start w:val="1"/>
      <w:numFmt w:val="lowerRoman"/>
      <w:lvlText w:val="%9."/>
      <w:lvlJc w:val="right"/>
      <w:pPr>
        <w:tabs>
          <w:tab w:val="num" w:pos="6611"/>
        </w:tabs>
        <w:ind w:left="6611" w:hanging="180"/>
      </w:pPr>
    </w:lvl>
  </w:abstractNum>
  <w:abstractNum w:abstractNumId="40" w15:restartNumberingAfterBreak="0">
    <w:nsid w:val="79562624"/>
    <w:multiLevelType w:val="multilevel"/>
    <w:tmpl w:val="C82600A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C3E1968"/>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num w:numId="1">
    <w:abstractNumId w:val="9"/>
  </w:num>
  <w:num w:numId="2">
    <w:abstractNumId w:val="23"/>
  </w:num>
  <w:num w:numId="3">
    <w:abstractNumId w:val="27"/>
  </w:num>
  <w:num w:numId="4">
    <w:abstractNumId w:val="4"/>
  </w:num>
  <w:num w:numId="5">
    <w:abstractNumId w:val="30"/>
  </w:num>
  <w:num w:numId="6">
    <w:abstractNumId w:val="33"/>
  </w:num>
  <w:num w:numId="7">
    <w:abstractNumId w:val="22"/>
  </w:num>
  <w:num w:numId="8">
    <w:abstractNumId w:val="15"/>
  </w:num>
  <w:num w:numId="9">
    <w:abstractNumId w:val="34"/>
  </w:num>
  <w:num w:numId="10">
    <w:abstractNumId w:val="19"/>
  </w:num>
  <w:num w:numId="11">
    <w:abstractNumId w:val="7"/>
  </w:num>
  <w:num w:numId="12">
    <w:abstractNumId w:val="6"/>
  </w:num>
  <w:num w:numId="13">
    <w:abstractNumId w:val="18"/>
  </w:num>
  <w:num w:numId="14">
    <w:abstractNumId w:val="20"/>
  </w:num>
  <w:num w:numId="15">
    <w:abstractNumId w:val="0"/>
  </w:num>
  <w:num w:numId="16">
    <w:abstractNumId w:val="21"/>
  </w:num>
  <w:num w:numId="17">
    <w:abstractNumId w:val="1"/>
  </w:num>
  <w:num w:numId="18">
    <w:abstractNumId w:val="41"/>
  </w:num>
  <w:num w:numId="19">
    <w:abstractNumId w:val="36"/>
  </w:num>
  <w:num w:numId="20">
    <w:abstractNumId w:val="11"/>
  </w:num>
  <w:num w:numId="21">
    <w:abstractNumId w:val="10"/>
  </w:num>
  <w:num w:numId="22">
    <w:abstractNumId w:val="3"/>
  </w:num>
  <w:num w:numId="23">
    <w:abstractNumId w:val="39"/>
  </w:num>
  <w:num w:numId="24">
    <w:abstractNumId w:val="28"/>
  </w:num>
  <w:num w:numId="25">
    <w:abstractNumId w:val="12"/>
  </w:num>
  <w:num w:numId="26">
    <w:abstractNumId w:val="31"/>
  </w:num>
  <w:num w:numId="27">
    <w:abstractNumId w:val="16"/>
  </w:num>
  <w:num w:numId="28">
    <w:abstractNumId w:val="9"/>
  </w:num>
  <w:num w:numId="29">
    <w:abstractNumId w:val="40"/>
  </w:num>
  <w:num w:numId="30">
    <w:abstractNumId w:val="2"/>
  </w:num>
  <w:num w:numId="31">
    <w:abstractNumId w:val="5"/>
  </w:num>
  <w:num w:numId="32">
    <w:abstractNumId w:val="26"/>
  </w:num>
  <w:num w:numId="33">
    <w:abstractNumId w:val="13"/>
  </w:num>
  <w:num w:numId="34">
    <w:abstractNumId w:val="37"/>
  </w:num>
  <w:num w:numId="35">
    <w:abstractNumId w:val="38"/>
  </w:num>
  <w:num w:numId="36">
    <w:abstractNumId w:val="8"/>
  </w:num>
  <w:num w:numId="37">
    <w:abstractNumId w:val="25"/>
  </w:num>
  <w:num w:numId="38">
    <w:abstractNumId w:val="14"/>
  </w:num>
  <w:num w:numId="39">
    <w:abstractNumId w:val="17"/>
  </w:num>
  <w:num w:numId="40">
    <w:abstractNumId w:val="24"/>
  </w:num>
  <w:num w:numId="41">
    <w:abstractNumId w:val="35"/>
  </w:num>
  <w:num w:numId="42">
    <w:abstractNumId w:val="29"/>
  </w:num>
  <w:num w:numId="43">
    <w:abstractNumId w:val="14"/>
  </w:num>
  <w:num w:numId="44">
    <w:abstractNumId w:val="14"/>
  </w:num>
  <w:num w:numId="45">
    <w:abstractNumId w:val="1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87"/>
    <w:rsid w:val="0000018D"/>
    <w:rsid w:val="0002784F"/>
    <w:rsid w:val="000302AE"/>
    <w:rsid w:val="000304DF"/>
    <w:rsid w:val="0003093A"/>
    <w:rsid w:val="00030DC2"/>
    <w:rsid w:val="00032C24"/>
    <w:rsid w:val="00034A9C"/>
    <w:rsid w:val="00035F78"/>
    <w:rsid w:val="000403DF"/>
    <w:rsid w:val="00041E65"/>
    <w:rsid w:val="000427D8"/>
    <w:rsid w:val="00044C3D"/>
    <w:rsid w:val="00050F95"/>
    <w:rsid w:val="0005257E"/>
    <w:rsid w:val="0006211F"/>
    <w:rsid w:val="0006409D"/>
    <w:rsid w:val="00065DAD"/>
    <w:rsid w:val="00070A64"/>
    <w:rsid w:val="00071DA7"/>
    <w:rsid w:val="00073556"/>
    <w:rsid w:val="00076E8E"/>
    <w:rsid w:val="000832FF"/>
    <w:rsid w:val="00084817"/>
    <w:rsid w:val="000852F0"/>
    <w:rsid w:val="00093CA3"/>
    <w:rsid w:val="00094122"/>
    <w:rsid w:val="0009742F"/>
    <w:rsid w:val="000A7E7F"/>
    <w:rsid w:val="000B0A97"/>
    <w:rsid w:val="000B1B6E"/>
    <w:rsid w:val="000B3B15"/>
    <w:rsid w:val="000B6BC7"/>
    <w:rsid w:val="000C1718"/>
    <w:rsid w:val="000C1A5B"/>
    <w:rsid w:val="000C21A4"/>
    <w:rsid w:val="000C3300"/>
    <w:rsid w:val="000C46F8"/>
    <w:rsid w:val="000C6B72"/>
    <w:rsid w:val="000D1E1D"/>
    <w:rsid w:val="000E4C8E"/>
    <w:rsid w:val="000E5C2A"/>
    <w:rsid w:val="000E78C6"/>
    <w:rsid w:val="000F10A5"/>
    <w:rsid w:val="000F22EB"/>
    <w:rsid w:val="000F5781"/>
    <w:rsid w:val="0010130F"/>
    <w:rsid w:val="00101D1F"/>
    <w:rsid w:val="001068C9"/>
    <w:rsid w:val="001069EB"/>
    <w:rsid w:val="00110DA2"/>
    <w:rsid w:val="00112AFD"/>
    <w:rsid w:val="00112BCF"/>
    <w:rsid w:val="0011439A"/>
    <w:rsid w:val="0012350B"/>
    <w:rsid w:val="00131E52"/>
    <w:rsid w:val="00132181"/>
    <w:rsid w:val="00132AD8"/>
    <w:rsid w:val="00132B70"/>
    <w:rsid w:val="0013328B"/>
    <w:rsid w:val="00133C89"/>
    <w:rsid w:val="00134569"/>
    <w:rsid w:val="001350F9"/>
    <w:rsid w:val="00136A70"/>
    <w:rsid w:val="00137AAD"/>
    <w:rsid w:val="00140D6D"/>
    <w:rsid w:val="00154ADD"/>
    <w:rsid w:val="00155A2D"/>
    <w:rsid w:val="00156937"/>
    <w:rsid w:val="00157546"/>
    <w:rsid w:val="00157CF2"/>
    <w:rsid w:val="00161ABB"/>
    <w:rsid w:val="001624EF"/>
    <w:rsid w:val="001639F8"/>
    <w:rsid w:val="00167491"/>
    <w:rsid w:val="0017678D"/>
    <w:rsid w:val="001771BD"/>
    <w:rsid w:val="00184244"/>
    <w:rsid w:val="00184F0D"/>
    <w:rsid w:val="00187011"/>
    <w:rsid w:val="00191200"/>
    <w:rsid w:val="001930F5"/>
    <w:rsid w:val="001931E1"/>
    <w:rsid w:val="00194936"/>
    <w:rsid w:val="0019534D"/>
    <w:rsid w:val="001A108D"/>
    <w:rsid w:val="001A5D26"/>
    <w:rsid w:val="001A7397"/>
    <w:rsid w:val="001B0B7D"/>
    <w:rsid w:val="001B1DEA"/>
    <w:rsid w:val="001C2983"/>
    <w:rsid w:val="001D1CE6"/>
    <w:rsid w:val="001D76A6"/>
    <w:rsid w:val="001E0BE4"/>
    <w:rsid w:val="001E64C7"/>
    <w:rsid w:val="001E7CA5"/>
    <w:rsid w:val="001F059E"/>
    <w:rsid w:val="001F3E8B"/>
    <w:rsid w:val="001F5B8E"/>
    <w:rsid w:val="002012E7"/>
    <w:rsid w:val="002015C7"/>
    <w:rsid w:val="002034EA"/>
    <w:rsid w:val="002041BB"/>
    <w:rsid w:val="00207814"/>
    <w:rsid w:val="00207D71"/>
    <w:rsid w:val="00210F74"/>
    <w:rsid w:val="0021562E"/>
    <w:rsid w:val="0021607D"/>
    <w:rsid w:val="00216184"/>
    <w:rsid w:val="00216715"/>
    <w:rsid w:val="00216930"/>
    <w:rsid w:val="00216CFB"/>
    <w:rsid w:val="00217A62"/>
    <w:rsid w:val="00220BFA"/>
    <w:rsid w:val="002228AB"/>
    <w:rsid w:val="00225E0D"/>
    <w:rsid w:val="00226CCB"/>
    <w:rsid w:val="0023133A"/>
    <w:rsid w:val="002366DE"/>
    <w:rsid w:val="00245F6F"/>
    <w:rsid w:val="002465D3"/>
    <w:rsid w:val="00246D39"/>
    <w:rsid w:val="0024796D"/>
    <w:rsid w:val="0025170D"/>
    <w:rsid w:val="00251C39"/>
    <w:rsid w:val="0025291C"/>
    <w:rsid w:val="00254703"/>
    <w:rsid w:val="00267FD2"/>
    <w:rsid w:val="00273B7E"/>
    <w:rsid w:val="0027580C"/>
    <w:rsid w:val="002761DE"/>
    <w:rsid w:val="00285F3F"/>
    <w:rsid w:val="00287BA3"/>
    <w:rsid w:val="00291E15"/>
    <w:rsid w:val="002966A3"/>
    <w:rsid w:val="002A021A"/>
    <w:rsid w:val="002A123D"/>
    <w:rsid w:val="002A2269"/>
    <w:rsid w:val="002A3461"/>
    <w:rsid w:val="002A42E7"/>
    <w:rsid w:val="002A6338"/>
    <w:rsid w:val="002A6FE8"/>
    <w:rsid w:val="002B0E7A"/>
    <w:rsid w:val="002B2C50"/>
    <w:rsid w:val="002B2C54"/>
    <w:rsid w:val="002B73F0"/>
    <w:rsid w:val="002B7D92"/>
    <w:rsid w:val="002C18DE"/>
    <w:rsid w:val="002C1A3D"/>
    <w:rsid w:val="002C4C17"/>
    <w:rsid w:val="002C73F1"/>
    <w:rsid w:val="002C7D27"/>
    <w:rsid w:val="002D0256"/>
    <w:rsid w:val="002D2366"/>
    <w:rsid w:val="002D3717"/>
    <w:rsid w:val="002D4C64"/>
    <w:rsid w:val="002D4C9F"/>
    <w:rsid w:val="002D5ADE"/>
    <w:rsid w:val="002E582E"/>
    <w:rsid w:val="002F0CD9"/>
    <w:rsid w:val="002F15C9"/>
    <w:rsid w:val="002F1DE4"/>
    <w:rsid w:val="002F4E8C"/>
    <w:rsid w:val="002F697F"/>
    <w:rsid w:val="00302711"/>
    <w:rsid w:val="00305402"/>
    <w:rsid w:val="0030735C"/>
    <w:rsid w:val="0031332F"/>
    <w:rsid w:val="00314F30"/>
    <w:rsid w:val="003151B1"/>
    <w:rsid w:val="00322474"/>
    <w:rsid w:val="00323570"/>
    <w:rsid w:val="00325A8A"/>
    <w:rsid w:val="00326DE7"/>
    <w:rsid w:val="0033286A"/>
    <w:rsid w:val="00333535"/>
    <w:rsid w:val="00335156"/>
    <w:rsid w:val="0033572F"/>
    <w:rsid w:val="0033692A"/>
    <w:rsid w:val="00336CD2"/>
    <w:rsid w:val="00336EDC"/>
    <w:rsid w:val="00337C7A"/>
    <w:rsid w:val="0034195B"/>
    <w:rsid w:val="00343ABB"/>
    <w:rsid w:val="00350E4B"/>
    <w:rsid w:val="00355416"/>
    <w:rsid w:val="00355B8D"/>
    <w:rsid w:val="00356711"/>
    <w:rsid w:val="00360A3C"/>
    <w:rsid w:val="00361CAB"/>
    <w:rsid w:val="0036362D"/>
    <w:rsid w:val="00363C06"/>
    <w:rsid w:val="0037077A"/>
    <w:rsid w:val="00371B9C"/>
    <w:rsid w:val="00373A54"/>
    <w:rsid w:val="0037627D"/>
    <w:rsid w:val="003802AA"/>
    <w:rsid w:val="00381439"/>
    <w:rsid w:val="003816DC"/>
    <w:rsid w:val="00382E6E"/>
    <w:rsid w:val="00383C69"/>
    <w:rsid w:val="003845EA"/>
    <w:rsid w:val="003860F2"/>
    <w:rsid w:val="003933B4"/>
    <w:rsid w:val="003A0EFB"/>
    <w:rsid w:val="003B53A1"/>
    <w:rsid w:val="003B695D"/>
    <w:rsid w:val="003B6B2E"/>
    <w:rsid w:val="003C4E93"/>
    <w:rsid w:val="003C5B8A"/>
    <w:rsid w:val="003C69D1"/>
    <w:rsid w:val="003C71D3"/>
    <w:rsid w:val="003C7F83"/>
    <w:rsid w:val="003D2796"/>
    <w:rsid w:val="003D2B60"/>
    <w:rsid w:val="003D7775"/>
    <w:rsid w:val="003E7CFA"/>
    <w:rsid w:val="003F5E09"/>
    <w:rsid w:val="003F7D4C"/>
    <w:rsid w:val="00400C34"/>
    <w:rsid w:val="00407526"/>
    <w:rsid w:val="0041184F"/>
    <w:rsid w:val="00411FA5"/>
    <w:rsid w:val="00414259"/>
    <w:rsid w:val="00422447"/>
    <w:rsid w:val="00426402"/>
    <w:rsid w:val="0043057C"/>
    <w:rsid w:val="00431AF4"/>
    <w:rsid w:val="00437588"/>
    <w:rsid w:val="00437794"/>
    <w:rsid w:val="00437A9F"/>
    <w:rsid w:val="00440B01"/>
    <w:rsid w:val="004437B1"/>
    <w:rsid w:val="00445567"/>
    <w:rsid w:val="00447228"/>
    <w:rsid w:val="004541C5"/>
    <w:rsid w:val="00456460"/>
    <w:rsid w:val="00456D2E"/>
    <w:rsid w:val="00473002"/>
    <w:rsid w:val="004740E0"/>
    <w:rsid w:val="00475511"/>
    <w:rsid w:val="00476000"/>
    <w:rsid w:val="00476C66"/>
    <w:rsid w:val="00481F6A"/>
    <w:rsid w:val="00482A41"/>
    <w:rsid w:val="00483538"/>
    <w:rsid w:val="00485351"/>
    <w:rsid w:val="00486FCF"/>
    <w:rsid w:val="004A1E0B"/>
    <w:rsid w:val="004A40CC"/>
    <w:rsid w:val="004A69D5"/>
    <w:rsid w:val="004B1652"/>
    <w:rsid w:val="004B44DB"/>
    <w:rsid w:val="004B48D6"/>
    <w:rsid w:val="004C13B7"/>
    <w:rsid w:val="004C34E6"/>
    <w:rsid w:val="004C4750"/>
    <w:rsid w:val="004D0E55"/>
    <w:rsid w:val="004D2206"/>
    <w:rsid w:val="004D4DC5"/>
    <w:rsid w:val="004E2393"/>
    <w:rsid w:val="004E43ED"/>
    <w:rsid w:val="004E4409"/>
    <w:rsid w:val="004E5062"/>
    <w:rsid w:val="004E530A"/>
    <w:rsid w:val="004E6B7F"/>
    <w:rsid w:val="004E6E08"/>
    <w:rsid w:val="004F1287"/>
    <w:rsid w:val="004F4502"/>
    <w:rsid w:val="004F4D37"/>
    <w:rsid w:val="004F6451"/>
    <w:rsid w:val="00504416"/>
    <w:rsid w:val="0051010A"/>
    <w:rsid w:val="00511BE9"/>
    <w:rsid w:val="00513239"/>
    <w:rsid w:val="00516004"/>
    <w:rsid w:val="00517585"/>
    <w:rsid w:val="005240A5"/>
    <w:rsid w:val="00524C99"/>
    <w:rsid w:val="00527B47"/>
    <w:rsid w:val="005340CA"/>
    <w:rsid w:val="00540699"/>
    <w:rsid w:val="00540D30"/>
    <w:rsid w:val="00541488"/>
    <w:rsid w:val="0054247F"/>
    <w:rsid w:val="00542FA8"/>
    <w:rsid w:val="00546FD5"/>
    <w:rsid w:val="00550526"/>
    <w:rsid w:val="00551E31"/>
    <w:rsid w:val="005543AC"/>
    <w:rsid w:val="0055774D"/>
    <w:rsid w:val="00562793"/>
    <w:rsid w:val="00565F7C"/>
    <w:rsid w:val="005679CA"/>
    <w:rsid w:val="0057140F"/>
    <w:rsid w:val="00571600"/>
    <w:rsid w:val="00572B97"/>
    <w:rsid w:val="005737EE"/>
    <w:rsid w:val="00573B0F"/>
    <w:rsid w:val="00574EF1"/>
    <w:rsid w:val="00577B6C"/>
    <w:rsid w:val="00583146"/>
    <w:rsid w:val="00592D1E"/>
    <w:rsid w:val="005A419B"/>
    <w:rsid w:val="005A4663"/>
    <w:rsid w:val="005A6AF4"/>
    <w:rsid w:val="005B1192"/>
    <w:rsid w:val="005B288E"/>
    <w:rsid w:val="005B44A9"/>
    <w:rsid w:val="005B7A80"/>
    <w:rsid w:val="005B7DDE"/>
    <w:rsid w:val="005C1159"/>
    <w:rsid w:val="005D3AEF"/>
    <w:rsid w:val="005D5CF2"/>
    <w:rsid w:val="005E1189"/>
    <w:rsid w:val="005E2AD2"/>
    <w:rsid w:val="005F0C0C"/>
    <w:rsid w:val="005F62C5"/>
    <w:rsid w:val="00603632"/>
    <w:rsid w:val="00605E91"/>
    <w:rsid w:val="00610C92"/>
    <w:rsid w:val="006115DB"/>
    <w:rsid w:val="00612036"/>
    <w:rsid w:val="00613677"/>
    <w:rsid w:val="00616BE2"/>
    <w:rsid w:val="006171E3"/>
    <w:rsid w:val="00617955"/>
    <w:rsid w:val="006200F8"/>
    <w:rsid w:val="0062029A"/>
    <w:rsid w:val="00620704"/>
    <w:rsid w:val="0062199B"/>
    <w:rsid w:val="00623020"/>
    <w:rsid w:val="00625F26"/>
    <w:rsid w:val="00626444"/>
    <w:rsid w:val="00626C24"/>
    <w:rsid w:val="006277CC"/>
    <w:rsid w:val="00634892"/>
    <w:rsid w:val="00642711"/>
    <w:rsid w:val="006441AA"/>
    <w:rsid w:val="00646192"/>
    <w:rsid w:val="0064707B"/>
    <w:rsid w:val="00650B83"/>
    <w:rsid w:val="00650FC9"/>
    <w:rsid w:val="0065352E"/>
    <w:rsid w:val="006541FC"/>
    <w:rsid w:val="00660149"/>
    <w:rsid w:val="00665D1A"/>
    <w:rsid w:val="0067519B"/>
    <w:rsid w:val="006767B5"/>
    <w:rsid w:val="006805E4"/>
    <w:rsid w:val="00681EF7"/>
    <w:rsid w:val="00682169"/>
    <w:rsid w:val="006835DD"/>
    <w:rsid w:val="00686AAC"/>
    <w:rsid w:val="006904D9"/>
    <w:rsid w:val="006908F5"/>
    <w:rsid w:val="006940A1"/>
    <w:rsid w:val="00697DB1"/>
    <w:rsid w:val="006A579B"/>
    <w:rsid w:val="006B2240"/>
    <w:rsid w:val="006C5A92"/>
    <w:rsid w:val="006D4484"/>
    <w:rsid w:val="006D657E"/>
    <w:rsid w:val="006E15D0"/>
    <w:rsid w:val="006E6895"/>
    <w:rsid w:val="006F21D4"/>
    <w:rsid w:val="006F3B78"/>
    <w:rsid w:val="006F7DA1"/>
    <w:rsid w:val="007008D4"/>
    <w:rsid w:val="007037DB"/>
    <w:rsid w:val="00705A34"/>
    <w:rsid w:val="00707D00"/>
    <w:rsid w:val="00715CF2"/>
    <w:rsid w:val="00717360"/>
    <w:rsid w:val="00721213"/>
    <w:rsid w:val="00721421"/>
    <w:rsid w:val="00723A76"/>
    <w:rsid w:val="00725B01"/>
    <w:rsid w:val="00725D8C"/>
    <w:rsid w:val="00730E80"/>
    <w:rsid w:val="00734993"/>
    <w:rsid w:val="00740287"/>
    <w:rsid w:val="00740C60"/>
    <w:rsid w:val="00744150"/>
    <w:rsid w:val="00746063"/>
    <w:rsid w:val="0075239C"/>
    <w:rsid w:val="00753819"/>
    <w:rsid w:val="007554FB"/>
    <w:rsid w:val="00755852"/>
    <w:rsid w:val="00755D17"/>
    <w:rsid w:val="00760D44"/>
    <w:rsid w:val="00761F50"/>
    <w:rsid w:val="00764DF1"/>
    <w:rsid w:val="0076538C"/>
    <w:rsid w:val="00765393"/>
    <w:rsid w:val="007731AC"/>
    <w:rsid w:val="00775167"/>
    <w:rsid w:val="00782CC6"/>
    <w:rsid w:val="0078497E"/>
    <w:rsid w:val="007957A1"/>
    <w:rsid w:val="007A759B"/>
    <w:rsid w:val="007B062F"/>
    <w:rsid w:val="007B14B0"/>
    <w:rsid w:val="007B1DA6"/>
    <w:rsid w:val="007C33E4"/>
    <w:rsid w:val="007C3CAD"/>
    <w:rsid w:val="007C7DFB"/>
    <w:rsid w:val="007D1863"/>
    <w:rsid w:val="007D18A0"/>
    <w:rsid w:val="007D7E99"/>
    <w:rsid w:val="007E55FB"/>
    <w:rsid w:val="007E5E5B"/>
    <w:rsid w:val="007E6B9A"/>
    <w:rsid w:val="007F2839"/>
    <w:rsid w:val="007F4ECA"/>
    <w:rsid w:val="007F748E"/>
    <w:rsid w:val="008031B3"/>
    <w:rsid w:val="00806610"/>
    <w:rsid w:val="00806E50"/>
    <w:rsid w:val="008111E1"/>
    <w:rsid w:val="008112FD"/>
    <w:rsid w:val="00811CF1"/>
    <w:rsid w:val="0081206E"/>
    <w:rsid w:val="00814705"/>
    <w:rsid w:val="00817F8A"/>
    <w:rsid w:val="00825F6F"/>
    <w:rsid w:val="00826F58"/>
    <w:rsid w:val="00831573"/>
    <w:rsid w:val="00832827"/>
    <w:rsid w:val="00832CA8"/>
    <w:rsid w:val="008341D9"/>
    <w:rsid w:val="0083472B"/>
    <w:rsid w:val="00836D8B"/>
    <w:rsid w:val="0084001C"/>
    <w:rsid w:val="0084728F"/>
    <w:rsid w:val="00852A72"/>
    <w:rsid w:val="008537BA"/>
    <w:rsid w:val="008549F1"/>
    <w:rsid w:val="00854DAC"/>
    <w:rsid w:val="00856324"/>
    <w:rsid w:val="00856CD3"/>
    <w:rsid w:val="00857089"/>
    <w:rsid w:val="008634A1"/>
    <w:rsid w:val="00864578"/>
    <w:rsid w:val="0086606B"/>
    <w:rsid w:val="00870E48"/>
    <w:rsid w:val="008722F9"/>
    <w:rsid w:val="0087604F"/>
    <w:rsid w:val="00882266"/>
    <w:rsid w:val="00887003"/>
    <w:rsid w:val="008876AB"/>
    <w:rsid w:val="008900B7"/>
    <w:rsid w:val="00891465"/>
    <w:rsid w:val="008A189B"/>
    <w:rsid w:val="008A33EC"/>
    <w:rsid w:val="008A534D"/>
    <w:rsid w:val="008A5BE8"/>
    <w:rsid w:val="008B07C7"/>
    <w:rsid w:val="008B0F37"/>
    <w:rsid w:val="008B7178"/>
    <w:rsid w:val="008C12EE"/>
    <w:rsid w:val="008C149C"/>
    <w:rsid w:val="008C58AC"/>
    <w:rsid w:val="008D1DF3"/>
    <w:rsid w:val="008D53CB"/>
    <w:rsid w:val="008D69D0"/>
    <w:rsid w:val="008D784C"/>
    <w:rsid w:val="008E198E"/>
    <w:rsid w:val="008E2264"/>
    <w:rsid w:val="008E3D68"/>
    <w:rsid w:val="008E57B1"/>
    <w:rsid w:val="008E6608"/>
    <w:rsid w:val="008F07B0"/>
    <w:rsid w:val="008F2F9E"/>
    <w:rsid w:val="00901256"/>
    <w:rsid w:val="00902806"/>
    <w:rsid w:val="00904371"/>
    <w:rsid w:val="0090561B"/>
    <w:rsid w:val="00907A2C"/>
    <w:rsid w:val="009114C6"/>
    <w:rsid w:val="00912EB7"/>
    <w:rsid w:val="00914A3A"/>
    <w:rsid w:val="00920CD6"/>
    <w:rsid w:val="009211C8"/>
    <w:rsid w:val="00923CEE"/>
    <w:rsid w:val="009344DB"/>
    <w:rsid w:val="00936BCF"/>
    <w:rsid w:val="00941760"/>
    <w:rsid w:val="0094182F"/>
    <w:rsid w:val="009425E2"/>
    <w:rsid w:val="00942ECB"/>
    <w:rsid w:val="00943620"/>
    <w:rsid w:val="00945949"/>
    <w:rsid w:val="00947B6F"/>
    <w:rsid w:val="0095030A"/>
    <w:rsid w:val="00953087"/>
    <w:rsid w:val="0095416C"/>
    <w:rsid w:val="009542A7"/>
    <w:rsid w:val="0096071D"/>
    <w:rsid w:val="00961603"/>
    <w:rsid w:val="0096477D"/>
    <w:rsid w:val="00965456"/>
    <w:rsid w:val="009655C8"/>
    <w:rsid w:val="00966B4C"/>
    <w:rsid w:val="00970773"/>
    <w:rsid w:val="00972BBC"/>
    <w:rsid w:val="009737BD"/>
    <w:rsid w:val="00977185"/>
    <w:rsid w:val="009906AE"/>
    <w:rsid w:val="00991BD1"/>
    <w:rsid w:val="0099320B"/>
    <w:rsid w:val="00993D8D"/>
    <w:rsid w:val="009A2F5D"/>
    <w:rsid w:val="009A3AE2"/>
    <w:rsid w:val="009A4EDA"/>
    <w:rsid w:val="009C2218"/>
    <w:rsid w:val="009C3420"/>
    <w:rsid w:val="009C5ADE"/>
    <w:rsid w:val="009C7835"/>
    <w:rsid w:val="009D199B"/>
    <w:rsid w:val="009D1A36"/>
    <w:rsid w:val="009E0A5B"/>
    <w:rsid w:val="009E6BCF"/>
    <w:rsid w:val="009E6CC7"/>
    <w:rsid w:val="009F6DE3"/>
    <w:rsid w:val="00A012D9"/>
    <w:rsid w:val="00A1540B"/>
    <w:rsid w:val="00A172B1"/>
    <w:rsid w:val="00A20AF9"/>
    <w:rsid w:val="00A20E66"/>
    <w:rsid w:val="00A22BCD"/>
    <w:rsid w:val="00A23169"/>
    <w:rsid w:val="00A26FA8"/>
    <w:rsid w:val="00A27403"/>
    <w:rsid w:val="00A3483F"/>
    <w:rsid w:val="00A34B39"/>
    <w:rsid w:val="00A41C54"/>
    <w:rsid w:val="00A534A3"/>
    <w:rsid w:val="00A54FD1"/>
    <w:rsid w:val="00A56B45"/>
    <w:rsid w:val="00A600C5"/>
    <w:rsid w:val="00A66774"/>
    <w:rsid w:val="00A703B5"/>
    <w:rsid w:val="00A7078A"/>
    <w:rsid w:val="00A7166E"/>
    <w:rsid w:val="00A71BAE"/>
    <w:rsid w:val="00A765B7"/>
    <w:rsid w:val="00A772EC"/>
    <w:rsid w:val="00A84CAC"/>
    <w:rsid w:val="00A87290"/>
    <w:rsid w:val="00A87C3B"/>
    <w:rsid w:val="00A96EFA"/>
    <w:rsid w:val="00AA7415"/>
    <w:rsid w:val="00AB64C2"/>
    <w:rsid w:val="00AC0B25"/>
    <w:rsid w:val="00AC1A2D"/>
    <w:rsid w:val="00AC3AB0"/>
    <w:rsid w:val="00AC503A"/>
    <w:rsid w:val="00AC5FBB"/>
    <w:rsid w:val="00AC6887"/>
    <w:rsid w:val="00AC736A"/>
    <w:rsid w:val="00AD1F72"/>
    <w:rsid w:val="00AD259B"/>
    <w:rsid w:val="00AD3B63"/>
    <w:rsid w:val="00AD417F"/>
    <w:rsid w:val="00AD7614"/>
    <w:rsid w:val="00AD7F2D"/>
    <w:rsid w:val="00AE2B5C"/>
    <w:rsid w:val="00AE3450"/>
    <w:rsid w:val="00AF2D22"/>
    <w:rsid w:val="00AF7463"/>
    <w:rsid w:val="00B01863"/>
    <w:rsid w:val="00B064A8"/>
    <w:rsid w:val="00B07502"/>
    <w:rsid w:val="00B11E7B"/>
    <w:rsid w:val="00B142BC"/>
    <w:rsid w:val="00B15836"/>
    <w:rsid w:val="00B27C09"/>
    <w:rsid w:val="00B30847"/>
    <w:rsid w:val="00B3111E"/>
    <w:rsid w:val="00B3169F"/>
    <w:rsid w:val="00B3364F"/>
    <w:rsid w:val="00B37395"/>
    <w:rsid w:val="00B4208E"/>
    <w:rsid w:val="00B42AF2"/>
    <w:rsid w:val="00B447A4"/>
    <w:rsid w:val="00B46935"/>
    <w:rsid w:val="00B47EE9"/>
    <w:rsid w:val="00B50E2E"/>
    <w:rsid w:val="00B5143C"/>
    <w:rsid w:val="00B51D5D"/>
    <w:rsid w:val="00B51FF7"/>
    <w:rsid w:val="00B53165"/>
    <w:rsid w:val="00B547DF"/>
    <w:rsid w:val="00B61307"/>
    <w:rsid w:val="00B626F8"/>
    <w:rsid w:val="00B641FC"/>
    <w:rsid w:val="00B666D4"/>
    <w:rsid w:val="00B710A7"/>
    <w:rsid w:val="00B72199"/>
    <w:rsid w:val="00B723BA"/>
    <w:rsid w:val="00B81444"/>
    <w:rsid w:val="00B83C00"/>
    <w:rsid w:val="00B87754"/>
    <w:rsid w:val="00B9028F"/>
    <w:rsid w:val="00B9675F"/>
    <w:rsid w:val="00B96CAE"/>
    <w:rsid w:val="00BA1486"/>
    <w:rsid w:val="00BA4B2F"/>
    <w:rsid w:val="00BA70A7"/>
    <w:rsid w:val="00BA7FE8"/>
    <w:rsid w:val="00BB1096"/>
    <w:rsid w:val="00BB6090"/>
    <w:rsid w:val="00BC11B0"/>
    <w:rsid w:val="00BC33F6"/>
    <w:rsid w:val="00BC5B70"/>
    <w:rsid w:val="00BD2BAF"/>
    <w:rsid w:val="00BD3C10"/>
    <w:rsid w:val="00BD526D"/>
    <w:rsid w:val="00BE27C5"/>
    <w:rsid w:val="00BE33B4"/>
    <w:rsid w:val="00BE40BB"/>
    <w:rsid w:val="00BE647F"/>
    <w:rsid w:val="00BF1297"/>
    <w:rsid w:val="00BF3C5C"/>
    <w:rsid w:val="00BF5756"/>
    <w:rsid w:val="00C04A0F"/>
    <w:rsid w:val="00C054BB"/>
    <w:rsid w:val="00C10459"/>
    <w:rsid w:val="00C203A4"/>
    <w:rsid w:val="00C21285"/>
    <w:rsid w:val="00C231F2"/>
    <w:rsid w:val="00C248FA"/>
    <w:rsid w:val="00C266EE"/>
    <w:rsid w:val="00C3205F"/>
    <w:rsid w:val="00C34B8B"/>
    <w:rsid w:val="00C3520E"/>
    <w:rsid w:val="00C415E0"/>
    <w:rsid w:val="00C417FF"/>
    <w:rsid w:val="00C42740"/>
    <w:rsid w:val="00C46BDC"/>
    <w:rsid w:val="00C52F1E"/>
    <w:rsid w:val="00C5437B"/>
    <w:rsid w:val="00C56126"/>
    <w:rsid w:val="00C65001"/>
    <w:rsid w:val="00C6655A"/>
    <w:rsid w:val="00C6724F"/>
    <w:rsid w:val="00C73C62"/>
    <w:rsid w:val="00C758FA"/>
    <w:rsid w:val="00C803BD"/>
    <w:rsid w:val="00C80C64"/>
    <w:rsid w:val="00C92A90"/>
    <w:rsid w:val="00CA2DE2"/>
    <w:rsid w:val="00CA3000"/>
    <w:rsid w:val="00CA395B"/>
    <w:rsid w:val="00CA4089"/>
    <w:rsid w:val="00CB0CA0"/>
    <w:rsid w:val="00CB1CE4"/>
    <w:rsid w:val="00CB25DD"/>
    <w:rsid w:val="00CB374C"/>
    <w:rsid w:val="00CD30E0"/>
    <w:rsid w:val="00CE12D6"/>
    <w:rsid w:val="00CE15C4"/>
    <w:rsid w:val="00CF130D"/>
    <w:rsid w:val="00CF3B95"/>
    <w:rsid w:val="00CF3EA1"/>
    <w:rsid w:val="00CF6DEA"/>
    <w:rsid w:val="00D015CF"/>
    <w:rsid w:val="00D033C8"/>
    <w:rsid w:val="00D15349"/>
    <w:rsid w:val="00D17506"/>
    <w:rsid w:val="00D201E1"/>
    <w:rsid w:val="00D2066C"/>
    <w:rsid w:val="00D20FE2"/>
    <w:rsid w:val="00D21801"/>
    <w:rsid w:val="00D33E04"/>
    <w:rsid w:val="00D35F92"/>
    <w:rsid w:val="00D36B34"/>
    <w:rsid w:val="00D44DDB"/>
    <w:rsid w:val="00D53448"/>
    <w:rsid w:val="00D548E4"/>
    <w:rsid w:val="00D64463"/>
    <w:rsid w:val="00D672C6"/>
    <w:rsid w:val="00D706D9"/>
    <w:rsid w:val="00D717B7"/>
    <w:rsid w:val="00D73213"/>
    <w:rsid w:val="00D737E3"/>
    <w:rsid w:val="00D73CA7"/>
    <w:rsid w:val="00D76FEB"/>
    <w:rsid w:val="00D81074"/>
    <w:rsid w:val="00D82BDD"/>
    <w:rsid w:val="00D879A5"/>
    <w:rsid w:val="00D91D57"/>
    <w:rsid w:val="00D97CC8"/>
    <w:rsid w:val="00DA0365"/>
    <w:rsid w:val="00DA0879"/>
    <w:rsid w:val="00DA48BF"/>
    <w:rsid w:val="00DA6017"/>
    <w:rsid w:val="00DB039F"/>
    <w:rsid w:val="00DB062F"/>
    <w:rsid w:val="00DB12A9"/>
    <w:rsid w:val="00DB1713"/>
    <w:rsid w:val="00DB1C89"/>
    <w:rsid w:val="00DB498E"/>
    <w:rsid w:val="00DB6667"/>
    <w:rsid w:val="00DB6EFE"/>
    <w:rsid w:val="00DC14AE"/>
    <w:rsid w:val="00DC3F2C"/>
    <w:rsid w:val="00DC791C"/>
    <w:rsid w:val="00DD0D5B"/>
    <w:rsid w:val="00DD32A6"/>
    <w:rsid w:val="00DD4100"/>
    <w:rsid w:val="00DD429B"/>
    <w:rsid w:val="00DD7705"/>
    <w:rsid w:val="00DE192D"/>
    <w:rsid w:val="00DE48ED"/>
    <w:rsid w:val="00DE6667"/>
    <w:rsid w:val="00DE7296"/>
    <w:rsid w:val="00DE7C40"/>
    <w:rsid w:val="00E0101E"/>
    <w:rsid w:val="00E05FEA"/>
    <w:rsid w:val="00E115E2"/>
    <w:rsid w:val="00E14B4C"/>
    <w:rsid w:val="00E1638C"/>
    <w:rsid w:val="00E1755A"/>
    <w:rsid w:val="00E3694A"/>
    <w:rsid w:val="00E369CF"/>
    <w:rsid w:val="00E426CE"/>
    <w:rsid w:val="00E432D8"/>
    <w:rsid w:val="00E441BF"/>
    <w:rsid w:val="00E44686"/>
    <w:rsid w:val="00E45BDC"/>
    <w:rsid w:val="00E45F56"/>
    <w:rsid w:val="00E50D28"/>
    <w:rsid w:val="00E579EC"/>
    <w:rsid w:val="00E6052A"/>
    <w:rsid w:val="00E63319"/>
    <w:rsid w:val="00E66F87"/>
    <w:rsid w:val="00E70D9F"/>
    <w:rsid w:val="00E74397"/>
    <w:rsid w:val="00E7578A"/>
    <w:rsid w:val="00E81756"/>
    <w:rsid w:val="00E81EFE"/>
    <w:rsid w:val="00E91891"/>
    <w:rsid w:val="00E94B98"/>
    <w:rsid w:val="00E95B18"/>
    <w:rsid w:val="00EA4343"/>
    <w:rsid w:val="00EA5169"/>
    <w:rsid w:val="00EA580C"/>
    <w:rsid w:val="00EB101D"/>
    <w:rsid w:val="00EB139A"/>
    <w:rsid w:val="00EB1924"/>
    <w:rsid w:val="00EB7025"/>
    <w:rsid w:val="00EC12F7"/>
    <w:rsid w:val="00EC1F78"/>
    <w:rsid w:val="00EC2E32"/>
    <w:rsid w:val="00EC42F0"/>
    <w:rsid w:val="00EC7E76"/>
    <w:rsid w:val="00ED201D"/>
    <w:rsid w:val="00ED5B44"/>
    <w:rsid w:val="00EE5E36"/>
    <w:rsid w:val="00EF2ADD"/>
    <w:rsid w:val="00EF2DDA"/>
    <w:rsid w:val="00EF32C3"/>
    <w:rsid w:val="00EF3D76"/>
    <w:rsid w:val="00F0016A"/>
    <w:rsid w:val="00F0583F"/>
    <w:rsid w:val="00F069A7"/>
    <w:rsid w:val="00F07877"/>
    <w:rsid w:val="00F10CAB"/>
    <w:rsid w:val="00F14C14"/>
    <w:rsid w:val="00F15422"/>
    <w:rsid w:val="00F159D1"/>
    <w:rsid w:val="00F160AC"/>
    <w:rsid w:val="00F165D7"/>
    <w:rsid w:val="00F2069B"/>
    <w:rsid w:val="00F32AFA"/>
    <w:rsid w:val="00F332FB"/>
    <w:rsid w:val="00F47DF5"/>
    <w:rsid w:val="00F5283E"/>
    <w:rsid w:val="00F52E7E"/>
    <w:rsid w:val="00F645BC"/>
    <w:rsid w:val="00F70066"/>
    <w:rsid w:val="00F71466"/>
    <w:rsid w:val="00F74B4A"/>
    <w:rsid w:val="00F752B5"/>
    <w:rsid w:val="00F804B7"/>
    <w:rsid w:val="00F81BEF"/>
    <w:rsid w:val="00F875EA"/>
    <w:rsid w:val="00F90629"/>
    <w:rsid w:val="00F90934"/>
    <w:rsid w:val="00F91535"/>
    <w:rsid w:val="00FA0442"/>
    <w:rsid w:val="00FA466C"/>
    <w:rsid w:val="00FB0BA3"/>
    <w:rsid w:val="00FB48E4"/>
    <w:rsid w:val="00FB4C09"/>
    <w:rsid w:val="00FB5CE9"/>
    <w:rsid w:val="00FC769F"/>
    <w:rsid w:val="00FC7C3A"/>
    <w:rsid w:val="00FD11D5"/>
    <w:rsid w:val="00FD19F4"/>
    <w:rsid w:val="00FD52EE"/>
    <w:rsid w:val="00FD645B"/>
    <w:rsid w:val="00FE5856"/>
    <w:rsid w:val="00FE5E0A"/>
    <w:rsid w:val="00FE6889"/>
    <w:rsid w:val="00FE7412"/>
    <w:rsid w:val="00FF1C47"/>
    <w:rsid w:val="00FF32CD"/>
    <w:rsid w:val="00FF6EF2"/>
    <w:rsid w:val="00FF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486381B3"/>
  <w15:chartTrackingRefBased/>
  <w15:docId w15:val="{BB8AF5D5-D2B4-4BA2-A4FC-8F80C5F4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10A"/>
    <w:rPr>
      <w:sz w:val="28"/>
      <w:lang w:eastAsia="en-US"/>
    </w:rPr>
  </w:style>
  <w:style w:type="paragraph" w:styleId="Heading1">
    <w:name w:val="heading 1"/>
    <w:aliases w:val="Numbered - 1,Section"/>
    <w:basedOn w:val="Normal"/>
    <w:next w:val="Normal"/>
    <w:qFormat/>
    <w:pPr>
      <w:keepNext/>
      <w:numPr>
        <w:numId w:val="38"/>
      </w:numPr>
      <w:tabs>
        <w:tab w:val="left" w:pos="720"/>
        <w:tab w:val="left" w:pos="1440"/>
      </w:tabs>
      <w:outlineLvl w:val="0"/>
    </w:pPr>
    <w:rPr>
      <w:rFonts w:ascii="Arial" w:hAnsi="Arial"/>
      <w:sz w:val="24"/>
    </w:rPr>
  </w:style>
  <w:style w:type="paragraph" w:styleId="Heading2">
    <w:name w:val="heading 2"/>
    <w:basedOn w:val="Normal"/>
    <w:next w:val="Normal"/>
    <w:qFormat/>
    <w:pPr>
      <w:keepNext/>
      <w:numPr>
        <w:ilvl w:val="1"/>
        <w:numId w:val="38"/>
      </w:numPr>
      <w:tabs>
        <w:tab w:val="left" w:pos="720"/>
        <w:tab w:val="left" w:pos="1440"/>
      </w:tabs>
      <w:outlineLvl w:val="1"/>
    </w:pPr>
    <w:rPr>
      <w:rFonts w:ascii="Arial" w:hAnsi="Arial"/>
      <w:b/>
      <w:sz w:val="24"/>
      <w:u w:val="single"/>
    </w:rPr>
  </w:style>
  <w:style w:type="paragraph" w:styleId="Heading3">
    <w:name w:val="heading 3"/>
    <w:basedOn w:val="Normal"/>
    <w:next w:val="Normal"/>
    <w:qFormat/>
    <w:pPr>
      <w:keepNext/>
      <w:numPr>
        <w:ilvl w:val="2"/>
        <w:numId w:val="38"/>
      </w:numPr>
      <w:outlineLvl w:val="2"/>
    </w:pPr>
    <w:rPr>
      <w:b/>
      <w:sz w:val="24"/>
    </w:rPr>
  </w:style>
  <w:style w:type="paragraph" w:styleId="Heading4">
    <w:name w:val="heading 4"/>
    <w:basedOn w:val="Normal"/>
    <w:next w:val="Normal"/>
    <w:qFormat/>
    <w:pPr>
      <w:keepNext/>
      <w:numPr>
        <w:ilvl w:val="3"/>
        <w:numId w:val="38"/>
      </w:numPr>
      <w:outlineLvl w:val="3"/>
    </w:pPr>
    <w:rPr>
      <w:rFonts w:ascii="Arial" w:hAnsi="Arial"/>
      <w:b/>
      <w:sz w:val="22"/>
    </w:rPr>
  </w:style>
  <w:style w:type="paragraph" w:styleId="Heading5">
    <w:name w:val="heading 5"/>
    <w:basedOn w:val="Normal"/>
    <w:next w:val="Normal"/>
    <w:qFormat/>
    <w:pPr>
      <w:keepNext/>
      <w:numPr>
        <w:ilvl w:val="4"/>
        <w:numId w:val="38"/>
      </w:numPr>
      <w:spacing w:before="60"/>
      <w:outlineLvl w:val="4"/>
    </w:pPr>
    <w:rPr>
      <w:rFonts w:ascii="Arial" w:hAnsi="Arial"/>
      <w:b/>
      <w:sz w:val="20"/>
    </w:rPr>
  </w:style>
  <w:style w:type="paragraph" w:styleId="Heading6">
    <w:name w:val="heading 6"/>
    <w:basedOn w:val="Normal"/>
    <w:next w:val="Normal"/>
    <w:qFormat/>
    <w:pPr>
      <w:keepNext/>
      <w:numPr>
        <w:ilvl w:val="5"/>
        <w:numId w:val="38"/>
      </w:numPr>
      <w:outlineLvl w:val="5"/>
    </w:pPr>
    <w:rPr>
      <w:rFonts w:ascii="Arial" w:hAnsi="Arial"/>
      <w:b/>
      <w:i/>
      <w:sz w:val="18"/>
      <w:lang w:val="en-US"/>
    </w:rPr>
  </w:style>
  <w:style w:type="paragraph" w:styleId="Heading7">
    <w:name w:val="heading 7"/>
    <w:basedOn w:val="Normal"/>
    <w:next w:val="Normal"/>
    <w:qFormat/>
    <w:pPr>
      <w:keepNext/>
      <w:numPr>
        <w:ilvl w:val="6"/>
        <w:numId w:val="38"/>
      </w:numPr>
      <w:tabs>
        <w:tab w:val="right" w:pos="9180"/>
      </w:tabs>
      <w:ind w:right="-900"/>
      <w:outlineLvl w:val="6"/>
    </w:pPr>
    <w:rPr>
      <w:rFonts w:ascii="Arial" w:hAnsi="Arial"/>
      <w:b/>
      <w:sz w:val="24"/>
    </w:rPr>
  </w:style>
  <w:style w:type="paragraph" w:styleId="Heading8">
    <w:name w:val="heading 8"/>
    <w:basedOn w:val="Normal"/>
    <w:next w:val="Normal"/>
    <w:qFormat/>
    <w:pPr>
      <w:keepNext/>
      <w:numPr>
        <w:ilvl w:val="7"/>
        <w:numId w:val="38"/>
      </w:numPr>
      <w:jc w:val="right"/>
      <w:outlineLvl w:val="7"/>
    </w:pPr>
    <w:rPr>
      <w:rFonts w:ascii="Arial" w:hAnsi="Arial"/>
      <w:b/>
      <w:snapToGrid w:val="0"/>
      <w:color w:val="000000"/>
      <w:sz w:val="22"/>
    </w:rPr>
  </w:style>
  <w:style w:type="paragraph" w:styleId="Heading9">
    <w:name w:val="heading 9"/>
    <w:basedOn w:val="Normal"/>
    <w:next w:val="Normal"/>
    <w:qFormat/>
    <w:pPr>
      <w:keepNext/>
      <w:numPr>
        <w:ilvl w:val="8"/>
        <w:numId w:val="38"/>
      </w:numPr>
      <w:spacing w:after="12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360"/>
      </w:tabs>
      <w:spacing w:after="120"/>
      <w:ind w:left="360" w:hanging="360"/>
    </w:pPr>
    <w:rPr>
      <w:rFonts w:ascii="Arial" w:hAnsi="Arial"/>
      <w:sz w:val="22"/>
      <w:lang w:val="en-US"/>
    </w:rPr>
  </w:style>
  <w:style w:type="paragraph" w:styleId="BodyTextIndent3">
    <w:name w:val="Body Text Indent 3"/>
    <w:basedOn w:val="Normal"/>
    <w:pPr>
      <w:tabs>
        <w:tab w:val="left" w:pos="1260"/>
      </w:tabs>
      <w:spacing w:after="120"/>
      <w:ind w:left="1260" w:hanging="720"/>
    </w:pPr>
    <w:rPr>
      <w:rFonts w:ascii="Arial" w:hAnsi="Arial"/>
      <w:sz w:val="22"/>
    </w:rPr>
  </w:style>
  <w:style w:type="paragraph" w:styleId="BodyText2">
    <w:name w:val="Body Text 2"/>
    <w:basedOn w:val="Normal"/>
    <w:rPr>
      <w:rFonts w:ascii="Arial" w:hAnsi="Arial"/>
      <w:b/>
      <w:sz w:val="22"/>
    </w:rPr>
  </w:style>
  <w:style w:type="paragraph" w:styleId="BodyText">
    <w:name w:val="Body Text"/>
    <w:basedOn w:val="Normal"/>
    <w:rPr>
      <w:b/>
    </w:rPr>
  </w:style>
  <w:style w:type="character" w:styleId="PageNumber">
    <w:name w:val="page number"/>
    <w:basedOn w:val="DefaultParagraphFont"/>
  </w:style>
  <w:style w:type="paragraph" w:styleId="BodyTextIndent2">
    <w:name w:val="Body Text Indent 2"/>
    <w:basedOn w:val="Normal"/>
    <w:pPr>
      <w:tabs>
        <w:tab w:val="left" w:pos="1276"/>
      </w:tabs>
      <w:spacing w:after="120"/>
      <w:ind w:left="1276" w:hanging="850"/>
    </w:pPr>
    <w:rPr>
      <w:rFonts w:ascii="Arial" w:hAnsi="Arial"/>
      <w:sz w:val="22"/>
    </w:rPr>
  </w:style>
  <w:style w:type="paragraph" w:styleId="BodyText3">
    <w:name w:val="Body Text 3"/>
    <w:basedOn w:val="Normal"/>
    <w:pPr>
      <w:spacing w:after="120"/>
    </w:pPr>
    <w:rPr>
      <w:rFonts w:ascii="Arial" w:hAnsi="Arial"/>
      <w:sz w:val="24"/>
    </w:rPr>
  </w:style>
  <w:style w:type="paragraph" w:customStyle="1" w:styleId="Directorate">
    <w:name w:val="Directorate"/>
    <w:basedOn w:val="Normal"/>
    <w:pPr>
      <w:spacing w:after="280" w:line="280" w:lineRule="exact"/>
    </w:pPr>
    <w:rPr>
      <w:rFonts w:ascii="Helvetica" w:hAnsi="Helvetica"/>
      <w:sz w:val="24"/>
    </w:rPr>
  </w:style>
  <w:style w:type="paragraph" w:styleId="DocumentMap">
    <w:name w:val="Document Map"/>
    <w:basedOn w:val="Normal"/>
    <w:semiHidden/>
    <w:pPr>
      <w:shd w:val="clear" w:color="auto" w:fill="000080"/>
    </w:pPr>
    <w:rPr>
      <w:rFonts w:ascii="Tahoma" w:hAnsi="Tahoma"/>
    </w:rPr>
  </w:style>
  <w:style w:type="paragraph" w:customStyle="1" w:styleId="DfESOutNumbered">
    <w:name w:val="DfESOutNumbered"/>
    <w:basedOn w:val="Normal"/>
    <w:pPr>
      <w:widowControl w:val="0"/>
      <w:numPr>
        <w:numId w:val="1"/>
      </w:numPr>
      <w:overflowPunct w:val="0"/>
      <w:autoSpaceDE w:val="0"/>
      <w:autoSpaceDN w:val="0"/>
      <w:adjustRightInd w:val="0"/>
      <w:spacing w:after="240"/>
      <w:textAlignment w:val="baseline"/>
    </w:pPr>
    <w:rPr>
      <w:rFonts w:ascii="Arial" w:hAnsi="Arial"/>
      <w:sz w:val="24"/>
    </w:rPr>
  </w:style>
  <w:style w:type="paragraph" w:customStyle="1" w:styleId="DfESBullets">
    <w:name w:val="DfESBullets"/>
    <w:basedOn w:val="Normal"/>
    <w:pPr>
      <w:widowControl w:val="0"/>
      <w:numPr>
        <w:numId w:val="2"/>
      </w:numPr>
      <w:overflowPunct w:val="0"/>
      <w:autoSpaceDE w:val="0"/>
      <w:autoSpaceDN w:val="0"/>
      <w:adjustRightInd w:val="0"/>
      <w:spacing w:after="240"/>
      <w:textAlignment w:val="baseline"/>
    </w:pPr>
    <w:rPr>
      <w:rFonts w:ascii="Arial" w:hAnsi="Arial"/>
      <w:sz w:val="24"/>
    </w:rPr>
  </w:style>
  <w:style w:type="paragraph" w:customStyle="1" w:styleId="N1">
    <w:name w:val="N1"/>
    <w:basedOn w:val="Normal"/>
    <w:next w:val="N2"/>
    <w:pPr>
      <w:spacing w:before="160" w:line="220" w:lineRule="atLeast"/>
      <w:ind w:firstLine="170"/>
      <w:jc w:val="both"/>
    </w:pPr>
    <w:rPr>
      <w:sz w:val="21"/>
    </w:rPr>
  </w:style>
  <w:style w:type="paragraph" w:customStyle="1" w:styleId="N2">
    <w:name w:val="N2"/>
    <w:basedOn w:val="N1"/>
    <w:pPr>
      <w:tabs>
        <w:tab w:val="num" w:pos="792"/>
      </w:tabs>
      <w:spacing w:before="80"/>
      <w:ind w:left="792" w:hanging="432"/>
    </w:pPr>
  </w:style>
  <w:style w:type="paragraph" w:customStyle="1" w:styleId="N3">
    <w:name w:val="N3"/>
    <w:basedOn w:val="N2"/>
    <w:pPr>
      <w:tabs>
        <w:tab w:val="clear" w:pos="792"/>
        <w:tab w:val="num" w:pos="1440"/>
      </w:tabs>
      <w:ind w:left="1224" w:hanging="504"/>
    </w:pPr>
  </w:style>
  <w:style w:type="paragraph" w:customStyle="1" w:styleId="N4">
    <w:name w:val="N4"/>
    <w:basedOn w:val="N3"/>
    <w:pPr>
      <w:tabs>
        <w:tab w:val="clear" w:pos="1440"/>
        <w:tab w:val="num" w:pos="2160"/>
      </w:tabs>
      <w:ind w:left="1728" w:hanging="648"/>
    </w:pPr>
  </w:style>
  <w:style w:type="paragraph" w:customStyle="1" w:styleId="N5">
    <w:name w:val="N5"/>
    <w:basedOn w:val="N4"/>
    <w:pPr>
      <w:tabs>
        <w:tab w:val="clear" w:pos="2160"/>
        <w:tab w:val="num" w:pos="2520"/>
      </w:tabs>
      <w:ind w:left="2232" w:hanging="792"/>
    </w:pPr>
  </w:style>
  <w:style w:type="paragraph" w:customStyle="1" w:styleId="T1">
    <w:name w:val="T1"/>
    <w:basedOn w:val="Normal"/>
    <w:pPr>
      <w:spacing w:before="160" w:line="220" w:lineRule="atLeast"/>
      <w:jc w:val="both"/>
    </w:pPr>
    <w:rPr>
      <w:sz w:val="21"/>
    </w:rPr>
  </w:style>
  <w:style w:type="paragraph" w:styleId="FootnoteText">
    <w:name w:val="footnote text"/>
    <w:basedOn w:val="Normal"/>
    <w:semiHidden/>
    <w:rPr>
      <w:sz w:val="20"/>
    </w:rPr>
  </w:style>
  <w:style w:type="character" w:styleId="FootnoteReference">
    <w:name w:val="footnote reference"/>
    <w:rPr>
      <w:vertAlign w:val="superscript"/>
    </w:r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pPr>
      <w:numPr>
        <w:numId w:val="3"/>
      </w:numPr>
      <w:spacing w:after="120"/>
    </w:pPr>
    <w:rPr>
      <w:rFonts w:ascii="Arial" w:hAnsi="Arial" w:cs="Arial"/>
      <w:sz w:val="24"/>
    </w:rPr>
  </w:style>
  <w:style w:type="character" w:styleId="Hyperlink">
    <w:name w:val="Hyperlink"/>
    <w:rPr>
      <w:color w:val="0000FF"/>
      <w:u w:val="single"/>
    </w:rPr>
  </w:style>
  <w:style w:type="table" w:styleId="TableGrid">
    <w:name w:val="Table Grid"/>
    <w:basedOn w:val="TableNormal"/>
    <w:rsid w:val="00953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E2393"/>
    <w:rPr>
      <w:b/>
      <w:bCs/>
    </w:rPr>
  </w:style>
  <w:style w:type="paragraph" w:styleId="PlainText">
    <w:name w:val="Plain Text"/>
    <w:basedOn w:val="Normal"/>
    <w:rsid w:val="002041BB"/>
    <w:rPr>
      <w:rFonts w:ascii="Courier New" w:hAnsi="Courier New" w:cs="Courier New"/>
      <w:sz w:val="20"/>
      <w:lang w:eastAsia="en-GB"/>
    </w:rPr>
  </w:style>
  <w:style w:type="paragraph" w:customStyle="1" w:styleId="Style1">
    <w:name w:val="Style1"/>
    <w:basedOn w:val="Header"/>
    <w:rsid w:val="001D1CE6"/>
    <w:pPr>
      <w:tabs>
        <w:tab w:val="clear" w:pos="4153"/>
        <w:tab w:val="clear" w:pos="8306"/>
        <w:tab w:val="center" w:pos="4320"/>
        <w:tab w:val="right" w:pos="8640"/>
      </w:tabs>
    </w:pPr>
    <w:rPr>
      <w:sz w:val="24"/>
      <w:lang w:eastAsia="en-GB"/>
    </w:rPr>
  </w:style>
  <w:style w:type="paragraph" w:customStyle="1" w:styleId="StyleArial">
    <w:name w:val="Style Arial"/>
    <w:basedOn w:val="Normal"/>
    <w:rsid w:val="008C149C"/>
    <w:pPr>
      <w:spacing w:after="120"/>
    </w:pPr>
    <w:rPr>
      <w:rFonts w:ascii="Arial" w:hAnsi="Arial" w:cs="Arial"/>
    </w:rPr>
  </w:style>
  <w:style w:type="character" w:styleId="CommentReference">
    <w:name w:val="annotation reference"/>
    <w:semiHidden/>
    <w:rsid w:val="00642711"/>
    <w:rPr>
      <w:sz w:val="16"/>
      <w:szCs w:val="16"/>
    </w:rPr>
  </w:style>
  <w:style w:type="paragraph" w:styleId="CommentText">
    <w:name w:val="annotation text"/>
    <w:basedOn w:val="Normal"/>
    <w:semiHidden/>
    <w:rsid w:val="00642711"/>
    <w:rPr>
      <w:sz w:val="20"/>
    </w:rPr>
  </w:style>
  <w:style w:type="paragraph" w:styleId="CommentSubject">
    <w:name w:val="annotation subject"/>
    <w:basedOn w:val="CommentText"/>
    <w:next w:val="CommentText"/>
    <w:semiHidden/>
    <w:rsid w:val="00642711"/>
    <w:rPr>
      <w:b/>
      <w:bCs/>
    </w:rPr>
  </w:style>
  <w:style w:type="paragraph" w:styleId="ListParagraph">
    <w:name w:val="List Paragraph"/>
    <w:basedOn w:val="Normal"/>
    <w:uiPriority w:val="34"/>
    <w:qFormat/>
    <w:rsid w:val="001068C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854">
      <w:bodyDiv w:val="1"/>
      <w:marLeft w:val="0"/>
      <w:marRight w:val="0"/>
      <w:marTop w:val="0"/>
      <w:marBottom w:val="0"/>
      <w:divBdr>
        <w:top w:val="none" w:sz="0" w:space="0" w:color="auto"/>
        <w:left w:val="none" w:sz="0" w:space="0" w:color="auto"/>
        <w:bottom w:val="none" w:sz="0" w:space="0" w:color="auto"/>
        <w:right w:val="none" w:sz="0" w:space="0" w:color="auto"/>
      </w:divBdr>
    </w:div>
    <w:div w:id="93602147">
      <w:bodyDiv w:val="1"/>
      <w:marLeft w:val="0"/>
      <w:marRight w:val="0"/>
      <w:marTop w:val="0"/>
      <w:marBottom w:val="0"/>
      <w:divBdr>
        <w:top w:val="none" w:sz="0" w:space="0" w:color="auto"/>
        <w:left w:val="none" w:sz="0" w:space="0" w:color="auto"/>
        <w:bottom w:val="none" w:sz="0" w:space="0" w:color="auto"/>
        <w:right w:val="none" w:sz="0" w:space="0" w:color="auto"/>
      </w:divBdr>
    </w:div>
    <w:div w:id="135611706">
      <w:bodyDiv w:val="1"/>
      <w:marLeft w:val="0"/>
      <w:marRight w:val="0"/>
      <w:marTop w:val="0"/>
      <w:marBottom w:val="0"/>
      <w:divBdr>
        <w:top w:val="none" w:sz="0" w:space="0" w:color="auto"/>
        <w:left w:val="none" w:sz="0" w:space="0" w:color="auto"/>
        <w:bottom w:val="none" w:sz="0" w:space="0" w:color="auto"/>
        <w:right w:val="none" w:sz="0" w:space="0" w:color="auto"/>
      </w:divBdr>
    </w:div>
    <w:div w:id="256908746">
      <w:bodyDiv w:val="1"/>
      <w:marLeft w:val="0"/>
      <w:marRight w:val="0"/>
      <w:marTop w:val="0"/>
      <w:marBottom w:val="0"/>
      <w:divBdr>
        <w:top w:val="none" w:sz="0" w:space="0" w:color="auto"/>
        <w:left w:val="none" w:sz="0" w:space="0" w:color="auto"/>
        <w:bottom w:val="none" w:sz="0" w:space="0" w:color="auto"/>
        <w:right w:val="none" w:sz="0" w:space="0" w:color="auto"/>
      </w:divBdr>
    </w:div>
    <w:div w:id="369839639">
      <w:bodyDiv w:val="1"/>
      <w:marLeft w:val="0"/>
      <w:marRight w:val="0"/>
      <w:marTop w:val="0"/>
      <w:marBottom w:val="0"/>
      <w:divBdr>
        <w:top w:val="none" w:sz="0" w:space="0" w:color="auto"/>
        <w:left w:val="none" w:sz="0" w:space="0" w:color="auto"/>
        <w:bottom w:val="none" w:sz="0" w:space="0" w:color="auto"/>
        <w:right w:val="none" w:sz="0" w:space="0" w:color="auto"/>
      </w:divBdr>
      <w:divsChild>
        <w:div w:id="566459814">
          <w:marLeft w:val="0"/>
          <w:marRight w:val="0"/>
          <w:marTop w:val="0"/>
          <w:marBottom w:val="0"/>
          <w:divBdr>
            <w:top w:val="none" w:sz="0" w:space="0" w:color="auto"/>
            <w:left w:val="none" w:sz="0" w:space="0" w:color="auto"/>
            <w:bottom w:val="none" w:sz="0" w:space="0" w:color="auto"/>
            <w:right w:val="none" w:sz="0" w:space="0" w:color="auto"/>
          </w:divBdr>
        </w:div>
        <w:div w:id="675763950">
          <w:marLeft w:val="0"/>
          <w:marRight w:val="0"/>
          <w:marTop w:val="0"/>
          <w:marBottom w:val="0"/>
          <w:divBdr>
            <w:top w:val="none" w:sz="0" w:space="0" w:color="auto"/>
            <w:left w:val="none" w:sz="0" w:space="0" w:color="auto"/>
            <w:bottom w:val="none" w:sz="0" w:space="0" w:color="auto"/>
            <w:right w:val="none" w:sz="0" w:space="0" w:color="auto"/>
          </w:divBdr>
        </w:div>
        <w:div w:id="1357267205">
          <w:marLeft w:val="0"/>
          <w:marRight w:val="0"/>
          <w:marTop w:val="0"/>
          <w:marBottom w:val="0"/>
          <w:divBdr>
            <w:top w:val="none" w:sz="0" w:space="0" w:color="auto"/>
            <w:left w:val="none" w:sz="0" w:space="0" w:color="auto"/>
            <w:bottom w:val="none" w:sz="0" w:space="0" w:color="auto"/>
            <w:right w:val="none" w:sz="0" w:space="0" w:color="auto"/>
          </w:divBdr>
        </w:div>
        <w:div w:id="1507552189">
          <w:marLeft w:val="0"/>
          <w:marRight w:val="0"/>
          <w:marTop w:val="0"/>
          <w:marBottom w:val="0"/>
          <w:divBdr>
            <w:top w:val="none" w:sz="0" w:space="0" w:color="auto"/>
            <w:left w:val="none" w:sz="0" w:space="0" w:color="auto"/>
            <w:bottom w:val="none" w:sz="0" w:space="0" w:color="auto"/>
            <w:right w:val="none" w:sz="0" w:space="0" w:color="auto"/>
          </w:divBdr>
        </w:div>
        <w:div w:id="1531258484">
          <w:marLeft w:val="0"/>
          <w:marRight w:val="0"/>
          <w:marTop w:val="0"/>
          <w:marBottom w:val="0"/>
          <w:divBdr>
            <w:top w:val="none" w:sz="0" w:space="0" w:color="auto"/>
            <w:left w:val="none" w:sz="0" w:space="0" w:color="auto"/>
            <w:bottom w:val="none" w:sz="0" w:space="0" w:color="auto"/>
            <w:right w:val="none" w:sz="0" w:space="0" w:color="auto"/>
          </w:divBdr>
        </w:div>
        <w:div w:id="1679385584">
          <w:marLeft w:val="0"/>
          <w:marRight w:val="0"/>
          <w:marTop w:val="0"/>
          <w:marBottom w:val="0"/>
          <w:divBdr>
            <w:top w:val="none" w:sz="0" w:space="0" w:color="auto"/>
            <w:left w:val="none" w:sz="0" w:space="0" w:color="auto"/>
            <w:bottom w:val="none" w:sz="0" w:space="0" w:color="auto"/>
            <w:right w:val="none" w:sz="0" w:space="0" w:color="auto"/>
          </w:divBdr>
        </w:div>
        <w:div w:id="1811677840">
          <w:marLeft w:val="0"/>
          <w:marRight w:val="0"/>
          <w:marTop w:val="0"/>
          <w:marBottom w:val="0"/>
          <w:divBdr>
            <w:top w:val="none" w:sz="0" w:space="0" w:color="auto"/>
            <w:left w:val="none" w:sz="0" w:space="0" w:color="auto"/>
            <w:bottom w:val="none" w:sz="0" w:space="0" w:color="auto"/>
            <w:right w:val="none" w:sz="0" w:space="0" w:color="auto"/>
          </w:divBdr>
        </w:div>
        <w:div w:id="1975019653">
          <w:marLeft w:val="0"/>
          <w:marRight w:val="0"/>
          <w:marTop w:val="0"/>
          <w:marBottom w:val="0"/>
          <w:divBdr>
            <w:top w:val="none" w:sz="0" w:space="0" w:color="auto"/>
            <w:left w:val="none" w:sz="0" w:space="0" w:color="auto"/>
            <w:bottom w:val="none" w:sz="0" w:space="0" w:color="auto"/>
            <w:right w:val="none" w:sz="0" w:space="0" w:color="auto"/>
          </w:divBdr>
        </w:div>
        <w:div w:id="2113545373">
          <w:marLeft w:val="0"/>
          <w:marRight w:val="0"/>
          <w:marTop w:val="0"/>
          <w:marBottom w:val="0"/>
          <w:divBdr>
            <w:top w:val="none" w:sz="0" w:space="0" w:color="auto"/>
            <w:left w:val="none" w:sz="0" w:space="0" w:color="auto"/>
            <w:bottom w:val="none" w:sz="0" w:space="0" w:color="auto"/>
            <w:right w:val="none" w:sz="0" w:space="0" w:color="auto"/>
          </w:divBdr>
        </w:div>
      </w:divsChild>
    </w:div>
    <w:div w:id="435254404">
      <w:bodyDiv w:val="1"/>
      <w:marLeft w:val="0"/>
      <w:marRight w:val="0"/>
      <w:marTop w:val="0"/>
      <w:marBottom w:val="0"/>
      <w:divBdr>
        <w:top w:val="none" w:sz="0" w:space="0" w:color="auto"/>
        <w:left w:val="none" w:sz="0" w:space="0" w:color="auto"/>
        <w:bottom w:val="none" w:sz="0" w:space="0" w:color="auto"/>
        <w:right w:val="none" w:sz="0" w:space="0" w:color="auto"/>
      </w:divBdr>
    </w:div>
    <w:div w:id="531456352">
      <w:bodyDiv w:val="1"/>
      <w:marLeft w:val="0"/>
      <w:marRight w:val="0"/>
      <w:marTop w:val="0"/>
      <w:marBottom w:val="0"/>
      <w:divBdr>
        <w:top w:val="none" w:sz="0" w:space="0" w:color="auto"/>
        <w:left w:val="none" w:sz="0" w:space="0" w:color="auto"/>
        <w:bottom w:val="none" w:sz="0" w:space="0" w:color="auto"/>
        <w:right w:val="none" w:sz="0" w:space="0" w:color="auto"/>
      </w:divBdr>
    </w:div>
    <w:div w:id="537813632">
      <w:bodyDiv w:val="1"/>
      <w:marLeft w:val="0"/>
      <w:marRight w:val="0"/>
      <w:marTop w:val="0"/>
      <w:marBottom w:val="0"/>
      <w:divBdr>
        <w:top w:val="none" w:sz="0" w:space="0" w:color="auto"/>
        <w:left w:val="none" w:sz="0" w:space="0" w:color="auto"/>
        <w:bottom w:val="none" w:sz="0" w:space="0" w:color="auto"/>
        <w:right w:val="none" w:sz="0" w:space="0" w:color="auto"/>
      </w:divBdr>
      <w:divsChild>
        <w:div w:id="494880096">
          <w:marLeft w:val="0"/>
          <w:marRight w:val="0"/>
          <w:marTop w:val="0"/>
          <w:marBottom w:val="0"/>
          <w:divBdr>
            <w:top w:val="none" w:sz="0" w:space="0" w:color="auto"/>
            <w:left w:val="none" w:sz="0" w:space="0" w:color="auto"/>
            <w:bottom w:val="none" w:sz="0" w:space="0" w:color="auto"/>
            <w:right w:val="none" w:sz="0" w:space="0" w:color="auto"/>
          </w:divBdr>
          <w:divsChild>
            <w:div w:id="841362149">
              <w:marLeft w:val="0"/>
              <w:marRight w:val="0"/>
              <w:marTop w:val="0"/>
              <w:marBottom w:val="0"/>
              <w:divBdr>
                <w:top w:val="none" w:sz="0" w:space="0" w:color="auto"/>
                <w:left w:val="none" w:sz="0" w:space="0" w:color="auto"/>
                <w:bottom w:val="none" w:sz="0" w:space="0" w:color="auto"/>
                <w:right w:val="none" w:sz="0" w:space="0" w:color="auto"/>
              </w:divBdr>
            </w:div>
            <w:div w:id="17349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844">
      <w:bodyDiv w:val="1"/>
      <w:marLeft w:val="0"/>
      <w:marRight w:val="0"/>
      <w:marTop w:val="0"/>
      <w:marBottom w:val="0"/>
      <w:divBdr>
        <w:top w:val="none" w:sz="0" w:space="0" w:color="auto"/>
        <w:left w:val="none" w:sz="0" w:space="0" w:color="auto"/>
        <w:bottom w:val="none" w:sz="0" w:space="0" w:color="auto"/>
        <w:right w:val="none" w:sz="0" w:space="0" w:color="auto"/>
      </w:divBdr>
    </w:div>
    <w:div w:id="780606418">
      <w:bodyDiv w:val="1"/>
      <w:marLeft w:val="0"/>
      <w:marRight w:val="0"/>
      <w:marTop w:val="0"/>
      <w:marBottom w:val="0"/>
      <w:divBdr>
        <w:top w:val="none" w:sz="0" w:space="0" w:color="auto"/>
        <w:left w:val="none" w:sz="0" w:space="0" w:color="auto"/>
        <w:bottom w:val="none" w:sz="0" w:space="0" w:color="auto"/>
        <w:right w:val="none" w:sz="0" w:space="0" w:color="auto"/>
      </w:divBdr>
    </w:div>
    <w:div w:id="820731819">
      <w:bodyDiv w:val="1"/>
      <w:marLeft w:val="0"/>
      <w:marRight w:val="0"/>
      <w:marTop w:val="0"/>
      <w:marBottom w:val="0"/>
      <w:divBdr>
        <w:top w:val="none" w:sz="0" w:space="0" w:color="auto"/>
        <w:left w:val="none" w:sz="0" w:space="0" w:color="auto"/>
        <w:bottom w:val="none" w:sz="0" w:space="0" w:color="auto"/>
        <w:right w:val="none" w:sz="0" w:space="0" w:color="auto"/>
      </w:divBdr>
    </w:div>
    <w:div w:id="890966447">
      <w:bodyDiv w:val="1"/>
      <w:marLeft w:val="0"/>
      <w:marRight w:val="0"/>
      <w:marTop w:val="0"/>
      <w:marBottom w:val="0"/>
      <w:divBdr>
        <w:top w:val="none" w:sz="0" w:space="0" w:color="auto"/>
        <w:left w:val="none" w:sz="0" w:space="0" w:color="auto"/>
        <w:bottom w:val="none" w:sz="0" w:space="0" w:color="auto"/>
        <w:right w:val="none" w:sz="0" w:space="0" w:color="auto"/>
      </w:divBdr>
      <w:divsChild>
        <w:div w:id="1497767886">
          <w:marLeft w:val="0"/>
          <w:marRight w:val="0"/>
          <w:marTop w:val="0"/>
          <w:marBottom w:val="0"/>
          <w:divBdr>
            <w:top w:val="none" w:sz="0" w:space="0" w:color="auto"/>
            <w:left w:val="none" w:sz="0" w:space="0" w:color="auto"/>
            <w:bottom w:val="none" w:sz="0" w:space="0" w:color="auto"/>
            <w:right w:val="none" w:sz="0" w:space="0" w:color="auto"/>
          </w:divBdr>
          <w:divsChild>
            <w:div w:id="476149982">
              <w:marLeft w:val="0"/>
              <w:marRight w:val="0"/>
              <w:marTop w:val="0"/>
              <w:marBottom w:val="0"/>
              <w:divBdr>
                <w:top w:val="none" w:sz="0" w:space="0" w:color="auto"/>
                <w:left w:val="none" w:sz="0" w:space="0" w:color="auto"/>
                <w:bottom w:val="none" w:sz="0" w:space="0" w:color="auto"/>
                <w:right w:val="none" w:sz="0" w:space="0" w:color="auto"/>
              </w:divBdr>
            </w:div>
            <w:div w:id="20251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38426">
      <w:bodyDiv w:val="1"/>
      <w:marLeft w:val="0"/>
      <w:marRight w:val="0"/>
      <w:marTop w:val="0"/>
      <w:marBottom w:val="0"/>
      <w:divBdr>
        <w:top w:val="none" w:sz="0" w:space="0" w:color="auto"/>
        <w:left w:val="none" w:sz="0" w:space="0" w:color="auto"/>
        <w:bottom w:val="none" w:sz="0" w:space="0" w:color="auto"/>
        <w:right w:val="none" w:sz="0" w:space="0" w:color="auto"/>
      </w:divBdr>
    </w:div>
    <w:div w:id="902133693">
      <w:bodyDiv w:val="1"/>
      <w:marLeft w:val="0"/>
      <w:marRight w:val="0"/>
      <w:marTop w:val="0"/>
      <w:marBottom w:val="0"/>
      <w:divBdr>
        <w:top w:val="none" w:sz="0" w:space="0" w:color="auto"/>
        <w:left w:val="none" w:sz="0" w:space="0" w:color="auto"/>
        <w:bottom w:val="none" w:sz="0" w:space="0" w:color="auto"/>
        <w:right w:val="none" w:sz="0" w:space="0" w:color="auto"/>
      </w:divBdr>
    </w:div>
    <w:div w:id="923803454">
      <w:bodyDiv w:val="1"/>
      <w:marLeft w:val="0"/>
      <w:marRight w:val="0"/>
      <w:marTop w:val="0"/>
      <w:marBottom w:val="0"/>
      <w:divBdr>
        <w:top w:val="none" w:sz="0" w:space="0" w:color="auto"/>
        <w:left w:val="none" w:sz="0" w:space="0" w:color="auto"/>
        <w:bottom w:val="none" w:sz="0" w:space="0" w:color="auto"/>
        <w:right w:val="none" w:sz="0" w:space="0" w:color="auto"/>
      </w:divBdr>
    </w:div>
    <w:div w:id="951397866">
      <w:bodyDiv w:val="1"/>
      <w:marLeft w:val="0"/>
      <w:marRight w:val="0"/>
      <w:marTop w:val="0"/>
      <w:marBottom w:val="0"/>
      <w:divBdr>
        <w:top w:val="none" w:sz="0" w:space="0" w:color="auto"/>
        <w:left w:val="none" w:sz="0" w:space="0" w:color="auto"/>
        <w:bottom w:val="none" w:sz="0" w:space="0" w:color="auto"/>
        <w:right w:val="none" w:sz="0" w:space="0" w:color="auto"/>
      </w:divBdr>
    </w:div>
    <w:div w:id="1074207874">
      <w:bodyDiv w:val="1"/>
      <w:marLeft w:val="0"/>
      <w:marRight w:val="0"/>
      <w:marTop w:val="0"/>
      <w:marBottom w:val="0"/>
      <w:divBdr>
        <w:top w:val="none" w:sz="0" w:space="0" w:color="auto"/>
        <w:left w:val="none" w:sz="0" w:space="0" w:color="auto"/>
        <w:bottom w:val="none" w:sz="0" w:space="0" w:color="auto"/>
        <w:right w:val="none" w:sz="0" w:space="0" w:color="auto"/>
      </w:divBdr>
    </w:div>
    <w:div w:id="1126776458">
      <w:bodyDiv w:val="1"/>
      <w:marLeft w:val="0"/>
      <w:marRight w:val="0"/>
      <w:marTop w:val="0"/>
      <w:marBottom w:val="0"/>
      <w:divBdr>
        <w:top w:val="none" w:sz="0" w:space="0" w:color="auto"/>
        <w:left w:val="none" w:sz="0" w:space="0" w:color="auto"/>
        <w:bottom w:val="none" w:sz="0" w:space="0" w:color="auto"/>
        <w:right w:val="none" w:sz="0" w:space="0" w:color="auto"/>
      </w:divBdr>
      <w:divsChild>
        <w:div w:id="1808235113">
          <w:marLeft w:val="0"/>
          <w:marRight w:val="0"/>
          <w:marTop w:val="0"/>
          <w:marBottom w:val="0"/>
          <w:divBdr>
            <w:top w:val="none" w:sz="0" w:space="0" w:color="auto"/>
            <w:left w:val="none" w:sz="0" w:space="0" w:color="auto"/>
            <w:bottom w:val="none" w:sz="0" w:space="0" w:color="auto"/>
            <w:right w:val="none" w:sz="0" w:space="0" w:color="auto"/>
          </w:divBdr>
          <w:divsChild>
            <w:div w:id="898134353">
              <w:marLeft w:val="0"/>
              <w:marRight w:val="0"/>
              <w:marTop w:val="0"/>
              <w:marBottom w:val="0"/>
              <w:divBdr>
                <w:top w:val="none" w:sz="0" w:space="0" w:color="auto"/>
                <w:left w:val="none" w:sz="0" w:space="0" w:color="auto"/>
                <w:bottom w:val="none" w:sz="0" w:space="0" w:color="auto"/>
                <w:right w:val="none" w:sz="0" w:space="0" w:color="auto"/>
              </w:divBdr>
            </w:div>
            <w:div w:id="1816949294">
              <w:marLeft w:val="0"/>
              <w:marRight w:val="0"/>
              <w:marTop w:val="0"/>
              <w:marBottom w:val="0"/>
              <w:divBdr>
                <w:top w:val="none" w:sz="0" w:space="0" w:color="auto"/>
                <w:left w:val="none" w:sz="0" w:space="0" w:color="auto"/>
                <w:bottom w:val="none" w:sz="0" w:space="0" w:color="auto"/>
                <w:right w:val="none" w:sz="0" w:space="0" w:color="auto"/>
              </w:divBdr>
            </w:div>
            <w:div w:id="19621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714">
      <w:bodyDiv w:val="1"/>
      <w:marLeft w:val="0"/>
      <w:marRight w:val="0"/>
      <w:marTop w:val="0"/>
      <w:marBottom w:val="0"/>
      <w:divBdr>
        <w:top w:val="none" w:sz="0" w:space="0" w:color="auto"/>
        <w:left w:val="none" w:sz="0" w:space="0" w:color="auto"/>
        <w:bottom w:val="none" w:sz="0" w:space="0" w:color="auto"/>
        <w:right w:val="none" w:sz="0" w:space="0" w:color="auto"/>
      </w:divBdr>
    </w:div>
    <w:div w:id="1265964243">
      <w:bodyDiv w:val="1"/>
      <w:marLeft w:val="0"/>
      <w:marRight w:val="0"/>
      <w:marTop w:val="0"/>
      <w:marBottom w:val="0"/>
      <w:divBdr>
        <w:top w:val="none" w:sz="0" w:space="0" w:color="auto"/>
        <w:left w:val="none" w:sz="0" w:space="0" w:color="auto"/>
        <w:bottom w:val="none" w:sz="0" w:space="0" w:color="auto"/>
        <w:right w:val="none" w:sz="0" w:space="0" w:color="auto"/>
      </w:divBdr>
    </w:div>
    <w:div w:id="1448432113">
      <w:bodyDiv w:val="1"/>
      <w:marLeft w:val="0"/>
      <w:marRight w:val="0"/>
      <w:marTop w:val="0"/>
      <w:marBottom w:val="0"/>
      <w:divBdr>
        <w:top w:val="none" w:sz="0" w:space="0" w:color="auto"/>
        <w:left w:val="none" w:sz="0" w:space="0" w:color="auto"/>
        <w:bottom w:val="none" w:sz="0" w:space="0" w:color="auto"/>
        <w:right w:val="none" w:sz="0" w:space="0" w:color="auto"/>
      </w:divBdr>
    </w:div>
    <w:div w:id="1492139485">
      <w:bodyDiv w:val="1"/>
      <w:marLeft w:val="0"/>
      <w:marRight w:val="0"/>
      <w:marTop w:val="0"/>
      <w:marBottom w:val="0"/>
      <w:divBdr>
        <w:top w:val="none" w:sz="0" w:space="0" w:color="auto"/>
        <w:left w:val="none" w:sz="0" w:space="0" w:color="auto"/>
        <w:bottom w:val="none" w:sz="0" w:space="0" w:color="auto"/>
        <w:right w:val="none" w:sz="0" w:space="0" w:color="auto"/>
      </w:divBdr>
    </w:div>
    <w:div w:id="1653025199">
      <w:bodyDiv w:val="1"/>
      <w:marLeft w:val="0"/>
      <w:marRight w:val="0"/>
      <w:marTop w:val="0"/>
      <w:marBottom w:val="0"/>
      <w:divBdr>
        <w:top w:val="none" w:sz="0" w:space="0" w:color="auto"/>
        <w:left w:val="none" w:sz="0" w:space="0" w:color="auto"/>
        <w:bottom w:val="none" w:sz="0" w:space="0" w:color="auto"/>
        <w:right w:val="none" w:sz="0" w:space="0" w:color="auto"/>
      </w:divBdr>
    </w:div>
    <w:div w:id="1654796417">
      <w:bodyDiv w:val="1"/>
      <w:marLeft w:val="0"/>
      <w:marRight w:val="0"/>
      <w:marTop w:val="0"/>
      <w:marBottom w:val="0"/>
      <w:divBdr>
        <w:top w:val="none" w:sz="0" w:space="0" w:color="auto"/>
        <w:left w:val="none" w:sz="0" w:space="0" w:color="auto"/>
        <w:bottom w:val="none" w:sz="0" w:space="0" w:color="auto"/>
        <w:right w:val="none" w:sz="0" w:space="0" w:color="auto"/>
      </w:divBdr>
    </w:div>
    <w:div w:id="1664122331">
      <w:bodyDiv w:val="1"/>
      <w:marLeft w:val="0"/>
      <w:marRight w:val="0"/>
      <w:marTop w:val="0"/>
      <w:marBottom w:val="0"/>
      <w:divBdr>
        <w:top w:val="none" w:sz="0" w:space="0" w:color="auto"/>
        <w:left w:val="none" w:sz="0" w:space="0" w:color="auto"/>
        <w:bottom w:val="none" w:sz="0" w:space="0" w:color="auto"/>
        <w:right w:val="none" w:sz="0" w:space="0" w:color="auto"/>
      </w:divBdr>
    </w:div>
    <w:div w:id="1749764580">
      <w:bodyDiv w:val="1"/>
      <w:marLeft w:val="0"/>
      <w:marRight w:val="0"/>
      <w:marTop w:val="0"/>
      <w:marBottom w:val="0"/>
      <w:divBdr>
        <w:top w:val="none" w:sz="0" w:space="0" w:color="auto"/>
        <w:left w:val="none" w:sz="0" w:space="0" w:color="auto"/>
        <w:bottom w:val="none" w:sz="0" w:space="0" w:color="auto"/>
        <w:right w:val="none" w:sz="0" w:space="0" w:color="auto"/>
      </w:divBdr>
      <w:divsChild>
        <w:div w:id="510336238">
          <w:marLeft w:val="0"/>
          <w:marRight w:val="0"/>
          <w:marTop w:val="0"/>
          <w:marBottom w:val="0"/>
          <w:divBdr>
            <w:top w:val="none" w:sz="0" w:space="0" w:color="auto"/>
            <w:left w:val="none" w:sz="0" w:space="0" w:color="auto"/>
            <w:bottom w:val="none" w:sz="0" w:space="0" w:color="auto"/>
            <w:right w:val="none" w:sz="0" w:space="0" w:color="auto"/>
          </w:divBdr>
          <w:divsChild>
            <w:div w:id="260842246">
              <w:marLeft w:val="0"/>
              <w:marRight w:val="0"/>
              <w:marTop w:val="0"/>
              <w:marBottom w:val="0"/>
              <w:divBdr>
                <w:top w:val="none" w:sz="0" w:space="0" w:color="auto"/>
                <w:left w:val="none" w:sz="0" w:space="0" w:color="auto"/>
                <w:bottom w:val="none" w:sz="0" w:space="0" w:color="auto"/>
                <w:right w:val="none" w:sz="0" w:space="0" w:color="auto"/>
              </w:divBdr>
            </w:div>
            <w:div w:id="376205896">
              <w:marLeft w:val="0"/>
              <w:marRight w:val="0"/>
              <w:marTop w:val="0"/>
              <w:marBottom w:val="0"/>
              <w:divBdr>
                <w:top w:val="none" w:sz="0" w:space="0" w:color="auto"/>
                <w:left w:val="none" w:sz="0" w:space="0" w:color="auto"/>
                <w:bottom w:val="none" w:sz="0" w:space="0" w:color="auto"/>
                <w:right w:val="none" w:sz="0" w:space="0" w:color="auto"/>
              </w:divBdr>
            </w:div>
            <w:div w:id="1583566507">
              <w:marLeft w:val="0"/>
              <w:marRight w:val="0"/>
              <w:marTop w:val="0"/>
              <w:marBottom w:val="0"/>
              <w:divBdr>
                <w:top w:val="none" w:sz="0" w:space="0" w:color="auto"/>
                <w:left w:val="none" w:sz="0" w:space="0" w:color="auto"/>
                <w:bottom w:val="none" w:sz="0" w:space="0" w:color="auto"/>
                <w:right w:val="none" w:sz="0" w:space="0" w:color="auto"/>
              </w:divBdr>
            </w:div>
            <w:div w:id="17169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owerhamlets.gov.uk/lgnl/education_and_learning/childcare_and_early_years_educ/Early_learning_and_childcare_funding.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F0E9-D8E1-483A-B138-D51D0E11F0E4}">
  <ds:schemaRefs>
    <ds:schemaRef ds:uri="http://schemas.microsoft.com/sharepoint/v3/contenttype/forms"/>
  </ds:schemaRefs>
</ds:datastoreItem>
</file>

<file path=customXml/itemProps2.xml><?xml version="1.0" encoding="utf-8"?>
<ds:datastoreItem xmlns:ds="http://schemas.openxmlformats.org/officeDocument/2006/customXml" ds:itemID="{A4E76EB3-E56A-40A1-830E-168985896FB5}">
  <ds:schemaRefs>
    <ds:schemaRef ds:uri="http://schemas.microsoft.com/office/2006/metadata/longProperties"/>
  </ds:schemaRefs>
</ds:datastoreItem>
</file>

<file path=customXml/itemProps3.xml><?xml version="1.0" encoding="utf-8"?>
<ds:datastoreItem xmlns:ds="http://schemas.openxmlformats.org/officeDocument/2006/customXml" ds:itemID="{8775DAF8-8D1D-4F22-A101-BAAF9F35682A}">
  <ds:schemaRefs>
    <ds:schemaRef ds:uri="http://purl.org/dc/terms/"/>
    <ds:schemaRef ds:uri="f22d7286-dd96-43f1-addf-1aa01b239435"/>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3639DF0-64C3-48CC-B115-AC0677ACB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15234F-483F-41DB-8667-D340A8FD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3170</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COMMITTEE</vt:lpstr>
    </vt:vector>
  </TitlesOfParts>
  <Company>London Borough of Tower Hamlets</Company>
  <LinksUpToDate>false</LinksUpToDate>
  <CharactersWithSpaces>19886</CharactersWithSpaces>
  <SharedDoc>false</SharedDoc>
  <HLinks>
    <vt:vector size="6" baseType="variant">
      <vt:variant>
        <vt:i4>3866732</vt:i4>
      </vt:variant>
      <vt:variant>
        <vt:i4>0</vt:i4>
      </vt:variant>
      <vt:variant>
        <vt:i4>0</vt:i4>
      </vt:variant>
      <vt:variant>
        <vt:i4>5</vt:i4>
      </vt:variant>
      <vt:variant>
        <vt:lpwstr>https://www.towerhamlets.gov.uk/lgnl/education_and_learning/childcare_and_early_years_educ/Early_learning_and_childcare_funding.aspx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Schools Grant (DSG) - 2018-19 Budget Monitoring and 2019-20 Overview</dc:title>
  <dc:subject/>
  <dc:creator>DOEFBIK</dc:creator>
  <cp:keywords/>
  <cp:lastModifiedBy>Phillip Nduoyo</cp:lastModifiedBy>
  <cp:revision>6</cp:revision>
  <cp:lastPrinted>2018-10-02T13:29:00Z</cp:lastPrinted>
  <dcterms:created xsi:type="dcterms:W3CDTF">2021-01-12T16:35:00Z</dcterms:created>
  <dcterms:modified xsi:type="dcterms:W3CDTF">2021-01-13T09:20:00Z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Sharon Bailey</vt:lpwstr>
  </property>
  <property fmtid="{D5CDD505-2E9C-101B-9397-08002B2CF9AE}" pid="3" name="Order">
    <vt:lpwstr>3153000.00000000</vt:lpwstr>
  </property>
  <property fmtid="{D5CDD505-2E9C-101B-9397-08002B2CF9AE}" pid="4" name="display_urn:schemas-microsoft-com:office:office#Author">
    <vt:lpwstr>Sharon Bailey</vt:lpwstr>
  </property>
</Properties>
</file>