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5838C" w14:textId="77777777" w:rsidR="00476000" w:rsidRPr="004C13B7" w:rsidRDefault="00476000" w:rsidP="00476000">
      <w:pPr>
        <w:jc w:val="center"/>
        <w:rPr>
          <w:rFonts w:ascii="Arial" w:hAnsi="Arial" w:cs="Arial"/>
          <w:b/>
        </w:rPr>
      </w:pPr>
      <w:smartTag w:uri="urn:schemas-microsoft-com:office:smarttags" w:element="place">
        <w:smartTag w:uri="urn:schemas-microsoft-com:office:smarttags" w:element="City">
          <w:r w:rsidRPr="004C13B7">
            <w:rPr>
              <w:rFonts w:ascii="Arial" w:hAnsi="Arial" w:cs="Arial"/>
              <w:b/>
            </w:rPr>
            <w:t>London</w:t>
          </w:r>
        </w:smartTag>
      </w:smartTag>
      <w:r w:rsidRPr="004C13B7">
        <w:rPr>
          <w:rFonts w:ascii="Arial" w:hAnsi="Arial" w:cs="Arial"/>
          <w:b/>
        </w:rPr>
        <w:t xml:space="preserve"> Borough of Tower Hamlets</w:t>
      </w:r>
    </w:p>
    <w:p w14:paraId="493466E7" w14:textId="57562C12" w:rsidR="00476000" w:rsidRPr="004C13B7" w:rsidRDefault="00476000" w:rsidP="00476000">
      <w:pPr>
        <w:jc w:val="center"/>
        <w:rPr>
          <w:rFonts w:ascii="Arial" w:hAnsi="Arial" w:cs="Arial"/>
          <w:b/>
        </w:rPr>
      </w:pPr>
      <w:r w:rsidRPr="004C13B7">
        <w:rPr>
          <w:rFonts w:ascii="Arial" w:hAnsi="Arial" w:cs="Arial"/>
          <w:b/>
        </w:rPr>
        <w:t>School Forum</w:t>
      </w:r>
      <w:r w:rsidR="00CB2B87">
        <w:rPr>
          <w:rFonts w:ascii="Arial" w:hAnsi="Arial" w:cs="Arial"/>
          <w:b/>
        </w:rPr>
        <w:t xml:space="preserve"> 10 October 2018</w:t>
      </w:r>
    </w:p>
    <w:p w14:paraId="7A5C8BF9" w14:textId="77777777" w:rsidR="00476000" w:rsidRDefault="00476000" w:rsidP="00476000">
      <w:pPr>
        <w:jc w:val="center"/>
        <w:rPr>
          <w:rFonts w:ascii="Arial" w:hAnsi="Arial" w:cs="Arial"/>
          <w:b/>
        </w:rPr>
      </w:pPr>
      <w:r w:rsidRPr="004C13B7">
        <w:rPr>
          <w:rFonts w:ascii="Arial" w:hAnsi="Arial" w:cs="Arial"/>
          <w:b/>
        </w:rPr>
        <w:t>Executive Summary</w:t>
      </w:r>
    </w:p>
    <w:p w14:paraId="4B72CA6A" w14:textId="77777777" w:rsidR="00161ABB" w:rsidRPr="004C13B7" w:rsidRDefault="00161ABB" w:rsidP="00476000">
      <w:pPr>
        <w:jc w:val="center"/>
        <w:rPr>
          <w:rFonts w:ascii="Arial" w:hAnsi="Arial" w:cs="Arial"/>
          <w:b/>
        </w:rPr>
      </w:pPr>
    </w:p>
    <w:p w14:paraId="0DCC2133" w14:textId="77777777" w:rsidR="00476000" w:rsidRPr="008E3D68" w:rsidRDefault="00476000" w:rsidP="00476000">
      <w:pPr>
        <w:pStyle w:val="BodyTextIndent"/>
        <w:pBdr>
          <w:top w:val="single" w:sz="4" w:space="1" w:color="auto"/>
          <w:left w:val="single" w:sz="4" w:space="4" w:color="auto"/>
          <w:bottom w:val="single" w:sz="4" w:space="1" w:color="auto"/>
          <w:right w:val="single" w:sz="4" w:space="4" w:color="auto"/>
        </w:pBdr>
        <w:tabs>
          <w:tab w:val="clear" w:pos="360"/>
        </w:tabs>
        <w:ind w:left="0" w:firstLine="0"/>
        <w:jc w:val="both"/>
        <w:rPr>
          <w:b/>
          <w:sz w:val="32"/>
          <w:szCs w:val="32"/>
        </w:rPr>
      </w:pPr>
      <w:r w:rsidRPr="008E3D68">
        <w:rPr>
          <w:b/>
          <w:sz w:val="32"/>
          <w:szCs w:val="32"/>
        </w:rPr>
        <w:t xml:space="preserve">AGENDA ITEM </w:t>
      </w:r>
      <w:r w:rsidR="00535981">
        <w:rPr>
          <w:b/>
          <w:sz w:val="32"/>
          <w:szCs w:val="32"/>
        </w:rPr>
        <w:t>5</w:t>
      </w:r>
    </w:p>
    <w:p w14:paraId="6B224916" w14:textId="77777777" w:rsidR="00476000" w:rsidRPr="004C13B7" w:rsidRDefault="00476000" w:rsidP="00476000">
      <w:pPr>
        <w:rPr>
          <w:rFonts w:ascii="Arial" w:hAnsi="Arial" w:cs="Arial"/>
          <w:b/>
        </w:rPr>
      </w:pPr>
    </w:p>
    <w:p w14:paraId="1D5ACD9A" w14:textId="77777777" w:rsidR="00476000" w:rsidRPr="00DF0104" w:rsidRDefault="00476000" w:rsidP="00DF0104">
      <w:pPr>
        <w:pStyle w:val="Heading1"/>
        <w:rPr>
          <w:b/>
          <w:bCs/>
          <w:sz w:val="32"/>
          <w:szCs w:val="24"/>
        </w:rPr>
      </w:pPr>
      <w:r w:rsidRPr="00DF0104">
        <w:rPr>
          <w:b/>
          <w:bCs/>
          <w:sz w:val="32"/>
          <w:szCs w:val="24"/>
        </w:rPr>
        <w:t xml:space="preserve">Title of report: </w:t>
      </w:r>
      <w:r w:rsidR="002750C5" w:rsidRPr="00DF0104">
        <w:rPr>
          <w:b/>
          <w:bCs/>
          <w:sz w:val="32"/>
          <w:szCs w:val="24"/>
        </w:rPr>
        <w:t>School Funding Formula 2019-20</w:t>
      </w:r>
    </w:p>
    <w:p w14:paraId="3F8E431E" w14:textId="77777777" w:rsidR="00476000" w:rsidRPr="004C13B7" w:rsidRDefault="00476000" w:rsidP="00476000">
      <w:pPr>
        <w:rPr>
          <w:rFonts w:ascii="Arial" w:hAnsi="Arial" w:cs="Arial"/>
          <w:b/>
          <w:u w:val="single"/>
        </w:rPr>
      </w:pPr>
    </w:p>
    <w:p w14:paraId="4FB1BC40" w14:textId="77777777" w:rsidR="00476000"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 xml:space="preserve">Author of the paper: </w:t>
      </w:r>
      <w:r w:rsidR="002750C5">
        <w:rPr>
          <w:rFonts w:ascii="Arial" w:hAnsi="Arial" w:cs="Arial"/>
          <w:b/>
        </w:rPr>
        <w:t>Steve Worth</w:t>
      </w:r>
    </w:p>
    <w:p w14:paraId="708FC1BB"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6082502" w14:textId="77777777" w:rsidR="00476000" w:rsidRPr="004C13B7" w:rsidRDefault="00476000" w:rsidP="00476000">
      <w:pPr>
        <w:rPr>
          <w:rFonts w:ascii="Arial" w:hAnsi="Arial" w:cs="Arial"/>
        </w:rPr>
      </w:pPr>
    </w:p>
    <w:p w14:paraId="1180A428" w14:textId="77777777" w:rsidR="00476000"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Officer to pre</w:t>
      </w:r>
      <w:r w:rsidR="002750C5">
        <w:rPr>
          <w:rFonts w:ascii="Arial" w:hAnsi="Arial" w:cs="Arial"/>
          <w:b/>
        </w:rPr>
        <w:t>sent the paper to School Forum: Steve Worth</w:t>
      </w:r>
    </w:p>
    <w:p w14:paraId="0F2651A0" w14:textId="77777777" w:rsidR="00D548E4" w:rsidRPr="00D548E4" w:rsidRDefault="00D548E4"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C16185A" w14:textId="77777777" w:rsidR="00476000" w:rsidRPr="004C13B7" w:rsidRDefault="00476000" w:rsidP="00476000">
      <w:pPr>
        <w:rPr>
          <w:rFonts w:ascii="Arial" w:hAnsi="Arial" w:cs="Arial"/>
        </w:rPr>
      </w:pPr>
    </w:p>
    <w:p w14:paraId="06B11B80" w14:textId="77777777" w:rsidR="00476000" w:rsidRDefault="00476000" w:rsidP="00476000">
      <w:pPr>
        <w:pBdr>
          <w:top w:val="single" w:sz="4" w:space="1" w:color="auto"/>
          <w:left w:val="single" w:sz="4" w:space="4" w:color="auto"/>
          <w:bottom w:val="single" w:sz="4" w:space="1" w:color="auto"/>
          <w:right w:val="single" w:sz="4" w:space="4" w:color="auto"/>
        </w:pBdr>
        <w:rPr>
          <w:rFonts w:ascii="Arial" w:hAnsi="Arial" w:cs="Arial"/>
          <w:b/>
        </w:rPr>
      </w:pPr>
      <w:r w:rsidRPr="004C13B7">
        <w:rPr>
          <w:rFonts w:ascii="Arial" w:hAnsi="Arial" w:cs="Arial"/>
          <w:b/>
        </w:rPr>
        <w:t>Details on who has been consulted with on this paper to date:</w:t>
      </w:r>
    </w:p>
    <w:p w14:paraId="5378B911" w14:textId="77777777" w:rsidR="00D548E4" w:rsidRDefault="00D548E4" w:rsidP="00476000">
      <w:pPr>
        <w:pBdr>
          <w:top w:val="single" w:sz="4" w:space="1" w:color="auto"/>
          <w:left w:val="single" w:sz="4" w:space="4" w:color="auto"/>
          <w:bottom w:val="single" w:sz="4" w:space="1" w:color="auto"/>
          <w:right w:val="single" w:sz="4" w:space="4" w:color="auto"/>
        </w:pBdr>
        <w:rPr>
          <w:rFonts w:ascii="Arial" w:hAnsi="Arial" w:cs="Arial"/>
          <w:b/>
        </w:rPr>
      </w:pPr>
    </w:p>
    <w:p w14:paraId="5960AA86" w14:textId="77777777" w:rsidR="00D548E4" w:rsidRPr="00D548E4" w:rsidRDefault="004859FD" w:rsidP="0047600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NFF working group , </w:t>
      </w:r>
      <w:r w:rsidRPr="004859FD">
        <w:rPr>
          <w:rFonts w:ascii="Arial" w:hAnsi="Arial" w:cs="Arial"/>
          <w:sz w:val="24"/>
          <w:szCs w:val="24"/>
        </w:rPr>
        <w:t xml:space="preserve">Neville Murton, </w:t>
      </w:r>
      <w:r w:rsidRPr="004859FD">
        <w:rPr>
          <w:rFonts w:ascii="Arial" w:hAnsi="Arial" w:cs="Arial"/>
          <w:sz w:val="24"/>
          <w:szCs w:val="24"/>
          <w:lang w:val="en-US"/>
        </w:rPr>
        <w:t>Christine McInnes</w:t>
      </w:r>
      <w:r>
        <w:rPr>
          <w:rFonts w:ascii="Arial" w:hAnsi="Arial" w:cs="Arial"/>
          <w:sz w:val="24"/>
          <w:szCs w:val="24"/>
          <w:lang w:val="en-US"/>
        </w:rPr>
        <w:t xml:space="preserve"> </w:t>
      </w:r>
    </w:p>
    <w:p w14:paraId="6C7ABF5A" w14:textId="77777777" w:rsidR="00476000" w:rsidRPr="004C13B7" w:rsidRDefault="00476000" w:rsidP="00476000">
      <w:pPr>
        <w:rPr>
          <w:rFonts w:ascii="Arial" w:hAnsi="Arial" w:cs="Arial"/>
        </w:rPr>
      </w:pPr>
    </w:p>
    <w:p w14:paraId="3C0BD662" w14:textId="77777777" w:rsidR="00E346BC" w:rsidRDefault="00476000" w:rsidP="00245F6F">
      <w:pPr>
        <w:pBdr>
          <w:top w:val="single" w:sz="4" w:space="0" w:color="auto"/>
          <w:left w:val="single" w:sz="4" w:space="5" w:color="auto"/>
          <w:bottom w:val="single" w:sz="4" w:space="1" w:color="auto"/>
          <w:right w:val="single" w:sz="4" w:space="1" w:color="auto"/>
        </w:pBdr>
        <w:rPr>
          <w:rFonts w:ascii="Arial" w:hAnsi="Arial" w:cs="Arial"/>
          <w:b/>
        </w:rPr>
      </w:pPr>
      <w:r w:rsidRPr="00B07502">
        <w:rPr>
          <w:rFonts w:ascii="Arial" w:hAnsi="Arial" w:cs="Arial"/>
          <w:b/>
        </w:rPr>
        <w:t>Exec Summary:</w:t>
      </w:r>
    </w:p>
    <w:p w14:paraId="2D2C3CA7" w14:textId="77777777" w:rsidR="00B07502" w:rsidRPr="00B07502" w:rsidRDefault="00245F6F" w:rsidP="00245F6F">
      <w:pPr>
        <w:pBdr>
          <w:top w:val="single" w:sz="4" w:space="0" w:color="auto"/>
          <w:left w:val="single" w:sz="4" w:space="5" w:color="auto"/>
          <w:bottom w:val="single" w:sz="4" w:space="1" w:color="auto"/>
          <w:right w:val="single" w:sz="4" w:space="1" w:color="auto"/>
        </w:pBdr>
        <w:rPr>
          <w:rFonts w:ascii="Arial" w:hAnsi="Arial" w:cs="Arial"/>
          <w:b/>
        </w:rPr>
      </w:pPr>
      <w:r>
        <w:rPr>
          <w:rFonts w:ascii="Arial" w:hAnsi="Arial" w:cs="Arial"/>
          <w:b/>
        </w:rPr>
        <w:t xml:space="preserve"> </w:t>
      </w:r>
    </w:p>
    <w:p w14:paraId="151F9E59" w14:textId="77777777" w:rsidR="00E346BC" w:rsidRPr="00E346BC" w:rsidRDefault="00E346BC" w:rsidP="00245F6F">
      <w:pPr>
        <w:pBdr>
          <w:top w:val="single" w:sz="4" w:space="0" w:color="auto"/>
          <w:left w:val="single" w:sz="4" w:space="5" w:color="auto"/>
          <w:bottom w:val="single" w:sz="4" w:space="1" w:color="auto"/>
          <w:right w:val="single" w:sz="4" w:space="1" w:color="auto"/>
        </w:pBdr>
        <w:rPr>
          <w:rFonts w:ascii="Arial" w:hAnsi="Arial" w:cs="Arial"/>
          <w:sz w:val="22"/>
          <w:szCs w:val="22"/>
        </w:rPr>
      </w:pPr>
      <w:r w:rsidRPr="00E346BC">
        <w:rPr>
          <w:rFonts w:ascii="Arial" w:hAnsi="Arial" w:cs="Arial"/>
          <w:sz w:val="22"/>
          <w:szCs w:val="22"/>
        </w:rPr>
        <w:t>This report:</w:t>
      </w:r>
    </w:p>
    <w:p w14:paraId="790A8156" w14:textId="77777777" w:rsidR="00E346BC" w:rsidRPr="00E346BC" w:rsidRDefault="00E346BC" w:rsidP="00245F6F">
      <w:pPr>
        <w:pBdr>
          <w:top w:val="single" w:sz="4" w:space="0" w:color="auto"/>
          <w:left w:val="single" w:sz="4" w:space="5" w:color="auto"/>
          <w:bottom w:val="single" w:sz="4" w:space="1" w:color="auto"/>
          <w:right w:val="single" w:sz="4" w:space="1" w:color="auto"/>
        </w:pBdr>
        <w:rPr>
          <w:rFonts w:ascii="Arial" w:hAnsi="Arial" w:cs="Arial"/>
          <w:sz w:val="22"/>
          <w:szCs w:val="22"/>
        </w:rPr>
      </w:pPr>
    </w:p>
    <w:p w14:paraId="2310CB9C" w14:textId="77777777" w:rsidR="00B07502" w:rsidRPr="00E346BC" w:rsidRDefault="00E346BC" w:rsidP="00E346BC">
      <w:pPr>
        <w:numPr>
          <w:ilvl w:val="0"/>
          <w:numId w:val="37"/>
        </w:numPr>
        <w:pBdr>
          <w:top w:val="single" w:sz="4" w:space="0" w:color="auto"/>
          <w:left w:val="single" w:sz="4" w:space="5" w:color="auto"/>
          <w:bottom w:val="single" w:sz="4" w:space="1" w:color="auto"/>
          <w:right w:val="single" w:sz="4" w:space="1" w:color="auto"/>
        </w:pBdr>
        <w:rPr>
          <w:rFonts w:ascii="Arial" w:hAnsi="Arial" w:cs="Arial"/>
          <w:sz w:val="22"/>
          <w:szCs w:val="22"/>
        </w:rPr>
      </w:pPr>
      <w:r w:rsidRPr="00E346BC">
        <w:rPr>
          <w:rFonts w:ascii="Arial" w:hAnsi="Arial" w:cs="Arial"/>
          <w:sz w:val="22"/>
          <w:szCs w:val="22"/>
        </w:rPr>
        <w:t>Sets out the background to the school funding formula for the period 2018-19 to 2020-21.</w:t>
      </w:r>
    </w:p>
    <w:p w14:paraId="565FF3D1" w14:textId="77777777" w:rsidR="00E346BC" w:rsidRPr="00E346BC" w:rsidRDefault="00E346BC" w:rsidP="00E346BC">
      <w:pPr>
        <w:numPr>
          <w:ilvl w:val="0"/>
          <w:numId w:val="37"/>
        </w:numPr>
        <w:pBdr>
          <w:top w:val="single" w:sz="4" w:space="0" w:color="auto"/>
          <w:left w:val="single" w:sz="4" w:space="5" w:color="auto"/>
          <w:bottom w:val="single" w:sz="4" w:space="1" w:color="auto"/>
          <w:right w:val="single" w:sz="4" w:space="1" w:color="auto"/>
        </w:pBdr>
        <w:rPr>
          <w:rFonts w:ascii="Arial" w:hAnsi="Arial" w:cs="Arial"/>
          <w:sz w:val="22"/>
          <w:szCs w:val="22"/>
        </w:rPr>
      </w:pPr>
      <w:r w:rsidRPr="00E346BC">
        <w:rPr>
          <w:rFonts w:ascii="Arial" w:hAnsi="Arial" w:cs="Arial"/>
          <w:sz w:val="22"/>
          <w:szCs w:val="22"/>
        </w:rPr>
        <w:t>Looks at the current Tower Hamlets funding formula.</w:t>
      </w:r>
    </w:p>
    <w:p w14:paraId="3A197217" w14:textId="77777777" w:rsidR="00E346BC" w:rsidRDefault="00E346BC" w:rsidP="00E346BC">
      <w:pPr>
        <w:numPr>
          <w:ilvl w:val="0"/>
          <w:numId w:val="37"/>
        </w:numPr>
        <w:pBdr>
          <w:top w:val="single" w:sz="4" w:space="0" w:color="auto"/>
          <w:left w:val="single" w:sz="4" w:space="5" w:color="auto"/>
          <w:bottom w:val="single" w:sz="4" w:space="1" w:color="auto"/>
          <w:right w:val="single" w:sz="4" w:space="1" w:color="auto"/>
        </w:pBdr>
        <w:rPr>
          <w:rFonts w:ascii="Arial" w:hAnsi="Arial" w:cs="Arial"/>
          <w:sz w:val="22"/>
          <w:szCs w:val="22"/>
        </w:rPr>
      </w:pPr>
      <w:r w:rsidRPr="00E346BC">
        <w:rPr>
          <w:rFonts w:ascii="Arial" w:hAnsi="Arial" w:cs="Arial"/>
          <w:sz w:val="22"/>
          <w:szCs w:val="22"/>
        </w:rPr>
        <w:t xml:space="preserve">Outlines the resources for </w:t>
      </w:r>
      <w:r>
        <w:rPr>
          <w:rFonts w:ascii="Arial" w:hAnsi="Arial" w:cs="Arial"/>
          <w:sz w:val="22"/>
          <w:szCs w:val="22"/>
        </w:rPr>
        <w:t>2019-20.</w:t>
      </w:r>
    </w:p>
    <w:p w14:paraId="7D3ABC09" w14:textId="77777777" w:rsidR="00E346BC" w:rsidRDefault="00E346BC" w:rsidP="00E346BC">
      <w:pPr>
        <w:numPr>
          <w:ilvl w:val="0"/>
          <w:numId w:val="37"/>
        </w:numPr>
        <w:pBdr>
          <w:top w:val="single" w:sz="4" w:space="0" w:color="auto"/>
          <w:left w:val="single" w:sz="4" w:space="5" w:color="auto"/>
          <w:bottom w:val="single" w:sz="4" w:space="1" w:color="auto"/>
          <w:right w:val="single" w:sz="4" w:space="1" w:color="auto"/>
        </w:pBdr>
        <w:rPr>
          <w:rFonts w:ascii="Arial" w:hAnsi="Arial" w:cs="Arial"/>
          <w:sz w:val="22"/>
          <w:szCs w:val="22"/>
        </w:rPr>
      </w:pPr>
      <w:r>
        <w:rPr>
          <w:rFonts w:ascii="Arial" w:hAnsi="Arial" w:cs="Arial"/>
          <w:sz w:val="22"/>
          <w:szCs w:val="22"/>
        </w:rPr>
        <w:t>Looks at options for the funding formula for 2019-20.</w:t>
      </w:r>
    </w:p>
    <w:p w14:paraId="514CA3BF" w14:textId="77777777" w:rsidR="00E346BC" w:rsidRDefault="00E346BC" w:rsidP="00E346BC">
      <w:pPr>
        <w:numPr>
          <w:ilvl w:val="0"/>
          <w:numId w:val="37"/>
        </w:numPr>
        <w:pBdr>
          <w:top w:val="single" w:sz="4" w:space="0" w:color="auto"/>
          <w:left w:val="single" w:sz="4" w:space="5" w:color="auto"/>
          <w:bottom w:val="single" w:sz="4" w:space="1" w:color="auto"/>
          <w:right w:val="single" w:sz="4" w:space="1" w:color="auto"/>
        </w:pBdr>
        <w:rPr>
          <w:rFonts w:ascii="Arial" w:hAnsi="Arial" w:cs="Arial"/>
          <w:sz w:val="22"/>
          <w:szCs w:val="22"/>
        </w:rPr>
      </w:pPr>
      <w:r>
        <w:rPr>
          <w:rFonts w:ascii="Arial" w:hAnsi="Arial" w:cs="Arial"/>
          <w:sz w:val="22"/>
          <w:szCs w:val="22"/>
        </w:rPr>
        <w:t>Makes a recommendation on the formula to be used for 2019-20.</w:t>
      </w:r>
    </w:p>
    <w:p w14:paraId="0432C79B" w14:textId="77777777" w:rsidR="00E346BC" w:rsidRPr="00E346BC" w:rsidRDefault="00E346BC" w:rsidP="00E346BC">
      <w:pPr>
        <w:numPr>
          <w:ilvl w:val="0"/>
          <w:numId w:val="37"/>
        </w:numPr>
        <w:pBdr>
          <w:top w:val="single" w:sz="4" w:space="0" w:color="auto"/>
          <w:left w:val="single" w:sz="4" w:space="5" w:color="auto"/>
          <w:bottom w:val="single" w:sz="4" w:space="1" w:color="auto"/>
          <w:right w:val="single" w:sz="4" w:space="1" w:color="auto"/>
        </w:pBdr>
        <w:rPr>
          <w:rFonts w:ascii="Arial" w:hAnsi="Arial" w:cs="Arial"/>
          <w:sz w:val="22"/>
          <w:szCs w:val="22"/>
        </w:rPr>
      </w:pPr>
      <w:r>
        <w:rPr>
          <w:rFonts w:ascii="Arial" w:hAnsi="Arial" w:cs="Arial"/>
          <w:sz w:val="22"/>
          <w:szCs w:val="22"/>
        </w:rPr>
        <w:t>Sets out the proposed document for consultation with schools.</w:t>
      </w:r>
    </w:p>
    <w:p w14:paraId="2B204A65" w14:textId="77777777" w:rsidR="00D548E4" w:rsidRDefault="00D548E4"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p>
    <w:p w14:paraId="10D2CA4E" w14:textId="77777777" w:rsidR="00112AFD" w:rsidRDefault="00112AFD" w:rsidP="00112AFD">
      <w:pPr>
        <w:rPr>
          <w:rFonts w:ascii="Arial" w:hAnsi="Arial" w:cs="Arial"/>
          <w:sz w:val="24"/>
          <w:szCs w:val="24"/>
        </w:rPr>
      </w:pPr>
    </w:p>
    <w:p w14:paraId="01A7BC00" w14:textId="77777777" w:rsidR="00112AFD" w:rsidRPr="00D548E4" w:rsidRDefault="00112AFD" w:rsidP="00245F6F">
      <w:pPr>
        <w:pBdr>
          <w:top w:val="single" w:sz="4" w:space="0" w:color="auto"/>
          <w:left w:val="single" w:sz="4" w:space="5" w:color="auto"/>
          <w:bottom w:val="single" w:sz="4" w:space="1" w:color="auto"/>
          <w:right w:val="single" w:sz="4" w:space="1" w:color="auto"/>
        </w:pBdr>
        <w:rPr>
          <w:rFonts w:ascii="Arial" w:hAnsi="Arial" w:cs="Arial"/>
          <w:b/>
        </w:rPr>
      </w:pPr>
      <w:r w:rsidRPr="00D548E4">
        <w:rPr>
          <w:rFonts w:ascii="Arial" w:hAnsi="Arial" w:cs="Arial"/>
          <w:b/>
        </w:rPr>
        <w:t>Action Required</w:t>
      </w:r>
      <w:r w:rsidR="00D548E4">
        <w:rPr>
          <w:rFonts w:ascii="Arial" w:hAnsi="Arial" w:cs="Arial"/>
          <w:b/>
        </w:rPr>
        <w:t>:</w:t>
      </w:r>
    </w:p>
    <w:p w14:paraId="1AE3FF2E" w14:textId="77777777" w:rsidR="00112AFD" w:rsidRDefault="00112AFD" w:rsidP="00245F6F">
      <w:pPr>
        <w:pBdr>
          <w:top w:val="single" w:sz="4" w:space="0" w:color="auto"/>
          <w:left w:val="single" w:sz="4" w:space="5" w:color="auto"/>
          <w:bottom w:val="single" w:sz="4" w:space="1" w:color="auto"/>
          <w:right w:val="single" w:sz="4" w:space="1" w:color="auto"/>
        </w:pBdr>
        <w:rPr>
          <w:rFonts w:ascii="Arial" w:hAnsi="Arial" w:cs="Arial"/>
          <w:sz w:val="24"/>
          <w:szCs w:val="24"/>
        </w:rPr>
      </w:pPr>
    </w:p>
    <w:p w14:paraId="37C13D83" w14:textId="77777777" w:rsidR="00866682" w:rsidRDefault="00866682" w:rsidP="00866682">
      <w:pPr>
        <w:pBdr>
          <w:top w:val="single" w:sz="4" w:space="0" w:color="auto"/>
          <w:left w:val="single" w:sz="4" w:space="5" w:color="auto"/>
          <w:bottom w:val="single" w:sz="4" w:space="1" w:color="auto"/>
          <w:right w:val="single" w:sz="4" w:space="1" w:color="auto"/>
        </w:pBdr>
        <w:rPr>
          <w:rFonts w:ascii="Arial" w:hAnsi="Arial" w:cs="Arial"/>
          <w:sz w:val="24"/>
          <w:lang w:val="en-US"/>
        </w:rPr>
      </w:pPr>
      <w:r>
        <w:rPr>
          <w:rFonts w:ascii="Arial" w:hAnsi="Arial" w:cs="Arial"/>
          <w:sz w:val="24"/>
          <w:szCs w:val="24"/>
        </w:rPr>
        <w:t>Schools Forum is invited to comment of the proposed funding formula for 2019-20 and the document for consulting with schools.</w:t>
      </w:r>
    </w:p>
    <w:p w14:paraId="0B61999B" w14:textId="77777777" w:rsidR="00B07502" w:rsidRPr="00B07502" w:rsidRDefault="00B07502" w:rsidP="008B0F37">
      <w:pPr>
        <w:pBdr>
          <w:top w:val="single" w:sz="4" w:space="0" w:color="auto"/>
          <w:left w:val="single" w:sz="4" w:space="5" w:color="auto"/>
          <w:bottom w:val="single" w:sz="4" w:space="1" w:color="auto"/>
          <w:right w:val="single" w:sz="4" w:space="1" w:color="auto"/>
        </w:pBdr>
        <w:rPr>
          <w:rFonts w:ascii="Arial" w:hAnsi="Arial" w:cs="Arial"/>
          <w:sz w:val="24"/>
          <w:szCs w:val="24"/>
        </w:rPr>
      </w:pPr>
    </w:p>
    <w:p w14:paraId="3A4E845C" w14:textId="77777777" w:rsidR="00476000" w:rsidRPr="004C13B7" w:rsidRDefault="00476000" w:rsidP="00476000">
      <w:pPr>
        <w:rPr>
          <w:rFonts w:ascii="Arial" w:hAnsi="Arial" w:cs="Arial"/>
        </w:rPr>
      </w:pPr>
    </w:p>
    <w:p w14:paraId="713887F9" w14:textId="77777777" w:rsidR="00920CD6" w:rsidRPr="00D81074" w:rsidRDefault="00112AFD" w:rsidP="00D81074">
      <w:pPr>
        <w:pStyle w:val="BodyTextIndent"/>
        <w:tabs>
          <w:tab w:val="clear" w:pos="360"/>
        </w:tabs>
        <w:ind w:left="0" w:firstLine="0"/>
        <w:jc w:val="both"/>
        <w:rPr>
          <w:sz w:val="24"/>
        </w:rPr>
      </w:pPr>
      <w:r>
        <w:rPr>
          <w:sz w:val="24"/>
        </w:rPr>
        <w:br w:type="page"/>
      </w:r>
    </w:p>
    <w:p w14:paraId="20C55165" w14:textId="77777777" w:rsidR="00D81074" w:rsidRPr="00D81074" w:rsidRDefault="002D5ADE" w:rsidP="00D81074">
      <w:pPr>
        <w:numPr>
          <w:ilvl w:val="0"/>
          <w:numId w:val="4"/>
        </w:numPr>
        <w:tabs>
          <w:tab w:val="clear" w:pos="360"/>
          <w:tab w:val="num" w:pos="709"/>
        </w:tabs>
        <w:spacing w:before="60" w:after="60"/>
        <w:ind w:left="709" w:hanging="709"/>
        <w:jc w:val="both"/>
        <w:rPr>
          <w:rFonts w:ascii="Arial" w:hAnsi="Arial"/>
          <w:b/>
          <w:sz w:val="22"/>
          <w:szCs w:val="22"/>
        </w:rPr>
      </w:pPr>
      <w:r w:rsidRPr="002A6338">
        <w:rPr>
          <w:rFonts w:ascii="Arial" w:hAnsi="Arial"/>
          <w:b/>
          <w:sz w:val="22"/>
          <w:szCs w:val="22"/>
        </w:rPr>
        <w:lastRenderedPageBreak/>
        <w:t>BACKGROUND</w:t>
      </w:r>
      <w:r w:rsidR="00D81074" w:rsidRPr="002A6338">
        <w:rPr>
          <w:rFonts w:ascii="Arial" w:hAnsi="Arial"/>
          <w:b/>
          <w:sz w:val="22"/>
          <w:szCs w:val="22"/>
        </w:rPr>
        <w:t>.</w:t>
      </w:r>
    </w:p>
    <w:p w14:paraId="4CD065EF" w14:textId="77777777" w:rsidR="0023133A" w:rsidRPr="0023133A" w:rsidRDefault="00D81074" w:rsidP="006541FC">
      <w:pPr>
        <w:numPr>
          <w:ilvl w:val="1"/>
          <w:numId w:val="4"/>
        </w:numPr>
        <w:tabs>
          <w:tab w:val="clear" w:pos="360"/>
        </w:tabs>
        <w:spacing w:before="60" w:after="60"/>
        <w:ind w:left="709" w:hanging="567"/>
        <w:jc w:val="both"/>
        <w:rPr>
          <w:rFonts w:ascii="Arial" w:hAnsi="Arial"/>
          <w:b/>
          <w:sz w:val="22"/>
          <w:szCs w:val="22"/>
          <w:lang w:eastAsia="en-GB"/>
        </w:rPr>
      </w:pPr>
      <w:r w:rsidRPr="00D81074">
        <w:rPr>
          <w:rFonts w:ascii="Arial" w:hAnsi="Arial"/>
          <w:sz w:val="22"/>
          <w:szCs w:val="22"/>
          <w:lang w:eastAsia="en-GB"/>
        </w:rPr>
        <w:t xml:space="preserve">The National Funding Formula (NFF) </w:t>
      </w:r>
      <w:r w:rsidR="007C340C">
        <w:rPr>
          <w:rFonts w:ascii="Arial" w:hAnsi="Arial"/>
          <w:sz w:val="22"/>
          <w:szCs w:val="22"/>
          <w:lang w:eastAsia="en-GB"/>
        </w:rPr>
        <w:t xml:space="preserve">applies a standard </w:t>
      </w:r>
      <w:r w:rsidR="006541FC">
        <w:rPr>
          <w:rFonts w:ascii="Arial" w:hAnsi="Arial"/>
          <w:sz w:val="22"/>
          <w:szCs w:val="22"/>
          <w:lang w:eastAsia="en-GB"/>
        </w:rPr>
        <w:t>formula to allocate money to all schools in England. It</w:t>
      </w:r>
      <w:r w:rsidR="0023133A">
        <w:rPr>
          <w:rFonts w:ascii="Arial" w:hAnsi="Arial"/>
          <w:sz w:val="22"/>
          <w:szCs w:val="22"/>
          <w:lang w:eastAsia="en-GB"/>
        </w:rPr>
        <w:t xml:space="preserve"> contains</w:t>
      </w:r>
      <w:r w:rsidR="006541FC">
        <w:rPr>
          <w:rFonts w:ascii="Arial" w:hAnsi="Arial"/>
          <w:sz w:val="22"/>
          <w:szCs w:val="22"/>
          <w:lang w:eastAsia="en-GB"/>
        </w:rPr>
        <w:t xml:space="preserve"> a range of factors with fixed factor values that are applied to the characteristics of a school and its</w:t>
      </w:r>
      <w:r w:rsidR="0023133A">
        <w:rPr>
          <w:rFonts w:ascii="Arial" w:hAnsi="Arial"/>
          <w:sz w:val="22"/>
          <w:szCs w:val="22"/>
          <w:lang w:eastAsia="en-GB"/>
        </w:rPr>
        <w:t xml:space="preserve"> pupils. An Area Cost Adjustment (ACA) is applied to the factor values to reflect the higher costs found in some parts of the country. The NFF was </w:t>
      </w:r>
      <w:r w:rsidR="0023133A" w:rsidRPr="00D81074">
        <w:rPr>
          <w:rFonts w:ascii="Arial" w:hAnsi="Arial"/>
          <w:sz w:val="22"/>
          <w:szCs w:val="22"/>
          <w:lang w:eastAsia="en-GB"/>
        </w:rPr>
        <w:t>introduced in 2018-19.</w:t>
      </w:r>
    </w:p>
    <w:p w14:paraId="71E35E48" w14:textId="77777777" w:rsidR="006541FC" w:rsidRPr="006541FC" w:rsidRDefault="00907A2C" w:rsidP="006541FC">
      <w:pPr>
        <w:numPr>
          <w:ilvl w:val="1"/>
          <w:numId w:val="4"/>
        </w:numPr>
        <w:tabs>
          <w:tab w:val="clear" w:pos="360"/>
        </w:tabs>
        <w:spacing w:before="60" w:after="60"/>
        <w:ind w:left="709" w:hanging="567"/>
        <w:jc w:val="both"/>
        <w:rPr>
          <w:rFonts w:ascii="Arial" w:hAnsi="Arial"/>
          <w:b/>
          <w:sz w:val="22"/>
          <w:szCs w:val="22"/>
          <w:lang w:eastAsia="en-GB"/>
        </w:rPr>
      </w:pPr>
      <w:r>
        <w:rPr>
          <w:rFonts w:ascii="Arial" w:hAnsi="Arial"/>
          <w:sz w:val="22"/>
          <w:szCs w:val="22"/>
          <w:lang w:eastAsia="en-GB"/>
        </w:rPr>
        <w:t>The NFF is being</w:t>
      </w:r>
      <w:r w:rsidR="00F70066">
        <w:rPr>
          <w:rFonts w:ascii="Arial" w:hAnsi="Arial"/>
          <w:sz w:val="22"/>
          <w:szCs w:val="22"/>
          <w:lang w:eastAsia="en-GB"/>
        </w:rPr>
        <w:t xml:space="preserve"> phased in</w:t>
      </w:r>
      <w:r w:rsidR="00E7578A">
        <w:rPr>
          <w:rFonts w:ascii="Arial" w:hAnsi="Arial"/>
          <w:sz w:val="22"/>
          <w:szCs w:val="22"/>
          <w:lang w:eastAsia="en-GB"/>
        </w:rPr>
        <w:t xml:space="preserve"> with the initial years using</w:t>
      </w:r>
      <w:r w:rsidR="00F70066">
        <w:rPr>
          <w:rFonts w:ascii="Arial" w:hAnsi="Arial"/>
          <w:sz w:val="22"/>
          <w:szCs w:val="22"/>
          <w:lang w:eastAsia="en-GB"/>
        </w:rPr>
        <w:t xml:space="preserve"> a ‘soft’ formula; that is each Local Authority (LA) receives t</w:t>
      </w:r>
      <w:r w:rsidR="002750C5">
        <w:rPr>
          <w:rFonts w:ascii="Arial" w:hAnsi="Arial"/>
          <w:sz w:val="22"/>
          <w:szCs w:val="22"/>
          <w:lang w:eastAsia="en-GB"/>
        </w:rPr>
        <w:t>he sum of the NFF allocations for</w:t>
      </w:r>
      <w:r w:rsidR="00F70066">
        <w:rPr>
          <w:rFonts w:ascii="Arial" w:hAnsi="Arial"/>
          <w:sz w:val="22"/>
          <w:szCs w:val="22"/>
          <w:lang w:eastAsia="en-GB"/>
        </w:rPr>
        <w:t xml:space="preserve"> the schools</w:t>
      </w:r>
      <w:r w:rsidR="00EB1924">
        <w:rPr>
          <w:rStyle w:val="FootnoteReference"/>
          <w:rFonts w:ascii="Arial" w:hAnsi="Arial"/>
          <w:sz w:val="22"/>
          <w:szCs w:val="22"/>
          <w:lang w:eastAsia="en-GB"/>
        </w:rPr>
        <w:footnoteReference w:id="1"/>
      </w:r>
      <w:r w:rsidR="00F70066">
        <w:rPr>
          <w:rFonts w:ascii="Arial" w:hAnsi="Arial"/>
          <w:sz w:val="22"/>
          <w:szCs w:val="22"/>
          <w:lang w:eastAsia="en-GB"/>
        </w:rPr>
        <w:t xml:space="preserve"> in its area (including transiti</w:t>
      </w:r>
      <w:r w:rsidR="00565F7C">
        <w:rPr>
          <w:rFonts w:ascii="Arial" w:hAnsi="Arial"/>
          <w:sz w:val="22"/>
          <w:szCs w:val="22"/>
          <w:lang w:eastAsia="en-GB"/>
        </w:rPr>
        <w:t xml:space="preserve">onal protection). </w:t>
      </w:r>
      <w:r w:rsidR="00F70066">
        <w:rPr>
          <w:rFonts w:ascii="Arial" w:hAnsi="Arial"/>
          <w:sz w:val="22"/>
          <w:szCs w:val="22"/>
          <w:lang w:eastAsia="en-GB"/>
        </w:rPr>
        <w:t>The LA then decides how the money is allocated to schools</w:t>
      </w:r>
      <w:r w:rsidR="002750C5">
        <w:rPr>
          <w:rFonts w:ascii="Arial" w:hAnsi="Arial"/>
          <w:sz w:val="22"/>
          <w:szCs w:val="22"/>
          <w:lang w:eastAsia="en-GB"/>
        </w:rPr>
        <w:t>,</w:t>
      </w:r>
      <w:r w:rsidR="00F70066">
        <w:rPr>
          <w:rFonts w:ascii="Arial" w:hAnsi="Arial"/>
          <w:sz w:val="22"/>
          <w:szCs w:val="22"/>
          <w:lang w:eastAsia="en-GB"/>
        </w:rPr>
        <w:t xml:space="preserve"> after consulting with its schools and schools forum.</w:t>
      </w:r>
      <w:r w:rsidR="006541FC">
        <w:rPr>
          <w:rFonts w:ascii="Arial" w:hAnsi="Arial"/>
          <w:b/>
          <w:sz w:val="22"/>
          <w:szCs w:val="22"/>
          <w:lang w:eastAsia="en-GB"/>
        </w:rPr>
        <w:t xml:space="preserve"> </w:t>
      </w:r>
      <w:r w:rsidR="00EB1924" w:rsidRPr="006541FC">
        <w:rPr>
          <w:rFonts w:ascii="Arial" w:hAnsi="Arial"/>
          <w:sz w:val="22"/>
          <w:szCs w:val="22"/>
          <w:lang w:eastAsia="en-GB"/>
        </w:rPr>
        <w:t xml:space="preserve">The ‘soft’ formula was originally planned for </w:t>
      </w:r>
      <w:r w:rsidR="00D81074" w:rsidRPr="006541FC">
        <w:rPr>
          <w:rFonts w:ascii="Arial" w:hAnsi="Arial"/>
          <w:sz w:val="22"/>
          <w:szCs w:val="22"/>
          <w:lang w:eastAsia="en-GB"/>
        </w:rPr>
        <w:t>2018-19 and 20</w:t>
      </w:r>
      <w:r w:rsidR="003D2B60" w:rsidRPr="006541FC">
        <w:rPr>
          <w:rFonts w:ascii="Arial" w:hAnsi="Arial"/>
          <w:sz w:val="22"/>
          <w:szCs w:val="22"/>
          <w:lang w:eastAsia="en-GB"/>
        </w:rPr>
        <w:t xml:space="preserve">19-20 </w:t>
      </w:r>
      <w:r w:rsidR="00EB1924" w:rsidRPr="006541FC">
        <w:rPr>
          <w:rFonts w:ascii="Arial" w:hAnsi="Arial"/>
          <w:sz w:val="22"/>
          <w:szCs w:val="22"/>
          <w:lang w:eastAsia="en-GB"/>
        </w:rPr>
        <w:t>only</w:t>
      </w:r>
      <w:r w:rsidR="00DB498E" w:rsidRPr="006541FC">
        <w:rPr>
          <w:rFonts w:ascii="Arial" w:hAnsi="Arial"/>
          <w:sz w:val="22"/>
          <w:szCs w:val="22"/>
          <w:lang w:eastAsia="en-GB"/>
        </w:rPr>
        <w:t>,</w:t>
      </w:r>
      <w:r w:rsidR="00EB1924" w:rsidRPr="006541FC">
        <w:rPr>
          <w:rFonts w:ascii="Arial" w:hAnsi="Arial"/>
          <w:sz w:val="22"/>
          <w:szCs w:val="22"/>
          <w:lang w:eastAsia="en-GB"/>
        </w:rPr>
        <w:t xml:space="preserve"> with a </w:t>
      </w:r>
      <w:r w:rsidR="00DB498E" w:rsidRPr="006541FC">
        <w:rPr>
          <w:rFonts w:ascii="Arial" w:hAnsi="Arial"/>
          <w:sz w:val="22"/>
          <w:szCs w:val="22"/>
          <w:lang w:eastAsia="en-GB"/>
        </w:rPr>
        <w:t>‘</w:t>
      </w:r>
      <w:r w:rsidR="00EB1924" w:rsidRPr="006541FC">
        <w:rPr>
          <w:rFonts w:ascii="Arial" w:hAnsi="Arial"/>
          <w:sz w:val="22"/>
          <w:szCs w:val="22"/>
          <w:lang w:eastAsia="en-GB"/>
        </w:rPr>
        <w:t>hard</w:t>
      </w:r>
      <w:r w:rsidR="00DB498E" w:rsidRPr="006541FC">
        <w:rPr>
          <w:rFonts w:ascii="Arial" w:hAnsi="Arial"/>
          <w:sz w:val="22"/>
          <w:szCs w:val="22"/>
          <w:lang w:eastAsia="en-GB"/>
        </w:rPr>
        <w:t>’</w:t>
      </w:r>
      <w:r w:rsidR="00EB1924" w:rsidRPr="006541FC">
        <w:rPr>
          <w:rFonts w:ascii="Arial" w:hAnsi="Arial"/>
          <w:sz w:val="22"/>
          <w:szCs w:val="22"/>
          <w:lang w:eastAsia="en-GB"/>
        </w:rPr>
        <w:t xml:space="preserve"> formula</w:t>
      </w:r>
      <w:r w:rsidR="00DB498E" w:rsidRPr="006541FC">
        <w:rPr>
          <w:rFonts w:ascii="Arial" w:hAnsi="Arial"/>
          <w:sz w:val="22"/>
          <w:szCs w:val="22"/>
          <w:lang w:eastAsia="en-GB"/>
        </w:rPr>
        <w:t xml:space="preserve">, without local input, to be implemented in 2020-21. </w:t>
      </w:r>
    </w:p>
    <w:p w14:paraId="3AA4F5E7" w14:textId="77777777" w:rsidR="00476C66" w:rsidRPr="006541FC" w:rsidRDefault="006F21D4" w:rsidP="00E45F56">
      <w:pPr>
        <w:numPr>
          <w:ilvl w:val="1"/>
          <w:numId w:val="4"/>
        </w:numPr>
        <w:tabs>
          <w:tab w:val="clear" w:pos="360"/>
        </w:tabs>
        <w:spacing w:before="60" w:after="60"/>
        <w:ind w:left="709" w:hanging="567"/>
        <w:jc w:val="both"/>
        <w:rPr>
          <w:rFonts w:ascii="Arial" w:hAnsi="Arial"/>
          <w:sz w:val="22"/>
          <w:szCs w:val="22"/>
          <w:lang w:eastAsia="en-GB"/>
        </w:rPr>
      </w:pPr>
      <w:r w:rsidRPr="006541FC">
        <w:rPr>
          <w:rFonts w:ascii="Arial" w:hAnsi="Arial"/>
          <w:sz w:val="22"/>
          <w:szCs w:val="22"/>
          <w:lang w:eastAsia="en-GB"/>
        </w:rPr>
        <w:t xml:space="preserve">The DfE’s planned phasing included transitional arrangements to protect individual school budgets from significant year-on-year changes. </w:t>
      </w:r>
      <w:r w:rsidR="00476C66" w:rsidRPr="006541FC">
        <w:rPr>
          <w:rFonts w:ascii="Arial" w:hAnsi="Arial"/>
          <w:sz w:val="22"/>
          <w:szCs w:val="22"/>
          <w:lang w:eastAsia="en-GB"/>
        </w:rPr>
        <w:t xml:space="preserve">These arrangements were enhanced when the </w:t>
      </w:r>
      <w:r w:rsidR="003D2B60" w:rsidRPr="006541FC">
        <w:rPr>
          <w:rFonts w:ascii="Arial" w:hAnsi="Arial"/>
          <w:sz w:val="22"/>
          <w:szCs w:val="22"/>
          <w:lang w:eastAsia="en-GB"/>
        </w:rPr>
        <w:t>2017</w:t>
      </w:r>
      <w:r w:rsidR="00D81074" w:rsidRPr="006541FC">
        <w:rPr>
          <w:rFonts w:ascii="Arial" w:hAnsi="Arial"/>
          <w:sz w:val="22"/>
          <w:szCs w:val="22"/>
          <w:lang w:eastAsia="en-GB"/>
        </w:rPr>
        <w:t xml:space="preserve"> general election</w:t>
      </w:r>
      <w:r w:rsidR="00476C66" w:rsidRPr="006541FC">
        <w:rPr>
          <w:rFonts w:ascii="Arial" w:hAnsi="Arial"/>
          <w:sz w:val="22"/>
          <w:szCs w:val="22"/>
          <w:lang w:eastAsia="en-GB"/>
        </w:rPr>
        <w:t xml:space="preserve"> led the Government to find</w:t>
      </w:r>
      <w:r w:rsidR="00D81074" w:rsidRPr="006541FC">
        <w:rPr>
          <w:rFonts w:ascii="Arial" w:hAnsi="Arial"/>
          <w:sz w:val="22"/>
          <w:szCs w:val="22"/>
          <w:lang w:eastAsia="en-GB"/>
        </w:rPr>
        <w:t xml:space="preserve"> additional resources for schools</w:t>
      </w:r>
      <w:r w:rsidR="002750C5">
        <w:rPr>
          <w:rFonts w:ascii="Arial" w:hAnsi="Arial"/>
          <w:sz w:val="22"/>
          <w:szCs w:val="22"/>
          <w:lang w:eastAsia="en-GB"/>
        </w:rPr>
        <w:t>.</w:t>
      </w:r>
      <w:r w:rsidR="00D81074" w:rsidRPr="006541FC">
        <w:rPr>
          <w:rFonts w:ascii="Arial" w:hAnsi="Arial"/>
          <w:sz w:val="22"/>
          <w:szCs w:val="22"/>
          <w:lang w:eastAsia="en-GB"/>
        </w:rPr>
        <w:t xml:space="preserve"> </w:t>
      </w:r>
      <w:r w:rsidR="00476C66" w:rsidRPr="006541FC">
        <w:rPr>
          <w:rFonts w:ascii="Arial" w:hAnsi="Arial"/>
          <w:sz w:val="22"/>
          <w:szCs w:val="22"/>
          <w:lang w:eastAsia="en-GB"/>
        </w:rPr>
        <w:t xml:space="preserve">These </w:t>
      </w:r>
      <w:r w:rsidR="00D81074" w:rsidRPr="006541FC">
        <w:rPr>
          <w:rFonts w:ascii="Arial" w:hAnsi="Arial"/>
          <w:sz w:val="22"/>
          <w:szCs w:val="22"/>
          <w:lang w:eastAsia="en-GB"/>
        </w:rPr>
        <w:t>allow</w:t>
      </w:r>
      <w:r w:rsidR="00476C66" w:rsidRPr="006541FC">
        <w:rPr>
          <w:rFonts w:ascii="Arial" w:hAnsi="Arial"/>
          <w:sz w:val="22"/>
          <w:szCs w:val="22"/>
          <w:lang w:eastAsia="en-GB"/>
        </w:rPr>
        <w:t>ed</w:t>
      </w:r>
      <w:r w:rsidR="00D81074" w:rsidRPr="006541FC">
        <w:rPr>
          <w:rFonts w:ascii="Arial" w:hAnsi="Arial"/>
          <w:sz w:val="22"/>
          <w:szCs w:val="22"/>
          <w:lang w:eastAsia="en-GB"/>
        </w:rPr>
        <w:t xml:space="preserve"> a 0.5% uplift per pupil in 2018-19 and a fu</w:t>
      </w:r>
      <w:r w:rsidR="00476C66" w:rsidRPr="006541FC">
        <w:rPr>
          <w:rFonts w:ascii="Arial" w:hAnsi="Arial"/>
          <w:sz w:val="22"/>
          <w:szCs w:val="22"/>
          <w:lang w:eastAsia="en-GB"/>
        </w:rPr>
        <w:t>rther 0.5% uplift in 2019-2020.</w:t>
      </w:r>
    </w:p>
    <w:p w14:paraId="657A8199" w14:textId="77777777" w:rsidR="00D81074" w:rsidRPr="00D81074" w:rsidRDefault="00610C92" w:rsidP="00E45F56">
      <w:pPr>
        <w:numPr>
          <w:ilvl w:val="1"/>
          <w:numId w:val="4"/>
        </w:numPr>
        <w:tabs>
          <w:tab w:val="clear" w:pos="360"/>
        </w:tabs>
        <w:spacing w:before="60" w:after="60"/>
        <w:ind w:left="709" w:hanging="567"/>
        <w:jc w:val="both"/>
        <w:rPr>
          <w:rFonts w:ascii="Arial" w:hAnsi="Arial"/>
          <w:sz w:val="22"/>
          <w:szCs w:val="22"/>
          <w:lang w:eastAsia="en-GB"/>
        </w:rPr>
      </w:pPr>
      <w:r>
        <w:rPr>
          <w:rFonts w:ascii="Arial" w:hAnsi="Arial"/>
          <w:sz w:val="22"/>
          <w:szCs w:val="22"/>
          <w:lang w:eastAsia="en-GB"/>
        </w:rPr>
        <w:t>Transitional protection for individual schools was generally through the Minimum Funding Guarantee (MFG). This had been set at -1.5% in recent years but t</w:t>
      </w:r>
      <w:r w:rsidR="00476C66">
        <w:rPr>
          <w:rFonts w:ascii="Arial" w:hAnsi="Arial"/>
          <w:sz w:val="22"/>
          <w:szCs w:val="22"/>
          <w:lang w:eastAsia="en-GB"/>
        </w:rPr>
        <w:t xml:space="preserve">he general increase in funding </w:t>
      </w:r>
      <w:r>
        <w:rPr>
          <w:rFonts w:ascii="Arial" w:hAnsi="Arial"/>
          <w:sz w:val="22"/>
          <w:szCs w:val="22"/>
          <w:lang w:eastAsia="en-GB"/>
        </w:rPr>
        <w:t>allowed the Education and Skills Funding Agency (ESFA) to give LAs discretion in setting a local MFG. To enable local funding formulae</w:t>
      </w:r>
      <w:r w:rsidR="00D81074" w:rsidRPr="00D81074">
        <w:rPr>
          <w:rFonts w:ascii="Arial" w:hAnsi="Arial"/>
          <w:sz w:val="22"/>
          <w:szCs w:val="22"/>
          <w:lang w:eastAsia="en-GB"/>
        </w:rPr>
        <w:t xml:space="preserve"> to approach </w:t>
      </w:r>
      <w:r>
        <w:rPr>
          <w:rFonts w:ascii="Arial" w:hAnsi="Arial"/>
          <w:sz w:val="22"/>
          <w:szCs w:val="22"/>
          <w:lang w:eastAsia="en-GB"/>
        </w:rPr>
        <w:t>the NFF as closely as possible</w:t>
      </w:r>
      <w:r w:rsidR="00D81074" w:rsidRPr="00D81074">
        <w:rPr>
          <w:rFonts w:ascii="Arial" w:hAnsi="Arial"/>
          <w:sz w:val="22"/>
          <w:szCs w:val="22"/>
          <w:lang w:eastAsia="en-GB"/>
        </w:rPr>
        <w:t>, LAs were allowed to set a MFG of between +0.5% and -1.5%. A LA is required to consult its schools and schools forum about proposed changes to the MFG.</w:t>
      </w:r>
    </w:p>
    <w:p w14:paraId="27CAACE4" w14:textId="77777777" w:rsidR="003D2B60" w:rsidRPr="002A6338" w:rsidRDefault="003D2B60" w:rsidP="003D2B60">
      <w:pPr>
        <w:ind w:left="1440"/>
        <w:contextualSpacing/>
        <w:rPr>
          <w:rFonts w:ascii="Arial" w:hAnsi="Arial"/>
          <w:sz w:val="22"/>
          <w:szCs w:val="22"/>
          <w:lang w:eastAsia="en-GB"/>
        </w:rPr>
      </w:pPr>
    </w:p>
    <w:p w14:paraId="2557664B" w14:textId="77777777" w:rsidR="00782CC6" w:rsidRPr="00E45F56" w:rsidRDefault="003D2B60" w:rsidP="00E45F56">
      <w:pPr>
        <w:numPr>
          <w:ilvl w:val="0"/>
          <w:numId w:val="4"/>
        </w:numPr>
        <w:tabs>
          <w:tab w:val="clear" w:pos="360"/>
          <w:tab w:val="num" w:pos="709"/>
        </w:tabs>
        <w:spacing w:before="60" w:after="60"/>
        <w:ind w:left="709" w:hanging="709"/>
        <w:jc w:val="both"/>
        <w:rPr>
          <w:rFonts w:ascii="Arial" w:hAnsi="Arial"/>
          <w:b/>
          <w:sz w:val="22"/>
          <w:szCs w:val="22"/>
          <w:lang w:eastAsia="en-GB"/>
        </w:rPr>
      </w:pPr>
      <w:r w:rsidRPr="002A6338">
        <w:rPr>
          <w:rFonts w:ascii="Arial" w:hAnsi="Arial"/>
          <w:b/>
          <w:sz w:val="22"/>
          <w:szCs w:val="22"/>
          <w:lang w:eastAsia="en-GB"/>
        </w:rPr>
        <w:t>RECENT CHANGES</w:t>
      </w:r>
      <w:r w:rsidR="00065DAD">
        <w:rPr>
          <w:rFonts w:ascii="Arial" w:hAnsi="Arial"/>
          <w:b/>
          <w:sz w:val="22"/>
          <w:szCs w:val="22"/>
          <w:lang w:eastAsia="en-GB"/>
        </w:rPr>
        <w:t xml:space="preserve"> – JULY 2018</w:t>
      </w:r>
      <w:r w:rsidRPr="002A6338">
        <w:rPr>
          <w:rFonts w:ascii="Arial" w:hAnsi="Arial"/>
          <w:b/>
          <w:sz w:val="22"/>
          <w:szCs w:val="22"/>
          <w:lang w:eastAsia="en-GB"/>
        </w:rPr>
        <w:t>.</w:t>
      </w:r>
    </w:p>
    <w:p w14:paraId="24FC1F51" w14:textId="77777777" w:rsidR="00740C60" w:rsidRDefault="00065DAD" w:rsidP="00DC14AE">
      <w:pPr>
        <w:numPr>
          <w:ilvl w:val="1"/>
          <w:numId w:val="4"/>
        </w:numPr>
        <w:tabs>
          <w:tab w:val="clear" w:pos="360"/>
        </w:tabs>
        <w:spacing w:before="60" w:after="60"/>
        <w:ind w:left="709" w:hanging="567"/>
        <w:jc w:val="both"/>
        <w:rPr>
          <w:rFonts w:ascii="Arial" w:hAnsi="Arial"/>
          <w:sz w:val="22"/>
          <w:szCs w:val="22"/>
          <w:lang w:eastAsia="en-GB"/>
        </w:rPr>
      </w:pPr>
      <w:r w:rsidRPr="00740C60">
        <w:rPr>
          <w:rFonts w:ascii="Arial" w:hAnsi="Arial"/>
          <w:sz w:val="22"/>
          <w:szCs w:val="22"/>
          <w:lang w:eastAsia="en-GB"/>
        </w:rPr>
        <w:t>The DfE</w:t>
      </w:r>
      <w:r w:rsidR="00782CC6" w:rsidRPr="00740C60">
        <w:rPr>
          <w:rFonts w:ascii="Arial" w:hAnsi="Arial"/>
          <w:sz w:val="22"/>
          <w:szCs w:val="22"/>
          <w:lang w:eastAsia="en-GB"/>
        </w:rPr>
        <w:t xml:space="preserve"> announced that the ‘soft’ </w:t>
      </w:r>
      <w:r w:rsidR="00740C60" w:rsidRPr="00740C60">
        <w:rPr>
          <w:rFonts w:ascii="Arial" w:hAnsi="Arial"/>
          <w:sz w:val="22"/>
          <w:szCs w:val="22"/>
          <w:lang w:eastAsia="en-GB"/>
        </w:rPr>
        <w:t xml:space="preserve">NFF </w:t>
      </w:r>
      <w:r w:rsidR="00782CC6" w:rsidRPr="00740C60">
        <w:rPr>
          <w:rFonts w:ascii="Arial" w:hAnsi="Arial"/>
          <w:sz w:val="22"/>
          <w:szCs w:val="22"/>
          <w:lang w:eastAsia="en-GB"/>
        </w:rPr>
        <w:t>arrangements would be extended to</w:t>
      </w:r>
      <w:r w:rsidR="00DC14AE" w:rsidRPr="00740C60">
        <w:rPr>
          <w:rFonts w:ascii="Arial" w:hAnsi="Arial"/>
          <w:sz w:val="22"/>
          <w:szCs w:val="22"/>
          <w:lang w:eastAsia="en-GB"/>
        </w:rPr>
        <w:t xml:space="preserve"> 2020-21. </w:t>
      </w:r>
    </w:p>
    <w:p w14:paraId="774A389E" w14:textId="77777777" w:rsidR="00065DAD" w:rsidRPr="00740C60" w:rsidRDefault="00065DAD" w:rsidP="00DC14AE">
      <w:pPr>
        <w:numPr>
          <w:ilvl w:val="1"/>
          <w:numId w:val="4"/>
        </w:numPr>
        <w:tabs>
          <w:tab w:val="clear" w:pos="360"/>
        </w:tabs>
        <w:spacing w:before="60" w:after="60"/>
        <w:ind w:left="709" w:hanging="567"/>
        <w:jc w:val="both"/>
        <w:rPr>
          <w:rFonts w:ascii="Arial" w:hAnsi="Arial"/>
          <w:sz w:val="22"/>
          <w:szCs w:val="22"/>
          <w:lang w:eastAsia="en-GB"/>
        </w:rPr>
      </w:pPr>
      <w:r w:rsidRPr="00740C60">
        <w:rPr>
          <w:rFonts w:ascii="Arial" w:hAnsi="Arial"/>
          <w:sz w:val="22"/>
          <w:szCs w:val="22"/>
          <w:lang w:eastAsia="en-GB"/>
        </w:rPr>
        <w:t>Indicative allocations were published for the 2019-20 Dedicated Schools Grant (DSG) together with indicative NFF allocation</w:t>
      </w:r>
      <w:r w:rsidR="00740C60">
        <w:rPr>
          <w:rFonts w:ascii="Arial" w:hAnsi="Arial"/>
          <w:sz w:val="22"/>
          <w:szCs w:val="22"/>
          <w:lang w:eastAsia="en-GB"/>
        </w:rPr>
        <w:t>s</w:t>
      </w:r>
      <w:r w:rsidRPr="00740C60">
        <w:rPr>
          <w:rFonts w:ascii="Arial" w:hAnsi="Arial"/>
          <w:sz w:val="22"/>
          <w:szCs w:val="22"/>
          <w:lang w:eastAsia="en-GB"/>
        </w:rPr>
        <w:t xml:space="preserve"> for individual schools. Because of the continu</w:t>
      </w:r>
      <w:r w:rsidR="00740C60">
        <w:rPr>
          <w:rFonts w:ascii="Arial" w:hAnsi="Arial"/>
          <w:sz w:val="22"/>
          <w:szCs w:val="22"/>
          <w:lang w:eastAsia="en-GB"/>
        </w:rPr>
        <w:t>ation of the local formula the latter</w:t>
      </w:r>
      <w:r w:rsidRPr="00740C60">
        <w:rPr>
          <w:rFonts w:ascii="Arial" w:hAnsi="Arial"/>
          <w:sz w:val="22"/>
          <w:szCs w:val="22"/>
          <w:lang w:eastAsia="en-GB"/>
        </w:rPr>
        <w:t xml:space="preserve"> will not be the actual allocations received</w:t>
      </w:r>
      <w:r w:rsidR="00740C60" w:rsidRPr="00740C60">
        <w:rPr>
          <w:rFonts w:ascii="Arial" w:hAnsi="Arial"/>
          <w:sz w:val="22"/>
          <w:szCs w:val="22"/>
          <w:lang w:eastAsia="en-GB"/>
        </w:rPr>
        <w:t xml:space="preserve"> by schools</w:t>
      </w:r>
      <w:r w:rsidRPr="00740C60">
        <w:rPr>
          <w:rFonts w:ascii="Arial" w:hAnsi="Arial"/>
          <w:sz w:val="22"/>
          <w:szCs w:val="22"/>
          <w:lang w:eastAsia="en-GB"/>
        </w:rPr>
        <w:t>. The Primary and Secondary Units of Funding (PUF and SUF) were included in the publication. These were applied to the October 2017 pupil data to calculate the indicative grant. The PUF and SUF values will not change but will be applied to the October 2018 pupil characteristics to calculate the final allocations in December 2018.</w:t>
      </w:r>
    </w:p>
    <w:p w14:paraId="756B0F90" w14:textId="77777777" w:rsidR="00740C60" w:rsidRDefault="00740C60" w:rsidP="00DC14AE">
      <w:pPr>
        <w:numPr>
          <w:ilvl w:val="1"/>
          <w:numId w:val="4"/>
        </w:numPr>
        <w:tabs>
          <w:tab w:val="clear" w:pos="360"/>
        </w:tabs>
        <w:spacing w:before="60" w:after="60"/>
        <w:ind w:left="709" w:hanging="567"/>
        <w:jc w:val="both"/>
        <w:rPr>
          <w:rFonts w:ascii="Arial" w:hAnsi="Arial"/>
          <w:sz w:val="22"/>
          <w:szCs w:val="22"/>
          <w:lang w:eastAsia="en-GB"/>
        </w:rPr>
      </w:pPr>
      <w:r>
        <w:rPr>
          <w:rFonts w:ascii="Arial" w:hAnsi="Arial"/>
          <w:sz w:val="22"/>
          <w:szCs w:val="22"/>
          <w:lang w:eastAsia="en-GB"/>
        </w:rPr>
        <w:t xml:space="preserve">An Authority Proforma Tool (APT) for modelling the 2019-20 budget shares was released. This was enhanced to allow LAs to include a 1% funding floor to replicate the two 0.5% per-pupil uplifts mentioned in Paragraph 1.3. </w:t>
      </w:r>
    </w:p>
    <w:p w14:paraId="2741056B" w14:textId="77777777" w:rsidR="00FF7E2A" w:rsidRPr="002A6338" w:rsidRDefault="00FF7E2A" w:rsidP="00DC14AE">
      <w:pPr>
        <w:numPr>
          <w:ilvl w:val="1"/>
          <w:numId w:val="4"/>
        </w:numPr>
        <w:tabs>
          <w:tab w:val="clear" w:pos="360"/>
        </w:tabs>
        <w:spacing w:before="60" w:after="60"/>
        <w:ind w:left="709" w:hanging="567"/>
        <w:jc w:val="both"/>
        <w:rPr>
          <w:rFonts w:ascii="Arial" w:hAnsi="Arial"/>
          <w:sz w:val="22"/>
          <w:szCs w:val="22"/>
          <w:lang w:eastAsia="en-GB"/>
        </w:rPr>
      </w:pPr>
      <w:r>
        <w:rPr>
          <w:rFonts w:ascii="Arial" w:hAnsi="Arial"/>
          <w:sz w:val="22"/>
          <w:szCs w:val="22"/>
          <w:lang w:eastAsia="en-GB"/>
        </w:rPr>
        <w:t xml:space="preserve">Also in July, the DfE published information on every LA’s local formula for 2018-19. </w:t>
      </w:r>
    </w:p>
    <w:p w14:paraId="0479A853" w14:textId="77777777" w:rsidR="004F1287" w:rsidRDefault="004F1287" w:rsidP="00E45F56">
      <w:pPr>
        <w:spacing w:before="60" w:after="60"/>
        <w:jc w:val="both"/>
        <w:rPr>
          <w:rFonts w:ascii="Arial" w:hAnsi="Arial"/>
          <w:sz w:val="22"/>
          <w:szCs w:val="22"/>
          <w:lang w:eastAsia="en-GB"/>
        </w:rPr>
      </w:pPr>
    </w:p>
    <w:p w14:paraId="4A3B3272" w14:textId="77777777" w:rsidR="00740C60" w:rsidRPr="002A6338" w:rsidRDefault="00740C60" w:rsidP="00E45F56">
      <w:pPr>
        <w:spacing w:before="60" w:after="60"/>
        <w:jc w:val="both"/>
        <w:rPr>
          <w:rFonts w:ascii="Arial" w:hAnsi="Arial"/>
          <w:sz w:val="22"/>
          <w:szCs w:val="22"/>
          <w:lang w:eastAsia="en-GB"/>
        </w:rPr>
      </w:pPr>
    </w:p>
    <w:p w14:paraId="5C0B2564" w14:textId="77777777" w:rsidR="004F1287" w:rsidRPr="00E45F56" w:rsidRDefault="004F1287" w:rsidP="002750C5">
      <w:pPr>
        <w:keepNext/>
        <w:numPr>
          <w:ilvl w:val="0"/>
          <w:numId w:val="4"/>
        </w:numPr>
        <w:tabs>
          <w:tab w:val="clear" w:pos="360"/>
        </w:tabs>
        <w:spacing w:before="60" w:after="60"/>
        <w:ind w:left="709" w:hanging="709"/>
        <w:jc w:val="both"/>
        <w:rPr>
          <w:rFonts w:ascii="Arial" w:hAnsi="Arial"/>
          <w:sz w:val="22"/>
          <w:szCs w:val="22"/>
          <w:lang w:eastAsia="en-GB"/>
        </w:rPr>
      </w:pPr>
      <w:r w:rsidRPr="002A6338">
        <w:rPr>
          <w:rFonts w:ascii="Arial" w:hAnsi="Arial"/>
          <w:b/>
          <w:sz w:val="22"/>
          <w:szCs w:val="22"/>
          <w:lang w:eastAsia="en-GB"/>
        </w:rPr>
        <w:lastRenderedPageBreak/>
        <w:t>TOWER HAMLETS FUNDING FORMULA 2018-19.</w:t>
      </w:r>
    </w:p>
    <w:p w14:paraId="32A64F56" w14:textId="77777777" w:rsidR="00856CD3" w:rsidRPr="00A34B39" w:rsidRDefault="004F1287" w:rsidP="002750C5">
      <w:pPr>
        <w:keepNext/>
        <w:numPr>
          <w:ilvl w:val="1"/>
          <w:numId w:val="4"/>
        </w:numPr>
        <w:tabs>
          <w:tab w:val="clear" w:pos="360"/>
        </w:tabs>
        <w:spacing w:before="60" w:after="60"/>
        <w:ind w:left="709" w:hanging="567"/>
        <w:jc w:val="both"/>
        <w:rPr>
          <w:rFonts w:ascii="Arial" w:hAnsi="Arial"/>
          <w:sz w:val="22"/>
          <w:szCs w:val="22"/>
          <w:lang w:eastAsia="en-GB"/>
        </w:rPr>
      </w:pPr>
      <w:r w:rsidRPr="00D81074">
        <w:rPr>
          <w:rFonts w:ascii="Arial" w:hAnsi="Arial"/>
          <w:sz w:val="22"/>
          <w:szCs w:val="22"/>
          <w:lang w:eastAsia="en-GB"/>
        </w:rPr>
        <w:t xml:space="preserve">Tower Hamlet’s (TH) approach in 2018-19 was to maintain its 2017-18 formula as closely as possible with a MFG of -1%. </w:t>
      </w:r>
    </w:p>
    <w:p w14:paraId="313E6033" w14:textId="77777777" w:rsidR="00FF7E2A" w:rsidRDefault="00D81074" w:rsidP="00D81074">
      <w:pPr>
        <w:numPr>
          <w:ilvl w:val="1"/>
          <w:numId w:val="4"/>
        </w:numPr>
        <w:tabs>
          <w:tab w:val="clear" w:pos="360"/>
        </w:tabs>
        <w:spacing w:before="60" w:after="60"/>
        <w:ind w:left="709" w:hanging="567"/>
        <w:jc w:val="both"/>
        <w:rPr>
          <w:rFonts w:ascii="Arial" w:hAnsi="Arial"/>
          <w:sz w:val="22"/>
          <w:szCs w:val="22"/>
          <w:lang w:eastAsia="en-GB"/>
        </w:rPr>
      </w:pPr>
      <w:r w:rsidRPr="00D81074">
        <w:rPr>
          <w:rFonts w:ascii="Arial" w:hAnsi="Arial"/>
          <w:sz w:val="22"/>
          <w:szCs w:val="22"/>
          <w:lang w:eastAsia="en-GB"/>
        </w:rPr>
        <w:t>A comparison of the TH factor values with the NFF values ca</w:t>
      </w:r>
      <w:r w:rsidR="004F1287" w:rsidRPr="002A6338">
        <w:rPr>
          <w:rFonts w:ascii="Arial" w:hAnsi="Arial"/>
          <w:sz w:val="22"/>
          <w:szCs w:val="22"/>
          <w:lang w:eastAsia="en-GB"/>
        </w:rPr>
        <w:t>n be found in Appendix 1</w:t>
      </w:r>
      <w:r w:rsidRPr="00D81074">
        <w:rPr>
          <w:rFonts w:ascii="Arial" w:hAnsi="Arial"/>
          <w:sz w:val="22"/>
          <w:szCs w:val="22"/>
          <w:lang w:eastAsia="en-GB"/>
        </w:rPr>
        <w:t>.</w:t>
      </w:r>
    </w:p>
    <w:p w14:paraId="40FD42B8" w14:textId="77777777" w:rsidR="00D81074" w:rsidRDefault="00FF7E2A" w:rsidP="00D81074">
      <w:pPr>
        <w:numPr>
          <w:ilvl w:val="1"/>
          <w:numId w:val="4"/>
        </w:numPr>
        <w:tabs>
          <w:tab w:val="clear" w:pos="360"/>
        </w:tabs>
        <w:spacing w:before="60" w:after="60"/>
        <w:ind w:left="709" w:hanging="567"/>
        <w:jc w:val="both"/>
        <w:rPr>
          <w:rFonts w:ascii="Arial" w:hAnsi="Arial"/>
          <w:sz w:val="22"/>
          <w:szCs w:val="22"/>
          <w:lang w:eastAsia="en-GB"/>
        </w:rPr>
      </w:pPr>
      <w:r>
        <w:rPr>
          <w:rFonts w:ascii="Arial" w:hAnsi="Arial"/>
          <w:sz w:val="22"/>
          <w:szCs w:val="22"/>
          <w:lang w:eastAsia="en-GB"/>
        </w:rPr>
        <w:t>The publication of formula data for all LAs al</w:t>
      </w:r>
      <w:r w:rsidR="00BF3C5C">
        <w:rPr>
          <w:rFonts w:ascii="Arial" w:hAnsi="Arial"/>
          <w:sz w:val="22"/>
          <w:szCs w:val="22"/>
          <w:lang w:eastAsia="en-GB"/>
        </w:rPr>
        <w:t>lows inter-authority comparison and</w:t>
      </w:r>
      <w:r>
        <w:rPr>
          <w:rFonts w:ascii="Arial" w:hAnsi="Arial"/>
          <w:sz w:val="22"/>
          <w:szCs w:val="22"/>
          <w:lang w:eastAsia="en-GB"/>
        </w:rPr>
        <w:t xml:space="preserve"> Appendix 2 compares TH’s formula with the average for London. </w:t>
      </w:r>
      <w:r w:rsidR="008031B3">
        <w:rPr>
          <w:rFonts w:ascii="Arial" w:hAnsi="Arial"/>
          <w:sz w:val="22"/>
          <w:szCs w:val="22"/>
          <w:lang w:eastAsia="en-GB"/>
        </w:rPr>
        <w:t>Noteworthy differences are:</w:t>
      </w:r>
    </w:p>
    <w:p w14:paraId="4EF55D8A" w14:textId="77777777" w:rsidR="008031B3" w:rsidRDefault="0062029A" w:rsidP="008031B3">
      <w:pPr>
        <w:numPr>
          <w:ilvl w:val="2"/>
          <w:numId w:val="4"/>
        </w:numPr>
        <w:tabs>
          <w:tab w:val="clear" w:pos="720"/>
          <w:tab w:val="num" w:pos="1418"/>
        </w:tabs>
        <w:spacing w:before="60" w:after="60"/>
        <w:ind w:left="1418" w:hanging="709"/>
        <w:jc w:val="both"/>
        <w:rPr>
          <w:rFonts w:ascii="Arial" w:hAnsi="Arial"/>
          <w:sz w:val="22"/>
          <w:szCs w:val="22"/>
          <w:lang w:eastAsia="en-GB"/>
        </w:rPr>
      </w:pPr>
      <w:r>
        <w:rPr>
          <w:rFonts w:ascii="Arial" w:hAnsi="Arial"/>
          <w:sz w:val="22"/>
          <w:szCs w:val="22"/>
          <w:lang w:eastAsia="en-GB"/>
        </w:rPr>
        <w:t>A g</w:t>
      </w:r>
      <w:r w:rsidR="008031B3">
        <w:rPr>
          <w:rFonts w:ascii="Arial" w:hAnsi="Arial"/>
          <w:sz w:val="22"/>
          <w:szCs w:val="22"/>
          <w:lang w:eastAsia="en-GB"/>
        </w:rPr>
        <w:t xml:space="preserve">reater emphasis </w:t>
      </w:r>
      <w:r>
        <w:rPr>
          <w:rFonts w:ascii="Arial" w:hAnsi="Arial"/>
          <w:sz w:val="22"/>
          <w:szCs w:val="22"/>
          <w:lang w:eastAsia="en-GB"/>
        </w:rPr>
        <w:t>in the London</w:t>
      </w:r>
      <w:r w:rsidR="008031B3">
        <w:rPr>
          <w:rFonts w:ascii="Arial" w:hAnsi="Arial"/>
          <w:sz w:val="22"/>
          <w:szCs w:val="22"/>
          <w:lang w:eastAsia="en-GB"/>
        </w:rPr>
        <w:t xml:space="preserve"> average on the Income Deprivation Affecting Children (IDACI) factor for allocating deprivation.</w:t>
      </w:r>
    </w:p>
    <w:p w14:paraId="36126906" w14:textId="77777777" w:rsidR="008031B3" w:rsidRDefault="008031B3" w:rsidP="008031B3">
      <w:pPr>
        <w:numPr>
          <w:ilvl w:val="2"/>
          <w:numId w:val="4"/>
        </w:numPr>
        <w:tabs>
          <w:tab w:val="clear" w:pos="720"/>
          <w:tab w:val="num" w:pos="1418"/>
        </w:tabs>
        <w:spacing w:before="60" w:after="60"/>
        <w:ind w:left="1418" w:hanging="709"/>
        <w:jc w:val="both"/>
        <w:rPr>
          <w:rFonts w:ascii="Arial" w:hAnsi="Arial"/>
          <w:sz w:val="22"/>
          <w:szCs w:val="22"/>
          <w:lang w:eastAsia="en-GB"/>
        </w:rPr>
      </w:pPr>
      <w:r>
        <w:rPr>
          <w:rFonts w:ascii="Arial" w:hAnsi="Arial"/>
          <w:sz w:val="22"/>
          <w:szCs w:val="22"/>
          <w:lang w:eastAsia="en-GB"/>
        </w:rPr>
        <w:t xml:space="preserve">Greater emphasis in TH on the use of Free School </w:t>
      </w:r>
      <w:r w:rsidR="00132181">
        <w:rPr>
          <w:rFonts w:ascii="Arial" w:hAnsi="Arial"/>
          <w:sz w:val="22"/>
          <w:szCs w:val="22"/>
          <w:lang w:eastAsia="en-GB"/>
        </w:rPr>
        <w:t>Meals in allocating deprivation, but no use of current eligibility.</w:t>
      </w:r>
    </w:p>
    <w:p w14:paraId="7B53E89D" w14:textId="77777777" w:rsidR="00D33E04" w:rsidRDefault="00132181" w:rsidP="008031B3">
      <w:pPr>
        <w:numPr>
          <w:ilvl w:val="2"/>
          <w:numId w:val="4"/>
        </w:numPr>
        <w:tabs>
          <w:tab w:val="clear" w:pos="720"/>
          <w:tab w:val="num" w:pos="1418"/>
        </w:tabs>
        <w:spacing w:before="60" w:after="60"/>
        <w:ind w:left="1418" w:hanging="709"/>
        <w:jc w:val="both"/>
        <w:rPr>
          <w:rFonts w:ascii="Arial" w:hAnsi="Arial"/>
          <w:sz w:val="22"/>
          <w:szCs w:val="22"/>
          <w:lang w:eastAsia="en-GB"/>
        </w:rPr>
      </w:pPr>
      <w:r>
        <w:rPr>
          <w:rFonts w:ascii="Arial" w:hAnsi="Arial"/>
          <w:sz w:val="22"/>
          <w:szCs w:val="22"/>
          <w:lang w:eastAsia="en-GB"/>
        </w:rPr>
        <w:t>A smaller proportion of TH’s resources (7</w:t>
      </w:r>
      <w:r w:rsidR="0062029A">
        <w:rPr>
          <w:rFonts w:ascii="Arial" w:hAnsi="Arial"/>
          <w:sz w:val="22"/>
          <w:szCs w:val="22"/>
          <w:lang w:eastAsia="en-GB"/>
        </w:rPr>
        <w:t>.3</w:t>
      </w:r>
      <w:r>
        <w:rPr>
          <w:rFonts w:ascii="Arial" w:hAnsi="Arial"/>
          <w:sz w:val="22"/>
          <w:szCs w:val="22"/>
          <w:lang w:eastAsia="en-GB"/>
        </w:rPr>
        <w:t>%) are allocated through deprivation factors than on average (9</w:t>
      </w:r>
      <w:r w:rsidR="0062029A">
        <w:rPr>
          <w:rFonts w:ascii="Arial" w:hAnsi="Arial"/>
          <w:sz w:val="22"/>
          <w:szCs w:val="22"/>
          <w:lang w:eastAsia="en-GB"/>
        </w:rPr>
        <w:t>.2</w:t>
      </w:r>
      <w:r>
        <w:rPr>
          <w:rFonts w:ascii="Arial" w:hAnsi="Arial"/>
          <w:sz w:val="22"/>
          <w:szCs w:val="22"/>
          <w:lang w:eastAsia="en-GB"/>
        </w:rPr>
        <w:t>%). This may reflect a decision based on a more uniform pattern of deprivation</w:t>
      </w:r>
      <w:r w:rsidR="00E7578A">
        <w:rPr>
          <w:rFonts w:ascii="Arial" w:hAnsi="Arial"/>
          <w:sz w:val="22"/>
          <w:szCs w:val="22"/>
          <w:lang w:eastAsia="en-GB"/>
        </w:rPr>
        <w:t xml:space="preserve"> across all schools in TH compared to</w:t>
      </w:r>
      <w:r>
        <w:rPr>
          <w:rFonts w:ascii="Arial" w:hAnsi="Arial"/>
          <w:sz w:val="22"/>
          <w:szCs w:val="22"/>
          <w:lang w:eastAsia="en-GB"/>
        </w:rPr>
        <w:t xml:space="preserve"> other London LAs</w:t>
      </w:r>
    </w:p>
    <w:p w14:paraId="5D0FBC47" w14:textId="77777777" w:rsidR="0025291C" w:rsidRDefault="00D33E04" w:rsidP="008031B3">
      <w:pPr>
        <w:numPr>
          <w:ilvl w:val="2"/>
          <w:numId w:val="4"/>
        </w:numPr>
        <w:tabs>
          <w:tab w:val="clear" w:pos="720"/>
          <w:tab w:val="num" w:pos="1418"/>
        </w:tabs>
        <w:spacing w:before="60" w:after="60"/>
        <w:ind w:left="1418" w:hanging="709"/>
        <w:jc w:val="both"/>
        <w:rPr>
          <w:rFonts w:ascii="Arial" w:hAnsi="Arial"/>
          <w:sz w:val="22"/>
          <w:szCs w:val="22"/>
          <w:lang w:eastAsia="en-GB"/>
        </w:rPr>
      </w:pPr>
      <w:r>
        <w:rPr>
          <w:rFonts w:ascii="Arial" w:hAnsi="Arial"/>
          <w:sz w:val="22"/>
          <w:szCs w:val="22"/>
          <w:lang w:eastAsia="en-GB"/>
        </w:rPr>
        <w:t>A greater proportion of resources in TH (4</w:t>
      </w:r>
      <w:r w:rsidR="0062029A">
        <w:rPr>
          <w:rFonts w:ascii="Arial" w:hAnsi="Arial"/>
          <w:sz w:val="22"/>
          <w:szCs w:val="22"/>
          <w:lang w:eastAsia="en-GB"/>
        </w:rPr>
        <w:t>.2</w:t>
      </w:r>
      <w:r>
        <w:rPr>
          <w:rFonts w:ascii="Arial" w:hAnsi="Arial"/>
          <w:sz w:val="22"/>
          <w:szCs w:val="22"/>
          <w:lang w:eastAsia="en-GB"/>
        </w:rPr>
        <w:t>% compared with an average of 2</w:t>
      </w:r>
      <w:r w:rsidR="0062029A">
        <w:rPr>
          <w:rFonts w:ascii="Arial" w:hAnsi="Arial"/>
          <w:sz w:val="22"/>
          <w:szCs w:val="22"/>
          <w:lang w:eastAsia="en-GB"/>
        </w:rPr>
        <w:t>.3</w:t>
      </w:r>
      <w:r>
        <w:rPr>
          <w:rFonts w:ascii="Arial" w:hAnsi="Arial"/>
          <w:sz w:val="22"/>
          <w:szCs w:val="22"/>
          <w:lang w:eastAsia="en-GB"/>
        </w:rPr>
        <w:t xml:space="preserve">%) </w:t>
      </w:r>
      <w:r w:rsidR="00734993">
        <w:rPr>
          <w:rFonts w:ascii="Arial" w:hAnsi="Arial"/>
          <w:sz w:val="22"/>
          <w:szCs w:val="22"/>
          <w:lang w:eastAsia="en-GB"/>
        </w:rPr>
        <w:t>are</w:t>
      </w:r>
      <w:r>
        <w:rPr>
          <w:rFonts w:ascii="Arial" w:hAnsi="Arial"/>
          <w:sz w:val="22"/>
          <w:szCs w:val="22"/>
          <w:lang w:eastAsia="en-GB"/>
        </w:rPr>
        <w:t xml:space="preserve"> distributed through English as an Additional Language (EAL).</w:t>
      </w:r>
      <w:r w:rsidR="00132181">
        <w:rPr>
          <w:rFonts w:ascii="Arial" w:hAnsi="Arial"/>
          <w:sz w:val="22"/>
          <w:szCs w:val="22"/>
          <w:lang w:eastAsia="en-GB"/>
        </w:rPr>
        <w:t xml:space="preserve">  </w:t>
      </w:r>
    </w:p>
    <w:p w14:paraId="3FB6E9B4" w14:textId="77777777" w:rsidR="00132181" w:rsidRPr="00D81074" w:rsidRDefault="002F697F" w:rsidP="008031B3">
      <w:pPr>
        <w:numPr>
          <w:ilvl w:val="2"/>
          <w:numId w:val="4"/>
        </w:numPr>
        <w:tabs>
          <w:tab w:val="clear" w:pos="720"/>
          <w:tab w:val="num" w:pos="1418"/>
        </w:tabs>
        <w:spacing w:before="60" w:after="60"/>
        <w:ind w:left="1418" w:hanging="709"/>
        <w:jc w:val="both"/>
        <w:rPr>
          <w:rFonts w:ascii="Arial" w:hAnsi="Arial"/>
          <w:sz w:val="22"/>
          <w:szCs w:val="22"/>
          <w:lang w:eastAsia="en-GB"/>
        </w:rPr>
      </w:pPr>
      <w:r>
        <w:rPr>
          <w:rFonts w:ascii="Arial" w:hAnsi="Arial"/>
          <w:sz w:val="22"/>
          <w:szCs w:val="22"/>
          <w:lang w:eastAsia="en-GB"/>
        </w:rPr>
        <w:t>A smaller</w:t>
      </w:r>
      <w:r w:rsidR="0025291C">
        <w:rPr>
          <w:rFonts w:ascii="Arial" w:hAnsi="Arial"/>
          <w:sz w:val="22"/>
          <w:szCs w:val="22"/>
          <w:lang w:eastAsia="en-GB"/>
        </w:rPr>
        <w:t xml:space="preserve"> proportion of </w:t>
      </w:r>
      <w:r>
        <w:rPr>
          <w:rFonts w:ascii="Arial" w:hAnsi="Arial"/>
          <w:sz w:val="22"/>
          <w:szCs w:val="22"/>
          <w:lang w:eastAsia="en-GB"/>
        </w:rPr>
        <w:t xml:space="preserve">TH resources are distributed through Prior Attainment (3.2% compared with 5.2%). </w:t>
      </w:r>
      <w:r w:rsidR="00132181">
        <w:rPr>
          <w:rFonts w:ascii="Arial" w:hAnsi="Arial"/>
          <w:sz w:val="22"/>
          <w:szCs w:val="22"/>
          <w:lang w:eastAsia="en-GB"/>
        </w:rPr>
        <w:t xml:space="preserve"> </w:t>
      </w:r>
    </w:p>
    <w:p w14:paraId="6730662B" w14:textId="77777777" w:rsidR="00642711" w:rsidRPr="002A6338" w:rsidRDefault="00642711" w:rsidP="00642711">
      <w:pPr>
        <w:autoSpaceDE w:val="0"/>
        <w:autoSpaceDN w:val="0"/>
        <w:adjustRightInd w:val="0"/>
        <w:spacing w:after="120"/>
        <w:jc w:val="both"/>
        <w:rPr>
          <w:rFonts w:ascii="Arial" w:hAnsi="Arial" w:cs="Arial"/>
          <w:sz w:val="22"/>
          <w:szCs w:val="22"/>
        </w:rPr>
      </w:pPr>
    </w:p>
    <w:p w14:paraId="46CC8046" w14:textId="77777777" w:rsidR="001E7CA5" w:rsidRPr="00E45F56" w:rsidRDefault="00D81074" w:rsidP="00E45F56">
      <w:pPr>
        <w:numPr>
          <w:ilvl w:val="0"/>
          <w:numId w:val="4"/>
        </w:numPr>
        <w:tabs>
          <w:tab w:val="clear" w:pos="360"/>
          <w:tab w:val="num" w:pos="709"/>
        </w:tabs>
        <w:spacing w:before="60" w:after="60"/>
        <w:ind w:left="709" w:hanging="709"/>
        <w:rPr>
          <w:rFonts w:ascii="Arial" w:hAnsi="Arial"/>
          <w:b/>
          <w:sz w:val="22"/>
          <w:szCs w:val="22"/>
        </w:rPr>
      </w:pPr>
      <w:r w:rsidRPr="002A6338">
        <w:rPr>
          <w:rFonts w:ascii="Arial" w:hAnsi="Arial"/>
          <w:b/>
          <w:sz w:val="22"/>
          <w:szCs w:val="22"/>
        </w:rPr>
        <w:t>TOWER HAMLETS SCHOOL FUNDING FORMULA</w:t>
      </w:r>
      <w:r w:rsidR="004F1287" w:rsidRPr="002A6338">
        <w:rPr>
          <w:rFonts w:ascii="Arial" w:hAnsi="Arial"/>
          <w:b/>
          <w:sz w:val="22"/>
          <w:szCs w:val="22"/>
        </w:rPr>
        <w:t xml:space="preserve"> 2019-20</w:t>
      </w:r>
      <w:r w:rsidRPr="002A6338">
        <w:rPr>
          <w:rFonts w:ascii="Arial" w:hAnsi="Arial"/>
          <w:b/>
          <w:sz w:val="22"/>
          <w:szCs w:val="22"/>
        </w:rPr>
        <w:t>.</w:t>
      </w:r>
    </w:p>
    <w:p w14:paraId="2E61D28D" w14:textId="77777777" w:rsidR="00E45F56" w:rsidRPr="00E45F56" w:rsidRDefault="0021562E" w:rsidP="00E45F56">
      <w:pPr>
        <w:numPr>
          <w:ilvl w:val="1"/>
          <w:numId w:val="4"/>
        </w:numPr>
        <w:tabs>
          <w:tab w:val="clear" w:pos="360"/>
        </w:tabs>
        <w:spacing w:before="60" w:after="60"/>
        <w:ind w:left="709" w:hanging="567"/>
        <w:jc w:val="both"/>
        <w:rPr>
          <w:rFonts w:ascii="Arial" w:hAnsi="Arial"/>
          <w:sz w:val="22"/>
          <w:szCs w:val="22"/>
          <w:lang w:eastAsia="en-GB"/>
        </w:rPr>
      </w:pPr>
      <w:r>
        <w:rPr>
          <w:rFonts w:ascii="Arial" w:hAnsi="Arial"/>
          <w:sz w:val="22"/>
          <w:szCs w:val="22"/>
          <w:lang w:eastAsia="en-GB"/>
        </w:rPr>
        <w:t>A LA has</w:t>
      </w:r>
      <w:r w:rsidR="002A6338" w:rsidRPr="002A6338">
        <w:rPr>
          <w:rFonts w:ascii="Arial" w:hAnsi="Arial"/>
          <w:sz w:val="22"/>
          <w:szCs w:val="22"/>
          <w:lang w:eastAsia="en-GB"/>
        </w:rPr>
        <w:t xml:space="preserve"> a duty to keeps its funding formula under review. In discharging this duty TH will need to determine whether to continu</w:t>
      </w:r>
      <w:r w:rsidR="00E45F56">
        <w:rPr>
          <w:rFonts w:ascii="Arial" w:hAnsi="Arial"/>
          <w:sz w:val="22"/>
          <w:szCs w:val="22"/>
          <w:lang w:eastAsia="en-GB"/>
        </w:rPr>
        <w:t>e with the approach set out in 3</w:t>
      </w:r>
      <w:r w:rsidR="002750C5">
        <w:rPr>
          <w:rFonts w:ascii="Arial" w:hAnsi="Arial"/>
          <w:sz w:val="22"/>
          <w:szCs w:val="22"/>
          <w:lang w:eastAsia="en-GB"/>
        </w:rPr>
        <w:t>.1</w:t>
      </w:r>
      <w:r w:rsidR="002A6338" w:rsidRPr="002A6338">
        <w:rPr>
          <w:rFonts w:ascii="Arial" w:hAnsi="Arial"/>
          <w:sz w:val="22"/>
          <w:szCs w:val="22"/>
          <w:lang w:eastAsia="en-GB"/>
        </w:rPr>
        <w:t>, to begin to move towards the NFF or adopt some other option.</w:t>
      </w:r>
    </w:p>
    <w:p w14:paraId="79D72BE2" w14:textId="77777777" w:rsidR="002A6338" w:rsidRPr="002A6338" w:rsidRDefault="002A6338" w:rsidP="002A6338">
      <w:pPr>
        <w:numPr>
          <w:ilvl w:val="1"/>
          <w:numId w:val="4"/>
        </w:numPr>
        <w:tabs>
          <w:tab w:val="clear" w:pos="360"/>
        </w:tabs>
        <w:spacing w:before="60" w:after="60"/>
        <w:ind w:left="709" w:hanging="567"/>
        <w:jc w:val="both"/>
        <w:rPr>
          <w:rFonts w:ascii="Arial" w:hAnsi="Arial"/>
          <w:sz w:val="22"/>
          <w:szCs w:val="22"/>
          <w:lang w:eastAsia="en-GB"/>
        </w:rPr>
      </w:pPr>
      <w:r w:rsidRPr="002A6338">
        <w:rPr>
          <w:rFonts w:ascii="Arial" w:hAnsi="Arial"/>
          <w:sz w:val="22"/>
          <w:szCs w:val="22"/>
          <w:lang w:eastAsia="en-GB"/>
        </w:rPr>
        <w:t>To help discharge this duty the Forum on 17th April 2018 agreed to set-up a Schools Funding Formula Review Group. Forum members were contacted by e-mail and volunteers requested.</w:t>
      </w:r>
    </w:p>
    <w:p w14:paraId="4EBB73F0" w14:textId="77777777" w:rsidR="002A6338" w:rsidRPr="00E45F56" w:rsidRDefault="002A6338" w:rsidP="002A6338">
      <w:pPr>
        <w:numPr>
          <w:ilvl w:val="1"/>
          <w:numId w:val="4"/>
        </w:numPr>
        <w:tabs>
          <w:tab w:val="clear" w:pos="360"/>
        </w:tabs>
        <w:spacing w:before="60" w:after="60"/>
        <w:ind w:left="709" w:hanging="567"/>
        <w:jc w:val="both"/>
        <w:rPr>
          <w:rFonts w:ascii="Arial" w:hAnsi="Arial"/>
          <w:sz w:val="22"/>
          <w:szCs w:val="22"/>
          <w:lang w:eastAsia="en-GB"/>
        </w:rPr>
      </w:pPr>
      <w:r w:rsidRPr="00E45F56">
        <w:rPr>
          <w:rFonts w:ascii="Arial" w:hAnsi="Arial"/>
          <w:sz w:val="22"/>
          <w:szCs w:val="22"/>
          <w:lang w:eastAsia="en-GB"/>
        </w:rPr>
        <w:t>The Group met for the first time on 6th June</w:t>
      </w:r>
      <w:r w:rsidR="00E45F56">
        <w:rPr>
          <w:rFonts w:ascii="Arial" w:hAnsi="Arial"/>
          <w:sz w:val="22"/>
          <w:szCs w:val="22"/>
          <w:lang w:eastAsia="en-GB"/>
        </w:rPr>
        <w:t xml:space="preserve">. </w:t>
      </w:r>
      <w:r w:rsidRPr="00E45F56">
        <w:rPr>
          <w:rFonts w:ascii="Arial" w:hAnsi="Arial"/>
          <w:sz w:val="22"/>
          <w:szCs w:val="22"/>
          <w:lang w:eastAsia="en-GB"/>
        </w:rPr>
        <w:t>However, the Group recognised that it was not representative of the school community</w:t>
      </w:r>
      <w:r w:rsidR="00E45F56" w:rsidRPr="00E45F56">
        <w:rPr>
          <w:rFonts w:ascii="Arial" w:hAnsi="Arial"/>
          <w:sz w:val="22"/>
          <w:szCs w:val="22"/>
          <w:lang w:eastAsia="en-GB"/>
        </w:rPr>
        <w:t xml:space="preserve"> </w:t>
      </w:r>
      <w:r w:rsidRPr="00E45F56">
        <w:rPr>
          <w:rFonts w:ascii="Arial" w:hAnsi="Arial"/>
          <w:sz w:val="22"/>
          <w:szCs w:val="22"/>
          <w:lang w:eastAsia="en-GB"/>
        </w:rPr>
        <w:t>and that further members need</w:t>
      </w:r>
      <w:r w:rsidR="00740C60">
        <w:rPr>
          <w:rFonts w:ascii="Arial" w:hAnsi="Arial"/>
          <w:sz w:val="22"/>
          <w:szCs w:val="22"/>
          <w:lang w:eastAsia="en-GB"/>
        </w:rPr>
        <w:t>ed</w:t>
      </w:r>
      <w:r w:rsidRPr="00E45F56">
        <w:rPr>
          <w:rFonts w:ascii="Arial" w:hAnsi="Arial"/>
          <w:sz w:val="22"/>
          <w:szCs w:val="22"/>
          <w:lang w:eastAsia="en-GB"/>
        </w:rPr>
        <w:t xml:space="preserve"> to be recruited</w:t>
      </w:r>
      <w:r w:rsidR="00E45F56">
        <w:rPr>
          <w:rFonts w:ascii="Arial" w:hAnsi="Arial"/>
          <w:sz w:val="22"/>
          <w:szCs w:val="22"/>
          <w:lang w:eastAsia="en-GB"/>
        </w:rPr>
        <w:t xml:space="preserve">. Volunteers obtained via </w:t>
      </w:r>
      <w:r w:rsidRPr="00E45F56">
        <w:rPr>
          <w:rFonts w:ascii="Arial" w:hAnsi="Arial"/>
          <w:sz w:val="22"/>
          <w:szCs w:val="22"/>
          <w:lang w:eastAsia="en-GB"/>
        </w:rPr>
        <w:t>the Secondary and Primary Headteacher Consultative Groups</w:t>
      </w:r>
      <w:r w:rsidR="00E45F56">
        <w:rPr>
          <w:rFonts w:ascii="Arial" w:hAnsi="Arial"/>
          <w:sz w:val="22"/>
          <w:szCs w:val="22"/>
          <w:lang w:eastAsia="en-GB"/>
        </w:rPr>
        <w:t xml:space="preserve"> joined the </w:t>
      </w:r>
      <w:r w:rsidRPr="00E45F56">
        <w:rPr>
          <w:rFonts w:ascii="Arial" w:hAnsi="Arial"/>
          <w:sz w:val="22"/>
          <w:szCs w:val="22"/>
          <w:lang w:eastAsia="en-GB"/>
        </w:rPr>
        <w:t xml:space="preserve">Review </w:t>
      </w:r>
      <w:r w:rsidR="00E45F56">
        <w:rPr>
          <w:rFonts w:ascii="Arial" w:hAnsi="Arial"/>
          <w:sz w:val="22"/>
          <w:szCs w:val="22"/>
          <w:lang w:eastAsia="en-GB"/>
        </w:rPr>
        <w:t>Group.</w:t>
      </w:r>
    </w:p>
    <w:p w14:paraId="085B9B54" w14:textId="77777777" w:rsidR="00E45F56" w:rsidRDefault="00E45F56" w:rsidP="002A6338">
      <w:pPr>
        <w:numPr>
          <w:ilvl w:val="1"/>
          <w:numId w:val="4"/>
        </w:numPr>
        <w:tabs>
          <w:tab w:val="clear" w:pos="360"/>
        </w:tabs>
        <w:spacing w:before="60" w:after="60"/>
        <w:ind w:left="709" w:hanging="567"/>
        <w:jc w:val="both"/>
        <w:rPr>
          <w:rFonts w:ascii="Arial" w:hAnsi="Arial"/>
          <w:sz w:val="22"/>
          <w:szCs w:val="22"/>
          <w:lang w:eastAsia="en-GB"/>
        </w:rPr>
      </w:pPr>
      <w:r>
        <w:rPr>
          <w:rFonts w:ascii="Arial" w:hAnsi="Arial"/>
          <w:sz w:val="22"/>
          <w:szCs w:val="22"/>
          <w:lang w:eastAsia="en-GB"/>
        </w:rPr>
        <w:t xml:space="preserve">The Group met several times in the summer term and </w:t>
      </w:r>
      <w:r w:rsidR="00E579EC">
        <w:rPr>
          <w:rFonts w:ascii="Arial" w:hAnsi="Arial"/>
          <w:sz w:val="22"/>
          <w:szCs w:val="22"/>
          <w:lang w:eastAsia="en-GB"/>
        </w:rPr>
        <w:t xml:space="preserve">again in September </w:t>
      </w:r>
      <w:r>
        <w:rPr>
          <w:rFonts w:ascii="Arial" w:hAnsi="Arial"/>
          <w:sz w:val="22"/>
          <w:szCs w:val="22"/>
          <w:lang w:eastAsia="en-GB"/>
        </w:rPr>
        <w:t>to review the following options:</w:t>
      </w:r>
    </w:p>
    <w:p w14:paraId="3D629086" w14:textId="77777777" w:rsidR="00E45F56" w:rsidRDefault="00E45F56" w:rsidP="00E45F56">
      <w:pPr>
        <w:numPr>
          <w:ilvl w:val="0"/>
          <w:numId w:val="33"/>
        </w:numPr>
        <w:spacing w:before="60"/>
        <w:ind w:hanging="357"/>
        <w:jc w:val="both"/>
        <w:rPr>
          <w:rFonts w:ascii="Arial" w:hAnsi="Arial"/>
          <w:sz w:val="22"/>
          <w:szCs w:val="22"/>
          <w:lang w:eastAsia="en-GB"/>
        </w:rPr>
      </w:pPr>
      <w:r>
        <w:rPr>
          <w:rFonts w:ascii="Arial" w:hAnsi="Arial"/>
          <w:sz w:val="22"/>
          <w:szCs w:val="22"/>
          <w:lang w:eastAsia="en-GB"/>
        </w:rPr>
        <w:t>To move as closely as possible to the NFF.</w:t>
      </w:r>
    </w:p>
    <w:p w14:paraId="094F4890" w14:textId="77777777" w:rsidR="00E45F56" w:rsidRDefault="00E45F56" w:rsidP="00E45F56">
      <w:pPr>
        <w:numPr>
          <w:ilvl w:val="0"/>
          <w:numId w:val="33"/>
        </w:numPr>
        <w:spacing w:before="60"/>
        <w:ind w:hanging="357"/>
        <w:jc w:val="both"/>
        <w:rPr>
          <w:rFonts w:ascii="Arial" w:hAnsi="Arial"/>
          <w:sz w:val="22"/>
          <w:szCs w:val="22"/>
          <w:lang w:eastAsia="en-GB"/>
        </w:rPr>
      </w:pPr>
      <w:r>
        <w:rPr>
          <w:rFonts w:ascii="Arial" w:hAnsi="Arial"/>
          <w:sz w:val="22"/>
          <w:szCs w:val="22"/>
          <w:lang w:eastAsia="en-GB"/>
        </w:rPr>
        <w:t xml:space="preserve">To move part way towards the NFF. The impact of </w:t>
      </w:r>
      <w:r w:rsidR="0034195B">
        <w:rPr>
          <w:rFonts w:ascii="Arial" w:hAnsi="Arial"/>
          <w:sz w:val="22"/>
          <w:szCs w:val="22"/>
          <w:lang w:eastAsia="en-GB"/>
        </w:rPr>
        <w:t>moving factor values 25% and 50% towards those in the NFF were looked at but the impact of the MFG meant that the results were very close to a. and these options were not considered further.</w:t>
      </w:r>
    </w:p>
    <w:p w14:paraId="419F74A9" w14:textId="77777777" w:rsidR="00E0101E" w:rsidRPr="00E0101E" w:rsidRDefault="0034195B" w:rsidP="00E0101E">
      <w:pPr>
        <w:numPr>
          <w:ilvl w:val="0"/>
          <w:numId w:val="33"/>
        </w:numPr>
        <w:spacing w:before="60"/>
        <w:ind w:hanging="357"/>
        <w:jc w:val="both"/>
        <w:rPr>
          <w:rFonts w:ascii="Arial" w:hAnsi="Arial"/>
          <w:sz w:val="22"/>
          <w:szCs w:val="22"/>
          <w:lang w:eastAsia="en-GB"/>
        </w:rPr>
      </w:pPr>
      <w:r>
        <w:rPr>
          <w:rFonts w:ascii="Arial" w:hAnsi="Arial"/>
          <w:sz w:val="22"/>
          <w:szCs w:val="22"/>
          <w:lang w:eastAsia="en-GB"/>
        </w:rPr>
        <w:t>To retain the current factor values but vary the MFG and capping and scaling arrangements</w:t>
      </w:r>
      <w:r w:rsidR="00E0101E">
        <w:rPr>
          <w:rFonts w:ascii="Arial" w:hAnsi="Arial"/>
          <w:sz w:val="22"/>
          <w:szCs w:val="22"/>
          <w:lang w:eastAsia="en-GB"/>
        </w:rPr>
        <w:t>.</w:t>
      </w:r>
    </w:p>
    <w:p w14:paraId="1D4B41A7" w14:textId="77777777" w:rsidR="001F5B8E" w:rsidRDefault="00191200" w:rsidP="00E0101E">
      <w:pPr>
        <w:numPr>
          <w:ilvl w:val="1"/>
          <w:numId w:val="4"/>
        </w:numPr>
        <w:tabs>
          <w:tab w:val="clear" w:pos="360"/>
        </w:tabs>
        <w:spacing w:before="60" w:after="60"/>
        <w:ind w:left="709" w:hanging="567"/>
        <w:jc w:val="both"/>
        <w:rPr>
          <w:rFonts w:ascii="Arial" w:hAnsi="Arial"/>
          <w:sz w:val="22"/>
          <w:szCs w:val="22"/>
          <w:lang w:eastAsia="en-GB"/>
        </w:rPr>
      </w:pPr>
      <w:r>
        <w:rPr>
          <w:rFonts w:ascii="Arial" w:hAnsi="Arial"/>
          <w:sz w:val="22"/>
          <w:szCs w:val="22"/>
          <w:lang w:eastAsia="en-GB"/>
        </w:rPr>
        <w:t>The release i</w:t>
      </w:r>
      <w:r w:rsidR="00E0101E">
        <w:rPr>
          <w:rFonts w:ascii="Arial" w:hAnsi="Arial"/>
          <w:sz w:val="22"/>
          <w:szCs w:val="22"/>
          <w:lang w:eastAsia="en-GB"/>
        </w:rPr>
        <w:t xml:space="preserve">n July </w:t>
      </w:r>
      <w:r>
        <w:rPr>
          <w:rFonts w:ascii="Arial" w:hAnsi="Arial"/>
          <w:sz w:val="22"/>
          <w:szCs w:val="22"/>
          <w:lang w:eastAsia="en-GB"/>
        </w:rPr>
        <w:t xml:space="preserve">of </w:t>
      </w:r>
      <w:r w:rsidR="00E0101E">
        <w:rPr>
          <w:rFonts w:ascii="Arial" w:hAnsi="Arial"/>
          <w:sz w:val="22"/>
          <w:szCs w:val="22"/>
          <w:lang w:eastAsia="en-GB"/>
        </w:rPr>
        <w:t xml:space="preserve">an updated modelling tool </w:t>
      </w:r>
      <w:r w:rsidR="00FF7E2A">
        <w:rPr>
          <w:rFonts w:ascii="Arial" w:hAnsi="Arial"/>
          <w:sz w:val="22"/>
          <w:szCs w:val="22"/>
          <w:lang w:eastAsia="en-GB"/>
        </w:rPr>
        <w:t xml:space="preserve">incorporating the </w:t>
      </w:r>
      <w:r>
        <w:rPr>
          <w:rFonts w:ascii="Arial" w:hAnsi="Arial"/>
          <w:sz w:val="22"/>
          <w:szCs w:val="22"/>
          <w:lang w:eastAsia="en-GB"/>
        </w:rPr>
        <w:t xml:space="preserve">1% </w:t>
      </w:r>
      <w:r w:rsidR="00FF7E2A">
        <w:rPr>
          <w:rFonts w:ascii="Arial" w:hAnsi="Arial"/>
          <w:sz w:val="22"/>
          <w:szCs w:val="22"/>
          <w:lang w:eastAsia="en-GB"/>
        </w:rPr>
        <w:t xml:space="preserve">per-pupil </w:t>
      </w:r>
      <w:r w:rsidR="00E0101E">
        <w:rPr>
          <w:rFonts w:ascii="Arial" w:hAnsi="Arial"/>
          <w:sz w:val="22"/>
          <w:szCs w:val="22"/>
          <w:lang w:eastAsia="en-GB"/>
        </w:rPr>
        <w:t>uplift</w:t>
      </w:r>
      <w:r w:rsidR="00FF7E2A">
        <w:rPr>
          <w:rFonts w:ascii="Arial" w:hAnsi="Arial"/>
          <w:sz w:val="22"/>
          <w:szCs w:val="22"/>
          <w:lang w:eastAsia="en-GB"/>
        </w:rPr>
        <w:t xml:space="preserve"> </w:t>
      </w:r>
      <w:r>
        <w:rPr>
          <w:rFonts w:ascii="Arial" w:hAnsi="Arial"/>
          <w:sz w:val="22"/>
          <w:szCs w:val="22"/>
          <w:lang w:eastAsia="en-GB"/>
        </w:rPr>
        <w:t>necessitated the re</w:t>
      </w:r>
      <w:r w:rsidR="00FF7E2A">
        <w:rPr>
          <w:rFonts w:ascii="Arial" w:hAnsi="Arial"/>
          <w:sz w:val="22"/>
          <w:szCs w:val="22"/>
          <w:lang w:eastAsia="en-GB"/>
        </w:rPr>
        <w:t>model</w:t>
      </w:r>
      <w:r>
        <w:rPr>
          <w:rFonts w:ascii="Arial" w:hAnsi="Arial"/>
          <w:sz w:val="22"/>
          <w:szCs w:val="22"/>
          <w:lang w:eastAsia="en-GB"/>
        </w:rPr>
        <w:t xml:space="preserve">ling of the options set out in </w:t>
      </w:r>
      <w:r w:rsidR="00FF7E2A">
        <w:rPr>
          <w:rFonts w:ascii="Arial" w:hAnsi="Arial"/>
          <w:sz w:val="22"/>
          <w:szCs w:val="22"/>
          <w:lang w:eastAsia="en-GB"/>
        </w:rPr>
        <w:t>4.4</w:t>
      </w:r>
      <w:r>
        <w:rPr>
          <w:rFonts w:ascii="Arial" w:hAnsi="Arial"/>
          <w:sz w:val="22"/>
          <w:szCs w:val="22"/>
          <w:lang w:eastAsia="en-GB"/>
        </w:rPr>
        <w:t xml:space="preserve"> together with</w:t>
      </w:r>
      <w:r w:rsidR="00FF7E2A">
        <w:rPr>
          <w:rFonts w:ascii="Arial" w:hAnsi="Arial"/>
          <w:sz w:val="22"/>
          <w:szCs w:val="22"/>
          <w:lang w:eastAsia="en-GB"/>
        </w:rPr>
        <w:t xml:space="preserve"> a further two models, applying the per-pupil uplift to a. and to</w:t>
      </w:r>
      <w:r>
        <w:rPr>
          <w:rFonts w:ascii="Arial" w:hAnsi="Arial"/>
          <w:sz w:val="22"/>
          <w:szCs w:val="22"/>
          <w:lang w:eastAsia="en-GB"/>
        </w:rPr>
        <w:t xml:space="preserve"> the existing </w:t>
      </w:r>
      <w:r w:rsidR="008C12EE">
        <w:rPr>
          <w:rFonts w:ascii="Arial" w:hAnsi="Arial"/>
          <w:sz w:val="22"/>
          <w:szCs w:val="22"/>
          <w:lang w:eastAsia="en-GB"/>
        </w:rPr>
        <w:t xml:space="preserve">TH </w:t>
      </w:r>
      <w:r>
        <w:rPr>
          <w:rFonts w:ascii="Arial" w:hAnsi="Arial"/>
          <w:sz w:val="22"/>
          <w:szCs w:val="22"/>
          <w:lang w:eastAsia="en-GB"/>
        </w:rPr>
        <w:t>formula</w:t>
      </w:r>
      <w:r w:rsidR="00FF7E2A">
        <w:rPr>
          <w:rFonts w:ascii="Arial" w:hAnsi="Arial"/>
          <w:sz w:val="22"/>
          <w:szCs w:val="22"/>
          <w:lang w:eastAsia="en-GB"/>
        </w:rPr>
        <w:t>.</w:t>
      </w:r>
    </w:p>
    <w:p w14:paraId="6B22575E" w14:textId="77777777" w:rsidR="002D6A2A" w:rsidRDefault="002D6A2A" w:rsidP="002D6A2A">
      <w:pPr>
        <w:numPr>
          <w:ilvl w:val="1"/>
          <w:numId w:val="4"/>
        </w:numPr>
        <w:tabs>
          <w:tab w:val="clear" w:pos="360"/>
        </w:tabs>
        <w:spacing w:before="60" w:after="60"/>
        <w:ind w:left="709" w:hanging="567"/>
        <w:jc w:val="both"/>
        <w:rPr>
          <w:rFonts w:ascii="Arial" w:hAnsi="Arial"/>
          <w:sz w:val="22"/>
          <w:szCs w:val="22"/>
          <w:lang w:eastAsia="en-GB"/>
        </w:rPr>
      </w:pPr>
      <w:r>
        <w:rPr>
          <w:rFonts w:ascii="Arial" w:hAnsi="Arial"/>
          <w:sz w:val="22"/>
          <w:szCs w:val="22"/>
          <w:lang w:eastAsia="en-GB"/>
        </w:rPr>
        <w:lastRenderedPageBreak/>
        <w:t>In considering changes to the formula for 2019-20 members should be mindful of the need to plan for implementation. Decisions made in the autumn and spring terms will be implemented in budget shares from April 2019 (for maintained schools). Members of the Review Group were of the view that any significant changes should be delayed to 2020-21, with only minimal changes in 2019-20, but that planning for 2020-21 should happen as soon as possible to allow for the maximum planning time.</w:t>
      </w:r>
    </w:p>
    <w:p w14:paraId="1F7E97BA" w14:textId="77777777" w:rsidR="002A6FE8" w:rsidRDefault="002A6FE8" w:rsidP="002A6FE8">
      <w:pPr>
        <w:spacing w:before="60" w:after="60"/>
        <w:ind w:left="142"/>
        <w:jc w:val="both"/>
        <w:rPr>
          <w:rFonts w:ascii="Arial" w:hAnsi="Arial"/>
          <w:sz w:val="22"/>
          <w:szCs w:val="22"/>
          <w:lang w:eastAsia="en-GB"/>
        </w:rPr>
      </w:pPr>
    </w:p>
    <w:p w14:paraId="568F87AC" w14:textId="77777777" w:rsidR="002A6FE8" w:rsidRDefault="002A6FE8" w:rsidP="002A6FE8">
      <w:pPr>
        <w:numPr>
          <w:ilvl w:val="0"/>
          <w:numId w:val="4"/>
        </w:numPr>
        <w:tabs>
          <w:tab w:val="clear" w:pos="360"/>
          <w:tab w:val="num" w:pos="709"/>
        </w:tabs>
        <w:spacing w:before="60" w:after="60"/>
        <w:ind w:left="709" w:hanging="709"/>
        <w:rPr>
          <w:rFonts w:ascii="Arial" w:hAnsi="Arial"/>
          <w:b/>
          <w:sz w:val="22"/>
          <w:szCs w:val="22"/>
        </w:rPr>
      </w:pPr>
      <w:r w:rsidRPr="002A6FE8">
        <w:rPr>
          <w:rFonts w:ascii="Arial" w:hAnsi="Arial"/>
          <w:b/>
          <w:sz w:val="22"/>
          <w:szCs w:val="22"/>
        </w:rPr>
        <w:t>TOWER HAMLETS SCHOOLS BLOCK 2019-20.</w:t>
      </w:r>
    </w:p>
    <w:p w14:paraId="5B54A7CD" w14:textId="77777777" w:rsidR="0095030A" w:rsidRDefault="0095030A" w:rsidP="00EC1F78">
      <w:pPr>
        <w:numPr>
          <w:ilvl w:val="1"/>
          <w:numId w:val="4"/>
        </w:numPr>
        <w:tabs>
          <w:tab w:val="clear" w:pos="360"/>
          <w:tab w:val="num" w:pos="709"/>
        </w:tabs>
        <w:spacing w:before="60" w:after="60"/>
        <w:ind w:left="709" w:hanging="567"/>
        <w:rPr>
          <w:rFonts w:ascii="Arial" w:hAnsi="Arial"/>
          <w:sz w:val="22"/>
          <w:szCs w:val="22"/>
          <w:lang w:eastAsia="en-GB"/>
        </w:rPr>
      </w:pPr>
      <w:r>
        <w:rPr>
          <w:rFonts w:ascii="Arial" w:hAnsi="Arial"/>
          <w:sz w:val="22"/>
          <w:szCs w:val="22"/>
          <w:lang w:eastAsia="en-GB"/>
        </w:rPr>
        <w:t>The options considered here use the indicative DSG</w:t>
      </w:r>
      <w:r w:rsidR="00167491">
        <w:rPr>
          <w:rFonts w:ascii="Arial" w:hAnsi="Arial"/>
          <w:sz w:val="22"/>
          <w:szCs w:val="22"/>
          <w:lang w:eastAsia="en-GB"/>
        </w:rPr>
        <w:t xml:space="preserve"> Schools Block </w:t>
      </w:r>
      <w:r>
        <w:rPr>
          <w:rFonts w:ascii="Arial" w:hAnsi="Arial"/>
          <w:sz w:val="22"/>
          <w:szCs w:val="22"/>
          <w:lang w:eastAsia="en-GB"/>
        </w:rPr>
        <w:t xml:space="preserve">notified in July plus the latest estimates for National </w:t>
      </w:r>
      <w:r w:rsidR="00EC1F78">
        <w:rPr>
          <w:rFonts w:ascii="Arial" w:hAnsi="Arial"/>
          <w:sz w:val="22"/>
          <w:szCs w:val="22"/>
          <w:lang w:eastAsia="en-GB"/>
        </w:rPr>
        <w:t>Non-Domestic Rates (NNDR).</w:t>
      </w:r>
      <w:r w:rsidR="00325A8A">
        <w:rPr>
          <w:rFonts w:ascii="Arial" w:hAnsi="Arial"/>
          <w:sz w:val="22"/>
          <w:szCs w:val="22"/>
          <w:lang w:eastAsia="en-GB"/>
        </w:rPr>
        <w:t xml:space="preserve"> </w:t>
      </w:r>
      <w:r w:rsidR="00437794">
        <w:rPr>
          <w:rFonts w:ascii="Arial" w:hAnsi="Arial"/>
          <w:sz w:val="22"/>
          <w:szCs w:val="22"/>
          <w:lang w:eastAsia="en-GB"/>
        </w:rPr>
        <w:t xml:space="preserve">They also use October 2017 pupil data. </w:t>
      </w:r>
      <w:r w:rsidR="00325A8A">
        <w:rPr>
          <w:rFonts w:ascii="Arial" w:hAnsi="Arial"/>
          <w:sz w:val="22"/>
          <w:szCs w:val="22"/>
          <w:lang w:eastAsia="en-GB"/>
        </w:rPr>
        <w:t>Please note these figures will be updated towards the end of December and proposals finalised in January 2019.</w:t>
      </w:r>
    </w:p>
    <w:p w14:paraId="59B646E7" w14:textId="77777777" w:rsidR="00167491" w:rsidRDefault="00167491" w:rsidP="00EC1F78">
      <w:pPr>
        <w:numPr>
          <w:ilvl w:val="1"/>
          <w:numId w:val="4"/>
        </w:numPr>
        <w:tabs>
          <w:tab w:val="clear" w:pos="360"/>
          <w:tab w:val="num" w:pos="709"/>
        </w:tabs>
        <w:spacing w:before="60" w:after="60"/>
        <w:ind w:left="709" w:hanging="567"/>
        <w:rPr>
          <w:rFonts w:ascii="Arial" w:hAnsi="Arial"/>
          <w:sz w:val="22"/>
          <w:szCs w:val="22"/>
          <w:lang w:eastAsia="en-GB"/>
        </w:rPr>
      </w:pPr>
      <w:r>
        <w:rPr>
          <w:rFonts w:ascii="Arial" w:hAnsi="Arial"/>
          <w:sz w:val="22"/>
          <w:szCs w:val="22"/>
          <w:lang w:eastAsia="en-GB"/>
        </w:rPr>
        <w:t>The increase in the indicative Schools Block is £1.017m, made up of:</w:t>
      </w:r>
    </w:p>
    <w:p w14:paraId="40CAE72E" w14:textId="77777777" w:rsidR="00167491" w:rsidRDefault="00167491" w:rsidP="00167491">
      <w:pPr>
        <w:numPr>
          <w:ilvl w:val="2"/>
          <w:numId w:val="4"/>
        </w:numPr>
        <w:tabs>
          <w:tab w:val="clear" w:pos="720"/>
          <w:tab w:val="num" w:pos="1418"/>
        </w:tabs>
        <w:spacing w:before="60" w:after="60"/>
        <w:ind w:left="1418" w:hanging="709"/>
        <w:rPr>
          <w:rFonts w:ascii="Arial" w:hAnsi="Arial"/>
          <w:sz w:val="22"/>
          <w:szCs w:val="22"/>
          <w:lang w:eastAsia="en-GB"/>
        </w:rPr>
      </w:pPr>
      <w:r>
        <w:rPr>
          <w:rFonts w:ascii="Arial" w:hAnsi="Arial"/>
          <w:sz w:val="22"/>
          <w:szCs w:val="22"/>
          <w:lang w:eastAsia="en-GB"/>
        </w:rPr>
        <w:t>An increase in t</w:t>
      </w:r>
      <w:r w:rsidR="00B15836">
        <w:rPr>
          <w:rFonts w:ascii="Arial" w:hAnsi="Arial"/>
          <w:sz w:val="22"/>
          <w:szCs w:val="22"/>
          <w:lang w:eastAsia="en-GB"/>
        </w:rPr>
        <w:t>he pupil units of funding</w:t>
      </w:r>
      <w:r>
        <w:rPr>
          <w:rFonts w:ascii="Arial" w:hAnsi="Arial"/>
          <w:sz w:val="22"/>
          <w:szCs w:val="22"/>
          <w:lang w:eastAsia="en-GB"/>
        </w:rPr>
        <w:t xml:space="preserve"> to incorporate the 0.5% uplift</w:t>
      </w:r>
      <w:r w:rsidR="005D3AEF">
        <w:rPr>
          <w:rFonts w:ascii="Arial" w:hAnsi="Arial"/>
          <w:sz w:val="22"/>
          <w:szCs w:val="22"/>
          <w:lang w:eastAsia="en-GB"/>
        </w:rPr>
        <w:t>; this</w:t>
      </w:r>
      <w:r w:rsidR="00B15836">
        <w:rPr>
          <w:rFonts w:ascii="Arial" w:hAnsi="Arial"/>
          <w:sz w:val="22"/>
          <w:szCs w:val="22"/>
          <w:lang w:eastAsia="en-GB"/>
        </w:rPr>
        <w:t xml:space="preserve"> will generate an additional </w:t>
      </w:r>
      <w:r>
        <w:rPr>
          <w:rFonts w:ascii="Arial" w:hAnsi="Arial"/>
          <w:sz w:val="22"/>
          <w:szCs w:val="22"/>
          <w:lang w:eastAsia="en-GB"/>
        </w:rPr>
        <w:t>£1.331m of funding.</w:t>
      </w:r>
    </w:p>
    <w:p w14:paraId="4313B2B1" w14:textId="77777777" w:rsidR="00167491" w:rsidRDefault="00B15836" w:rsidP="00167491">
      <w:pPr>
        <w:numPr>
          <w:ilvl w:val="2"/>
          <w:numId w:val="4"/>
        </w:numPr>
        <w:tabs>
          <w:tab w:val="clear" w:pos="720"/>
          <w:tab w:val="num" w:pos="1418"/>
        </w:tabs>
        <w:spacing w:before="60" w:after="60"/>
        <w:ind w:left="1418" w:hanging="709"/>
        <w:rPr>
          <w:rFonts w:ascii="Arial" w:hAnsi="Arial"/>
          <w:sz w:val="22"/>
          <w:szCs w:val="22"/>
          <w:lang w:eastAsia="en-GB"/>
        </w:rPr>
      </w:pPr>
      <w:r>
        <w:rPr>
          <w:rFonts w:ascii="Arial" w:hAnsi="Arial"/>
          <w:sz w:val="22"/>
          <w:szCs w:val="22"/>
          <w:lang w:eastAsia="en-GB"/>
        </w:rPr>
        <w:t xml:space="preserve">Adjustments to </w:t>
      </w:r>
      <w:r w:rsidR="00167491">
        <w:rPr>
          <w:rFonts w:ascii="Arial" w:hAnsi="Arial"/>
          <w:sz w:val="22"/>
          <w:szCs w:val="22"/>
          <w:lang w:eastAsia="en-GB"/>
        </w:rPr>
        <w:t xml:space="preserve">the allocation for premises will see a reduction of £0.429m in respect of NNDR offset by an increase of </w:t>
      </w:r>
      <w:r w:rsidR="003802AA">
        <w:rPr>
          <w:rFonts w:ascii="Arial" w:hAnsi="Arial"/>
          <w:sz w:val="22"/>
          <w:szCs w:val="22"/>
          <w:lang w:eastAsia="en-GB"/>
        </w:rPr>
        <w:t>£0.115m for</w:t>
      </w:r>
      <w:r w:rsidR="00167491">
        <w:rPr>
          <w:rFonts w:ascii="Arial" w:hAnsi="Arial"/>
          <w:sz w:val="22"/>
          <w:szCs w:val="22"/>
          <w:lang w:eastAsia="en-GB"/>
        </w:rPr>
        <w:t xml:space="preserve"> PFI indexation.</w:t>
      </w:r>
      <w:r w:rsidR="00175C76">
        <w:rPr>
          <w:rFonts w:ascii="Arial" w:hAnsi="Arial"/>
          <w:sz w:val="22"/>
          <w:szCs w:val="22"/>
          <w:lang w:eastAsia="en-GB"/>
        </w:rPr>
        <w:t xml:space="preserve"> The actual call on the latter will be £0.086m.</w:t>
      </w:r>
    </w:p>
    <w:p w14:paraId="65BB081D" w14:textId="77777777" w:rsidR="00A772EC" w:rsidRDefault="005D3AEF" w:rsidP="005D3AEF">
      <w:pPr>
        <w:numPr>
          <w:ilvl w:val="1"/>
          <w:numId w:val="4"/>
        </w:numPr>
        <w:tabs>
          <w:tab w:val="clear" w:pos="360"/>
          <w:tab w:val="num" w:pos="709"/>
        </w:tabs>
        <w:spacing w:before="60" w:after="60"/>
        <w:ind w:left="709" w:hanging="567"/>
        <w:rPr>
          <w:rFonts w:ascii="Arial" w:hAnsi="Arial"/>
          <w:sz w:val="22"/>
          <w:szCs w:val="22"/>
          <w:lang w:eastAsia="en-GB"/>
        </w:rPr>
      </w:pPr>
      <w:r>
        <w:rPr>
          <w:rFonts w:ascii="Arial" w:hAnsi="Arial"/>
          <w:sz w:val="22"/>
          <w:szCs w:val="22"/>
          <w:lang w:eastAsia="en-GB"/>
        </w:rPr>
        <w:t>In allocating funding</w:t>
      </w:r>
      <w:r w:rsidR="00B01863">
        <w:rPr>
          <w:rFonts w:ascii="Arial" w:hAnsi="Arial"/>
          <w:sz w:val="22"/>
          <w:szCs w:val="22"/>
          <w:lang w:eastAsia="en-GB"/>
        </w:rPr>
        <w:t>,</w:t>
      </w:r>
      <w:r>
        <w:rPr>
          <w:rFonts w:ascii="Arial" w:hAnsi="Arial"/>
          <w:sz w:val="22"/>
          <w:szCs w:val="22"/>
          <w:lang w:eastAsia="en-GB"/>
        </w:rPr>
        <w:t xml:space="preserve"> a smalle</w:t>
      </w:r>
      <w:r w:rsidR="0099320B">
        <w:rPr>
          <w:rFonts w:ascii="Arial" w:hAnsi="Arial"/>
          <w:sz w:val="22"/>
          <w:szCs w:val="22"/>
          <w:lang w:eastAsia="en-GB"/>
        </w:rPr>
        <w:t>r proportion will be required for</w:t>
      </w:r>
      <w:r>
        <w:rPr>
          <w:rFonts w:ascii="Arial" w:hAnsi="Arial"/>
          <w:sz w:val="22"/>
          <w:szCs w:val="22"/>
          <w:lang w:eastAsia="en-GB"/>
        </w:rPr>
        <w:t xml:space="preserve"> NNDR due to </w:t>
      </w:r>
      <w:r w:rsidR="00B15836">
        <w:rPr>
          <w:rFonts w:ascii="Arial" w:hAnsi="Arial"/>
          <w:sz w:val="22"/>
          <w:szCs w:val="22"/>
          <w:lang w:eastAsia="en-GB"/>
        </w:rPr>
        <w:t xml:space="preserve">both </w:t>
      </w:r>
      <w:r w:rsidR="0055774D">
        <w:rPr>
          <w:rFonts w:ascii="Arial" w:hAnsi="Arial"/>
          <w:sz w:val="22"/>
          <w:szCs w:val="22"/>
          <w:lang w:eastAsia="en-GB"/>
        </w:rPr>
        <w:t>a reduction</w:t>
      </w:r>
      <w:r w:rsidR="00B15836">
        <w:rPr>
          <w:rFonts w:ascii="Arial" w:hAnsi="Arial"/>
          <w:sz w:val="22"/>
          <w:szCs w:val="22"/>
          <w:lang w:eastAsia="en-GB"/>
        </w:rPr>
        <w:t xml:space="preserve"> in </w:t>
      </w:r>
      <w:r w:rsidR="0055774D">
        <w:rPr>
          <w:rFonts w:ascii="Arial" w:hAnsi="Arial"/>
          <w:sz w:val="22"/>
          <w:szCs w:val="22"/>
          <w:lang w:eastAsia="en-GB"/>
        </w:rPr>
        <w:t>the annual allocation</w:t>
      </w:r>
      <w:r w:rsidR="00B15836">
        <w:rPr>
          <w:rFonts w:ascii="Arial" w:hAnsi="Arial"/>
          <w:sz w:val="22"/>
          <w:szCs w:val="22"/>
          <w:lang w:eastAsia="en-GB"/>
        </w:rPr>
        <w:t xml:space="preserve"> and</w:t>
      </w:r>
      <w:r w:rsidR="0055774D">
        <w:rPr>
          <w:rFonts w:ascii="Arial" w:hAnsi="Arial"/>
          <w:sz w:val="22"/>
          <w:szCs w:val="22"/>
          <w:lang w:eastAsia="en-GB"/>
        </w:rPr>
        <w:t xml:space="preserve"> adjustments in respect of </w:t>
      </w:r>
      <w:r w:rsidR="0099320B">
        <w:rPr>
          <w:rFonts w:ascii="Arial" w:hAnsi="Arial"/>
          <w:sz w:val="22"/>
          <w:szCs w:val="22"/>
          <w:lang w:eastAsia="en-GB"/>
        </w:rPr>
        <w:t xml:space="preserve">over-allocation in </w:t>
      </w:r>
      <w:r w:rsidR="0055774D">
        <w:rPr>
          <w:rFonts w:ascii="Arial" w:hAnsi="Arial"/>
          <w:sz w:val="22"/>
          <w:szCs w:val="22"/>
          <w:lang w:eastAsia="en-GB"/>
        </w:rPr>
        <w:t>2018-19</w:t>
      </w:r>
      <w:r w:rsidR="00EF2ADD">
        <w:rPr>
          <w:rFonts w:ascii="Arial" w:hAnsi="Arial"/>
          <w:sz w:val="22"/>
          <w:szCs w:val="22"/>
          <w:lang w:eastAsia="en-GB"/>
        </w:rPr>
        <w:t xml:space="preserve">. This </w:t>
      </w:r>
      <w:r w:rsidR="0055774D">
        <w:rPr>
          <w:rFonts w:ascii="Arial" w:hAnsi="Arial"/>
          <w:sz w:val="22"/>
          <w:szCs w:val="22"/>
          <w:lang w:eastAsia="en-GB"/>
        </w:rPr>
        <w:t xml:space="preserve">will release </w:t>
      </w:r>
      <w:r w:rsidR="00FB48E4">
        <w:rPr>
          <w:rFonts w:ascii="Arial" w:hAnsi="Arial"/>
          <w:sz w:val="22"/>
          <w:szCs w:val="22"/>
          <w:lang w:eastAsia="en-GB"/>
        </w:rPr>
        <w:t>£0.920</w:t>
      </w:r>
      <w:r w:rsidR="00431AF4">
        <w:rPr>
          <w:rFonts w:ascii="Arial" w:hAnsi="Arial"/>
          <w:sz w:val="22"/>
          <w:szCs w:val="22"/>
          <w:lang w:eastAsia="en-GB"/>
        </w:rPr>
        <w:t>m</w:t>
      </w:r>
      <w:r w:rsidR="00167491">
        <w:rPr>
          <w:rFonts w:ascii="Arial" w:hAnsi="Arial"/>
          <w:sz w:val="22"/>
          <w:szCs w:val="22"/>
          <w:lang w:eastAsia="en-GB"/>
        </w:rPr>
        <w:t xml:space="preserve"> </w:t>
      </w:r>
      <w:r w:rsidR="00A772EC">
        <w:rPr>
          <w:rFonts w:ascii="Arial" w:hAnsi="Arial"/>
          <w:sz w:val="22"/>
          <w:szCs w:val="22"/>
          <w:lang w:eastAsia="en-GB"/>
        </w:rPr>
        <w:t xml:space="preserve">after allowing for </w:t>
      </w:r>
      <w:r w:rsidR="00EF2ADD">
        <w:rPr>
          <w:rFonts w:ascii="Arial" w:hAnsi="Arial"/>
          <w:sz w:val="22"/>
          <w:szCs w:val="22"/>
          <w:lang w:eastAsia="en-GB"/>
        </w:rPr>
        <w:t>the</w:t>
      </w:r>
      <w:r w:rsidR="00167491">
        <w:rPr>
          <w:rFonts w:ascii="Arial" w:hAnsi="Arial"/>
          <w:sz w:val="22"/>
          <w:szCs w:val="22"/>
          <w:lang w:eastAsia="en-GB"/>
        </w:rPr>
        <w:t xml:space="preserve"> reduction in DSG</w:t>
      </w:r>
      <w:r w:rsidR="00EF2ADD">
        <w:rPr>
          <w:rFonts w:ascii="Arial" w:hAnsi="Arial"/>
          <w:sz w:val="22"/>
          <w:szCs w:val="22"/>
          <w:lang w:eastAsia="en-GB"/>
        </w:rPr>
        <w:t xml:space="preserve"> of £0.429m</w:t>
      </w:r>
      <w:r w:rsidR="00A772EC">
        <w:rPr>
          <w:rFonts w:ascii="Arial" w:hAnsi="Arial"/>
          <w:sz w:val="22"/>
          <w:szCs w:val="22"/>
          <w:lang w:eastAsia="en-GB"/>
        </w:rPr>
        <w:t>.</w:t>
      </w:r>
    </w:p>
    <w:p w14:paraId="53333C3E" w14:textId="77777777" w:rsidR="0094182F" w:rsidRDefault="00A772EC" w:rsidP="005D3AEF">
      <w:pPr>
        <w:numPr>
          <w:ilvl w:val="1"/>
          <w:numId w:val="4"/>
        </w:numPr>
        <w:tabs>
          <w:tab w:val="clear" w:pos="360"/>
          <w:tab w:val="num" w:pos="709"/>
        </w:tabs>
        <w:spacing w:before="60" w:after="60"/>
        <w:ind w:left="709" w:hanging="567"/>
        <w:rPr>
          <w:rFonts w:ascii="Arial" w:hAnsi="Arial"/>
          <w:sz w:val="22"/>
          <w:szCs w:val="22"/>
          <w:lang w:eastAsia="en-GB"/>
        </w:rPr>
      </w:pPr>
      <w:r>
        <w:rPr>
          <w:rFonts w:ascii="Arial" w:hAnsi="Arial"/>
          <w:sz w:val="22"/>
          <w:szCs w:val="22"/>
          <w:lang w:eastAsia="en-GB"/>
        </w:rPr>
        <w:t>The</w:t>
      </w:r>
      <w:r w:rsidR="0062199B">
        <w:rPr>
          <w:rFonts w:ascii="Arial" w:hAnsi="Arial"/>
          <w:sz w:val="22"/>
          <w:szCs w:val="22"/>
          <w:lang w:eastAsia="en-GB"/>
        </w:rPr>
        <w:t xml:space="preserve"> combined </w:t>
      </w:r>
      <w:r>
        <w:rPr>
          <w:rFonts w:ascii="Arial" w:hAnsi="Arial"/>
          <w:sz w:val="22"/>
          <w:szCs w:val="22"/>
          <w:lang w:eastAsia="en-GB"/>
        </w:rPr>
        <w:t xml:space="preserve">net increase of </w:t>
      </w:r>
      <w:r w:rsidR="00175C76">
        <w:rPr>
          <w:rFonts w:ascii="Arial" w:hAnsi="Arial"/>
          <w:sz w:val="22"/>
          <w:szCs w:val="22"/>
          <w:lang w:eastAsia="en-GB"/>
        </w:rPr>
        <w:t>£0.931m (</w:t>
      </w:r>
      <w:r>
        <w:rPr>
          <w:rFonts w:ascii="Arial" w:hAnsi="Arial"/>
          <w:sz w:val="22"/>
          <w:szCs w:val="22"/>
          <w:lang w:eastAsia="en-GB"/>
        </w:rPr>
        <w:t>£1.017</w:t>
      </w:r>
      <w:r w:rsidR="00FB48E4">
        <w:rPr>
          <w:rFonts w:ascii="Arial" w:hAnsi="Arial"/>
          <w:sz w:val="22"/>
          <w:szCs w:val="22"/>
          <w:lang w:eastAsia="en-GB"/>
        </w:rPr>
        <w:t xml:space="preserve">m </w:t>
      </w:r>
      <w:r w:rsidR="00175C76">
        <w:rPr>
          <w:rFonts w:ascii="Arial" w:hAnsi="Arial"/>
          <w:sz w:val="22"/>
          <w:szCs w:val="22"/>
          <w:lang w:eastAsia="en-GB"/>
        </w:rPr>
        <w:t xml:space="preserve">- £0.086 PFI uplift) </w:t>
      </w:r>
      <w:r w:rsidR="00FB48E4">
        <w:rPr>
          <w:rFonts w:ascii="Arial" w:hAnsi="Arial"/>
          <w:sz w:val="22"/>
          <w:szCs w:val="22"/>
          <w:lang w:eastAsia="en-GB"/>
        </w:rPr>
        <w:t>and the reallocation of £0.9</w:t>
      </w:r>
      <w:r w:rsidR="0006409D">
        <w:rPr>
          <w:rFonts w:ascii="Arial" w:hAnsi="Arial"/>
          <w:sz w:val="22"/>
          <w:szCs w:val="22"/>
          <w:lang w:eastAsia="en-GB"/>
        </w:rPr>
        <w:t>20</w:t>
      </w:r>
      <w:r>
        <w:rPr>
          <w:rFonts w:ascii="Arial" w:hAnsi="Arial"/>
          <w:sz w:val="22"/>
          <w:szCs w:val="22"/>
          <w:lang w:eastAsia="en-GB"/>
        </w:rPr>
        <w:t xml:space="preserve">m will </w:t>
      </w:r>
      <w:r w:rsidR="0099320B">
        <w:rPr>
          <w:rFonts w:ascii="Arial" w:hAnsi="Arial"/>
          <w:sz w:val="22"/>
          <w:szCs w:val="22"/>
          <w:lang w:eastAsia="en-GB"/>
        </w:rPr>
        <w:t xml:space="preserve">give headroom of </w:t>
      </w:r>
      <w:r w:rsidR="00175C76">
        <w:rPr>
          <w:rFonts w:ascii="Arial" w:hAnsi="Arial"/>
          <w:sz w:val="22"/>
          <w:szCs w:val="22"/>
          <w:lang w:eastAsia="en-GB"/>
        </w:rPr>
        <w:t>£1.851</w:t>
      </w:r>
      <w:r w:rsidR="0099320B">
        <w:rPr>
          <w:rFonts w:ascii="Arial" w:hAnsi="Arial"/>
          <w:sz w:val="22"/>
          <w:szCs w:val="22"/>
          <w:lang w:eastAsia="en-GB"/>
        </w:rPr>
        <w:t>m in 2019-20</w:t>
      </w:r>
      <w:r w:rsidR="0062199B">
        <w:rPr>
          <w:rFonts w:ascii="Arial" w:hAnsi="Arial"/>
          <w:sz w:val="22"/>
          <w:szCs w:val="22"/>
          <w:lang w:eastAsia="en-GB"/>
        </w:rPr>
        <w:t>.</w:t>
      </w:r>
      <w:r w:rsidR="00B15836">
        <w:rPr>
          <w:rFonts w:ascii="Arial" w:hAnsi="Arial"/>
          <w:sz w:val="22"/>
          <w:szCs w:val="22"/>
          <w:lang w:eastAsia="en-GB"/>
        </w:rPr>
        <w:t xml:space="preserve"> </w:t>
      </w:r>
    </w:p>
    <w:p w14:paraId="6F9AEC17" w14:textId="77777777" w:rsidR="00217A62" w:rsidRDefault="0099320B" w:rsidP="00EC1F78">
      <w:pPr>
        <w:numPr>
          <w:ilvl w:val="1"/>
          <w:numId w:val="4"/>
        </w:numPr>
        <w:tabs>
          <w:tab w:val="clear" w:pos="360"/>
          <w:tab w:val="num" w:pos="709"/>
        </w:tabs>
        <w:spacing w:before="60" w:after="60"/>
        <w:ind w:left="709" w:hanging="567"/>
        <w:rPr>
          <w:rFonts w:ascii="Arial" w:hAnsi="Arial"/>
          <w:sz w:val="22"/>
          <w:szCs w:val="22"/>
          <w:lang w:eastAsia="en-GB"/>
        </w:rPr>
      </w:pPr>
      <w:r>
        <w:rPr>
          <w:rFonts w:ascii="Arial" w:hAnsi="Arial"/>
          <w:sz w:val="22"/>
          <w:szCs w:val="22"/>
          <w:lang w:eastAsia="en-GB"/>
        </w:rPr>
        <w:t>Members need</w:t>
      </w:r>
      <w:r w:rsidR="00A56B45">
        <w:rPr>
          <w:rFonts w:ascii="Arial" w:hAnsi="Arial"/>
          <w:sz w:val="22"/>
          <w:szCs w:val="22"/>
          <w:lang w:eastAsia="en-GB"/>
        </w:rPr>
        <w:t xml:space="preserve"> be</w:t>
      </w:r>
      <w:r w:rsidR="00D2066C">
        <w:rPr>
          <w:rFonts w:ascii="Arial" w:hAnsi="Arial"/>
          <w:sz w:val="22"/>
          <w:szCs w:val="22"/>
          <w:lang w:eastAsia="en-GB"/>
        </w:rPr>
        <w:t xml:space="preserve"> mindful that the release of</w:t>
      </w:r>
      <w:r w:rsidR="00A56B45">
        <w:rPr>
          <w:rFonts w:ascii="Arial" w:hAnsi="Arial"/>
          <w:sz w:val="22"/>
          <w:szCs w:val="22"/>
          <w:lang w:eastAsia="en-GB"/>
        </w:rPr>
        <w:t xml:space="preserve"> NNDR is one-off and </w:t>
      </w:r>
      <w:r w:rsidR="00707D00">
        <w:rPr>
          <w:rFonts w:ascii="Arial" w:hAnsi="Arial"/>
          <w:sz w:val="22"/>
          <w:szCs w:val="22"/>
          <w:lang w:eastAsia="en-GB"/>
        </w:rPr>
        <w:t xml:space="preserve">will feed through to a reduction in the </w:t>
      </w:r>
      <w:r>
        <w:rPr>
          <w:rFonts w:ascii="Arial" w:hAnsi="Arial"/>
          <w:sz w:val="22"/>
          <w:szCs w:val="22"/>
          <w:lang w:eastAsia="en-GB"/>
        </w:rPr>
        <w:t>Schools Block</w:t>
      </w:r>
      <w:r w:rsidR="00707D00">
        <w:rPr>
          <w:rFonts w:ascii="Arial" w:hAnsi="Arial"/>
          <w:sz w:val="22"/>
          <w:szCs w:val="22"/>
          <w:lang w:eastAsia="en-GB"/>
        </w:rPr>
        <w:t xml:space="preserve"> </w:t>
      </w:r>
      <w:r>
        <w:rPr>
          <w:rFonts w:ascii="Arial" w:hAnsi="Arial"/>
          <w:sz w:val="22"/>
          <w:szCs w:val="22"/>
          <w:lang w:eastAsia="en-GB"/>
        </w:rPr>
        <w:t>in</w:t>
      </w:r>
      <w:r w:rsidR="00707D00">
        <w:rPr>
          <w:rFonts w:ascii="Arial" w:hAnsi="Arial"/>
          <w:sz w:val="22"/>
          <w:szCs w:val="22"/>
          <w:lang w:eastAsia="en-GB"/>
        </w:rPr>
        <w:t xml:space="preserve"> 2020-21.</w:t>
      </w:r>
      <w:r>
        <w:rPr>
          <w:rFonts w:ascii="Arial" w:hAnsi="Arial"/>
          <w:sz w:val="22"/>
          <w:szCs w:val="22"/>
          <w:lang w:eastAsia="en-GB"/>
        </w:rPr>
        <w:t xml:space="preserve"> To put this into the formula i</w:t>
      </w:r>
      <w:r w:rsidR="004541C5">
        <w:rPr>
          <w:rFonts w:ascii="Arial" w:hAnsi="Arial"/>
          <w:sz w:val="22"/>
          <w:szCs w:val="22"/>
          <w:lang w:eastAsia="en-GB"/>
        </w:rPr>
        <w:t xml:space="preserve">n 2019-20 will increase </w:t>
      </w:r>
      <w:r>
        <w:rPr>
          <w:rFonts w:ascii="Arial" w:hAnsi="Arial"/>
          <w:sz w:val="22"/>
          <w:szCs w:val="22"/>
          <w:lang w:eastAsia="en-GB"/>
        </w:rPr>
        <w:t>allocation</w:t>
      </w:r>
      <w:r w:rsidR="004541C5">
        <w:rPr>
          <w:rFonts w:ascii="Arial" w:hAnsi="Arial"/>
          <w:sz w:val="22"/>
          <w:szCs w:val="22"/>
          <w:lang w:eastAsia="en-GB"/>
        </w:rPr>
        <w:t>s in that year that will need to be reduced in 2020-21. The increase in 2019-20 would also incur MFG liabilities that would have to be met in subsequent years.</w:t>
      </w:r>
    </w:p>
    <w:p w14:paraId="256018D5" w14:textId="77777777" w:rsidR="00817F8A" w:rsidRDefault="00217A62" w:rsidP="00EC1F78">
      <w:pPr>
        <w:numPr>
          <w:ilvl w:val="1"/>
          <w:numId w:val="4"/>
        </w:numPr>
        <w:tabs>
          <w:tab w:val="clear" w:pos="360"/>
          <w:tab w:val="num" w:pos="709"/>
        </w:tabs>
        <w:spacing w:before="60" w:after="60"/>
        <w:ind w:left="709" w:hanging="567"/>
        <w:rPr>
          <w:rFonts w:ascii="Arial" w:hAnsi="Arial"/>
          <w:sz w:val="22"/>
          <w:szCs w:val="22"/>
          <w:lang w:eastAsia="en-GB"/>
        </w:rPr>
      </w:pPr>
      <w:r>
        <w:rPr>
          <w:rFonts w:ascii="Arial" w:hAnsi="Arial"/>
          <w:sz w:val="22"/>
          <w:szCs w:val="22"/>
          <w:lang w:eastAsia="en-GB"/>
        </w:rPr>
        <w:t xml:space="preserve">Forum has been informed of pressures in the High Needs Block (HNB), estimated to overspend by </w:t>
      </w:r>
      <w:r w:rsidRPr="00DA2E9C">
        <w:rPr>
          <w:rFonts w:ascii="Arial" w:hAnsi="Arial"/>
          <w:sz w:val="22"/>
          <w:szCs w:val="22"/>
          <w:lang w:eastAsia="en-GB"/>
        </w:rPr>
        <w:t>£</w:t>
      </w:r>
      <w:r w:rsidR="00DA2E9C">
        <w:rPr>
          <w:rFonts w:ascii="Arial" w:hAnsi="Arial"/>
          <w:sz w:val="22"/>
          <w:szCs w:val="22"/>
          <w:lang w:eastAsia="en-GB"/>
        </w:rPr>
        <w:t>2.606</w:t>
      </w:r>
      <w:r w:rsidRPr="00DA2E9C">
        <w:rPr>
          <w:rFonts w:ascii="Arial" w:hAnsi="Arial"/>
          <w:sz w:val="22"/>
          <w:szCs w:val="22"/>
          <w:lang w:eastAsia="en-GB"/>
        </w:rPr>
        <w:t>m</w:t>
      </w:r>
      <w:r>
        <w:rPr>
          <w:rFonts w:ascii="Arial" w:hAnsi="Arial"/>
          <w:sz w:val="22"/>
          <w:szCs w:val="22"/>
          <w:lang w:eastAsia="en-GB"/>
        </w:rPr>
        <w:t xml:space="preserve"> in 2018-19. </w:t>
      </w:r>
      <w:r w:rsidR="00B547DF">
        <w:rPr>
          <w:rFonts w:ascii="Arial" w:hAnsi="Arial"/>
          <w:sz w:val="22"/>
          <w:szCs w:val="22"/>
          <w:lang w:eastAsia="en-GB"/>
        </w:rPr>
        <w:t>The pressure on the HND will need to be contained and options may impact on top-up funding for pupils with special needs.</w:t>
      </w:r>
    </w:p>
    <w:p w14:paraId="72A55B33" w14:textId="77777777" w:rsidR="00B27C09" w:rsidRDefault="00B547DF" w:rsidP="00743D52">
      <w:pPr>
        <w:numPr>
          <w:ilvl w:val="1"/>
          <w:numId w:val="4"/>
        </w:numPr>
        <w:tabs>
          <w:tab w:val="clear" w:pos="360"/>
          <w:tab w:val="num" w:pos="709"/>
        </w:tabs>
        <w:spacing w:before="60" w:after="60"/>
        <w:ind w:left="709" w:hanging="567"/>
        <w:rPr>
          <w:rFonts w:ascii="Arial" w:hAnsi="Arial"/>
          <w:sz w:val="22"/>
          <w:szCs w:val="22"/>
          <w:lang w:eastAsia="en-GB"/>
        </w:rPr>
      </w:pPr>
      <w:r>
        <w:rPr>
          <w:rFonts w:ascii="Arial" w:hAnsi="Arial"/>
          <w:sz w:val="22"/>
          <w:szCs w:val="22"/>
          <w:lang w:eastAsia="en-GB"/>
        </w:rPr>
        <w:t>Regulations allow for Forum to agree a one-off transfer of up to 0.5% of the Schools Block into the High Needs Block. This would allow a transfer of up to £1.3m (based on indicative allocations) that would</w:t>
      </w:r>
      <w:r w:rsidR="00817F8A">
        <w:rPr>
          <w:rFonts w:ascii="Arial" w:hAnsi="Arial"/>
          <w:sz w:val="22"/>
          <w:szCs w:val="22"/>
          <w:lang w:eastAsia="en-GB"/>
        </w:rPr>
        <w:t xml:space="preserve"> help ease the pressure on the HNB in 2019-20.</w:t>
      </w:r>
      <w:r w:rsidR="00D2066C">
        <w:rPr>
          <w:rFonts w:ascii="Arial" w:hAnsi="Arial"/>
          <w:sz w:val="22"/>
          <w:szCs w:val="22"/>
          <w:lang w:eastAsia="en-GB"/>
        </w:rPr>
        <w:t xml:space="preserve"> </w:t>
      </w:r>
      <w:r w:rsidR="005B7A80">
        <w:rPr>
          <w:rFonts w:ascii="Arial" w:hAnsi="Arial"/>
          <w:sz w:val="22"/>
          <w:szCs w:val="22"/>
          <w:lang w:eastAsia="en-GB"/>
        </w:rPr>
        <w:t xml:space="preserve">The options considered seek to avoid the use of the £0.920m as far as possible and it is </w:t>
      </w:r>
      <w:r>
        <w:rPr>
          <w:rFonts w:ascii="Arial" w:hAnsi="Arial"/>
          <w:sz w:val="22"/>
          <w:szCs w:val="22"/>
          <w:lang w:eastAsia="en-GB"/>
        </w:rPr>
        <w:t xml:space="preserve">recommended that </w:t>
      </w:r>
      <w:r w:rsidR="005B7A80">
        <w:rPr>
          <w:rFonts w:ascii="Arial" w:hAnsi="Arial"/>
          <w:sz w:val="22"/>
          <w:szCs w:val="22"/>
          <w:lang w:eastAsia="en-GB"/>
        </w:rPr>
        <w:t>the balance of this</w:t>
      </w:r>
      <w:r>
        <w:rPr>
          <w:rFonts w:ascii="Arial" w:hAnsi="Arial"/>
          <w:sz w:val="22"/>
          <w:szCs w:val="22"/>
          <w:lang w:eastAsia="en-GB"/>
        </w:rPr>
        <w:t xml:space="preserve"> one-off </w:t>
      </w:r>
      <w:r w:rsidR="005B7A80">
        <w:rPr>
          <w:rFonts w:ascii="Arial" w:hAnsi="Arial"/>
          <w:sz w:val="22"/>
          <w:szCs w:val="22"/>
          <w:lang w:eastAsia="en-GB"/>
        </w:rPr>
        <w:t xml:space="preserve">funding </w:t>
      </w:r>
      <w:r>
        <w:rPr>
          <w:rFonts w:ascii="Arial" w:hAnsi="Arial"/>
          <w:sz w:val="22"/>
          <w:szCs w:val="22"/>
          <w:lang w:eastAsia="en-GB"/>
        </w:rPr>
        <w:t>is transferred to the HNB in 2019-20 only.</w:t>
      </w:r>
    </w:p>
    <w:p w14:paraId="4CA899BB" w14:textId="77777777" w:rsidR="00743D52" w:rsidRPr="00743D52" w:rsidRDefault="00743D52" w:rsidP="00743D52">
      <w:pPr>
        <w:spacing w:before="60" w:after="60"/>
        <w:ind w:left="709"/>
        <w:rPr>
          <w:rFonts w:ascii="Arial" w:hAnsi="Arial"/>
          <w:sz w:val="22"/>
          <w:szCs w:val="22"/>
          <w:lang w:eastAsia="en-GB"/>
        </w:rPr>
      </w:pPr>
    </w:p>
    <w:p w14:paraId="7B1E6B7A" w14:textId="77777777" w:rsidR="0034195B" w:rsidRDefault="00FF7E2A" w:rsidP="00B27C09">
      <w:pPr>
        <w:numPr>
          <w:ilvl w:val="0"/>
          <w:numId w:val="4"/>
        </w:numPr>
        <w:tabs>
          <w:tab w:val="clear" w:pos="360"/>
          <w:tab w:val="num" w:pos="709"/>
        </w:tabs>
        <w:spacing w:before="60" w:after="60"/>
        <w:ind w:left="709" w:hanging="709"/>
        <w:rPr>
          <w:rFonts w:ascii="Arial" w:hAnsi="Arial"/>
          <w:b/>
          <w:sz w:val="22"/>
          <w:szCs w:val="22"/>
        </w:rPr>
      </w:pPr>
      <w:r w:rsidRPr="00B27C09">
        <w:rPr>
          <w:rFonts w:ascii="Arial" w:hAnsi="Arial"/>
          <w:b/>
          <w:sz w:val="22"/>
          <w:szCs w:val="22"/>
        </w:rPr>
        <w:t xml:space="preserve">  </w:t>
      </w:r>
      <w:r w:rsidR="00E0101E" w:rsidRPr="00B27C09">
        <w:rPr>
          <w:rFonts w:ascii="Arial" w:hAnsi="Arial"/>
          <w:b/>
          <w:sz w:val="22"/>
          <w:szCs w:val="22"/>
        </w:rPr>
        <w:t xml:space="preserve"> </w:t>
      </w:r>
      <w:r w:rsidR="00B27C09">
        <w:rPr>
          <w:rFonts w:ascii="Arial" w:hAnsi="Arial"/>
          <w:b/>
          <w:sz w:val="22"/>
          <w:szCs w:val="22"/>
        </w:rPr>
        <w:t>OPTIONS</w:t>
      </w:r>
      <w:r w:rsidR="00B27C09" w:rsidRPr="00B27C09">
        <w:rPr>
          <w:rFonts w:ascii="Arial" w:hAnsi="Arial"/>
          <w:b/>
          <w:sz w:val="22"/>
          <w:szCs w:val="22"/>
        </w:rPr>
        <w:t>.</w:t>
      </w:r>
    </w:p>
    <w:p w14:paraId="590E31A3" w14:textId="77777777" w:rsidR="00945949" w:rsidRPr="00945949" w:rsidRDefault="00743D52" w:rsidP="00945949">
      <w:pPr>
        <w:numPr>
          <w:ilvl w:val="1"/>
          <w:numId w:val="4"/>
        </w:numPr>
        <w:tabs>
          <w:tab w:val="clear" w:pos="360"/>
          <w:tab w:val="num" w:pos="709"/>
        </w:tabs>
        <w:spacing w:before="60" w:after="60"/>
        <w:ind w:left="709" w:hanging="567"/>
        <w:rPr>
          <w:rFonts w:ascii="Arial" w:hAnsi="Arial"/>
          <w:b/>
          <w:sz w:val="22"/>
          <w:szCs w:val="22"/>
        </w:rPr>
      </w:pPr>
      <w:r>
        <w:rPr>
          <w:rFonts w:ascii="Arial" w:hAnsi="Arial"/>
          <w:sz w:val="22"/>
          <w:szCs w:val="22"/>
        </w:rPr>
        <w:t>The m</w:t>
      </w:r>
      <w:r w:rsidR="00945949">
        <w:rPr>
          <w:rFonts w:ascii="Arial" w:hAnsi="Arial"/>
          <w:sz w:val="22"/>
          <w:szCs w:val="22"/>
        </w:rPr>
        <w:t>odel</w:t>
      </w:r>
      <w:r>
        <w:rPr>
          <w:rFonts w:ascii="Arial" w:hAnsi="Arial"/>
          <w:sz w:val="22"/>
          <w:szCs w:val="22"/>
        </w:rPr>
        <w:t>s</w:t>
      </w:r>
      <w:r w:rsidR="00945949">
        <w:rPr>
          <w:rFonts w:ascii="Arial" w:hAnsi="Arial"/>
          <w:sz w:val="22"/>
          <w:szCs w:val="22"/>
        </w:rPr>
        <w:t xml:space="preserve"> used the indicative Schools Block for 2019-20 and </w:t>
      </w:r>
      <w:r>
        <w:rPr>
          <w:rFonts w:ascii="Arial" w:hAnsi="Arial"/>
          <w:sz w:val="22"/>
          <w:szCs w:val="22"/>
        </w:rPr>
        <w:t>the latest NNDR estimates. The</w:t>
      </w:r>
      <w:r w:rsidR="00945949">
        <w:rPr>
          <w:rFonts w:ascii="Arial" w:hAnsi="Arial"/>
          <w:sz w:val="22"/>
          <w:szCs w:val="22"/>
        </w:rPr>
        <w:t xml:space="preserve"> </w:t>
      </w:r>
      <w:r>
        <w:rPr>
          <w:rFonts w:ascii="Arial" w:hAnsi="Arial"/>
          <w:sz w:val="22"/>
          <w:szCs w:val="22"/>
        </w:rPr>
        <w:t>models are</w:t>
      </w:r>
      <w:r w:rsidR="00945949">
        <w:rPr>
          <w:rFonts w:ascii="Arial" w:hAnsi="Arial"/>
          <w:sz w:val="22"/>
          <w:szCs w:val="22"/>
        </w:rPr>
        <w:t>:</w:t>
      </w:r>
    </w:p>
    <w:p w14:paraId="1093200C" w14:textId="77777777" w:rsidR="00945949" w:rsidRPr="00B365D3" w:rsidRDefault="00945949" w:rsidP="00B365D3">
      <w:pPr>
        <w:numPr>
          <w:ilvl w:val="0"/>
          <w:numId w:val="34"/>
        </w:numPr>
        <w:spacing w:before="60"/>
        <w:jc w:val="both"/>
        <w:rPr>
          <w:rFonts w:ascii="Arial" w:hAnsi="Arial"/>
          <w:sz w:val="22"/>
          <w:szCs w:val="22"/>
          <w:lang w:eastAsia="en-GB"/>
        </w:rPr>
      </w:pPr>
      <w:r>
        <w:rPr>
          <w:rFonts w:ascii="Arial" w:hAnsi="Arial"/>
          <w:sz w:val="22"/>
          <w:szCs w:val="22"/>
          <w:lang w:eastAsia="en-GB"/>
        </w:rPr>
        <w:t>Current funding formula without the funding floor;</w:t>
      </w:r>
    </w:p>
    <w:p w14:paraId="77411A10" w14:textId="77777777" w:rsidR="00B27C09" w:rsidRDefault="00945949" w:rsidP="00945949">
      <w:pPr>
        <w:numPr>
          <w:ilvl w:val="0"/>
          <w:numId w:val="34"/>
        </w:numPr>
        <w:spacing w:before="60"/>
        <w:jc w:val="both"/>
        <w:rPr>
          <w:rFonts w:ascii="Arial" w:hAnsi="Arial"/>
          <w:sz w:val="22"/>
          <w:szCs w:val="22"/>
          <w:lang w:eastAsia="en-GB"/>
        </w:rPr>
      </w:pPr>
      <w:r>
        <w:rPr>
          <w:rFonts w:ascii="Arial" w:hAnsi="Arial"/>
          <w:sz w:val="22"/>
          <w:szCs w:val="22"/>
          <w:lang w:eastAsia="en-GB"/>
        </w:rPr>
        <w:t>Current funding formula with the funding floor;</w:t>
      </w:r>
    </w:p>
    <w:p w14:paraId="1791D060" w14:textId="77777777" w:rsidR="00B365D3" w:rsidRDefault="00B365D3" w:rsidP="00945949">
      <w:pPr>
        <w:numPr>
          <w:ilvl w:val="0"/>
          <w:numId w:val="34"/>
        </w:numPr>
        <w:spacing w:before="60"/>
        <w:jc w:val="both"/>
        <w:rPr>
          <w:rFonts w:ascii="Arial" w:hAnsi="Arial"/>
          <w:sz w:val="22"/>
          <w:szCs w:val="22"/>
          <w:lang w:eastAsia="en-GB"/>
        </w:rPr>
      </w:pPr>
      <w:r>
        <w:rPr>
          <w:rFonts w:ascii="Arial" w:hAnsi="Arial"/>
          <w:sz w:val="22"/>
          <w:szCs w:val="22"/>
          <w:lang w:eastAsia="en-GB"/>
        </w:rPr>
        <w:t>NFF funding formula without the funding floor</w:t>
      </w:r>
    </w:p>
    <w:p w14:paraId="4FF3B064" w14:textId="77777777" w:rsidR="00856CD3" w:rsidRPr="00A34B39" w:rsidRDefault="00945949" w:rsidP="00A34B39">
      <w:pPr>
        <w:numPr>
          <w:ilvl w:val="0"/>
          <w:numId w:val="34"/>
        </w:numPr>
        <w:spacing w:before="60"/>
        <w:jc w:val="both"/>
        <w:rPr>
          <w:rFonts w:ascii="Arial" w:hAnsi="Arial"/>
          <w:sz w:val="22"/>
          <w:szCs w:val="22"/>
          <w:lang w:eastAsia="en-GB"/>
        </w:rPr>
      </w:pPr>
      <w:r>
        <w:rPr>
          <w:rFonts w:ascii="Arial" w:hAnsi="Arial"/>
          <w:sz w:val="22"/>
          <w:szCs w:val="22"/>
          <w:lang w:eastAsia="en-GB"/>
        </w:rPr>
        <w:lastRenderedPageBreak/>
        <w:t>NFF funding formula with the funding floor.</w:t>
      </w:r>
    </w:p>
    <w:p w14:paraId="52C2CB09" w14:textId="77777777" w:rsidR="00743D52" w:rsidRDefault="00856CD3" w:rsidP="00945949">
      <w:pPr>
        <w:numPr>
          <w:ilvl w:val="1"/>
          <w:numId w:val="4"/>
        </w:numPr>
        <w:tabs>
          <w:tab w:val="clear" w:pos="360"/>
          <w:tab w:val="num" w:pos="709"/>
        </w:tabs>
        <w:spacing w:before="60" w:after="60"/>
        <w:ind w:left="709" w:hanging="567"/>
        <w:rPr>
          <w:rFonts w:ascii="Arial" w:hAnsi="Arial"/>
          <w:sz w:val="22"/>
          <w:szCs w:val="22"/>
        </w:rPr>
      </w:pPr>
      <w:r w:rsidRPr="00743D52">
        <w:rPr>
          <w:rFonts w:ascii="Arial" w:hAnsi="Arial"/>
          <w:sz w:val="22"/>
          <w:szCs w:val="22"/>
        </w:rPr>
        <w:t>The results are show</w:t>
      </w:r>
      <w:r w:rsidR="00782F31" w:rsidRPr="00743D52">
        <w:rPr>
          <w:rFonts w:ascii="Arial" w:hAnsi="Arial"/>
          <w:sz w:val="22"/>
          <w:szCs w:val="22"/>
        </w:rPr>
        <w:t>n</w:t>
      </w:r>
      <w:r w:rsidRPr="00743D52">
        <w:rPr>
          <w:rFonts w:ascii="Arial" w:hAnsi="Arial"/>
          <w:sz w:val="22"/>
          <w:szCs w:val="22"/>
        </w:rPr>
        <w:t xml:space="preserve"> by school in Appendix 3.</w:t>
      </w:r>
      <w:r w:rsidR="000D1704" w:rsidRPr="00743D52">
        <w:rPr>
          <w:rFonts w:ascii="Arial" w:hAnsi="Arial"/>
          <w:sz w:val="22"/>
          <w:szCs w:val="22"/>
        </w:rPr>
        <w:t xml:space="preserve"> </w:t>
      </w:r>
    </w:p>
    <w:p w14:paraId="15F408E4" w14:textId="77777777" w:rsidR="00A34B39" w:rsidRPr="00743D52" w:rsidRDefault="00A34B39" w:rsidP="00945949">
      <w:pPr>
        <w:numPr>
          <w:ilvl w:val="1"/>
          <w:numId w:val="4"/>
        </w:numPr>
        <w:tabs>
          <w:tab w:val="clear" w:pos="360"/>
          <w:tab w:val="num" w:pos="709"/>
        </w:tabs>
        <w:spacing w:before="60" w:after="60"/>
        <w:ind w:left="709" w:hanging="567"/>
        <w:rPr>
          <w:rFonts w:ascii="Arial" w:hAnsi="Arial"/>
          <w:sz w:val="22"/>
          <w:szCs w:val="22"/>
        </w:rPr>
      </w:pPr>
      <w:r w:rsidRPr="00743D52">
        <w:rPr>
          <w:rFonts w:ascii="Arial" w:hAnsi="Arial"/>
          <w:sz w:val="22"/>
          <w:szCs w:val="22"/>
        </w:rPr>
        <w:t>The allocations, including the original ones for 2018-19, are shown net of NNDR as the significant movements in this would distort the pure formula changes.</w:t>
      </w:r>
      <w:r w:rsidR="005D5A88" w:rsidRPr="00743D52">
        <w:rPr>
          <w:rFonts w:ascii="Arial" w:hAnsi="Arial"/>
          <w:sz w:val="22"/>
          <w:szCs w:val="22"/>
        </w:rPr>
        <w:t xml:space="preserve"> PFI allocations have also been removed in order to show the impact of general formula changes. </w:t>
      </w:r>
    </w:p>
    <w:p w14:paraId="4E05C687" w14:textId="77777777" w:rsidR="00B53165" w:rsidRDefault="00A34B39" w:rsidP="00945949">
      <w:pPr>
        <w:numPr>
          <w:ilvl w:val="1"/>
          <w:numId w:val="4"/>
        </w:numPr>
        <w:tabs>
          <w:tab w:val="clear" w:pos="360"/>
          <w:tab w:val="num" w:pos="709"/>
        </w:tabs>
        <w:spacing w:before="60" w:after="60"/>
        <w:ind w:left="709" w:hanging="567"/>
        <w:rPr>
          <w:rFonts w:ascii="Arial" w:hAnsi="Arial"/>
          <w:sz w:val="22"/>
          <w:szCs w:val="22"/>
        </w:rPr>
      </w:pPr>
      <w:r>
        <w:rPr>
          <w:rFonts w:ascii="Arial" w:hAnsi="Arial"/>
          <w:sz w:val="22"/>
          <w:szCs w:val="22"/>
        </w:rPr>
        <w:t>The influence imposed by the MFG and funding floor and the restrictions p</w:t>
      </w:r>
      <w:r w:rsidR="00175C76">
        <w:rPr>
          <w:rFonts w:ascii="Arial" w:hAnsi="Arial"/>
          <w:sz w:val="22"/>
          <w:szCs w:val="22"/>
        </w:rPr>
        <w:t>laced on allowable values, mean</w:t>
      </w:r>
      <w:r>
        <w:rPr>
          <w:rFonts w:ascii="Arial" w:hAnsi="Arial"/>
          <w:sz w:val="22"/>
          <w:szCs w:val="22"/>
        </w:rPr>
        <w:t xml:space="preserve"> it was not always possible to balance the models without unacceptable changes in factor values. The following table sets out the resource available and those required for each model and the resulting sum that can be transferred to </w:t>
      </w:r>
      <w:r w:rsidR="00F81BEF">
        <w:rPr>
          <w:rFonts w:ascii="Arial" w:hAnsi="Arial"/>
          <w:sz w:val="22"/>
          <w:szCs w:val="22"/>
        </w:rPr>
        <w:t>the HNB.</w:t>
      </w:r>
    </w:p>
    <w:p w14:paraId="4E9E0F9F" w14:textId="77777777" w:rsidR="0009333C" w:rsidRDefault="0009333C" w:rsidP="00945949">
      <w:pPr>
        <w:numPr>
          <w:ilvl w:val="1"/>
          <w:numId w:val="4"/>
        </w:numPr>
        <w:tabs>
          <w:tab w:val="clear" w:pos="360"/>
          <w:tab w:val="num" w:pos="709"/>
        </w:tabs>
        <w:spacing w:before="60" w:after="60"/>
        <w:ind w:left="709" w:hanging="567"/>
        <w:rPr>
          <w:rFonts w:ascii="Arial" w:hAnsi="Arial"/>
          <w:sz w:val="22"/>
          <w:szCs w:val="22"/>
        </w:rPr>
      </w:pPr>
      <w:r>
        <w:rPr>
          <w:rFonts w:ascii="Arial" w:hAnsi="Arial"/>
          <w:sz w:val="22"/>
          <w:szCs w:val="22"/>
        </w:rPr>
        <w:t>The balancing of Model 1, the current funding formula, using the MFG near the maximum gave little scope for remodelling using variations on the capping and scaling factors (see 4.4 c.). Very little is generated through capping and scaling even when the former was set to 1%. This option was therefore not explored further.</w:t>
      </w:r>
    </w:p>
    <w:p w14:paraId="20CA13CA" w14:textId="77777777" w:rsidR="00B53165" w:rsidRDefault="00B53165" w:rsidP="00B53165">
      <w:pPr>
        <w:spacing w:before="60" w:after="60"/>
        <w:ind w:left="142"/>
        <w:rPr>
          <w:rFonts w:ascii="Arial" w:hAnsi="Arial"/>
          <w:sz w:val="22"/>
          <w:szCs w:val="22"/>
        </w:rPr>
      </w:pPr>
    </w:p>
    <w:tbl>
      <w:tblPr>
        <w:tblStyle w:val="TableGrid"/>
        <w:tblW w:w="0" w:type="auto"/>
        <w:tblLook w:val="04A0" w:firstRow="1" w:lastRow="0" w:firstColumn="1" w:lastColumn="0" w:noHBand="0" w:noVBand="1"/>
      </w:tblPr>
      <w:tblGrid>
        <w:gridCol w:w="3061"/>
        <w:gridCol w:w="1308"/>
        <w:gridCol w:w="1309"/>
        <w:gridCol w:w="1309"/>
        <w:gridCol w:w="1309"/>
      </w:tblGrid>
      <w:tr w:rsidR="00B53165" w:rsidRPr="00856324" w14:paraId="797966C3" w14:textId="77777777" w:rsidTr="00421CFE">
        <w:tc>
          <w:tcPr>
            <w:tcW w:w="3227" w:type="dxa"/>
          </w:tcPr>
          <w:p w14:paraId="0365FBBC" w14:textId="77777777" w:rsidR="00B53165" w:rsidRPr="00856324" w:rsidRDefault="00B53165" w:rsidP="00856324">
            <w:pPr>
              <w:spacing w:before="60" w:after="60"/>
              <w:rPr>
                <w:rFonts w:ascii="Arial" w:hAnsi="Arial"/>
                <w:sz w:val="22"/>
                <w:szCs w:val="22"/>
              </w:rPr>
            </w:pPr>
          </w:p>
        </w:tc>
        <w:tc>
          <w:tcPr>
            <w:tcW w:w="1337" w:type="dxa"/>
          </w:tcPr>
          <w:p w14:paraId="7A771C7B" w14:textId="77777777" w:rsidR="00B53165" w:rsidRPr="00821B99" w:rsidRDefault="00B53165" w:rsidP="00856324">
            <w:pPr>
              <w:spacing w:before="60" w:after="60"/>
              <w:jc w:val="center"/>
              <w:rPr>
                <w:rFonts w:ascii="Arial" w:hAnsi="Arial"/>
                <w:b/>
                <w:sz w:val="22"/>
                <w:szCs w:val="22"/>
              </w:rPr>
            </w:pPr>
            <w:r w:rsidRPr="00821B99">
              <w:rPr>
                <w:rFonts w:ascii="Arial" w:hAnsi="Arial"/>
                <w:b/>
                <w:sz w:val="22"/>
                <w:szCs w:val="22"/>
              </w:rPr>
              <w:t>Model 1</w:t>
            </w:r>
          </w:p>
        </w:tc>
        <w:tc>
          <w:tcPr>
            <w:tcW w:w="1338" w:type="dxa"/>
          </w:tcPr>
          <w:p w14:paraId="468C9BEF" w14:textId="77777777" w:rsidR="00B53165" w:rsidRPr="00821B99" w:rsidRDefault="00B53165" w:rsidP="00856324">
            <w:pPr>
              <w:spacing w:before="60" w:after="60"/>
              <w:jc w:val="center"/>
              <w:rPr>
                <w:rFonts w:ascii="Arial" w:hAnsi="Arial"/>
                <w:b/>
                <w:sz w:val="22"/>
                <w:szCs w:val="22"/>
              </w:rPr>
            </w:pPr>
            <w:r w:rsidRPr="00821B99">
              <w:rPr>
                <w:rFonts w:ascii="Arial" w:hAnsi="Arial"/>
                <w:b/>
                <w:sz w:val="22"/>
                <w:szCs w:val="22"/>
              </w:rPr>
              <w:t>Model 2</w:t>
            </w:r>
          </w:p>
        </w:tc>
        <w:tc>
          <w:tcPr>
            <w:tcW w:w="1338" w:type="dxa"/>
          </w:tcPr>
          <w:p w14:paraId="1B470667" w14:textId="77777777" w:rsidR="00B53165" w:rsidRPr="00821B99" w:rsidRDefault="00B53165" w:rsidP="00856324">
            <w:pPr>
              <w:spacing w:before="60" w:after="60"/>
              <w:jc w:val="center"/>
              <w:rPr>
                <w:rFonts w:ascii="Arial" w:hAnsi="Arial"/>
                <w:b/>
                <w:sz w:val="22"/>
                <w:szCs w:val="22"/>
              </w:rPr>
            </w:pPr>
            <w:r w:rsidRPr="00821B99">
              <w:rPr>
                <w:rFonts w:ascii="Arial" w:hAnsi="Arial"/>
                <w:b/>
                <w:sz w:val="22"/>
                <w:szCs w:val="22"/>
              </w:rPr>
              <w:t>Model 3</w:t>
            </w:r>
          </w:p>
        </w:tc>
        <w:tc>
          <w:tcPr>
            <w:tcW w:w="1338" w:type="dxa"/>
          </w:tcPr>
          <w:p w14:paraId="0ECD6A73" w14:textId="77777777" w:rsidR="00B53165" w:rsidRPr="00821B99" w:rsidRDefault="00B53165" w:rsidP="00856324">
            <w:pPr>
              <w:spacing w:before="60" w:after="60"/>
              <w:jc w:val="center"/>
              <w:rPr>
                <w:rFonts w:ascii="Arial" w:hAnsi="Arial"/>
                <w:b/>
                <w:sz w:val="22"/>
                <w:szCs w:val="22"/>
              </w:rPr>
            </w:pPr>
            <w:r w:rsidRPr="00821B99">
              <w:rPr>
                <w:rFonts w:ascii="Arial" w:hAnsi="Arial"/>
                <w:b/>
                <w:sz w:val="22"/>
                <w:szCs w:val="22"/>
              </w:rPr>
              <w:t>Model 4</w:t>
            </w:r>
          </w:p>
        </w:tc>
      </w:tr>
      <w:tr w:rsidR="004E530A" w:rsidRPr="00856324" w14:paraId="156180B6" w14:textId="77777777" w:rsidTr="00421CFE">
        <w:tc>
          <w:tcPr>
            <w:tcW w:w="3227" w:type="dxa"/>
          </w:tcPr>
          <w:p w14:paraId="41682E64" w14:textId="77777777" w:rsidR="004E530A" w:rsidRPr="00856324" w:rsidRDefault="004E530A" w:rsidP="00856324">
            <w:pPr>
              <w:spacing w:before="60" w:after="60"/>
              <w:rPr>
                <w:rFonts w:ascii="Arial" w:hAnsi="Arial"/>
                <w:sz w:val="22"/>
                <w:szCs w:val="22"/>
              </w:rPr>
            </w:pPr>
          </w:p>
        </w:tc>
        <w:tc>
          <w:tcPr>
            <w:tcW w:w="1337" w:type="dxa"/>
          </w:tcPr>
          <w:p w14:paraId="54C88D5D" w14:textId="77777777" w:rsidR="004E530A" w:rsidRPr="00856324" w:rsidRDefault="004E530A" w:rsidP="00856324">
            <w:pPr>
              <w:spacing w:before="60" w:after="60"/>
              <w:jc w:val="center"/>
              <w:rPr>
                <w:rFonts w:ascii="Arial" w:hAnsi="Arial"/>
                <w:sz w:val="22"/>
                <w:szCs w:val="22"/>
              </w:rPr>
            </w:pPr>
            <w:r w:rsidRPr="00856324">
              <w:rPr>
                <w:rFonts w:ascii="Arial" w:hAnsi="Arial"/>
                <w:sz w:val="22"/>
                <w:szCs w:val="22"/>
              </w:rPr>
              <w:t>£000</w:t>
            </w:r>
          </w:p>
        </w:tc>
        <w:tc>
          <w:tcPr>
            <w:tcW w:w="1338" w:type="dxa"/>
          </w:tcPr>
          <w:p w14:paraId="2CE41D3A" w14:textId="77777777" w:rsidR="004E530A" w:rsidRPr="00856324" w:rsidRDefault="004E530A" w:rsidP="00856324">
            <w:pPr>
              <w:spacing w:before="60" w:after="60"/>
              <w:jc w:val="center"/>
              <w:rPr>
                <w:rFonts w:ascii="Arial" w:hAnsi="Arial"/>
                <w:sz w:val="22"/>
                <w:szCs w:val="22"/>
              </w:rPr>
            </w:pPr>
            <w:r w:rsidRPr="00856324">
              <w:rPr>
                <w:rFonts w:ascii="Arial" w:hAnsi="Arial"/>
                <w:sz w:val="22"/>
                <w:szCs w:val="22"/>
              </w:rPr>
              <w:t>£000</w:t>
            </w:r>
          </w:p>
        </w:tc>
        <w:tc>
          <w:tcPr>
            <w:tcW w:w="1338" w:type="dxa"/>
          </w:tcPr>
          <w:p w14:paraId="4641F7E3" w14:textId="77777777" w:rsidR="004E530A" w:rsidRPr="00856324" w:rsidRDefault="004E530A" w:rsidP="00856324">
            <w:pPr>
              <w:spacing w:before="60" w:after="60"/>
              <w:jc w:val="center"/>
              <w:rPr>
                <w:rFonts w:ascii="Arial" w:hAnsi="Arial"/>
                <w:sz w:val="22"/>
                <w:szCs w:val="22"/>
              </w:rPr>
            </w:pPr>
            <w:r w:rsidRPr="00856324">
              <w:rPr>
                <w:rFonts w:ascii="Arial" w:hAnsi="Arial"/>
                <w:sz w:val="22"/>
                <w:szCs w:val="22"/>
              </w:rPr>
              <w:t>£000</w:t>
            </w:r>
          </w:p>
        </w:tc>
        <w:tc>
          <w:tcPr>
            <w:tcW w:w="1338" w:type="dxa"/>
          </w:tcPr>
          <w:p w14:paraId="6BCF93AF" w14:textId="77777777" w:rsidR="004E530A" w:rsidRPr="00856324" w:rsidRDefault="004E530A" w:rsidP="00856324">
            <w:pPr>
              <w:spacing w:before="60" w:after="60"/>
              <w:jc w:val="center"/>
              <w:rPr>
                <w:rFonts w:ascii="Arial" w:hAnsi="Arial"/>
                <w:sz w:val="22"/>
                <w:szCs w:val="22"/>
              </w:rPr>
            </w:pPr>
            <w:r w:rsidRPr="00856324">
              <w:rPr>
                <w:rFonts w:ascii="Arial" w:hAnsi="Arial"/>
                <w:sz w:val="22"/>
                <w:szCs w:val="22"/>
              </w:rPr>
              <w:t>£000</w:t>
            </w:r>
          </w:p>
        </w:tc>
      </w:tr>
      <w:tr w:rsidR="00B53165" w:rsidRPr="00856324" w14:paraId="32156C8E" w14:textId="77777777" w:rsidTr="00421CFE">
        <w:tc>
          <w:tcPr>
            <w:tcW w:w="3227" w:type="dxa"/>
          </w:tcPr>
          <w:p w14:paraId="58937B64" w14:textId="77777777" w:rsidR="00B53165" w:rsidRPr="00856324" w:rsidRDefault="0076538C" w:rsidP="00856324">
            <w:pPr>
              <w:spacing w:before="60" w:after="60"/>
              <w:rPr>
                <w:rFonts w:ascii="Arial" w:hAnsi="Arial"/>
                <w:sz w:val="22"/>
                <w:szCs w:val="22"/>
              </w:rPr>
            </w:pPr>
            <w:r>
              <w:rPr>
                <w:rFonts w:ascii="Arial" w:hAnsi="Arial"/>
                <w:sz w:val="22"/>
                <w:szCs w:val="22"/>
              </w:rPr>
              <w:t>a. Resource available</w:t>
            </w:r>
            <w:r w:rsidR="00B53165" w:rsidRPr="00856324">
              <w:rPr>
                <w:rFonts w:ascii="Arial" w:hAnsi="Arial"/>
                <w:sz w:val="22"/>
                <w:szCs w:val="22"/>
              </w:rPr>
              <w:t xml:space="preserve"> </w:t>
            </w:r>
            <w:r>
              <w:rPr>
                <w:rFonts w:ascii="Arial" w:hAnsi="Arial"/>
                <w:sz w:val="22"/>
                <w:szCs w:val="22"/>
              </w:rPr>
              <w:t>(</w:t>
            </w:r>
            <w:r w:rsidR="005D5A88">
              <w:rPr>
                <w:rFonts w:ascii="Arial" w:hAnsi="Arial"/>
                <w:sz w:val="22"/>
                <w:szCs w:val="22"/>
              </w:rPr>
              <w:t xml:space="preserve">excluding NNDR, </w:t>
            </w:r>
            <w:r w:rsidR="00B53165" w:rsidRPr="00856324">
              <w:rPr>
                <w:rFonts w:ascii="Arial" w:hAnsi="Arial"/>
                <w:sz w:val="22"/>
                <w:szCs w:val="22"/>
              </w:rPr>
              <w:t>one-off adjustment</w:t>
            </w:r>
            <w:r w:rsidR="005D5A88">
              <w:rPr>
                <w:rFonts w:ascii="Arial" w:hAnsi="Arial"/>
                <w:sz w:val="22"/>
                <w:szCs w:val="22"/>
              </w:rPr>
              <w:t xml:space="preserve"> and PFI</w:t>
            </w:r>
            <w:r>
              <w:rPr>
                <w:rFonts w:ascii="Arial" w:hAnsi="Arial"/>
                <w:sz w:val="22"/>
                <w:szCs w:val="22"/>
              </w:rPr>
              <w:t>).</w:t>
            </w:r>
          </w:p>
        </w:tc>
        <w:tc>
          <w:tcPr>
            <w:tcW w:w="1337" w:type="dxa"/>
          </w:tcPr>
          <w:p w14:paraId="2CF18ACA" w14:textId="77777777" w:rsidR="00B53165" w:rsidRPr="00856324" w:rsidRDefault="005D5A88" w:rsidP="00856324">
            <w:pPr>
              <w:spacing w:before="60" w:after="60"/>
              <w:jc w:val="right"/>
              <w:rPr>
                <w:rFonts w:ascii="Arial" w:hAnsi="Arial"/>
                <w:sz w:val="22"/>
                <w:szCs w:val="22"/>
              </w:rPr>
            </w:pPr>
            <w:r>
              <w:rPr>
                <w:rFonts w:ascii="Arial" w:hAnsi="Arial"/>
                <w:sz w:val="22"/>
                <w:szCs w:val="22"/>
              </w:rPr>
              <w:t>251</w:t>
            </w:r>
            <w:r w:rsidR="004E530A" w:rsidRPr="00856324">
              <w:rPr>
                <w:rFonts w:ascii="Arial" w:hAnsi="Arial"/>
                <w:sz w:val="22"/>
                <w:szCs w:val="22"/>
              </w:rPr>
              <w:t>,</w:t>
            </w:r>
            <w:r>
              <w:rPr>
                <w:rFonts w:ascii="Arial" w:hAnsi="Arial"/>
                <w:sz w:val="22"/>
                <w:szCs w:val="22"/>
              </w:rPr>
              <w:t>172</w:t>
            </w:r>
          </w:p>
        </w:tc>
        <w:tc>
          <w:tcPr>
            <w:tcW w:w="1338" w:type="dxa"/>
          </w:tcPr>
          <w:p w14:paraId="49662A98" w14:textId="77777777" w:rsidR="00B53165" w:rsidRPr="00856324" w:rsidRDefault="005D5A88" w:rsidP="00856324">
            <w:pPr>
              <w:spacing w:before="60" w:after="60"/>
              <w:jc w:val="right"/>
              <w:rPr>
                <w:rFonts w:ascii="Arial" w:hAnsi="Arial"/>
                <w:sz w:val="22"/>
                <w:szCs w:val="22"/>
              </w:rPr>
            </w:pPr>
            <w:r>
              <w:rPr>
                <w:rFonts w:ascii="Arial" w:hAnsi="Arial"/>
                <w:sz w:val="22"/>
                <w:szCs w:val="22"/>
              </w:rPr>
              <w:t>251</w:t>
            </w:r>
            <w:r w:rsidRPr="00856324">
              <w:rPr>
                <w:rFonts w:ascii="Arial" w:hAnsi="Arial"/>
                <w:sz w:val="22"/>
                <w:szCs w:val="22"/>
              </w:rPr>
              <w:t>,</w:t>
            </w:r>
            <w:r>
              <w:rPr>
                <w:rFonts w:ascii="Arial" w:hAnsi="Arial"/>
                <w:sz w:val="22"/>
                <w:szCs w:val="22"/>
              </w:rPr>
              <w:t>172</w:t>
            </w:r>
          </w:p>
        </w:tc>
        <w:tc>
          <w:tcPr>
            <w:tcW w:w="1338" w:type="dxa"/>
          </w:tcPr>
          <w:p w14:paraId="6F7CE06F" w14:textId="77777777" w:rsidR="00B53165" w:rsidRPr="00856324" w:rsidRDefault="005D5A88" w:rsidP="00856324">
            <w:pPr>
              <w:spacing w:before="60" w:after="60"/>
              <w:jc w:val="right"/>
              <w:rPr>
                <w:rFonts w:ascii="Arial" w:hAnsi="Arial"/>
                <w:sz w:val="22"/>
                <w:szCs w:val="22"/>
              </w:rPr>
            </w:pPr>
            <w:r>
              <w:rPr>
                <w:rFonts w:ascii="Arial" w:hAnsi="Arial"/>
                <w:sz w:val="22"/>
                <w:szCs w:val="22"/>
              </w:rPr>
              <w:t>251</w:t>
            </w:r>
            <w:r w:rsidRPr="00856324">
              <w:rPr>
                <w:rFonts w:ascii="Arial" w:hAnsi="Arial"/>
                <w:sz w:val="22"/>
                <w:szCs w:val="22"/>
              </w:rPr>
              <w:t>,</w:t>
            </w:r>
            <w:r>
              <w:rPr>
                <w:rFonts w:ascii="Arial" w:hAnsi="Arial"/>
                <w:sz w:val="22"/>
                <w:szCs w:val="22"/>
              </w:rPr>
              <w:t>172</w:t>
            </w:r>
          </w:p>
        </w:tc>
        <w:tc>
          <w:tcPr>
            <w:tcW w:w="1338" w:type="dxa"/>
          </w:tcPr>
          <w:p w14:paraId="24BAECA6" w14:textId="77777777" w:rsidR="00B53165" w:rsidRPr="00856324" w:rsidRDefault="005D5A88" w:rsidP="00856324">
            <w:pPr>
              <w:spacing w:before="60" w:after="60"/>
              <w:jc w:val="right"/>
              <w:rPr>
                <w:rFonts w:ascii="Arial" w:hAnsi="Arial"/>
                <w:sz w:val="22"/>
                <w:szCs w:val="22"/>
              </w:rPr>
            </w:pPr>
            <w:r>
              <w:rPr>
                <w:rFonts w:ascii="Arial" w:hAnsi="Arial"/>
                <w:sz w:val="22"/>
                <w:szCs w:val="22"/>
              </w:rPr>
              <w:t>251</w:t>
            </w:r>
            <w:r w:rsidRPr="00856324">
              <w:rPr>
                <w:rFonts w:ascii="Arial" w:hAnsi="Arial"/>
                <w:sz w:val="22"/>
                <w:szCs w:val="22"/>
              </w:rPr>
              <w:t>,</w:t>
            </w:r>
            <w:r>
              <w:rPr>
                <w:rFonts w:ascii="Arial" w:hAnsi="Arial"/>
                <w:sz w:val="22"/>
                <w:szCs w:val="22"/>
              </w:rPr>
              <w:t>172</w:t>
            </w:r>
          </w:p>
        </w:tc>
      </w:tr>
      <w:tr w:rsidR="00B53165" w:rsidRPr="00856324" w14:paraId="560EDE4A" w14:textId="77777777" w:rsidTr="00421CFE">
        <w:tc>
          <w:tcPr>
            <w:tcW w:w="3227" w:type="dxa"/>
          </w:tcPr>
          <w:p w14:paraId="7AF24BAA" w14:textId="77777777" w:rsidR="00B53165" w:rsidRPr="00856324" w:rsidRDefault="0076538C" w:rsidP="00856324">
            <w:pPr>
              <w:spacing w:before="60" w:after="60"/>
              <w:rPr>
                <w:rFonts w:ascii="Arial" w:hAnsi="Arial"/>
                <w:sz w:val="22"/>
                <w:szCs w:val="22"/>
              </w:rPr>
            </w:pPr>
            <w:r>
              <w:rPr>
                <w:rFonts w:ascii="Arial" w:hAnsi="Arial"/>
                <w:sz w:val="22"/>
                <w:szCs w:val="22"/>
              </w:rPr>
              <w:t>b. Resource</w:t>
            </w:r>
            <w:r w:rsidR="00B53165" w:rsidRPr="00856324">
              <w:rPr>
                <w:rFonts w:ascii="Arial" w:hAnsi="Arial"/>
                <w:sz w:val="22"/>
                <w:szCs w:val="22"/>
              </w:rPr>
              <w:t xml:space="preserve"> required to balance model</w:t>
            </w:r>
            <w:r w:rsidR="00175C76">
              <w:rPr>
                <w:rFonts w:ascii="Arial" w:hAnsi="Arial"/>
                <w:sz w:val="22"/>
                <w:szCs w:val="22"/>
              </w:rPr>
              <w:t xml:space="preserve"> (Appendix 3</w:t>
            </w:r>
            <w:r>
              <w:rPr>
                <w:rFonts w:ascii="Arial" w:hAnsi="Arial"/>
                <w:sz w:val="22"/>
                <w:szCs w:val="22"/>
              </w:rPr>
              <w:t>).</w:t>
            </w:r>
          </w:p>
        </w:tc>
        <w:tc>
          <w:tcPr>
            <w:tcW w:w="1337" w:type="dxa"/>
          </w:tcPr>
          <w:p w14:paraId="3C4DAEEC" w14:textId="77777777" w:rsidR="00B53165" w:rsidRPr="00856324" w:rsidRDefault="005D5A88" w:rsidP="00856324">
            <w:pPr>
              <w:spacing w:before="60" w:after="60"/>
              <w:jc w:val="right"/>
              <w:rPr>
                <w:rFonts w:ascii="Arial" w:hAnsi="Arial"/>
                <w:sz w:val="22"/>
                <w:szCs w:val="22"/>
              </w:rPr>
            </w:pPr>
            <w:r>
              <w:rPr>
                <w:rFonts w:ascii="Arial" w:hAnsi="Arial"/>
                <w:sz w:val="22"/>
                <w:szCs w:val="22"/>
              </w:rPr>
              <w:t>251</w:t>
            </w:r>
            <w:r w:rsidRPr="00856324">
              <w:rPr>
                <w:rFonts w:ascii="Arial" w:hAnsi="Arial"/>
                <w:sz w:val="22"/>
                <w:szCs w:val="22"/>
              </w:rPr>
              <w:t>,</w:t>
            </w:r>
            <w:r>
              <w:rPr>
                <w:rFonts w:ascii="Arial" w:hAnsi="Arial"/>
                <w:sz w:val="22"/>
                <w:szCs w:val="22"/>
              </w:rPr>
              <w:t>172</w:t>
            </w:r>
          </w:p>
        </w:tc>
        <w:tc>
          <w:tcPr>
            <w:tcW w:w="1338" w:type="dxa"/>
          </w:tcPr>
          <w:p w14:paraId="0B3C5872"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2</w:t>
            </w:r>
            <w:r w:rsidR="005D5A88">
              <w:rPr>
                <w:rFonts w:ascii="Arial" w:hAnsi="Arial"/>
                <w:sz w:val="22"/>
                <w:szCs w:val="22"/>
              </w:rPr>
              <w:t>51,660</w:t>
            </w:r>
          </w:p>
        </w:tc>
        <w:tc>
          <w:tcPr>
            <w:tcW w:w="1338" w:type="dxa"/>
          </w:tcPr>
          <w:p w14:paraId="2519D68C"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25</w:t>
            </w:r>
            <w:r w:rsidR="005D5A88">
              <w:rPr>
                <w:rFonts w:ascii="Arial" w:hAnsi="Arial"/>
                <w:sz w:val="22"/>
                <w:szCs w:val="22"/>
              </w:rPr>
              <w:t>1,</w:t>
            </w:r>
            <w:r w:rsidR="00743D52">
              <w:rPr>
                <w:rFonts w:ascii="Arial" w:hAnsi="Arial"/>
                <w:sz w:val="22"/>
                <w:szCs w:val="22"/>
              </w:rPr>
              <w:t>172</w:t>
            </w:r>
          </w:p>
        </w:tc>
        <w:tc>
          <w:tcPr>
            <w:tcW w:w="1338" w:type="dxa"/>
          </w:tcPr>
          <w:p w14:paraId="6B48771F"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25</w:t>
            </w:r>
            <w:r w:rsidR="005D5A88">
              <w:rPr>
                <w:rFonts w:ascii="Arial" w:hAnsi="Arial"/>
                <w:sz w:val="22"/>
                <w:szCs w:val="22"/>
              </w:rPr>
              <w:t>2,313</w:t>
            </w:r>
          </w:p>
        </w:tc>
      </w:tr>
      <w:tr w:rsidR="00B53165" w:rsidRPr="00856324" w14:paraId="3AED6533" w14:textId="77777777" w:rsidTr="00421CFE">
        <w:tc>
          <w:tcPr>
            <w:tcW w:w="3227" w:type="dxa"/>
          </w:tcPr>
          <w:p w14:paraId="1372AACE" w14:textId="77777777" w:rsidR="00B53165" w:rsidRPr="00856324" w:rsidRDefault="0076538C" w:rsidP="0076538C">
            <w:pPr>
              <w:spacing w:before="60" w:after="60"/>
              <w:rPr>
                <w:rFonts w:ascii="Arial" w:hAnsi="Arial"/>
                <w:sz w:val="22"/>
                <w:szCs w:val="22"/>
              </w:rPr>
            </w:pPr>
            <w:r>
              <w:rPr>
                <w:rFonts w:ascii="Arial" w:hAnsi="Arial"/>
                <w:sz w:val="22"/>
                <w:szCs w:val="22"/>
              </w:rPr>
              <w:t>c. NNDR o</w:t>
            </w:r>
            <w:r w:rsidR="00B53165" w:rsidRPr="00856324">
              <w:rPr>
                <w:rFonts w:ascii="Arial" w:hAnsi="Arial"/>
                <w:sz w:val="22"/>
                <w:szCs w:val="22"/>
              </w:rPr>
              <w:t>ne-off adjustment</w:t>
            </w:r>
            <w:r>
              <w:rPr>
                <w:rFonts w:ascii="Arial" w:hAnsi="Arial"/>
                <w:sz w:val="22"/>
                <w:szCs w:val="22"/>
              </w:rPr>
              <w:t>.</w:t>
            </w:r>
          </w:p>
        </w:tc>
        <w:tc>
          <w:tcPr>
            <w:tcW w:w="1337" w:type="dxa"/>
          </w:tcPr>
          <w:p w14:paraId="310F6639"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920</w:t>
            </w:r>
          </w:p>
        </w:tc>
        <w:tc>
          <w:tcPr>
            <w:tcW w:w="1338" w:type="dxa"/>
          </w:tcPr>
          <w:p w14:paraId="36D153D4"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920</w:t>
            </w:r>
          </w:p>
        </w:tc>
        <w:tc>
          <w:tcPr>
            <w:tcW w:w="1338" w:type="dxa"/>
          </w:tcPr>
          <w:p w14:paraId="1789AB8F"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920</w:t>
            </w:r>
          </w:p>
        </w:tc>
        <w:tc>
          <w:tcPr>
            <w:tcW w:w="1338" w:type="dxa"/>
          </w:tcPr>
          <w:p w14:paraId="178741A0"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920</w:t>
            </w:r>
          </w:p>
        </w:tc>
      </w:tr>
      <w:tr w:rsidR="00B53165" w:rsidRPr="00856324" w14:paraId="6164E831" w14:textId="77777777" w:rsidTr="00421CFE">
        <w:tc>
          <w:tcPr>
            <w:tcW w:w="3227" w:type="dxa"/>
          </w:tcPr>
          <w:p w14:paraId="405039B5" w14:textId="77777777" w:rsidR="00B53165" w:rsidRPr="00856324" w:rsidRDefault="0076538C" w:rsidP="00856324">
            <w:pPr>
              <w:spacing w:before="60" w:after="60"/>
              <w:rPr>
                <w:rFonts w:ascii="Arial" w:hAnsi="Arial"/>
                <w:sz w:val="22"/>
                <w:szCs w:val="22"/>
              </w:rPr>
            </w:pPr>
            <w:r>
              <w:rPr>
                <w:rFonts w:ascii="Arial" w:hAnsi="Arial"/>
                <w:sz w:val="22"/>
                <w:szCs w:val="22"/>
              </w:rPr>
              <w:t xml:space="preserve">d. </w:t>
            </w:r>
            <w:r w:rsidR="00B53165" w:rsidRPr="00856324">
              <w:rPr>
                <w:rFonts w:ascii="Arial" w:hAnsi="Arial"/>
                <w:sz w:val="22"/>
                <w:szCs w:val="22"/>
              </w:rPr>
              <w:t>Required for model</w:t>
            </w:r>
            <w:r>
              <w:rPr>
                <w:rFonts w:ascii="Arial" w:hAnsi="Arial"/>
                <w:sz w:val="22"/>
                <w:szCs w:val="22"/>
              </w:rPr>
              <w:t xml:space="preserve"> (b-a).</w:t>
            </w:r>
          </w:p>
        </w:tc>
        <w:tc>
          <w:tcPr>
            <w:tcW w:w="1337" w:type="dxa"/>
          </w:tcPr>
          <w:p w14:paraId="60C2A8F9"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0</w:t>
            </w:r>
          </w:p>
        </w:tc>
        <w:tc>
          <w:tcPr>
            <w:tcW w:w="1338" w:type="dxa"/>
          </w:tcPr>
          <w:p w14:paraId="26D93898"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4</w:t>
            </w:r>
            <w:r w:rsidR="000B7F33">
              <w:rPr>
                <w:rFonts w:ascii="Arial" w:hAnsi="Arial"/>
                <w:sz w:val="22"/>
                <w:szCs w:val="22"/>
              </w:rPr>
              <w:t>88</w:t>
            </w:r>
          </w:p>
        </w:tc>
        <w:tc>
          <w:tcPr>
            <w:tcW w:w="1338" w:type="dxa"/>
          </w:tcPr>
          <w:p w14:paraId="765CD46A" w14:textId="77777777" w:rsidR="00B53165" w:rsidRPr="00856324" w:rsidRDefault="00743D52" w:rsidP="00743D52">
            <w:pPr>
              <w:spacing w:before="60" w:after="60"/>
              <w:jc w:val="right"/>
              <w:rPr>
                <w:rFonts w:ascii="Arial" w:hAnsi="Arial"/>
                <w:sz w:val="22"/>
                <w:szCs w:val="22"/>
              </w:rPr>
            </w:pPr>
            <w:r>
              <w:rPr>
                <w:rFonts w:ascii="Arial" w:hAnsi="Arial"/>
                <w:sz w:val="22"/>
                <w:szCs w:val="22"/>
              </w:rPr>
              <w:t>0</w:t>
            </w:r>
          </w:p>
        </w:tc>
        <w:tc>
          <w:tcPr>
            <w:tcW w:w="1338" w:type="dxa"/>
          </w:tcPr>
          <w:p w14:paraId="624DE55C" w14:textId="77777777" w:rsidR="00B53165" w:rsidRPr="00856324" w:rsidRDefault="00966B4C" w:rsidP="00856324">
            <w:pPr>
              <w:spacing w:before="60" w:after="60"/>
              <w:jc w:val="right"/>
              <w:rPr>
                <w:rFonts w:ascii="Arial" w:hAnsi="Arial"/>
                <w:sz w:val="22"/>
                <w:szCs w:val="22"/>
              </w:rPr>
            </w:pPr>
            <w:r w:rsidRPr="00856324">
              <w:rPr>
                <w:rFonts w:ascii="Arial" w:hAnsi="Arial"/>
                <w:sz w:val="22"/>
                <w:szCs w:val="22"/>
              </w:rPr>
              <w:t>1,141</w:t>
            </w:r>
          </w:p>
        </w:tc>
      </w:tr>
      <w:tr w:rsidR="00B53165" w:rsidRPr="00856324" w14:paraId="2E86683A" w14:textId="77777777" w:rsidTr="00421CFE">
        <w:tc>
          <w:tcPr>
            <w:tcW w:w="3227" w:type="dxa"/>
          </w:tcPr>
          <w:p w14:paraId="772C7D9C" w14:textId="77777777" w:rsidR="00B53165" w:rsidRPr="00856324" w:rsidRDefault="0076538C" w:rsidP="00856324">
            <w:pPr>
              <w:spacing w:before="60" w:after="60"/>
              <w:rPr>
                <w:rFonts w:ascii="Arial" w:hAnsi="Arial"/>
                <w:sz w:val="22"/>
                <w:szCs w:val="22"/>
              </w:rPr>
            </w:pPr>
            <w:r>
              <w:rPr>
                <w:rFonts w:ascii="Arial" w:hAnsi="Arial"/>
                <w:sz w:val="22"/>
                <w:szCs w:val="22"/>
              </w:rPr>
              <w:t xml:space="preserve">e. </w:t>
            </w:r>
            <w:r w:rsidR="00B53165" w:rsidRPr="00856324">
              <w:rPr>
                <w:rFonts w:ascii="Arial" w:hAnsi="Arial"/>
                <w:sz w:val="22"/>
                <w:szCs w:val="22"/>
              </w:rPr>
              <w:t>Available to transfer</w:t>
            </w:r>
            <w:r>
              <w:rPr>
                <w:rFonts w:ascii="Arial" w:hAnsi="Arial"/>
                <w:sz w:val="22"/>
                <w:szCs w:val="22"/>
              </w:rPr>
              <w:t xml:space="preserve"> to HNB (c-d).</w:t>
            </w:r>
          </w:p>
        </w:tc>
        <w:tc>
          <w:tcPr>
            <w:tcW w:w="1337" w:type="dxa"/>
          </w:tcPr>
          <w:p w14:paraId="00DBB366" w14:textId="77777777" w:rsidR="00B53165" w:rsidRPr="00856324" w:rsidRDefault="004E530A" w:rsidP="00856324">
            <w:pPr>
              <w:spacing w:before="60" w:after="60"/>
              <w:jc w:val="right"/>
              <w:rPr>
                <w:rFonts w:ascii="Arial" w:hAnsi="Arial"/>
                <w:sz w:val="22"/>
                <w:szCs w:val="22"/>
              </w:rPr>
            </w:pPr>
            <w:r w:rsidRPr="00856324">
              <w:rPr>
                <w:rFonts w:ascii="Arial" w:hAnsi="Arial"/>
                <w:sz w:val="22"/>
                <w:szCs w:val="22"/>
              </w:rPr>
              <w:t>920</w:t>
            </w:r>
          </w:p>
        </w:tc>
        <w:tc>
          <w:tcPr>
            <w:tcW w:w="1338" w:type="dxa"/>
          </w:tcPr>
          <w:p w14:paraId="077E0EEC" w14:textId="77777777" w:rsidR="00B53165" w:rsidRPr="00856324" w:rsidRDefault="004E530A" w:rsidP="000B7F33">
            <w:pPr>
              <w:spacing w:before="60" w:after="60"/>
              <w:jc w:val="right"/>
              <w:rPr>
                <w:rFonts w:ascii="Arial" w:hAnsi="Arial"/>
                <w:sz w:val="22"/>
                <w:szCs w:val="22"/>
              </w:rPr>
            </w:pPr>
            <w:r w:rsidRPr="00856324">
              <w:rPr>
                <w:rFonts w:ascii="Arial" w:hAnsi="Arial"/>
                <w:sz w:val="22"/>
                <w:szCs w:val="22"/>
              </w:rPr>
              <w:t>4</w:t>
            </w:r>
            <w:r w:rsidR="000B7F33">
              <w:rPr>
                <w:rFonts w:ascii="Arial" w:hAnsi="Arial"/>
                <w:sz w:val="22"/>
                <w:szCs w:val="22"/>
              </w:rPr>
              <w:t>32</w:t>
            </w:r>
          </w:p>
        </w:tc>
        <w:tc>
          <w:tcPr>
            <w:tcW w:w="1338" w:type="dxa"/>
          </w:tcPr>
          <w:p w14:paraId="0A0F366D" w14:textId="77777777" w:rsidR="00B53165" w:rsidRPr="00856324" w:rsidRDefault="00743D52" w:rsidP="00856324">
            <w:pPr>
              <w:spacing w:before="60" w:after="60"/>
              <w:jc w:val="right"/>
              <w:rPr>
                <w:rFonts w:ascii="Arial" w:hAnsi="Arial"/>
                <w:sz w:val="22"/>
                <w:szCs w:val="22"/>
              </w:rPr>
            </w:pPr>
            <w:r>
              <w:rPr>
                <w:rFonts w:ascii="Arial" w:hAnsi="Arial"/>
                <w:sz w:val="22"/>
                <w:szCs w:val="22"/>
              </w:rPr>
              <w:t>920</w:t>
            </w:r>
          </w:p>
        </w:tc>
        <w:tc>
          <w:tcPr>
            <w:tcW w:w="1338" w:type="dxa"/>
          </w:tcPr>
          <w:p w14:paraId="04A7A58B" w14:textId="77777777" w:rsidR="00B53165" w:rsidRPr="00856324" w:rsidRDefault="00966B4C" w:rsidP="00856324">
            <w:pPr>
              <w:spacing w:before="60" w:after="60"/>
              <w:jc w:val="right"/>
              <w:rPr>
                <w:rFonts w:ascii="Arial" w:hAnsi="Arial"/>
                <w:sz w:val="22"/>
                <w:szCs w:val="22"/>
              </w:rPr>
            </w:pPr>
            <w:r w:rsidRPr="00856324">
              <w:rPr>
                <w:rFonts w:ascii="Arial" w:hAnsi="Arial"/>
                <w:sz w:val="22"/>
                <w:szCs w:val="22"/>
              </w:rPr>
              <w:t>(221)</w:t>
            </w:r>
          </w:p>
        </w:tc>
      </w:tr>
    </w:tbl>
    <w:p w14:paraId="75594708" w14:textId="77777777" w:rsidR="00A34B39" w:rsidRDefault="00A34B39" w:rsidP="00B53165">
      <w:pPr>
        <w:spacing w:before="60" w:after="60"/>
        <w:ind w:left="142"/>
        <w:rPr>
          <w:rFonts w:ascii="Arial" w:hAnsi="Arial"/>
          <w:sz w:val="22"/>
          <w:szCs w:val="22"/>
        </w:rPr>
      </w:pPr>
      <w:r>
        <w:rPr>
          <w:rFonts w:ascii="Arial" w:hAnsi="Arial"/>
          <w:sz w:val="22"/>
          <w:szCs w:val="22"/>
        </w:rPr>
        <w:t xml:space="preserve"> </w:t>
      </w:r>
    </w:p>
    <w:p w14:paraId="7D06EAD0" w14:textId="77777777" w:rsidR="00945949" w:rsidRDefault="00E45BDC" w:rsidP="00E45BDC">
      <w:pPr>
        <w:numPr>
          <w:ilvl w:val="1"/>
          <w:numId w:val="4"/>
        </w:numPr>
        <w:tabs>
          <w:tab w:val="clear" w:pos="360"/>
          <w:tab w:val="num" w:pos="709"/>
        </w:tabs>
        <w:spacing w:before="60" w:after="60"/>
        <w:ind w:left="709" w:hanging="567"/>
        <w:rPr>
          <w:rFonts w:ascii="Arial" w:hAnsi="Arial"/>
          <w:sz w:val="22"/>
          <w:szCs w:val="22"/>
        </w:rPr>
      </w:pPr>
      <w:r>
        <w:rPr>
          <w:rFonts w:ascii="Arial" w:hAnsi="Arial"/>
          <w:sz w:val="22"/>
          <w:szCs w:val="22"/>
        </w:rPr>
        <w:t>Under Model 1 all schools gain as it is the current model with additional resources. This model causes the least disruption but makes no progress towards the NFF.</w:t>
      </w:r>
      <w:r w:rsidR="00426402">
        <w:rPr>
          <w:rFonts w:ascii="Arial" w:hAnsi="Arial"/>
          <w:sz w:val="22"/>
          <w:szCs w:val="22"/>
        </w:rPr>
        <w:t xml:space="preserve"> It does release the full amount of the one-off adjustment for t</w:t>
      </w:r>
      <w:r w:rsidR="0021562E">
        <w:rPr>
          <w:rFonts w:ascii="Arial" w:hAnsi="Arial"/>
          <w:sz w:val="22"/>
          <w:szCs w:val="22"/>
        </w:rPr>
        <w:t>ransfer to the HNB. The model is</w:t>
      </w:r>
      <w:r w:rsidR="00426402">
        <w:rPr>
          <w:rFonts w:ascii="Arial" w:hAnsi="Arial"/>
          <w:sz w:val="22"/>
          <w:szCs w:val="22"/>
        </w:rPr>
        <w:t xml:space="preserve"> balanced through the MFG, which has a positive value of 0</w:t>
      </w:r>
      <w:r w:rsidR="0076538C">
        <w:rPr>
          <w:rFonts w:ascii="Arial" w:hAnsi="Arial"/>
          <w:sz w:val="22"/>
          <w:szCs w:val="22"/>
        </w:rPr>
        <w:t>.41%</w:t>
      </w:r>
      <w:r w:rsidR="00CF4EA4">
        <w:rPr>
          <w:rFonts w:ascii="Arial" w:hAnsi="Arial"/>
          <w:sz w:val="22"/>
          <w:szCs w:val="22"/>
        </w:rPr>
        <w:t>.</w:t>
      </w:r>
    </w:p>
    <w:p w14:paraId="0D6B1B30" w14:textId="77777777" w:rsidR="00CF4EA4" w:rsidRDefault="00677E0B" w:rsidP="003C0369">
      <w:pPr>
        <w:numPr>
          <w:ilvl w:val="1"/>
          <w:numId w:val="4"/>
        </w:numPr>
        <w:tabs>
          <w:tab w:val="clear" w:pos="360"/>
          <w:tab w:val="num" w:pos="709"/>
        </w:tabs>
        <w:spacing w:before="60" w:after="60"/>
        <w:ind w:left="709" w:hanging="567"/>
        <w:rPr>
          <w:rFonts w:ascii="Arial" w:hAnsi="Arial"/>
          <w:sz w:val="22"/>
          <w:szCs w:val="22"/>
          <w:lang w:eastAsia="en-GB"/>
        </w:rPr>
      </w:pPr>
      <w:r>
        <w:rPr>
          <w:rFonts w:ascii="Arial" w:hAnsi="Arial"/>
          <w:sz w:val="22"/>
          <w:szCs w:val="22"/>
        </w:rPr>
        <w:t xml:space="preserve">Model 2 </w:t>
      </w:r>
      <w:r w:rsidR="00B365D3">
        <w:rPr>
          <w:rFonts w:ascii="Arial" w:hAnsi="Arial"/>
          <w:sz w:val="22"/>
          <w:szCs w:val="22"/>
        </w:rPr>
        <w:t xml:space="preserve">uses existing TH factor values together with the 1% funding floor and a MFG of -1.5%. </w:t>
      </w:r>
      <w:r w:rsidR="00CF4EA4">
        <w:rPr>
          <w:rFonts w:ascii="Arial" w:hAnsi="Arial"/>
          <w:sz w:val="22"/>
          <w:szCs w:val="22"/>
        </w:rPr>
        <w:t xml:space="preserve">Balancing the model will require £0.492m more than for Model 1, reducing the amount that can be transferred to the HNB. </w:t>
      </w:r>
      <w:r w:rsidR="00FB6599">
        <w:rPr>
          <w:rFonts w:ascii="Arial" w:hAnsi="Arial"/>
          <w:sz w:val="22"/>
          <w:szCs w:val="22"/>
        </w:rPr>
        <w:t xml:space="preserve">The impact on schools will depend on how they fared with the local changes in 2018-19. </w:t>
      </w:r>
      <w:r w:rsidR="00CF4EA4">
        <w:rPr>
          <w:rFonts w:ascii="Arial" w:hAnsi="Arial"/>
          <w:sz w:val="22"/>
          <w:szCs w:val="22"/>
        </w:rPr>
        <w:t>There are three main scenarios:</w:t>
      </w:r>
    </w:p>
    <w:p w14:paraId="60FEAA05" w14:textId="77777777" w:rsidR="00FD52EE" w:rsidRDefault="00FB6599" w:rsidP="00CF4EA4">
      <w:pPr>
        <w:numPr>
          <w:ilvl w:val="0"/>
          <w:numId w:val="35"/>
        </w:numPr>
        <w:spacing w:before="60" w:after="60"/>
        <w:rPr>
          <w:rFonts w:ascii="Arial" w:hAnsi="Arial"/>
          <w:sz w:val="22"/>
          <w:szCs w:val="22"/>
          <w:lang w:eastAsia="en-GB"/>
        </w:rPr>
      </w:pPr>
      <w:r>
        <w:rPr>
          <w:rFonts w:ascii="Arial" w:hAnsi="Arial"/>
          <w:sz w:val="22"/>
          <w:szCs w:val="22"/>
        </w:rPr>
        <w:t xml:space="preserve">If the changes </w:t>
      </w:r>
      <w:r w:rsidR="00304871">
        <w:rPr>
          <w:rFonts w:ascii="Arial" w:hAnsi="Arial"/>
          <w:sz w:val="22"/>
          <w:szCs w:val="22"/>
        </w:rPr>
        <w:t>took the 2019-20 budget</w:t>
      </w:r>
      <w:r w:rsidR="006A6EE0">
        <w:rPr>
          <w:rFonts w:ascii="Arial" w:hAnsi="Arial"/>
          <w:sz w:val="22"/>
          <w:szCs w:val="22"/>
        </w:rPr>
        <w:t xml:space="preserve"> above a 1% per pupil increase compared with 2017-18</w:t>
      </w:r>
      <w:r w:rsidR="000D1704">
        <w:rPr>
          <w:rFonts w:ascii="Arial" w:hAnsi="Arial"/>
          <w:sz w:val="22"/>
          <w:szCs w:val="22"/>
        </w:rPr>
        <w:t xml:space="preserve"> baseline</w:t>
      </w:r>
      <w:r w:rsidR="006A6EE0">
        <w:rPr>
          <w:rFonts w:ascii="Arial" w:hAnsi="Arial"/>
          <w:sz w:val="22"/>
          <w:szCs w:val="22"/>
        </w:rPr>
        <w:t xml:space="preserve"> then the funding floor will not apply. Because the 19-20 increase in resources is needed for the funding floor</w:t>
      </w:r>
      <w:r w:rsidR="006D4A0D">
        <w:rPr>
          <w:rFonts w:ascii="Arial" w:hAnsi="Arial"/>
          <w:sz w:val="22"/>
          <w:szCs w:val="22"/>
        </w:rPr>
        <w:t>,</w:t>
      </w:r>
      <w:r w:rsidR="006A6EE0">
        <w:rPr>
          <w:rFonts w:ascii="Arial" w:hAnsi="Arial"/>
          <w:sz w:val="22"/>
          <w:szCs w:val="22"/>
        </w:rPr>
        <w:t xml:space="preserve"> rather than </w:t>
      </w:r>
      <w:r w:rsidR="00CF4EA4">
        <w:rPr>
          <w:rFonts w:ascii="Arial" w:hAnsi="Arial"/>
          <w:sz w:val="22"/>
          <w:szCs w:val="22"/>
        </w:rPr>
        <w:t xml:space="preserve">allowing </w:t>
      </w:r>
      <w:r w:rsidR="006A6EE0">
        <w:rPr>
          <w:rFonts w:ascii="Arial" w:hAnsi="Arial"/>
          <w:sz w:val="22"/>
          <w:szCs w:val="22"/>
        </w:rPr>
        <w:t>a positive MFG</w:t>
      </w:r>
      <w:r w:rsidR="006D4A0D">
        <w:rPr>
          <w:rFonts w:ascii="Arial" w:hAnsi="Arial"/>
          <w:sz w:val="22"/>
          <w:szCs w:val="22"/>
        </w:rPr>
        <w:t>,</w:t>
      </w:r>
      <w:r w:rsidR="006A6EE0">
        <w:rPr>
          <w:rFonts w:ascii="Arial" w:hAnsi="Arial"/>
          <w:sz w:val="22"/>
          <w:szCs w:val="22"/>
        </w:rPr>
        <w:t xml:space="preserve"> these schools will be funded at the same level as in 201</w:t>
      </w:r>
      <w:r w:rsidR="00CF4EA4">
        <w:rPr>
          <w:rFonts w:ascii="Arial" w:hAnsi="Arial"/>
          <w:sz w:val="22"/>
          <w:szCs w:val="22"/>
        </w:rPr>
        <w:t>8-19;</w:t>
      </w:r>
      <w:r w:rsidR="006A6EE0">
        <w:rPr>
          <w:rFonts w:ascii="Arial" w:hAnsi="Arial"/>
          <w:sz w:val="22"/>
          <w:szCs w:val="22"/>
        </w:rPr>
        <w:t xml:space="preserve"> tha</w:t>
      </w:r>
      <w:r w:rsidR="00CF4EA4">
        <w:rPr>
          <w:rFonts w:ascii="Arial" w:hAnsi="Arial"/>
          <w:sz w:val="22"/>
          <w:szCs w:val="22"/>
        </w:rPr>
        <w:t>t is below the level in Model 1.</w:t>
      </w:r>
      <w:r w:rsidR="006A6EE0">
        <w:rPr>
          <w:rFonts w:ascii="Arial" w:hAnsi="Arial"/>
          <w:sz w:val="22"/>
          <w:szCs w:val="22"/>
        </w:rPr>
        <w:t xml:space="preserve"> </w:t>
      </w:r>
      <w:r w:rsidR="00F71331">
        <w:rPr>
          <w:rFonts w:ascii="Arial" w:hAnsi="Arial"/>
          <w:sz w:val="22"/>
          <w:szCs w:val="22"/>
        </w:rPr>
        <w:t>Fifty five</w:t>
      </w:r>
      <w:r w:rsidR="006A6EE0">
        <w:rPr>
          <w:rFonts w:ascii="Arial" w:hAnsi="Arial"/>
          <w:sz w:val="22"/>
          <w:szCs w:val="22"/>
        </w:rPr>
        <w:t xml:space="preserve"> schools will be in this position.</w:t>
      </w:r>
    </w:p>
    <w:p w14:paraId="24CD7AC1" w14:textId="77777777" w:rsidR="00CF4EA4" w:rsidRDefault="00AA3079" w:rsidP="00CF4EA4">
      <w:pPr>
        <w:numPr>
          <w:ilvl w:val="0"/>
          <w:numId w:val="35"/>
        </w:numPr>
        <w:spacing w:before="60" w:after="60"/>
        <w:rPr>
          <w:rFonts w:ascii="Arial" w:hAnsi="Arial"/>
          <w:sz w:val="22"/>
          <w:szCs w:val="22"/>
          <w:lang w:eastAsia="en-GB"/>
        </w:rPr>
      </w:pPr>
      <w:r>
        <w:rPr>
          <w:rFonts w:ascii="Arial" w:hAnsi="Arial"/>
          <w:sz w:val="22"/>
          <w:szCs w:val="22"/>
          <w:lang w:eastAsia="en-GB"/>
        </w:rPr>
        <w:lastRenderedPageBreak/>
        <w:t xml:space="preserve">If the change in a school’s funding is less than 1% per pupil higher than </w:t>
      </w:r>
      <w:r w:rsidR="000D1704">
        <w:rPr>
          <w:rFonts w:ascii="Arial" w:hAnsi="Arial"/>
          <w:sz w:val="22"/>
          <w:szCs w:val="22"/>
          <w:lang w:eastAsia="en-GB"/>
        </w:rPr>
        <w:t>the</w:t>
      </w:r>
      <w:r>
        <w:rPr>
          <w:rFonts w:ascii="Arial" w:hAnsi="Arial"/>
          <w:sz w:val="22"/>
          <w:szCs w:val="22"/>
          <w:lang w:eastAsia="en-GB"/>
        </w:rPr>
        <w:t xml:space="preserve"> 2017-18 </w:t>
      </w:r>
      <w:r w:rsidR="000D1704">
        <w:rPr>
          <w:rFonts w:ascii="Arial" w:hAnsi="Arial"/>
          <w:sz w:val="22"/>
          <w:szCs w:val="22"/>
          <w:lang w:eastAsia="en-GB"/>
        </w:rPr>
        <w:t xml:space="preserve">baseline </w:t>
      </w:r>
      <w:r>
        <w:rPr>
          <w:rFonts w:ascii="Arial" w:hAnsi="Arial"/>
          <w:sz w:val="22"/>
          <w:szCs w:val="22"/>
          <w:lang w:eastAsia="en-GB"/>
        </w:rPr>
        <w:t>then additional resources will be added through the funding floor. Twenty four schools will be in this position.</w:t>
      </w:r>
    </w:p>
    <w:p w14:paraId="79EAF808" w14:textId="77777777" w:rsidR="00743D52" w:rsidRPr="00743D52" w:rsidRDefault="000D1704" w:rsidP="00743D52">
      <w:pPr>
        <w:numPr>
          <w:ilvl w:val="0"/>
          <w:numId w:val="35"/>
        </w:numPr>
        <w:spacing w:before="60" w:after="60"/>
        <w:rPr>
          <w:rFonts w:ascii="Arial" w:hAnsi="Arial"/>
          <w:sz w:val="22"/>
          <w:szCs w:val="22"/>
          <w:lang w:eastAsia="en-GB"/>
        </w:rPr>
      </w:pPr>
      <w:r w:rsidRPr="00743D52">
        <w:rPr>
          <w:rFonts w:ascii="Arial" w:hAnsi="Arial"/>
          <w:sz w:val="22"/>
          <w:szCs w:val="22"/>
          <w:lang w:eastAsia="en-GB"/>
        </w:rPr>
        <w:t>If funding in 2019-20 is above the baseline and the school was in receipt of MFG in 2018-19 the less favourable MFG in 2019-20 may lead to a loss of funding.</w:t>
      </w:r>
      <w:r w:rsidR="00743D52">
        <w:rPr>
          <w:rFonts w:ascii="Arial" w:hAnsi="Arial"/>
          <w:sz w:val="22"/>
          <w:szCs w:val="22"/>
          <w:lang w:eastAsia="en-GB"/>
        </w:rPr>
        <w:t xml:space="preserve"> Ten schools will lose funding.</w:t>
      </w:r>
      <w:r w:rsidRPr="00743D52">
        <w:rPr>
          <w:rFonts w:ascii="Arial" w:hAnsi="Arial"/>
          <w:sz w:val="22"/>
          <w:szCs w:val="22"/>
          <w:lang w:eastAsia="en-GB"/>
        </w:rPr>
        <w:t xml:space="preserve"> </w:t>
      </w:r>
    </w:p>
    <w:p w14:paraId="463A3468" w14:textId="77777777" w:rsidR="008B0F37" w:rsidRPr="00743D52" w:rsidRDefault="00213ACD" w:rsidP="008B0F37">
      <w:pPr>
        <w:numPr>
          <w:ilvl w:val="1"/>
          <w:numId w:val="4"/>
        </w:numPr>
        <w:tabs>
          <w:tab w:val="clear" w:pos="360"/>
          <w:tab w:val="num" w:pos="709"/>
        </w:tabs>
        <w:spacing w:before="60" w:after="60"/>
        <w:ind w:left="709" w:hanging="567"/>
        <w:rPr>
          <w:rFonts w:ascii="Arial" w:hAnsi="Arial" w:cs="Arial"/>
          <w:sz w:val="22"/>
          <w:szCs w:val="22"/>
        </w:rPr>
      </w:pPr>
      <w:r w:rsidRPr="00743D52">
        <w:rPr>
          <w:rFonts w:ascii="Arial" w:hAnsi="Arial" w:cs="Arial"/>
          <w:sz w:val="22"/>
          <w:szCs w:val="22"/>
        </w:rPr>
        <w:t>Model 3 uses the NFF funding factor values coupled with a MFG of 0.</w:t>
      </w:r>
      <w:r w:rsidR="00842409">
        <w:rPr>
          <w:rFonts w:ascii="Arial" w:hAnsi="Arial" w:cs="Arial"/>
          <w:sz w:val="22"/>
          <w:szCs w:val="22"/>
        </w:rPr>
        <w:t>42</w:t>
      </w:r>
      <w:r w:rsidR="005C60F2" w:rsidRPr="00743D52">
        <w:rPr>
          <w:rFonts w:ascii="Arial" w:hAnsi="Arial" w:cs="Arial"/>
          <w:sz w:val="22"/>
          <w:szCs w:val="22"/>
        </w:rPr>
        <w:t xml:space="preserve">%, which allows all schools to gain compared with 2018-19. </w:t>
      </w:r>
      <w:r w:rsidR="00842409">
        <w:rPr>
          <w:rFonts w:ascii="Arial" w:hAnsi="Arial" w:cs="Arial"/>
          <w:sz w:val="22"/>
          <w:szCs w:val="22"/>
        </w:rPr>
        <w:t>The gain includes £29.078</w:t>
      </w:r>
      <w:r w:rsidR="00EB1E4A" w:rsidRPr="00743D52">
        <w:rPr>
          <w:rFonts w:ascii="Arial" w:hAnsi="Arial" w:cs="Arial"/>
          <w:sz w:val="22"/>
          <w:szCs w:val="22"/>
        </w:rPr>
        <w:t xml:space="preserve">m through the positive MFG as TH schools will lose through the NFF. </w:t>
      </w:r>
      <w:r w:rsidR="005C60F2" w:rsidRPr="00743D52">
        <w:rPr>
          <w:rFonts w:ascii="Arial" w:hAnsi="Arial" w:cs="Arial"/>
          <w:sz w:val="22"/>
          <w:szCs w:val="22"/>
        </w:rPr>
        <w:t>How schools fare compared with Model 1 depends on the relative benefit of one funding formula over the other for that school</w:t>
      </w:r>
      <w:r w:rsidR="00EB1E4A" w:rsidRPr="00743D52">
        <w:rPr>
          <w:rFonts w:ascii="Arial" w:hAnsi="Arial" w:cs="Arial"/>
          <w:sz w:val="22"/>
          <w:szCs w:val="22"/>
        </w:rPr>
        <w:t>, moderated by the MFG</w:t>
      </w:r>
      <w:r w:rsidR="005C60F2" w:rsidRPr="00743D52">
        <w:rPr>
          <w:rFonts w:ascii="Arial" w:hAnsi="Arial" w:cs="Arial"/>
          <w:sz w:val="22"/>
          <w:szCs w:val="22"/>
        </w:rPr>
        <w:t>.</w:t>
      </w:r>
      <w:r w:rsidR="0022358F" w:rsidRPr="00743D52">
        <w:rPr>
          <w:rFonts w:ascii="Arial" w:hAnsi="Arial" w:cs="Arial"/>
          <w:sz w:val="22"/>
          <w:szCs w:val="22"/>
        </w:rPr>
        <w:t xml:space="preserve"> The model </w:t>
      </w:r>
      <w:r w:rsidR="00842409">
        <w:rPr>
          <w:rFonts w:ascii="Arial" w:hAnsi="Arial" w:cs="Arial"/>
          <w:sz w:val="22"/>
          <w:szCs w:val="22"/>
        </w:rPr>
        <w:t>balances to the resources available,</w:t>
      </w:r>
      <w:r w:rsidR="0022358F" w:rsidRPr="00743D52">
        <w:rPr>
          <w:rFonts w:ascii="Arial" w:hAnsi="Arial" w:cs="Arial"/>
          <w:sz w:val="22"/>
          <w:szCs w:val="22"/>
        </w:rPr>
        <w:t xml:space="preserve"> </w:t>
      </w:r>
      <w:r w:rsidR="00842409">
        <w:rPr>
          <w:rFonts w:ascii="Arial" w:hAnsi="Arial" w:cs="Arial"/>
          <w:sz w:val="22"/>
          <w:szCs w:val="22"/>
        </w:rPr>
        <w:t>allowing the transfer of the full amount of one-off funding.</w:t>
      </w:r>
      <w:r w:rsidR="005C60F2" w:rsidRPr="00743D52">
        <w:rPr>
          <w:rFonts w:ascii="Arial" w:hAnsi="Arial" w:cs="Arial"/>
          <w:sz w:val="22"/>
          <w:szCs w:val="22"/>
        </w:rPr>
        <w:t xml:space="preserve"> </w:t>
      </w:r>
      <w:r w:rsidRPr="00743D52">
        <w:rPr>
          <w:rFonts w:ascii="Arial" w:hAnsi="Arial" w:cs="Arial"/>
          <w:sz w:val="22"/>
          <w:szCs w:val="22"/>
        </w:rPr>
        <w:t xml:space="preserve"> </w:t>
      </w:r>
    </w:p>
    <w:p w14:paraId="41F94A08" w14:textId="77777777" w:rsidR="006D4A0D" w:rsidRDefault="006D4A0D" w:rsidP="008B0F37">
      <w:pPr>
        <w:numPr>
          <w:ilvl w:val="1"/>
          <w:numId w:val="4"/>
        </w:numPr>
        <w:tabs>
          <w:tab w:val="clear" w:pos="360"/>
          <w:tab w:val="num" w:pos="709"/>
        </w:tabs>
        <w:spacing w:before="60" w:after="60"/>
        <w:ind w:left="709" w:hanging="567"/>
        <w:rPr>
          <w:rFonts w:ascii="Arial" w:hAnsi="Arial" w:cs="Arial"/>
          <w:sz w:val="22"/>
          <w:szCs w:val="22"/>
        </w:rPr>
      </w:pPr>
      <w:r>
        <w:rPr>
          <w:rFonts w:ascii="Arial" w:hAnsi="Arial" w:cs="Arial"/>
          <w:sz w:val="22"/>
          <w:szCs w:val="22"/>
        </w:rPr>
        <w:t>Model 4 uses</w:t>
      </w:r>
      <w:r w:rsidR="00EB1E4A" w:rsidRPr="00EB1E4A">
        <w:rPr>
          <w:rFonts w:ascii="Arial" w:hAnsi="Arial" w:cs="Arial"/>
          <w:sz w:val="22"/>
          <w:szCs w:val="22"/>
        </w:rPr>
        <w:t xml:space="preserve"> the NFF in conjunction with the funding floor</w:t>
      </w:r>
      <w:r w:rsidR="00842409">
        <w:rPr>
          <w:rFonts w:ascii="Arial" w:hAnsi="Arial" w:cs="Arial"/>
          <w:sz w:val="22"/>
          <w:szCs w:val="22"/>
        </w:rPr>
        <w:t>. The floor</w:t>
      </w:r>
      <w:r w:rsidR="003C5FA0">
        <w:rPr>
          <w:rFonts w:ascii="Arial" w:hAnsi="Arial" w:cs="Arial"/>
          <w:sz w:val="22"/>
          <w:szCs w:val="22"/>
        </w:rPr>
        <w:t xml:space="preserve"> and a MFG of -1.5% locks a total of £30.218m into these mechanisms, requiring an injection of £0.221m</w:t>
      </w:r>
      <w:r w:rsidR="00782F31">
        <w:rPr>
          <w:rFonts w:ascii="Arial" w:hAnsi="Arial" w:cs="Arial"/>
          <w:sz w:val="22"/>
          <w:szCs w:val="22"/>
        </w:rPr>
        <w:t xml:space="preserve">; consideration could be given to taking this from the </w:t>
      </w:r>
      <w:r w:rsidR="003C5FA0">
        <w:rPr>
          <w:rFonts w:ascii="Arial" w:hAnsi="Arial" w:cs="Arial"/>
          <w:sz w:val="22"/>
          <w:szCs w:val="22"/>
        </w:rPr>
        <w:t>Growth Fund.</w:t>
      </w:r>
      <w:r w:rsidR="00782F31">
        <w:rPr>
          <w:rFonts w:ascii="Arial" w:hAnsi="Arial" w:cs="Arial"/>
          <w:sz w:val="22"/>
          <w:szCs w:val="22"/>
        </w:rPr>
        <w:t xml:space="preserve"> This model would fully utilise the one-off resource, leaving no contribution to the HNB; it would also require a reduction in the formula funded allocation in 2020-21, coupled with additional commitments through the MFG</w:t>
      </w:r>
      <w:r w:rsidR="00FA5D66">
        <w:rPr>
          <w:rFonts w:ascii="Arial" w:hAnsi="Arial" w:cs="Arial"/>
          <w:sz w:val="22"/>
          <w:szCs w:val="22"/>
        </w:rPr>
        <w:t xml:space="preserve"> in that year</w:t>
      </w:r>
      <w:r w:rsidR="00782F31">
        <w:rPr>
          <w:rFonts w:ascii="Arial" w:hAnsi="Arial" w:cs="Arial"/>
          <w:sz w:val="22"/>
          <w:szCs w:val="22"/>
        </w:rPr>
        <w:t>.</w:t>
      </w:r>
      <w:r w:rsidR="003C5FA0">
        <w:rPr>
          <w:rFonts w:ascii="Arial" w:hAnsi="Arial" w:cs="Arial"/>
          <w:sz w:val="22"/>
          <w:szCs w:val="22"/>
        </w:rPr>
        <w:t xml:space="preserve"> </w:t>
      </w:r>
      <w:r>
        <w:rPr>
          <w:rFonts w:ascii="Arial" w:hAnsi="Arial" w:cs="Arial"/>
          <w:sz w:val="22"/>
          <w:szCs w:val="22"/>
        </w:rPr>
        <w:t>It produces winners and losers to a much greater extent than the other models.</w:t>
      </w:r>
    </w:p>
    <w:p w14:paraId="1399DCFE" w14:textId="77777777" w:rsidR="006D4A0D" w:rsidRDefault="006D4A0D" w:rsidP="00220364">
      <w:pPr>
        <w:spacing w:before="60" w:after="60"/>
        <w:rPr>
          <w:rFonts w:ascii="Arial" w:hAnsi="Arial" w:cs="Arial"/>
          <w:sz w:val="22"/>
          <w:szCs w:val="22"/>
        </w:rPr>
      </w:pPr>
    </w:p>
    <w:p w14:paraId="10BFA5B6" w14:textId="77777777" w:rsidR="0022358F" w:rsidRDefault="006D4A0D" w:rsidP="006D4A0D">
      <w:pPr>
        <w:numPr>
          <w:ilvl w:val="0"/>
          <w:numId w:val="4"/>
        </w:numPr>
        <w:tabs>
          <w:tab w:val="clear" w:pos="360"/>
          <w:tab w:val="num" w:pos="709"/>
        </w:tabs>
        <w:spacing w:before="60" w:after="60"/>
        <w:ind w:left="709" w:hanging="709"/>
        <w:rPr>
          <w:rFonts w:ascii="Arial" w:hAnsi="Arial"/>
          <w:b/>
          <w:sz w:val="22"/>
          <w:szCs w:val="22"/>
        </w:rPr>
      </w:pPr>
      <w:r w:rsidRPr="006D4A0D">
        <w:rPr>
          <w:rFonts w:ascii="Arial" w:hAnsi="Arial"/>
          <w:b/>
          <w:sz w:val="22"/>
          <w:szCs w:val="22"/>
        </w:rPr>
        <w:t>Conclusions.</w:t>
      </w:r>
      <w:r w:rsidR="003C5FA0" w:rsidRPr="006D4A0D">
        <w:rPr>
          <w:rFonts w:ascii="Arial" w:hAnsi="Arial"/>
          <w:b/>
          <w:sz w:val="22"/>
          <w:szCs w:val="22"/>
        </w:rPr>
        <w:t xml:space="preserve"> </w:t>
      </w:r>
    </w:p>
    <w:p w14:paraId="2344FBC1" w14:textId="77777777" w:rsidR="006015E1" w:rsidRPr="006015E1" w:rsidRDefault="006D4A0D" w:rsidP="006D4A0D">
      <w:pPr>
        <w:numPr>
          <w:ilvl w:val="1"/>
          <w:numId w:val="4"/>
        </w:numPr>
        <w:tabs>
          <w:tab w:val="clear" w:pos="360"/>
          <w:tab w:val="num" w:pos="709"/>
        </w:tabs>
        <w:spacing w:before="60" w:after="60"/>
        <w:ind w:left="709" w:hanging="567"/>
        <w:rPr>
          <w:rFonts w:ascii="Arial" w:hAnsi="Arial"/>
          <w:b/>
          <w:sz w:val="22"/>
          <w:szCs w:val="22"/>
        </w:rPr>
      </w:pPr>
      <w:r>
        <w:rPr>
          <w:rFonts w:ascii="Arial" w:hAnsi="Arial"/>
          <w:sz w:val="22"/>
          <w:szCs w:val="22"/>
        </w:rPr>
        <w:t xml:space="preserve">Model 4 requires an input of resources as well as locking in the one off funding released by NNDR changes. It </w:t>
      </w:r>
      <w:r w:rsidR="006015E1">
        <w:rPr>
          <w:rFonts w:ascii="Arial" w:hAnsi="Arial"/>
          <w:sz w:val="22"/>
          <w:szCs w:val="22"/>
        </w:rPr>
        <w:t>creates a greater number of winners and losers than the other models should have sufficient time for governing bodies to plan its implementation.</w:t>
      </w:r>
    </w:p>
    <w:p w14:paraId="287ADD47" w14:textId="77777777" w:rsidR="006015E1" w:rsidRPr="00842409" w:rsidRDefault="006015E1" w:rsidP="006D4A0D">
      <w:pPr>
        <w:numPr>
          <w:ilvl w:val="1"/>
          <w:numId w:val="4"/>
        </w:numPr>
        <w:tabs>
          <w:tab w:val="clear" w:pos="360"/>
          <w:tab w:val="num" w:pos="709"/>
        </w:tabs>
        <w:spacing w:before="60" w:after="60"/>
        <w:ind w:left="709" w:hanging="567"/>
        <w:rPr>
          <w:rFonts w:ascii="Arial" w:hAnsi="Arial"/>
          <w:b/>
          <w:sz w:val="22"/>
          <w:szCs w:val="22"/>
        </w:rPr>
      </w:pPr>
      <w:r>
        <w:rPr>
          <w:rFonts w:ascii="Arial" w:hAnsi="Arial"/>
          <w:sz w:val="22"/>
          <w:szCs w:val="22"/>
        </w:rPr>
        <w:t>Model 2 gives no advantage to the majority of schools and incurs loses for some. It requires the input of one-off resources to balance.</w:t>
      </w:r>
    </w:p>
    <w:p w14:paraId="0C87AF2F" w14:textId="77777777" w:rsidR="00842409" w:rsidRPr="002D6A2A" w:rsidRDefault="00842409" w:rsidP="002D6A2A">
      <w:pPr>
        <w:numPr>
          <w:ilvl w:val="1"/>
          <w:numId w:val="4"/>
        </w:numPr>
        <w:tabs>
          <w:tab w:val="clear" w:pos="360"/>
          <w:tab w:val="num" w:pos="709"/>
        </w:tabs>
        <w:spacing w:before="60" w:after="60"/>
        <w:ind w:left="709" w:hanging="567"/>
        <w:rPr>
          <w:rFonts w:ascii="Arial" w:hAnsi="Arial"/>
          <w:sz w:val="22"/>
          <w:szCs w:val="22"/>
        </w:rPr>
      </w:pPr>
      <w:r w:rsidRPr="002D6A2A">
        <w:rPr>
          <w:rFonts w:ascii="Arial" w:hAnsi="Arial"/>
          <w:sz w:val="22"/>
          <w:szCs w:val="22"/>
        </w:rPr>
        <w:t>Models 1 and 3 are the main contenders. Both give all schools an uplift and cause no significant year-on year changes. Model 1 does not move the Tower Hamlets formula towards the NFF whereas Model 3 does. Model 3 will allow schools to see what they will get through the NFF, making clear what they receive in transitional arrangements (MFG) that will reduce over time. This will aid</w:t>
      </w:r>
      <w:r w:rsidR="002D6A2A">
        <w:rPr>
          <w:rFonts w:ascii="Arial" w:hAnsi="Arial"/>
          <w:sz w:val="22"/>
          <w:szCs w:val="22"/>
        </w:rPr>
        <w:t xml:space="preserve"> long term planning in schools. There are no material differences between the models so there seems little reason for not moving to the NFF.</w:t>
      </w:r>
    </w:p>
    <w:p w14:paraId="4C584F01" w14:textId="77777777" w:rsidR="00842409" w:rsidRPr="00842409" w:rsidRDefault="00842409" w:rsidP="00842409">
      <w:pPr>
        <w:rPr>
          <w:rFonts w:ascii="Arial" w:hAnsi="Arial"/>
          <w:sz w:val="24"/>
          <w:szCs w:val="24"/>
          <w:lang w:eastAsia="en-GB"/>
        </w:rPr>
      </w:pPr>
    </w:p>
    <w:p w14:paraId="72DBA44A" w14:textId="77777777" w:rsidR="00842409" w:rsidRPr="00842409" w:rsidRDefault="00842409" w:rsidP="00842409">
      <w:pPr>
        <w:numPr>
          <w:ilvl w:val="0"/>
          <w:numId w:val="4"/>
        </w:numPr>
        <w:tabs>
          <w:tab w:val="clear" w:pos="360"/>
          <w:tab w:val="num" w:pos="709"/>
        </w:tabs>
        <w:spacing w:before="60" w:after="60"/>
        <w:ind w:left="709" w:hanging="709"/>
        <w:rPr>
          <w:rFonts w:ascii="Arial" w:hAnsi="Arial"/>
          <w:b/>
          <w:sz w:val="24"/>
          <w:szCs w:val="24"/>
          <w:lang w:eastAsia="en-GB"/>
        </w:rPr>
      </w:pPr>
      <w:r w:rsidRPr="00842409">
        <w:rPr>
          <w:rFonts w:ascii="Arial" w:hAnsi="Arial"/>
          <w:b/>
          <w:sz w:val="24"/>
          <w:szCs w:val="24"/>
          <w:lang w:eastAsia="en-GB"/>
        </w:rPr>
        <w:t>Recommendation.</w:t>
      </w:r>
    </w:p>
    <w:p w14:paraId="6F3A9D4C" w14:textId="77777777" w:rsidR="00842409" w:rsidRPr="00842409" w:rsidRDefault="00842409" w:rsidP="009F52F6">
      <w:pPr>
        <w:numPr>
          <w:ilvl w:val="1"/>
          <w:numId w:val="4"/>
        </w:numPr>
        <w:tabs>
          <w:tab w:val="clear" w:pos="360"/>
          <w:tab w:val="num" w:pos="709"/>
        </w:tabs>
        <w:spacing w:before="60" w:after="60"/>
        <w:ind w:left="709" w:hanging="567"/>
        <w:rPr>
          <w:rFonts w:ascii="Arial" w:hAnsi="Arial"/>
          <w:sz w:val="22"/>
          <w:szCs w:val="22"/>
        </w:rPr>
      </w:pPr>
      <w:r w:rsidRPr="00842409">
        <w:rPr>
          <w:rFonts w:ascii="Arial" w:hAnsi="Arial"/>
          <w:sz w:val="22"/>
          <w:szCs w:val="22"/>
        </w:rPr>
        <w:t>That Model 3 is adopted as the Tower Hamlets Schools Funding Formula for 2019-20.</w:t>
      </w:r>
    </w:p>
    <w:p w14:paraId="36B15489" w14:textId="77777777" w:rsidR="00842409" w:rsidRPr="00842409" w:rsidRDefault="00842409" w:rsidP="00842409">
      <w:pPr>
        <w:ind w:left="720"/>
        <w:contextualSpacing/>
        <w:rPr>
          <w:rFonts w:ascii="Arial" w:hAnsi="Arial"/>
          <w:sz w:val="24"/>
          <w:szCs w:val="24"/>
          <w:lang w:eastAsia="en-GB"/>
        </w:rPr>
      </w:pPr>
    </w:p>
    <w:p w14:paraId="4C04E336" w14:textId="77777777" w:rsidR="00842409" w:rsidRPr="00842409" w:rsidRDefault="00842409" w:rsidP="00842409">
      <w:pPr>
        <w:numPr>
          <w:ilvl w:val="0"/>
          <w:numId w:val="4"/>
        </w:numPr>
        <w:tabs>
          <w:tab w:val="clear" w:pos="360"/>
          <w:tab w:val="num" w:pos="709"/>
        </w:tabs>
        <w:spacing w:before="60" w:after="60"/>
        <w:ind w:left="709" w:hanging="709"/>
        <w:rPr>
          <w:rFonts w:ascii="Arial" w:hAnsi="Arial"/>
          <w:b/>
          <w:sz w:val="24"/>
          <w:szCs w:val="24"/>
          <w:lang w:eastAsia="en-GB"/>
        </w:rPr>
      </w:pPr>
      <w:r w:rsidRPr="00842409">
        <w:rPr>
          <w:rFonts w:ascii="Arial" w:hAnsi="Arial"/>
          <w:b/>
          <w:sz w:val="24"/>
          <w:szCs w:val="24"/>
          <w:lang w:eastAsia="en-GB"/>
        </w:rPr>
        <w:t>Consultation.</w:t>
      </w:r>
    </w:p>
    <w:p w14:paraId="728D677B" w14:textId="77777777" w:rsidR="00842409" w:rsidRDefault="00250D7B" w:rsidP="009F52F6">
      <w:pPr>
        <w:numPr>
          <w:ilvl w:val="1"/>
          <w:numId w:val="4"/>
        </w:numPr>
        <w:tabs>
          <w:tab w:val="clear" w:pos="360"/>
          <w:tab w:val="num" w:pos="709"/>
        </w:tabs>
        <w:spacing w:before="60" w:after="60"/>
        <w:ind w:left="709" w:hanging="567"/>
        <w:rPr>
          <w:rFonts w:ascii="Arial" w:hAnsi="Arial"/>
          <w:sz w:val="22"/>
          <w:szCs w:val="22"/>
        </w:rPr>
      </w:pPr>
      <w:r>
        <w:rPr>
          <w:rFonts w:ascii="Arial" w:hAnsi="Arial"/>
          <w:sz w:val="22"/>
          <w:szCs w:val="22"/>
        </w:rPr>
        <w:t xml:space="preserve">The LA is required to consult with all schools and academies on any proposed changes to the funding formula. </w:t>
      </w:r>
      <w:r w:rsidR="00842409" w:rsidRPr="00842409">
        <w:rPr>
          <w:rFonts w:ascii="Arial" w:hAnsi="Arial"/>
          <w:sz w:val="22"/>
          <w:szCs w:val="22"/>
        </w:rPr>
        <w:t xml:space="preserve">The </w:t>
      </w:r>
      <w:r w:rsidR="009F52F6">
        <w:rPr>
          <w:rFonts w:ascii="Arial" w:hAnsi="Arial"/>
          <w:sz w:val="22"/>
          <w:szCs w:val="22"/>
        </w:rPr>
        <w:t xml:space="preserve">proposed </w:t>
      </w:r>
      <w:r w:rsidR="00842409" w:rsidRPr="00842409">
        <w:rPr>
          <w:rFonts w:ascii="Arial" w:hAnsi="Arial"/>
          <w:sz w:val="22"/>
          <w:szCs w:val="22"/>
        </w:rPr>
        <w:t xml:space="preserve">consultation document </w:t>
      </w:r>
      <w:r>
        <w:rPr>
          <w:rFonts w:ascii="Arial" w:hAnsi="Arial"/>
          <w:sz w:val="22"/>
          <w:szCs w:val="22"/>
        </w:rPr>
        <w:t>is set out in the Annex.</w:t>
      </w:r>
      <w:r w:rsidR="009F52F6">
        <w:rPr>
          <w:rFonts w:ascii="Arial" w:hAnsi="Arial"/>
          <w:sz w:val="22"/>
          <w:szCs w:val="22"/>
        </w:rPr>
        <w:t xml:space="preserve"> </w:t>
      </w:r>
      <w:r w:rsidR="000C2770">
        <w:rPr>
          <w:rFonts w:ascii="Arial" w:hAnsi="Arial"/>
          <w:sz w:val="22"/>
          <w:szCs w:val="22"/>
        </w:rPr>
        <w:t xml:space="preserve">Please note that the Appendix 2 referred to in the Consultation Document is Appendix 3 of the main report. </w:t>
      </w:r>
      <w:r w:rsidR="009F52F6">
        <w:rPr>
          <w:rFonts w:ascii="Arial" w:hAnsi="Arial"/>
          <w:sz w:val="22"/>
          <w:szCs w:val="22"/>
        </w:rPr>
        <w:t>Members views on its clarify and comprehensiveness are sought.</w:t>
      </w:r>
    </w:p>
    <w:p w14:paraId="35C7C3DC" w14:textId="77777777" w:rsidR="00250D7B" w:rsidRPr="00842409" w:rsidRDefault="00250D7B" w:rsidP="009F52F6">
      <w:pPr>
        <w:numPr>
          <w:ilvl w:val="1"/>
          <w:numId w:val="4"/>
        </w:numPr>
        <w:tabs>
          <w:tab w:val="clear" w:pos="360"/>
          <w:tab w:val="num" w:pos="709"/>
        </w:tabs>
        <w:spacing w:before="60" w:after="60"/>
        <w:ind w:left="709" w:hanging="567"/>
        <w:rPr>
          <w:rFonts w:ascii="Arial" w:hAnsi="Arial"/>
          <w:sz w:val="22"/>
          <w:szCs w:val="22"/>
        </w:rPr>
      </w:pPr>
      <w:r>
        <w:rPr>
          <w:rFonts w:ascii="Arial" w:hAnsi="Arial"/>
          <w:sz w:val="22"/>
          <w:szCs w:val="22"/>
        </w:rPr>
        <w:lastRenderedPageBreak/>
        <w:t xml:space="preserve">The consultation will take place </w:t>
      </w:r>
      <w:r w:rsidR="00264FCF">
        <w:rPr>
          <w:rFonts w:ascii="Arial" w:hAnsi="Arial"/>
          <w:sz w:val="22"/>
          <w:szCs w:val="22"/>
        </w:rPr>
        <w:t xml:space="preserve">between 12 October and 12 November. The outcome will be reported to Forum on 5 December where a recommendation to the Council will be requested. </w:t>
      </w:r>
    </w:p>
    <w:p w14:paraId="4BB1913C" w14:textId="77777777" w:rsidR="00842409" w:rsidRPr="00842409" w:rsidRDefault="00842409" w:rsidP="00842409">
      <w:pPr>
        <w:rPr>
          <w:rFonts w:ascii="Arial" w:hAnsi="Arial"/>
          <w:sz w:val="24"/>
          <w:szCs w:val="24"/>
          <w:lang w:eastAsia="en-GB"/>
        </w:rPr>
      </w:pPr>
    </w:p>
    <w:p w14:paraId="761D7B1E" w14:textId="77777777" w:rsidR="00842409" w:rsidRPr="00842409" w:rsidRDefault="00842409" w:rsidP="002D6A2A">
      <w:pPr>
        <w:keepNext/>
        <w:rPr>
          <w:rFonts w:ascii="Arial" w:hAnsi="Arial"/>
          <w:b/>
          <w:sz w:val="24"/>
          <w:szCs w:val="24"/>
          <w:lang w:eastAsia="en-GB"/>
        </w:rPr>
      </w:pPr>
      <w:r w:rsidRPr="00842409">
        <w:rPr>
          <w:rFonts w:ascii="Arial" w:hAnsi="Arial"/>
          <w:b/>
          <w:sz w:val="24"/>
          <w:szCs w:val="24"/>
          <w:lang w:eastAsia="en-GB"/>
        </w:rPr>
        <w:t>Caveats.</w:t>
      </w:r>
    </w:p>
    <w:p w14:paraId="6409234F" w14:textId="77777777" w:rsidR="00842409" w:rsidRPr="00842409" w:rsidRDefault="00842409" w:rsidP="002D6A2A">
      <w:pPr>
        <w:keepNext/>
        <w:rPr>
          <w:rFonts w:ascii="Arial" w:hAnsi="Arial"/>
          <w:b/>
          <w:sz w:val="24"/>
          <w:szCs w:val="24"/>
          <w:lang w:eastAsia="en-GB"/>
        </w:rPr>
      </w:pPr>
    </w:p>
    <w:p w14:paraId="4D9C7FD1" w14:textId="77777777" w:rsidR="00842409" w:rsidRPr="00842409" w:rsidRDefault="00842409" w:rsidP="009F52F6">
      <w:pPr>
        <w:keepNext/>
        <w:contextualSpacing/>
        <w:rPr>
          <w:rFonts w:ascii="Arial" w:hAnsi="Arial"/>
          <w:b/>
          <w:i/>
          <w:sz w:val="22"/>
          <w:szCs w:val="22"/>
          <w:lang w:eastAsia="en-GB"/>
        </w:rPr>
      </w:pPr>
      <w:r w:rsidRPr="00842409">
        <w:rPr>
          <w:rFonts w:ascii="Arial" w:hAnsi="Arial"/>
          <w:b/>
          <w:i/>
          <w:sz w:val="22"/>
          <w:szCs w:val="22"/>
          <w:lang w:eastAsia="en-GB"/>
        </w:rPr>
        <w:t>The figures here are indicative and will change when the October 2018 census data becomes available. There are also further local checks on the impact of the MFG on individual schools and on NNDR allocations.</w:t>
      </w:r>
    </w:p>
    <w:p w14:paraId="07E040E8" w14:textId="77777777" w:rsidR="00842409" w:rsidRPr="007F75F3" w:rsidRDefault="007F75F3" w:rsidP="007F75F3">
      <w:pPr>
        <w:ind w:left="720"/>
        <w:contextualSpacing/>
        <w:jc w:val="center"/>
        <w:rPr>
          <w:rFonts w:ascii="Arial" w:hAnsi="Arial"/>
          <w:b/>
          <w:sz w:val="22"/>
          <w:szCs w:val="22"/>
          <w:lang w:eastAsia="en-GB"/>
        </w:rPr>
      </w:pPr>
      <w:r>
        <w:rPr>
          <w:rFonts w:ascii="Arial" w:hAnsi="Arial"/>
          <w:sz w:val="22"/>
          <w:szCs w:val="22"/>
          <w:lang w:eastAsia="en-GB"/>
        </w:rPr>
        <w:br w:type="page"/>
      </w:r>
      <w:r w:rsidRPr="007F75F3">
        <w:rPr>
          <w:rFonts w:ascii="Arial" w:hAnsi="Arial"/>
          <w:b/>
          <w:sz w:val="22"/>
          <w:szCs w:val="22"/>
          <w:lang w:eastAsia="en-GB"/>
        </w:rPr>
        <w:lastRenderedPageBreak/>
        <w:t>ANNEX. Draft Consultation Document</w:t>
      </w:r>
    </w:p>
    <w:p w14:paraId="4126BECD" w14:textId="77777777" w:rsidR="007F75F3" w:rsidRPr="00842409" w:rsidRDefault="007F75F3" w:rsidP="00842409">
      <w:pPr>
        <w:ind w:left="720"/>
        <w:contextualSpacing/>
        <w:rPr>
          <w:rFonts w:ascii="Arial" w:hAnsi="Arial"/>
          <w:sz w:val="22"/>
          <w:szCs w:val="22"/>
          <w:lang w:eastAsia="en-GB"/>
        </w:rPr>
      </w:pPr>
    </w:p>
    <w:p w14:paraId="067292FF" w14:textId="77777777" w:rsidR="007F75F3" w:rsidRPr="007F75F3" w:rsidRDefault="007F75F3" w:rsidP="007F75F3">
      <w:pPr>
        <w:rPr>
          <w:rFonts w:ascii="Arial" w:hAnsi="Arial"/>
          <w:sz w:val="22"/>
          <w:szCs w:val="22"/>
          <w:lang w:eastAsia="en-GB"/>
        </w:rPr>
      </w:pPr>
      <w:r w:rsidRPr="007F75F3">
        <w:rPr>
          <w:rFonts w:ascii="Arial" w:hAnsi="Arial"/>
          <w:b/>
          <w:sz w:val="22"/>
          <w:szCs w:val="22"/>
          <w:lang w:eastAsia="en-GB"/>
        </w:rPr>
        <w:t>Introduction.</w:t>
      </w:r>
    </w:p>
    <w:p w14:paraId="747DEFEA" w14:textId="77777777" w:rsidR="007F75F3" w:rsidRPr="007F75F3" w:rsidRDefault="007F75F3" w:rsidP="007F75F3">
      <w:pPr>
        <w:rPr>
          <w:rFonts w:ascii="Arial" w:hAnsi="Arial"/>
          <w:b/>
          <w:sz w:val="22"/>
          <w:szCs w:val="22"/>
          <w:lang w:eastAsia="en-GB"/>
        </w:rPr>
      </w:pPr>
    </w:p>
    <w:p w14:paraId="1E69D574"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Local Authorities (LAs) are required to keep their local funding formula under review. Although the formula adopted is a decision for the LA it must consult its schools (including academies) and schools forum on its proposals. This paper sets out the national position and the current arrangements in Tower Hamlets before looking at the proposals for next year.</w:t>
      </w:r>
    </w:p>
    <w:p w14:paraId="5D2E76EA" w14:textId="77777777" w:rsidR="007F75F3" w:rsidRPr="007F75F3" w:rsidRDefault="007F75F3" w:rsidP="007F75F3">
      <w:pPr>
        <w:ind w:left="720"/>
        <w:contextualSpacing/>
        <w:rPr>
          <w:rFonts w:ascii="Arial" w:hAnsi="Arial"/>
          <w:sz w:val="22"/>
          <w:szCs w:val="22"/>
          <w:lang w:eastAsia="en-GB"/>
        </w:rPr>
      </w:pPr>
    </w:p>
    <w:p w14:paraId="5A94DC8D" w14:textId="77777777" w:rsidR="007F75F3" w:rsidRPr="007F75F3" w:rsidRDefault="007F75F3" w:rsidP="007F75F3">
      <w:pPr>
        <w:rPr>
          <w:rFonts w:ascii="Arial" w:hAnsi="Arial"/>
          <w:b/>
          <w:sz w:val="22"/>
          <w:szCs w:val="22"/>
          <w:lang w:eastAsia="en-GB"/>
        </w:rPr>
      </w:pPr>
      <w:r w:rsidRPr="007F75F3">
        <w:rPr>
          <w:rFonts w:ascii="Arial" w:hAnsi="Arial"/>
          <w:b/>
          <w:sz w:val="22"/>
          <w:szCs w:val="22"/>
          <w:lang w:eastAsia="en-GB"/>
        </w:rPr>
        <w:t>National Position.</w:t>
      </w:r>
    </w:p>
    <w:p w14:paraId="1BDDFC7E" w14:textId="77777777" w:rsidR="007F75F3" w:rsidRPr="007F75F3" w:rsidRDefault="007F75F3" w:rsidP="007F75F3">
      <w:pPr>
        <w:ind w:left="720"/>
        <w:contextualSpacing/>
        <w:rPr>
          <w:rFonts w:ascii="Arial" w:hAnsi="Arial"/>
          <w:sz w:val="22"/>
          <w:szCs w:val="22"/>
          <w:lang w:eastAsia="en-GB"/>
        </w:rPr>
      </w:pPr>
      <w:r w:rsidRPr="007F75F3">
        <w:rPr>
          <w:rFonts w:ascii="Arial" w:hAnsi="Arial"/>
          <w:sz w:val="22"/>
          <w:szCs w:val="22"/>
          <w:lang w:eastAsia="en-GB"/>
        </w:rPr>
        <w:t xml:space="preserve"> </w:t>
      </w:r>
    </w:p>
    <w:p w14:paraId="2E2C3D80"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The Government began the implementation of the National Funding Formula (NFF) for Schools in 2018-19.</w:t>
      </w:r>
    </w:p>
    <w:p w14:paraId="7240152A" w14:textId="77777777" w:rsidR="007F75F3" w:rsidRPr="007F75F3" w:rsidRDefault="007F75F3" w:rsidP="007F75F3">
      <w:pPr>
        <w:ind w:left="720"/>
        <w:contextualSpacing/>
        <w:rPr>
          <w:rFonts w:ascii="Arial" w:hAnsi="Arial"/>
          <w:sz w:val="22"/>
          <w:szCs w:val="22"/>
          <w:lang w:eastAsia="en-GB"/>
        </w:rPr>
      </w:pPr>
      <w:r w:rsidRPr="007F75F3">
        <w:rPr>
          <w:rFonts w:ascii="Arial" w:hAnsi="Arial"/>
          <w:sz w:val="22"/>
          <w:szCs w:val="22"/>
          <w:lang w:eastAsia="en-GB"/>
        </w:rPr>
        <w:t xml:space="preserve"> </w:t>
      </w:r>
    </w:p>
    <w:p w14:paraId="1F78D8E8"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 xml:space="preserve">The NFF applies a standard formula to allocate money to all schools in England on a consistent basis. It contains a range of factors with fixed factor values that are applied to the characteristics of a school and its pupils. An Area Cost Adjustment (ACA) is applied to the factor values to reflect the higher costs found in some parts of the country. </w:t>
      </w:r>
    </w:p>
    <w:p w14:paraId="7A25FE71" w14:textId="77777777" w:rsidR="007F75F3" w:rsidRPr="007F75F3" w:rsidRDefault="007F75F3" w:rsidP="007F75F3">
      <w:pPr>
        <w:rPr>
          <w:rFonts w:ascii="Arial" w:hAnsi="Arial"/>
          <w:sz w:val="22"/>
          <w:szCs w:val="22"/>
          <w:lang w:eastAsia="en-GB"/>
        </w:rPr>
      </w:pPr>
    </w:p>
    <w:p w14:paraId="1E9F1DCE"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The NFF is being phased in with the initial years using a ‘soft’ formula; that is each LA receives the sum of the NFF allocations of the schools (including academies) in its area. The LA then decides how the money is allocated to schools after consulting with its schools and schools forum. The ‘soft’ formula was originally planned for 2018-19 and 2019-20 only but has now been extended to 2020-21. After that a ‘hard’ formula, without local input, would be implemented in 2021-22. This would mean that each school received its NFF allocation, plus transitional arrangements.</w:t>
      </w:r>
    </w:p>
    <w:p w14:paraId="594718EA" w14:textId="77777777" w:rsidR="007F75F3" w:rsidRPr="007F75F3" w:rsidRDefault="007F75F3" w:rsidP="007F75F3">
      <w:pPr>
        <w:rPr>
          <w:rFonts w:ascii="Arial" w:hAnsi="Arial"/>
          <w:sz w:val="22"/>
          <w:szCs w:val="22"/>
          <w:lang w:eastAsia="en-GB"/>
        </w:rPr>
      </w:pPr>
      <w:r w:rsidRPr="007F75F3">
        <w:rPr>
          <w:rFonts w:ascii="Arial" w:hAnsi="Arial"/>
          <w:sz w:val="22"/>
          <w:szCs w:val="22"/>
          <w:lang w:eastAsia="en-GB"/>
        </w:rPr>
        <w:t xml:space="preserve"> </w:t>
      </w:r>
    </w:p>
    <w:p w14:paraId="1793A1E0"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The DfE’s transitional arrangements are designed to protect individual school budgets from significant year-on-year changes. For most schools the most important element is the Minimum Funding Guarantee (MFG). In recent years this has been set at -1.5%, meaning that schools were guaranteed at least 98.5% of the previous year’s funding per pupil (excluding factors such as NNDR).</w:t>
      </w:r>
    </w:p>
    <w:p w14:paraId="15B5D230" w14:textId="77777777" w:rsidR="007F75F3" w:rsidRPr="007F75F3" w:rsidRDefault="007F75F3" w:rsidP="007F75F3">
      <w:pPr>
        <w:ind w:left="720"/>
        <w:contextualSpacing/>
        <w:rPr>
          <w:rFonts w:ascii="Arial" w:hAnsi="Arial"/>
          <w:sz w:val="22"/>
          <w:szCs w:val="22"/>
          <w:lang w:eastAsia="en-GB"/>
        </w:rPr>
      </w:pPr>
    </w:p>
    <w:p w14:paraId="7B4D3DAC"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Transitional arrangements were enhanced when the 2017 general election led the Government to find additional resources for schools. The additional resources allowed a 0.5% uplift per pupil in 2018-19 and a further 0.5% uplift in 2019-2020.</w:t>
      </w:r>
    </w:p>
    <w:p w14:paraId="5D43DF33" w14:textId="77777777" w:rsidR="007F75F3" w:rsidRPr="007F75F3" w:rsidRDefault="007F75F3" w:rsidP="007F75F3">
      <w:pPr>
        <w:rPr>
          <w:rFonts w:ascii="Arial" w:hAnsi="Arial"/>
          <w:sz w:val="22"/>
          <w:szCs w:val="22"/>
          <w:lang w:eastAsia="en-GB"/>
        </w:rPr>
      </w:pPr>
    </w:p>
    <w:p w14:paraId="0FD6A124"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The general increase in funding allowed the Education and Skills Funding Agency (ESFA) to give LAs discretion in setting a local MFG; in particular, to set a positive MFG of up to 0.5% to enable schools to benefit from the per-pupil uplift. The permissible range for MFG was 0.5% to -1.5%.</w:t>
      </w:r>
    </w:p>
    <w:p w14:paraId="37F08DFD" w14:textId="77777777" w:rsidR="007F75F3" w:rsidRPr="007F75F3" w:rsidRDefault="007F75F3" w:rsidP="007F75F3">
      <w:pPr>
        <w:ind w:left="720"/>
        <w:contextualSpacing/>
        <w:rPr>
          <w:rFonts w:ascii="Arial" w:hAnsi="Arial"/>
          <w:sz w:val="22"/>
          <w:szCs w:val="22"/>
          <w:lang w:eastAsia="en-GB"/>
        </w:rPr>
      </w:pPr>
    </w:p>
    <w:p w14:paraId="2283E752"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Changes to the funding formula for 2019-20 introduced a new transitional factor, the Funding Floor. This allowed LAs the ability to give all schools at least a 1% uplift based on its 2017-18 baseline.</w:t>
      </w:r>
    </w:p>
    <w:p w14:paraId="394E0869" w14:textId="77777777" w:rsidR="007F75F3" w:rsidRPr="007F75F3" w:rsidRDefault="007F75F3" w:rsidP="007F75F3">
      <w:pPr>
        <w:ind w:left="720"/>
        <w:contextualSpacing/>
        <w:rPr>
          <w:rFonts w:ascii="Arial" w:hAnsi="Arial"/>
          <w:sz w:val="22"/>
          <w:szCs w:val="22"/>
          <w:lang w:eastAsia="en-GB"/>
        </w:rPr>
      </w:pPr>
    </w:p>
    <w:p w14:paraId="01A572E6"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A comparison between the local and NFF funding factors is set out in Appendix 1.</w:t>
      </w:r>
    </w:p>
    <w:p w14:paraId="4335915C" w14:textId="77777777" w:rsidR="007F75F3" w:rsidRPr="007F75F3" w:rsidRDefault="007F75F3" w:rsidP="007F75F3">
      <w:pPr>
        <w:ind w:left="360"/>
        <w:rPr>
          <w:rFonts w:ascii="Arial" w:hAnsi="Arial"/>
          <w:sz w:val="22"/>
          <w:szCs w:val="22"/>
          <w:lang w:eastAsia="en-GB"/>
        </w:rPr>
      </w:pPr>
    </w:p>
    <w:p w14:paraId="79164BEA" w14:textId="77777777" w:rsidR="007F75F3" w:rsidRPr="007F75F3" w:rsidRDefault="007F75F3" w:rsidP="007F75F3">
      <w:pPr>
        <w:keepNext/>
        <w:ind w:left="360" w:hanging="360"/>
        <w:rPr>
          <w:rFonts w:ascii="Arial" w:hAnsi="Arial"/>
          <w:b/>
          <w:sz w:val="22"/>
          <w:szCs w:val="22"/>
          <w:lang w:eastAsia="en-GB"/>
        </w:rPr>
      </w:pPr>
      <w:r w:rsidRPr="007F75F3">
        <w:rPr>
          <w:rFonts w:ascii="Arial" w:hAnsi="Arial"/>
          <w:b/>
          <w:sz w:val="22"/>
          <w:szCs w:val="22"/>
          <w:lang w:eastAsia="en-GB"/>
        </w:rPr>
        <w:lastRenderedPageBreak/>
        <w:t>Tower Hamlets 2018-19.</w:t>
      </w:r>
    </w:p>
    <w:p w14:paraId="676B3EF9" w14:textId="77777777" w:rsidR="007F75F3" w:rsidRPr="007F75F3" w:rsidRDefault="007F75F3" w:rsidP="007F75F3">
      <w:pPr>
        <w:keepNext/>
        <w:ind w:left="360"/>
        <w:rPr>
          <w:rFonts w:ascii="Arial" w:hAnsi="Arial"/>
          <w:sz w:val="22"/>
          <w:szCs w:val="22"/>
          <w:lang w:eastAsia="en-GB"/>
        </w:rPr>
      </w:pPr>
    </w:p>
    <w:p w14:paraId="185BD71D" w14:textId="77777777" w:rsidR="007F75F3" w:rsidRPr="007F75F3" w:rsidRDefault="007F75F3" w:rsidP="007F75F3">
      <w:pPr>
        <w:keepNext/>
        <w:numPr>
          <w:ilvl w:val="0"/>
          <w:numId w:val="36"/>
        </w:numPr>
        <w:contextualSpacing/>
        <w:rPr>
          <w:rFonts w:ascii="Arial" w:hAnsi="Arial"/>
          <w:sz w:val="22"/>
          <w:szCs w:val="22"/>
          <w:lang w:eastAsia="en-GB"/>
        </w:rPr>
      </w:pPr>
      <w:r w:rsidRPr="007F75F3">
        <w:rPr>
          <w:rFonts w:ascii="Arial" w:hAnsi="Arial"/>
          <w:sz w:val="22"/>
          <w:szCs w:val="22"/>
          <w:lang w:eastAsia="en-GB"/>
        </w:rPr>
        <w:t>The position agreed in Tower Hamlets was to maintain the status quo as far as possible. This meant all factor values remained the same as in 2017-18, with the following exceptions:</w:t>
      </w:r>
    </w:p>
    <w:p w14:paraId="1658224B"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The Age Weighted Pupil Unit (AWPU) was increased by 0.5% to reflect the uplift per pupil.</w:t>
      </w:r>
    </w:p>
    <w:p w14:paraId="4E2857E9"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The Income Deprivation Affecting Children Index (IDACI) was used for the first time as a measure of deprivation.</w:t>
      </w:r>
    </w:p>
    <w:p w14:paraId="7CC1561D"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To balance funding to the resources available the MFG was set at -1% rather than the -1.5% used the previous year.</w:t>
      </w:r>
    </w:p>
    <w:p w14:paraId="201199E3" w14:textId="77777777" w:rsidR="007F75F3" w:rsidRPr="007F75F3" w:rsidRDefault="007F75F3" w:rsidP="007F75F3">
      <w:pPr>
        <w:ind w:left="1440"/>
        <w:contextualSpacing/>
        <w:rPr>
          <w:rFonts w:ascii="Arial" w:hAnsi="Arial"/>
          <w:sz w:val="22"/>
          <w:szCs w:val="22"/>
          <w:lang w:eastAsia="en-GB"/>
        </w:rPr>
      </w:pPr>
    </w:p>
    <w:p w14:paraId="5E495CF9" w14:textId="77777777" w:rsidR="007F75F3" w:rsidRPr="007F75F3" w:rsidRDefault="007F75F3" w:rsidP="007F75F3">
      <w:pPr>
        <w:rPr>
          <w:rFonts w:ascii="Arial" w:hAnsi="Arial"/>
          <w:b/>
          <w:sz w:val="22"/>
          <w:szCs w:val="22"/>
          <w:lang w:eastAsia="en-GB"/>
        </w:rPr>
      </w:pPr>
      <w:r w:rsidRPr="007F75F3">
        <w:rPr>
          <w:rFonts w:ascii="Arial" w:hAnsi="Arial"/>
          <w:b/>
          <w:sz w:val="22"/>
          <w:szCs w:val="22"/>
          <w:lang w:eastAsia="en-GB"/>
        </w:rPr>
        <w:t>Preparing for 2019-20.</w:t>
      </w:r>
    </w:p>
    <w:p w14:paraId="3F80AF8C" w14:textId="77777777" w:rsidR="007F75F3" w:rsidRPr="007F75F3" w:rsidRDefault="007F75F3" w:rsidP="007F75F3">
      <w:pPr>
        <w:rPr>
          <w:rFonts w:ascii="Arial" w:hAnsi="Arial"/>
          <w:sz w:val="22"/>
          <w:szCs w:val="22"/>
          <w:lang w:eastAsia="en-GB"/>
        </w:rPr>
      </w:pPr>
    </w:p>
    <w:p w14:paraId="46DB67B3"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The Schools Forum set up the Schools Formula Review Group to assist the LA in reviewing the formula. The Group met several times in the summer term and again in September looking at options. In July the ESFA released updated projections for 2019-20 and introduced the Funding Floor, see Paragraph 8. The main options looked at initially were:</w:t>
      </w:r>
    </w:p>
    <w:p w14:paraId="6A260FB2"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Maintaining the status quo.</w:t>
      </w:r>
    </w:p>
    <w:p w14:paraId="51351F6B"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Moving to the NFF.</w:t>
      </w:r>
    </w:p>
    <w:p w14:paraId="7E031A18"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A half-way house between a and b. Due to the action of the MFG there was little difference between this and b and this option was discounted.</w:t>
      </w:r>
    </w:p>
    <w:p w14:paraId="580CFCD5"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 xml:space="preserve">The implications of varying the value of the MFG and the capping and scaling factors (used to moderate the gains of schools benefitting from changes). Initially considered, this option was dropped when the additional resources for 2019-20 limited the range of values that could be used for these factors.  </w:t>
      </w:r>
    </w:p>
    <w:p w14:paraId="054C69CC" w14:textId="77777777" w:rsidR="007F75F3" w:rsidRPr="007F75F3" w:rsidRDefault="007F75F3" w:rsidP="007F75F3">
      <w:pPr>
        <w:ind w:left="720"/>
        <w:contextualSpacing/>
        <w:rPr>
          <w:rFonts w:ascii="Arial" w:hAnsi="Arial"/>
          <w:sz w:val="22"/>
          <w:szCs w:val="22"/>
          <w:lang w:eastAsia="en-GB"/>
        </w:rPr>
      </w:pPr>
      <w:r w:rsidRPr="007F75F3">
        <w:rPr>
          <w:rFonts w:ascii="Arial" w:hAnsi="Arial"/>
          <w:sz w:val="22"/>
          <w:szCs w:val="22"/>
          <w:lang w:eastAsia="en-GB"/>
        </w:rPr>
        <w:t>The remaining options, a and b, were then modelled with and without the funding floor.</w:t>
      </w:r>
    </w:p>
    <w:p w14:paraId="5F837898" w14:textId="77777777" w:rsidR="007F75F3" w:rsidRPr="007F75F3" w:rsidRDefault="007F75F3" w:rsidP="007F75F3">
      <w:pPr>
        <w:ind w:left="720"/>
        <w:contextualSpacing/>
        <w:rPr>
          <w:rFonts w:ascii="Arial" w:hAnsi="Arial"/>
          <w:sz w:val="22"/>
          <w:szCs w:val="22"/>
          <w:lang w:eastAsia="en-GB"/>
        </w:rPr>
      </w:pPr>
    </w:p>
    <w:p w14:paraId="51B655FB"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 xml:space="preserve">The cash limit applied to the models was the 0.5% per-pupil uplift, less a reduction in National Non-Domestic Rates (NNDR) funding due to reduced charges in prior years. This gave an increase in resources of £0.931m. A further reduction in NNDR will give a one-off saving in 2019-20 of £0.92m but this has not been included in the cash-limit. To do so would require a reduction in budget allocations in 2020-21 whilst increasing MFG commitments in that year. It is the LA’s intention to seek the School Forum’s permission to use this one-off resource to relieve pressure on the High Needs Block in 2019-20 only. </w:t>
      </w:r>
    </w:p>
    <w:p w14:paraId="5B0D5433" w14:textId="77777777" w:rsidR="007F75F3" w:rsidRPr="007F75F3" w:rsidRDefault="007F75F3" w:rsidP="007F75F3">
      <w:pPr>
        <w:ind w:left="720"/>
        <w:contextualSpacing/>
        <w:rPr>
          <w:rFonts w:ascii="Arial" w:hAnsi="Arial"/>
          <w:sz w:val="22"/>
          <w:szCs w:val="22"/>
          <w:lang w:eastAsia="en-GB"/>
        </w:rPr>
      </w:pPr>
    </w:p>
    <w:p w14:paraId="29641673"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The modelling excluded NNDR and PFI allocations so that the formula implications could be clearly seen. Appendix 2 shows the allocation by school for each of the following:</w:t>
      </w:r>
    </w:p>
    <w:p w14:paraId="7FBDFF28" w14:textId="77777777" w:rsidR="007F75F3" w:rsidRPr="007F75F3" w:rsidRDefault="007F75F3" w:rsidP="007F75F3">
      <w:pPr>
        <w:ind w:left="720"/>
        <w:contextualSpacing/>
        <w:rPr>
          <w:rFonts w:ascii="Arial" w:hAnsi="Arial"/>
          <w:sz w:val="22"/>
          <w:szCs w:val="22"/>
          <w:lang w:eastAsia="en-GB"/>
        </w:rPr>
      </w:pPr>
    </w:p>
    <w:p w14:paraId="36F2A961"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Original 2018-19.</w:t>
      </w:r>
    </w:p>
    <w:p w14:paraId="1658ADDB"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Model 1- the existing formula without the funding floor. The model has been balanced by changing the MFG. In 2018-19 this was set at -1.00% but the additional resources in 2019-20 allow a positive value of 0.41%. Because it is the current position but with extra funding every school will gain.</w:t>
      </w:r>
    </w:p>
    <w:p w14:paraId="63126633"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 xml:space="preserve">Model 2 – the existing formula with the funding floor. Even with a MFG of -1.5% this model exceeds the cash limit set out in 11. This is because funding changes in 2018-19 benefitted some schools by </w:t>
      </w:r>
      <w:r w:rsidRPr="007F75F3">
        <w:rPr>
          <w:rFonts w:ascii="Arial" w:hAnsi="Arial"/>
          <w:sz w:val="22"/>
          <w:szCs w:val="22"/>
          <w:lang w:eastAsia="en-GB"/>
        </w:rPr>
        <w:lastRenderedPageBreak/>
        <w:t>more than the 0.5% uplift and this is now locked in through the MFG. The majority of schools will be worse off under Model 2 compared with Model 1 because the resources required for the funding floor necessitate a MFG of -1.5%.</w:t>
      </w:r>
    </w:p>
    <w:p w14:paraId="53E7A2D8"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Model 3 – the NFF without the funding floor. Although Tower Hamlet schools lose resources through the NFF the per-pupil uplifts and the MFG mean that that the funding available will see an increase for every school. The model was balanced by using a positive MFG of 0.42%.</w:t>
      </w:r>
    </w:p>
    <w:p w14:paraId="785F1D05" w14:textId="77777777" w:rsidR="007F75F3" w:rsidRPr="007F75F3" w:rsidRDefault="007F75F3" w:rsidP="007F75F3">
      <w:pPr>
        <w:numPr>
          <w:ilvl w:val="1"/>
          <w:numId w:val="36"/>
        </w:numPr>
        <w:contextualSpacing/>
        <w:rPr>
          <w:rFonts w:ascii="Arial" w:hAnsi="Arial"/>
          <w:sz w:val="22"/>
          <w:szCs w:val="22"/>
          <w:lang w:eastAsia="en-GB"/>
        </w:rPr>
      </w:pPr>
      <w:r w:rsidRPr="007F75F3">
        <w:rPr>
          <w:rFonts w:ascii="Arial" w:hAnsi="Arial"/>
          <w:sz w:val="22"/>
          <w:szCs w:val="22"/>
          <w:lang w:eastAsia="en-GB"/>
        </w:rPr>
        <w:t xml:space="preserve">Model 4 – the NFF with the funding floor. The resources required to balance this model are even greater than in Model 2  </w:t>
      </w:r>
    </w:p>
    <w:p w14:paraId="73E93FE0" w14:textId="77777777" w:rsidR="007F75F3" w:rsidRPr="007F75F3" w:rsidRDefault="007F75F3" w:rsidP="007F75F3">
      <w:pPr>
        <w:ind w:left="720"/>
        <w:contextualSpacing/>
        <w:rPr>
          <w:rFonts w:ascii="Arial" w:hAnsi="Arial"/>
          <w:sz w:val="22"/>
          <w:szCs w:val="22"/>
          <w:lang w:eastAsia="en-GB"/>
        </w:rPr>
      </w:pPr>
      <w:r w:rsidRPr="007F75F3">
        <w:rPr>
          <w:rFonts w:ascii="Arial" w:hAnsi="Arial"/>
          <w:sz w:val="22"/>
          <w:szCs w:val="22"/>
          <w:lang w:eastAsia="en-GB"/>
        </w:rPr>
        <w:t xml:space="preserve"> </w:t>
      </w:r>
    </w:p>
    <w:p w14:paraId="56446657"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It is the LA’s intention not to pursue Models 2 and 4 due to the need for a cash limit greater than set out in 11 and the reduced funding for the majority of schools compared to Models 1 and 3.</w:t>
      </w:r>
    </w:p>
    <w:p w14:paraId="1916FC16" w14:textId="77777777" w:rsidR="007F75F3" w:rsidRPr="007F75F3" w:rsidRDefault="007F75F3" w:rsidP="007F75F3">
      <w:pPr>
        <w:ind w:left="720"/>
        <w:contextualSpacing/>
        <w:rPr>
          <w:rFonts w:ascii="Arial" w:hAnsi="Arial"/>
          <w:sz w:val="22"/>
          <w:szCs w:val="22"/>
          <w:lang w:eastAsia="en-GB"/>
        </w:rPr>
      </w:pPr>
    </w:p>
    <w:p w14:paraId="21D1A1B9"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 xml:space="preserve"> Model 1 does not move the Tower Hamlets formula towards the NFF whereas Model 3 does. Model 3 will allow schools to see what they will get through the NFF, making clear what they receive in transitional arrangements (MFG) that will reduce over time. This will aid long term planning in schools. </w:t>
      </w:r>
    </w:p>
    <w:p w14:paraId="023605DC" w14:textId="77777777" w:rsidR="007F75F3" w:rsidRPr="007F75F3" w:rsidRDefault="007F75F3" w:rsidP="007F75F3">
      <w:pPr>
        <w:rPr>
          <w:rFonts w:ascii="Arial" w:hAnsi="Arial"/>
          <w:sz w:val="22"/>
          <w:szCs w:val="22"/>
          <w:lang w:eastAsia="en-GB"/>
        </w:rPr>
      </w:pPr>
    </w:p>
    <w:p w14:paraId="6D8B7F9E" w14:textId="77777777" w:rsidR="007F75F3" w:rsidRPr="007F75F3" w:rsidRDefault="007F75F3" w:rsidP="007F75F3">
      <w:pPr>
        <w:rPr>
          <w:rFonts w:ascii="Arial" w:hAnsi="Arial"/>
          <w:b/>
          <w:sz w:val="22"/>
          <w:szCs w:val="22"/>
          <w:lang w:eastAsia="en-GB"/>
        </w:rPr>
      </w:pPr>
      <w:r w:rsidRPr="007F75F3">
        <w:rPr>
          <w:rFonts w:ascii="Arial" w:hAnsi="Arial"/>
          <w:b/>
          <w:sz w:val="22"/>
          <w:szCs w:val="22"/>
          <w:lang w:eastAsia="en-GB"/>
        </w:rPr>
        <w:t>Recommendation.</w:t>
      </w:r>
    </w:p>
    <w:p w14:paraId="1BABC12C" w14:textId="77777777" w:rsidR="007F75F3" w:rsidRPr="007F75F3" w:rsidRDefault="007F75F3" w:rsidP="007F75F3">
      <w:pPr>
        <w:rPr>
          <w:rFonts w:ascii="Arial" w:hAnsi="Arial"/>
          <w:b/>
          <w:sz w:val="22"/>
          <w:szCs w:val="22"/>
          <w:lang w:eastAsia="en-GB"/>
        </w:rPr>
      </w:pPr>
    </w:p>
    <w:p w14:paraId="271E6743" w14:textId="77777777" w:rsidR="007F75F3" w:rsidRPr="007F75F3" w:rsidRDefault="007F75F3" w:rsidP="007F75F3">
      <w:pPr>
        <w:numPr>
          <w:ilvl w:val="0"/>
          <w:numId w:val="36"/>
        </w:numPr>
        <w:contextualSpacing/>
        <w:rPr>
          <w:rFonts w:ascii="Arial" w:hAnsi="Arial"/>
          <w:b/>
          <w:i/>
          <w:sz w:val="22"/>
          <w:szCs w:val="22"/>
          <w:lang w:eastAsia="en-GB"/>
        </w:rPr>
      </w:pPr>
      <w:r w:rsidRPr="007F75F3">
        <w:rPr>
          <w:rFonts w:ascii="Arial" w:hAnsi="Arial"/>
          <w:b/>
          <w:i/>
          <w:sz w:val="22"/>
          <w:szCs w:val="22"/>
          <w:lang w:eastAsia="en-GB"/>
        </w:rPr>
        <w:t>That Model 3 is adopted as the Tower Hamlets Schools Funding Formula for 2019-20.</w:t>
      </w:r>
    </w:p>
    <w:p w14:paraId="546C4A9B" w14:textId="77777777" w:rsidR="007F75F3" w:rsidRPr="007F75F3" w:rsidRDefault="007F75F3" w:rsidP="007F75F3">
      <w:pPr>
        <w:ind w:left="720"/>
        <w:contextualSpacing/>
        <w:rPr>
          <w:rFonts w:ascii="Arial" w:hAnsi="Arial"/>
          <w:sz w:val="22"/>
          <w:szCs w:val="22"/>
          <w:lang w:eastAsia="en-GB"/>
        </w:rPr>
      </w:pPr>
    </w:p>
    <w:p w14:paraId="59771145" w14:textId="77777777" w:rsidR="007F75F3" w:rsidRPr="007F75F3" w:rsidRDefault="007F75F3" w:rsidP="007F75F3">
      <w:pPr>
        <w:rPr>
          <w:rFonts w:ascii="Arial" w:hAnsi="Arial"/>
          <w:b/>
          <w:sz w:val="22"/>
          <w:szCs w:val="22"/>
          <w:lang w:eastAsia="en-GB"/>
        </w:rPr>
      </w:pPr>
      <w:r w:rsidRPr="007F75F3">
        <w:rPr>
          <w:rFonts w:ascii="Arial" w:hAnsi="Arial"/>
          <w:b/>
          <w:sz w:val="22"/>
          <w:szCs w:val="22"/>
          <w:lang w:eastAsia="en-GB"/>
        </w:rPr>
        <w:t>Consultation.</w:t>
      </w:r>
    </w:p>
    <w:p w14:paraId="47DE72A9" w14:textId="77777777" w:rsidR="007F75F3" w:rsidRPr="007F75F3" w:rsidRDefault="007F75F3" w:rsidP="007F75F3">
      <w:pPr>
        <w:rPr>
          <w:rFonts w:ascii="Arial" w:hAnsi="Arial"/>
          <w:b/>
          <w:sz w:val="22"/>
          <w:szCs w:val="22"/>
          <w:lang w:eastAsia="en-GB"/>
        </w:rPr>
      </w:pPr>
    </w:p>
    <w:p w14:paraId="3BE19B21" w14:textId="77777777" w:rsidR="007F75F3" w:rsidRPr="007F75F3" w:rsidRDefault="007F75F3" w:rsidP="007F75F3">
      <w:pPr>
        <w:numPr>
          <w:ilvl w:val="0"/>
          <w:numId w:val="36"/>
        </w:numPr>
        <w:contextualSpacing/>
        <w:rPr>
          <w:rFonts w:ascii="Arial" w:hAnsi="Arial"/>
          <w:sz w:val="22"/>
          <w:szCs w:val="22"/>
          <w:lang w:eastAsia="en-GB"/>
        </w:rPr>
      </w:pPr>
      <w:r w:rsidRPr="007F75F3">
        <w:rPr>
          <w:rFonts w:ascii="Arial" w:hAnsi="Arial"/>
          <w:sz w:val="22"/>
          <w:szCs w:val="22"/>
          <w:lang w:eastAsia="en-GB"/>
        </w:rPr>
        <w:t>The attached consultation document seeks your views on the proposals for 2019-20.</w:t>
      </w:r>
    </w:p>
    <w:p w14:paraId="590923BE" w14:textId="77777777" w:rsidR="007F75F3" w:rsidRPr="007F75F3" w:rsidRDefault="007F75F3" w:rsidP="007F75F3">
      <w:pPr>
        <w:rPr>
          <w:rFonts w:ascii="Arial" w:hAnsi="Arial"/>
          <w:sz w:val="22"/>
          <w:szCs w:val="22"/>
          <w:lang w:eastAsia="en-GB"/>
        </w:rPr>
      </w:pPr>
    </w:p>
    <w:p w14:paraId="4EAD194C" w14:textId="77777777" w:rsidR="007F75F3" w:rsidRPr="007F75F3" w:rsidRDefault="007F75F3" w:rsidP="007F75F3">
      <w:pPr>
        <w:rPr>
          <w:rFonts w:ascii="Arial" w:hAnsi="Arial"/>
          <w:b/>
          <w:sz w:val="22"/>
          <w:szCs w:val="22"/>
          <w:lang w:eastAsia="en-GB"/>
        </w:rPr>
      </w:pPr>
      <w:r w:rsidRPr="007F75F3">
        <w:rPr>
          <w:rFonts w:ascii="Arial" w:hAnsi="Arial"/>
          <w:b/>
          <w:sz w:val="22"/>
          <w:szCs w:val="22"/>
          <w:lang w:eastAsia="en-GB"/>
        </w:rPr>
        <w:t>Caveats.</w:t>
      </w:r>
    </w:p>
    <w:p w14:paraId="61B05A50" w14:textId="77777777" w:rsidR="007F75F3" w:rsidRPr="007F75F3" w:rsidRDefault="007F75F3" w:rsidP="007F75F3">
      <w:pPr>
        <w:rPr>
          <w:rFonts w:ascii="Arial" w:hAnsi="Arial"/>
          <w:b/>
          <w:sz w:val="22"/>
          <w:szCs w:val="22"/>
          <w:lang w:eastAsia="en-GB"/>
        </w:rPr>
      </w:pPr>
    </w:p>
    <w:p w14:paraId="4585A9DF" w14:textId="77777777" w:rsidR="007F75F3" w:rsidRPr="007F75F3" w:rsidRDefault="007F75F3" w:rsidP="007F75F3">
      <w:pPr>
        <w:numPr>
          <w:ilvl w:val="0"/>
          <w:numId w:val="36"/>
        </w:numPr>
        <w:contextualSpacing/>
        <w:rPr>
          <w:rFonts w:ascii="Arial" w:hAnsi="Arial"/>
          <w:b/>
          <w:i/>
          <w:sz w:val="22"/>
          <w:szCs w:val="22"/>
          <w:lang w:eastAsia="en-GB"/>
        </w:rPr>
      </w:pPr>
      <w:r w:rsidRPr="007F75F3">
        <w:rPr>
          <w:rFonts w:ascii="Arial" w:hAnsi="Arial"/>
          <w:b/>
          <w:i/>
          <w:sz w:val="22"/>
          <w:szCs w:val="22"/>
          <w:lang w:eastAsia="en-GB"/>
        </w:rPr>
        <w:t>The figures here are indicative and will change when the October 2018 census data becomes available. There are also further local checks on the impact of the MFG on individual schools and on NNDR allocations.</w:t>
      </w:r>
    </w:p>
    <w:p w14:paraId="33D29EB0" w14:textId="77777777" w:rsidR="007F75F3" w:rsidRPr="007F75F3" w:rsidRDefault="007F75F3" w:rsidP="007F75F3">
      <w:pPr>
        <w:ind w:left="720"/>
        <w:contextualSpacing/>
        <w:rPr>
          <w:rFonts w:ascii="Arial" w:hAnsi="Arial"/>
          <w:sz w:val="22"/>
          <w:szCs w:val="22"/>
          <w:lang w:eastAsia="en-GB"/>
        </w:rPr>
      </w:pPr>
    </w:p>
    <w:p w14:paraId="321E9523" w14:textId="77777777" w:rsidR="007F75F3" w:rsidRPr="007F75F3" w:rsidRDefault="007F75F3" w:rsidP="007F75F3">
      <w:pPr>
        <w:rPr>
          <w:rFonts w:ascii="Arial" w:hAnsi="Arial"/>
          <w:sz w:val="22"/>
          <w:szCs w:val="22"/>
          <w:lang w:eastAsia="en-GB"/>
        </w:rPr>
      </w:pPr>
      <w:r w:rsidRPr="007F75F3">
        <w:rPr>
          <w:rFonts w:ascii="Arial" w:hAnsi="Arial"/>
          <w:sz w:val="22"/>
          <w:szCs w:val="22"/>
          <w:lang w:eastAsia="en-GB"/>
        </w:rPr>
        <w:br w:type="page"/>
      </w:r>
    </w:p>
    <w:p w14:paraId="5A4C3954" w14:textId="77777777" w:rsidR="007F75F3" w:rsidRPr="007F75F3" w:rsidRDefault="007F75F3" w:rsidP="007F75F3">
      <w:pPr>
        <w:ind w:left="720"/>
        <w:contextualSpacing/>
        <w:jc w:val="center"/>
        <w:rPr>
          <w:rFonts w:ascii="Arial" w:hAnsi="Arial"/>
          <w:b/>
          <w:sz w:val="22"/>
          <w:szCs w:val="22"/>
          <w:lang w:eastAsia="en-GB"/>
        </w:rPr>
        <w:sectPr w:rsidR="007F75F3" w:rsidRPr="007F75F3">
          <w:footerReference w:type="default" r:id="rId12"/>
          <w:pgSz w:w="11906" w:h="16838"/>
          <w:pgMar w:top="1440" w:right="1800" w:bottom="1440" w:left="1800" w:header="708" w:footer="708" w:gutter="0"/>
          <w:cols w:space="708"/>
          <w:docGrid w:linePitch="360"/>
        </w:sectPr>
      </w:pPr>
    </w:p>
    <w:p w14:paraId="39402EA6" w14:textId="77777777" w:rsidR="007F75F3" w:rsidRPr="007F75F3" w:rsidRDefault="007F75F3" w:rsidP="007F75F3">
      <w:pPr>
        <w:ind w:left="720"/>
        <w:contextualSpacing/>
        <w:jc w:val="center"/>
        <w:rPr>
          <w:rFonts w:ascii="Arial" w:hAnsi="Arial"/>
          <w:b/>
          <w:sz w:val="24"/>
          <w:szCs w:val="24"/>
          <w:lang w:eastAsia="en-GB"/>
        </w:rPr>
      </w:pPr>
      <w:r w:rsidRPr="007F75F3">
        <w:rPr>
          <w:rFonts w:ascii="Arial" w:hAnsi="Arial"/>
          <w:b/>
          <w:sz w:val="24"/>
          <w:szCs w:val="24"/>
          <w:lang w:eastAsia="en-GB"/>
        </w:rPr>
        <w:lastRenderedPageBreak/>
        <w:t>Tower Hamlets Schools Funding Formula 2019-20.</w:t>
      </w:r>
    </w:p>
    <w:p w14:paraId="6E4A55B1" w14:textId="77777777" w:rsidR="007F75F3" w:rsidRPr="007F75F3" w:rsidRDefault="007F75F3" w:rsidP="007F75F3">
      <w:pPr>
        <w:ind w:left="720"/>
        <w:contextualSpacing/>
        <w:jc w:val="center"/>
        <w:rPr>
          <w:rFonts w:ascii="Arial" w:hAnsi="Arial"/>
          <w:b/>
          <w:sz w:val="24"/>
          <w:szCs w:val="24"/>
          <w:lang w:eastAsia="en-GB"/>
        </w:rPr>
      </w:pPr>
    </w:p>
    <w:p w14:paraId="34C65AC4" w14:textId="0A3F21AD" w:rsidR="007F75F3" w:rsidRPr="007F75F3" w:rsidRDefault="007F75F3" w:rsidP="007F75F3">
      <w:pPr>
        <w:ind w:left="720"/>
        <w:contextualSpacing/>
        <w:jc w:val="center"/>
        <w:rPr>
          <w:rFonts w:ascii="Arial" w:hAnsi="Arial"/>
          <w:b/>
          <w:sz w:val="24"/>
          <w:szCs w:val="24"/>
          <w:lang w:eastAsia="en-GB"/>
        </w:rPr>
      </w:pPr>
      <w:r w:rsidRPr="007F75F3">
        <w:rPr>
          <w:rFonts w:ascii="Arial" w:hAnsi="Arial"/>
          <w:b/>
          <w:sz w:val="24"/>
          <w:szCs w:val="24"/>
          <w:lang w:eastAsia="en-GB"/>
        </w:rPr>
        <w:t>Consultation</w:t>
      </w:r>
      <w:bookmarkStart w:id="0" w:name="_GoBack"/>
      <w:bookmarkEnd w:id="0"/>
    </w:p>
    <w:p w14:paraId="3894E799" w14:textId="77777777" w:rsidR="007F75F3" w:rsidRPr="007F75F3" w:rsidRDefault="007F75F3" w:rsidP="007F75F3">
      <w:pPr>
        <w:ind w:left="720"/>
        <w:contextualSpacing/>
        <w:jc w:val="center"/>
        <w:rPr>
          <w:rFonts w:ascii="Arial" w:hAnsi="Arial"/>
          <w:b/>
          <w:sz w:val="24"/>
          <w:szCs w:val="24"/>
          <w:lang w:eastAsia="en-GB"/>
        </w:rPr>
      </w:pPr>
    </w:p>
    <w:p w14:paraId="43859C9E" w14:textId="77777777" w:rsidR="007F75F3" w:rsidRPr="007F75F3" w:rsidRDefault="007F75F3" w:rsidP="007F75F3">
      <w:pPr>
        <w:ind w:left="720"/>
        <w:contextualSpacing/>
        <w:jc w:val="center"/>
        <w:rPr>
          <w:rFonts w:ascii="Arial" w:hAnsi="Arial"/>
          <w:b/>
          <w:sz w:val="24"/>
          <w:szCs w:val="24"/>
          <w:lang w:eastAsia="en-GB"/>
        </w:rPr>
      </w:pPr>
    </w:p>
    <w:p w14:paraId="77D63089" w14:textId="77777777" w:rsidR="007F75F3" w:rsidRPr="007F75F3" w:rsidRDefault="007F75F3" w:rsidP="007F75F3">
      <w:pPr>
        <w:ind w:left="720"/>
        <w:contextualSpacing/>
        <w:rPr>
          <w:rFonts w:ascii="Arial" w:hAnsi="Arial"/>
          <w:b/>
          <w:sz w:val="24"/>
          <w:szCs w:val="24"/>
          <w:lang w:eastAsia="en-GB"/>
        </w:rPr>
      </w:pPr>
      <w:r w:rsidRPr="007F75F3">
        <w:rPr>
          <w:rFonts w:ascii="Arial" w:hAnsi="Arial"/>
          <w:b/>
          <w:sz w:val="24"/>
          <w:szCs w:val="24"/>
          <w:lang w:eastAsia="en-GB"/>
        </w:rPr>
        <w:t>Please e-mail your responses to:</w:t>
      </w:r>
    </w:p>
    <w:p w14:paraId="6F11017C" w14:textId="77777777" w:rsidR="007F75F3" w:rsidRPr="007F75F3" w:rsidRDefault="007F75F3" w:rsidP="007F75F3">
      <w:pPr>
        <w:ind w:left="720"/>
        <w:contextualSpacing/>
        <w:rPr>
          <w:rFonts w:ascii="Arial" w:hAnsi="Arial"/>
          <w:b/>
          <w:sz w:val="24"/>
          <w:szCs w:val="24"/>
          <w:lang w:eastAsia="en-GB"/>
        </w:rPr>
      </w:pPr>
    </w:p>
    <w:p w14:paraId="7A72ECDA" w14:textId="77777777" w:rsidR="007F75F3" w:rsidRPr="007F75F3" w:rsidRDefault="007F75F3" w:rsidP="007F75F3">
      <w:pPr>
        <w:ind w:left="720"/>
        <w:contextualSpacing/>
        <w:rPr>
          <w:rFonts w:ascii="Arial" w:hAnsi="Arial"/>
          <w:b/>
          <w:sz w:val="24"/>
          <w:szCs w:val="24"/>
          <w:lang w:eastAsia="en-GB"/>
        </w:rPr>
      </w:pPr>
      <w:r w:rsidRPr="007F75F3">
        <w:rPr>
          <w:rFonts w:ascii="Arial" w:hAnsi="Arial"/>
          <w:b/>
          <w:sz w:val="24"/>
          <w:szCs w:val="24"/>
          <w:lang w:eastAsia="en-GB"/>
        </w:rPr>
        <w:tab/>
      </w:r>
      <w:hyperlink r:id="rId13" w:history="1">
        <w:r w:rsidRPr="007F75F3">
          <w:rPr>
            <w:rFonts w:ascii="Arial" w:hAnsi="Arial"/>
            <w:b/>
            <w:color w:val="0000FF"/>
            <w:sz w:val="24"/>
            <w:szCs w:val="24"/>
            <w:u w:val="single"/>
            <w:lang w:eastAsia="en-GB"/>
          </w:rPr>
          <w:t>Steve.worth@towerhamlets.gov.uk</w:t>
        </w:r>
      </w:hyperlink>
    </w:p>
    <w:p w14:paraId="25F55C4F" w14:textId="77777777" w:rsidR="007F75F3" w:rsidRPr="007F75F3" w:rsidRDefault="007F75F3" w:rsidP="007F75F3">
      <w:pPr>
        <w:ind w:left="720"/>
        <w:contextualSpacing/>
        <w:rPr>
          <w:rFonts w:ascii="Arial" w:hAnsi="Arial"/>
          <w:b/>
          <w:sz w:val="24"/>
          <w:szCs w:val="24"/>
          <w:lang w:eastAsia="en-GB"/>
        </w:rPr>
      </w:pPr>
    </w:p>
    <w:p w14:paraId="50E318F1" w14:textId="77777777" w:rsidR="007F75F3" w:rsidRPr="007F75F3" w:rsidRDefault="007F75F3" w:rsidP="007F75F3">
      <w:pPr>
        <w:ind w:left="720"/>
        <w:contextualSpacing/>
        <w:rPr>
          <w:rFonts w:ascii="Arial" w:hAnsi="Arial"/>
          <w:b/>
          <w:sz w:val="24"/>
          <w:szCs w:val="24"/>
          <w:lang w:eastAsia="en-GB"/>
        </w:rPr>
      </w:pPr>
      <w:r w:rsidRPr="007F75F3">
        <w:rPr>
          <w:rFonts w:ascii="Arial" w:hAnsi="Arial"/>
          <w:b/>
          <w:sz w:val="24"/>
          <w:szCs w:val="24"/>
          <w:lang w:eastAsia="en-GB"/>
        </w:rPr>
        <w:t>By:</w:t>
      </w:r>
      <w:r w:rsidRPr="007F75F3">
        <w:rPr>
          <w:rFonts w:ascii="Arial" w:hAnsi="Arial"/>
          <w:b/>
          <w:sz w:val="24"/>
          <w:szCs w:val="24"/>
          <w:lang w:eastAsia="en-GB"/>
        </w:rPr>
        <w:tab/>
        <w:t>xx/xx/2018.</w:t>
      </w:r>
    </w:p>
    <w:p w14:paraId="3340B203" w14:textId="77777777" w:rsidR="007F75F3" w:rsidRPr="007F75F3" w:rsidRDefault="007F75F3" w:rsidP="007F75F3">
      <w:pPr>
        <w:ind w:left="720"/>
        <w:contextualSpacing/>
        <w:rPr>
          <w:rFonts w:ascii="Arial" w:hAnsi="Arial"/>
          <w:b/>
          <w:sz w:val="24"/>
          <w:szCs w:val="24"/>
          <w:lang w:eastAsia="en-GB"/>
        </w:rPr>
      </w:pPr>
    </w:p>
    <w:p w14:paraId="53F9FC79" w14:textId="77777777" w:rsidR="007F75F3" w:rsidRPr="007F75F3" w:rsidRDefault="007F75F3" w:rsidP="007F75F3">
      <w:pPr>
        <w:ind w:left="720"/>
        <w:contextualSpacing/>
        <w:rPr>
          <w:rFonts w:ascii="Arial" w:hAnsi="Arial"/>
          <w:b/>
          <w:sz w:val="24"/>
          <w:szCs w:val="24"/>
          <w:lang w:eastAsia="en-GB"/>
        </w:rPr>
      </w:pPr>
    </w:p>
    <w:p w14:paraId="38579090" w14:textId="77777777" w:rsidR="007F75F3" w:rsidRPr="007F75F3" w:rsidRDefault="007F75F3" w:rsidP="007F75F3">
      <w:pPr>
        <w:ind w:left="720"/>
        <w:contextualSpacing/>
        <w:rPr>
          <w:rFonts w:ascii="Arial" w:hAnsi="Arial"/>
          <w:sz w:val="24"/>
          <w:szCs w:val="24"/>
          <w:lang w:eastAsia="en-GB"/>
        </w:rPr>
      </w:pPr>
    </w:p>
    <w:tbl>
      <w:tblPr>
        <w:tblStyle w:val="TableGrid"/>
        <w:tblW w:w="14283" w:type="dxa"/>
        <w:tblLayout w:type="fixed"/>
        <w:tblLook w:val="04A0" w:firstRow="1" w:lastRow="0" w:firstColumn="1" w:lastColumn="0" w:noHBand="0" w:noVBand="1"/>
      </w:tblPr>
      <w:tblGrid>
        <w:gridCol w:w="5240"/>
        <w:gridCol w:w="1701"/>
        <w:gridCol w:w="7342"/>
      </w:tblGrid>
      <w:tr w:rsidR="000C2770" w:rsidRPr="007F75F3" w14:paraId="7D8310EA" w14:textId="77777777" w:rsidTr="00DF0104">
        <w:tc>
          <w:tcPr>
            <w:tcW w:w="5240" w:type="dxa"/>
          </w:tcPr>
          <w:p w14:paraId="1251BFA7" w14:textId="77777777" w:rsidR="007F75F3" w:rsidRPr="007F75F3" w:rsidRDefault="007F75F3" w:rsidP="007F75F3">
            <w:pPr>
              <w:rPr>
                <w:rFonts w:ascii="Arial" w:hAnsi="Arial"/>
                <w:b/>
                <w:sz w:val="24"/>
                <w:szCs w:val="24"/>
                <w:lang w:eastAsia="en-GB"/>
              </w:rPr>
            </w:pPr>
            <w:r w:rsidRPr="007F75F3">
              <w:rPr>
                <w:rFonts w:ascii="Arial" w:hAnsi="Arial"/>
                <w:b/>
                <w:sz w:val="24"/>
                <w:szCs w:val="24"/>
                <w:lang w:eastAsia="en-GB"/>
              </w:rPr>
              <w:t>Question:</w:t>
            </w:r>
          </w:p>
        </w:tc>
        <w:tc>
          <w:tcPr>
            <w:tcW w:w="1701" w:type="dxa"/>
          </w:tcPr>
          <w:p w14:paraId="65322D40" w14:textId="77777777" w:rsidR="007F75F3" w:rsidRPr="007F75F3" w:rsidRDefault="007F75F3" w:rsidP="007F75F3">
            <w:pPr>
              <w:rPr>
                <w:rFonts w:ascii="Arial" w:hAnsi="Arial"/>
                <w:b/>
                <w:sz w:val="24"/>
                <w:szCs w:val="24"/>
                <w:lang w:eastAsia="en-GB"/>
              </w:rPr>
            </w:pPr>
            <w:r w:rsidRPr="007F75F3">
              <w:rPr>
                <w:rFonts w:ascii="Arial" w:hAnsi="Arial"/>
                <w:b/>
                <w:sz w:val="24"/>
                <w:szCs w:val="24"/>
                <w:lang w:eastAsia="en-GB"/>
              </w:rPr>
              <w:t>Response:</w:t>
            </w:r>
          </w:p>
          <w:p w14:paraId="50FEEA4F" w14:textId="77777777" w:rsidR="007F75F3" w:rsidRPr="007F75F3" w:rsidRDefault="007F75F3" w:rsidP="007F75F3">
            <w:pPr>
              <w:rPr>
                <w:rFonts w:ascii="Arial" w:hAnsi="Arial"/>
                <w:b/>
                <w:sz w:val="24"/>
                <w:szCs w:val="24"/>
                <w:lang w:eastAsia="en-GB"/>
              </w:rPr>
            </w:pPr>
            <w:r w:rsidRPr="007F75F3">
              <w:rPr>
                <w:rFonts w:ascii="Arial" w:hAnsi="Arial"/>
                <w:b/>
                <w:sz w:val="24"/>
                <w:szCs w:val="24"/>
                <w:lang w:eastAsia="en-GB"/>
              </w:rPr>
              <w:t>Yes/No</w:t>
            </w:r>
          </w:p>
        </w:tc>
        <w:tc>
          <w:tcPr>
            <w:tcW w:w="7342" w:type="dxa"/>
          </w:tcPr>
          <w:p w14:paraId="5E6FAE6A" w14:textId="77777777" w:rsidR="007F75F3" w:rsidRPr="007F75F3" w:rsidRDefault="007F75F3" w:rsidP="007F75F3">
            <w:pPr>
              <w:rPr>
                <w:rFonts w:ascii="Arial" w:hAnsi="Arial"/>
                <w:b/>
                <w:sz w:val="24"/>
                <w:szCs w:val="24"/>
                <w:lang w:eastAsia="en-GB"/>
              </w:rPr>
            </w:pPr>
            <w:r w:rsidRPr="007F75F3">
              <w:rPr>
                <w:rFonts w:ascii="Arial" w:hAnsi="Arial"/>
                <w:b/>
                <w:sz w:val="24"/>
                <w:szCs w:val="24"/>
                <w:lang w:eastAsia="en-GB"/>
              </w:rPr>
              <w:t>Comments:</w:t>
            </w:r>
          </w:p>
        </w:tc>
      </w:tr>
      <w:tr w:rsidR="000C2770" w:rsidRPr="007F75F3" w14:paraId="2C0BE418" w14:textId="77777777" w:rsidTr="00DF0104">
        <w:tc>
          <w:tcPr>
            <w:tcW w:w="5240" w:type="dxa"/>
          </w:tcPr>
          <w:p w14:paraId="282CDD3E" w14:textId="77777777" w:rsidR="007F75F3" w:rsidRPr="007F75F3" w:rsidRDefault="007F75F3" w:rsidP="007F75F3">
            <w:pPr>
              <w:rPr>
                <w:rFonts w:ascii="Arial" w:hAnsi="Arial"/>
                <w:sz w:val="24"/>
                <w:szCs w:val="24"/>
                <w:lang w:eastAsia="en-GB"/>
              </w:rPr>
            </w:pPr>
            <w:r w:rsidRPr="007F75F3">
              <w:rPr>
                <w:rFonts w:ascii="Arial" w:hAnsi="Arial"/>
                <w:sz w:val="24"/>
                <w:szCs w:val="24"/>
                <w:lang w:eastAsia="en-GB"/>
              </w:rPr>
              <w:t>Question 1:</w:t>
            </w:r>
          </w:p>
          <w:p w14:paraId="5C304D4B" w14:textId="77777777" w:rsidR="007F75F3" w:rsidRPr="007F75F3" w:rsidRDefault="007F75F3" w:rsidP="007F75F3">
            <w:pPr>
              <w:rPr>
                <w:rFonts w:ascii="Arial" w:hAnsi="Arial"/>
                <w:sz w:val="24"/>
                <w:szCs w:val="24"/>
                <w:lang w:eastAsia="en-GB"/>
              </w:rPr>
            </w:pPr>
          </w:p>
          <w:p w14:paraId="441211CF" w14:textId="77777777" w:rsidR="007F75F3" w:rsidRPr="007F75F3" w:rsidRDefault="007F75F3" w:rsidP="007F75F3">
            <w:pPr>
              <w:rPr>
                <w:rFonts w:ascii="Arial" w:hAnsi="Arial"/>
                <w:b/>
                <w:i/>
                <w:sz w:val="24"/>
                <w:szCs w:val="24"/>
                <w:lang w:eastAsia="en-GB"/>
              </w:rPr>
            </w:pPr>
            <w:r w:rsidRPr="007F75F3">
              <w:rPr>
                <w:rFonts w:ascii="Arial" w:hAnsi="Arial"/>
                <w:b/>
                <w:i/>
                <w:sz w:val="24"/>
                <w:szCs w:val="24"/>
                <w:lang w:eastAsia="en-GB"/>
              </w:rPr>
              <w:t>Do you support the proposal to implement the National Funding Formula (Model 3) in 2019-20?</w:t>
            </w:r>
          </w:p>
          <w:p w14:paraId="04420AB2" w14:textId="77777777" w:rsidR="007F75F3" w:rsidRPr="007F75F3" w:rsidRDefault="007F75F3" w:rsidP="007F75F3">
            <w:pPr>
              <w:rPr>
                <w:rFonts w:ascii="Arial" w:hAnsi="Arial"/>
                <w:sz w:val="24"/>
                <w:szCs w:val="24"/>
                <w:lang w:eastAsia="en-GB"/>
              </w:rPr>
            </w:pPr>
          </w:p>
          <w:p w14:paraId="74A0EFA1" w14:textId="77777777" w:rsidR="007F75F3" w:rsidRPr="007F75F3" w:rsidRDefault="007F75F3" w:rsidP="007F75F3">
            <w:pPr>
              <w:rPr>
                <w:rFonts w:ascii="Arial" w:hAnsi="Arial"/>
                <w:sz w:val="24"/>
                <w:szCs w:val="24"/>
                <w:lang w:eastAsia="en-GB"/>
              </w:rPr>
            </w:pPr>
            <w:r w:rsidRPr="007F75F3">
              <w:rPr>
                <w:rFonts w:ascii="Arial" w:hAnsi="Arial"/>
                <w:sz w:val="24"/>
                <w:szCs w:val="24"/>
                <w:lang w:eastAsia="en-GB"/>
              </w:rPr>
              <w:t>The factor values will be those set out in Appendix 1 with a Minimum Funding Guarantee of +0.42%.</w:t>
            </w:r>
          </w:p>
        </w:tc>
        <w:tc>
          <w:tcPr>
            <w:tcW w:w="1701" w:type="dxa"/>
          </w:tcPr>
          <w:p w14:paraId="5D15F0B1" w14:textId="77777777" w:rsidR="007F75F3" w:rsidRPr="007F75F3" w:rsidRDefault="007F75F3" w:rsidP="007F75F3">
            <w:pPr>
              <w:rPr>
                <w:rFonts w:ascii="Arial" w:hAnsi="Arial"/>
                <w:sz w:val="24"/>
                <w:szCs w:val="24"/>
                <w:lang w:eastAsia="en-GB"/>
              </w:rPr>
            </w:pPr>
          </w:p>
        </w:tc>
        <w:tc>
          <w:tcPr>
            <w:tcW w:w="7342" w:type="dxa"/>
          </w:tcPr>
          <w:p w14:paraId="2DBFA439" w14:textId="77777777" w:rsidR="007F75F3" w:rsidRPr="007F75F3" w:rsidRDefault="007F75F3" w:rsidP="007F75F3">
            <w:pPr>
              <w:rPr>
                <w:rFonts w:ascii="Arial" w:hAnsi="Arial"/>
                <w:sz w:val="24"/>
                <w:szCs w:val="24"/>
                <w:lang w:eastAsia="en-GB"/>
              </w:rPr>
            </w:pPr>
          </w:p>
        </w:tc>
      </w:tr>
      <w:tr w:rsidR="000C2770" w:rsidRPr="007F75F3" w14:paraId="2290E37E" w14:textId="77777777" w:rsidTr="00DF0104">
        <w:tc>
          <w:tcPr>
            <w:tcW w:w="5240" w:type="dxa"/>
          </w:tcPr>
          <w:p w14:paraId="5F3A27D6" w14:textId="77777777" w:rsidR="007F75F3" w:rsidRPr="007F75F3" w:rsidRDefault="007F75F3" w:rsidP="007F75F3">
            <w:pPr>
              <w:rPr>
                <w:rFonts w:ascii="Arial" w:hAnsi="Arial"/>
                <w:sz w:val="24"/>
                <w:szCs w:val="24"/>
                <w:lang w:eastAsia="en-GB"/>
              </w:rPr>
            </w:pPr>
            <w:r w:rsidRPr="007F75F3">
              <w:rPr>
                <w:rFonts w:ascii="Arial" w:hAnsi="Arial"/>
                <w:sz w:val="24"/>
                <w:szCs w:val="24"/>
                <w:lang w:eastAsia="en-GB"/>
              </w:rPr>
              <w:t>Question 2:</w:t>
            </w:r>
          </w:p>
          <w:p w14:paraId="551722A5" w14:textId="77777777" w:rsidR="007F75F3" w:rsidRPr="007F75F3" w:rsidRDefault="007F75F3" w:rsidP="007F75F3">
            <w:pPr>
              <w:rPr>
                <w:rFonts w:ascii="Arial" w:hAnsi="Arial"/>
                <w:sz w:val="24"/>
                <w:szCs w:val="24"/>
                <w:lang w:eastAsia="en-GB"/>
              </w:rPr>
            </w:pPr>
          </w:p>
          <w:p w14:paraId="7398EEFA" w14:textId="77777777" w:rsidR="007F75F3" w:rsidRPr="007F75F3" w:rsidRDefault="007F75F3" w:rsidP="007F75F3">
            <w:pPr>
              <w:rPr>
                <w:rFonts w:ascii="Arial" w:hAnsi="Arial"/>
                <w:sz w:val="24"/>
                <w:szCs w:val="24"/>
                <w:lang w:eastAsia="en-GB"/>
              </w:rPr>
            </w:pPr>
            <w:r w:rsidRPr="007F75F3">
              <w:rPr>
                <w:rFonts w:ascii="Arial" w:hAnsi="Arial"/>
                <w:sz w:val="24"/>
                <w:szCs w:val="24"/>
                <w:lang w:eastAsia="en-GB"/>
              </w:rPr>
              <w:t>If your response to Question 1 is No would you support another of the options modelled? If so please state which and your reasons.</w:t>
            </w:r>
          </w:p>
        </w:tc>
        <w:tc>
          <w:tcPr>
            <w:tcW w:w="1701" w:type="dxa"/>
          </w:tcPr>
          <w:p w14:paraId="4D14E142" w14:textId="77777777" w:rsidR="007F75F3" w:rsidRPr="007F75F3" w:rsidRDefault="007F75F3" w:rsidP="007F75F3">
            <w:pPr>
              <w:rPr>
                <w:rFonts w:ascii="Arial" w:hAnsi="Arial"/>
                <w:sz w:val="24"/>
                <w:szCs w:val="24"/>
                <w:lang w:eastAsia="en-GB"/>
              </w:rPr>
            </w:pPr>
          </w:p>
        </w:tc>
        <w:tc>
          <w:tcPr>
            <w:tcW w:w="7342" w:type="dxa"/>
          </w:tcPr>
          <w:p w14:paraId="3512854E" w14:textId="77777777" w:rsidR="007F75F3" w:rsidRPr="007F75F3" w:rsidRDefault="007F75F3" w:rsidP="007F75F3">
            <w:pPr>
              <w:rPr>
                <w:rFonts w:ascii="Arial" w:hAnsi="Arial"/>
                <w:sz w:val="24"/>
                <w:szCs w:val="24"/>
                <w:lang w:eastAsia="en-GB"/>
              </w:rPr>
            </w:pPr>
          </w:p>
        </w:tc>
      </w:tr>
      <w:tr w:rsidR="00DF0104" w:rsidRPr="007F75F3" w14:paraId="0858EC49" w14:textId="77777777" w:rsidTr="00DF0104">
        <w:tc>
          <w:tcPr>
            <w:tcW w:w="5240" w:type="dxa"/>
          </w:tcPr>
          <w:p w14:paraId="2B7430AA" w14:textId="77777777" w:rsidR="00DF0104" w:rsidRPr="007F75F3" w:rsidRDefault="00DF0104" w:rsidP="007F75F3">
            <w:pPr>
              <w:rPr>
                <w:rFonts w:ascii="Arial" w:hAnsi="Arial"/>
                <w:sz w:val="24"/>
                <w:szCs w:val="24"/>
                <w:lang w:eastAsia="en-GB"/>
              </w:rPr>
            </w:pPr>
            <w:r w:rsidRPr="007F75F3">
              <w:rPr>
                <w:rFonts w:ascii="Arial" w:hAnsi="Arial"/>
                <w:sz w:val="24"/>
                <w:szCs w:val="24"/>
                <w:lang w:eastAsia="en-GB"/>
              </w:rPr>
              <w:t>Question 3.</w:t>
            </w:r>
          </w:p>
          <w:p w14:paraId="237BC612" w14:textId="77777777" w:rsidR="00DF0104" w:rsidRPr="007F75F3" w:rsidRDefault="00DF0104" w:rsidP="007F75F3">
            <w:pPr>
              <w:rPr>
                <w:rFonts w:ascii="Arial" w:hAnsi="Arial"/>
                <w:sz w:val="24"/>
                <w:szCs w:val="24"/>
                <w:lang w:eastAsia="en-GB"/>
              </w:rPr>
            </w:pPr>
          </w:p>
          <w:p w14:paraId="5E6A71FC" w14:textId="77777777" w:rsidR="00DF0104" w:rsidRPr="007F75F3" w:rsidRDefault="00DF0104" w:rsidP="007F75F3">
            <w:pPr>
              <w:rPr>
                <w:rFonts w:ascii="Arial" w:hAnsi="Arial"/>
                <w:sz w:val="24"/>
                <w:szCs w:val="24"/>
                <w:lang w:eastAsia="en-GB"/>
              </w:rPr>
            </w:pPr>
            <w:r w:rsidRPr="007F75F3">
              <w:rPr>
                <w:rFonts w:ascii="Arial" w:hAnsi="Arial"/>
                <w:sz w:val="24"/>
                <w:szCs w:val="24"/>
                <w:lang w:eastAsia="en-GB"/>
              </w:rPr>
              <w:t xml:space="preserve">If your answers to Questions 1 and 2 are No please give your alternative proposals.   </w:t>
            </w:r>
          </w:p>
        </w:tc>
        <w:tc>
          <w:tcPr>
            <w:tcW w:w="1701" w:type="dxa"/>
          </w:tcPr>
          <w:p w14:paraId="36D8ADED" w14:textId="77777777" w:rsidR="00DF0104" w:rsidRPr="007F75F3" w:rsidRDefault="00DF0104" w:rsidP="007F75F3">
            <w:pPr>
              <w:rPr>
                <w:rFonts w:ascii="Arial" w:hAnsi="Arial"/>
                <w:sz w:val="24"/>
                <w:szCs w:val="24"/>
                <w:lang w:eastAsia="en-GB"/>
              </w:rPr>
            </w:pPr>
          </w:p>
        </w:tc>
        <w:tc>
          <w:tcPr>
            <w:tcW w:w="7342" w:type="dxa"/>
          </w:tcPr>
          <w:p w14:paraId="34A3BB65" w14:textId="0E498DFC" w:rsidR="00DF0104" w:rsidRPr="007F75F3" w:rsidRDefault="00DF0104" w:rsidP="007F75F3">
            <w:pPr>
              <w:rPr>
                <w:rFonts w:ascii="Arial" w:hAnsi="Arial"/>
                <w:sz w:val="24"/>
                <w:szCs w:val="24"/>
                <w:lang w:eastAsia="en-GB"/>
              </w:rPr>
            </w:pPr>
          </w:p>
        </w:tc>
      </w:tr>
      <w:tr w:rsidR="00DF0104" w:rsidRPr="007F75F3" w14:paraId="4972578D" w14:textId="77777777" w:rsidTr="00DF0104">
        <w:tc>
          <w:tcPr>
            <w:tcW w:w="5240" w:type="dxa"/>
          </w:tcPr>
          <w:p w14:paraId="566D50C9" w14:textId="77777777" w:rsidR="00DF0104" w:rsidRPr="007F75F3" w:rsidRDefault="00DF0104" w:rsidP="007F75F3">
            <w:pPr>
              <w:rPr>
                <w:rFonts w:ascii="Arial" w:hAnsi="Arial"/>
                <w:sz w:val="24"/>
                <w:szCs w:val="24"/>
                <w:lang w:eastAsia="en-GB"/>
              </w:rPr>
            </w:pPr>
            <w:r w:rsidRPr="007F75F3">
              <w:rPr>
                <w:rFonts w:ascii="Arial" w:hAnsi="Arial"/>
                <w:sz w:val="24"/>
                <w:szCs w:val="24"/>
                <w:lang w:eastAsia="en-GB"/>
              </w:rPr>
              <w:t>Any other comments.</w:t>
            </w:r>
          </w:p>
          <w:p w14:paraId="3AC10590" w14:textId="77777777" w:rsidR="00DF0104" w:rsidRPr="007F75F3" w:rsidRDefault="00DF0104" w:rsidP="007F75F3">
            <w:pPr>
              <w:rPr>
                <w:rFonts w:ascii="Arial" w:hAnsi="Arial"/>
                <w:sz w:val="24"/>
                <w:szCs w:val="24"/>
                <w:lang w:eastAsia="en-GB"/>
              </w:rPr>
            </w:pPr>
          </w:p>
          <w:p w14:paraId="0995F6A0" w14:textId="77777777" w:rsidR="00DF0104" w:rsidRPr="007F75F3" w:rsidRDefault="00DF0104" w:rsidP="007F75F3">
            <w:pPr>
              <w:rPr>
                <w:rFonts w:ascii="Arial" w:hAnsi="Arial"/>
                <w:sz w:val="24"/>
                <w:szCs w:val="24"/>
                <w:lang w:eastAsia="en-GB"/>
              </w:rPr>
            </w:pPr>
          </w:p>
        </w:tc>
        <w:tc>
          <w:tcPr>
            <w:tcW w:w="1701" w:type="dxa"/>
          </w:tcPr>
          <w:p w14:paraId="6EF8BA6B" w14:textId="77777777" w:rsidR="00DF0104" w:rsidRPr="007F75F3" w:rsidRDefault="00DF0104" w:rsidP="007F75F3">
            <w:pPr>
              <w:rPr>
                <w:rFonts w:ascii="Arial" w:hAnsi="Arial"/>
                <w:sz w:val="24"/>
                <w:szCs w:val="24"/>
                <w:lang w:eastAsia="en-GB"/>
              </w:rPr>
            </w:pPr>
          </w:p>
          <w:p w14:paraId="57147EF9" w14:textId="77777777" w:rsidR="00DF0104" w:rsidRPr="007F75F3" w:rsidRDefault="00DF0104" w:rsidP="007F75F3">
            <w:pPr>
              <w:rPr>
                <w:rFonts w:ascii="Arial" w:hAnsi="Arial"/>
                <w:sz w:val="24"/>
                <w:szCs w:val="24"/>
                <w:lang w:eastAsia="en-GB"/>
              </w:rPr>
            </w:pPr>
          </w:p>
          <w:p w14:paraId="3A2CF0E3" w14:textId="77777777" w:rsidR="00DF0104" w:rsidRPr="007F75F3" w:rsidRDefault="00DF0104" w:rsidP="007F75F3">
            <w:pPr>
              <w:rPr>
                <w:rFonts w:ascii="Arial" w:hAnsi="Arial"/>
                <w:sz w:val="24"/>
                <w:szCs w:val="24"/>
                <w:lang w:eastAsia="en-GB"/>
              </w:rPr>
            </w:pPr>
          </w:p>
        </w:tc>
        <w:tc>
          <w:tcPr>
            <w:tcW w:w="7342" w:type="dxa"/>
          </w:tcPr>
          <w:p w14:paraId="748738CA" w14:textId="77777777" w:rsidR="00DF0104" w:rsidRPr="007F75F3" w:rsidRDefault="00DF0104" w:rsidP="007F75F3">
            <w:pPr>
              <w:rPr>
                <w:rFonts w:ascii="Arial" w:hAnsi="Arial"/>
                <w:sz w:val="24"/>
                <w:szCs w:val="24"/>
                <w:lang w:eastAsia="en-GB"/>
              </w:rPr>
            </w:pPr>
          </w:p>
          <w:p w14:paraId="029A9EF0" w14:textId="77777777" w:rsidR="00DF0104" w:rsidRPr="007F75F3" w:rsidRDefault="00DF0104" w:rsidP="007F75F3">
            <w:pPr>
              <w:rPr>
                <w:rFonts w:ascii="Arial" w:hAnsi="Arial"/>
                <w:sz w:val="24"/>
                <w:szCs w:val="24"/>
                <w:lang w:eastAsia="en-GB"/>
              </w:rPr>
            </w:pPr>
          </w:p>
          <w:p w14:paraId="00D012EA" w14:textId="77777777" w:rsidR="00DF0104" w:rsidRPr="007F75F3" w:rsidRDefault="00DF0104" w:rsidP="007F75F3">
            <w:pPr>
              <w:rPr>
                <w:rFonts w:ascii="Arial" w:hAnsi="Arial"/>
                <w:sz w:val="24"/>
                <w:szCs w:val="24"/>
                <w:lang w:eastAsia="en-GB"/>
              </w:rPr>
            </w:pPr>
          </w:p>
        </w:tc>
      </w:tr>
    </w:tbl>
    <w:p w14:paraId="4295A411" w14:textId="77777777" w:rsidR="007F75F3" w:rsidRPr="007F75F3" w:rsidRDefault="007F75F3" w:rsidP="007F75F3">
      <w:pPr>
        <w:rPr>
          <w:rFonts w:ascii="Arial" w:hAnsi="Arial"/>
          <w:sz w:val="24"/>
          <w:szCs w:val="24"/>
          <w:lang w:eastAsia="en-GB"/>
        </w:rPr>
      </w:pPr>
    </w:p>
    <w:p w14:paraId="01C403D6" w14:textId="77777777" w:rsidR="007F75F3" w:rsidRPr="007F75F3" w:rsidRDefault="007F75F3" w:rsidP="007F75F3">
      <w:pPr>
        <w:rPr>
          <w:rFonts w:ascii="Arial" w:hAnsi="Arial"/>
          <w:sz w:val="24"/>
          <w:szCs w:val="24"/>
          <w:lang w:eastAsia="en-GB"/>
        </w:rPr>
      </w:pPr>
    </w:p>
    <w:tbl>
      <w:tblPr>
        <w:tblStyle w:val="TableGrid"/>
        <w:tblW w:w="14312" w:type="dxa"/>
        <w:tblLook w:val="04A0" w:firstRow="1" w:lastRow="0" w:firstColumn="1" w:lastColumn="0" w:noHBand="0" w:noVBand="1"/>
      </w:tblPr>
      <w:tblGrid>
        <w:gridCol w:w="4662"/>
        <w:gridCol w:w="4667"/>
        <w:gridCol w:w="4983"/>
      </w:tblGrid>
      <w:tr w:rsidR="000C2770" w:rsidRPr="007F75F3" w14:paraId="752BB5BF" w14:textId="77777777" w:rsidTr="00DF0104">
        <w:tc>
          <w:tcPr>
            <w:tcW w:w="4662" w:type="dxa"/>
          </w:tcPr>
          <w:p w14:paraId="57D3CC2F" w14:textId="77777777" w:rsidR="007F75F3" w:rsidRPr="007F75F3" w:rsidRDefault="007F75F3" w:rsidP="007F75F3">
            <w:pPr>
              <w:rPr>
                <w:rFonts w:ascii="Arial" w:hAnsi="Arial"/>
                <w:sz w:val="24"/>
                <w:szCs w:val="24"/>
                <w:lang w:eastAsia="en-GB"/>
              </w:rPr>
            </w:pPr>
            <w:r w:rsidRPr="007F75F3">
              <w:rPr>
                <w:rFonts w:ascii="Arial" w:hAnsi="Arial"/>
                <w:sz w:val="24"/>
                <w:szCs w:val="24"/>
                <w:lang w:eastAsia="en-GB"/>
              </w:rPr>
              <w:t>School Name:</w:t>
            </w:r>
          </w:p>
        </w:tc>
        <w:tc>
          <w:tcPr>
            <w:tcW w:w="4667" w:type="dxa"/>
          </w:tcPr>
          <w:p w14:paraId="734CFDB1" w14:textId="77777777" w:rsidR="007F75F3" w:rsidRPr="007F75F3" w:rsidRDefault="007F75F3" w:rsidP="007F75F3">
            <w:pPr>
              <w:rPr>
                <w:rFonts w:ascii="Arial" w:hAnsi="Arial"/>
                <w:sz w:val="24"/>
                <w:szCs w:val="24"/>
                <w:lang w:eastAsia="en-GB"/>
              </w:rPr>
            </w:pPr>
            <w:r w:rsidRPr="007F75F3">
              <w:rPr>
                <w:rFonts w:ascii="Arial" w:hAnsi="Arial"/>
                <w:sz w:val="24"/>
                <w:szCs w:val="24"/>
                <w:lang w:eastAsia="en-GB"/>
              </w:rPr>
              <w:t>Position:</w:t>
            </w:r>
          </w:p>
        </w:tc>
        <w:tc>
          <w:tcPr>
            <w:tcW w:w="4983" w:type="dxa"/>
          </w:tcPr>
          <w:p w14:paraId="6BAD5F3E" w14:textId="77777777" w:rsidR="007F75F3" w:rsidRPr="007F75F3" w:rsidRDefault="007F75F3" w:rsidP="007F75F3">
            <w:pPr>
              <w:rPr>
                <w:rFonts w:ascii="Arial" w:hAnsi="Arial"/>
                <w:sz w:val="24"/>
                <w:szCs w:val="24"/>
                <w:lang w:eastAsia="en-GB"/>
              </w:rPr>
            </w:pPr>
            <w:r w:rsidRPr="007F75F3">
              <w:rPr>
                <w:rFonts w:ascii="Arial" w:hAnsi="Arial"/>
                <w:sz w:val="24"/>
                <w:szCs w:val="24"/>
                <w:lang w:eastAsia="en-GB"/>
              </w:rPr>
              <w:t>Name:</w:t>
            </w:r>
          </w:p>
        </w:tc>
      </w:tr>
      <w:tr w:rsidR="000C2770" w:rsidRPr="007F75F3" w14:paraId="1B409045" w14:textId="77777777" w:rsidTr="00DF0104">
        <w:tc>
          <w:tcPr>
            <w:tcW w:w="4662" w:type="dxa"/>
          </w:tcPr>
          <w:p w14:paraId="28E853B4" w14:textId="77777777" w:rsidR="007F75F3" w:rsidRPr="007F75F3" w:rsidRDefault="007F75F3" w:rsidP="007F75F3">
            <w:pPr>
              <w:rPr>
                <w:rFonts w:ascii="Arial" w:hAnsi="Arial"/>
                <w:sz w:val="24"/>
                <w:szCs w:val="24"/>
                <w:lang w:eastAsia="en-GB"/>
              </w:rPr>
            </w:pPr>
          </w:p>
          <w:p w14:paraId="73DFE8D8" w14:textId="77777777" w:rsidR="007F75F3" w:rsidRPr="007F75F3" w:rsidRDefault="007F75F3" w:rsidP="007F75F3">
            <w:pPr>
              <w:rPr>
                <w:rFonts w:ascii="Arial" w:hAnsi="Arial"/>
                <w:sz w:val="24"/>
                <w:szCs w:val="24"/>
                <w:lang w:eastAsia="en-GB"/>
              </w:rPr>
            </w:pPr>
          </w:p>
          <w:p w14:paraId="6FF4991B" w14:textId="77777777" w:rsidR="007F75F3" w:rsidRPr="007F75F3" w:rsidRDefault="007F75F3" w:rsidP="007F75F3">
            <w:pPr>
              <w:rPr>
                <w:rFonts w:ascii="Arial" w:hAnsi="Arial"/>
                <w:sz w:val="24"/>
                <w:szCs w:val="24"/>
                <w:lang w:eastAsia="en-GB"/>
              </w:rPr>
            </w:pPr>
          </w:p>
          <w:p w14:paraId="15A29DB8" w14:textId="77777777" w:rsidR="007F75F3" w:rsidRPr="007F75F3" w:rsidRDefault="007F75F3" w:rsidP="007F75F3">
            <w:pPr>
              <w:rPr>
                <w:rFonts w:ascii="Arial" w:hAnsi="Arial"/>
                <w:sz w:val="24"/>
                <w:szCs w:val="24"/>
                <w:lang w:eastAsia="en-GB"/>
              </w:rPr>
            </w:pPr>
          </w:p>
          <w:p w14:paraId="1A894788" w14:textId="77777777" w:rsidR="007F75F3" w:rsidRPr="007F75F3" w:rsidRDefault="007F75F3" w:rsidP="007F75F3">
            <w:pPr>
              <w:rPr>
                <w:rFonts w:ascii="Arial" w:hAnsi="Arial"/>
                <w:sz w:val="24"/>
                <w:szCs w:val="24"/>
                <w:lang w:eastAsia="en-GB"/>
              </w:rPr>
            </w:pPr>
          </w:p>
          <w:p w14:paraId="1F89DBEA" w14:textId="77777777" w:rsidR="007F75F3" w:rsidRPr="007F75F3" w:rsidRDefault="007F75F3" w:rsidP="007F75F3">
            <w:pPr>
              <w:rPr>
                <w:rFonts w:ascii="Arial" w:hAnsi="Arial"/>
                <w:sz w:val="24"/>
                <w:szCs w:val="24"/>
                <w:lang w:eastAsia="en-GB"/>
              </w:rPr>
            </w:pPr>
          </w:p>
        </w:tc>
        <w:tc>
          <w:tcPr>
            <w:tcW w:w="4667" w:type="dxa"/>
          </w:tcPr>
          <w:p w14:paraId="06C659A2" w14:textId="77777777" w:rsidR="007F75F3" w:rsidRPr="007F75F3" w:rsidRDefault="007F75F3" w:rsidP="007F75F3">
            <w:pPr>
              <w:rPr>
                <w:rFonts w:ascii="Arial" w:hAnsi="Arial"/>
                <w:sz w:val="24"/>
                <w:szCs w:val="24"/>
                <w:lang w:eastAsia="en-GB"/>
              </w:rPr>
            </w:pPr>
          </w:p>
        </w:tc>
        <w:tc>
          <w:tcPr>
            <w:tcW w:w="4983" w:type="dxa"/>
          </w:tcPr>
          <w:p w14:paraId="0269431E" w14:textId="77777777" w:rsidR="007F75F3" w:rsidRPr="007F75F3" w:rsidRDefault="007F75F3" w:rsidP="007F75F3">
            <w:pPr>
              <w:rPr>
                <w:rFonts w:ascii="Arial" w:hAnsi="Arial"/>
                <w:sz w:val="24"/>
                <w:szCs w:val="24"/>
                <w:lang w:eastAsia="en-GB"/>
              </w:rPr>
            </w:pPr>
          </w:p>
        </w:tc>
      </w:tr>
    </w:tbl>
    <w:p w14:paraId="16EB6DA7" w14:textId="77777777" w:rsidR="007F75F3" w:rsidRPr="007F75F3" w:rsidRDefault="007F75F3" w:rsidP="007F75F3">
      <w:pPr>
        <w:rPr>
          <w:rFonts w:ascii="Arial" w:hAnsi="Arial"/>
          <w:sz w:val="24"/>
          <w:szCs w:val="24"/>
          <w:lang w:eastAsia="en-GB"/>
        </w:rPr>
      </w:pPr>
    </w:p>
    <w:p w14:paraId="60DA6E31" w14:textId="77777777" w:rsidR="006D4A0D" w:rsidRPr="006D4A0D" w:rsidRDefault="006D4A0D" w:rsidP="007F75F3">
      <w:pPr>
        <w:rPr>
          <w:rFonts w:ascii="Arial" w:hAnsi="Arial"/>
          <w:b/>
          <w:sz w:val="22"/>
          <w:szCs w:val="22"/>
        </w:rPr>
      </w:pPr>
    </w:p>
    <w:sectPr w:rsidR="006D4A0D" w:rsidRPr="006D4A0D" w:rsidSect="007F75F3">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418" w:bottom="1701" w:left="1418" w:header="72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CC87" w14:textId="77777777" w:rsidR="000C729E" w:rsidRDefault="000C729E">
      <w:r>
        <w:separator/>
      </w:r>
    </w:p>
  </w:endnote>
  <w:endnote w:type="continuationSeparator" w:id="0">
    <w:p w14:paraId="59AA03EA" w14:textId="77777777" w:rsidR="000C729E" w:rsidRDefault="000C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13D5D" w14:textId="77777777" w:rsidR="00A233B8" w:rsidRPr="00A233B8" w:rsidRDefault="00A233B8">
    <w:pPr>
      <w:pStyle w:val="Footer"/>
      <w:jc w:val="center"/>
      <w:rPr>
        <w:rFonts w:ascii="Arial" w:hAnsi="Arial" w:cs="Arial"/>
        <w:sz w:val="20"/>
      </w:rPr>
    </w:pPr>
    <w:r w:rsidRPr="00A233B8">
      <w:rPr>
        <w:rFonts w:ascii="Arial" w:hAnsi="Arial" w:cs="Arial"/>
        <w:sz w:val="20"/>
      </w:rPr>
      <w:fldChar w:fldCharType="begin"/>
    </w:r>
    <w:r w:rsidRPr="00A233B8">
      <w:rPr>
        <w:rFonts w:ascii="Arial" w:hAnsi="Arial" w:cs="Arial"/>
        <w:sz w:val="20"/>
      </w:rPr>
      <w:instrText xml:space="preserve"> PAGE   \* MERGEFORMAT </w:instrText>
    </w:r>
    <w:r w:rsidRPr="00A233B8">
      <w:rPr>
        <w:rFonts w:ascii="Arial" w:hAnsi="Arial" w:cs="Arial"/>
        <w:sz w:val="20"/>
      </w:rPr>
      <w:fldChar w:fldCharType="separate"/>
    </w:r>
    <w:r w:rsidR="001C4E3D">
      <w:rPr>
        <w:rFonts w:ascii="Arial" w:hAnsi="Arial" w:cs="Arial"/>
        <w:noProof/>
        <w:sz w:val="20"/>
      </w:rPr>
      <w:t>2</w:t>
    </w:r>
    <w:r w:rsidRPr="00A233B8">
      <w:rPr>
        <w:rFonts w:ascii="Arial" w:hAnsi="Arial" w:cs="Arial"/>
        <w:noProof/>
        <w:sz w:val="20"/>
      </w:rPr>
      <w:fldChar w:fldCharType="end"/>
    </w:r>
  </w:p>
  <w:p w14:paraId="6B7C073A" w14:textId="77777777" w:rsidR="00A233B8" w:rsidRDefault="00A23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FBDE" w14:textId="77777777" w:rsidR="00D548E4" w:rsidRDefault="00D548E4"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3D3908" w14:textId="77777777" w:rsidR="00D548E4" w:rsidRDefault="00D54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C0DF" w14:textId="77777777" w:rsidR="00D548E4" w:rsidRDefault="00D548E4" w:rsidP="00A22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E3D">
      <w:rPr>
        <w:rStyle w:val="PageNumber"/>
        <w:noProof/>
      </w:rPr>
      <w:t>2</w:t>
    </w:r>
    <w:r>
      <w:rPr>
        <w:rStyle w:val="PageNumber"/>
      </w:rPr>
      <w:fldChar w:fldCharType="end"/>
    </w:r>
  </w:p>
  <w:p w14:paraId="4A8EDFB0" w14:textId="77777777" w:rsidR="00D548E4" w:rsidRDefault="00D548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E93B" w14:textId="77777777" w:rsidR="00D548E4" w:rsidRDefault="00D548E4" w:rsidP="007D1863">
    <w:pPr>
      <w:pStyle w:val="Footer"/>
      <w:framePr w:wrap="around" w:vAnchor="text" w:hAnchor="margin" w:xAlign="right" w:y="1"/>
      <w:rPr>
        <w:rStyle w:val="PageNumber"/>
      </w:rPr>
    </w:pPr>
    <w:r>
      <w:rPr>
        <w:rStyle w:val="PageNumber"/>
      </w:rPr>
      <w:tab/>
    </w:r>
  </w:p>
  <w:p w14:paraId="6CC954EC" w14:textId="77777777" w:rsidR="00D548E4" w:rsidRDefault="00D548E4" w:rsidP="007D1863">
    <w:pPr>
      <w:pStyle w:val="Footer"/>
      <w:framePr w:wrap="around" w:vAnchor="text" w:hAnchor="margin" w:xAlign="right" w:y="1"/>
      <w:rPr>
        <w:rStyle w:val="PageNumber"/>
      </w:rPr>
    </w:pPr>
  </w:p>
  <w:p w14:paraId="02CBCF6F" w14:textId="77777777" w:rsidR="00D548E4" w:rsidRDefault="00D548E4" w:rsidP="00161A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142AA" w14:textId="77777777" w:rsidR="000C729E" w:rsidRDefault="000C729E">
      <w:r>
        <w:separator/>
      </w:r>
    </w:p>
  </w:footnote>
  <w:footnote w:type="continuationSeparator" w:id="0">
    <w:p w14:paraId="24CA0C49" w14:textId="77777777" w:rsidR="000C729E" w:rsidRDefault="000C729E">
      <w:r>
        <w:continuationSeparator/>
      </w:r>
    </w:p>
  </w:footnote>
  <w:footnote w:id="1">
    <w:p w14:paraId="76DADA34" w14:textId="77777777" w:rsidR="00EB1924" w:rsidRDefault="00EB1924">
      <w:pPr>
        <w:pStyle w:val="FootnoteText"/>
      </w:pPr>
      <w:r>
        <w:rPr>
          <w:rStyle w:val="FootnoteReference"/>
        </w:rPr>
        <w:footnoteRef/>
      </w:r>
      <w:r>
        <w:t xml:space="preserve"> In this context, the term school includes academies and free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EC81" w14:textId="77777777" w:rsidR="00F85287" w:rsidRDefault="00F85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87AF" w14:textId="77777777" w:rsidR="00F85287" w:rsidRDefault="00F85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2445" w14:textId="77777777" w:rsidR="00D548E4" w:rsidRPr="00421CFE" w:rsidRDefault="00D548E4" w:rsidP="00B07502">
    <w:pPr>
      <w:pStyle w:val="Header"/>
      <w:jc w:val="center"/>
      <w:rPr>
        <w:rFonts w:ascii="Arial" w:hAnsi="Arial" w:cs="Arial"/>
        <w:b/>
        <w:sz w:val="24"/>
        <w:szCs w:val="24"/>
      </w:rPr>
    </w:pPr>
    <w:r w:rsidRPr="00421CFE">
      <w:rPr>
        <w:rFonts w:ascii="Arial" w:hAnsi="Arial" w:cs="Arial"/>
        <w:b/>
        <w:sz w:val="24"/>
        <w:szCs w:val="24"/>
      </w:rPr>
      <w:t xml:space="preserve">Schools Forum </w:t>
    </w:r>
    <w:r w:rsidR="002750C5" w:rsidRPr="00421CFE">
      <w:rPr>
        <w:rFonts w:ascii="Arial" w:hAnsi="Arial" w:cs="Arial"/>
        <w:b/>
        <w:sz w:val="24"/>
        <w:szCs w:val="24"/>
      </w:rPr>
      <w:t>10 October 2018</w:t>
    </w:r>
  </w:p>
  <w:p w14:paraId="5A953F49" w14:textId="77777777" w:rsidR="00D548E4" w:rsidRPr="00421CFE" w:rsidRDefault="002750C5" w:rsidP="00B07502">
    <w:pPr>
      <w:pStyle w:val="Header"/>
      <w:jc w:val="center"/>
      <w:rPr>
        <w:rFonts w:ascii="Arial" w:hAnsi="Arial" w:cs="Arial"/>
        <w:b/>
        <w:sz w:val="24"/>
        <w:szCs w:val="24"/>
      </w:rPr>
    </w:pPr>
    <w:r w:rsidRPr="00421CFE">
      <w:rPr>
        <w:rFonts w:ascii="Arial" w:hAnsi="Arial" w:cs="Arial"/>
        <w:b/>
        <w:sz w:val="24"/>
        <w:szCs w:val="24"/>
      </w:rPr>
      <w:t>School Funding Formula 2019-20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84E0A5"/>
    <w:multiLevelType w:val="hybridMultilevel"/>
    <w:tmpl w:val="CA4FF1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C0354"/>
    <w:multiLevelType w:val="singleLevel"/>
    <w:tmpl w:val="FB382064"/>
    <w:lvl w:ilvl="0">
      <w:start w:val="1"/>
      <w:numFmt w:val="bullet"/>
      <w:lvlText w:val=""/>
      <w:lvlJc w:val="left"/>
      <w:pPr>
        <w:tabs>
          <w:tab w:val="num" w:pos="1080"/>
        </w:tabs>
        <w:ind w:left="720" w:firstLine="0"/>
      </w:pPr>
      <w:rPr>
        <w:rFonts w:ascii="Symbol" w:hAnsi="Symbol" w:hint="default"/>
        <w:sz w:val="16"/>
      </w:rPr>
    </w:lvl>
  </w:abstractNum>
  <w:abstractNum w:abstractNumId="2" w15:restartNumberingAfterBreak="0">
    <w:nsid w:val="09C20321"/>
    <w:multiLevelType w:val="hybridMultilevel"/>
    <w:tmpl w:val="4ECA1CCC"/>
    <w:lvl w:ilvl="0" w:tplc="F4108A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60897"/>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4" w15:restartNumberingAfterBreak="0">
    <w:nsid w:val="11E65FC5"/>
    <w:multiLevelType w:val="multilevel"/>
    <w:tmpl w:val="11D6A31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247"/>
      </w:pPr>
      <w:rPr>
        <w:rFonts w:ascii="Arial" w:hAnsi="Arial" w:cs="Arial" w:hint="default"/>
        <w:b w:val="0"/>
        <w:sz w:val="22"/>
        <w:szCs w:val="22"/>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713A1C"/>
    <w:multiLevelType w:val="hybridMultilevel"/>
    <w:tmpl w:val="E7100E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164450"/>
    <w:multiLevelType w:val="hybridMultilevel"/>
    <w:tmpl w:val="CBA8838E"/>
    <w:lvl w:ilvl="0" w:tplc="0809000F">
      <w:start w:val="1"/>
      <w:numFmt w:val="decimal"/>
      <w:lvlText w:val="%1."/>
      <w:lvlJc w:val="left"/>
      <w:pPr>
        <w:tabs>
          <w:tab w:val="num" w:pos="1636"/>
        </w:tabs>
        <w:ind w:left="1636" w:hanging="360"/>
      </w:pPr>
      <w:rPr>
        <w:rFonts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7" w15:restartNumberingAfterBreak="0">
    <w:nsid w:val="1CE2427F"/>
    <w:multiLevelType w:val="hybridMultilevel"/>
    <w:tmpl w:val="73A26C12"/>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8" w15:restartNumberingAfterBreak="0">
    <w:nsid w:val="20F3524A"/>
    <w:multiLevelType w:val="multilevel"/>
    <w:tmpl w:val="D7A8D292"/>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247"/>
      </w:pPr>
      <w:rPr>
        <w:rFonts w:ascii="Arial" w:hAnsi="Arial" w:cs="Arial" w:hint="default"/>
        <w:b w:val="0"/>
        <w:sz w:val="22"/>
        <w:szCs w:val="22"/>
      </w:rPr>
    </w:lvl>
    <w:lvl w:ilvl="2">
      <w:start w:val="1"/>
      <w:numFmt w:val="lowerLetter"/>
      <w:lvlText w:val="%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6386F03"/>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11" w15:restartNumberingAfterBreak="0">
    <w:nsid w:val="274D72FA"/>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12" w15:restartNumberingAfterBreak="0">
    <w:nsid w:val="27A11785"/>
    <w:multiLevelType w:val="hybridMultilevel"/>
    <w:tmpl w:val="D8D888DC"/>
    <w:lvl w:ilvl="0" w:tplc="08090003">
      <w:start w:val="1"/>
      <w:numFmt w:val="bullet"/>
      <w:lvlText w:val="o"/>
      <w:lvlJc w:val="left"/>
      <w:pPr>
        <w:tabs>
          <w:tab w:val="num" w:pos="2149"/>
        </w:tabs>
        <w:ind w:left="2149"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CF164FA"/>
    <w:multiLevelType w:val="hybridMultilevel"/>
    <w:tmpl w:val="2ADECFB0"/>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324A0F48"/>
    <w:multiLevelType w:val="multilevel"/>
    <w:tmpl w:val="CC708636"/>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247"/>
      </w:pPr>
      <w:rPr>
        <w:rFonts w:ascii="Arial" w:hAnsi="Arial" w:cs="Aria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6256C64"/>
    <w:multiLevelType w:val="hybridMultilevel"/>
    <w:tmpl w:val="30E66F4A"/>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8252573"/>
    <w:multiLevelType w:val="hybridMultilevel"/>
    <w:tmpl w:val="A7D2AD3C"/>
    <w:lvl w:ilvl="0" w:tplc="0809000F">
      <w:start w:val="1"/>
      <w:numFmt w:val="decimal"/>
      <w:lvlText w:val="%1."/>
      <w:lvlJc w:val="left"/>
      <w:pPr>
        <w:tabs>
          <w:tab w:val="num" w:pos="1636"/>
        </w:tabs>
        <w:ind w:left="1636" w:hanging="360"/>
      </w:pPr>
      <w:rPr>
        <w:rFonts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7" w15:restartNumberingAfterBreak="0">
    <w:nsid w:val="388579E8"/>
    <w:multiLevelType w:val="hybridMultilevel"/>
    <w:tmpl w:val="36E2FBEA"/>
    <w:lvl w:ilvl="0" w:tplc="08090001">
      <w:start w:val="1"/>
      <w:numFmt w:val="bullet"/>
      <w:lvlText w:val=""/>
      <w:lvlJc w:val="left"/>
      <w:pPr>
        <w:tabs>
          <w:tab w:val="num" w:pos="1995"/>
        </w:tabs>
        <w:ind w:left="1995" w:hanging="360"/>
      </w:pPr>
      <w:rPr>
        <w:rFonts w:ascii="Symbol" w:hAnsi="Symbol" w:hint="default"/>
      </w:rPr>
    </w:lvl>
    <w:lvl w:ilvl="1" w:tplc="08090003" w:tentative="1">
      <w:start w:val="1"/>
      <w:numFmt w:val="bullet"/>
      <w:lvlText w:val="o"/>
      <w:lvlJc w:val="left"/>
      <w:pPr>
        <w:tabs>
          <w:tab w:val="num" w:pos="2715"/>
        </w:tabs>
        <w:ind w:left="2715" w:hanging="360"/>
      </w:pPr>
      <w:rPr>
        <w:rFonts w:ascii="Courier New" w:hAnsi="Courier New" w:cs="Courier New" w:hint="default"/>
      </w:rPr>
    </w:lvl>
    <w:lvl w:ilvl="2" w:tplc="08090005" w:tentative="1">
      <w:start w:val="1"/>
      <w:numFmt w:val="bullet"/>
      <w:lvlText w:val=""/>
      <w:lvlJc w:val="left"/>
      <w:pPr>
        <w:tabs>
          <w:tab w:val="num" w:pos="3435"/>
        </w:tabs>
        <w:ind w:left="3435" w:hanging="360"/>
      </w:pPr>
      <w:rPr>
        <w:rFonts w:ascii="Wingdings" w:hAnsi="Wingdings" w:hint="default"/>
      </w:rPr>
    </w:lvl>
    <w:lvl w:ilvl="3" w:tplc="08090001" w:tentative="1">
      <w:start w:val="1"/>
      <w:numFmt w:val="bullet"/>
      <w:lvlText w:val=""/>
      <w:lvlJc w:val="left"/>
      <w:pPr>
        <w:tabs>
          <w:tab w:val="num" w:pos="4155"/>
        </w:tabs>
        <w:ind w:left="4155" w:hanging="360"/>
      </w:pPr>
      <w:rPr>
        <w:rFonts w:ascii="Symbol" w:hAnsi="Symbol" w:hint="default"/>
      </w:rPr>
    </w:lvl>
    <w:lvl w:ilvl="4" w:tplc="08090003" w:tentative="1">
      <w:start w:val="1"/>
      <w:numFmt w:val="bullet"/>
      <w:lvlText w:val="o"/>
      <w:lvlJc w:val="left"/>
      <w:pPr>
        <w:tabs>
          <w:tab w:val="num" w:pos="4875"/>
        </w:tabs>
        <w:ind w:left="4875" w:hanging="360"/>
      </w:pPr>
      <w:rPr>
        <w:rFonts w:ascii="Courier New" w:hAnsi="Courier New" w:cs="Courier New" w:hint="default"/>
      </w:rPr>
    </w:lvl>
    <w:lvl w:ilvl="5" w:tplc="08090005" w:tentative="1">
      <w:start w:val="1"/>
      <w:numFmt w:val="bullet"/>
      <w:lvlText w:val=""/>
      <w:lvlJc w:val="left"/>
      <w:pPr>
        <w:tabs>
          <w:tab w:val="num" w:pos="5595"/>
        </w:tabs>
        <w:ind w:left="5595" w:hanging="360"/>
      </w:pPr>
      <w:rPr>
        <w:rFonts w:ascii="Wingdings" w:hAnsi="Wingdings" w:hint="default"/>
      </w:rPr>
    </w:lvl>
    <w:lvl w:ilvl="6" w:tplc="08090001" w:tentative="1">
      <w:start w:val="1"/>
      <w:numFmt w:val="bullet"/>
      <w:lvlText w:val=""/>
      <w:lvlJc w:val="left"/>
      <w:pPr>
        <w:tabs>
          <w:tab w:val="num" w:pos="6315"/>
        </w:tabs>
        <w:ind w:left="6315" w:hanging="360"/>
      </w:pPr>
      <w:rPr>
        <w:rFonts w:ascii="Symbol" w:hAnsi="Symbol" w:hint="default"/>
      </w:rPr>
    </w:lvl>
    <w:lvl w:ilvl="7" w:tplc="08090003" w:tentative="1">
      <w:start w:val="1"/>
      <w:numFmt w:val="bullet"/>
      <w:lvlText w:val="o"/>
      <w:lvlJc w:val="left"/>
      <w:pPr>
        <w:tabs>
          <w:tab w:val="num" w:pos="7035"/>
        </w:tabs>
        <w:ind w:left="7035" w:hanging="360"/>
      </w:pPr>
      <w:rPr>
        <w:rFonts w:ascii="Courier New" w:hAnsi="Courier New" w:cs="Courier New" w:hint="default"/>
      </w:rPr>
    </w:lvl>
    <w:lvl w:ilvl="8" w:tplc="08090005" w:tentative="1">
      <w:start w:val="1"/>
      <w:numFmt w:val="bullet"/>
      <w:lvlText w:val=""/>
      <w:lvlJc w:val="left"/>
      <w:pPr>
        <w:tabs>
          <w:tab w:val="num" w:pos="7755"/>
        </w:tabs>
        <w:ind w:left="7755" w:hanging="360"/>
      </w:pPr>
      <w:rPr>
        <w:rFonts w:ascii="Wingdings" w:hAnsi="Wingdings" w:hint="default"/>
      </w:rPr>
    </w:lvl>
  </w:abstractNum>
  <w:abstractNum w:abstractNumId="18" w15:restartNumberingAfterBreak="0">
    <w:nsid w:val="3D4118EE"/>
    <w:multiLevelType w:val="multilevel"/>
    <w:tmpl w:val="11124C6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113989"/>
    <w:multiLevelType w:val="singleLevel"/>
    <w:tmpl w:val="C4A45CB8"/>
    <w:lvl w:ilvl="0">
      <w:start w:val="1"/>
      <w:numFmt w:val="bullet"/>
      <w:lvlText w:val=""/>
      <w:lvlJc w:val="left"/>
      <w:pPr>
        <w:tabs>
          <w:tab w:val="num" w:pos="1080"/>
        </w:tabs>
        <w:ind w:left="720" w:firstLine="0"/>
      </w:pPr>
      <w:rPr>
        <w:rFonts w:ascii="Symbol" w:hAnsi="Symbol" w:hint="default"/>
        <w:sz w:val="16"/>
      </w:rPr>
    </w:lvl>
  </w:abstractNum>
  <w:abstractNum w:abstractNumId="20" w15:restartNumberingAfterBreak="0">
    <w:nsid w:val="44D143A9"/>
    <w:multiLevelType w:val="hybridMultilevel"/>
    <w:tmpl w:val="D9E0E938"/>
    <w:lvl w:ilvl="0" w:tplc="0E7E6B60">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BFD6D3D"/>
    <w:multiLevelType w:val="multilevel"/>
    <w:tmpl w:val="178A63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18771B"/>
    <w:multiLevelType w:val="multilevel"/>
    <w:tmpl w:val="4498EB5C"/>
    <w:lvl w:ilvl="0">
      <w:start w:val="1"/>
      <w:numFmt w:val="bullet"/>
      <w:pStyle w:val="ListBullet"/>
      <w:lvlText w:val=""/>
      <w:lvlJc w:val="left"/>
      <w:pPr>
        <w:tabs>
          <w:tab w:val="num" w:pos="1145"/>
        </w:tabs>
        <w:ind w:left="1145" w:hanging="425"/>
      </w:pPr>
      <w:rPr>
        <w:rFonts w:ascii="Wingdings 2" w:hAnsi="Wingdings 2"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4" w15:restartNumberingAfterBreak="0">
    <w:nsid w:val="514228D1"/>
    <w:multiLevelType w:val="hybridMultilevel"/>
    <w:tmpl w:val="1A14B7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6734672"/>
    <w:multiLevelType w:val="hybridMultilevel"/>
    <w:tmpl w:val="ADCABC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803FCE"/>
    <w:multiLevelType w:val="multilevel"/>
    <w:tmpl w:val="ED9AC0D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CBB2FF2"/>
    <w:multiLevelType w:val="hybridMultilevel"/>
    <w:tmpl w:val="B3680F12"/>
    <w:lvl w:ilvl="0" w:tplc="73748FE4">
      <w:start w:val="1"/>
      <w:numFmt w:val="lowerLetter"/>
      <w:lvlText w:val="%1)"/>
      <w:lvlJc w:val="left"/>
      <w:pPr>
        <w:tabs>
          <w:tab w:val="num" w:pos="1353"/>
        </w:tabs>
        <w:ind w:left="1353" w:hanging="360"/>
      </w:pPr>
      <w:rPr>
        <w:rFonts w:hint="default"/>
        <w:color w:val="000000"/>
      </w:rPr>
    </w:lvl>
    <w:lvl w:ilvl="1" w:tplc="B5E24208">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19B0BA74">
      <w:start w:val="1"/>
      <w:numFmt w:val="decimal"/>
      <w:lvlText w:val="%4"/>
      <w:lvlJc w:val="left"/>
      <w:pPr>
        <w:tabs>
          <w:tab w:val="num" w:pos="3153"/>
        </w:tabs>
        <w:ind w:left="3153" w:hanging="360"/>
      </w:pPr>
      <w:rPr>
        <w:rFonts w:hint="default"/>
        <w:color w:val="auto"/>
      </w:rPr>
    </w:lvl>
    <w:lvl w:ilvl="4" w:tplc="372CDE76">
      <w:start w:val="1"/>
      <w:numFmt w:val="decimal"/>
      <w:lvlText w:val="%5."/>
      <w:lvlJc w:val="left"/>
      <w:pPr>
        <w:tabs>
          <w:tab w:val="num" w:pos="3873"/>
        </w:tabs>
        <w:ind w:left="3873" w:hanging="360"/>
      </w:pPr>
      <w:rPr>
        <w:rFonts w:hint="default"/>
        <w:color w:val="auto"/>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8" w15:restartNumberingAfterBreak="0">
    <w:nsid w:val="60AA2114"/>
    <w:multiLevelType w:val="hybridMultilevel"/>
    <w:tmpl w:val="42F2C1D4"/>
    <w:lvl w:ilvl="0" w:tplc="07CC8C56">
      <w:start w:val="1"/>
      <w:numFmt w:val="lowerRoman"/>
      <w:lvlText w:val="(%1)"/>
      <w:lvlJc w:val="left"/>
      <w:pPr>
        <w:tabs>
          <w:tab w:val="num" w:pos="2689"/>
        </w:tabs>
        <w:ind w:left="2689" w:hanging="720"/>
      </w:pPr>
      <w:rPr>
        <w:rFonts w:cs="Arial" w:hint="default"/>
      </w:rPr>
    </w:lvl>
    <w:lvl w:ilvl="1" w:tplc="08090019" w:tentative="1">
      <w:start w:val="1"/>
      <w:numFmt w:val="lowerLetter"/>
      <w:lvlText w:val="%2."/>
      <w:lvlJc w:val="left"/>
      <w:pPr>
        <w:tabs>
          <w:tab w:val="num" w:pos="3049"/>
        </w:tabs>
        <w:ind w:left="3049" w:hanging="360"/>
      </w:pPr>
    </w:lvl>
    <w:lvl w:ilvl="2" w:tplc="0809001B" w:tentative="1">
      <w:start w:val="1"/>
      <w:numFmt w:val="lowerRoman"/>
      <w:lvlText w:val="%3."/>
      <w:lvlJc w:val="right"/>
      <w:pPr>
        <w:tabs>
          <w:tab w:val="num" w:pos="3769"/>
        </w:tabs>
        <w:ind w:left="3769" w:hanging="180"/>
      </w:pPr>
    </w:lvl>
    <w:lvl w:ilvl="3" w:tplc="0809000F" w:tentative="1">
      <w:start w:val="1"/>
      <w:numFmt w:val="decimal"/>
      <w:lvlText w:val="%4."/>
      <w:lvlJc w:val="left"/>
      <w:pPr>
        <w:tabs>
          <w:tab w:val="num" w:pos="4489"/>
        </w:tabs>
        <w:ind w:left="4489" w:hanging="360"/>
      </w:pPr>
    </w:lvl>
    <w:lvl w:ilvl="4" w:tplc="08090019" w:tentative="1">
      <w:start w:val="1"/>
      <w:numFmt w:val="lowerLetter"/>
      <w:lvlText w:val="%5."/>
      <w:lvlJc w:val="left"/>
      <w:pPr>
        <w:tabs>
          <w:tab w:val="num" w:pos="5209"/>
        </w:tabs>
        <w:ind w:left="5209" w:hanging="360"/>
      </w:pPr>
    </w:lvl>
    <w:lvl w:ilvl="5" w:tplc="0809001B" w:tentative="1">
      <w:start w:val="1"/>
      <w:numFmt w:val="lowerRoman"/>
      <w:lvlText w:val="%6."/>
      <w:lvlJc w:val="right"/>
      <w:pPr>
        <w:tabs>
          <w:tab w:val="num" w:pos="5929"/>
        </w:tabs>
        <w:ind w:left="5929" w:hanging="180"/>
      </w:pPr>
    </w:lvl>
    <w:lvl w:ilvl="6" w:tplc="0809000F" w:tentative="1">
      <w:start w:val="1"/>
      <w:numFmt w:val="decimal"/>
      <w:lvlText w:val="%7."/>
      <w:lvlJc w:val="left"/>
      <w:pPr>
        <w:tabs>
          <w:tab w:val="num" w:pos="6649"/>
        </w:tabs>
        <w:ind w:left="6649" w:hanging="360"/>
      </w:pPr>
    </w:lvl>
    <w:lvl w:ilvl="7" w:tplc="08090019" w:tentative="1">
      <w:start w:val="1"/>
      <w:numFmt w:val="lowerLetter"/>
      <w:lvlText w:val="%8."/>
      <w:lvlJc w:val="left"/>
      <w:pPr>
        <w:tabs>
          <w:tab w:val="num" w:pos="7369"/>
        </w:tabs>
        <w:ind w:left="7369" w:hanging="360"/>
      </w:pPr>
    </w:lvl>
    <w:lvl w:ilvl="8" w:tplc="0809001B" w:tentative="1">
      <w:start w:val="1"/>
      <w:numFmt w:val="lowerRoman"/>
      <w:lvlText w:val="%9."/>
      <w:lvlJc w:val="right"/>
      <w:pPr>
        <w:tabs>
          <w:tab w:val="num" w:pos="8089"/>
        </w:tabs>
        <w:ind w:left="8089" w:hanging="180"/>
      </w:pPr>
    </w:lvl>
  </w:abstractNum>
  <w:abstractNum w:abstractNumId="29" w15:restartNumberingAfterBreak="0">
    <w:nsid w:val="630E5D1B"/>
    <w:multiLevelType w:val="multilevel"/>
    <w:tmpl w:val="4B929542"/>
    <w:name w:val="seq1"/>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0" w15:restartNumberingAfterBreak="0">
    <w:nsid w:val="67933B69"/>
    <w:multiLevelType w:val="hybridMultilevel"/>
    <w:tmpl w:val="F9B09698"/>
    <w:lvl w:ilvl="0" w:tplc="84FAFC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67D93782"/>
    <w:multiLevelType w:val="hybridMultilevel"/>
    <w:tmpl w:val="5E901630"/>
    <w:lvl w:ilvl="0" w:tplc="B5E24208">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2032"/>
        </w:tabs>
        <w:ind w:left="2032" w:hanging="360"/>
      </w:pPr>
      <w:rPr>
        <w:rFonts w:ascii="Courier New" w:hAnsi="Courier New" w:cs="Courier New" w:hint="default"/>
      </w:rPr>
    </w:lvl>
    <w:lvl w:ilvl="2" w:tplc="08090005" w:tentative="1">
      <w:start w:val="1"/>
      <w:numFmt w:val="bullet"/>
      <w:lvlText w:val=""/>
      <w:lvlJc w:val="left"/>
      <w:pPr>
        <w:tabs>
          <w:tab w:val="num" w:pos="2752"/>
        </w:tabs>
        <w:ind w:left="2752" w:hanging="360"/>
      </w:pPr>
      <w:rPr>
        <w:rFonts w:ascii="Wingdings" w:hAnsi="Wingdings" w:hint="default"/>
      </w:rPr>
    </w:lvl>
    <w:lvl w:ilvl="3" w:tplc="08090001" w:tentative="1">
      <w:start w:val="1"/>
      <w:numFmt w:val="bullet"/>
      <w:lvlText w:val=""/>
      <w:lvlJc w:val="left"/>
      <w:pPr>
        <w:tabs>
          <w:tab w:val="num" w:pos="3472"/>
        </w:tabs>
        <w:ind w:left="3472" w:hanging="360"/>
      </w:pPr>
      <w:rPr>
        <w:rFonts w:ascii="Symbol" w:hAnsi="Symbol" w:hint="default"/>
      </w:rPr>
    </w:lvl>
    <w:lvl w:ilvl="4" w:tplc="08090003" w:tentative="1">
      <w:start w:val="1"/>
      <w:numFmt w:val="bullet"/>
      <w:lvlText w:val="o"/>
      <w:lvlJc w:val="left"/>
      <w:pPr>
        <w:tabs>
          <w:tab w:val="num" w:pos="4192"/>
        </w:tabs>
        <w:ind w:left="4192" w:hanging="360"/>
      </w:pPr>
      <w:rPr>
        <w:rFonts w:ascii="Courier New" w:hAnsi="Courier New" w:cs="Courier New" w:hint="default"/>
      </w:rPr>
    </w:lvl>
    <w:lvl w:ilvl="5" w:tplc="08090005" w:tentative="1">
      <w:start w:val="1"/>
      <w:numFmt w:val="bullet"/>
      <w:lvlText w:val=""/>
      <w:lvlJc w:val="left"/>
      <w:pPr>
        <w:tabs>
          <w:tab w:val="num" w:pos="4912"/>
        </w:tabs>
        <w:ind w:left="4912" w:hanging="360"/>
      </w:pPr>
      <w:rPr>
        <w:rFonts w:ascii="Wingdings" w:hAnsi="Wingdings" w:hint="default"/>
      </w:rPr>
    </w:lvl>
    <w:lvl w:ilvl="6" w:tplc="08090001" w:tentative="1">
      <w:start w:val="1"/>
      <w:numFmt w:val="bullet"/>
      <w:lvlText w:val=""/>
      <w:lvlJc w:val="left"/>
      <w:pPr>
        <w:tabs>
          <w:tab w:val="num" w:pos="5632"/>
        </w:tabs>
        <w:ind w:left="5632" w:hanging="360"/>
      </w:pPr>
      <w:rPr>
        <w:rFonts w:ascii="Symbol" w:hAnsi="Symbol" w:hint="default"/>
      </w:rPr>
    </w:lvl>
    <w:lvl w:ilvl="7" w:tplc="08090003" w:tentative="1">
      <w:start w:val="1"/>
      <w:numFmt w:val="bullet"/>
      <w:lvlText w:val="o"/>
      <w:lvlJc w:val="left"/>
      <w:pPr>
        <w:tabs>
          <w:tab w:val="num" w:pos="6352"/>
        </w:tabs>
        <w:ind w:left="6352" w:hanging="360"/>
      </w:pPr>
      <w:rPr>
        <w:rFonts w:ascii="Courier New" w:hAnsi="Courier New" w:cs="Courier New" w:hint="default"/>
      </w:rPr>
    </w:lvl>
    <w:lvl w:ilvl="8" w:tplc="08090005" w:tentative="1">
      <w:start w:val="1"/>
      <w:numFmt w:val="bullet"/>
      <w:lvlText w:val=""/>
      <w:lvlJc w:val="left"/>
      <w:pPr>
        <w:tabs>
          <w:tab w:val="num" w:pos="7072"/>
        </w:tabs>
        <w:ind w:left="7072" w:hanging="360"/>
      </w:pPr>
      <w:rPr>
        <w:rFonts w:ascii="Wingdings" w:hAnsi="Wingdings" w:hint="default"/>
      </w:rPr>
    </w:lvl>
  </w:abstractNum>
  <w:abstractNum w:abstractNumId="32" w15:restartNumberingAfterBreak="0">
    <w:nsid w:val="69AB0C5B"/>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abstractNum w:abstractNumId="33" w15:restartNumberingAfterBreak="0">
    <w:nsid w:val="70FD5E12"/>
    <w:multiLevelType w:val="hybridMultilevel"/>
    <w:tmpl w:val="969C431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76B147DD"/>
    <w:multiLevelType w:val="hybridMultilevel"/>
    <w:tmpl w:val="5C5A4B44"/>
    <w:lvl w:ilvl="0" w:tplc="05BC3DC2">
      <w:start w:val="1"/>
      <w:numFmt w:val="decimal"/>
      <w:lvlText w:val="%1."/>
      <w:lvlJc w:val="left"/>
      <w:pPr>
        <w:tabs>
          <w:tab w:val="num" w:pos="1211"/>
        </w:tabs>
        <w:ind w:left="1211" w:hanging="360"/>
      </w:pPr>
      <w:rPr>
        <w:rFonts w:hint="default"/>
      </w:rPr>
    </w:lvl>
    <w:lvl w:ilvl="1" w:tplc="08090019" w:tentative="1">
      <w:start w:val="1"/>
      <w:numFmt w:val="lowerLetter"/>
      <w:lvlText w:val="%2."/>
      <w:lvlJc w:val="left"/>
      <w:pPr>
        <w:tabs>
          <w:tab w:val="num" w:pos="1571"/>
        </w:tabs>
        <w:ind w:left="1571" w:hanging="360"/>
      </w:pPr>
    </w:lvl>
    <w:lvl w:ilvl="2" w:tplc="0809001B" w:tentative="1">
      <w:start w:val="1"/>
      <w:numFmt w:val="lowerRoman"/>
      <w:lvlText w:val="%3."/>
      <w:lvlJc w:val="right"/>
      <w:pPr>
        <w:tabs>
          <w:tab w:val="num" w:pos="2291"/>
        </w:tabs>
        <w:ind w:left="2291" w:hanging="180"/>
      </w:pPr>
    </w:lvl>
    <w:lvl w:ilvl="3" w:tplc="0809000F" w:tentative="1">
      <w:start w:val="1"/>
      <w:numFmt w:val="decimal"/>
      <w:lvlText w:val="%4."/>
      <w:lvlJc w:val="left"/>
      <w:pPr>
        <w:tabs>
          <w:tab w:val="num" w:pos="3011"/>
        </w:tabs>
        <w:ind w:left="3011" w:hanging="360"/>
      </w:pPr>
    </w:lvl>
    <w:lvl w:ilvl="4" w:tplc="08090019" w:tentative="1">
      <w:start w:val="1"/>
      <w:numFmt w:val="lowerLetter"/>
      <w:lvlText w:val="%5."/>
      <w:lvlJc w:val="left"/>
      <w:pPr>
        <w:tabs>
          <w:tab w:val="num" w:pos="3731"/>
        </w:tabs>
        <w:ind w:left="3731" w:hanging="360"/>
      </w:pPr>
    </w:lvl>
    <w:lvl w:ilvl="5" w:tplc="0809001B" w:tentative="1">
      <w:start w:val="1"/>
      <w:numFmt w:val="lowerRoman"/>
      <w:lvlText w:val="%6."/>
      <w:lvlJc w:val="right"/>
      <w:pPr>
        <w:tabs>
          <w:tab w:val="num" w:pos="4451"/>
        </w:tabs>
        <w:ind w:left="4451" w:hanging="180"/>
      </w:pPr>
    </w:lvl>
    <w:lvl w:ilvl="6" w:tplc="0809000F" w:tentative="1">
      <w:start w:val="1"/>
      <w:numFmt w:val="decimal"/>
      <w:lvlText w:val="%7."/>
      <w:lvlJc w:val="left"/>
      <w:pPr>
        <w:tabs>
          <w:tab w:val="num" w:pos="5171"/>
        </w:tabs>
        <w:ind w:left="5171" w:hanging="360"/>
      </w:pPr>
    </w:lvl>
    <w:lvl w:ilvl="7" w:tplc="08090019" w:tentative="1">
      <w:start w:val="1"/>
      <w:numFmt w:val="lowerLetter"/>
      <w:lvlText w:val="%8."/>
      <w:lvlJc w:val="left"/>
      <w:pPr>
        <w:tabs>
          <w:tab w:val="num" w:pos="5891"/>
        </w:tabs>
        <w:ind w:left="5891" w:hanging="360"/>
      </w:pPr>
    </w:lvl>
    <w:lvl w:ilvl="8" w:tplc="0809001B" w:tentative="1">
      <w:start w:val="1"/>
      <w:numFmt w:val="lowerRoman"/>
      <w:lvlText w:val="%9."/>
      <w:lvlJc w:val="right"/>
      <w:pPr>
        <w:tabs>
          <w:tab w:val="num" w:pos="6611"/>
        </w:tabs>
        <w:ind w:left="6611" w:hanging="180"/>
      </w:pPr>
    </w:lvl>
  </w:abstractNum>
  <w:abstractNum w:abstractNumId="35" w15:restartNumberingAfterBreak="0">
    <w:nsid w:val="79562624"/>
    <w:multiLevelType w:val="multilevel"/>
    <w:tmpl w:val="C82600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C3E1968"/>
    <w:multiLevelType w:val="singleLevel"/>
    <w:tmpl w:val="AEC40072"/>
    <w:lvl w:ilvl="0">
      <w:start w:val="1"/>
      <w:numFmt w:val="bullet"/>
      <w:lvlText w:val=""/>
      <w:lvlJc w:val="left"/>
      <w:pPr>
        <w:tabs>
          <w:tab w:val="num" w:pos="1440"/>
        </w:tabs>
        <w:ind w:left="1440" w:hanging="720"/>
      </w:pPr>
      <w:rPr>
        <w:rFonts w:ascii="Symbol" w:hAnsi="Symbol" w:hint="default"/>
        <w:sz w:val="16"/>
      </w:rPr>
    </w:lvl>
  </w:abstractNum>
  <w:num w:numId="1">
    <w:abstractNumId w:val="9"/>
  </w:num>
  <w:num w:numId="2">
    <w:abstractNumId w:val="21"/>
  </w:num>
  <w:num w:numId="3">
    <w:abstractNumId w:val="23"/>
  </w:num>
  <w:num w:numId="4">
    <w:abstractNumId w:val="4"/>
  </w:num>
  <w:num w:numId="5">
    <w:abstractNumId w:val="27"/>
  </w:num>
  <w:num w:numId="6">
    <w:abstractNumId w:val="30"/>
  </w:num>
  <w:num w:numId="7">
    <w:abstractNumId w:val="20"/>
  </w:num>
  <w:num w:numId="8">
    <w:abstractNumId w:val="14"/>
  </w:num>
  <w:num w:numId="9">
    <w:abstractNumId w:val="31"/>
  </w:num>
  <w:num w:numId="10">
    <w:abstractNumId w:val="17"/>
  </w:num>
  <w:num w:numId="11">
    <w:abstractNumId w:val="7"/>
  </w:num>
  <w:num w:numId="12">
    <w:abstractNumId w:val="6"/>
  </w:num>
  <w:num w:numId="13">
    <w:abstractNumId w:val="16"/>
  </w:num>
  <w:num w:numId="14">
    <w:abstractNumId w:val="18"/>
  </w:num>
  <w:num w:numId="15">
    <w:abstractNumId w:val="0"/>
  </w:num>
  <w:num w:numId="16">
    <w:abstractNumId w:val="19"/>
  </w:num>
  <w:num w:numId="17">
    <w:abstractNumId w:val="1"/>
  </w:num>
  <w:num w:numId="18">
    <w:abstractNumId w:val="36"/>
  </w:num>
  <w:num w:numId="19">
    <w:abstractNumId w:val="32"/>
  </w:num>
  <w:num w:numId="20">
    <w:abstractNumId w:val="11"/>
  </w:num>
  <w:num w:numId="21">
    <w:abstractNumId w:val="10"/>
  </w:num>
  <w:num w:numId="22">
    <w:abstractNumId w:val="3"/>
  </w:num>
  <w:num w:numId="23">
    <w:abstractNumId w:val="34"/>
  </w:num>
  <w:num w:numId="24">
    <w:abstractNumId w:val="26"/>
  </w:num>
  <w:num w:numId="25">
    <w:abstractNumId w:val="12"/>
  </w:num>
  <w:num w:numId="26">
    <w:abstractNumId w:val="28"/>
  </w:num>
  <w:num w:numId="27">
    <w:abstractNumId w:val="15"/>
  </w:num>
  <w:num w:numId="28">
    <w:abstractNumId w:val="9"/>
  </w:num>
  <w:num w:numId="29">
    <w:abstractNumId w:val="35"/>
  </w:num>
  <w:num w:numId="30">
    <w:abstractNumId w:val="2"/>
  </w:num>
  <w:num w:numId="31">
    <w:abstractNumId w:val="5"/>
  </w:num>
  <w:num w:numId="32">
    <w:abstractNumId w:val="22"/>
  </w:num>
  <w:num w:numId="33">
    <w:abstractNumId w:val="13"/>
  </w:num>
  <w:num w:numId="34">
    <w:abstractNumId w:val="33"/>
  </w:num>
  <w:num w:numId="35">
    <w:abstractNumId w:val="24"/>
  </w:num>
  <w:num w:numId="36">
    <w:abstractNumId w:val="2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87"/>
    <w:rsid w:val="0000018D"/>
    <w:rsid w:val="00016FF6"/>
    <w:rsid w:val="0002784F"/>
    <w:rsid w:val="000302AE"/>
    <w:rsid w:val="000304DF"/>
    <w:rsid w:val="0003093A"/>
    <w:rsid w:val="00030DC2"/>
    <w:rsid w:val="00032C24"/>
    <w:rsid w:val="00034A9C"/>
    <w:rsid w:val="00035F78"/>
    <w:rsid w:val="000403DF"/>
    <w:rsid w:val="000427D8"/>
    <w:rsid w:val="00044C3D"/>
    <w:rsid w:val="00050F95"/>
    <w:rsid w:val="0005257E"/>
    <w:rsid w:val="0006211F"/>
    <w:rsid w:val="0006409D"/>
    <w:rsid w:val="00065DAD"/>
    <w:rsid w:val="00070A64"/>
    <w:rsid w:val="00071DA7"/>
    <w:rsid w:val="00076E8E"/>
    <w:rsid w:val="000832FF"/>
    <w:rsid w:val="00084817"/>
    <w:rsid w:val="000852F0"/>
    <w:rsid w:val="0009333C"/>
    <w:rsid w:val="00093CA3"/>
    <w:rsid w:val="00094122"/>
    <w:rsid w:val="000A3A5A"/>
    <w:rsid w:val="000A5528"/>
    <w:rsid w:val="000B1B6E"/>
    <w:rsid w:val="000B6BC7"/>
    <w:rsid w:val="000B7F33"/>
    <w:rsid w:val="000C1718"/>
    <w:rsid w:val="000C1A5B"/>
    <w:rsid w:val="000C21A4"/>
    <w:rsid w:val="000C2770"/>
    <w:rsid w:val="000C3300"/>
    <w:rsid w:val="000C46F8"/>
    <w:rsid w:val="000C6B72"/>
    <w:rsid w:val="000C729E"/>
    <w:rsid w:val="000D1704"/>
    <w:rsid w:val="000D1E1D"/>
    <w:rsid w:val="000E4C8E"/>
    <w:rsid w:val="000E5C2A"/>
    <w:rsid w:val="000F10A5"/>
    <w:rsid w:val="000F5781"/>
    <w:rsid w:val="00101D1F"/>
    <w:rsid w:val="001069EB"/>
    <w:rsid w:val="00112AFD"/>
    <w:rsid w:val="0011439A"/>
    <w:rsid w:val="0012350B"/>
    <w:rsid w:val="00131E52"/>
    <w:rsid w:val="00132181"/>
    <w:rsid w:val="00132AD8"/>
    <w:rsid w:val="00132B70"/>
    <w:rsid w:val="0013328B"/>
    <w:rsid w:val="00133C89"/>
    <w:rsid w:val="001350F9"/>
    <w:rsid w:val="00135512"/>
    <w:rsid w:val="00136A70"/>
    <w:rsid w:val="00137AAD"/>
    <w:rsid w:val="00140D6D"/>
    <w:rsid w:val="00154ADD"/>
    <w:rsid w:val="00155A2D"/>
    <w:rsid w:val="00156937"/>
    <w:rsid w:val="00157546"/>
    <w:rsid w:val="00161ABB"/>
    <w:rsid w:val="001624EF"/>
    <w:rsid w:val="00167491"/>
    <w:rsid w:val="00175C76"/>
    <w:rsid w:val="0017678D"/>
    <w:rsid w:val="001771BD"/>
    <w:rsid w:val="00187011"/>
    <w:rsid w:val="00191200"/>
    <w:rsid w:val="001930F5"/>
    <w:rsid w:val="0019534D"/>
    <w:rsid w:val="001A7397"/>
    <w:rsid w:val="001B0B7D"/>
    <w:rsid w:val="001B7A41"/>
    <w:rsid w:val="001C2983"/>
    <w:rsid w:val="001C4E3D"/>
    <w:rsid w:val="001D1CE6"/>
    <w:rsid w:val="001D76A6"/>
    <w:rsid w:val="001E0BE4"/>
    <w:rsid w:val="001E7CA5"/>
    <w:rsid w:val="001F3E8B"/>
    <w:rsid w:val="001F5B8E"/>
    <w:rsid w:val="002012E7"/>
    <w:rsid w:val="002015C7"/>
    <w:rsid w:val="002034EA"/>
    <w:rsid w:val="002041BB"/>
    <w:rsid w:val="00207814"/>
    <w:rsid w:val="00207D71"/>
    <w:rsid w:val="00213ACD"/>
    <w:rsid w:val="0021562E"/>
    <w:rsid w:val="0021607D"/>
    <w:rsid w:val="00216184"/>
    <w:rsid w:val="00216715"/>
    <w:rsid w:val="00216CFB"/>
    <w:rsid w:val="00217A62"/>
    <w:rsid w:val="00220364"/>
    <w:rsid w:val="00221A11"/>
    <w:rsid w:val="002228AB"/>
    <w:rsid w:val="0022358F"/>
    <w:rsid w:val="0022361E"/>
    <w:rsid w:val="00225E0D"/>
    <w:rsid w:val="00226CCB"/>
    <w:rsid w:val="0023133A"/>
    <w:rsid w:val="002366DE"/>
    <w:rsid w:val="00245F6F"/>
    <w:rsid w:val="0024796D"/>
    <w:rsid w:val="00250D7B"/>
    <w:rsid w:val="0025170D"/>
    <w:rsid w:val="00251C39"/>
    <w:rsid w:val="0025291C"/>
    <w:rsid w:val="00254703"/>
    <w:rsid w:val="00264FCF"/>
    <w:rsid w:val="00267FD2"/>
    <w:rsid w:val="002750C5"/>
    <w:rsid w:val="002761DE"/>
    <w:rsid w:val="00285F3F"/>
    <w:rsid w:val="00287BA3"/>
    <w:rsid w:val="00291E15"/>
    <w:rsid w:val="002A123D"/>
    <w:rsid w:val="002A2269"/>
    <w:rsid w:val="002A3461"/>
    <w:rsid w:val="002A6338"/>
    <w:rsid w:val="002A6FE8"/>
    <w:rsid w:val="002B2C54"/>
    <w:rsid w:val="002B73F0"/>
    <w:rsid w:val="002C18DE"/>
    <w:rsid w:val="002C1A3D"/>
    <w:rsid w:val="002C4C17"/>
    <w:rsid w:val="002C73F1"/>
    <w:rsid w:val="002C7D27"/>
    <w:rsid w:val="002D0256"/>
    <w:rsid w:val="002D2366"/>
    <w:rsid w:val="002D3717"/>
    <w:rsid w:val="002D4C64"/>
    <w:rsid w:val="002D4C9F"/>
    <w:rsid w:val="002D5ADE"/>
    <w:rsid w:val="002D6A2A"/>
    <w:rsid w:val="002F0CD9"/>
    <w:rsid w:val="002F15C9"/>
    <w:rsid w:val="002F1DE4"/>
    <w:rsid w:val="002F697F"/>
    <w:rsid w:val="00300083"/>
    <w:rsid w:val="00302711"/>
    <w:rsid w:val="00304871"/>
    <w:rsid w:val="00305402"/>
    <w:rsid w:val="0030735C"/>
    <w:rsid w:val="00312584"/>
    <w:rsid w:val="0031332F"/>
    <w:rsid w:val="00314F30"/>
    <w:rsid w:val="00321ED0"/>
    <w:rsid w:val="00322474"/>
    <w:rsid w:val="00325A8A"/>
    <w:rsid w:val="00326DE7"/>
    <w:rsid w:val="0033286A"/>
    <w:rsid w:val="00333535"/>
    <w:rsid w:val="00335156"/>
    <w:rsid w:val="0033572F"/>
    <w:rsid w:val="0033692A"/>
    <w:rsid w:val="00336CD2"/>
    <w:rsid w:val="00336EDC"/>
    <w:rsid w:val="00337C7A"/>
    <w:rsid w:val="0034195B"/>
    <w:rsid w:val="00343ABB"/>
    <w:rsid w:val="00350E4B"/>
    <w:rsid w:val="00355416"/>
    <w:rsid w:val="00355B8D"/>
    <w:rsid w:val="00356711"/>
    <w:rsid w:val="00360A3C"/>
    <w:rsid w:val="00361CAB"/>
    <w:rsid w:val="0036362D"/>
    <w:rsid w:val="00363C06"/>
    <w:rsid w:val="0037077A"/>
    <w:rsid w:val="00371B9C"/>
    <w:rsid w:val="0037627D"/>
    <w:rsid w:val="003802AA"/>
    <w:rsid w:val="00381439"/>
    <w:rsid w:val="003816DC"/>
    <w:rsid w:val="00383C69"/>
    <w:rsid w:val="003860F2"/>
    <w:rsid w:val="003933B4"/>
    <w:rsid w:val="003A0EFB"/>
    <w:rsid w:val="003A2BC7"/>
    <w:rsid w:val="003B53A1"/>
    <w:rsid w:val="003B695D"/>
    <w:rsid w:val="003B6B2E"/>
    <w:rsid w:val="003C0369"/>
    <w:rsid w:val="003C4E93"/>
    <w:rsid w:val="003C5B8A"/>
    <w:rsid w:val="003C5FA0"/>
    <w:rsid w:val="003C69D1"/>
    <w:rsid w:val="003C71D3"/>
    <w:rsid w:val="003C7F83"/>
    <w:rsid w:val="003D2796"/>
    <w:rsid w:val="003D2B60"/>
    <w:rsid w:val="003D7775"/>
    <w:rsid w:val="003F5E09"/>
    <w:rsid w:val="00400C34"/>
    <w:rsid w:val="00407526"/>
    <w:rsid w:val="0041184F"/>
    <w:rsid w:val="00411FA5"/>
    <w:rsid w:val="00421CFE"/>
    <w:rsid w:val="00422447"/>
    <w:rsid w:val="00426402"/>
    <w:rsid w:val="0043057C"/>
    <w:rsid w:val="00431AF4"/>
    <w:rsid w:val="00437588"/>
    <w:rsid w:val="00437794"/>
    <w:rsid w:val="00440B01"/>
    <w:rsid w:val="004437B1"/>
    <w:rsid w:val="00447228"/>
    <w:rsid w:val="004541C5"/>
    <w:rsid w:val="00456D2E"/>
    <w:rsid w:val="004576EC"/>
    <w:rsid w:val="00473002"/>
    <w:rsid w:val="004740E0"/>
    <w:rsid w:val="00475511"/>
    <w:rsid w:val="00476000"/>
    <w:rsid w:val="00476C66"/>
    <w:rsid w:val="00481F6A"/>
    <w:rsid w:val="00482A41"/>
    <w:rsid w:val="00483538"/>
    <w:rsid w:val="00485351"/>
    <w:rsid w:val="004859FD"/>
    <w:rsid w:val="00486FCF"/>
    <w:rsid w:val="0049488E"/>
    <w:rsid w:val="00495AE2"/>
    <w:rsid w:val="004A1E0B"/>
    <w:rsid w:val="004A40CC"/>
    <w:rsid w:val="004A69D5"/>
    <w:rsid w:val="004B1652"/>
    <w:rsid w:val="004B44DB"/>
    <w:rsid w:val="004B48D6"/>
    <w:rsid w:val="004C13B7"/>
    <w:rsid w:val="004C34E6"/>
    <w:rsid w:val="004C4750"/>
    <w:rsid w:val="004D0E55"/>
    <w:rsid w:val="004D2206"/>
    <w:rsid w:val="004D2871"/>
    <w:rsid w:val="004D4DC5"/>
    <w:rsid w:val="004E2393"/>
    <w:rsid w:val="004E43ED"/>
    <w:rsid w:val="004E4409"/>
    <w:rsid w:val="004E5062"/>
    <w:rsid w:val="004E530A"/>
    <w:rsid w:val="004E6B7F"/>
    <w:rsid w:val="004E6E08"/>
    <w:rsid w:val="004F1287"/>
    <w:rsid w:val="004F4502"/>
    <w:rsid w:val="004F4D37"/>
    <w:rsid w:val="004F6451"/>
    <w:rsid w:val="00504416"/>
    <w:rsid w:val="00511BE9"/>
    <w:rsid w:val="00516004"/>
    <w:rsid w:val="00517585"/>
    <w:rsid w:val="005240A5"/>
    <w:rsid w:val="00524C99"/>
    <w:rsid w:val="00527B47"/>
    <w:rsid w:val="00535981"/>
    <w:rsid w:val="00540D30"/>
    <w:rsid w:val="00541E49"/>
    <w:rsid w:val="0054247F"/>
    <w:rsid w:val="00544CC3"/>
    <w:rsid w:val="00546FD5"/>
    <w:rsid w:val="00551E31"/>
    <w:rsid w:val="00552FE3"/>
    <w:rsid w:val="0055774D"/>
    <w:rsid w:val="00562793"/>
    <w:rsid w:val="00565F7C"/>
    <w:rsid w:val="00570477"/>
    <w:rsid w:val="00571600"/>
    <w:rsid w:val="005737EE"/>
    <w:rsid w:val="00573B0F"/>
    <w:rsid w:val="00574EF1"/>
    <w:rsid w:val="00577B6C"/>
    <w:rsid w:val="005B1192"/>
    <w:rsid w:val="005B288E"/>
    <w:rsid w:val="005B44A9"/>
    <w:rsid w:val="005B7A80"/>
    <w:rsid w:val="005B7DDE"/>
    <w:rsid w:val="005C1159"/>
    <w:rsid w:val="005C60F2"/>
    <w:rsid w:val="005D3AEF"/>
    <w:rsid w:val="005D5A88"/>
    <w:rsid w:val="005D5CF2"/>
    <w:rsid w:val="005E0960"/>
    <w:rsid w:val="005E1189"/>
    <w:rsid w:val="005F62C5"/>
    <w:rsid w:val="006015E1"/>
    <w:rsid w:val="00603632"/>
    <w:rsid w:val="00605E91"/>
    <w:rsid w:val="00610C92"/>
    <w:rsid w:val="006115DB"/>
    <w:rsid w:val="00613677"/>
    <w:rsid w:val="00616BE2"/>
    <w:rsid w:val="00617955"/>
    <w:rsid w:val="006200F8"/>
    <w:rsid w:val="0062029A"/>
    <w:rsid w:val="00620704"/>
    <w:rsid w:val="0062199B"/>
    <w:rsid w:val="00623020"/>
    <w:rsid w:val="00625F26"/>
    <w:rsid w:val="00626444"/>
    <w:rsid w:val="00626C24"/>
    <w:rsid w:val="006277CC"/>
    <w:rsid w:val="00634892"/>
    <w:rsid w:val="006423FE"/>
    <w:rsid w:val="00642711"/>
    <w:rsid w:val="00646192"/>
    <w:rsid w:val="0064707B"/>
    <w:rsid w:val="00650B83"/>
    <w:rsid w:val="00650C65"/>
    <w:rsid w:val="00650FC9"/>
    <w:rsid w:val="006541FC"/>
    <w:rsid w:val="00660149"/>
    <w:rsid w:val="00665D1A"/>
    <w:rsid w:val="0067519B"/>
    <w:rsid w:val="006767B5"/>
    <w:rsid w:val="00677E0B"/>
    <w:rsid w:val="006805E4"/>
    <w:rsid w:val="00681EF7"/>
    <w:rsid w:val="00682169"/>
    <w:rsid w:val="006835DD"/>
    <w:rsid w:val="00686AAC"/>
    <w:rsid w:val="006904D9"/>
    <w:rsid w:val="006908F5"/>
    <w:rsid w:val="006940A1"/>
    <w:rsid w:val="00697DB1"/>
    <w:rsid w:val="006A579B"/>
    <w:rsid w:val="006A6EE0"/>
    <w:rsid w:val="006B2240"/>
    <w:rsid w:val="006C5A92"/>
    <w:rsid w:val="006D4484"/>
    <w:rsid w:val="006D4A0D"/>
    <w:rsid w:val="006D657E"/>
    <w:rsid w:val="006E15D0"/>
    <w:rsid w:val="006F21D4"/>
    <w:rsid w:val="006F3B78"/>
    <w:rsid w:val="007008D4"/>
    <w:rsid w:val="007037DB"/>
    <w:rsid w:val="00705A34"/>
    <w:rsid w:val="00707D00"/>
    <w:rsid w:val="00713440"/>
    <w:rsid w:val="00715CF2"/>
    <w:rsid w:val="00717360"/>
    <w:rsid w:val="00721213"/>
    <w:rsid w:val="00721421"/>
    <w:rsid w:val="00723A76"/>
    <w:rsid w:val="00724F5A"/>
    <w:rsid w:val="00725B01"/>
    <w:rsid w:val="00725D8C"/>
    <w:rsid w:val="00734993"/>
    <w:rsid w:val="00740C60"/>
    <w:rsid w:val="00743D52"/>
    <w:rsid w:val="00746063"/>
    <w:rsid w:val="00750F77"/>
    <w:rsid w:val="0075239C"/>
    <w:rsid w:val="00753819"/>
    <w:rsid w:val="00755D17"/>
    <w:rsid w:val="00760D44"/>
    <w:rsid w:val="00764DF1"/>
    <w:rsid w:val="0076538C"/>
    <w:rsid w:val="00765393"/>
    <w:rsid w:val="007731AC"/>
    <w:rsid w:val="00775167"/>
    <w:rsid w:val="00782CC6"/>
    <w:rsid w:val="00782F31"/>
    <w:rsid w:val="0078497E"/>
    <w:rsid w:val="007957A1"/>
    <w:rsid w:val="007A759B"/>
    <w:rsid w:val="007B062F"/>
    <w:rsid w:val="007B14B0"/>
    <w:rsid w:val="007C33E4"/>
    <w:rsid w:val="007C340C"/>
    <w:rsid w:val="007C3CAD"/>
    <w:rsid w:val="007C7DFB"/>
    <w:rsid w:val="007D1863"/>
    <w:rsid w:val="007D18A0"/>
    <w:rsid w:val="007D7E99"/>
    <w:rsid w:val="007E55FB"/>
    <w:rsid w:val="007E5E5B"/>
    <w:rsid w:val="007E6B9A"/>
    <w:rsid w:val="007F2839"/>
    <w:rsid w:val="007F4ECA"/>
    <w:rsid w:val="007F75F3"/>
    <w:rsid w:val="008031B3"/>
    <w:rsid w:val="00805DCA"/>
    <w:rsid w:val="00806610"/>
    <w:rsid w:val="00806E50"/>
    <w:rsid w:val="008111E1"/>
    <w:rsid w:val="00811CF1"/>
    <w:rsid w:val="0081206E"/>
    <w:rsid w:val="00817F8A"/>
    <w:rsid w:val="00821B99"/>
    <w:rsid w:val="00826716"/>
    <w:rsid w:val="00826F58"/>
    <w:rsid w:val="00831573"/>
    <w:rsid w:val="00832827"/>
    <w:rsid w:val="00832CA8"/>
    <w:rsid w:val="008341D9"/>
    <w:rsid w:val="00836D8B"/>
    <w:rsid w:val="0084001C"/>
    <w:rsid w:val="00842409"/>
    <w:rsid w:val="0084728F"/>
    <w:rsid w:val="008537BA"/>
    <w:rsid w:val="008549F1"/>
    <w:rsid w:val="00854DAC"/>
    <w:rsid w:val="00856324"/>
    <w:rsid w:val="00856CD3"/>
    <w:rsid w:val="00857089"/>
    <w:rsid w:val="00864578"/>
    <w:rsid w:val="0086606B"/>
    <w:rsid w:val="00866682"/>
    <w:rsid w:val="00870E48"/>
    <w:rsid w:val="008722F9"/>
    <w:rsid w:val="00882266"/>
    <w:rsid w:val="00887003"/>
    <w:rsid w:val="008876AB"/>
    <w:rsid w:val="008900B7"/>
    <w:rsid w:val="00891465"/>
    <w:rsid w:val="008A189B"/>
    <w:rsid w:val="008A33EC"/>
    <w:rsid w:val="008A3C91"/>
    <w:rsid w:val="008A534D"/>
    <w:rsid w:val="008A5BE8"/>
    <w:rsid w:val="008B07C7"/>
    <w:rsid w:val="008B0F37"/>
    <w:rsid w:val="008B7178"/>
    <w:rsid w:val="008C12EE"/>
    <w:rsid w:val="008C149C"/>
    <w:rsid w:val="008C58AC"/>
    <w:rsid w:val="008D1DF3"/>
    <w:rsid w:val="008D53CB"/>
    <w:rsid w:val="008D69D0"/>
    <w:rsid w:val="008D784C"/>
    <w:rsid w:val="008E198E"/>
    <w:rsid w:val="008E2264"/>
    <w:rsid w:val="008E3D68"/>
    <w:rsid w:val="008E57B1"/>
    <w:rsid w:val="008E6608"/>
    <w:rsid w:val="008F07B0"/>
    <w:rsid w:val="008F2F9E"/>
    <w:rsid w:val="00901256"/>
    <w:rsid w:val="00902806"/>
    <w:rsid w:val="00904371"/>
    <w:rsid w:val="0090561B"/>
    <w:rsid w:val="00907A2C"/>
    <w:rsid w:val="00912EB7"/>
    <w:rsid w:val="00914A3A"/>
    <w:rsid w:val="00915013"/>
    <w:rsid w:val="00920CD6"/>
    <w:rsid w:val="009211C8"/>
    <w:rsid w:val="00923CEE"/>
    <w:rsid w:val="00936BCF"/>
    <w:rsid w:val="00941760"/>
    <w:rsid w:val="0094182F"/>
    <w:rsid w:val="00943620"/>
    <w:rsid w:val="00945949"/>
    <w:rsid w:val="00947B6F"/>
    <w:rsid w:val="0095030A"/>
    <w:rsid w:val="00953087"/>
    <w:rsid w:val="0095416C"/>
    <w:rsid w:val="009542A7"/>
    <w:rsid w:val="00961603"/>
    <w:rsid w:val="0096477D"/>
    <w:rsid w:val="00965456"/>
    <w:rsid w:val="009655C8"/>
    <w:rsid w:val="00966B4C"/>
    <w:rsid w:val="00970773"/>
    <w:rsid w:val="00972BBC"/>
    <w:rsid w:val="00977185"/>
    <w:rsid w:val="009906AE"/>
    <w:rsid w:val="00991BD1"/>
    <w:rsid w:val="0099320B"/>
    <w:rsid w:val="00993D8D"/>
    <w:rsid w:val="009A2F5D"/>
    <w:rsid w:val="009A3AE2"/>
    <w:rsid w:val="009C5ADE"/>
    <w:rsid w:val="009C7835"/>
    <w:rsid w:val="009D199B"/>
    <w:rsid w:val="009D1A36"/>
    <w:rsid w:val="009E0A5B"/>
    <w:rsid w:val="009E6BCF"/>
    <w:rsid w:val="009E6CC7"/>
    <w:rsid w:val="009F52F6"/>
    <w:rsid w:val="009F6DE3"/>
    <w:rsid w:val="00A1540B"/>
    <w:rsid w:val="00A172B1"/>
    <w:rsid w:val="00A20E66"/>
    <w:rsid w:val="00A22BCD"/>
    <w:rsid w:val="00A23169"/>
    <w:rsid w:val="00A233B8"/>
    <w:rsid w:val="00A26FA8"/>
    <w:rsid w:val="00A34B39"/>
    <w:rsid w:val="00A534A3"/>
    <w:rsid w:val="00A54FD1"/>
    <w:rsid w:val="00A56B45"/>
    <w:rsid w:val="00A600C5"/>
    <w:rsid w:val="00A66774"/>
    <w:rsid w:val="00A703B5"/>
    <w:rsid w:val="00A7078A"/>
    <w:rsid w:val="00A71BAE"/>
    <w:rsid w:val="00A765B7"/>
    <w:rsid w:val="00A772EC"/>
    <w:rsid w:val="00A84CAC"/>
    <w:rsid w:val="00A87290"/>
    <w:rsid w:val="00A87C3B"/>
    <w:rsid w:val="00A96EFA"/>
    <w:rsid w:val="00AA3079"/>
    <w:rsid w:val="00AA7415"/>
    <w:rsid w:val="00AB64C2"/>
    <w:rsid w:val="00AC0B25"/>
    <w:rsid w:val="00AC1A2D"/>
    <w:rsid w:val="00AC5FBB"/>
    <w:rsid w:val="00AC736A"/>
    <w:rsid w:val="00AD1F72"/>
    <w:rsid w:val="00AD259B"/>
    <w:rsid w:val="00AD3B63"/>
    <w:rsid w:val="00AD417F"/>
    <w:rsid w:val="00AD7614"/>
    <w:rsid w:val="00AD7F2D"/>
    <w:rsid w:val="00AE2B5C"/>
    <w:rsid w:val="00AF7463"/>
    <w:rsid w:val="00B01386"/>
    <w:rsid w:val="00B01863"/>
    <w:rsid w:val="00B064A8"/>
    <w:rsid w:val="00B07502"/>
    <w:rsid w:val="00B11E7B"/>
    <w:rsid w:val="00B15836"/>
    <w:rsid w:val="00B27C09"/>
    <w:rsid w:val="00B30847"/>
    <w:rsid w:val="00B3111E"/>
    <w:rsid w:val="00B3169F"/>
    <w:rsid w:val="00B3364F"/>
    <w:rsid w:val="00B365D3"/>
    <w:rsid w:val="00B37395"/>
    <w:rsid w:val="00B4208E"/>
    <w:rsid w:val="00B42AF2"/>
    <w:rsid w:val="00B447A4"/>
    <w:rsid w:val="00B46935"/>
    <w:rsid w:val="00B47EE9"/>
    <w:rsid w:val="00B5143C"/>
    <w:rsid w:val="00B51D5D"/>
    <w:rsid w:val="00B53165"/>
    <w:rsid w:val="00B547DF"/>
    <w:rsid w:val="00B61307"/>
    <w:rsid w:val="00B626F8"/>
    <w:rsid w:val="00B641FC"/>
    <w:rsid w:val="00B710A7"/>
    <w:rsid w:val="00B72199"/>
    <w:rsid w:val="00B723BA"/>
    <w:rsid w:val="00B81444"/>
    <w:rsid w:val="00B83C00"/>
    <w:rsid w:val="00B9028F"/>
    <w:rsid w:val="00B9675F"/>
    <w:rsid w:val="00B96CAE"/>
    <w:rsid w:val="00BA1486"/>
    <w:rsid w:val="00BA4B2F"/>
    <w:rsid w:val="00BA70A7"/>
    <w:rsid w:val="00BA7FE8"/>
    <w:rsid w:val="00BB6090"/>
    <w:rsid w:val="00BC11B0"/>
    <w:rsid w:val="00BC5B70"/>
    <w:rsid w:val="00BD3C10"/>
    <w:rsid w:val="00BD526D"/>
    <w:rsid w:val="00BE33B4"/>
    <w:rsid w:val="00BF1297"/>
    <w:rsid w:val="00BF3C5C"/>
    <w:rsid w:val="00BF5756"/>
    <w:rsid w:val="00C054BB"/>
    <w:rsid w:val="00C203A4"/>
    <w:rsid w:val="00C231F2"/>
    <w:rsid w:val="00C248FA"/>
    <w:rsid w:val="00C3205F"/>
    <w:rsid w:val="00C415E0"/>
    <w:rsid w:val="00C417FF"/>
    <w:rsid w:val="00C46BDC"/>
    <w:rsid w:val="00C52F1E"/>
    <w:rsid w:val="00C5437B"/>
    <w:rsid w:val="00C56126"/>
    <w:rsid w:val="00C65001"/>
    <w:rsid w:val="00C6655A"/>
    <w:rsid w:val="00C66D82"/>
    <w:rsid w:val="00C73C62"/>
    <w:rsid w:val="00C758FA"/>
    <w:rsid w:val="00C75923"/>
    <w:rsid w:val="00C80C64"/>
    <w:rsid w:val="00CA2DE2"/>
    <w:rsid w:val="00CA3000"/>
    <w:rsid w:val="00CA395B"/>
    <w:rsid w:val="00CA4089"/>
    <w:rsid w:val="00CB0CA0"/>
    <w:rsid w:val="00CB1CE4"/>
    <w:rsid w:val="00CB25DD"/>
    <w:rsid w:val="00CB2B87"/>
    <w:rsid w:val="00CB374C"/>
    <w:rsid w:val="00CD30E0"/>
    <w:rsid w:val="00CE12D6"/>
    <w:rsid w:val="00CE15C4"/>
    <w:rsid w:val="00CF3B95"/>
    <w:rsid w:val="00CF3EA1"/>
    <w:rsid w:val="00CF4EA4"/>
    <w:rsid w:val="00CF6DEA"/>
    <w:rsid w:val="00D015CF"/>
    <w:rsid w:val="00D15349"/>
    <w:rsid w:val="00D17506"/>
    <w:rsid w:val="00D201E1"/>
    <w:rsid w:val="00D2066C"/>
    <w:rsid w:val="00D23C23"/>
    <w:rsid w:val="00D33E04"/>
    <w:rsid w:val="00D35F92"/>
    <w:rsid w:val="00D36B34"/>
    <w:rsid w:val="00D44DDB"/>
    <w:rsid w:val="00D53448"/>
    <w:rsid w:val="00D548E4"/>
    <w:rsid w:val="00D64463"/>
    <w:rsid w:val="00D717B7"/>
    <w:rsid w:val="00D73213"/>
    <w:rsid w:val="00D73CA7"/>
    <w:rsid w:val="00D76FEB"/>
    <w:rsid w:val="00D81074"/>
    <w:rsid w:val="00D82BDD"/>
    <w:rsid w:val="00D879A5"/>
    <w:rsid w:val="00D91D57"/>
    <w:rsid w:val="00D97CC8"/>
    <w:rsid w:val="00DA0365"/>
    <w:rsid w:val="00DA2E9C"/>
    <w:rsid w:val="00DA48BF"/>
    <w:rsid w:val="00DA6017"/>
    <w:rsid w:val="00DB039F"/>
    <w:rsid w:val="00DB1C89"/>
    <w:rsid w:val="00DB498E"/>
    <w:rsid w:val="00DB6667"/>
    <w:rsid w:val="00DB6EFE"/>
    <w:rsid w:val="00DC14AE"/>
    <w:rsid w:val="00DC3F2C"/>
    <w:rsid w:val="00DC791C"/>
    <w:rsid w:val="00DD32A6"/>
    <w:rsid w:val="00DD4100"/>
    <w:rsid w:val="00DD429B"/>
    <w:rsid w:val="00DD7705"/>
    <w:rsid w:val="00DE48ED"/>
    <w:rsid w:val="00DE6667"/>
    <w:rsid w:val="00DF0104"/>
    <w:rsid w:val="00E0101E"/>
    <w:rsid w:val="00E05FEA"/>
    <w:rsid w:val="00E115E2"/>
    <w:rsid w:val="00E14B4C"/>
    <w:rsid w:val="00E1638C"/>
    <w:rsid w:val="00E1755A"/>
    <w:rsid w:val="00E346BC"/>
    <w:rsid w:val="00E426CE"/>
    <w:rsid w:val="00E432D8"/>
    <w:rsid w:val="00E441BF"/>
    <w:rsid w:val="00E44686"/>
    <w:rsid w:val="00E45BDC"/>
    <w:rsid w:val="00E45F56"/>
    <w:rsid w:val="00E50D28"/>
    <w:rsid w:val="00E579EC"/>
    <w:rsid w:val="00E6052A"/>
    <w:rsid w:val="00E63163"/>
    <w:rsid w:val="00E63319"/>
    <w:rsid w:val="00E66F87"/>
    <w:rsid w:val="00E74397"/>
    <w:rsid w:val="00E7578A"/>
    <w:rsid w:val="00E81756"/>
    <w:rsid w:val="00E81EFE"/>
    <w:rsid w:val="00E91891"/>
    <w:rsid w:val="00E94B98"/>
    <w:rsid w:val="00E95B18"/>
    <w:rsid w:val="00EA4343"/>
    <w:rsid w:val="00EA580C"/>
    <w:rsid w:val="00EB101D"/>
    <w:rsid w:val="00EB139A"/>
    <w:rsid w:val="00EB1924"/>
    <w:rsid w:val="00EB1E4A"/>
    <w:rsid w:val="00EB7025"/>
    <w:rsid w:val="00EC12F7"/>
    <w:rsid w:val="00EC1F78"/>
    <w:rsid w:val="00EC2E32"/>
    <w:rsid w:val="00EC42F0"/>
    <w:rsid w:val="00EC7E76"/>
    <w:rsid w:val="00ED201D"/>
    <w:rsid w:val="00ED5B44"/>
    <w:rsid w:val="00EE5E36"/>
    <w:rsid w:val="00EF2ADD"/>
    <w:rsid w:val="00EF2DDA"/>
    <w:rsid w:val="00EF32C3"/>
    <w:rsid w:val="00EF3D76"/>
    <w:rsid w:val="00F0016A"/>
    <w:rsid w:val="00F0583F"/>
    <w:rsid w:val="00F069A7"/>
    <w:rsid w:val="00F07877"/>
    <w:rsid w:val="00F15422"/>
    <w:rsid w:val="00F160AC"/>
    <w:rsid w:val="00F165D7"/>
    <w:rsid w:val="00F2069B"/>
    <w:rsid w:val="00F32AFA"/>
    <w:rsid w:val="00F47DF5"/>
    <w:rsid w:val="00F5283E"/>
    <w:rsid w:val="00F52E7E"/>
    <w:rsid w:val="00F70066"/>
    <w:rsid w:val="00F71331"/>
    <w:rsid w:val="00F71466"/>
    <w:rsid w:val="00F74B4A"/>
    <w:rsid w:val="00F752B5"/>
    <w:rsid w:val="00F81BEF"/>
    <w:rsid w:val="00F85287"/>
    <w:rsid w:val="00F90629"/>
    <w:rsid w:val="00FA0442"/>
    <w:rsid w:val="00FA5D66"/>
    <w:rsid w:val="00FB48E4"/>
    <w:rsid w:val="00FB5CE9"/>
    <w:rsid w:val="00FB6599"/>
    <w:rsid w:val="00FD19F4"/>
    <w:rsid w:val="00FD52EE"/>
    <w:rsid w:val="00FD645B"/>
    <w:rsid w:val="00FE5856"/>
    <w:rsid w:val="00FE5E0A"/>
    <w:rsid w:val="00FE6889"/>
    <w:rsid w:val="00FE7412"/>
    <w:rsid w:val="00FF1C47"/>
    <w:rsid w:val="00FF6EF2"/>
    <w:rsid w:val="00FF7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6E80C0A6"/>
  <w15:chartTrackingRefBased/>
  <w15:docId w15:val="{290F24A5-103D-49CF-B468-1704F70A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CFE"/>
    <w:rPr>
      <w:sz w:val="28"/>
      <w:lang w:eastAsia="en-US"/>
    </w:rPr>
  </w:style>
  <w:style w:type="paragraph" w:styleId="Heading1">
    <w:name w:val="heading 1"/>
    <w:aliases w:val="Numbered - 1,Section"/>
    <w:basedOn w:val="Normal"/>
    <w:next w:val="Normal"/>
    <w:qFormat/>
    <w:pPr>
      <w:keepNext/>
      <w:tabs>
        <w:tab w:val="left" w:pos="720"/>
        <w:tab w:val="left" w:pos="1440"/>
      </w:tabs>
      <w:ind w:left="720" w:hanging="720"/>
      <w:outlineLvl w:val="0"/>
    </w:pPr>
    <w:rPr>
      <w:rFonts w:ascii="Arial" w:hAnsi="Arial"/>
      <w:sz w:val="24"/>
    </w:rPr>
  </w:style>
  <w:style w:type="paragraph" w:styleId="Heading2">
    <w:name w:val="heading 2"/>
    <w:basedOn w:val="Normal"/>
    <w:next w:val="Normal"/>
    <w:qFormat/>
    <w:pPr>
      <w:keepNext/>
      <w:tabs>
        <w:tab w:val="left" w:pos="720"/>
        <w:tab w:val="left" w:pos="1440"/>
      </w:tabs>
      <w:ind w:left="720"/>
      <w:outlineLvl w:val="1"/>
    </w:pPr>
    <w:rPr>
      <w:rFonts w:ascii="Arial" w:hAnsi="Arial"/>
      <w:b/>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spacing w:before="60"/>
      <w:outlineLvl w:val="4"/>
    </w:pPr>
    <w:rPr>
      <w:rFonts w:ascii="Arial" w:hAnsi="Arial"/>
      <w:b/>
      <w:sz w:val="20"/>
    </w:rPr>
  </w:style>
  <w:style w:type="paragraph" w:styleId="Heading6">
    <w:name w:val="heading 6"/>
    <w:basedOn w:val="Normal"/>
    <w:next w:val="Normal"/>
    <w:qFormat/>
    <w:pPr>
      <w:keepNext/>
      <w:outlineLvl w:val="5"/>
    </w:pPr>
    <w:rPr>
      <w:rFonts w:ascii="Arial" w:hAnsi="Arial"/>
      <w:b/>
      <w:i/>
      <w:sz w:val="18"/>
      <w:lang w:val="en-US"/>
    </w:rPr>
  </w:style>
  <w:style w:type="paragraph" w:styleId="Heading7">
    <w:name w:val="heading 7"/>
    <w:basedOn w:val="Normal"/>
    <w:next w:val="Normal"/>
    <w:qFormat/>
    <w:pPr>
      <w:keepNext/>
      <w:tabs>
        <w:tab w:val="right" w:pos="9180"/>
      </w:tabs>
      <w:ind w:right="-900"/>
      <w:outlineLvl w:val="6"/>
    </w:pPr>
    <w:rPr>
      <w:rFonts w:ascii="Arial" w:hAnsi="Arial"/>
      <w:b/>
      <w:sz w:val="24"/>
    </w:rPr>
  </w:style>
  <w:style w:type="paragraph" w:styleId="Heading8">
    <w:name w:val="heading 8"/>
    <w:basedOn w:val="Normal"/>
    <w:next w:val="Normal"/>
    <w:qFormat/>
    <w:pPr>
      <w:keepNext/>
      <w:jc w:val="right"/>
      <w:outlineLvl w:val="7"/>
    </w:pPr>
    <w:rPr>
      <w:rFonts w:ascii="Arial" w:hAnsi="Arial"/>
      <w:b/>
      <w:snapToGrid w:val="0"/>
      <w:color w:val="000000"/>
      <w:sz w:val="22"/>
    </w:rPr>
  </w:style>
  <w:style w:type="paragraph" w:styleId="Heading9">
    <w:name w:val="heading 9"/>
    <w:basedOn w:val="Normal"/>
    <w:next w:val="Normal"/>
    <w:qFormat/>
    <w:pPr>
      <w:keepNext/>
      <w:spacing w:after="12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360"/>
      </w:tabs>
      <w:spacing w:after="120"/>
      <w:ind w:left="360" w:hanging="360"/>
    </w:pPr>
    <w:rPr>
      <w:rFonts w:ascii="Arial" w:hAnsi="Arial"/>
      <w:sz w:val="22"/>
      <w:lang w:val="en-US"/>
    </w:rPr>
  </w:style>
  <w:style w:type="paragraph" w:styleId="BodyTextIndent3">
    <w:name w:val="Body Text Indent 3"/>
    <w:basedOn w:val="Normal"/>
    <w:pPr>
      <w:tabs>
        <w:tab w:val="left" w:pos="1260"/>
      </w:tabs>
      <w:spacing w:after="120"/>
      <w:ind w:left="1260" w:hanging="720"/>
    </w:pPr>
    <w:rPr>
      <w:rFonts w:ascii="Arial" w:hAnsi="Arial"/>
      <w:sz w:val="22"/>
    </w:rPr>
  </w:style>
  <w:style w:type="paragraph" w:styleId="BodyText2">
    <w:name w:val="Body Text 2"/>
    <w:basedOn w:val="Normal"/>
    <w:rPr>
      <w:rFonts w:ascii="Arial" w:hAnsi="Arial"/>
      <w:b/>
      <w:sz w:val="22"/>
    </w:rPr>
  </w:style>
  <w:style w:type="paragraph" w:styleId="BodyText">
    <w:name w:val="Body Text"/>
    <w:basedOn w:val="Normal"/>
    <w:rPr>
      <w:b/>
    </w:rPr>
  </w:style>
  <w:style w:type="character" w:styleId="PageNumber">
    <w:name w:val="page number"/>
    <w:basedOn w:val="DefaultParagraphFont"/>
  </w:style>
  <w:style w:type="paragraph" w:styleId="BodyTextIndent2">
    <w:name w:val="Body Text Indent 2"/>
    <w:basedOn w:val="Normal"/>
    <w:pPr>
      <w:tabs>
        <w:tab w:val="left" w:pos="1276"/>
      </w:tabs>
      <w:spacing w:after="120"/>
      <w:ind w:left="1276" w:hanging="850"/>
    </w:pPr>
    <w:rPr>
      <w:rFonts w:ascii="Arial" w:hAnsi="Arial"/>
      <w:sz w:val="22"/>
    </w:rPr>
  </w:style>
  <w:style w:type="paragraph" w:styleId="BodyText3">
    <w:name w:val="Body Text 3"/>
    <w:basedOn w:val="Normal"/>
    <w:pPr>
      <w:spacing w:after="120"/>
    </w:pPr>
    <w:rPr>
      <w:rFonts w:ascii="Arial" w:hAnsi="Arial"/>
      <w:sz w:val="24"/>
    </w:rPr>
  </w:style>
  <w:style w:type="paragraph" w:customStyle="1" w:styleId="Directorate">
    <w:name w:val="Directorate"/>
    <w:basedOn w:val="Normal"/>
    <w:pPr>
      <w:spacing w:after="280" w:line="280" w:lineRule="exact"/>
    </w:pPr>
    <w:rPr>
      <w:rFonts w:ascii="Helvetica" w:hAnsi="Helvetica"/>
      <w:sz w:val="24"/>
    </w:rPr>
  </w:style>
  <w:style w:type="paragraph" w:styleId="DocumentMap">
    <w:name w:val="Document Map"/>
    <w:basedOn w:val="Normal"/>
    <w:semiHidden/>
    <w:pPr>
      <w:shd w:val="clear" w:color="auto" w:fill="000080"/>
    </w:pPr>
    <w:rPr>
      <w:rFonts w:ascii="Tahoma" w:hAnsi="Tahoma"/>
    </w:rPr>
  </w:style>
  <w:style w:type="paragraph" w:customStyle="1" w:styleId="DfESOutNumbered">
    <w:name w:val="DfESOutNumbered"/>
    <w:basedOn w:val="Normal"/>
    <w:pPr>
      <w:widowControl w:val="0"/>
      <w:numPr>
        <w:numId w:val="1"/>
      </w:numPr>
      <w:overflowPunct w:val="0"/>
      <w:autoSpaceDE w:val="0"/>
      <w:autoSpaceDN w:val="0"/>
      <w:adjustRightInd w:val="0"/>
      <w:spacing w:after="240"/>
      <w:textAlignment w:val="baseline"/>
    </w:pPr>
    <w:rPr>
      <w:rFonts w:ascii="Arial" w:hAnsi="Arial"/>
      <w:sz w:val="24"/>
    </w:rPr>
  </w:style>
  <w:style w:type="paragraph" w:customStyle="1" w:styleId="DfESBullets">
    <w:name w:val="DfESBullets"/>
    <w:basedOn w:val="Normal"/>
    <w:pPr>
      <w:widowControl w:val="0"/>
      <w:numPr>
        <w:numId w:val="2"/>
      </w:numPr>
      <w:overflowPunct w:val="0"/>
      <w:autoSpaceDE w:val="0"/>
      <w:autoSpaceDN w:val="0"/>
      <w:adjustRightInd w:val="0"/>
      <w:spacing w:after="240"/>
      <w:textAlignment w:val="baseline"/>
    </w:pPr>
    <w:rPr>
      <w:rFonts w:ascii="Arial" w:hAnsi="Arial"/>
      <w:sz w:val="24"/>
    </w:rPr>
  </w:style>
  <w:style w:type="paragraph" w:customStyle="1" w:styleId="N1">
    <w:name w:val="N1"/>
    <w:basedOn w:val="Normal"/>
    <w:next w:val="N2"/>
    <w:pPr>
      <w:spacing w:before="160" w:line="220" w:lineRule="atLeast"/>
      <w:ind w:firstLine="170"/>
      <w:jc w:val="both"/>
    </w:pPr>
    <w:rPr>
      <w:sz w:val="21"/>
    </w:rPr>
  </w:style>
  <w:style w:type="paragraph" w:customStyle="1" w:styleId="N2">
    <w:name w:val="N2"/>
    <w:basedOn w:val="N1"/>
    <w:pPr>
      <w:tabs>
        <w:tab w:val="num" w:pos="792"/>
      </w:tabs>
      <w:spacing w:before="80"/>
      <w:ind w:left="792" w:hanging="432"/>
    </w:pPr>
  </w:style>
  <w:style w:type="paragraph" w:customStyle="1" w:styleId="N3">
    <w:name w:val="N3"/>
    <w:basedOn w:val="N2"/>
    <w:pPr>
      <w:tabs>
        <w:tab w:val="clear" w:pos="792"/>
        <w:tab w:val="num" w:pos="1440"/>
      </w:tabs>
      <w:ind w:left="1224" w:hanging="504"/>
    </w:pPr>
  </w:style>
  <w:style w:type="paragraph" w:customStyle="1" w:styleId="N4">
    <w:name w:val="N4"/>
    <w:basedOn w:val="N3"/>
    <w:pPr>
      <w:tabs>
        <w:tab w:val="clear" w:pos="1440"/>
        <w:tab w:val="num" w:pos="2160"/>
      </w:tabs>
      <w:ind w:left="1728" w:hanging="648"/>
    </w:pPr>
  </w:style>
  <w:style w:type="paragraph" w:customStyle="1" w:styleId="N5">
    <w:name w:val="N5"/>
    <w:basedOn w:val="N4"/>
    <w:pPr>
      <w:tabs>
        <w:tab w:val="clear" w:pos="2160"/>
        <w:tab w:val="num" w:pos="2520"/>
      </w:tabs>
      <w:ind w:left="2232" w:hanging="792"/>
    </w:pPr>
  </w:style>
  <w:style w:type="paragraph" w:customStyle="1" w:styleId="T1">
    <w:name w:val="T1"/>
    <w:basedOn w:val="Normal"/>
    <w:pPr>
      <w:spacing w:before="160" w:line="220" w:lineRule="atLeast"/>
      <w:jc w:val="both"/>
    </w:pPr>
    <w:rPr>
      <w:sz w:val="21"/>
    </w:rPr>
  </w:style>
  <w:style w:type="paragraph" w:styleId="FootnoteText">
    <w:name w:val="footnote text"/>
    <w:basedOn w:val="Normal"/>
    <w:semiHidden/>
    <w:rPr>
      <w:sz w:val="20"/>
    </w:rPr>
  </w:style>
  <w:style w:type="character" w:styleId="FootnoteReference">
    <w:name w:val="footnote reference"/>
    <w:rPr>
      <w:vertAlign w:val="superscript"/>
    </w:rPr>
  </w:style>
  <w:style w:type="paragraph" w:styleId="BalloonText">
    <w:name w:val="Balloon Text"/>
    <w:basedOn w:val="Normal"/>
    <w:semiHidden/>
    <w:rPr>
      <w:rFonts w:ascii="Tahoma" w:hAnsi="Tahoma" w:cs="Tahoma"/>
      <w:sz w:val="16"/>
      <w:szCs w:val="16"/>
    </w:rPr>
  </w:style>
  <w:style w:type="paragraph" w:styleId="ListBullet">
    <w:name w:val="List Bullet"/>
    <w:basedOn w:val="Normal"/>
    <w:autoRedefine/>
    <w:pPr>
      <w:numPr>
        <w:numId w:val="3"/>
      </w:numPr>
      <w:spacing w:after="120"/>
    </w:pPr>
    <w:rPr>
      <w:rFonts w:ascii="Arial" w:hAnsi="Arial" w:cs="Arial"/>
      <w:sz w:val="24"/>
    </w:rPr>
  </w:style>
  <w:style w:type="character" w:styleId="Hyperlink">
    <w:name w:val="Hyperlink"/>
    <w:rPr>
      <w:color w:val="0000FF"/>
      <w:u w:val="single"/>
    </w:rPr>
  </w:style>
  <w:style w:type="table" w:styleId="TableGrid">
    <w:name w:val="Table Grid"/>
    <w:basedOn w:val="TableNormal"/>
    <w:rsid w:val="00953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E2393"/>
    <w:rPr>
      <w:b/>
      <w:bCs/>
    </w:rPr>
  </w:style>
  <w:style w:type="paragraph" w:styleId="PlainText">
    <w:name w:val="Plain Text"/>
    <w:basedOn w:val="Normal"/>
    <w:rsid w:val="002041BB"/>
    <w:rPr>
      <w:rFonts w:ascii="Courier New" w:hAnsi="Courier New" w:cs="Courier New"/>
      <w:sz w:val="20"/>
      <w:lang w:eastAsia="en-GB"/>
    </w:rPr>
  </w:style>
  <w:style w:type="paragraph" w:customStyle="1" w:styleId="Style1">
    <w:name w:val="Style1"/>
    <w:basedOn w:val="Header"/>
    <w:rsid w:val="001D1CE6"/>
    <w:pPr>
      <w:tabs>
        <w:tab w:val="clear" w:pos="4153"/>
        <w:tab w:val="clear" w:pos="8306"/>
        <w:tab w:val="center" w:pos="4320"/>
        <w:tab w:val="right" w:pos="8640"/>
      </w:tabs>
    </w:pPr>
    <w:rPr>
      <w:sz w:val="24"/>
      <w:lang w:eastAsia="en-GB"/>
    </w:rPr>
  </w:style>
  <w:style w:type="paragraph" w:customStyle="1" w:styleId="StyleArial">
    <w:name w:val="Style Arial"/>
    <w:basedOn w:val="Normal"/>
    <w:rsid w:val="008C149C"/>
    <w:pPr>
      <w:spacing w:after="120"/>
    </w:pPr>
    <w:rPr>
      <w:rFonts w:ascii="Arial" w:hAnsi="Arial" w:cs="Arial"/>
    </w:rPr>
  </w:style>
  <w:style w:type="character" w:styleId="CommentReference">
    <w:name w:val="annotation reference"/>
    <w:semiHidden/>
    <w:rsid w:val="00642711"/>
    <w:rPr>
      <w:sz w:val="16"/>
      <w:szCs w:val="16"/>
    </w:rPr>
  </w:style>
  <w:style w:type="paragraph" w:styleId="CommentText">
    <w:name w:val="annotation text"/>
    <w:basedOn w:val="Normal"/>
    <w:semiHidden/>
    <w:rsid w:val="00642711"/>
    <w:rPr>
      <w:sz w:val="20"/>
    </w:rPr>
  </w:style>
  <w:style w:type="paragraph" w:styleId="CommentSubject">
    <w:name w:val="annotation subject"/>
    <w:basedOn w:val="CommentText"/>
    <w:next w:val="CommentText"/>
    <w:semiHidden/>
    <w:rsid w:val="00642711"/>
    <w:rPr>
      <w:b/>
      <w:bCs/>
    </w:rPr>
  </w:style>
  <w:style w:type="paragraph" w:styleId="ListParagraph">
    <w:name w:val="List Paragraph"/>
    <w:basedOn w:val="Normal"/>
    <w:uiPriority w:val="34"/>
    <w:qFormat/>
    <w:rsid w:val="00842409"/>
    <w:pPr>
      <w:ind w:left="720"/>
      <w:contextualSpacing/>
    </w:pPr>
    <w:rPr>
      <w:rFonts w:ascii="Arial" w:hAnsi="Arial"/>
      <w:sz w:val="24"/>
      <w:szCs w:val="24"/>
      <w:lang w:eastAsia="en-GB"/>
    </w:rPr>
  </w:style>
  <w:style w:type="character" w:customStyle="1" w:styleId="FooterChar">
    <w:name w:val="Footer Char"/>
    <w:link w:val="Footer"/>
    <w:uiPriority w:val="99"/>
    <w:rsid w:val="00A233B8"/>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1706">
      <w:bodyDiv w:val="1"/>
      <w:marLeft w:val="0"/>
      <w:marRight w:val="0"/>
      <w:marTop w:val="0"/>
      <w:marBottom w:val="0"/>
      <w:divBdr>
        <w:top w:val="none" w:sz="0" w:space="0" w:color="auto"/>
        <w:left w:val="none" w:sz="0" w:space="0" w:color="auto"/>
        <w:bottom w:val="none" w:sz="0" w:space="0" w:color="auto"/>
        <w:right w:val="none" w:sz="0" w:space="0" w:color="auto"/>
      </w:divBdr>
    </w:div>
    <w:div w:id="256908746">
      <w:bodyDiv w:val="1"/>
      <w:marLeft w:val="0"/>
      <w:marRight w:val="0"/>
      <w:marTop w:val="0"/>
      <w:marBottom w:val="0"/>
      <w:divBdr>
        <w:top w:val="none" w:sz="0" w:space="0" w:color="auto"/>
        <w:left w:val="none" w:sz="0" w:space="0" w:color="auto"/>
        <w:bottom w:val="none" w:sz="0" w:space="0" w:color="auto"/>
        <w:right w:val="none" w:sz="0" w:space="0" w:color="auto"/>
      </w:divBdr>
    </w:div>
    <w:div w:id="369839639">
      <w:bodyDiv w:val="1"/>
      <w:marLeft w:val="0"/>
      <w:marRight w:val="0"/>
      <w:marTop w:val="0"/>
      <w:marBottom w:val="0"/>
      <w:divBdr>
        <w:top w:val="none" w:sz="0" w:space="0" w:color="auto"/>
        <w:left w:val="none" w:sz="0" w:space="0" w:color="auto"/>
        <w:bottom w:val="none" w:sz="0" w:space="0" w:color="auto"/>
        <w:right w:val="none" w:sz="0" w:space="0" w:color="auto"/>
      </w:divBdr>
      <w:divsChild>
        <w:div w:id="566459814">
          <w:marLeft w:val="0"/>
          <w:marRight w:val="0"/>
          <w:marTop w:val="0"/>
          <w:marBottom w:val="0"/>
          <w:divBdr>
            <w:top w:val="none" w:sz="0" w:space="0" w:color="auto"/>
            <w:left w:val="none" w:sz="0" w:space="0" w:color="auto"/>
            <w:bottom w:val="none" w:sz="0" w:space="0" w:color="auto"/>
            <w:right w:val="none" w:sz="0" w:space="0" w:color="auto"/>
          </w:divBdr>
        </w:div>
        <w:div w:id="675763950">
          <w:marLeft w:val="0"/>
          <w:marRight w:val="0"/>
          <w:marTop w:val="0"/>
          <w:marBottom w:val="0"/>
          <w:divBdr>
            <w:top w:val="none" w:sz="0" w:space="0" w:color="auto"/>
            <w:left w:val="none" w:sz="0" w:space="0" w:color="auto"/>
            <w:bottom w:val="none" w:sz="0" w:space="0" w:color="auto"/>
            <w:right w:val="none" w:sz="0" w:space="0" w:color="auto"/>
          </w:divBdr>
        </w:div>
        <w:div w:id="1357267205">
          <w:marLeft w:val="0"/>
          <w:marRight w:val="0"/>
          <w:marTop w:val="0"/>
          <w:marBottom w:val="0"/>
          <w:divBdr>
            <w:top w:val="none" w:sz="0" w:space="0" w:color="auto"/>
            <w:left w:val="none" w:sz="0" w:space="0" w:color="auto"/>
            <w:bottom w:val="none" w:sz="0" w:space="0" w:color="auto"/>
            <w:right w:val="none" w:sz="0" w:space="0" w:color="auto"/>
          </w:divBdr>
        </w:div>
        <w:div w:id="1507552189">
          <w:marLeft w:val="0"/>
          <w:marRight w:val="0"/>
          <w:marTop w:val="0"/>
          <w:marBottom w:val="0"/>
          <w:divBdr>
            <w:top w:val="none" w:sz="0" w:space="0" w:color="auto"/>
            <w:left w:val="none" w:sz="0" w:space="0" w:color="auto"/>
            <w:bottom w:val="none" w:sz="0" w:space="0" w:color="auto"/>
            <w:right w:val="none" w:sz="0" w:space="0" w:color="auto"/>
          </w:divBdr>
        </w:div>
        <w:div w:id="1531258484">
          <w:marLeft w:val="0"/>
          <w:marRight w:val="0"/>
          <w:marTop w:val="0"/>
          <w:marBottom w:val="0"/>
          <w:divBdr>
            <w:top w:val="none" w:sz="0" w:space="0" w:color="auto"/>
            <w:left w:val="none" w:sz="0" w:space="0" w:color="auto"/>
            <w:bottom w:val="none" w:sz="0" w:space="0" w:color="auto"/>
            <w:right w:val="none" w:sz="0" w:space="0" w:color="auto"/>
          </w:divBdr>
        </w:div>
        <w:div w:id="1679385584">
          <w:marLeft w:val="0"/>
          <w:marRight w:val="0"/>
          <w:marTop w:val="0"/>
          <w:marBottom w:val="0"/>
          <w:divBdr>
            <w:top w:val="none" w:sz="0" w:space="0" w:color="auto"/>
            <w:left w:val="none" w:sz="0" w:space="0" w:color="auto"/>
            <w:bottom w:val="none" w:sz="0" w:space="0" w:color="auto"/>
            <w:right w:val="none" w:sz="0" w:space="0" w:color="auto"/>
          </w:divBdr>
        </w:div>
        <w:div w:id="1811677840">
          <w:marLeft w:val="0"/>
          <w:marRight w:val="0"/>
          <w:marTop w:val="0"/>
          <w:marBottom w:val="0"/>
          <w:divBdr>
            <w:top w:val="none" w:sz="0" w:space="0" w:color="auto"/>
            <w:left w:val="none" w:sz="0" w:space="0" w:color="auto"/>
            <w:bottom w:val="none" w:sz="0" w:space="0" w:color="auto"/>
            <w:right w:val="none" w:sz="0" w:space="0" w:color="auto"/>
          </w:divBdr>
        </w:div>
        <w:div w:id="1975019653">
          <w:marLeft w:val="0"/>
          <w:marRight w:val="0"/>
          <w:marTop w:val="0"/>
          <w:marBottom w:val="0"/>
          <w:divBdr>
            <w:top w:val="none" w:sz="0" w:space="0" w:color="auto"/>
            <w:left w:val="none" w:sz="0" w:space="0" w:color="auto"/>
            <w:bottom w:val="none" w:sz="0" w:space="0" w:color="auto"/>
            <w:right w:val="none" w:sz="0" w:space="0" w:color="auto"/>
          </w:divBdr>
        </w:div>
        <w:div w:id="2113545373">
          <w:marLeft w:val="0"/>
          <w:marRight w:val="0"/>
          <w:marTop w:val="0"/>
          <w:marBottom w:val="0"/>
          <w:divBdr>
            <w:top w:val="none" w:sz="0" w:space="0" w:color="auto"/>
            <w:left w:val="none" w:sz="0" w:space="0" w:color="auto"/>
            <w:bottom w:val="none" w:sz="0" w:space="0" w:color="auto"/>
            <w:right w:val="none" w:sz="0" w:space="0" w:color="auto"/>
          </w:divBdr>
        </w:div>
      </w:divsChild>
    </w:div>
    <w:div w:id="435254404">
      <w:bodyDiv w:val="1"/>
      <w:marLeft w:val="0"/>
      <w:marRight w:val="0"/>
      <w:marTop w:val="0"/>
      <w:marBottom w:val="0"/>
      <w:divBdr>
        <w:top w:val="none" w:sz="0" w:space="0" w:color="auto"/>
        <w:left w:val="none" w:sz="0" w:space="0" w:color="auto"/>
        <w:bottom w:val="none" w:sz="0" w:space="0" w:color="auto"/>
        <w:right w:val="none" w:sz="0" w:space="0" w:color="auto"/>
      </w:divBdr>
    </w:div>
    <w:div w:id="531456352">
      <w:bodyDiv w:val="1"/>
      <w:marLeft w:val="0"/>
      <w:marRight w:val="0"/>
      <w:marTop w:val="0"/>
      <w:marBottom w:val="0"/>
      <w:divBdr>
        <w:top w:val="none" w:sz="0" w:space="0" w:color="auto"/>
        <w:left w:val="none" w:sz="0" w:space="0" w:color="auto"/>
        <w:bottom w:val="none" w:sz="0" w:space="0" w:color="auto"/>
        <w:right w:val="none" w:sz="0" w:space="0" w:color="auto"/>
      </w:divBdr>
    </w:div>
    <w:div w:id="537813632">
      <w:bodyDiv w:val="1"/>
      <w:marLeft w:val="0"/>
      <w:marRight w:val="0"/>
      <w:marTop w:val="0"/>
      <w:marBottom w:val="0"/>
      <w:divBdr>
        <w:top w:val="none" w:sz="0" w:space="0" w:color="auto"/>
        <w:left w:val="none" w:sz="0" w:space="0" w:color="auto"/>
        <w:bottom w:val="none" w:sz="0" w:space="0" w:color="auto"/>
        <w:right w:val="none" w:sz="0" w:space="0" w:color="auto"/>
      </w:divBdr>
      <w:divsChild>
        <w:div w:id="494880096">
          <w:marLeft w:val="0"/>
          <w:marRight w:val="0"/>
          <w:marTop w:val="0"/>
          <w:marBottom w:val="0"/>
          <w:divBdr>
            <w:top w:val="none" w:sz="0" w:space="0" w:color="auto"/>
            <w:left w:val="none" w:sz="0" w:space="0" w:color="auto"/>
            <w:bottom w:val="none" w:sz="0" w:space="0" w:color="auto"/>
            <w:right w:val="none" w:sz="0" w:space="0" w:color="auto"/>
          </w:divBdr>
          <w:divsChild>
            <w:div w:id="841362149">
              <w:marLeft w:val="0"/>
              <w:marRight w:val="0"/>
              <w:marTop w:val="0"/>
              <w:marBottom w:val="0"/>
              <w:divBdr>
                <w:top w:val="none" w:sz="0" w:space="0" w:color="auto"/>
                <w:left w:val="none" w:sz="0" w:space="0" w:color="auto"/>
                <w:bottom w:val="none" w:sz="0" w:space="0" w:color="auto"/>
                <w:right w:val="none" w:sz="0" w:space="0" w:color="auto"/>
              </w:divBdr>
            </w:div>
            <w:div w:id="17349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4">
      <w:bodyDiv w:val="1"/>
      <w:marLeft w:val="0"/>
      <w:marRight w:val="0"/>
      <w:marTop w:val="0"/>
      <w:marBottom w:val="0"/>
      <w:divBdr>
        <w:top w:val="none" w:sz="0" w:space="0" w:color="auto"/>
        <w:left w:val="none" w:sz="0" w:space="0" w:color="auto"/>
        <w:bottom w:val="none" w:sz="0" w:space="0" w:color="auto"/>
        <w:right w:val="none" w:sz="0" w:space="0" w:color="auto"/>
      </w:divBdr>
    </w:div>
    <w:div w:id="780606418">
      <w:bodyDiv w:val="1"/>
      <w:marLeft w:val="0"/>
      <w:marRight w:val="0"/>
      <w:marTop w:val="0"/>
      <w:marBottom w:val="0"/>
      <w:divBdr>
        <w:top w:val="none" w:sz="0" w:space="0" w:color="auto"/>
        <w:left w:val="none" w:sz="0" w:space="0" w:color="auto"/>
        <w:bottom w:val="none" w:sz="0" w:space="0" w:color="auto"/>
        <w:right w:val="none" w:sz="0" w:space="0" w:color="auto"/>
      </w:divBdr>
    </w:div>
    <w:div w:id="890966447">
      <w:bodyDiv w:val="1"/>
      <w:marLeft w:val="0"/>
      <w:marRight w:val="0"/>
      <w:marTop w:val="0"/>
      <w:marBottom w:val="0"/>
      <w:divBdr>
        <w:top w:val="none" w:sz="0" w:space="0" w:color="auto"/>
        <w:left w:val="none" w:sz="0" w:space="0" w:color="auto"/>
        <w:bottom w:val="none" w:sz="0" w:space="0" w:color="auto"/>
        <w:right w:val="none" w:sz="0" w:space="0" w:color="auto"/>
      </w:divBdr>
      <w:divsChild>
        <w:div w:id="1497767886">
          <w:marLeft w:val="0"/>
          <w:marRight w:val="0"/>
          <w:marTop w:val="0"/>
          <w:marBottom w:val="0"/>
          <w:divBdr>
            <w:top w:val="none" w:sz="0" w:space="0" w:color="auto"/>
            <w:left w:val="none" w:sz="0" w:space="0" w:color="auto"/>
            <w:bottom w:val="none" w:sz="0" w:space="0" w:color="auto"/>
            <w:right w:val="none" w:sz="0" w:space="0" w:color="auto"/>
          </w:divBdr>
          <w:divsChild>
            <w:div w:id="476149982">
              <w:marLeft w:val="0"/>
              <w:marRight w:val="0"/>
              <w:marTop w:val="0"/>
              <w:marBottom w:val="0"/>
              <w:divBdr>
                <w:top w:val="none" w:sz="0" w:space="0" w:color="auto"/>
                <w:left w:val="none" w:sz="0" w:space="0" w:color="auto"/>
                <w:bottom w:val="none" w:sz="0" w:space="0" w:color="auto"/>
                <w:right w:val="none" w:sz="0" w:space="0" w:color="auto"/>
              </w:divBdr>
            </w:div>
            <w:div w:id="20251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3693">
      <w:bodyDiv w:val="1"/>
      <w:marLeft w:val="0"/>
      <w:marRight w:val="0"/>
      <w:marTop w:val="0"/>
      <w:marBottom w:val="0"/>
      <w:divBdr>
        <w:top w:val="none" w:sz="0" w:space="0" w:color="auto"/>
        <w:left w:val="none" w:sz="0" w:space="0" w:color="auto"/>
        <w:bottom w:val="none" w:sz="0" w:space="0" w:color="auto"/>
        <w:right w:val="none" w:sz="0" w:space="0" w:color="auto"/>
      </w:divBdr>
    </w:div>
    <w:div w:id="1074207874">
      <w:bodyDiv w:val="1"/>
      <w:marLeft w:val="0"/>
      <w:marRight w:val="0"/>
      <w:marTop w:val="0"/>
      <w:marBottom w:val="0"/>
      <w:divBdr>
        <w:top w:val="none" w:sz="0" w:space="0" w:color="auto"/>
        <w:left w:val="none" w:sz="0" w:space="0" w:color="auto"/>
        <w:bottom w:val="none" w:sz="0" w:space="0" w:color="auto"/>
        <w:right w:val="none" w:sz="0" w:space="0" w:color="auto"/>
      </w:divBdr>
    </w:div>
    <w:div w:id="1126776458">
      <w:bodyDiv w:val="1"/>
      <w:marLeft w:val="0"/>
      <w:marRight w:val="0"/>
      <w:marTop w:val="0"/>
      <w:marBottom w:val="0"/>
      <w:divBdr>
        <w:top w:val="none" w:sz="0" w:space="0" w:color="auto"/>
        <w:left w:val="none" w:sz="0" w:space="0" w:color="auto"/>
        <w:bottom w:val="none" w:sz="0" w:space="0" w:color="auto"/>
        <w:right w:val="none" w:sz="0" w:space="0" w:color="auto"/>
      </w:divBdr>
      <w:divsChild>
        <w:div w:id="1808235113">
          <w:marLeft w:val="0"/>
          <w:marRight w:val="0"/>
          <w:marTop w:val="0"/>
          <w:marBottom w:val="0"/>
          <w:divBdr>
            <w:top w:val="none" w:sz="0" w:space="0" w:color="auto"/>
            <w:left w:val="none" w:sz="0" w:space="0" w:color="auto"/>
            <w:bottom w:val="none" w:sz="0" w:space="0" w:color="auto"/>
            <w:right w:val="none" w:sz="0" w:space="0" w:color="auto"/>
          </w:divBdr>
          <w:divsChild>
            <w:div w:id="898134353">
              <w:marLeft w:val="0"/>
              <w:marRight w:val="0"/>
              <w:marTop w:val="0"/>
              <w:marBottom w:val="0"/>
              <w:divBdr>
                <w:top w:val="none" w:sz="0" w:space="0" w:color="auto"/>
                <w:left w:val="none" w:sz="0" w:space="0" w:color="auto"/>
                <w:bottom w:val="none" w:sz="0" w:space="0" w:color="auto"/>
                <w:right w:val="none" w:sz="0" w:space="0" w:color="auto"/>
              </w:divBdr>
            </w:div>
            <w:div w:id="1816949294">
              <w:marLeft w:val="0"/>
              <w:marRight w:val="0"/>
              <w:marTop w:val="0"/>
              <w:marBottom w:val="0"/>
              <w:divBdr>
                <w:top w:val="none" w:sz="0" w:space="0" w:color="auto"/>
                <w:left w:val="none" w:sz="0" w:space="0" w:color="auto"/>
                <w:bottom w:val="none" w:sz="0" w:space="0" w:color="auto"/>
                <w:right w:val="none" w:sz="0" w:space="0" w:color="auto"/>
              </w:divBdr>
            </w:div>
            <w:div w:id="19621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4243">
      <w:bodyDiv w:val="1"/>
      <w:marLeft w:val="0"/>
      <w:marRight w:val="0"/>
      <w:marTop w:val="0"/>
      <w:marBottom w:val="0"/>
      <w:divBdr>
        <w:top w:val="none" w:sz="0" w:space="0" w:color="auto"/>
        <w:left w:val="none" w:sz="0" w:space="0" w:color="auto"/>
        <w:bottom w:val="none" w:sz="0" w:space="0" w:color="auto"/>
        <w:right w:val="none" w:sz="0" w:space="0" w:color="auto"/>
      </w:divBdr>
    </w:div>
    <w:div w:id="1448432113">
      <w:bodyDiv w:val="1"/>
      <w:marLeft w:val="0"/>
      <w:marRight w:val="0"/>
      <w:marTop w:val="0"/>
      <w:marBottom w:val="0"/>
      <w:divBdr>
        <w:top w:val="none" w:sz="0" w:space="0" w:color="auto"/>
        <w:left w:val="none" w:sz="0" w:space="0" w:color="auto"/>
        <w:bottom w:val="none" w:sz="0" w:space="0" w:color="auto"/>
        <w:right w:val="none" w:sz="0" w:space="0" w:color="auto"/>
      </w:divBdr>
    </w:div>
    <w:div w:id="1492139485">
      <w:bodyDiv w:val="1"/>
      <w:marLeft w:val="0"/>
      <w:marRight w:val="0"/>
      <w:marTop w:val="0"/>
      <w:marBottom w:val="0"/>
      <w:divBdr>
        <w:top w:val="none" w:sz="0" w:space="0" w:color="auto"/>
        <w:left w:val="none" w:sz="0" w:space="0" w:color="auto"/>
        <w:bottom w:val="none" w:sz="0" w:space="0" w:color="auto"/>
        <w:right w:val="none" w:sz="0" w:space="0" w:color="auto"/>
      </w:divBdr>
    </w:div>
    <w:div w:id="1653025199">
      <w:bodyDiv w:val="1"/>
      <w:marLeft w:val="0"/>
      <w:marRight w:val="0"/>
      <w:marTop w:val="0"/>
      <w:marBottom w:val="0"/>
      <w:divBdr>
        <w:top w:val="none" w:sz="0" w:space="0" w:color="auto"/>
        <w:left w:val="none" w:sz="0" w:space="0" w:color="auto"/>
        <w:bottom w:val="none" w:sz="0" w:space="0" w:color="auto"/>
        <w:right w:val="none" w:sz="0" w:space="0" w:color="auto"/>
      </w:divBdr>
    </w:div>
    <w:div w:id="1664122331">
      <w:bodyDiv w:val="1"/>
      <w:marLeft w:val="0"/>
      <w:marRight w:val="0"/>
      <w:marTop w:val="0"/>
      <w:marBottom w:val="0"/>
      <w:divBdr>
        <w:top w:val="none" w:sz="0" w:space="0" w:color="auto"/>
        <w:left w:val="none" w:sz="0" w:space="0" w:color="auto"/>
        <w:bottom w:val="none" w:sz="0" w:space="0" w:color="auto"/>
        <w:right w:val="none" w:sz="0" w:space="0" w:color="auto"/>
      </w:divBdr>
    </w:div>
    <w:div w:id="1749764580">
      <w:bodyDiv w:val="1"/>
      <w:marLeft w:val="0"/>
      <w:marRight w:val="0"/>
      <w:marTop w:val="0"/>
      <w:marBottom w:val="0"/>
      <w:divBdr>
        <w:top w:val="none" w:sz="0" w:space="0" w:color="auto"/>
        <w:left w:val="none" w:sz="0" w:space="0" w:color="auto"/>
        <w:bottom w:val="none" w:sz="0" w:space="0" w:color="auto"/>
        <w:right w:val="none" w:sz="0" w:space="0" w:color="auto"/>
      </w:divBdr>
      <w:divsChild>
        <w:div w:id="510336238">
          <w:marLeft w:val="0"/>
          <w:marRight w:val="0"/>
          <w:marTop w:val="0"/>
          <w:marBottom w:val="0"/>
          <w:divBdr>
            <w:top w:val="none" w:sz="0" w:space="0" w:color="auto"/>
            <w:left w:val="none" w:sz="0" w:space="0" w:color="auto"/>
            <w:bottom w:val="none" w:sz="0" w:space="0" w:color="auto"/>
            <w:right w:val="none" w:sz="0" w:space="0" w:color="auto"/>
          </w:divBdr>
          <w:divsChild>
            <w:div w:id="260842246">
              <w:marLeft w:val="0"/>
              <w:marRight w:val="0"/>
              <w:marTop w:val="0"/>
              <w:marBottom w:val="0"/>
              <w:divBdr>
                <w:top w:val="none" w:sz="0" w:space="0" w:color="auto"/>
                <w:left w:val="none" w:sz="0" w:space="0" w:color="auto"/>
                <w:bottom w:val="none" w:sz="0" w:space="0" w:color="auto"/>
                <w:right w:val="none" w:sz="0" w:space="0" w:color="auto"/>
              </w:divBdr>
            </w:div>
            <w:div w:id="376205896">
              <w:marLeft w:val="0"/>
              <w:marRight w:val="0"/>
              <w:marTop w:val="0"/>
              <w:marBottom w:val="0"/>
              <w:divBdr>
                <w:top w:val="none" w:sz="0" w:space="0" w:color="auto"/>
                <w:left w:val="none" w:sz="0" w:space="0" w:color="auto"/>
                <w:bottom w:val="none" w:sz="0" w:space="0" w:color="auto"/>
                <w:right w:val="none" w:sz="0" w:space="0" w:color="auto"/>
              </w:divBdr>
            </w:div>
            <w:div w:id="1583566507">
              <w:marLeft w:val="0"/>
              <w:marRight w:val="0"/>
              <w:marTop w:val="0"/>
              <w:marBottom w:val="0"/>
              <w:divBdr>
                <w:top w:val="none" w:sz="0" w:space="0" w:color="auto"/>
                <w:left w:val="none" w:sz="0" w:space="0" w:color="auto"/>
                <w:bottom w:val="none" w:sz="0" w:space="0" w:color="auto"/>
                <w:right w:val="none" w:sz="0" w:space="0" w:color="auto"/>
              </w:divBdr>
            </w:div>
            <w:div w:id="17169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93">
      <w:bodyDiv w:val="1"/>
      <w:marLeft w:val="0"/>
      <w:marRight w:val="0"/>
      <w:marTop w:val="0"/>
      <w:marBottom w:val="0"/>
      <w:divBdr>
        <w:top w:val="none" w:sz="0" w:space="0" w:color="auto"/>
        <w:left w:val="none" w:sz="0" w:space="0" w:color="auto"/>
        <w:bottom w:val="none" w:sz="0" w:space="0" w:color="auto"/>
        <w:right w:val="none" w:sz="0" w:space="0" w:color="auto"/>
      </w:divBdr>
    </w:div>
    <w:div w:id="21412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ve.worth@towerhamlets.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D356-21D4-4731-8954-142B2BAA79CC}">
  <ds:schemaRefs>
    <ds:schemaRef ds:uri="http://schemas.microsoft.com/sharepoint/v3/contenttype/forms"/>
  </ds:schemaRefs>
</ds:datastoreItem>
</file>

<file path=customXml/itemProps2.xml><?xml version="1.0" encoding="utf-8"?>
<ds:datastoreItem xmlns:ds="http://schemas.openxmlformats.org/officeDocument/2006/customXml" ds:itemID="{DECCD753-F8DA-46D9-8157-63E7349189CF}">
  <ds:schemaRefs>
    <ds:schemaRef ds:uri="http://schemas.microsoft.com/office/2006/metadata/longProperties"/>
  </ds:schemaRefs>
</ds:datastoreItem>
</file>

<file path=customXml/itemProps3.xml><?xml version="1.0" encoding="utf-8"?>
<ds:datastoreItem xmlns:ds="http://schemas.openxmlformats.org/officeDocument/2006/customXml" ds:itemID="{711C92E4-36A9-4AF6-8906-343376898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9BAA97-4348-4FC1-800F-7C1B852D8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CBBDF3-B07C-41B7-85C1-97CBF6B3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COMMITTEE</vt:lpstr>
    </vt:vector>
  </TitlesOfParts>
  <Company>London Borough of Tower Hamlets</Company>
  <LinksUpToDate>false</LinksUpToDate>
  <CharactersWithSpaces>22544</CharactersWithSpaces>
  <SharedDoc>false</SharedDoc>
  <HLinks>
    <vt:vector size="6" baseType="variant">
      <vt:variant>
        <vt:i4>7340096</vt:i4>
      </vt:variant>
      <vt:variant>
        <vt:i4>0</vt:i4>
      </vt:variant>
      <vt:variant>
        <vt:i4>0</vt:i4>
      </vt:variant>
      <vt:variant>
        <vt:i4>5</vt:i4>
      </vt:variant>
      <vt:variant>
        <vt:lpwstr>mailto:Steve.worth@towerhamlets.gov.uk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Funding Formula 2019-20</dc:title>
  <dc:subject/>
  <dc:creator>DOEFBIK</dc:creator>
  <cp:keywords/>
  <cp:lastModifiedBy>Phillip Nduoyo</cp:lastModifiedBy>
  <cp:revision>4</cp:revision>
  <cp:lastPrinted>2018-09-12T13:45:00Z</cp:lastPrinted>
  <dcterms:created xsi:type="dcterms:W3CDTF">2021-01-12T16:35:00Z</dcterms:created>
  <dcterms:modified xsi:type="dcterms:W3CDTF">2021-01-13T09:23:00Z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Sharon Bailey</vt:lpwstr>
  </property>
  <property fmtid="{D5CDD505-2E9C-101B-9397-08002B2CF9AE}" pid="3" name="Order">
    <vt:lpwstr>3153400.00000000</vt:lpwstr>
  </property>
  <property fmtid="{D5CDD505-2E9C-101B-9397-08002B2CF9AE}" pid="4" name="display_urn:schemas-microsoft-com:office:office#Author">
    <vt:lpwstr>Sharon Bailey</vt:lpwstr>
  </property>
</Properties>
</file>