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29B05CB6" w:rsidR="00AA79F3" w:rsidRPr="007C4F08" w:rsidRDefault="00D13A9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t>DSG new grants</w:t>
          </w:r>
        </w:sdtContent>
      </w:sdt>
    </w:p>
    <w:p w14:paraId="4B137493" w14:textId="3D881305" w:rsidR="00CC4CE1" w:rsidRPr="00BE6FB3" w:rsidRDefault="00043B69" w:rsidP="00AA79F3">
      <w:pPr>
        <w:pStyle w:val="Subtitle"/>
        <w:rPr>
          <w:szCs w:val="28"/>
        </w:rPr>
      </w:pPr>
      <w:r>
        <w:rPr>
          <w:szCs w:val="28"/>
        </w:rPr>
        <w:t xml:space="preserve">Dedicated Schools Grant </w:t>
      </w:r>
      <w:r w:rsidR="00860FA8">
        <w:rPr>
          <w:szCs w:val="28"/>
        </w:rPr>
        <w:t xml:space="preserve">and new grants </w:t>
      </w:r>
      <w:r>
        <w:rPr>
          <w:szCs w:val="28"/>
        </w:rPr>
        <w:t>– update 2023-24</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3-10-11T00:00:00Z">
          <w:dateFormat w:val="dd/MM/yyyy"/>
          <w:lid w:val="en-GB"/>
          <w:storeMappedDataAs w:val="dateTime"/>
          <w:calendar w:val="gregorian"/>
        </w:date>
      </w:sdtPr>
      <w:sdtEndPr/>
      <w:sdtContent>
        <w:p w14:paraId="491545AC" w14:textId="5C3423B5" w:rsidR="00CC4CE1" w:rsidRPr="00CC4CE1" w:rsidRDefault="00710735" w:rsidP="00101F8B">
          <w:r>
            <w:t>11/10/2023</w:t>
          </w:r>
        </w:p>
      </w:sdtContent>
    </w:sdt>
    <w:p w14:paraId="16189B94" w14:textId="77777777" w:rsidR="00CC4CE1" w:rsidRDefault="00CC4CE1" w:rsidP="00101F8B"/>
    <w:p w14:paraId="6A503581" w14:textId="77777777" w:rsidR="00860FA8" w:rsidRDefault="00860FA8" w:rsidP="00860FA8">
      <w:pPr>
        <w:spacing w:after="120"/>
        <w:rPr>
          <w:b/>
        </w:rPr>
      </w:pPr>
      <w:r w:rsidRPr="00CC3A17">
        <w:rPr>
          <w:b/>
        </w:rPr>
        <w:t>Executive Summary</w:t>
      </w:r>
    </w:p>
    <w:p w14:paraId="222196BE" w14:textId="2D8F38D8" w:rsidR="00860FA8" w:rsidRDefault="00860FA8" w:rsidP="00860FA8">
      <w:pPr>
        <w:jc w:val="both"/>
      </w:pPr>
      <w:r>
        <w:t xml:space="preserve">The </w:t>
      </w:r>
      <w:r w:rsidR="00C85AD7">
        <w:rPr>
          <w:szCs w:val="28"/>
        </w:rPr>
        <w:t>Dedicated Schools Grant (</w:t>
      </w:r>
      <w:r>
        <w:t>DSG</w:t>
      </w:r>
      <w:r w:rsidR="00C85AD7">
        <w:t>)</w:t>
      </w:r>
      <w:r>
        <w:t xml:space="preserve"> for 2023-24 has been updated with in-year adjustments and the impact of January censes data.  </w:t>
      </w:r>
    </w:p>
    <w:p w14:paraId="7DA0BAAE" w14:textId="595B8CAE" w:rsidR="00860FA8" w:rsidRPr="00CC3A17" w:rsidRDefault="00860FA8" w:rsidP="00860FA8">
      <w:pPr>
        <w:jc w:val="both"/>
      </w:pPr>
      <w:r>
        <w:t>Additional grants announced for 2023-24 are outlined for information.</w:t>
      </w:r>
    </w:p>
    <w:p w14:paraId="1A26A63D" w14:textId="77777777" w:rsidR="00860FA8" w:rsidRPr="0004045E" w:rsidRDefault="00860FA8" w:rsidP="00860FA8">
      <w:pPr>
        <w:spacing w:after="120"/>
        <w:rPr>
          <w:b/>
        </w:rPr>
      </w:pPr>
    </w:p>
    <w:p w14:paraId="57C443E8" w14:textId="77777777" w:rsidR="00860FA8" w:rsidRPr="00CC3A17" w:rsidRDefault="00860FA8" w:rsidP="00860FA8">
      <w:pPr>
        <w:spacing w:after="120"/>
        <w:rPr>
          <w:b/>
        </w:rPr>
      </w:pPr>
      <w:r w:rsidRPr="00CC3A17">
        <w:rPr>
          <w:b/>
        </w:rPr>
        <w:t xml:space="preserve">Details of recommendations and timescales for decisions: </w:t>
      </w:r>
    </w:p>
    <w:p w14:paraId="1F6DFBA4" w14:textId="77777777" w:rsidR="00860FA8" w:rsidRPr="00CC3A17" w:rsidRDefault="00860FA8" w:rsidP="00860FA8">
      <w:pPr>
        <w:spacing w:after="120"/>
      </w:pPr>
      <w:r>
        <w:rPr>
          <w:bCs/>
          <w:sz w:val="22"/>
          <w:szCs w:val="22"/>
        </w:rPr>
        <w:t xml:space="preserve">Schools Forum are asked to </w:t>
      </w:r>
      <w:r w:rsidRPr="00171387">
        <w:rPr>
          <w:bCs/>
          <w:sz w:val="22"/>
          <w:szCs w:val="22"/>
        </w:rPr>
        <w:t xml:space="preserve">consider and </w:t>
      </w:r>
      <w:r>
        <w:rPr>
          <w:bCs/>
          <w:sz w:val="22"/>
          <w:szCs w:val="22"/>
        </w:rPr>
        <w:t>note.</w:t>
      </w:r>
    </w:p>
    <w:p w14:paraId="6A186196" w14:textId="77777777" w:rsidR="00CC4CE1" w:rsidRDefault="00CC4CE1" w:rsidP="00101F8B"/>
    <w:p w14:paraId="668674A3" w14:textId="77777777" w:rsidR="00710735" w:rsidRPr="00437FB4" w:rsidRDefault="00710735" w:rsidP="00710735">
      <w:pPr>
        <w:pStyle w:val="ListParagraph"/>
        <w:rPr>
          <w:rFonts w:cs="Arial"/>
          <w:color w:val="000000"/>
        </w:rPr>
      </w:pPr>
    </w:p>
    <w:p w14:paraId="4F357D7C" w14:textId="77777777" w:rsidR="00710735" w:rsidRDefault="00710735" w:rsidP="00710735">
      <w:pPr>
        <w:spacing w:line="259" w:lineRule="auto"/>
        <w:rPr>
          <w:color w:val="000000"/>
        </w:rPr>
      </w:pPr>
      <w:r>
        <w:rPr>
          <w:color w:val="000000"/>
        </w:rPr>
        <w:br w:type="page"/>
      </w:r>
    </w:p>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306C16E3" w:rsidR="00C162AA" w:rsidRDefault="00C162AA" w:rsidP="00C162AA">
          <w:pPr>
            <w:pStyle w:val="TOCHeading"/>
            <w:spacing w:before="0" w:line="240" w:lineRule="auto"/>
          </w:pPr>
        </w:p>
        <w:p w14:paraId="00772E5A" w14:textId="38FE8DC7" w:rsidR="00101F8B" w:rsidRDefault="00D13A90"/>
      </w:sdtContent>
    </w:sdt>
    <w:p w14:paraId="0FAAE5DD" w14:textId="77777777" w:rsidR="00860FA8" w:rsidRPr="00C162AA" w:rsidRDefault="00860FA8" w:rsidP="00860FA8">
      <w:pPr>
        <w:pStyle w:val="Heading2"/>
        <w:numPr>
          <w:ilvl w:val="0"/>
          <w:numId w:val="1"/>
        </w:numPr>
      </w:pPr>
      <w:r>
        <w:t xml:space="preserve">DSG Budget for 2023-2024 </w:t>
      </w:r>
    </w:p>
    <w:p w14:paraId="2A410D7A" w14:textId="13D306E1" w:rsidR="00860FA8" w:rsidRDefault="00860FA8" w:rsidP="00860FA8">
      <w:pPr>
        <w:pStyle w:val="ListParagraph"/>
        <w:ind w:left="360"/>
        <w:rPr>
          <w:rFonts w:cs="Arial"/>
          <w:b/>
          <w:bCs/>
        </w:rPr>
      </w:pPr>
    </w:p>
    <w:p w14:paraId="1CAED205" w14:textId="6B2C0BF1" w:rsidR="00860FA8" w:rsidRDefault="00860FA8" w:rsidP="00860FA8">
      <w:pPr>
        <w:pStyle w:val="ListParagraph"/>
        <w:numPr>
          <w:ilvl w:val="1"/>
          <w:numId w:val="1"/>
        </w:numPr>
        <w:autoSpaceDE w:val="0"/>
        <w:autoSpaceDN w:val="0"/>
        <w:adjustRightInd w:val="0"/>
        <w:ind w:left="426"/>
        <w:rPr>
          <w:color w:val="000000"/>
        </w:rPr>
      </w:pPr>
      <w:r w:rsidRPr="00C162AA">
        <w:rPr>
          <w:color w:val="000000"/>
        </w:rPr>
        <w:t xml:space="preserve">The </w:t>
      </w:r>
      <w:r>
        <w:rPr>
          <w:color w:val="000000"/>
        </w:rPr>
        <w:t>DSG was issued to the local authority with final figures for the Schools</w:t>
      </w:r>
      <w:r w:rsidR="00CC1EAD">
        <w:rPr>
          <w:color w:val="000000"/>
        </w:rPr>
        <w:t>’</w:t>
      </w:r>
      <w:r>
        <w:rPr>
          <w:color w:val="000000"/>
        </w:rPr>
        <w:t xml:space="preserve"> Block and Central Services for Schools Block in December 2022.  Once the schools</w:t>
      </w:r>
      <w:r w:rsidR="00CC1EAD">
        <w:rPr>
          <w:color w:val="000000"/>
        </w:rPr>
        <w:t>’</w:t>
      </w:r>
      <w:r>
        <w:rPr>
          <w:color w:val="000000"/>
        </w:rPr>
        <w:t xml:space="preserve"> budget was confirmed and agreed in the spring of 2023 the recoupment figure is identified and accounted for in the grant determination. The subsequent conversion of Canon Barnett to academy status, led to an increase in recoupment confirmed in July 2023.</w:t>
      </w:r>
    </w:p>
    <w:p w14:paraId="79BBD557" w14:textId="77777777" w:rsidR="00860FA8" w:rsidRDefault="00860FA8" w:rsidP="00860FA8">
      <w:pPr>
        <w:pStyle w:val="ListParagraph"/>
        <w:autoSpaceDE w:val="0"/>
        <w:autoSpaceDN w:val="0"/>
        <w:adjustRightInd w:val="0"/>
        <w:ind w:left="426"/>
        <w:rPr>
          <w:color w:val="000000"/>
        </w:rPr>
      </w:pPr>
    </w:p>
    <w:p w14:paraId="35F46E68" w14:textId="4FC50641" w:rsidR="00860FA8" w:rsidRDefault="00860FA8" w:rsidP="00860FA8">
      <w:pPr>
        <w:pStyle w:val="ListParagraph"/>
        <w:numPr>
          <w:ilvl w:val="1"/>
          <w:numId w:val="1"/>
        </w:numPr>
        <w:autoSpaceDE w:val="0"/>
        <w:autoSpaceDN w:val="0"/>
        <w:adjustRightInd w:val="0"/>
        <w:ind w:left="426"/>
        <w:rPr>
          <w:color w:val="000000"/>
        </w:rPr>
      </w:pPr>
      <w:r>
        <w:rPr>
          <w:color w:val="000000"/>
        </w:rPr>
        <w:t xml:space="preserve">The High Needs Block </w:t>
      </w:r>
      <w:r w:rsidR="00CC1EAD">
        <w:rPr>
          <w:color w:val="000000"/>
        </w:rPr>
        <w:t>NFF was</w:t>
      </w:r>
      <w:r>
        <w:rPr>
          <w:color w:val="000000"/>
        </w:rPr>
        <w:t xml:space="preserve"> updated in July to account for </w:t>
      </w:r>
      <w:r w:rsidR="00CC1EAD">
        <w:rPr>
          <w:color w:val="000000"/>
        </w:rPr>
        <w:t xml:space="preserve">HN </w:t>
      </w:r>
      <w:r>
        <w:rPr>
          <w:color w:val="000000"/>
        </w:rPr>
        <w:t>p</w:t>
      </w:r>
      <w:r w:rsidR="00CC1EAD">
        <w:rPr>
          <w:color w:val="000000"/>
        </w:rPr>
        <w:t>upil</w:t>
      </w:r>
      <w:r>
        <w:rPr>
          <w:color w:val="000000"/>
        </w:rPr>
        <w:t xml:space="preserve"> number changes agreed between </w:t>
      </w:r>
      <w:r w:rsidR="00CC1EAD">
        <w:rPr>
          <w:color w:val="000000"/>
        </w:rPr>
        <w:t xml:space="preserve">Tower Hamlets schools </w:t>
      </w:r>
      <w:r>
        <w:rPr>
          <w:color w:val="000000"/>
        </w:rPr>
        <w:t xml:space="preserve">and </w:t>
      </w:r>
      <w:r w:rsidR="00CC1EAD">
        <w:rPr>
          <w:color w:val="000000"/>
        </w:rPr>
        <w:t>other local authorities.</w:t>
      </w:r>
      <w:r>
        <w:rPr>
          <w:color w:val="000000"/>
        </w:rPr>
        <w:t xml:space="preserve">  The </w:t>
      </w:r>
      <w:r w:rsidR="00CC1EAD">
        <w:rPr>
          <w:color w:val="000000"/>
        </w:rPr>
        <w:t>i</w:t>
      </w:r>
      <w:r>
        <w:rPr>
          <w:color w:val="000000"/>
        </w:rPr>
        <w:t xml:space="preserve">mport / export adjustment is made to account for </w:t>
      </w:r>
      <w:r w:rsidR="00CC1EAD">
        <w:rPr>
          <w:color w:val="000000"/>
        </w:rPr>
        <w:t>o</w:t>
      </w:r>
      <w:r>
        <w:rPr>
          <w:color w:val="000000"/>
        </w:rPr>
        <w:t xml:space="preserve">ut borough high needs pupils attending LBTH provision (Import) less LBTH pupils that are educated in other boroughs (export).  Tower Hamlets is a net </w:t>
      </w:r>
      <w:proofErr w:type="gramStart"/>
      <w:r>
        <w:rPr>
          <w:color w:val="000000"/>
        </w:rPr>
        <w:t>importer,</w:t>
      </w:r>
      <w:proofErr w:type="gramEnd"/>
      <w:r>
        <w:rPr>
          <w:color w:val="000000"/>
        </w:rPr>
        <w:t xml:space="preserve"> hence </w:t>
      </w:r>
      <w:r w:rsidR="00CC1EAD">
        <w:rPr>
          <w:color w:val="000000"/>
        </w:rPr>
        <w:t xml:space="preserve">this is </w:t>
      </w:r>
      <w:r>
        <w:rPr>
          <w:color w:val="000000"/>
        </w:rPr>
        <w:t>an increase to the block budget</w:t>
      </w:r>
      <w:r w:rsidR="00C85AD7">
        <w:rPr>
          <w:color w:val="000000"/>
        </w:rPr>
        <w:t xml:space="preserve"> (£114k)</w:t>
      </w:r>
      <w:r>
        <w:rPr>
          <w:color w:val="000000"/>
        </w:rPr>
        <w:t>.</w:t>
      </w:r>
    </w:p>
    <w:p w14:paraId="7D3C52BC" w14:textId="77777777" w:rsidR="00860FA8" w:rsidRDefault="00860FA8" w:rsidP="00860FA8">
      <w:pPr>
        <w:pStyle w:val="ListParagraph"/>
        <w:autoSpaceDE w:val="0"/>
        <w:autoSpaceDN w:val="0"/>
        <w:adjustRightInd w:val="0"/>
        <w:ind w:left="426"/>
        <w:rPr>
          <w:color w:val="000000"/>
        </w:rPr>
      </w:pPr>
    </w:p>
    <w:p w14:paraId="0E3EF707" w14:textId="4CC7FAE1" w:rsidR="00860FA8" w:rsidRDefault="00CC1EAD" w:rsidP="00860FA8">
      <w:pPr>
        <w:pStyle w:val="ListParagraph"/>
        <w:numPr>
          <w:ilvl w:val="1"/>
          <w:numId w:val="1"/>
        </w:numPr>
        <w:autoSpaceDE w:val="0"/>
        <w:autoSpaceDN w:val="0"/>
        <w:adjustRightInd w:val="0"/>
        <w:ind w:left="426"/>
        <w:rPr>
          <w:color w:val="000000"/>
        </w:rPr>
      </w:pPr>
      <w:r>
        <w:rPr>
          <w:color w:val="000000"/>
        </w:rPr>
        <w:t>The High Needs Block also includes recoupment for direct</w:t>
      </w:r>
      <w:r w:rsidR="00C85AD7">
        <w:rPr>
          <w:color w:val="000000"/>
        </w:rPr>
        <w:t>ly</w:t>
      </w:r>
      <w:r>
        <w:rPr>
          <w:color w:val="000000"/>
        </w:rPr>
        <w:t xml:space="preserve"> funded places, th</w:t>
      </w:r>
      <w:r w:rsidR="00C85AD7">
        <w:rPr>
          <w:color w:val="000000"/>
        </w:rPr>
        <w:t xml:space="preserve">ese were updated in March for additional </w:t>
      </w:r>
      <w:r w:rsidR="00CF024F">
        <w:rPr>
          <w:color w:val="000000"/>
        </w:rPr>
        <w:t>places agreed in</w:t>
      </w:r>
      <w:r w:rsidR="00C85AD7">
        <w:rPr>
          <w:color w:val="000000"/>
        </w:rPr>
        <w:t xml:space="preserve"> further education and other academy </w:t>
      </w:r>
      <w:r w:rsidR="00CF024F">
        <w:rPr>
          <w:color w:val="000000"/>
        </w:rPr>
        <w:t>schools</w:t>
      </w:r>
      <w:r w:rsidR="00C85AD7">
        <w:rPr>
          <w:color w:val="000000"/>
        </w:rPr>
        <w:t xml:space="preserve"> (-£488k).  Contra to this, </w:t>
      </w:r>
      <w:r>
        <w:rPr>
          <w:color w:val="000000"/>
        </w:rPr>
        <w:t>in July</w:t>
      </w:r>
      <w:r w:rsidR="00C85AD7">
        <w:rPr>
          <w:color w:val="000000"/>
        </w:rPr>
        <w:t>, f</w:t>
      </w:r>
      <w:r w:rsidR="00860FA8">
        <w:rPr>
          <w:color w:val="000000"/>
        </w:rPr>
        <w:t xml:space="preserve">ollowing the part year closure of an academy alternative provision, the associated place funding recoupment was returned to the LA High </w:t>
      </w:r>
      <w:r>
        <w:rPr>
          <w:color w:val="000000"/>
        </w:rPr>
        <w:t>N</w:t>
      </w:r>
      <w:r w:rsidR="00860FA8">
        <w:rPr>
          <w:color w:val="000000"/>
        </w:rPr>
        <w:t xml:space="preserve">eeds </w:t>
      </w:r>
      <w:r>
        <w:rPr>
          <w:color w:val="000000"/>
        </w:rPr>
        <w:t>B</w:t>
      </w:r>
      <w:r w:rsidR="00860FA8">
        <w:rPr>
          <w:color w:val="000000"/>
        </w:rPr>
        <w:t>lock management</w:t>
      </w:r>
      <w:r w:rsidR="00C85AD7">
        <w:rPr>
          <w:color w:val="000000"/>
        </w:rPr>
        <w:t xml:space="preserve"> (£180k)</w:t>
      </w:r>
      <w:r w:rsidR="00860FA8">
        <w:rPr>
          <w:color w:val="000000"/>
        </w:rPr>
        <w:t>.</w:t>
      </w:r>
      <w:r w:rsidR="00C85AD7">
        <w:rPr>
          <w:color w:val="000000"/>
        </w:rPr>
        <w:t xml:space="preserve"> </w:t>
      </w:r>
    </w:p>
    <w:p w14:paraId="20977D6B" w14:textId="77777777" w:rsidR="00860FA8" w:rsidRPr="00AA189C" w:rsidRDefault="00860FA8" w:rsidP="00860FA8">
      <w:pPr>
        <w:pStyle w:val="ListParagraph"/>
        <w:rPr>
          <w:color w:val="000000"/>
        </w:rPr>
      </w:pPr>
    </w:p>
    <w:p w14:paraId="6EB33C59" w14:textId="77777777" w:rsidR="00860FA8" w:rsidRPr="00C162AA" w:rsidRDefault="00860FA8" w:rsidP="00860FA8">
      <w:pPr>
        <w:pStyle w:val="ListParagraph"/>
        <w:numPr>
          <w:ilvl w:val="1"/>
          <w:numId w:val="1"/>
        </w:numPr>
        <w:autoSpaceDE w:val="0"/>
        <w:autoSpaceDN w:val="0"/>
        <w:adjustRightInd w:val="0"/>
        <w:ind w:left="426"/>
        <w:rPr>
          <w:color w:val="000000"/>
        </w:rPr>
      </w:pPr>
      <w:r>
        <w:rPr>
          <w:color w:val="000000"/>
        </w:rPr>
        <w:t xml:space="preserve">The Early years block adjustments all relate to the impact of pupil numbers recorded in the January 2023 census: </w:t>
      </w:r>
      <w:proofErr w:type="gramStart"/>
      <w:r>
        <w:rPr>
          <w:color w:val="000000"/>
        </w:rPr>
        <w:t>2 year-olds</w:t>
      </w:r>
      <w:proofErr w:type="gramEnd"/>
      <w:r>
        <w:rPr>
          <w:color w:val="000000"/>
        </w:rPr>
        <w:t xml:space="preserve"> and 3 &amp; 4 year-olds eligible for additional hours have increased, whist free entitlement 3 &amp; 4 year olds &amp; maintained nursery supplement has decreased.  This largely balances out and has not had an impact on the funding rates LBTH have set.</w:t>
      </w:r>
    </w:p>
    <w:p w14:paraId="6D1F114C" w14:textId="77777777" w:rsidR="00860FA8" w:rsidRPr="00C162AA" w:rsidRDefault="00860FA8" w:rsidP="00860FA8">
      <w:pPr>
        <w:pStyle w:val="ListParagraph"/>
        <w:autoSpaceDE w:val="0"/>
        <w:autoSpaceDN w:val="0"/>
        <w:adjustRightInd w:val="0"/>
        <w:ind w:left="426"/>
        <w:rPr>
          <w:color w:val="000000"/>
        </w:rPr>
      </w:pPr>
    </w:p>
    <w:p w14:paraId="5BE79143" w14:textId="77777777" w:rsidR="00860FA8" w:rsidRDefault="00860FA8" w:rsidP="00860FA8">
      <w:pPr>
        <w:pStyle w:val="ListParagraph"/>
        <w:autoSpaceDE w:val="0"/>
        <w:autoSpaceDN w:val="0"/>
        <w:adjustRightInd w:val="0"/>
        <w:ind w:left="426"/>
        <w:rPr>
          <w:color w:val="000000"/>
        </w:rPr>
      </w:pPr>
      <w:r>
        <w:rPr>
          <w:color w:val="000000"/>
        </w:rPr>
        <w:t xml:space="preserve">These adjustments are summarised below in table </w:t>
      </w:r>
      <w:proofErr w:type="gramStart"/>
      <w:r>
        <w:rPr>
          <w:color w:val="000000"/>
        </w:rPr>
        <w:t>2</w:t>
      </w:r>
      <w:proofErr w:type="gramEnd"/>
    </w:p>
    <w:p w14:paraId="5DBC8C88" w14:textId="77777777" w:rsidR="00860FA8" w:rsidRDefault="00860FA8" w:rsidP="00860FA8">
      <w:pPr>
        <w:pStyle w:val="ListParagraph"/>
        <w:autoSpaceDE w:val="0"/>
        <w:autoSpaceDN w:val="0"/>
        <w:adjustRightInd w:val="0"/>
        <w:ind w:left="426"/>
        <w:rPr>
          <w:color w:val="000000"/>
        </w:rPr>
      </w:pPr>
    </w:p>
    <w:tbl>
      <w:tblPr>
        <w:tblStyle w:val="TableGrid"/>
        <w:tblW w:w="9782" w:type="dxa"/>
        <w:tblLook w:val="04A0" w:firstRow="1" w:lastRow="0" w:firstColumn="1" w:lastColumn="0" w:noHBand="0" w:noVBand="1"/>
      </w:tblPr>
      <w:tblGrid>
        <w:gridCol w:w="2127"/>
        <w:gridCol w:w="1418"/>
        <w:gridCol w:w="1559"/>
        <w:gridCol w:w="1559"/>
        <w:gridCol w:w="1559"/>
        <w:gridCol w:w="1560"/>
      </w:tblGrid>
      <w:tr w:rsidR="00860FA8" w:rsidRPr="00BC54B3" w14:paraId="3993FA63" w14:textId="77777777" w:rsidTr="002E3BAE">
        <w:trPr>
          <w:trHeight w:val="780"/>
        </w:trPr>
        <w:tc>
          <w:tcPr>
            <w:tcW w:w="2127" w:type="dxa"/>
            <w:noWrap/>
            <w:hideMark/>
          </w:tcPr>
          <w:p w14:paraId="25682B67" w14:textId="77777777" w:rsidR="00860FA8" w:rsidRPr="005B66E8" w:rsidRDefault="00860FA8" w:rsidP="00FE358B">
            <w:pPr>
              <w:rPr>
                <w:rFonts w:asciiTheme="minorHAnsi" w:eastAsia="Times New Roman" w:hAnsiTheme="minorHAnsi" w:cstheme="minorHAnsi"/>
                <w:color w:val="000000"/>
                <w:sz w:val="20"/>
                <w:szCs w:val="20"/>
              </w:rPr>
            </w:pPr>
            <w:r w:rsidRPr="005B66E8">
              <w:rPr>
                <w:rFonts w:asciiTheme="minorHAnsi" w:eastAsia="Times New Roman" w:hAnsiTheme="minorHAnsi" w:cstheme="minorHAnsi"/>
                <w:color w:val="000000"/>
                <w:sz w:val="20"/>
                <w:szCs w:val="20"/>
              </w:rPr>
              <w:t>Table 2</w:t>
            </w:r>
          </w:p>
          <w:p w14:paraId="2855DAC6" w14:textId="77777777" w:rsidR="00860FA8" w:rsidRPr="005B66E8" w:rsidRDefault="00860FA8" w:rsidP="00FE358B">
            <w:pPr>
              <w:rPr>
                <w:rFonts w:asciiTheme="minorHAnsi" w:eastAsia="Times New Roman" w:hAnsiTheme="minorHAnsi" w:cstheme="minorHAnsi"/>
                <w:color w:val="000000"/>
                <w:sz w:val="20"/>
                <w:szCs w:val="20"/>
              </w:rPr>
            </w:pPr>
          </w:p>
          <w:p w14:paraId="00B694EE" w14:textId="77777777" w:rsidR="00860FA8" w:rsidRPr="005B66E8" w:rsidRDefault="00860FA8" w:rsidP="00FE358B">
            <w:pPr>
              <w:rPr>
                <w:rFonts w:asciiTheme="minorHAnsi" w:eastAsia="Times New Roman" w:hAnsiTheme="minorHAnsi" w:cstheme="minorHAnsi"/>
                <w:color w:val="000000"/>
                <w:sz w:val="20"/>
                <w:szCs w:val="20"/>
              </w:rPr>
            </w:pPr>
            <w:r w:rsidRPr="005B66E8">
              <w:rPr>
                <w:rFonts w:asciiTheme="minorHAnsi" w:eastAsia="Times New Roman" w:hAnsiTheme="minorHAnsi" w:cstheme="minorHAnsi"/>
                <w:color w:val="000000"/>
                <w:sz w:val="20"/>
                <w:szCs w:val="20"/>
              </w:rPr>
              <w:t>2023-2024 DSG</w:t>
            </w:r>
          </w:p>
        </w:tc>
        <w:tc>
          <w:tcPr>
            <w:tcW w:w="1418" w:type="dxa"/>
            <w:hideMark/>
          </w:tcPr>
          <w:p w14:paraId="777C2E5F" w14:textId="77777777" w:rsidR="00860FA8" w:rsidRPr="005B66E8" w:rsidRDefault="00860FA8" w:rsidP="00FE358B">
            <w:pPr>
              <w:jc w:val="center"/>
              <w:rPr>
                <w:rFonts w:asciiTheme="minorHAnsi" w:eastAsia="Times New Roman" w:hAnsiTheme="minorHAnsi" w:cstheme="minorHAnsi"/>
                <w:b/>
                <w:bCs/>
                <w:color w:val="000000"/>
                <w:sz w:val="20"/>
                <w:szCs w:val="20"/>
              </w:rPr>
            </w:pPr>
            <w:r w:rsidRPr="005B66E8">
              <w:rPr>
                <w:rFonts w:asciiTheme="minorHAnsi" w:eastAsia="Times New Roman" w:hAnsiTheme="minorHAnsi" w:cstheme="minorHAnsi"/>
                <w:b/>
                <w:bCs/>
                <w:color w:val="000000"/>
                <w:sz w:val="20"/>
                <w:szCs w:val="20"/>
              </w:rPr>
              <w:t>Schools block (£000)</w:t>
            </w:r>
          </w:p>
        </w:tc>
        <w:tc>
          <w:tcPr>
            <w:tcW w:w="1559" w:type="dxa"/>
            <w:hideMark/>
          </w:tcPr>
          <w:p w14:paraId="720BF064" w14:textId="77777777" w:rsidR="00860FA8" w:rsidRPr="005B66E8" w:rsidRDefault="00860FA8" w:rsidP="00FE358B">
            <w:pPr>
              <w:jc w:val="center"/>
              <w:rPr>
                <w:rFonts w:asciiTheme="minorHAnsi" w:eastAsia="Times New Roman" w:hAnsiTheme="minorHAnsi" w:cstheme="minorHAnsi"/>
                <w:b/>
                <w:bCs/>
                <w:color w:val="000000"/>
                <w:sz w:val="20"/>
                <w:szCs w:val="20"/>
              </w:rPr>
            </w:pPr>
            <w:r w:rsidRPr="005B66E8">
              <w:rPr>
                <w:rFonts w:asciiTheme="minorHAnsi" w:eastAsia="Times New Roman" w:hAnsiTheme="minorHAnsi" w:cstheme="minorHAnsi"/>
                <w:b/>
                <w:bCs/>
                <w:color w:val="000000"/>
                <w:sz w:val="20"/>
                <w:szCs w:val="20"/>
              </w:rPr>
              <w:t>Central school services block (£000)</w:t>
            </w:r>
          </w:p>
        </w:tc>
        <w:tc>
          <w:tcPr>
            <w:tcW w:w="1559" w:type="dxa"/>
            <w:hideMark/>
          </w:tcPr>
          <w:p w14:paraId="4F1217B3" w14:textId="77777777" w:rsidR="00860FA8" w:rsidRDefault="00860FA8" w:rsidP="00FE358B">
            <w:pPr>
              <w:jc w:val="center"/>
              <w:rPr>
                <w:rFonts w:asciiTheme="minorHAnsi" w:eastAsia="Times New Roman" w:hAnsiTheme="minorHAnsi" w:cstheme="minorHAnsi"/>
                <w:b/>
                <w:bCs/>
                <w:color w:val="000000"/>
                <w:sz w:val="20"/>
                <w:szCs w:val="20"/>
              </w:rPr>
            </w:pPr>
            <w:r w:rsidRPr="005B66E8">
              <w:rPr>
                <w:rFonts w:asciiTheme="minorHAnsi" w:eastAsia="Times New Roman" w:hAnsiTheme="minorHAnsi" w:cstheme="minorHAnsi"/>
                <w:b/>
                <w:bCs/>
                <w:color w:val="000000"/>
                <w:sz w:val="20"/>
                <w:szCs w:val="20"/>
              </w:rPr>
              <w:t xml:space="preserve">High needs block </w:t>
            </w:r>
          </w:p>
          <w:p w14:paraId="0424131C" w14:textId="77777777" w:rsidR="00860FA8" w:rsidRPr="005B66E8" w:rsidRDefault="00860FA8" w:rsidP="00FE358B">
            <w:pPr>
              <w:jc w:val="center"/>
              <w:rPr>
                <w:rFonts w:asciiTheme="minorHAnsi" w:eastAsia="Times New Roman" w:hAnsiTheme="minorHAnsi" w:cstheme="minorHAnsi"/>
                <w:b/>
                <w:bCs/>
                <w:color w:val="000000"/>
                <w:sz w:val="20"/>
                <w:szCs w:val="20"/>
              </w:rPr>
            </w:pPr>
            <w:r w:rsidRPr="005B66E8">
              <w:rPr>
                <w:rFonts w:asciiTheme="minorHAnsi" w:eastAsia="Times New Roman" w:hAnsiTheme="minorHAnsi" w:cstheme="minorHAnsi"/>
                <w:b/>
                <w:bCs/>
                <w:color w:val="000000"/>
                <w:sz w:val="20"/>
                <w:szCs w:val="20"/>
              </w:rPr>
              <w:t>(£000)</w:t>
            </w:r>
          </w:p>
        </w:tc>
        <w:tc>
          <w:tcPr>
            <w:tcW w:w="1559" w:type="dxa"/>
            <w:hideMark/>
          </w:tcPr>
          <w:p w14:paraId="76FDCDEB" w14:textId="77777777" w:rsidR="00860FA8" w:rsidRDefault="00860FA8" w:rsidP="00FE358B">
            <w:pPr>
              <w:jc w:val="center"/>
              <w:rPr>
                <w:rFonts w:asciiTheme="minorHAnsi" w:eastAsia="Times New Roman" w:hAnsiTheme="minorHAnsi" w:cstheme="minorHAnsi"/>
                <w:b/>
                <w:bCs/>
                <w:color w:val="000000"/>
                <w:sz w:val="20"/>
                <w:szCs w:val="20"/>
              </w:rPr>
            </w:pPr>
            <w:r w:rsidRPr="005B66E8">
              <w:rPr>
                <w:rFonts w:asciiTheme="minorHAnsi" w:eastAsia="Times New Roman" w:hAnsiTheme="minorHAnsi" w:cstheme="minorHAnsi"/>
                <w:b/>
                <w:bCs/>
                <w:color w:val="000000"/>
                <w:sz w:val="20"/>
                <w:szCs w:val="20"/>
              </w:rPr>
              <w:t xml:space="preserve">Early years block </w:t>
            </w:r>
          </w:p>
          <w:p w14:paraId="01D1ABC8" w14:textId="77777777" w:rsidR="00860FA8" w:rsidRPr="005B66E8" w:rsidRDefault="00860FA8" w:rsidP="00FE358B">
            <w:pPr>
              <w:jc w:val="center"/>
              <w:rPr>
                <w:rFonts w:asciiTheme="minorHAnsi" w:eastAsia="Times New Roman" w:hAnsiTheme="minorHAnsi" w:cstheme="minorHAnsi"/>
                <w:b/>
                <w:bCs/>
                <w:color w:val="000000"/>
                <w:sz w:val="20"/>
                <w:szCs w:val="20"/>
              </w:rPr>
            </w:pPr>
            <w:r w:rsidRPr="005B66E8">
              <w:rPr>
                <w:rFonts w:asciiTheme="minorHAnsi" w:eastAsia="Times New Roman" w:hAnsiTheme="minorHAnsi" w:cstheme="minorHAnsi"/>
                <w:b/>
                <w:bCs/>
                <w:color w:val="000000"/>
                <w:sz w:val="20"/>
                <w:szCs w:val="20"/>
              </w:rPr>
              <w:t>(£000)</w:t>
            </w:r>
          </w:p>
        </w:tc>
        <w:tc>
          <w:tcPr>
            <w:tcW w:w="1560" w:type="dxa"/>
            <w:hideMark/>
          </w:tcPr>
          <w:p w14:paraId="63B7D16D" w14:textId="77777777" w:rsidR="00860FA8" w:rsidRDefault="00860FA8" w:rsidP="00FE358B">
            <w:pPr>
              <w:jc w:val="center"/>
              <w:rPr>
                <w:rFonts w:asciiTheme="minorHAnsi" w:eastAsia="Times New Roman" w:hAnsiTheme="minorHAnsi" w:cstheme="minorHAnsi"/>
                <w:b/>
                <w:bCs/>
                <w:color w:val="000000"/>
                <w:sz w:val="20"/>
                <w:szCs w:val="20"/>
              </w:rPr>
            </w:pPr>
            <w:r w:rsidRPr="005B66E8">
              <w:rPr>
                <w:rFonts w:asciiTheme="minorHAnsi" w:eastAsia="Times New Roman" w:hAnsiTheme="minorHAnsi" w:cstheme="minorHAnsi"/>
                <w:b/>
                <w:bCs/>
                <w:color w:val="000000"/>
                <w:sz w:val="20"/>
                <w:szCs w:val="20"/>
              </w:rPr>
              <w:t xml:space="preserve">Total DSG </w:t>
            </w:r>
          </w:p>
          <w:p w14:paraId="1DEA1E2A" w14:textId="77777777" w:rsidR="00860FA8" w:rsidRPr="005B66E8" w:rsidRDefault="00860FA8" w:rsidP="00FE358B">
            <w:pPr>
              <w:jc w:val="center"/>
              <w:rPr>
                <w:rFonts w:asciiTheme="minorHAnsi" w:eastAsia="Times New Roman" w:hAnsiTheme="minorHAnsi" w:cstheme="minorHAnsi"/>
                <w:b/>
                <w:bCs/>
                <w:color w:val="000000"/>
                <w:sz w:val="20"/>
                <w:szCs w:val="20"/>
              </w:rPr>
            </w:pPr>
            <w:r w:rsidRPr="005B66E8">
              <w:rPr>
                <w:rFonts w:asciiTheme="minorHAnsi" w:eastAsia="Times New Roman" w:hAnsiTheme="minorHAnsi" w:cstheme="minorHAnsi"/>
                <w:b/>
                <w:bCs/>
                <w:color w:val="000000"/>
                <w:sz w:val="20"/>
                <w:szCs w:val="20"/>
              </w:rPr>
              <w:t>(£000s)</w:t>
            </w:r>
          </w:p>
        </w:tc>
      </w:tr>
      <w:tr w:rsidR="00860FA8" w:rsidRPr="00BC54B3" w14:paraId="7A9BDA57" w14:textId="77777777" w:rsidTr="002E3BAE">
        <w:trPr>
          <w:trHeight w:val="250"/>
        </w:trPr>
        <w:tc>
          <w:tcPr>
            <w:tcW w:w="2127" w:type="dxa"/>
            <w:noWrap/>
            <w:hideMark/>
          </w:tcPr>
          <w:p w14:paraId="7CF98C97" w14:textId="77777777" w:rsidR="00860FA8" w:rsidRPr="005B66E8" w:rsidRDefault="00860FA8" w:rsidP="00FE358B">
            <w:pPr>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16-12-2022 NFF</w:t>
            </w:r>
          </w:p>
        </w:tc>
        <w:tc>
          <w:tcPr>
            <w:tcW w:w="1418" w:type="dxa"/>
            <w:noWrap/>
            <w:hideMark/>
          </w:tcPr>
          <w:p w14:paraId="0C937AE3"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b/>
                <w:bCs/>
                <w:color w:val="000000"/>
                <w:sz w:val="22"/>
                <w:szCs w:val="22"/>
              </w:rPr>
              <w:t>295,265</w:t>
            </w:r>
          </w:p>
        </w:tc>
        <w:tc>
          <w:tcPr>
            <w:tcW w:w="1559" w:type="dxa"/>
            <w:noWrap/>
            <w:hideMark/>
          </w:tcPr>
          <w:p w14:paraId="10DE1E06"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b/>
                <w:bCs/>
                <w:color w:val="000000"/>
                <w:sz w:val="22"/>
                <w:szCs w:val="22"/>
              </w:rPr>
              <w:t>3,157</w:t>
            </w:r>
          </w:p>
        </w:tc>
        <w:tc>
          <w:tcPr>
            <w:tcW w:w="1559" w:type="dxa"/>
            <w:noWrap/>
            <w:hideMark/>
          </w:tcPr>
          <w:p w14:paraId="34329190"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b/>
                <w:bCs/>
                <w:color w:val="000000"/>
                <w:sz w:val="22"/>
                <w:szCs w:val="22"/>
              </w:rPr>
              <w:t>82,244</w:t>
            </w:r>
          </w:p>
        </w:tc>
        <w:tc>
          <w:tcPr>
            <w:tcW w:w="1559" w:type="dxa"/>
            <w:noWrap/>
            <w:hideMark/>
          </w:tcPr>
          <w:p w14:paraId="130722CC"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b/>
                <w:bCs/>
                <w:color w:val="000000"/>
                <w:sz w:val="22"/>
                <w:szCs w:val="22"/>
              </w:rPr>
              <w:t>30,161</w:t>
            </w:r>
          </w:p>
        </w:tc>
        <w:tc>
          <w:tcPr>
            <w:tcW w:w="1560" w:type="dxa"/>
            <w:noWrap/>
            <w:hideMark/>
          </w:tcPr>
          <w:p w14:paraId="13CEABA7"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b/>
                <w:bCs/>
                <w:color w:val="000000"/>
                <w:sz w:val="22"/>
                <w:szCs w:val="22"/>
              </w:rPr>
              <w:t>410,827</w:t>
            </w:r>
          </w:p>
        </w:tc>
      </w:tr>
      <w:tr w:rsidR="00860FA8" w:rsidRPr="00BC54B3" w14:paraId="4202BD06" w14:textId="77777777" w:rsidTr="002E3BAE">
        <w:trPr>
          <w:trHeight w:val="250"/>
        </w:trPr>
        <w:tc>
          <w:tcPr>
            <w:tcW w:w="2127" w:type="dxa"/>
            <w:noWrap/>
            <w:hideMark/>
          </w:tcPr>
          <w:p w14:paraId="4814300B" w14:textId="77777777" w:rsidR="00860FA8" w:rsidRPr="005B66E8" w:rsidRDefault="00860FA8" w:rsidP="00FE358B">
            <w:pPr>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NNDR removal</w:t>
            </w:r>
          </w:p>
        </w:tc>
        <w:tc>
          <w:tcPr>
            <w:tcW w:w="1418" w:type="dxa"/>
            <w:noWrap/>
            <w:hideMark/>
          </w:tcPr>
          <w:p w14:paraId="4983FA53"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- 3,802.6 </w:t>
            </w:r>
          </w:p>
        </w:tc>
        <w:tc>
          <w:tcPr>
            <w:tcW w:w="1559" w:type="dxa"/>
            <w:noWrap/>
            <w:hideMark/>
          </w:tcPr>
          <w:p w14:paraId="6727244E"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hideMark/>
          </w:tcPr>
          <w:p w14:paraId="63A8C297"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hideMark/>
          </w:tcPr>
          <w:p w14:paraId="5C3DF72A"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60" w:type="dxa"/>
            <w:noWrap/>
            <w:hideMark/>
          </w:tcPr>
          <w:p w14:paraId="503FFE11"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- 3,802.6 </w:t>
            </w:r>
          </w:p>
        </w:tc>
      </w:tr>
      <w:tr w:rsidR="00860FA8" w:rsidRPr="00BC54B3" w14:paraId="4C23DB47" w14:textId="77777777" w:rsidTr="002E3BAE">
        <w:trPr>
          <w:trHeight w:val="250"/>
        </w:trPr>
        <w:tc>
          <w:tcPr>
            <w:tcW w:w="2127" w:type="dxa"/>
            <w:noWrap/>
          </w:tcPr>
          <w:p w14:paraId="7E1A69C4" w14:textId="77777777" w:rsidR="00860FA8" w:rsidRPr="005B66E8" w:rsidRDefault="00860FA8" w:rsidP="00FE358B">
            <w:pPr>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direct funded places</w:t>
            </w:r>
          </w:p>
        </w:tc>
        <w:tc>
          <w:tcPr>
            <w:tcW w:w="1418" w:type="dxa"/>
            <w:noWrap/>
          </w:tcPr>
          <w:p w14:paraId="56587532" w14:textId="77777777" w:rsidR="00860FA8" w:rsidRPr="005B66E8" w:rsidRDefault="00860FA8" w:rsidP="00FE358B">
            <w:pPr>
              <w:jc w:val="right"/>
              <w:rPr>
                <w:rFonts w:asciiTheme="minorHAnsi"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tcPr>
          <w:p w14:paraId="1A94D5B5" w14:textId="77777777" w:rsidR="00860FA8" w:rsidRPr="005B66E8" w:rsidRDefault="00860FA8" w:rsidP="00FE358B">
            <w:pPr>
              <w:jc w:val="right"/>
              <w:rPr>
                <w:rFonts w:asciiTheme="minorHAnsi"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tcPr>
          <w:p w14:paraId="5AD752B9" w14:textId="77777777" w:rsidR="00860FA8" w:rsidRPr="005B66E8" w:rsidRDefault="00860FA8" w:rsidP="00FE358B">
            <w:pPr>
              <w:jc w:val="right"/>
              <w:rPr>
                <w:rFonts w:asciiTheme="minorHAnsi" w:hAnsiTheme="minorHAnsi" w:cstheme="minorHAnsi"/>
                <w:color w:val="000000"/>
                <w:sz w:val="20"/>
                <w:szCs w:val="20"/>
              </w:rPr>
            </w:pPr>
            <w:r w:rsidRPr="005B66E8">
              <w:rPr>
                <w:rFonts w:asciiTheme="minorHAnsi" w:hAnsiTheme="minorHAnsi" w:cstheme="minorHAnsi"/>
                <w:color w:val="000000"/>
                <w:sz w:val="20"/>
                <w:szCs w:val="20"/>
              </w:rPr>
              <w:t xml:space="preserve">- 5,294.0 </w:t>
            </w:r>
          </w:p>
        </w:tc>
        <w:tc>
          <w:tcPr>
            <w:tcW w:w="1559" w:type="dxa"/>
            <w:noWrap/>
          </w:tcPr>
          <w:p w14:paraId="118D7879" w14:textId="77777777" w:rsidR="00860FA8" w:rsidRPr="005B66E8" w:rsidRDefault="00860FA8" w:rsidP="00FE358B">
            <w:pPr>
              <w:jc w:val="right"/>
              <w:rPr>
                <w:rFonts w:asciiTheme="minorHAnsi"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60" w:type="dxa"/>
            <w:noWrap/>
          </w:tcPr>
          <w:p w14:paraId="7B5377B2" w14:textId="77777777" w:rsidR="00860FA8" w:rsidRPr="005B66E8" w:rsidRDefault="00860FA8" w:rsidP="00FE358B">
            <w:pPr>
              <w:jc w:val="right"/>
              <w:rPr>
                <w:rFonts w:asciiTheme="minorHAnsi" w:hAnsiTheme="minorHAnsi" w:cstheme="minorHAnsi"/>
                <w:color w:val="000000"/>
                <w:sz w:val="20"/>
                <w:szCs w:val="20"/>
              </w:rPr>
            </w:pPr>
            <w:r w:rsidRPr="005B66E8">
              <w:rPr>
                <w:rFonts w:asciiTheme="minorHAnsi" w:hAnsiTheme="minorHAnsi" w:cstheme="minorHAnsi"/>
                <w:color w:val="000000"/>
                <w:sz w:val="20"/>
                <w:szCs w:val="20"/>
              </w:rPr>
              <w:t xml:space="preserve">- 5,294.0 </w:t>
            </w:r>
          </w:p>
        </w:tc>
      </w:tr>
      <w:tr w:rsidR="00860FA8" w:rsidRPr="00BC54B3" w14:paraId="633AF9B0" w14:textId="77777777" w:rsidTr="002E3BAE">
        <w:trPr>
          <w:trHeight w:val="330"/>
        </w:trPr>
        <w:tc>
          <w:tcPr>
            <w:tcW w:w="2127" w:type="dxa"/>
            <w:noWrap/>
            <w:hideMark/>
          </w:tcPr>
          <w:p w14:paraId="16A01720" w14:textId="77777777" w:rsidR="00860FA8" w:rsidRPr="005B66E8" w:rsidRDefault="00860FA8" w:rsidP="00FE358B">
            <w:pPr>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0"/>
                <w:szCs w:val="20"/>
              </w:rPr>
              <w:t>to LA   16/12/2022</w:t>
            </w:r>
          </w:p>
        </w:tc>
        <w:tc>
          <w:tcPr>
            <w:tcW w:w="1418" w:type="dxa"/>
            <w:noWrap/>
            <w:hideMark/>
          </w:tcPr>
          <w:p w14:paraId="16A3E26C" w14:textId="77777777" w:rsidR="00860FA8" w:rsidRPr="005B66E8" w:rsidRDefault="00860FA8" w:rsidP="00FE358B">
            <w:pPr>
              <w:jc w:val="right"/>
              <w:rPr>
                <w:rFonts w:asciiTheme="minorHAnsi" w:eastAsia="Times New Roman" w:hAnsiTheme="minorHAnsi" w:cstheme="minorHAnsi"/>
                <w:b/>
                <w:bCs/>
                <w:color w:val="000000"/>
                <w:sz w:val="22"/>
                <w:szCs w:val="22"/>
              </w:rPr>
            </w:pPr>
            <w:r w:rsidRPr="005B66E8">
              <w:rPr>
                <w:rFonts w:asciiTheme="minorHAnsi" w:hAnsiTheme="minorHAnsi" w:cstheme="minorHAnsi"/>
                <w:b/>
                <w:bCs/>
                <w:color w:val="000000"/>
                <w:sz w:val="22"/>
                <w:szCs w:val="22"/>
              </w:rPr>
              <w:t>291,462</w:t>
            </w:r>
          </w:p>
        </w:tc>
        <w:tc>
          <w:tcPr>
            <w:tcW w:w="1559" w:type="dxa"/>
            <w:noWrap/>
            <w:hideMark/>
          </w:tcPr>
          <w:p w14:paraId="2831FAC4" w14:textId="77777777" w:rsidR="00860FA8" w:rsidRPr="005B66E8" w:rsidRDefault="00860FA8" w:rsidP="00FE358B">
            <w:pPr>
              <w:jc w:val="right"/>
              <w:rPr>
                <w:rFonts w:asciiTheme="minorHAnsi" w:eastAsia="Times New Roman" w:hAnsiTheme="minorHAnsi" w:cstheme="minorHAnsi"/>
                <w:b/>
                <w:bCs/>
                <w:color w:val="000000"/>
                <w:sz w:val="22"/>
                <w:szCs w:val="22"/>
              </w:rPr>
            </w:pPr>
            <w:r w:rsidRPr="005B66E8">
              <w:rPr>
                <w:rFonts w:asciiTheme="minorHAnsi" w:hAnsiTheme="minorHAnsi" w:cstheme="minorHAnsi"/>
                <w:b/>
                <w:bCs/>
                <w:color w:val="000000"/>
                <w:sz w:val="22"/>
                <w:szCs w:val="22"/>
              </w:rPr>
              <w:t>3,157</w:t>
            </w:r>
          </w:p>
        </w:tc>
        <w:tc>
          <w:tcPr>
            <w:tcW w:w="1559" w:type="dxa"/>
            <w:noWrap/>
            <w:hideMark/>
          </w:tcPr>
          <w:p w14:paraId="206DE727" w14:textId="77777777" w:rsidR="00860FA8" w:rsidRPr="005B66E8" w:rsidRDefault="00860FA8" w:rsidP="00FE358B">
            <w:pPr>
              <w:jc w:val="right"/>
              <w:rPr>
                <w:rFonts w:asciiTheme="minorHAnsi" w:eastAsia="Times New Roman" w:hAnsiTheme="minorHAnsi" w:cstheme="minorHAnsi"/>
                <w:b/>
                <w:bCs/>
                <w:color w:val="000000"/>
                <w:sz w:val="22"/>
                <w:szCs w:val="22"/>
              </w:rPr>
            </w:pPr>
            <w:r w:rsidRPr="005B66E8">
              <w:rPr>
                <w:rFonts w:asciiTheme="minorHAnsi" w:hAnsiTheme="minorHAnsi" w:cstheme="minorHAnsi"/>
                <w:b/>
                <w:bCs/>
                <w:color w:val="000000"/>
                <w:sz w:val="22"/>
                <w:szCs w:val="22"/>
              </w:rPr>
              <w:t>76,950</w:t>
            </w:r>
          </w:p>
        </w:tc>
        <w:tc>
          <w:tcPr>
            <w:tcW w:w="1559" w:type="dxa"/>
            <w:noWrap/>
            <w:hideMark/>
          </w:tcPr>
          <w:p w14:paraId="3349949E" w14:textId="77777777" w:rsidR="00860FA8" w:rsidRPr="005B66E8" w:rsidRDefault="00860FA8" w:rsidP="00FE358B">
            <w:pPr>
              <w:jc w:val="right"/>
              <w:rPr>
                <w:rFonts w:asciiTheme="minorHAnsi" w:eastAsia="Times New Roman" w:hAnsiTheme="minorHAnsi" w:cstheme="minorHAnsi"/>
                <w:b/>
                <w:bCs/>
                <w:color w:val="000000"/>
                <w:sz w:val="22"/>
                <w:szCs w:val="22"/>
              </w:rPr>
            </w:pPr>
            <w:r w:rsidRPr="005B66E8">
              <w:rPr>
                <w:rFonts w:asciiTheme="minorHAnsi" w:hAnsiTheme="minorHAnsi" w:cstheme="minorHAnsi"/>
                <w:b/>
                <w:bCs/>
                <w:color w:val="000000"/>
                <w:sz w:val="22"/>
                <w:szCs w:val="22"/>
              </w:rPr>
              <w:t>30,161</w:t>
            </w:r>
          </w:p>
        </w:tc>
        <w:tc>
          <w:tcPr>
            <w:tcW w:w="1560" w:type="dxa"/>
            <w:noWrap/>
            <w:hideMark/>
          </w:tcPr>
          <w:p w14:paraId="28D735E2" w14:textId="77777777" w:rsidR="00860FA8" w:rsidRPr="005B66E8" w:rsidRDefault="00860FA8" w:rsidP="00FE358B">
            <w:pPr>
              <w:jc w:val="right"/>
              <w:rPr>
                <w:rFonts w:asciiTheme="minorHAnsi" w:eastAsia="Times New Roman" w:hAnsiTheme="minorHAnsi" w:cstheme="minorHAnsi"/>
                <w:b/>
                <w:bCs/>
                <w:color w:val="000000"/>
                <w:sz w:val="22"/>
                <w:szCs w:val="22"/>
              </w:rPr>
            </w:pPr>
            <w:r w:rsidRPr="005B66E8">
              <w:rPr>
                <w:rFonts w:asciiTheme="minorHAnsi" w:hAnsiTheme="minorHAnsi" w:cstheme="minorHAnsi"/>
                <w:b/>
                <w:bCs/>
                <w:color w:val="000000"/>
                <w:sz w:val="22"/>
                <w:szCs w:val="22"/>
              </w:rPr>
              <w:t>401,730</w:t>
            </w:r>
          </w:p>
        </w:tc>
      </w:tr>
      <w:tr w:rsidR="00860FA8" w:rsidRPr="00BC54B3" w14:paraId="1EFC234D" w14:textId="77777777" w:rsidTr="002E3BAE">
        <w:trPr>
          <w:trHeight w:val="250"/>
        </w:trPr>
        <w:tc>
          <w:tcPr>
            <w:tcW w:w="2127" w:type="dxa"/>
            <w:noWrap/>
            <w:hideMark/>
          </w:tcPr>
          <w:p w14:paraId="6889C5ED" w14:textId="77777777" w:rsidR="00860FA8" w:rsidRPr="005B66E8" w:rsidRDefault="00860FA8" w:rsidP="00FE358B">
            <w:pPr>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academy recoupment</w:t>
            </w:r>
          </w:p>
        </w:tc>
        <w:tc>
          <w:tcPr>
            <w:tcW w:w="1418" w:type="dxa"/>
            <w:noWrap/>
            <w:hideMark/>
          </w:tcPr>
          <w:p w14:paraId="087B1202"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- 80,412.6 </w:t>
            </w:r>
          </w:p>
        </w:tc>
        <w:tc>
          <w:tcPr>
            <w:tcW w:w="1559" w:type="dxa"/>
            <w:noWrap/>
            <w:hideMark/>
          </w:tcPr>
          <w:p w14:paraId="746E8255"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hideMark/>
          </w:tcPr>
          <w:p w14:paraId="4E8AEC24"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hideMark/>
          </w:tcPr>
          <w:p w14:paraId="42920542"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60" w:type="dxa"/>
            <w:noWrap/>
            <w:hideMark/>
          </w:tcPr>
          <w:p w14:paraId="76E08931"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- 80,412.6 </w:t>
            </w:r>
          </w:p>
        </w:tc>
      </w:tr>
      <w:tr w:rsidR="00860FA8" w:rsidRPr="00BC54B3" w14:paraId="774B5B54" w14:textId="77777777" w:rsidTr="002E3BAE">
        <w:trPr>
          <w:trHeight w:val="250"/>
        </w:trPr>
        <w:tc>
          <w:tcPr>
            <w:tcW w:w="2127" w:type="dxa"/>
            <w:noWrap/>
          </w:tcPr>
          <w:p w14:paraId="49E2F63F" w14:textId="77777777" w:rsidR="00860FA8" w:rsidRPr="005B66E8" w:rsidRDefault="00860FA8" w:rsidP="00FE358B">
            <w:pPr>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direct funded places</w:t>
            </w:r>
          </w:p>
        </w:tc>
        <w:tc>
          <w:tcPr>
            <w:tcW w:w="1418" w:type="dxa"/>
            <w:noWrap/>
          </w:tcPr>
          <w:p w14:paraId="230DAE59"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tcPr>
          <w:p w14:paraId="5EE64F8B"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tcPr>
          <w:p w14:paraId="44865EB6"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- 488.0 </w:t>
            </w:r>
          </w:p>
        </w:tc>
        <w:tc>
          <w:tcPr>
            <w:tcW w:w="1559" w:type="dxa"/>
            <w:noWrap/>
          </w:tcPr>
          <w:p w14:paraId="71EC5670"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60" w:type="dxa"/>
            <w:noWrap/>
          </w:tcPr>
          <w:p w14:paraId="12BCFD3A"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- 488.0 </w:t>
            </w:r>
          </w:p>
        </w:tc>
      </w:tr>
      <w:tr w:rsidR="00860FA8" w:rsidRPr="00BC54B3" w14:paraId="1CB52E09" w14:textId="77777777" w:rsidTr="002E3BAE">
        <w:trPr>
          <w:trHeight w:val="250"/>
        </w:trPr>
        <w:tc>
          <w:tcPr>
            <w:tcW w:w="2127" w:type="dxa"/>
            <w:noWrap/>
          </w:tcPr>
          <w:p w14:paraId="20FBADBD" w14:textId="77777777" w:rsidR="00860FA8" w:rsidRPr="005B66E8" w:rsidRDefault="00860FA8" w:rsidP="00FE358B">
            <w:pPr>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0"/>
                <w:szCs w:val="20"/>
              </w:rPr>
              <w:t>t</w:t>
            </w:r>
            <w:r>
              <w:rPr>
                <w:rFonts w:asciiTheme="minorHAnsi" w:hAnsiTheme="minorHAnsi" w:cstheme="minorHAnsi"/>
                <w:b/>
                <w:bCs/>
                <w:color w:val="000000"/>
                <w:sz w:val="20"/>
                <w:szCs w:val="20"/>
              </w:rPr>
              <w:t>o</w:t>
            </w:r>
            <w:r w:rsidRPr="005B66E8">
              <w:rPr>
                <w:rFonts w:asciiTheme="minorHAnsi" w:hAnsiTheme="minorHAnsi" w:cstheme="minorHAnsi"/>
                <w:b/>
                <w:bCs/>
                <w:color w:val="000000"/>
                <w:sz w:val="20"/>
                <w:szCs w:val="20"/>
              </w:rPr>
              <w:t xml:space="preserve"> LA   30/03/20</w:t>
            </w:r>
            <w:r>
              <w:rPr>
                <w:rFonts w:asciiTheme="minorHAnsi" w:hAnsiTheme="minorHAnsi" w:cstheme="minorHAnsi"/>
                <w:b/>
                <w:bCs/>
                <w:color w:val="000000"/>
                <w:sz w:val="20"/>
                <w:szCs w:val="20"/>
              </w:rPr>
              <w:t>2</w:t>
            </w:r>
            <w:r w:rsidRPr="005B66E8">
              <w:rPr>
                <w:rFonts w:asciiTheme="minorHAnsi" w:hAnsiTheme="minorHAnsi" w:cstheme="minorHAnsi"/>
                <w:b/>
                <w:bCs/>
                <w:color w:val="000000"/>
                <w:sz w:val="20"/>
                <w:szCs w:val="20"/>
              </w:rPr>
              <w:t>3</w:t>
            </w:r>
          </w:p>
        </w:tc>
        <w:tc>
          <w:tcPr>
            <w:tcW w:w="1418" w:type="dxa"/>
            <w:noWrap/>
          </w:tcPr>
          <w:p w14:paraId="7244E7D3"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211,049</w:t>
            </w:r>
          </w:p>
        </w:tc>
        <w:tc>
          <w:tcPr>
            <w:tcW w:w="1559" w:type="dxa"/>
            <w:noWrap/>
          </w:tcPr>
          <w:p w14:paraId="587E8462"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3,157</w:t>
            </w:r>
          </w:p>
        </w:tc>
        <w:tc>
          <w:tcPr>
            <w:tcW w:w="1559" w:type="dxa"/>
            <w:noWrap/>
          </w:tcPr>
          <w:p w14:paraId="08A991D3"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76,462</w:t>
            </w:r>
          </w:p>
        </w:tc>
        <w:tc>
          <w:tcPr>
            <w:tcW w:w="1559" w:type="dxa"/>
            <w:noWrap/>
          </w:tcPr>
          <w:p w14:paraId="6C4C068B"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30,161</w:t>
            </w:r>
          </w:p>
        </w:tc>
        <w:tc>
          <w:tcPr>
            <w:tcW w:w="1560" w:type="dxa"/>
            <w:noWrap/>
          </w:tcPr>
          <w:p w14:paraId="3BA3F9DC"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320,830</w:t>
            </w:r>
          </w:p>
        </w:tc>
      </w:tr>
      <w:tr w:rsidR="00860FA8" w:rsidRPr="00BC54B3" w14:paraId="0693F705" w14:textId="77777777" w:rsidTr="002E3BAE">
        <w:trPr>
          <w:trHeight w:val="250"/>
        </w:trPr>
        <w:tc>
          <w:tcPr>
            <w:tcW w:w="2127" w:type="dxa"/>
            <w:noWrap/>
            <w:hideMark/>
          </w:tcPr>
          <w:p w14:paraId="6DB3E330" w14:textId="77777777" w:rsidR="00860FA8" w:rsidRPr="005B66E8" w:rsidRDefault="00860FA8" w:rsidP="00FE358B">
            <w:pPr>
              <w:rPr>
                <w:rFonts w:asciiTheme="minorHAnsi" w:eastAsia="Times New Roman" w:hAnsiTheme="minorHAnsi" w:cstheme="minorHAnsi"/>
                <w:color w:val="000000"/>
                <w:sz w:val="20"/>
                <w:szCs w:val="20"/>
              </w:rPr>
            </w:pPr>
            <w:r>
              <w:rPr>
                <w:rFonts w:asciiTheme="minorHAnsi" w:hAnsiTheme="minorHAnsi" w:cstheme="minorHAnsi"/>
                <w:color w:val="000000"/>
                <w:sz w:val="20"/>
                <w:szCs w:val="20"/>
              </w:rPr>
              <w:t>a</w:t>
            </w:r>
            <w:r w:rsidRPr="005B66E8">
              <w:rPr>
                <w:rFonts w:asciiTheme="minorHAnsi" w:hAnsiTheme="minorHAnsi" w:cstheme="minorHAnsi"/>
                <w:color w:val="000000"/>
                <w:sz w:val="20"/>
                <w:szCs w:val="20"/>
              </w:rPr>
              <w:t>dditional recoupment</w:t>
            </w:r>
          </w:p>
        </w:tc>
        <w:tc>
          <w:tcPr>
            <w:tcW w:w="1418" w:type="dxa"/>
            <w:noWrap/>
          </w:tcPr>
          <w:p w14:paraId="291F9310"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- 1,094.0 </w:t>
            </w:r>
          </w:p>
        </w:tc>
        <w:tc>
          <w:tcPr>
            <w:tcW w:w="1559" w:type="dxa"/>
            <w:noWrap/>
          </w:tcPr>
          <w:p w14:paraId="3B599292"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tcPr>
          <w:p w14:paraId="7658C8FF"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180.8 </w:t>
            </w:r>
          </w:p>
        </w:tc>
        <w:tc>
          <w:tcPr>
            <w:tcW w:w="1559" w:type="dxa"/>
            <w:noWrap/>
          </w:tcPr>
          <w:p w14:paraId="4723D64C"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60" w:type="dxa"/>
            <w:noWrap/>
            <w:hideMark/>
          </w:tcPr>
          <w:p w14:paraId="44E0FE98"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- 913.2 </w:t>
            </w:r>
          </w:p>
        </w:tc>
      </w:tr>
      <w:tr w:rsidR="00860FA8" w:rsidRPr="00BC54B3" w14:paraId="782C51FE" w14:textId="77777777" w:rsidTr="002E3BAE">
        <w:trPr>
          <w:trHeight w:val="250"/>
        </w:trPr>
        <w:tc>
          <w:tcPr>
            <w:tcW w:w="2127" w:type="dxa"/>
            <w:noWrap/>
          </w:tcPr>
          <w:p w14:paraId="75784092" w14:textId="77777777" w:rsidR="00860FA8" w:rsidRPr="005B66E8" w:rsidRDefault="00860FA8" w:rsidP="00FE358B">
            <w:pPr>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Import / Export</w:t>
            </w:r>
          </w:p>
        </w:tc>
        <w:tc>
          <w:tcPr>
            <w:tcW w:w="1418" w:type="dxa"/>
            <w:noWrap/>
          </w:tcPr>
          <w:p w14:paraId="2152255D"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tcPr>
          <w:p w14:paraId="6770323B"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tcPr>
          <w:p w14:paraId="5643EC48"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114.0 </w:t>
            </w:r>
          </w:p>
        </w:tc>
        <w:tc>
          <w:tcPr>
            <w:tcW w:w="1559" w:type="dxa"/>
            <w:noWrap/>
          </w:tcPr>
          <w:p w14:paraId="06CC60C0"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60" w:type="dxa"/>
            <w:noWrap/>
          </w:tcPr>
          <w:p w14:paraId="69A84A03"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114.0 </w:t>
            </w:r>
          </w:p>
        </w:tc>
      </w:tr>
      <w:tr w:rsidR="00860FA8" w:rsidRPr="00BC54B3" w14:paraId="36801EC1" w14:textId="77777777" w:rsidTr="002E3BAE">
        <w:trPr>
          <w:trHeight w:val="250"/>
        </w:trPr>
        <w:tc>
          <w:tcPr>
            <w:tcW w:w="2127" w:type="dxa"/>
            <w:noWrap/>
            <w:hideMark/>
          </w:tcPr>
          <w:p w14:paraId="5752759B" w14:textId="77777777" w:rsidR="00860FA8" w:rsidRPr="005B66E8" w:rsidRDefault="00860FA8" w:rsidP="00FE358B">
            <w:pPr>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Net pupil </w:t>
            </w:r>
            <w:r>
              <w:rPr>
                <w:rFonts w:asciiTheme="minorHAnsi" w:hAnsiTheme="minorHAnsi" w:cstheme="minorHAnsi"/>
                <w:color w:val="000000"/>
                <w:sz w:val="20"/>
                <w:szCs w:val="20"/>
              </w:rPr>
              <w:t>N</w:t>
            </w:r>
            <w:r w:rsidRPr="005B66E8">
              <w:rPr>
                <w:rFonts w:asciiTheme="minorHAnsi" w:hAnsiTheme="minorHAnsi" w:cstheme="minorHAnsi"/>
                <w:color w:val="000000"/>
                <w:sz w:val="20"/>
                <w:szCs w:val="20"/>
                <w:u w:val="single"/>
              </w:rPr>
              <w:t>o</w:t>
            </w:r>
            <w:r>
              <w:rPr>
                <w:rFonts w:asciiTheme="minorHAnsi" w:hAnsiTheme="minorHAnsi" w:cstheme="minorHAnsi"/>
                <w:color w:val="000000"/>
                <w:sz w:val="20"/>
                <w:szCs w:val="20"/>
              </w:rPr>
              <w:t>.</w:t>
            </w:r>
            <w:r w:rsidRPr="005B66E8">
              <w:rPr>
                <w:rFonts w:asciiTheme="minorHAnsi" w:hAnsiTheme="minorHAnsi" w:cstheme="minorHAnsi"/>
                <w:color w:val="000000"/>
                <w:sz w:val="20"/>
                <w:szCs w:val="20"/>
              </w:rPr>
              <w:t xml:space="preserve"> </w:t>
            </w:r>
            <w:r>
              <w:rPr>
                <w:rFonts w:asciiTheme="minorHAnsi" w:hAnsiTheme="minorHAnsi" w:cstheme="minorHAnsi"/>
                <w:color w:val="000000"/>
                <w:sz w:val="20"/>
                <w:szCs w:val="20"/>
              </w:rPr>
              <w:t>impact</w:t>
            </w:r>
          </w:p>
        </w:tc>
        <w:tc>
          <w:tcPr>
            <w:tcW w:w="1418" w:type="dxa"/>
            <w:noWrap/>
            <w:hideMark/>
          </w:tcPr>
          <w:p w14:paraId="1176B0B9"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hideMark/>
          </w:tcPr>
          <w:p w14:paraId="116674E3"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hideMark/>
          </w:tcPr>
          <w:p w14:paraId="229EED7A"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 </w:t>
            </w:r>
          </w:p>
        </w:tc>
        <w:tc>
          <w:tcPr>
            <w:tcW w:w="1559" w:type="dxa"/>
            <w:noWrap/>
            <w:hideMark/>
          </w:tcPr>
          <w:p w14:paraId="46091FF6"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1.9 </w:t>
            </w:r>
          </w:p>
        </w:tc>
        <w:tc>
          <w:tcPr>
            <w:tcW w:w="1560" w:type="dxa"/>
            <w:noWrap/>
            <w:hideMark/>
          </w:tcPr>
          <w:p w14:paraId="671BF482" w14:textId="77777777" w:rsidR="00860FA8" w:rsidRPr="005B66E8" w:rsidRDefault="00860FA8" w:rsidP="00FE358B">
            <w:pPr>
              <w:jc w:val="right"/>
              <w:rPr>
                <w:rFonts w:asciiTheme="minorHAnsi" w:eastAsia="Times New Roman" w:hAnsiTheme="minorHAnsi" w:cstheme="minorHAnsi"/>
                <w:color w:val="000000"/>
                <w:sz w:val="20"/>
                <w:szCs w:val="20"/>
              </w:rPr>
            </w:pPr>
            <w:r w:rsidRPr="005B66E8">
              <w:rPr>
                <w:rFonts w:asciiTheme="minorHAnsi" w:hAnsiTheme="minorHAnsi" w:cstheme="minorHAnsi"/>
                <w:color w:val="000000"/>
                <w:sz w:val="20"/>
                <w:szCs w:val="20"/>
              </w:rPr>
              <w:t xml:space="preserve">  1.9 </w:t>
            </w:r>
          </w:p>
        </w:tc>
      </w:tr>
      <w:tr w:rsidR="00860FA8" w:rsidRPr="00BF0E43" w14:paraId="7F2B5936" w14:textId="77777777" w:rsidTr="002E3BAE">
        <w:trPr>
          <w:trHeight w:val="250"/>
        </w:trPr>
        <w:tc>
          <w:tcPr>
            <w:tcW w:w="2127" w:type="dxa"/>
            <w:noWrap/>
            <w:hideMark/>
          </w:tcPr>
          <w:p w14:paraId="6C28B1CB" w14:textId="77777777" w:rsidR="00860FA8" w:rsidRPr="005B66E8" w:rsidRDefault="00860FA8" w:rsidP="00FE358B">
            <w:pPr>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0"/>
                <w:szCs w:val="20"/>
              </w:rPr>
              <w:t>to LA   20/07/2023</w:t>
            </w:r>
          </w:p>
        </w:tc>
        <w:tc>
          <w:tcPr>
            <w:tcW w:w="1418" w:type="dxa"/>
            <w:noWrap/>
            <w:hideMark/>
          </w:tcPr>
          <w:p w14:paraId="7039B739"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209,955</w:t>
            </w:r>
          </w:p>
        </w:tc>
        <w:tc>
          <w:tcPr>
            <w:tcW w:w="1559" w:type="dxa"/>
            <w:noWrap/>
            <w:hideMark/>
          </w:tcPr>
          <w:p w14:paraId="7136F6EC"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3,157</w:t>
            </w:r>
          </w:p>
        </w:tc>
        <w:tc>
          <w:tcPr>
            <w:tcW w:w="1559" w:type="dxa"/>
            <w:noWrap/>
            <w:hideMark/>
          </w:tcPr>
          <w:p w14:paraId="64ABA741"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76,756</w:t>
            </w:r>
          </w:p>
        </w:tc>
        <w:tc>
          <w:tcPr>
            <w:tcW w:w="1559" w:type="dxa"/>
            <w:noWrap/>
            <w:hideMark/>
          </w:tcPr>
          <w:p w14:paraId="283C5BA1"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30,163</w:t>
            </w:r>
          </w:p>
        </w:tc>
        <w:tc>
          <w:tcPr>
            <w:tcW w:w="1560" w:type="dxa"/>
            <w:noWrap/>
            <w:hideMark/>
          </w:tcPr>
          <w:p w14:paraId="2E94025C" w14:textId="77777777" w:rsidR="00860FA8" w:rsidRPr="005B66E8" w:rsidRDefault="00860FA8" w:rsidP="00FE358B">
            <w:pPr>
              <w:jc w:val="right"/>
              <w:rPr>
                <w:rFonts w:asciiTheme="minorHAnsi" w:eastAsia="Times New Roman" w:hAnsiTheme="minorHAnsi" w:cstheme="minorHAnsi"/>
                <w:b/>
                <w:bCs/>
                <w:color w:val="000000"/>
                <w:sz w:val="20"/>
                <w:szCs w:val="20"/>
              </w:rPr>
            </w:pPr>
            <w:r w:rsidRPr="005B66E8">
              <w:rPr>
                <w:rFonts w:asciiTheme="minorHAnsi" w:hAnsiTheme="minorHAnsi" w:cstheme="minorHAnsi"/>
                <w:b/>
                <w:bCs/>
                <w:color w:val="000000"/>
                <w:sz w:val="22"/>
                <w:szCs w:val="22"/>
              </w:rPr>
              <w:t>320,032</w:t>
            </w:r>
          </w:p>
        </w:tc>
      </w:tr>
    </w:tbl>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31D346A9" w14:textId="77777777" w:rsidR="00C162AA" w:rsidRPr="00437FB4" w:rsidRDefault="00C162AA" w:rsidP="00C162AA">
      <w:pPr>
        <w:pStyle w:val="ListParagraph"/>
        <w:rPr>
          <w:rFonts w:cs="Arial"/>
          <w:color w:val="000000"/>
        </w:rPr>
      </w:pPr>
      <w:bookmarkStart w:id="0" w:name="_Hlk48735191"/>
    </w:p>
    <w:bookmarkEnd w:id="0"/>
    <w:p w14:paraId="1C81E4AC" w14:textId="77777777" w:rsidR="00AA189C" w:rsidRPr="00AA189C" w:rsidRDefault="00AA189C" w:rsidP="00AA189C">
      <w:pPr>
        <w:pStyle w:val="ListParagraph"/>
        <w:rPr>
          <w:color w:val="000000"/>
        </w:rPr>
      </w:pPr>
    </w:p>
    <w:p w14:paraId="215504EE" w14:textId="5095A9A1" w:rsidR="006A16D6" w:rsidRPr="00C162AA" w:rsidRDefault="006A16D6" w:rsidP="006A16D6">
      <w:pPr>
        <w:pStyle w:val="Heading2"/>
        <w:numPr>
          <w:ilvl w:val="0"/>
          <w:numId w:val="1"/>
        </w:numPr>
      </w:pPr>
      <w:r>
        <w:t xml:space="preserve">Additional grants for 2023-2024 </w:t>
      </w:r>
    </w:p>
    <w:p w14:paraId="55AAF288" w14:textId="77777777" w:rsidR="006A16D6" w:rsidRDefault="006A16D6" w:rsidP="006A16D6">
      <w:pPr>
        <w:pStyle w:val="ListParagraph"/>
        <w:ind w:left="360"/>
        <w:rPr>
          <w:rFonts w:cs="Arial"/>
          <w:b/>
          <w:bCs/>
        </w:rPr>
      </w:pPr>
    </w:p>
    <w:p w14:paraId="1A271D9B" w14:textId="77777777" w:rsidR="006A16D6" w:rsidRPr="00860FA8" w:rsidRDefault="006A16D6" w:rsidP="006A16D6">
      <w:pPr>
        <w:pStyle w:val="ListParagraph"/>
        <w:numPr>
          <w:ilvl w:val="1"/>
          <w:numId w:val="1"/>
        </w:numPr>
        <w:autoSpaceDE w:val="0"/>
        <w:autoSpaceDN w:val="0"/>
        <w:adjustRightInd w:val="0"/>
        <w:ind w:left="426"/>
        <w:rPr>
          <w:b/>
          <w:bCs/>
          <w:color w:val="000000"/>
        </w:rPr>
      </w:pPr>
      <w:r w:rsidRPr="00860FA8">
        <w:rPr>
          <w:b/>
          <w:bCs/>
          <w:color w:val="000000"/>
        </w:rPr>
        <w:t>Early Years Supplementary Grant</w:t>
      </w:r>
      <w:r w:rsidRPr="00B1304B">
        <w:rPr>
          <w:b/>
          <w:bCs/>
          <w:color w:val="000000"/>
        </w:rPr>
        <w:t xml:space="preserve"> (EYSG)</w:t>
      </w:r>
    </w:p>
    <w:p w14:paraId="69A780BF" w14:textId="77777777" w:rsidR="006A16D6" w:rsidRPr="00CC1D78" w:rsidRDefault="006A16D6" w:rsidP="006A16D6">
      <w:pPr>
        <w:autoSpaceDE w:val="0"/>
        <w:autoSpaceDN w:val="0"/>
        <w:adjustRightInd w:val="0"/>
        <w:ind w:left="426"/>
        <w:rPr>
          <w:rFonts w:eastAsia="Times New Roman"/>
          <w:color w:val="000000"/>
        </w:rPr>
      </w:pPr>
      <w:r w:rsidRPr="00CC1D78">
        <w:rPr>
          <w:rFonts w:eastAsia="Times New Roman"/>
          <w:color w:val="000000"/>
        </w:rPr>
        <w:t xml:space="preserve">Announced in July 2023, </w:t>
      </w:r>
      <w:r>
        <w:rPr>
          <w:rFonts w:eastAsia="Times New Roman"/>
          <w:color w:val="000000"/>
        </w:rPr>
        <w:t xml:space="preserve">this new </w:t>
      </w:r>
      <w:r w:rsidRPr="00CC1D78">
        <w:rPr>
          <w:rFonts w:eastAsia="Times New Roman"/>
          <w:color w:val="000000"/>
        </w:rPr>
        <w:t xml:space="preserve">funding </w:t>
      </w:r>
      <w:r>
        <w:rPr>
          <w:rFonts w:eastAsia="Times New Roman"/>
          <w:color w:val="000000"/>
        </w:rPr>
        <w:t xml:space="preserve">is </w:t>
      </w:r>
      <w:r w:rsidRPr="00CC1D78">
        <w:rPr>
          <w:rFonts w:eastAsia="Times New Roman"/>
          <w:color w:val="000000"/>
        </w:rPr>
        <w:t xml:space="preserve">for the existing early years entitlements </w:t>
      </w:r>
      <w:r>
        <w:rPr>
          <w:rFonts w:eastAsia="Times New Roman"/>
          <w:color w:val="000000"/>
        </w:rPr>
        <w:t xml:space="preserve">of </w:t>
      </w:r>
      <w:r w:rsidRPr="00CC1D78">
        <w:rPr>
          <w:rFonts w:eastAsia="Times New Roman"/>
          <w:color w:val="000000"/>
        </w:rPr>
        <w:t>disadvantaged 2-year-old children</w:t>
      </w:r>
      <w:r>
        <w:rPr>
          <w:rFonts w:eastAsia="Times New Roman"/>
          <w:color w:val="000000"/>
        </w:rPr>
        <w:t xml:space="preserve"> and</w:t>
      </w:r>
      <w:r w:rsidRPr="00CC1D78">
        <w:rPr>
          <w:rFonts w:eastAsia="Times New Roman"/>
          <w:color w:val="000000"/>
        </w:rPr>
        <w:t xml:space="preserve"> 3 and 4-year-old children for the 2023 to 2024 and 2024 to 2025 financial year</w:t>
      </w:r>
      <w:r>
        <w:rPr>
          <w:rFonts w:eastAsia="Times New Roman"/>
          <w:color w:val="000000"/>
        </w:rPr>
        <w:t xml:space="preserve">s.  The grant commences in </w:t>
      </w:r>
      <w:r w:rsidRPr="00CC1D78">
        <w:rPr>
          <w:rFonts w:eastAsia="Times New Roman"/>
          <w:color w:val="000000"/>
        </w:rPr>
        <w:t>Sept 2023</w:t>
      </w:r>
      <w:r>
        <w:rPr>
          <w:rFonts w:eastAsia="Times New Roman"/>
          <w:color w:val="000000"/>
        </w:rPr>
        <w:t xml:space="preserve">, and must be used to uplift funding rates in the early years formula categories, passing 100% of the grant to providers. </w:t>
      </w:r>
    </w:p>
    <w:p w14:paraId="5A031D7D" w14:textId="77777777" w:rsidR="006A16D6" w:rsidRPr="00CC1D78" w:rsidRDefault="00D13A90" w:rsidP="006A16D6">
      <w:pPr>
        <w:autoSpaceDE w:val="0"/>
        <w:autoSpaceDN w:val="0"/>
        <w:adjustRightInd w:val="0"/>
        <w:ind w:left="426"/>
        <w:rPr>
          <w:rFonts w:eastAsia="Times New Roman"/>
          <w:color w:val="000000"/>
        </w:rPr>
      </w:pPr>
      <w:hyperlink r:id="rId15" w:history="1">
        <w:r w:rsidR="006A16D6">
          <w:rPr>
            <w:rStyle w:val="Hyperlink"/>
            <w:rFonts w:eastAsia="Times New Roman"/>
          </w:rPr>
          <w:t>guidance early-years-supplementary-grant-2023-24</w:t>
        </w:r>
      </w:hyperlink>
      <w:r w:rsidR="006A16D6" w:rsidRPr="00CC1D78">
        <w:rPr>
          <w:rFonts w:eastAsia="Times New Roman"/>
          <w:color w:val="000000"/>
        </w:rPr>
        <w:t xml:space="preserve"> </w:t>
      </w:r>
    </w:p>
    <w:p w14:paraId="448F3926" w14:textId="77777777" w:rsidR="006A16D6" w:rsidRPr="00860FA8" w:rsidRDefault="006A16D6" w:rsidP="006A16D6">
      <w:pPr>
        <w:pStyle w:val="ListParagraph"/>
        <w:numPr>
          <w:ilvl w:val="1"/>
          <w:numId w:val="1"/>
        </w:numPr>
        <w:autoSpaceDE w:val="0"/>
        <w:autoSpaceDN w:val="0"/>
        <w:adjustRightInd w:val="0"/>
        <w:ind w:left="426"/>
        <w:rPr>
          <w:b/>
          <w:bCs/>
          <w:color w:val="000000"/>
        </w:rPr>
      </w:pPr>
      <w:r w:rsidRPr="00860FA8">
        <w:rPr>
          <w:b/>
          <w:bCs/>
          <w:color w:val="000000"/>
        </w:rPr>
        <w:t>Teachers Additional Pay Grant</w:t>
      </w:r>
    </w:p>
    <w:p w14:paraId="4590407E" w14:textId="77777777" w:rsidR="006A16D6" w:rsidRPr="00860FA8" w:rsidRDefault="006A16D6" w:rsidP="006A16D6">
      <w:pPr>
        <w:autoSpaceDE w:val="0"/>
        <w:autoSpaceDN w:val="0"/>
        <w:adjustRightInd w:val="0"/>
        <w:ind w:left="426"/>
        <w:rPr>
          <w:rFonts w:eastAsia="Times New Roman" w:cs="Times New Roman"/>
          <w:color w:val="000000"/>
        </w:rPr>
      </w:pPr>
      <w:r w:rsidRPr="00CC1D78">
        <w:rPr>
          <w:rFonts w:eastAsia="Times New Roman"/>
          <w:color w:val="000000"/>
        </w:rPr>
        <w:t>All mainstream &amp; special schools; early years &amp; post 16</w:t>
      </w:r>
      <w:r>
        <w:rPr>
          <w:rFonts w:eastAsia="Times New Roman"/>
          <w:color w:val="000000"/>
        </w:rPr>
        <w:t xml:space="preserve">.  </w:t>
      </w:r>
      <w:r w:rsidRPr="005B33BF">
        <w:rPr>
          <w:rFonts w:eastAsia="Times New Roman"/>
          <w:color w:val="000000"/>
        </w:rPr>
        <w:t>Academic year, commencing Sept 2023; full financial year 2024-25</w:t>
      </w:r>
      <w:r>
        <w:rPr>
          <w:rFonts w:eastAsia="Times New Roman"/>
          <w:color w:val="000000"/>
        </w:rPr>
        <w:t xml:space="preserve">.  </w:t>
      </w:r>
      <w:r w:rsidRPr="00860FA8">
        <w:rPr>
          <w:rFonts w:eastAsia="Times New Roman" w:cs="Times New Roman"/>
          <w:color w:val="000000"/>
        </w:rPr>
        <w:t>Special school allocated per place (consultation / comms)</w:t>
      </w:r>
    </w:p>
    <w:p w14:paraId="4A070BDF" w14:textId="77777777" w:rsidR="006A16D6" w:rsidRDefault="00D13A90" w:rsidP="006A16D6">
      <w:pPr>
        <w:autoSpaceDE w:val="0"/>
        <w:autoSpaceDN w:val="0"/>
        <w:adjustRightInd w:val="0"/>
        <w:ind w:left="426"/>
        <w:rPr>
          <w:rStyle w:val="Hyperlink"/>
          <w:rFonts w:eastAsia="Times New Roman"/>
          <w:lang w:val="en-US"/>
        </w:rPr>
      </w:pPr>
      <w:hyperlink r:id="rId16" w:history="1">
        <w:r w:rsidR="006A16D6" w:rsidRPr="00CC1D78">
          <w:rPr>
            <w:rStyle w:val="Hyperlink"/>
            <w:rFonts w:eastAsia="Times New Roman"/>
            <w:lang w:val="en-US"/>
          </w:rPr>
          <w:t>Teachers’ pay additional grant 2023 to 2024: methodology - GOV.UK (www.gov.uk)</w:t>
        </w:r>
      </w:hyperlink>
    </w:p>
    <w:p w14:paraId="6B284235" w14:textId="77777777" w:rsidR="00CF024F" w:rsidRPr="00CC1D78" w:rsidRDefault="00CF024F" w:rsidP="006A16D6">
      <w:pPr>
        <w:autoSpaceDE w:val="0"/>
        <w:autoSpaceDN w:val="0"/>
        <w:adjustRightInd w:val="0"/>
        <w:ind w:left="426"/>
        <w:rPr>
          <w:rFonts w:eastAsia="Times New Roman"/>
          <w:color w:val="000000"/>
        </w:rPr>
      </w:pPr>
    </w:p>
    <w:p w14:paraId="32470ADF" w14:textId="57CAA9B5" w:rsidR="003A09D3" w:rsidRPr="00C162AA" w:rsidRDefault="003A09D3" w:rsidP="00C162AA">
      <w:pPr>
        <w:pStyle w:val="ListParagraph"/>
        <w:numPr>
          <w:ilvl w:val="1"/>
          <w:numId w:val="1"/>
        </w:numPr>
        <w:autoSpaceDE w:val="0"/>
        <w:autoSpaceDN w:val="0"/>
        <w:adjustRightInd w:val="0"/>
        <w:ind w:left="426"/>
        <w:rPr>
          <w:color w:val="000000"/>
        </w:rPr>
      </w:pPr>
      <w:r>
        <w:rPr>
          <w:color w:val="000000"/>
        </w:rPr>
        <w:t>All grants due to schools are paid in the first quarterly ad-hoc advance following income receipt.</w:t>
      </w:r>
      <w:r w:rsidR="00140894">
        <w:rPr>
          <w:color w:val="000000"/>
        </w:rPr>
        <w:t xml:space="preserve"> A summary of the grant income in 2023-24 is below, with approximate values and end dates if applicable.</w:t>
      </w:r>
    </w:p>
    <w:p w14:paraId="19417D42" w14:textId="735A0CB8" w:rsidR="005D512C" w:rsidRDefault="005D512C" w:rsidP="00114BBD">
      <w:pPr>
        <w:pStyle w:val="Heading2"/>
        <w:rPr>
          <w:rFonts w:eastAsia="Times New Roman" w:cs="Times New Roman"/>
          <w:b w:val="0"/>
          <w:bCs w:val="0"/>
          <w:color w:val="000000"/>
        </w:rPr>
      </w:pPr>
      <w:r>
        <w:rPr>
          <w:color w:val="000000"/>
        </w:rPr>
        <w:br w:type="page"/>
      </w:r>
    </w:p>
    <w:tbl>
      <w:tblPr>
        <w:tblStyle w:val="TableGrid"/>
        <w:tblW w:w="9356" w:type="dxa"/>
        <w:tblLayout w:type="fixed"/>
        <w:tblLook w:val="0020" w:firstRow="1" w:lastRow="0" w:firstColumn="0" w:lastColumn="0" w:noHBand="0" w:noVBand="0"/>
      </w:tblPr>
      <w:tblGrid>
        <w:gridCol w:w="710"/>
        <w:gridCol w:w="2409"/>
        <w:gridCol w:w="3686"/>
        <w:gridCol w:w="1276"/>
        <w:gridCol w:w="1275"/>
      </w:tblGrid>
      <w:tr w:rsidR="005D512C" w14:paraId="73FE3E6F" w14:textId="77777777" w:rsidTr="002E3BAE">
        <w:trPr>
          <w:trHeight w:val="336"/>
        </w:trPr>
        <w:tc>
          <w:tcPr>
            <w:tcW w:w="710" w:type="dxa"/>
            <w:shd w:val="clear" w:color="auto" w:fill="ED7D31" w:themeFill="accent2"/>
          </w:tcPr>
          <w:p w14:paraId="4F4E5CA5" w14:textId="77777777" w:rsidR="005D512C" w:rsidRDefault="005D512C">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lastRenderedPageBreak/>
              <w:t>CFR</w:t>
            </w:r>
          </w:p>
        </w:tc>
        <w:tc>
          <w:tcPr>
            <w:tcW w:w="2409" w:type="dxa"/>
            <w:shd w:val="clear" w:color="auto" w:fill="ED7D31" w:themeFill="accent2"/>
          </w:tcPr>
          <w:p w14:paraId="0C44F465" w14:textId="77777777" w:rsidR="005D512C" w:rsidRDefault="005D512C">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Grant Name </w:t>
            </w:r>
          </w:p>
        </w:tc>
        <w:tc>
          <w:tcPr>
            <w:tcW w:w="3686" w:type="dxa"/>
            <w:shd w:val="clear" w:color="auto" w:fill="ED7D31" w:themeFill="accent2"/>
          </w:tcPr>
          <w:p w14:paraId="4C6080FC" w14:textId="77777777" w:rsidR="005D512C" w:rsidRDefault="005D512C" w:rsidP="006A16D6">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link to source</w:t>
            </w:r>
          </w:p>
        </w:tc>
        <w:tc>
          <w:tcPr>
            <w:tcW w:w="1276" w:type="dxa"/>
            <w:shd w:val="clear" w:color="auto" w:fill="ED7D31" w:themeFill="accent2"/>
          </w:tcPr>
          <w:p w14:paraId="2D412987" w14:textId="77777777" w:rsidR="005D512C" w:rsidRDefault="005D512C">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academic / financial year</w:t>
            </w:r>
          </w:p>
        </w:tc>
        <w:tc>
          <w:tcPr>
            <w:tcW w:w="1275" w:type="dxa"/>
            <w:shd w:val="clear" w:color="auto" w:fill="ED7D31" w:themeFill="accent2"/>
          </w:tcPr>
          <w:p w14:paraId="0A9FEFF0" w14:textId="77777777" w:rsidR="005D512C" w:rsidRDefault="005D512C">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2023-24 Fin Yr</w:t>
            </w:r>
          </w:p>
          <w:p w14:paraId="34C49112" w14:textId="77777777" w:rsidR="005D512C" w:rsidRDefault="005D512C">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 (approx. £000)</w:t>
            </w:r>
          </w:p>
        </w:tc>
      </w:tr>
    </w:tbl>
    <w:p w14:paraId="6DE23A8C" w14:textId="624BF957" w:rsidR="00EA31FD" w:rsidRDefault="00594BEE" w:rsidP="00FB5A6B">
      <w:pPr>
        <w:spacing w:after="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Government grants from the Education, Skills Funding Agency (ESFA) / DfE</w:t>
      </w:r>
    </w:p>
    <w:p w14:paraId="38C6CD43" w14:textId="3DBD4D38" w:rsidR="00594BEE" w:rsidRDefault="00594BEE" w:rsidP="00FB5A6B">
      <w:pPr>
        <w:spacing w:after="0"/>
      </w:pPr>
      <w:r>
        <w:rPr>
          <w:rFonts w:ascii="Calibri" w:eastAsiaTheme="minorHAnsi" w:hAnsi="Calibri" w:cs="Calibri"/>
          <w:b/>
          <w:bCs/>
          <w:color w:val="000000"/>
          <w:sz w:val="22"/>
          <w:szCs w:val="22"/>
          <w:lang w:eastAsia="en-US"/>
        </w:rPr>
        <w:t xml:space="preserve">Paid to schools in monthly </w:t>
      </w:r>
      <w:proofErr w:type="gramStart"/>
      <w:r>
        <w:rPr>
          <w:rFonts w:ascii="Calibri" w:eastAsiaTheme="minorHAnsi" w:hAnsi="Calibri" w:cs="Calibri"/>
          <w:b/>
          <w:bCs/>
          <w:color w:val="000000"/>
          <w:sz w:val="22"/>
          <w:szCs w:val="22"/>
          <w:lang w:eastAsia="en-US"/>
        </w:rPr>
        <w:t>advances</w:t>
      </w:r>
      <w:proofErr w:type="gramEnd"/>
    </w:p>
    <w:tbl>
      <w:tblPr>
        <w:tblStyle w:val="TableGrid"/>
        <w:tblW w:w="9356" w:type="dxa"/>
        <w:tblLayout w:type="fixed"/>
        <w:tblLook w:val="0020" w:firstRow="1" w:lastRow="0" w:firstColumn="0" w:lastColumn="0" w:noHBand="0" w:noVBand="0"/>
      </w:tblPr>
      <w:tblGrid>
        <w:gridCol w:w="710"/>
        <w:gridCol w:w="2409"/>
        <w:gridCol w:w="3686"/>
        <w:gridCol w:w="1276"/>
        <w:gridCol w:w="1275"/>
      </w:tblGrid>
      <w:tr w:rsidR="005D512C" w14:paraId="2086C263" w14:textId="77777777" w:rsidTr="002E3BAE">
        <w:trPr>
          <w:trHeight w:val="401"/>
        </w:trPr>
        <w:tc>
          <w:tcPr>
            <w:tcW w:w="710" w:type="dxa"/>
          </w:tcPr>
          <w:p w14:paraId="5F1C93A2" w14:textId="77777777" w:rsidR="005D512C" w:rsidRDefault="005D512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I02</w:t>
            </w:r>
          </w:p>
        </w:tc>
        <w:tc>
          <w:tcPr>
            <w:tcW w:w="2409" w:type="dxa"/>
          </w:tcPr>
          <w:p w14:paraId="6658995F" w14:textId="77777777" w:rsidR="005D512C" w:rsidRDefault="005D512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Schools Sixth Form Grant </w:t>
            </w:r>
          </w:p>
        </w:tc>
        <w:tc>
          <w:tcPr>
            <w:tcW w:w="3686" w:type="dxa"/>
          </w:tcPr>
          <w:p w14:paraId="7000C473" w14:textId="77777777" w:rsidR="005D512C" w:rsidRDefault="00D13A90" w:rsidP="006A16D6">
            <w:pPr>
              <w:autoSpaceDE w:val="0"/>
              <w:autoSpaceDN w:val="0"/>
              <w:adjustRightInd w:val="0"/>
              <w:rPr>
                <w:rFonts w:ascii="Calibri" w:eastAsiaTheme="minorHAnsi" w:hAnsi="Calibri" w:cs="Calibri"/>
                <w:color w:val="000000"/>
                <w:sz w:val="22"/>
                <w:szCs w:val="22"/>
                <w:lang w:eastAsia="en-US"/>
              </w:rPr>
            </w:pPr>
            <w:hyperlink r:id="rId17" w:history="1">
              <w:r w:rsidR="005D512C">
                <w:rPr>
                  <w:rFonts w:ascii="Calibri" w:eastAsiaTheme="minorHAnsi" w:hAnsi="Calibri" w:cs="Calibri"/>
                  <w:color w:val="0066CC"/>
                  <w:sz w:val="22"/>
                  <w:szCs w:val="22"/>
                  <w:u w:val="single"/>
                  <w:lang w:eastAsia="en-US"/>
                </w:rPr>
                <w:t>16 to 19 funding: information for 2023 to 2024</w:t>
              </w:r>
            </w:hyperlink>
          </w:p>
        </w:tc>
        <w:tc>
          <w:tcPr>
            <w:tcW w:w="1276" w:type="dxa"/>
          </w:tcPr>
          <w:p w14:paraId="687D620A" w14:textId="77777777"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Ac/yr </w:t>
            </w:r>
          </w:p>
        </w:tc>
        <w:tc>
          <w:tcPr>
            <w:tcW w:w="1275" w:type="dxa"/>
          </w:tcPr>
          <w:p w14:paraId="57CE4DAD" w14:textId="77777777"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£14,679.5</w:t>
            </w:r>
          </w:p>
        </w:tc>
      </w:tr>
      <w:tr w:rsidR="005D512C" w14:paraId="5A653D36" w14:textId="77777777" w:rsidTr="002E3BAE">
        <w:trPr>
          <w:trHeight w:val="607"/>
        </w:trPr>
        <w:tc>
          <w:tcPr>
            <w:tcW w:w="710" w:type="dxa"/>
          </w:tcPr>
          <w:p w14:paraId="6CDC0FF4" w14:textId="77777777" w:rsidR="005D512C" w:rsidRDefault="005D512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I05</w:t>
            </w:r>
          </w:p>
        </w:tc>
        <w:tc>
          <w:tcPr>
            <w:tcW w:w="2409" w:type="dxa"/>
          </w:tcPr>
          <w:p w14:paraId="515CE220" w14:textId="582D1349" w:rsidR="005D512C" w:rsidRDefault="005D512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Pupil Premium Deprivation </w:t>
            </w:r>
          </w:p>
        </w:tc>
        <w:tc>
          <w:tcPr>
            <w:tcW w:w="3686" w:type="dxa"/>
          </w:tcPr>
          <w:p w14:paraId="735BC169" w14:textId="77777777" w:rsidR="005D512C" w:rsidRDefault="00D13A90" w:rsidP="006A16D6">
            <w:pPr>
              <w:autoSpaceDE w:val="0"/>
              <w:autoSpaceDN w:val="0"/>
              <w:adjustRightInd w:val="0"/>
              <w:rPr>
                <w:rFonts w:ascii="Calibri" w:eastAsiaTheme="minorHAnsi" w:hAnsi="Calibri" w:cs="Calibri"/>
                <w:color w:val="000000"/>
                <w:sz w:val="22"/>
                <w:szCs w:val="22"/>
                <w:lang w:eastAsia="en-US"/>
              </w:rPr>
            </w:pPr>
            <w:hyperlink r:id="rId18" w:history="1">
              <w:r w:rsidR="005D512C">
                <w:rPr>
                  <w:rFonts w:ascii="Calibri" w:eastAsiaTheme="minorHAnsi" w:hAnsi="Calibri" w:cs="Calibri"/>
                  <w:color w:val="0066CC"/>
                  <w:sz w:val="22"/>
                  <w:szCs w:val="22"/>
                  <w:u w:val="single"/>
                  <w:lang w:eastAsia="en-US"/>
                </w:rPr>
                <w:t>Pupil premium: allocations and conditions of grant 2023-24</w:t>
              </w:r>
            </w:hyperlink>
          </w:p>
        </w:tc>
        <w:tc>
          <w:tcPr>
            <w:tcW w:w="1276" w:type="dxa"/>
          </w:tcPr>
          <w:p w14:paraId="2217C68B" w14:textId="77777777"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Fin/yr </w:t>
            </w:r>
          </w:p>
        </w:tc>
        <w:tc>
          <w:tcPr>
            <w:tcW w:w="1275" w:type="dxa"/>
          </w:tcPr>
          <w:p w14:paraId="78EA950E" w14:textId="77777777"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£17,400.8</w:t>
            </w:r>
          </w:p>
        </w:tc>
      </w:tr>
    </w:tbl>
    <w:p w14:paraId="225A3877" w14:textId="3A3EAD97" w:rsidR="00FB5A6B" w:rsidRDefault="00FB5A6B" w:rsidP="00000334">
      <w:pPr>
        <w:spacing w:after="0"/>
      </w:pPr>
      <w:r>
        <w:rPr>
          <w:rFonts w:ascii="Calibri" w:eastAsiaTheme="minorHAnsi" w:hAnsi="Calibri" w:cs="Calibri"/>
          <w:b/>
          <w:bCs/>
          <w:color w:val="000000"/>
          <w:sz w:val="22"/>
          <w:szCs w:val="22"/>
          <w:lang w:eastAsia="en-US"/>
        </w:rPr>
        <w:t xml:space="preserve">Paid to schools in quarterly ad-hoc payment run following receipt of income - Recurrent </w:t>
      </w:r>
      <w:proofErr w:type="gramStart"/>
      <w:r>
        <w:rPr>
          <w:rFonts w:ascii="Calibri" w:eastAsiaTheme="minorHAnsi" w:hAnsi="Calibri" w:cs="Calibri"/>
          <w:b/>
          <w:bCs/>
          <w:color w:val="000000"/>
          <w:sz w:val="22"/>
          <w:szCs w:val="22"/>
          <w:lang w:eastAsia="en-US"/>
        </w:rPr>
        <w:t>grants</w:t>
      </w:r>
      <w:proofErr w:type="gramEnd"/>
    </w:p>
    <w:tbl>
      <w:tblPr>
        <w:tblStyle w:val="TableGrid"/>
        <w:tblW w:w="9356" w:type="dxa"/>
        <w:tblLayout w:type="fixed"/>
        <w:tblLook w:val="0020" w:firstRow="1" w:lastRow="0" w:firstColumn="0" w:lastColumn="0" w:noHBand="0" w:noVBand="0"/>
      </w:tblPr>
      <w:tblGrid>
        <w:gridCol w:w="710"/>
        <w:gridCol w:w="2409"/>
        <w:gridCol w:w="3686"/>
        <w:gridCol w:w="1276"/>
        <w:gridCol w:w="1275"/>
      </w:tblGrid>
      <w:tr w:rsidR="005D512C" w14:paraId="67D511C8" w14:textId="77777777" w:rsidTr="002E3BAE">
        <w:trPr>
          <w:trHeight w:val="478"/>
        </w:trPr>
        <w:tc>
          <w:tcPr>
            <w:tcW w:w="710" w:type="dxa"/>
          </w:tcPr>
          <w:p w14:paraId="51E5EA50" w14:textId="77777777" w:rsidR="005D512C" w:rsidRDefault="005D512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I01</w:t>
            </w:r>
          </w:p>
        </w:tc>
        <w:tc>
          <w:tcPr>
            <w:tcW w:w="2409" w:type="dxa"/>
          </w:tcPr>
          <w:p w14:paraId="7C5AD41A" w14:textId="77777777" w:rsidR="005D512C" w:rsidRDefault="005D512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Teachers Pay Additional Grant (TPAG)</w:t>
            </w:r>
          </w:p>
        </w:tc>
        <w:tc>
          <w:tcPr>
            <w:tcW w:w="3686" w:type="dxa"/>
          </w:tcPr>
          <w:p w14:paraId="4387EFDE" w14:textId="77777777" w:rsidR="005D512C" w:rsidRDefault="00D13A90" w:rsidP="006A16D6">
            <w:pPr>
              <w:autoSpaceDE w:val="0"/>
              <w:autoSpaceDN w:val="0"/>
              <w:adjustRightInd w:val="0"/>
              <w:rPr>
                <w:rFonts w:ascii="Calibri" w:eastAsiaTheme="minorHAnsi" w:hAnsi="Calibri" w:cs="Calibri"/>
                <w:color w:val="000000"/>
                <w:sz w:val="22"/>
                <w:szCs w:val="22"/>
                <w:lang w:eastAsia="en-US"/>
              </w:rPr>
            </w:pPr>
            <w:hyperlink r:id="rId19" w:history="1">
              <w:r w:rsidR="005D512C">
                <w:rPr>
                  <w:rFonts w:ascii="Calibri" w:eastAsiaTheme="minorHAnsi" w:hAnsi="Calibri" w:cs="Calibri"/>
                  <w:color w:val="0066CC"/>
                  <w:sz w:val="22"/>
                  <w:szCs w:val="22"/>
                  <w:u w:val="single"/>
                  <w:lang w:eastAsia="en-US"/>
                </w:rPr>
                <w:t xml:space="preserve">Teachers' </w:t>
              </w:r>
              <w:proofErr w:type="gramStart"/>
              <w:r w:rsidR="005D512C">
                <w:rPr>
                  <w:rFonts w:ascii="Calibri" w:eastAsiaTheme="minorHAnsi" w:hAnsi="Calibri" w:cs="Calibri"/>
                  <w:color w:val="0066CC"/>
                  <w:sz w:val="22"/>
                  <w:szCs w:val="22"/>
                  <w:u w:val="single"/>
                  <w:lang w:eastAsia="en-US"/>
                </w:rPr>
                <w:t>pay</w:t>
              </w:r>
              <w:proofErr w:type="gramEnd"/>
              <w:r w:rsidR="005D512C">
                <w:rPr>
                  <w:rFonts w:ascii="Calibri" w:eastAsiaTheme="minorHAnsi" w:hAnsi="Calibri" w:cs="Calibri"/>
                  <w:color w:val="0066CC"/>
                  <w:sz w:val="22"/>
                  <w:szCs w:val="22"/>
                  <w:u w:val="single"/>
                  <w:lang w:eastAsia="en-US"/>
                </w:rPr>
                <w:t xml:space="preserve"> additional grant</w:t>
              </w:r>
            </w:hyperlink>
          </w:p>
        </w:tc>
        <w:tc>
          <w:tcPr>
            <w:tcW w:w="1276" w:type="dxa"/>
          </w:tcPr>
          <w:p w14:paraId="5109EC64" w14:textId="77777777"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Ac/yr </w:t>
            </w:r>
          </w:p>
        </w:tc>
        <w:tc>
          <w:tcPr>
            <w:tcW w:w="1275" w:type="dxa"/>
          </w:tcPr>
          <w:p w14:paraId="649CA0E3" w14:textId="77777777"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£2,040.4</w:t>
            </w:r>
          </w:p>
        </w:tc>
      </w:tr>
      <w:tr w:rsidR="005D512C" w14:paraId="2061EF44" w14:textId="77777777" w:rsidTr="002E3BAE">
        <w:trPr>
          <w:trHeight w:val="841"/>
        </w:trPr>
        <w:tc>
          <w:tcPr>
            <w:tcW w:w="710" w:type="dxa"/>
          </w:tcPr>
          <w:p w14:paraId="74182661" w14:textId="77777777" w:rsidR="005D512C" w:rsidRDefault="005D512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I01</w:t>
            </w:r>
          </w:p>
        </w:tc>
        <w:tc>
          <w:tcPr>
            <w:tcW w:w="2409" w:type="dxa"/>
          </w:tcPr>
          <w:p w14:paraId="5D8559B0" w14:textId="77777777" w:rsidR="005D512C" w:rsidRDefault="005D512C">
            <w:pPr>
              <w:autoSpaceDE w:val="0"/>
              <w:autoSpaceDN w:val="0"/>
              <w:adjustRightInd w:val="0"/>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Teachers</w:t>
            </w:r>
            <w:proofErr w:type="spellEnd"/>
            <w:r>
              <w:rPr>
                <w:rFonts w:ascii="Calibri" w:eastAsiaTheme="minorHAnsi" w:hAnsi="Calibri" w:cs="Calibri"/>
                <w:color w:val="000000"/>
                <w:sz w:val="22"/>
                <w:szCs w:val="22"/>
                <w:lang w:eastAsia="en-US"/>
              </w:rPr>
              <w:t xml:space="preserve"> Pension </w:t>
            </w:r>
            <w:proofErr w:type="gramStart"/>
            <w:r>
              <w:rPr>
                <w:rFonts w:ascii="Calibri" w:eastAsiaTheme="minorHAnsi" w:hAnsi="Calibri" w:cs="Calibri"/>
                <w:color w:val="000000"/>
                <w:sz w:val="22"/>
                <w:szCs w:val="22"/>
                <w:lang w:eastAsia="en-US"/>
              </w:rPr>
              <w:t>employers</w:t>
            </w:r>
            <w:proofErr w:type="gramEnd"/>
            <w:r>
              <w:rPr>
                <w:rFonts w:ascii="Calibri" w:eastAsiaTheme="minorHAnsi" w:hAnsi="Calibri" w:cs="Calibri"/>
                <w:color w:val="000000"/>
                <w:sz w:val="22"/>
                <w:szCs w:val="22"/>
                <w:lang w:eastAsia="en-US"/>
              </w:rPr>
              <w:t xml:space="preserve"> contribution grant (TPECG)</w:t>
            </w:r>
          </w:p>
        </w:tc>
        <w:tc>
          <w:tcPr>
            <w:tcW w:w="3686" w:type="dxa"/>
          </w:tcPr>
          <w:p w14:paraId="5FCE97EB" w14:textId="77777777" w:rsidR="005D512C" w:rsidRDefault="00D13A90" w:rsidP="006A16D6">
            <w:pPr>
              <w:autoSpaceDE w:val="0"/>
              <w:autoSpaceDN w:val="0"/>
              <w:adjustRightInd w:val="0"/>
              <w:rPr>
                <w:rFonts w:ascii="Calibri" w:eastAsiaTheme="minorHAnsi" w:hAnsi="Calibri" w:cs="Calibri"/>
                <w:color w:val="000000"/>
                <w:sz w:val="22"/>
                <w:szCs w:val="22"/>
                <w:lang w:eastAsia="en-US"/>
              </w:rPr>
            </w:pPr>
            <w:hyperlink r:id="rId20" w:history="1">
              <w:r w:rsidR="005D512C">
                <w:rPr>
                  <w:rFonts w:ascii="Calibri" w:eastAsiaTheme="minorHAnsi" w:hAnsi="Calibri" w:cs="Calibri"/>
                  <w:color w:val="0066CC"/>
                  <w:sz w:val="22"/>
                  <w:szCs w:val="22"/>
                  <w:u w:val="single"/>
                  <w:lang w:eastAsia="en-US"/>
                </w:rPr>
                <w:t>Teachers' pension employer contribution grant: 2023 to ...</w:t>
              </w:r>
            </w:hyperlink>
          </w:p>
        </w:tc>
        <w:tc>
          <w:tcPr>
            <w:tcW w:w="1276" w:type="dxa"/>
          </w:tcPr>
          <w:p w14:paraId="13A6EA31" w14:textId="77777777"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Ac/yr </w:t>
            </w:r>
          </w:p>
        </w:tc>
        <w:tc>
          <w:tcPr>
            <w:tcW w:w="1275" w:type="dxa"/>
          </w:tcPr>
          <w:p w14:paraId="5196C720" w14:textId="77777777"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£538.0</w:t>
            </w:r>
          </w:p>
        </w:tc>
      </w:tr>
      <w:tr w:rsidR="006A16D6" w14:paraId="5D5C729B" w14:textId="77777777" w:rsidTr="002E3BAE">
        <w:trPr>
          <w:trHeight w:val="372"/>
        </w:trPr>
        <w:tc>
          <w:tcPr>
            <w:tcW w:w="710" w:type="dxa"/>
          </w:tcPr>
          <w:p w14:paraId="30F8A15A" w14:textId="714F2229" w:rsidR="006A16D6" w:rsidRDefault="006A16D6">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I01</w:t>
            </w:r>
          </w:p>
        </w:tc>
        <w:tc>
          <w:tcPr>
            <w:tcW w:w="2409" w:type="dxa"/>
          </w:tcPr>
          <w:p w14:paraId="4D52D435" w14:textId="027EEC50" w:rsidR="006A16D6" w:rsidRDefault="006A16D6">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Mainstream schools additional grant (MSAG)</w:t>
            </w:r>
          </w:p>
        </w:tc>
        <w:tc>
          <w:tcPr>
            <w:tcW w:w="3686" w:type="dxa"/>
          </w:tcPr>
          <w:p w14:paraId="7DA3DF46" w14:textId="759B6060" w:rsidR="006A16D6" w:rsidRPr="00114BBD" w:rsidRDefault="00D13A90" w:rsidP="006A16D6">
            <w:pPr>
              <w:autoSpaceDE w:val="0"/>
              <w:autoSpaceDN w:val="0"/>
              <w:adjustRightInd w:val="0"/>
              <w:rPr>
                <w:rFonts w:asciiTheme="minorHAnsi" w:hAnsiTheme="minorHAnsi" w:cstheme="minorHAnsi"/>
                <w:sz w:val="20"/>
                <w:szCs w:val="20"/>
              </w:rPr>
            </w:pPr>
            <w:hyperlink r:id="rId21" w:history="1">
              <w:r w:rsidR="00114BBD" w:rsidRPr="00114BBD">
                <w:rPr>
                  <w:rStyle w:val="Hyperlink"/>
                  <w:rFonts w:asciiTheme="minorHAnsi" w:hAnsiTheme="minorHAnsi" w:cstheme="minorHAnsi"/>
                  <w:sz w:val="20"/>
                  <w:szCs w:val="20"/>
                  <w:shd w:val="clear" w:color="auto" w:fill="FFFFFF"/>
                </w:rPr>
                <w:t>Mainstream schools additional grant 2023 to 2024</w:t>
              </w:r>
            </w:hyperlink>
          </w:p>
        </w:tc>
        <w:tc>
          <w:tcPr>
            <w:tcW w:w="1276" w:type="dxa"/>
          </w:tcPr>
          <w:p w14:paraId="12B98176" w14:textId="76810650" w:rsidR="006A16D6" w:rsidRDefault="006A16D6">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To APT in 24-25</w:t>
            </w:r>
          </w:p>
        </w:tc>
        <w:tc>
          <w:tcPr>
            <w:tcW w:w="1275" w:type="dxa"/>
          </w:tcPr>
          <w:p w14:paraId="24E500A5" w14:textId="77777777" w:rsidR="006A16D6" w:rsidRDefault="00246231">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£6,808.0</w:t>
            </w:r>
          </w:p>
          <w:p w14:paraId="71A8373F" w14:textId="73112082" w:rsidR="00246231" w:rsidRDefault="00246231" w:rsidP="00246231">
            <w:pPr>
              <w:autoSpaceDE w:val="0"/>
              <w:autoSpaceDN w:val="0"/>
              <w:adjustRightInd w:val="0"/>
              <w:rPr>
                <w:rFonts w:ascii="Calibri" w:eastAsiaTheme="minorHAnsi" w:hAnsi="Calibri" w:cs="Calibri"/>
                <w:color w:val="000000"/>
                <w:sz w:val="22"/>
                <w:szCs w:val="22"/>
                <w:lang w:eastAsia="en-US"/>
              </w:rPr>
            </w:pPr>
          </w:p>
        </w:tc>
      </w:tr>
      <w:tr w:rsidR="005D512C" w14:paraId="1B002B11" w14:textId="77777777" w:rsidTr="002E3BAE">
        <w:trPr>
          <w:trHeight w:val="372"/>
        </w:trPr>
        <w:tc>
          <w:tcPr>
            <w:tcW w:w="710" w:type="dxa"/>
          </w:tcPr>
          <w:p w14:paraId="6824D8F8" w14:textId="56F8B498" w:rsidR="005D512C" w:rsidRDefault="005D512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w:t>
            </w:r>
            <w:r w:rsidR="00140894">
              <w:rPr>
                <w:rFonts w:ascii="Calibri" w:eastAsiaTheme="minorHAnsi" w:hAnsi="Calibri" w:cs="Calibri"/>
                <w:color w:val="000000"/>
                <w:sz w:val="22"/>
                <w:szCs w:val="22"/>
                <w:lang w:eastAsia="en-US"/>
              </w:rPr>
              <w:t>1</w:t>
            </w:r>
          </w:p>
        </w:tc>
        <w:tc>
          <w:tcPr>
            <w:tcW w:w="2409" w:type="dxa"/>
          </w:tcPr>
          <w:p w14:paraId="68A4970E" w14:textId="77777777" w:rsidR="005D512C" w:rsidRDefault="005D512C">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Early Years Supplementary Grant</w:t>
            </w:r>
          </w:p>
        </w:tc>
        <w:tc>
          <w:tcPr>
            <w:tcW w:w="3686" w:type="dxa"/>
          </w:tcPr>
          <w:p w14:paraId="0D43E2AF" w14:textId="77777777" w:rsidR="005D512C" w:rsidRDefault="00D13A90" w:rsidP="006A16D6">
            <w:pPr>
              <w:autoSpaceDE w:val="0"/>
              <w:autoSpaceDN w:val="0"/>
              <w:adjustRightInd w:val="0"/>
              <w:rPr>
                <w:rFonts w:ascii="Calibri" w:eastAsiaTheme="minorHAnsi" w:hAnsi="Calibri" w:cs="Calibri"/>
                <w:color w:val="000000"/>
                <w:sz w:val="22"/>
                <w:szCs w:val="22"/>
                <w:lang w:eastAsia="en-US"/>
              </w:rPr>
            </w:pPr>
            <w:hyperlink r:id="rId22" w:history="1">
              <w:r w:rsidR="005D512C">
                <w:rPr>
                  <w:rFonts w:ascii="Calibri" w:eastAsiaTheme="minorHAnsi" w:hAnsi="Calibri" w:cs="Calibri"/>
                  <w:color w:val="0066CC"/>
                  <w:sz w:val="22"/>
                  <w:szCs w:val="22"/>
                  <w:u w:val="single"/>
                  <w:lang w:eastAsia="en-US"/>
                </w:rPr>
                <w:t>Early years supplementary grant 2023 to 2024</w:t>
              </w:r>
            </w:hyperlink>
          </w:p>
        </w:tc>
        <w:tc>
          <w:tcPr>
            <w:tcW w:w="1276" w:type="dxa"/>
          </w:tcPr>
          <w:p w14:paraId="005C0AF3" w14:textId="5133FF39"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Sept-March </w:t>
            </w:r>
            <w:r w:rsidR="006A16D6">
              <w:rPr>
                <w:rFonts w:ascii="Calibri" w:eastAsiaTheme="minorHAnsi" w:hAnsi="Calibri" w:cs="Calibri"/>
                <w:color w:val="000000"/>
                <w:sz w:val="22"/>
                <w:szCs w:val="22"/>
                <w:lang w:eastAsia="en-US"/>
              </w:rPr>
              <w:t>‘</w:t>
            </w:r>
            <w:r>
              <w:rPr>
                <w:rFonts w:ascii="Calibri" w:eastAsiaTheme="minorHAnsi" w:hAnsi="Calibri" w:cs="Calibri"/>
                <w:color w:val="000000"/>
                <w:sz w:val="22"/>
                <w:szCs w:val="22"/>
                <w:lang w:eastAsia="en-US"/>
              </w:rPr>
              <w:t xml:space="preserve">24 </w:t>
            </w:r>
          </w:p>
        </w:tc>
        <w:tc>
          <w:tcPr>
            <w:tcW w:w="1275" w:type="dxa"/>
          </w:tcPr>
          <w:p w14:paraId="79BE77A0" w14:textId="77777777" w:rsidR="005D512C" w:rsidRDefault="005D512C">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t.b.c</w:t>
            </w:r>
            <w:proofErr w:type="spellEnd"/>
            <w:r>
              <w:rPr>
                <w:rFonts w:ascii="Calibri" w:eastAsiaTheme="minorHAnsi" w:hAnsi="Calibri" w:cs="Calibri"/>
                <w:color w:val="000000"/>
                <w:sz w:val="22"/>
                <w:szCs w:val="22"/>
                <w:lang w:eastAsia="en-US"/>
              </w:rPr>
              <w:t xml:space="preserve">. </w:t>
            </w:r>
          </w:p>
        </w:tc>
      </w:tr>
      <w:tr w:rsidR="003A09D3" w14:paraId="7818F03B" w14:textId="77777777" w:rsidTr="002E3BAE">
        <w:trPr>
          <w:trHeight w:val="377"/>
        </w:trPr>
        <w:tc>
          <w:tcPr>
            <w:tcW w:w="710" w:type="dxa"/>
          </w:tcPr>
          <w:p w14:paraId="7080DB0D"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I18D</w:t>
            </w:r>
          </w:p>
        </w:tc>
        <w:tc>
          <w:tcPr>
            <w:tcW w:w="2409" w:type="dxa"/>
          </w:tcPr>
          <w:p w14:paraId="1A60848D"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PE Sports Grant </w:t>
            </w:r>
          </w:p>
        </w:tc>
        <w:tc>
          <w:tcPr>
            <w:tcW w:w="3686" w:type="dxa"/>
          </w:tcPr>
          <w:p w14:paraId="03C9CE66" w14:textId="77777777" w:rsidR="003A09D3" w:rsidRDefault="00D13A90" w:rsidP="006A16D6">
            <w:pPr>
              <w:autoSpaceDE w:val="0"/>
              <w:autoSpaceDN w:val="0"/>
              <w:adjustRightInd w:val="0"/>
              <w:rPr>
                <w:rFonts w:ascii="Calibri" w:eastAsiaTheme="minorHAnsi" w:hAnsi="Calibri" w:cs="Calibri"/>
                <w:color w:val="000000"/>
                <w:sz w:val="22"/>
                <w:szCs w:val="22"/>
                <w:lang w:eastAsia="en-US"/>
              </w:rPr>
            </w:pPr>
            <w:hyperlink r:id="rId23" w:history="1">
              <w:r w:rsidR="003A09D3">
                <w:rPr>
                  <w:rFonts w:ascii="Calibri" w:eastAsiaTheme="minorHAnsi" w:hAnsi="Calibri" w:cs="Calibri"/>
                  <w:color w:val="0066CC"/>
                  <w:sz w:val="22"/>
                  <w:szCs w:val="22"/>
                  <w:u w:val="single"/>
                  <w:lang w:eastAsia="en-US"/>
                </w:rPr>
                <w:t>PE and sport premium for primary schools</w:t>
              </w:r>
            </w:hyperlink>
          </w:p>
        </w:tc>
        <w:tc>
          <w:tcPr>
            <w:tcW w:w="1276" w:type="dxa"/>
          </w:tcPr>
          <w:p w14:paraId="6FFFC2DE"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Ac/yr </w:t>
            </w:r>
          </w:p>
        </w:tc>
        <w:tc>
          <w:tcPr>
            <w:tcW w:w="1275" w:type="dxa"/>
          </w:tcPr>
          <w:p w14:paraId="087E809E"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£450.8</w:t>
            </w:r>
          </w:p>
        </w:tc>
      </w:tr>
      <w:tr w:rsidR="003A09D3" w14:paraId="3A614C95" w14:textId="77777777" w:rsidTr="002E3BAE">
        <w:trPr>
          <w:trHeight w:val="581"/>
        </w:trPr>
        <w:tc>
          <w:tcPr>
            <w:tcW w:w="710" w:type="dxa"/>
          </w:tcPr>
          <w:p w14:paraId="6FC50888"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I18D</w:t>
            </w:r>
          </w:p>
        </w:tc>
        <w:tc>
          <w:tcPr>
            <w:tcW w:w="2409" w:type="dxa"/>
          </w:tcPr>
          <w:p w14:paraId="74E54868"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Universal Infants Free School </w:t>
            </w:r>
            <w:proofErr w:type="gramStart"/>
            <w:r>
              <w:rPr>
                <w:rFonts w:ascii="Calibri" w:eastAsiaTheme="minorHAnsi" w:hAnsi="Calibri" w:cs="Calibri"/>
                <w:color w:val="000000"/>
                <w:sz w:val="22"/>
                <w:szCs w:val="22"/>
                <w:lang w:eastAsia="en-US"/>
              </w:rPr>
              <w:t>Meals  (</w:t>
            </w:r>
            <w:proofErr w:type="gramEnd"/>
            <w:r>
              <w:rPr>
                <w:rFonts w:ascii="Calibri" w:eastAsiaTheme="minorHAnsi" w:hAnsi="Calibri" w:cs="Calibri"/>
                <w:color w:val="000000"/>
                <w:sz w:val="22"/>
                <w:szCs w:val="22"/>
                <w:lang w:eastAsia="en-US"/>
              </w:rPr>
              <w:t>UIFSM)</w:t>
            </w:r>
          </w:p>
        </w:tc>
        <w:tc>
          <w:tcPr>
            <w:tcW w:w="3686" w:type="dxa"/>
          </w:tcPr>
          <w:p w14:paraId="1B17B97E" w14:textId="77777777" w:rsidR="003A09D3" w:rsidRDefault="00D13A90" w:rsidP="006A16D6">
            <w:pPr>
              <w:autoSpaceDE w:val="0"/>
              <w:autoSpaceDN w:val="0"/>
              <w:adjustRightInd w:val="0"/>
              <w:rPr>
                <w:rFonts w:ascii="Calibri" w:eastAsiaTheme="minorHAnsi" w:hAnsi="Calibri" w:cs="Calibri"/>
                <w:color w:val="000000"/>
                <w:sz w:val="22"/>
                <w:szCs w:val="22"/>
                <w:lang w:eastAsia="en-US"/>
              </w:rPr>
            </w:pPr>
            <w:hyperlink r:id="rId24" w:history="1">
              <w:r w:rsidR="003A09D3">
                <w:rPr>
                  <w:rFonts w:ascii="Calibri" w:eastAsiaTheme="minorHAnsi" w:hAnsi="Calibri" w:cs="Calibri"/>
                  <w:color w:val="0066CC"/>
                  <w:sz w:val="22"/>
                  <w:szCs w:val="22"/>
                  <w:u w:val="single"/>
                  <w:lang w:eastAsia="en-US"/>
                </w:rPr>
                <w:t>Universal infant free school meals (UIFSM): 2023 to 2024</w:t>
              </w:r>
            </w:hyperlink>
          </w:p>
        </w:tc>
        <w:tc>
          <w:tcPr>
            <w:tcW w:w="1276" w:type="dxa"/>
          </w:tcPr>
          <w:p w14:paraId="7833C60D"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Ac/yr </w:t>
            </w:r>
          </w:p>
        </w:tc>
        <w:tc>
          <w:tcPr>
            <w:tcW w:w="1275" w:type="dxa"/>
          </w:tcPr>
          <w:p w14:paraId="40E55E59"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£2,290.2</w:t>
            </w:r>
          </w:p>
        </w:tc>
      </w:tr>
    </w:tbl>
    <w:p w14:paraId="104E4B91" w14:textId="3B5E449C" w:rsidR="00040F3D" w:rsidRPr="00040F3D" w:rsidRDefault="00040F3D" w:rsidP="00040F3D">
      <w:pPr>
        <w:autoSpaceDE w:val="0"/>
        <w:autoSpaceDN w:val="0"/>
        <w:adjustRightInd w:val="0"/>
        <w:spacing w:after="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Paid to schools in quarterly ad-hoc payment run following receipt of income – </w:t>
      </w:r>
      <w:proofErr w:type="gramStart"/>
      <w:r>
        <w:rPr>
          <w:rFonts w:ascii="Calibri" w:eastAsiaTheme="minorHAnsi" w:hAnsi="Calibri" w:cs="Calibri"/>
          <w:b/>
          <w:bCs/>
          <w:color w:val="000000"/>
          <w:sz w:val="22"/>
          <w:szCs w:val="22"/>
          <w:lang w:eastAsia="en-US"/>
        </w:rPr>
        <w:t>non Recurrent</w:t>
      </w:r>
      <w:proofErr w:type="gramEnd"/>
      <w:r>
        <w:rPr>
          <w:rFonts w:ascii="Calibri" w:eastAsiaTheme="minorHAnsi" w:hAnsi="Calibri" w:cs="Calibri"/>
          <w:b/>
          <w:bCs/>
          <w:color w:val="000000"/>
          <w:sz w:val="22"/>
          <w:szCs w:val="22"/>
          <w:lang w:eastAsia="en-US"/>
        </w:rPr>
        <w:t xml:space="preserve"> grants</w:t>
      </w:r>
    </w:p>
    <w:tbl>
      <w:tblPr>
        <w:tblStyle w:val="TableGrid"/>
        <w:tblW w:w="9356" w:type="dxa"/>
        <w:tblLayout w:type="fixed"/>
        <w:tblLook w:val="0020" w:firstRow="1" w:lastRow="0" w:firstColumn="0" w:lastColumn="0" w:noHBand="0" w:noVBand="0"/>
      </w:tblPr>
      <w:tblGrid>
        <w:gridCol w:w="710"/>
        <w:gridCol w:w="2409"/>
        <w:gridCol w:w="3680"/>
        <w:gridCol w:w="1282"/>
        <w:gridCol w:w="1275"/>
      </w:tblGrid>
      <w:tr w:rsidR="003A09D3" w14:paraId="392EA26C" w14:textId="77777777" w:rsidTr="002E3BAE">
        <w:trPr>
          <w:trHeight w:val="454"/>
        </w:trPr>
        <w:tc>
          <w:tcPr>
            <w:tcW w:w="710" w:type="dxa"/>
          </w:tcPr>
          <w:p w14:paraId="6D5196BC"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I02</w:t>
            </w:r>
          </w:p>
        </w:tc>
        <w:tc>
          <w:tcPr>
            <w:tcW w:w="2409" w:type="dxa"/>
          </w:tcPr>
          <w:p w14:paraId="6E10A5DA"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School Sixth Form 16-19 Bursary Fund</w:t>
            </w:r>
          </w:p>
        </w:tc>
        <w:tc>
          <w:tcPr>
            <w:tcW w:w="3680" w:type="dxa"/>
          </w:tcPr>
          <w:p w14:paraId="0FB78A45" w14:textId="77777777" w:rsidR="003A09D3" w:rsidRDefault="00D13A90" w:rsidP="006A16D6">
            <w:pPr>
              <w:autoSpaceDE w:val="0"/>
              <w:autoSpaceDN w:val="0"/>
              <w:adjustRightInd w:val="0"/>
              <w:rPr>
                <w:rFonts w:ascii="Calibri" w:eastAsiaTheme="minorHAnsi" w:hAnsi="Calibri" w:cs="Calibri"/>
                <w:color w:val="000000"/>
                <w:sz w:val="22"/>
                <w:szCs w:val="22"/>
                <w:lang w:eastAsia="en-US"/>
              </w:rPr>
            </w:pPr>
            <w:hyperlink r:id="rId25" w:history="1">
              <w:r w:rsidR="003A09D3">
                <w:rPr>
                  <w:rFonts w:ascii="Calibri" w:eastAsiaTheme="minorHAnsi" w:hAnsi="Calibri" w:cs="Calibri"/>
                  <w:color w:val="0066CC"/>
                  <w:sz w:val="22"/>
                  <w:szCs w:val="22"/>
                  <w:u w:val="single"/>
                  <w:lang w:eastAsia="en-US"/>
                </w:rPr>
                <w:t>16 to 19 Bursary Fund guide 2023 to 2024 academic year</w:t>
              </w:r>
            </w:hyperlink>
          </w:p>
        </w:tc>
        <w:tc>
          <w:tcPr>
            <w:tcW w:w="1282" w:type="dxa"/>
          </w:tcPr>
          <w:p w14:paraId="0F40261A"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f/y </w:t>
            </w:r>
          </w:p>
        </w:tc>
        <w:tc>
          <w:tcPr>
            <w:tcW w:w="1275" w:type="dxa"/>
          </w:tcPr>
          <w:p w14:paraId="5C86C489"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£0.0</w:t>
            </w:r>
          </w:p>
        </w:tc>
      </w:tr>
      <w:tr w:rsidR="003A09D3" w14:paraId="33F27D26" w14:textId="77777777" w:rsidTr="002E3BAE">
        <w:trPr>
          <w:trHeight w:val="336"/>
        </w:trPr>
        <w:tc>
          <w:tcPr>
            <w:tcW w:w="710" w:type="dxa"/>
          </w:tcPr>
          <w:p w14:paraId="4D19DD3B"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I06</w:t>
            </w:r>
          </w:p>
        </w:tc>
        <w:tc>
          <w:tcPr>
            <w:tcW w:w="2409" w:type="dxa"/>
          </w:tcPr>
          <w:p w14:paraId="7448EBA9"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School Direct (salaried) ITT </w:t>
            </w:r>
          </w:p>
        </w:tc>
        <w:tc>
          <w:tcPr>
            <w:tcW w:w="3680" w:type="dxa"/>
          </w:tcPr>
          <w:p w14:paraId="2C859A52" w14:textId="77777777" w:rsidR="003A09D3" w:rsidRDefault="00D13A90" w:rsidP="006A16D6">
            <w:pPr>
              <w:autoSpaceDE w:val="0"/>
              <w:autoSpaceDN w:val="0"/>
              <w:adjustRightInd w:val="0"/>
              <w:rPr>
                <w:rFonts w:ascii="Calibri" w:eastAsiaTheme="minorHAnsi" w:hAnsi="Calibri" w:cs="Calibri"/>
                <w:color w:val="000000"/>
                <w:sz w:val="22"/>
                <w:szCs w:val="22"/>
                <w:lang w:eastAsia="en-US"/>
              </w:rPr>
            </w:pPr>
            <w:hyperlink r:id="rId26" w:history="1">
              <w:r w:rsidR="003A09D3">
                <w:rPr>
                  <w:rFonts w:ascii="Calibri" w:eastAsiaTheme="minorHAnsi" w:hAnsi="Calibri" w:cs="Calibri"/>
                  <w:color w:val="0066CC"/>
                  <w:sz w:val="22"/>
                  <w:szCs w:val="22"/>
                  <w:u w:val="single"/>
                  <w:lang w:eastAsia="en-US"/>
                </w:rPr>
                <w:t>School Direct (salaried) funding manual: 2023 to 2024 ...</w:t>
              </w:r>
            </w:hyperlink>
          </w:p>
        </w:tc>
        <w:tc>
          <w:tcPr>
            <w:tcW w:w="1282" w:type="dxa"/>
          </w:tcPr>
          <w:p w14:paraId="1C7E133C"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Ac/yr  </w:t>
            </w:r>
          </w:p>
        </w:tc>
        <w:tc>
          <w:tcPr>
            <w:tcW w:w="1275" w:type="dxa"/>
          </w:tcPr>
          <w:p w14:paraId="507F0513"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£65.2</w:t>
            </w:r>
          </w:p>
        </w:tc>
      </w:tr>
      <w:tr w:rsidR="002E3BAE" w14:paraId="0A0EB67E" w14:textId="77777777" w:rsidTr="002E3BAE">
        <w:trPr>
          <w:trHeight w:val="336"/>
        </w:trPr>
        <w:tc>
          <w:tcPr>
            <w:tcW w:w="710" w:type="dxa"/>
          </w:tcPr>
          <w:p w14:paraId="78B7ED13" w14:textId="77777777" w:rsidR="002E3BAE" w:rsidRDefault="002E3BAE"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I06</w:t>
            </w:r>
          </w:p>
        </w:tc>
        <w:tc>
          <w:tcPr>
            <w:tcW w:w="2409" w:type="dxa"/>
          </w:tcPr>
          <w:p w14:paraId="430EDCAD" w14:textId="77777777" w:rsidR="002E3BAE" w:rsidRDefault="002E3BAE"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Senior Mental Health leads</w:t>
            </w:r>
          </w:p>
        </w:tc>
        <w:tc>
          <w:tcPr>
            <w:tcW w:w="3680" w:type="dxa"/>
          </w:tcPr>
          <w:p w14:paraId="73F10A3A" w14:textId="77777777" w:rsidR="002E3BAE" w:rsidRDefault="002E3BAE" w:rsidP="006A16D6">
            <w:pPr>
              <w:autoSpaceDE w:val="0"/>
              <w:autoSpaceDN w:val="0"/>
              <w:adjustRightInd w:val="0"/>
              <w:rPr>
                <w:rFonts w:ascii="Calibri" w:eastAsiaTheme="minorHAnsi" w:hAnsi="Calibri" w:cs="Calibri"/>
                <w:color w:val="000000"/>
                <w:sz w:val="22"/>
                <w:szCs w:val="22"/>
                <w:lang w:eastAsia="en-US"/>
              </w:rPr>
            </w:pPr>
            <w:hyperlink r:id="rId27" w:history="1">
              <w:r>
                <w:rPr>
                  <w:rFonts w:ascii="Calibri" w:eastAsiaTheme="minorHAnsi" w:hAnsi="Calibri" w:cs="Calibri"/>
                  <w:color w:val="0066CC"/>
                  <w:sz w:val="22"/>
                  <w:szCs w:val="22"/>
                  <w:u w:val="single"/>
                  <w:lang w:eastAsia="en-US"/>
                </w:rPr>
                <w:t>Senior mental health lead training</w:t>
              </w:r>
            </w:hyperlink>
          </w:p>
        </w:tc>
        <w:tc>
          <w:tcPr>
            <w:tcW w:w="1282" w:type="dxa"/>
          </w:tcPr>
          <w:p w14:paraId="2C34AC8B" w14:textId="542393FC" w:rsidR="002E3BAE" w:rsidRDefault="002E3BAE" w:rsidP="006A16D6">
            <w:pPr>
              <w:autoSpaceDE w:val="0"/>
              <w:autoSpaceDN w:val="0"/>
              <w:adjustRightInd w:val="0"/>
              <w:rPr>
                <w:rFonts w:ascii="Calibri" w:eastAsiaTheme="minorHAnsi" w:hAnsi="Calibri" w:cs="Calibri"/>
                <w:color w:val="000000"/>
                <w:sz w:val="22"/>
                <w:szCs w:val="22"/>
                <w:lang w:eastAsia="en-US"/>
              </w:rPr>
            </w:pPr>
          </w:p>
        </w:tc>
        <w:tc>
          <w:tcPr>
            <w:tcW w:w="1275" w:type="dxa"/>
          </w:tcPr>
          <w:p w14:paraId="41057964" w14:textId="77777777" w:rsidR="002E3BAE" w:rsidRDefault="002E3BAE" w:rsidP="003A09D3">
            <w:pPr>
              <w:autoSpaceDE w:val="0"/>
              <w:autoSpaceDN w:val="0"/>
              <w:adjustRightInd w:val="0"/>
              <w:jc w:val="center"/>
              <w:rPr>
                <w:rFonts w:ascii="Calibri" w:eastAsiaTheme="minorHAnsi" w:hAnsi="Calibri" w:cs="Calibri"/>
                <w:color w:val="000000"/>
                <w:sz w:val="22"/>
                <w:szCs w:val="22"/>
                <w:lang w:eastAsia="en-US"/>
              </w:rPr>
            </w:pPr>
          </w:p>
        </w:tc>
      </w:tr>
      <w:tr w:rsidR="003A09D3" w14:paraId="6C03759E" w14:textId="77777777" w:rsidTr="002E3BAE">
        <w:trPr>
          <w:trHeight w:val="319"/>
        </w:trPr>
        <w:tc>
          <w:tcPr>
            <w:tcW w:w="710" w:type="dxa"/>
          </w:tcPr>
          <w:p w14:paraId="717BA5FC"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I06</w:t>
            </w:r>
          </w:p>
        </w:tc>
        <w:tc>
          <w:tcPr>
            <w:tcW w:w="2409" w:type="dxa"/>
          </w:tcPr>
          <w:p w14:paraId="2F9BA6D0"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Early Careers Framework</w:t>
            </w:r>
          </w:p>
        </w:tc>
        <w:tc>
          <w:tcPr>
            <w:tcW w:w="3680" w:type="dxa"/>
          </w:tcPr>
          <w:p w14:paraId="015B538E" w14:textId="77777777" w:rsidR="003A09D3" w:rsidRDefault="00D13A90" w:rsidP="006A16D6">
            <w:pPr>
              <w:autoSpaceDE w:val="0"/>
              <w:autoSpaceDN w:val="0"/>
              <w:adjustRightInd w:val="0"/>
              <w:rPr>
                <w:rFonts w:ascii="Calibri" w:eastAsiaTheme="minorHAnsi" w:hAnsi="Calibri" w:cs="Calibri"/>
                <w:color w:val="000000"/>
                <w:sz w:val="22"/>
                <w:szCs w:val="22"/>
                <w:lang w:eastAsia="en-US"/>
              </w:rPr>
            </w:pPr>
            <w:hyperlink r:id="rId28" w:history="1">
              <w:r w:rsidR="003A09D3">
                <w:rPr>
                  <w:rFonts w:ascii="Calibri" w:eastAsiaTheme="minorHAnsi" w:hAnsi="Calibri" w:cs="Calibri"/>
                  <w:color w:val="0066CC"/>
                  <w:sz w:val="22"/>
                  <w:szCs w:val="22"/>
                  <w:u w:val="single"/>
                  <w:lang w:eastAsia="en-US"/>
                </w:rPr>
                <w:t>Early years initial teacher training: 2023 to 2024 funding ...</w:t>
              </w:r>
            </w:hyperlink>
          </w:p>
        </w:tc>
        <w:tc>
          <w:tcPr>
            <w:tcW w:w="1282" w:type="dxa"/>
          </w:tcPr>
          <w:p w14:paraId="27A127D5"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Ac/yr </w:t>
            </w:r>
          </w:p>
        </w:tc>
        <w:tc>
          <w:tcPr>
            <w:tcW w:w="1275" w:type="dxa"/>
          </w:tcPr>
          <w:p w14:paraId="28E172F2"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£533.1</w:t>
            </w:r>
          </w:p>
        </w:tc>
      </w:tr>
      <w:tr w:rsidR="003A09D3" w14:paraId="1DDCFCA9" w14:textId="77777777" w:rsidTr="002E3BAE">
        <w:trPr>
          <w:trHeight w:val="533"/>
        </w:trPr>
        <w:tc>
          <w:tcPr>
            <w:tcW w:w="710" w:type="dxa"/>
          </w:tcPr>
          <w:p w14:paraId="4328FB02" w14:textId="73F4F79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I18C</w:t>
            </w:r>
          </w:p>
        </w:tc>
        <w:tc>
          <w:tcPr>
            <w:tcW w:w="2409" w:type="dxa"/>
          </w:tcPr>
          <w:p w14:paraId="16324529"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National Tutoring Programme </w:t>
            </w:r>
          </w:p>
        </w:tc>
        <w:tc>
          <w:tcPr>
            <w:tcW w:w="3680" w:type="dxa"/>
          </w:tcPr>
          <w:p w14:paraId="2193E9AC" w14:textId="77777777" w:rsidR="003A09D3" w:rsidRDefault="00D13A90" w:rsidP="006A16D6">
            <w:pPr>
              <w:autoSpaceDE w:val="0"/>
              <w:autoSpaceDN w:val="0"/>
              <w:adjustRightInd w:val="0"/>
              <w:rPr>
                <w:rFonts w:ascii="Calibri" w:eastAsiaTheme="minorHAnsi" w:hAnsi="Calibri" w:cs="Calibri"/>
                <w:color w:val="000000"/>
                <w:sz w:val="22"/>
                <w:szCs w:val="22"/>
                <w:lang w:eastAsia="en-US"/>
              </w:rPr>
            </w:pPr>
            <w:hyperlink r:id="rId29" w:history="1">
              <w:r w:rsidR="003A09D3">
                <w:rPr>
                  <w:rFonts w:ascii="Calibri" w:eastAsiaTheme="minorHAnsi" w:hAnsi="Calibri" w:cs="Calibri"/>
                  <w:color w:val="0066CC"/>
                  <w:sz w:val="22"/>
                  <w:szCs w:val="22"/>
                  <w:u w:val="single"/>
                  <w:lang w:eastAsia="en-US"/>
                </w:rPr>
                <w:t>National Tutoring Programme (NTP) allocations for 2023 to ...</w:t>
              </w:r>
            </w:hyperlink>
          </w:p>
        </w:tc>
        <w:tc>
          <w:tcPr>
            <w:tcW w:w="1282" w:type="dxa"/>
          </w:tcPr>
          <w:p w14:paraId="427832AB"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Ac/yr </w:t>
            </w:r>
          </w:p>
          <w:p w14:paraId="183C9307"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until '21-24 </w:t>
            </w:r>
          </w:p>
        </w:tc>
        <w:tc>
          <w:tcPr>
            <w:tcW w:w="1275" w:type="dxa"/>
          </w:tcPr>
          <w:p w14:paraId="1F8DCC22"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£2,229.8</w:t>
            </w:r>
          </w:p>
        </w:tc>
      </w:tr>
      <w:tr w:rsidR="003A09D3" w14:paraId="169EF997" w14:textId="77777777" w:rsidTr="002E3BAE">
        <w:trPr>
          <w:trHeight w:val="506"/>
        </w:trPr>
        <w:tc>
          <w:tcPr>
            <w:tcW w:w="710" w:type="dxa"/>
          </w:tcPr>
          <w:p w14:paraId="41D59DBC" w14:textId="17CB5B9C"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I18C</w:t>
            </w:r>
          </w:p>
        </w:tc>
        <w:tc>
          <w:tcPr>
            <w:tcW w:w="2409" w:type="dxa"/>
          </w:tcPr>
          <w:p w14:paraId="3B1113EF"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Covid Recovery Premium</w:t>
            </w:r>
          </w:p>
        </w:tc>
        <w:tc>
          <w:tcPr>
            <w:tcW w:w="3680" w:type="dxa"/>
          </w:tcPr>
          <w:p w14:paraId="19367B1D" w14:textId="77777777" w:rsidR="003A09D3" w:rsidRDefault="00D13A90" w:rsidP="006A16D6">
            <w:pPr>
              <w:autoSpaceDE w:val="0"/>
              <w:autoSpaceDN w:val="0"/>
              <w:adjustRightInd w:val="0"/>
              <w:rPr>
                <w:rFonts w:ascii="Calibri" w:eastAsiaTheme="minorHAnsi" w:hAnsi="Calibri" w:cs="Calibri"/>
                <w:color w:val="000000"/>
                <w:sz w:val="22"/>
                <w:szCs w:val="22"/>
                <w:lang w:eastAsia="en-US"/>
              </w:rPr>
            </w:pPr>
            <w:hyperlink r:id="rId30" w:history="1">
              <w:r w:rsidR="003A09D3">
                <w:rPr>
                  <w:rFonts w:ascii="Calibri" w:eastAsiaTheme="minorHAnsi" w:hAnsi="Calibri" w:cs="Calibri"/>
                  <w:color w:val="0066CC"/>
                  <w:sz w:val="22"/>
                  <w:szCs w:val="22"/>
                  <w:u w:val="single"/>
                  <w:lang w:eastAsia="en-US"/>
                </w:rPr>
                <w:t>Coronavirus (COVID-19) recovery premium funding</w:t>
              </w:r>
            </w:hyperlink>
          </w:p>
        </w:tc>
        <w:tc>
          <w:tcPr>
            <w:tcW w:w="1282" w:type="dxa"/>
          </w:tcPr>
          <w:p w14:paraId="5A1DBF5B"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Ac/yr</w:t>
            </w:r>
          </w:p>
          <w:p w14:paraId="4242EC43"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2022-23 </w:t>
            </w:r>
          </w:p>
        </w:tc>
        <w:tc>
          <w:tcPr>
            <w:tcW w:w="1275" w:type="dxa"/>
          </w:tcPr>
          <w:p w14:paraId="69239F31"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£2,813.0</w:t>
            </w:r>
          </w:p>
        </w:tc>
      </w:tr>
      <w:tr w:rsidR="003A09D3" w14:paraId="6E2B5C0D" w14:textId="77777777" w:rsidTr="002E3BAE">
        <w:trPr>
          <w:trHeight w:val="343"/>
        </w:trPr>
        <w:tc>
          <w:tcPr>
            <w:tcW w:w="710" w:type="dxa"/>
          </w:tcPr>
          <w:p w14:paraId="6ABE70A0"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CI01</w:t>
            </w:r>
          </w:p>
        </w:tc>
        <w:tc>
          <w:tcPr>
            <w:tcW w:w="2409" w:type="dxa"/>
          </w:tcPr>
          <w:p w14:paraId="26F387B6" w14:textId="77777777" w:rsidR="003A09D3" w:rsidRDefault="003A09D3" w:rsidP="003A09D3">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Devolved Capital Grant </w:t>
            </w:r>
          </w:p>
        </w:tc>
        <w:tc>
          <w:tcPr>
            <w:tcW w:w="3680" w:type="dxa"/>
          </w:tcPr>
          <w:p w14:paraId="67AA25EF" w14:textId="77777777" w:rsidR="003A09D3" w:rsidRDefault="003A09D3" w:rsidP="006A16D6">
            <w:pPr>
              <w:autoSpaceDE w:val="0"/>
              <w:autoSpaceDN w:val="0"/>
              <w:adjustRightInd w:val="0"/>
              <w:rPr>
                <w:rFonts w:ascii="Calibri" w:eastAsiaTheme="minorHAnsi" w:hAnsi="Calibri" w:cs="Calibri"/>
                <w:color w:val="000000"/>
                <w:sz w:val="22"/>
                <w:szCs w:val="22"/>
                <w:lang w:eastAsia="en-US"/>
              </w:rPr>
            </w:pPr>
          </w:p>
        </w:tc>
        <w:tc>
          <w:tcPr>
            <w:tcW w:w="1282" w:type="dxa"/>
          </w:tcPr>
          <w:p w14:paraId="057E3358"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f/y </w:t>
            </w:r>
          </w:p>
        </w:tc>
        <w:tc>
          <w:tcPr>
            <w:tcW w:w="1275" w:type="dxa"/>
          </w:tcPr>
          <w:p w14:paraId="708D0CA7" w14:textId="77777777" w:rsidR="003A09D3" w:rsidRDefault="003A09D3" w:rsidP="003A09D3">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£583.0</w:t>
            </w:r>
          </w:p>
        </w:tc>
      </w:tr>
    </w:tbl>
    <w:p w14:paraId="60A97D89" w14:textId="77777777" w:rsidR="00C162AA" w:rsidRDefault="00C162AA" w:rsidP="00C162AA">
      <w:pPr>
        <w:pStyle w:val="ListParagraph"/>
        <w:autoSpaceDE w:val="0"/>
        <w:autoSpaceDN w:val="0"/>
        <w:adjustRightInd w:val="0"/>
        <w:ind w:left="426"/>
        <w:rPr>
          <w:color w:val="000000"/>
        </w:rPr>
      </w:pPr>
    </w:p>
    <w:tbl>
      <w:tblPr>
        <w:tblStyle w:val="TableGrid"/>
        <w:tblW w:w="9356" w:type="dxa"/>
        <w:tblLayout w:type="fixed"/>
        <w:tblLook w:val="0020" w:firstRow="1" w:lastRow="0" w:firstColumn="0" w:lastColumn="0" w:noHBand="0" w:noVBand="0"/>
      </w:tblPr>
      <w:tblGrid>
        <w:gridCol w:w="710"/>
        <w:gridCol w:w="6095"/>
        <w:gridCol w:w="1276"/>
        <w:gridCol w:w="1275"/>
      </w:tblGrid>
      <w:tr w:rsidR="00140894" w14:paraId="743EE3A4" w14:textId="77777777" w:rsidTr="002E3BAE">
        <w:trPr>
          <w:trHeight w:val="336"/>
        </w:trPr>
        <w:tc>
          <w:tcPr>
            <w:tcW w:w="710" w:type="dxa"/>
            <w:shd w:val="clear" w:color="auto" w:fill="F7CAAC" w:themeFill="accent2" w:themeFillTint="66"/>
          </w:tcPr>
          <w:p w14:paraId="5B5A7848" w14:textId="77777777" w:rsidR="00140894" w:rsidRDefault="00140894" w:rsidP="00EE5F15">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CFR</w:t>
            </w:r>
          </w:p>
        </w:tc>
        <w:tc>
          <w:tcPr>
            <w:tcW w:w="6095" w:type="dxa"/>
            <w:shd w:val="clear" w:color="auto" w:fill="F7CAAC" w:themeFill="accent2" w:themeFillTint="66"/>
          </w:tcPr>
          <w:p w14:paraId="0375C1F9" w14:textId="115D232C" w:rsidR="00140894" w:rsidRDefault="00140894" w:rsidP="00EE5F15">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Grant Name </w:t>
            </w:r>
          </w:p>
        </w:tc>
        <w:tc>
          <w:tcPr>
            <w:tcW w:w="1276" w:type="dxa"/>
            <w:shd w:val="clear" w:color="auto" w:fill="F7CAAC" w:themeFill="accent2" w:themeFillTint="66"/>
          </w:tcPr>
          <w:p w14:paraId="579F2B0C" w14:textId="77777777" w:rsidR="00140894" w:rsidRDefault="00140894" w:rsidP="00EE5F15">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academic / financial year</w:t>
            </w:r>
          </w:p>
        </w:tc>
        <w:tc>
          <w:tcPr>
            <w:tcW w:w="1275" w:type="dxa"/>
            <w:shd w:val="clear" w:color="auto" w:fill="F7CAAC" w:themeFill="accent2" w:themeFillTint="66"/>
          </w:tcPr>
          <w:p w14:paraId="1043510A" w14:textId="77777777" w:rsidR="00140894" w:rsidRDefault="00140894" w:rsidP="00EE5F15">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2023-24 Fin Yr</w:t>
            </w:r>
          </w:p>
          <w:p w14:paraId="0188B2C5" w14:textId="77777777" w:rsidR="00140894" w:rsidRDefault="00140894" w:rsidP="00EE5F15">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 (approx. £000)</w:t>
            </w:r>
          </w:p>
        </w:tc>
      </w:tr>
    </w:tbl>
    <w:p w14:paraId="2A8B824C" w14:textId="570B602E" w:rsidR="00BF11E1" w:rsidRDefault="00BF11E1" w:rsidP="00000334">
      <w:pPr>
        <w:spacing w:after="0"/>
      </w:pPr>
      <w:r>
        <w:rPr>
          <w:rFonts w:ascii="Calibri" w:eastAsiaTheme="minorHAnsi" w:hAnsi="Calibri" w:cs="Calibri"/>
          <w:b/>
          <w:bCs/>
          <w:color w:val="000000"/>
          <w:sz w:val="22"/>
          <w:szCs w:val="22"/>
          <w:lang w:eastAsia="en-US"/>
        </w:rPr>
        <w:t>Local / London grant initiatives</w:t>
      </w:r>
    </w:p>
    <w:tbl>
      <w:tblPr>
        <w:tblStyle w:val="TableGrid"/>
        <w:tblW w:w="9356" w:type="dxa"/>
        <w:tblLayout w:type="fixed"/>
        <w:tblLook w:val="0020" w:firstRow="1" w:lastRow="0" w:firstColumn="0" w:lastColumn="0" w:noHBand="0" w:noVBand="0"/>
      </w:tblPr>
      <w:tblGrid>
        <w:gridCol w:w="710"/>
        <w:gridCol w:w="6095"/>
        <w:gridCol w:w="1276"/>
        <w:gridCol w:w="1275"/>
      </w:tblGrid>
      <w:tr w:rsidR="00140894" w14:paraId="5D13E4AA" w14:textId="77777777" w:rsidTr="002E3BAE">
        <w:trPr>
          <w:trHeight w:val="377"/>
        </w:trPr>
        <w:tc>
          <w:tcPr>
            <w:tcW w:w="710" w:type="dxa"/>
          </w:tcPr>
          <w:p w14:paraId="7032DEE2" w14:textId="77777777" w:rsidR="00140894" w:rsidRDefault="00140894" w:rsidP="00EE5F1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I07</w:t>
            </w:r>
          </w:p>
        </w:tc>
        <w:tc>
          <w:tcPr>
            <w:tcW w:w="6095" w:type="dxa"/>
          </w:tcPr>
          <w:p w14:paraId="6A9D86B3" w14:textId="2C0A156B" w:rsidR="00140894" w:rsidRDefault="00140894" w:rsidP="00EE5F15">
            <w:pPr>
              <w:autoSpaceDE w:val="0"/>
              <w:autoSpaceDN w:val="0"/>
              <w:adjustRightInd w:val="0"/>
            </w:pPr>
            <w:r>
              <w:rPr>
                <w:rFonts w:ascii="Calibri" w:eastAsiaTheme="minorHAnsi" w:hAnsi="Calibri" w:cs="Calibri"/>
                <w:color w:val="000000"/>
                <w:sz w:val="22"/>
                <w:szCs w:val="22"/>
                <w:lang w:eastAsia="en-US"/>
              </w:rPr>
              <w:t>London Mayors UFSM programme (key stage 2)</w:t>
            </w:r>
          </w:p>
        </w:tc>
        <w:tc>
          <w:tcPr>
            <w:tcW w:w="1276" w:type="dxa"/>
          </w:tcPr>
          <w:p w14:paraId="38457D7C" w14:textId="77777777" w:rsidR="00140894" w:rsidRDefault="00140894" w:rsidP="00EE5F15">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F/yr </w:t>
            </w:r>
          </w:p>
        </w:tc>
        <w:tc>
          <w:tcPr>
            <w:tcW w:w="1275" w:type="dxa"/>
          </w:tcPr>
          <w:p w14:paraId="5CEBCC92" w14:textId="77777777" w:rsidR="00140894" w:rsidRDefault="00140894" w:rsidP="00EE5F15">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£1,879.0</w:t>
            </w:r>
          </w:p>
        </w:tc>
      </w:tr>
      <w:tr w:rsidR="00140894" w14:paraId="4728F0A3" w14:textId="77777777" w:rsidTr="002E3BAE">
        <w:trPr>
          <w:trHeight w:val="377"/>
        </w:trPr>
        <w:tc>
          <w:tcPr>
            <w:tcW w:w="710" w:type="dxa"/>
          </w:tcPr>
          <w:p w14:paraId="5F382F9D" w14:textId="62E9EBB2" w:rsidR="00140894" w:rsidRDefault="00140894" w:rsidP="00EE5F1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I07</w:t>
            </w:r>
          </w:p>
        </w:tc>
        <w:tc>
          <w:tcPr>
            <w:tcW w:w="6095" w:type="dxa"/>
          </w:tcPr>
          <w:p w14:paraId="2DBCDB4E" w14:textId="1739EBC1" w:rsidR="00140894" w:rsidRDefault="00140894" w:rsidP="00EE5F1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LBTH Mayor UFSM programme (secondary schools)</w:t>
            </w:r>
          </w:p>
        </w:tc>
        <w:tc>
          <w:tcPr>
            <w:tcW w:w="1276" w:type="dxa"/>
          </w:tcPr>
          <w:p w14:paraId="41360F49" w14:textId="5A80D41F" w:rsidR="00140894" w:rsidRDefault="00140894" w:rsidP="00EE5F15">
            <w:pPr>
              <w:autoSpaceDE w:val="0"/>
              <w:autoSpaceDN w:val="0"/>
              <w:adjustRightInd w:val="0"/>
              <w:jc w:val="cente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F/yr</w:t>
            </w:r>
          </w:p>
        </w:tc>
        <w:tc>
          <w:tcPr>
            <w:tcW w:w="1275" w:type="dxa"/>
          </w:tcPr>
          <w:p w14:paraId="51F53617" w14:textId="4DA689C7" w:rsidR="00140894" w:rsidRDefault="00140894" w:rsidP="00EE5F15">
            <w:pPr>
              <w:autoSpaceDE w:val="0"/>
              <w:autoSpaceDN w:val="0"/>
              <w:adjustRightInd w:val="0"/>
              <w:jc w:val="center"/>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t.b.a</w:t>
            </w:r>
            <w:proofErr w:type="spellEnd"/>
            <w:r>
              <w:rPr>
                <w:rFonts w:ascii="Calibri" w:eastAsiaTheme="minorHAnsi" w:hAnsi="Calibri" w:cs="Calibri"/>
                <w:color w:val="000000"/>
                <w:sz w:val="22"/>
                <w:szCs w:val="22"/>
                <w:lang w:eastAsia="en-US"/>
              </w:rPr>
              <w:t>.</w:t>
            </w:r>
          </w:p>
        </w:tc>
      </w:tr>
    </w:tbl>
    <w:p w14:paraId="0163E41D" w14:textId="77777777" w:rsidR="00140894" w:rsidRPr="00C162AA" w:rsidRDefault="00140894" w:rsidP="00C162AA">
      <w:pPr>
        <w:pStyle w:val="ListParagraph"/>
        <w:autoSpaceDE w:val="0"/>
        <w:autoSpaceDN w:val="0"/>
        <w:adjustRightInd w:val="0"/>
        <w:ind w:left="426"/>
        <w:rPr>
          <w:color w:val="000000"/>
        </w:rPr>
      </w:pPr>
    </w:p>
    <w:sectPr w:rsidR="00140894" w:rsidRPr="00C162AA" w:rsidSect="00DC0596">
      <w:head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EB1C" w14:textId="77777777" w:rsidR="00F32E4A" w:rsidRDefault="00F32E4A" w:rsidP="00101F8B">
      <w:r>
        <w:separator/>
      </w:r>
    </w:p>
    <w:p w14:paraId="75CD95DE" w14:textId="77777777" w:rsidR="00F32E4A" w:rsidRDefault="00F32E4A" w:rsidP="00101F8B"/>
    <w:p w14:paraId="6AFB59DC" w14:textId="77777777" w:rsidR="00F32E4A" w:rsidRDefault="00F32E4A" w:rsidP="00101F8B"/>
    <w:p w14:paraId="47B342A2" w14:textId="77777777" w:rsidR="00F32E4A" w:rsidRDefault="00F32E4A" w:rsidP="00101F8B"/>
    <w:p w14:paraId="4310287A" w14:textId="77777777" w:rsidR="00F32E4A" w:rsidRDefault="00F32E4A" w:rsidP="00101F8B"/>
    <w:p w14:paraId="5DEDB22D" w14:textId="77777777" w:rsidR="00F32E4A" w:rsidRDefault="00F32E4A" w:rsidP="00101F8B"/>
  </w:endnote>
  <w:endnote w:type="continuationSeparator" w:id="0">
    <w:p w14:paraId="6514AE5D" w14:textId="77777777" w:rsidR="00F32E4A" w:rsidRDefault="00F32E4A" w:rsidP="00101F8B">
      <w:r>
        <w:continuationSeparator/>
      </w:r>
    </w:p>
    <w:p w14:paraId="65721C19" w14:textId="77777777" w:rsidR="00F32E4A" w:rsidRDefault="00F32E4A" w:rsidP="00101F8B"/>
    <w:p w14:paraId="65ACD4A7" w14:textId="77777777" w:rsidR="00F32E4A" w:rsidRDefault="00F32E4A" w:rsidP="00101F8B"/>
    <w:p w14:paraId="32670840" w14:textId="77777777" w:rsidR="00F32E4A" w:rsidRDefault="00F32E4A" w:rsidP="00101F8B"/>
    <w:p w14:paraId="35B44336" w14:textId="77777777" w:rsidR="00F32E4A" w:rsidRDefault="00F32E4A" w:rsidP="00101F8B"/>
    <w:p w14:paraId="5F833ECA" w14:textId="77777777" w:rsidR="00F32E4A" w:rsidRDefault="00F32E4A"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D13A90">
      <w:fldChar w:fldCharType="begin"/>
    </w:r>
    <w:r w:rsidR="00D13A90">
      <w:instrText xml:space="preserve"> NUMPAGES  \* Arabic  \* MERGEFORMAT </w:instrText>
    </w:r>
    <w:r w:rsidR="00D13A90">
      <w:fldChar w:fldCharType="separate"/>
    </w:r>
    <w:r w:rsidRPr="00CC4CE1">
      <w:t>5</w:t>
    </w:r>
    <w:r w:rsidR="00D13A90">
      <w:fldChar w:fldCharType="end"/>
    </w:r>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10-11T00:00:00Z">
        <w:dateFormat w:val="dd/MM/yyyy"/>
        <w:lid w:val="en-GB"/>
        <w:storeMappedDataAs w:val="dateTime"/>
        <w:calendar w:val="gregorian"/>
      </w:date>
    </w:sdtPr>
    <w:sdtEndPr/>
    <w:sdtContent>
      <w:p w14:paraId="0B17A5A9" w14:textId="68FDB686" w:rsidR="00114878" w:rsidRPr="00CC4CE1" w:rsidRDefault="00710735" w:rsidP="007C4F08">
        <w:pPr>
          <w:pStyle w:val="Headersfooters"/>
        </w:pPr>
        <w:r>
          <w:t>11/10/2023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506C" w14:textId="77777777" w:rsidR="00F32E4A" w:rsidRDefault="00F32E4A" w:rsidP="00101F8B">
      <w:r>
        <w:separator/>
      </w:r>
    </w:p>
    <w:p w14:paraId="14A436BF" w14:textId="77777777" w:rsidR="00F32E4A" w:rsidRDefault="00F32E4A" w:rsidP="00101F8B"/>
    <w:p w14:paraId="7AD50C6F" w14:textId="77777777" w:rsidR="00F32E4A" w:rsidRDefault="00F32E4A" w:rsidP="00101F8B"/>
    <w:p w14:paraId="5A4AF05D" w14:textId="77777777" w:rsidR="00F32E4A" w:rsidRDefault="00F32E4A" w:rsidP="00101F8B"/>
    <w:p w14:paraId="07F40B50" w14:textId="77777777" w:rsidR="00F32E4A" w:rsidRDefault="00F32E4A" w:rsidP="00101F8B"/>
    <w:p w14:paraId="3862A247" w14:textId="77777777" w:rsidR="00F32E4A" w:rsidRDefault="00F32E4A" w:rsidP="00101F8B"/>
  </w:footnote>
  <w:footnote w:type="continuationSeparator" w:id="0">
    <w:p w14:paraId="62300B94" w14:textId="77777777" w:rsidR="00F32E4A" w:rsidRDefault="00F32E4A" w:rsidP="00101F8B">
      <w:r>
        <w:continuationSeparator/>
      </w:r>
    </w:p>
    <w:p w14:paraId="68390567" w14:textId="77777777" w:rsidR="00F32E4A" w:rsidRDefault="00F32E4A" w:rsidP="00101F8B"/>
    <w:p w14:paraId="6E913C0C" w14:textId="77777777" w:rsidR="00F32E4A" w:rsidRDefault="00F32E4A" w:rsidP="00101F8B"/>
    <w:p w14:paraId="54B98D52" w14:textId="77777777" w:rsidR="00F32E4A" w:rsidRDefault="00F32E4A" w:rsidP="00101F8B"/>
    <w:p w14:paraId="6D6F7175" w14:textId="77777777" w:rsidR="00F32E4A" w:rsidRDefault="00F32E4A" w:rsidP="00101F8B"/>
    <w:p w14:paraId="67607A35" w14:textId="77777777" w:rsidR="00F32E4A" w:rsidRDefault="00F32E4A"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7CA9D6E0" w:rsidR="00114878" w:rsidRPr="007B40D8" w:rsidRDefault="00D13A90" w:rsidP="007C4F08">
        <w:pPr>
          <w:pStyle w:val="Headersfooters"/>
        </w:pPr>
        <w:r>
          <w:t>DSG new grants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84A"/>
    <w:multiLevelType w:val="multilevel"/>
    <w:tmpl w:val="637CFC88"/>
    <w:lvl w:ilvl="0">
      <w:start w:val="1"/>
      <w:numFmt w:val="decimal"/>
      <w:lvlText w:val="%1."/>
      <w:lvlJc w:val="left"/>
      <w:pPr>
        <w:ind w:left="501" w:hanging="360"/>
      </w:pPr>
    </w:lvl>
    <w:lvl w:ilvl="1">
      <w:start w:val="1"/>
      <w:numFmt w:val="decimal"/>
      <w:lvlText w:val="%1.%2."/>
      <w:lvlJc w:val="left"/>
      <w:pPr>
        <w:ind w:left="933"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1" w15:restartNumberingAfterBreak="0">
    <w:nsid w:val="59ED3402"/>
    <w:multiLevelType w:val="multilevel"/>
    <w:tmpl w:val="637CFC88"/>
    <w:lvl w:ilvl="0">
      <w:start w:val="1"/>
      <w:numFmt w:val="decimal"/>
      <w:lvlText w:val="%1."/>
      <w:lvlJc w:val="left"/>
      <w:pPr>
        <w:ind w:left="360" w:hanging="360"/>
      </w:pPr>
    </w:lvl>
    <w:lvl w:ilvl="1">
      <w:start w:val="1"/>
      <w:numFmt w:val="decimal"/>
      <w:lvlText w:val="%1.%2."/>
      <w:lvlJc w:val="left"/>
      <w:pPr>
        <w:ind w:left="12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12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9034499">
    <w:abstractNumId w:val="3"/>
  </w:num>
  <w:num w:numId="2" w16cid:durableId="1085416488">
    <w:abstractNumId w:val="0"/>
  </w:num>
  <w:num w:numId="3" w16cid:durableId="437601456">
    <w:abstractNumId w:val="2"/>
  </w:num>
  <w:num w:numId="4" w16cid:durableId="1766345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0334"/>
    <w:rsid w:val="00040F3D"/>
    <w:rsid w:val="00043B69"/>
    <w:rsid w:val="00070438"/>
    <w:rsid w:val="00080CA2"/>
    <w:rsid w:val="00097F8B"/>
    <w:rsid w:val="000A6D45"/>
    <w:rsid w:val="00101F8B"/>
    <w:rsid w:val="00114878"/>
    <w:rsid w:val="00114BBD"/>
    <w:rsid w:val="00117CB8"/>
    <w:rsid w:val="001357FA"/>
    <w:rsid w:val="00140894"/>
    <w:rsid w:val="001702A6"/>
    <w:rsid w:val="00173D7C"/>
    <w:rsid w:val="001D61A4"/>
    <w:rsid w:val="00246231"/>
    <w:rsid w:val="00260028"/>
    <w:rsid w:val="00284556"/>
    <w:rsid w:val="00297396"/>
    <w:rsid w:val="002E3BAE"/>
    <w:rsid w:val="002F4BBA"/>
    <w:rsid w:val="003A09D3"/>
    <w:rsid w:val="00400E83"/>
    <w:rsid w:val="004369A3"/>
    <w:rsid w:val="00497CF8"/>
    <w:rsid w:val="00534043"/>
    <w:rsid w:val="00591BD2"/>
    <w:rsid w:val="00594BEE"/>
    <w:rsid w:val="005B33BF"/>
    <w:rsid w:val="005B66E8"/>
    <w:rsid w:val="005D512C"/>
    <w:rsid w:val="005E57A5"/>
    <w:rsid w:val="005F24B4"/>
    <w:rsid w:val="005F5665"/>
    <w:rsid w:val="006A16D6"/>
    <w:rsid w:val="006A6700"/>
    <w:rsid w:val="00710735"/>
    <w:rsid w:val="00774185"/>
    <w:rsid w:val="007B40D8"/>
    <w:rsid w:val="007C4F08"/>
    <w:rsid w:val="008158A3"/>
    <w:rsid w:val="00860FA8"/>
    <w:rsid w:val="00880FFC"/>
    <w:rsid w:val="00882E8C"/>
    <w:rsid w:val="008B70E7"/>
    <w:rsid w:val="008D73F7"/>
    <w:rsid w:val="009126DF"/>
    <w:rsid w:val="00993A92"/>
    <w:rsid w:val="00A25CDD"/>
    <w:rsid w:val="00AA189C"/>
    <w:rsid w:val="00AA79F3"/>
    <w:rsid w:val="00AC75ED"/>
    <w:rsid w:val="00AD2661"/>
    <w:rsid w:val="00B1304B"/>
    <w:rsid w:val="00B35AF2"/>
    <w:rsid w:val="00BA63ED"/>
    <w:rsid w:val="00BC54B3"/>
    <w:rsid w:val="00BD478B"/>
    <w:rsid w:val="00BE6FB3"/>
    <w:rsid w:val="00BF0E43"/>
    <w:rsid w:val="00BF11E1"/>
    <w:rsid w:val="00C162AA"/>
    <w:rsid w:val="00C25800"/>
    <w:rsid w:val="00C85AD7"/>
    <w:rsid w:val="00C967EF"/>
    <w:rsid w:val="00CC1D78"/>
    <w:rsid w:val="00CC1EAD"/>
    <w:rsid w:val="00CC4CE1"/>
    <w:rsid w:val="00CC7966"/>
    <w:rsid w:val="00CF024F"/>
    <w:rsid w:val="00D13A90"/>
    <w:rsid w:val="00D45506"/>
    <w:rsid w:val="00D82CA3"/>
    <w:rsid w:val="00DC0596"/>
    <w:rsid w:val="00DD4093"/>
    <w:rsid w:val="00E056E4"/>
    <w:rsid w:val="00EA31FD"/>
    <w:rsid w:val="00EB6CAC"/>
    <w:rsid w:val="00EC546E"/>
    <w:rsid w:val="00F27FAC"/>
    <w:rsid w:val="00F32E4A"/>
    <w:rsid w:val="00F5083F"/>
    <w:rsid w:val="00F951B5"/>
    <w:rsid w:val="00FB5A6B"/>
    <w:rsid w:val="00FF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 w:type="table" w:styleId="TableGrid">
    <w:name w:val="Table Grid"/>
    <w:basedOn w:val="TableNormal"/>
    <w:uiPriority w:val="39"/>
    <w:rsid w:val="002E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ov.uk/government/publications/pupil-premium-allocations-and-conditions-of-grant-2023-to-2024" TargetMode="External"/><Relationship Id="rId26" Type="http://schemas.openxmlformats.org/officeDocument/2006/relationships/hyperlink" Target="https://www.gov.uk/government/publications/school-direct-salaried-funding-manual/school-direct-salaried-funding-manual-2023-to-2024-academic-year" TargetMode="External"/><Relationship Id="rId3" Type="http://schemas.openxmlformats.org/officeDocument/2006/relationships/customXml" Target="../customXml/item3.xml"/><Relationship Id="rId21" Type="http://schemas.openxmlformats.org/officeDocument/2006/relationships/hyperlink" Target="https://www.gov.uk/government/publications/mainstream-schools-additional-grant-2023-to-2024"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uidance/16-to-19-funding-information-for-2023-to-2024" TargetMode="External"/><Relationship Id="rId25" Type="http://schemas.openxmlformats.org/officeDocument/2006/relationships/hyperlink" Target="https://www.gov.uk/government/publications/16-to-19-bursary-fund-guide-2023-to-2024-academic-year/16-to-19-bursary-fund-guide-2023-to-2024-academic-year"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gov.uk/government/publications/teachers-pay-additional-grant-2023-to-2024/teachers-pay-additional-grant-2023-to-2024-methodology" TargetMode="External"/><Relationship Id="rId20" Type="http://schemas.openxmlformats.org/officeDocument/2006/relationships/hyperlink" Target="https://www.gov.uk/government/publications/teachers-pension-employer-contribution-grant-2023-to-2024-allocations" TargetMode="External"/><Relationship Id="rId29" Type="http://schemas.openxmlformats.org/officeDocument/2006/relationships/hyperlink" Target="https://www.gov.uk/government/publications/national-tutoring-programme-ntp-allocations-for-2023-to-2024-academic-yea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universal-infant-free-school-meals-uifsm-2023-to-2024"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early-years-supplementary-grant-2023-to-2024" TargetMode="External"/><Relationship Id="rId23" Type="http://schemas.openxmlformats.org/officeDocument/2006/relationships/hyperlink" Target="https://www.gov.uk/guidance/pe-and-sport-premium-for-primary-schools" TargetMode="External"/><Relationship Id="rId28" Type="http://schemas.openxmlformats.org/officeDocument/2006/relationships/hyperlink" Target="https://www.gov.uk/guidance/early-years-initial-teacher-training-2023-to-2024-funding-guidance" TargetMode="External"/><Relationship Id="rId10" Type="http://schemas.openxmlformats.org/officeDocument/2006/relationships/footnotes" Target="footnotes.xml"/><Relationship Id="rId19" Type="http://schemas.openxmlformats.org/officeDocument/2006/relationships/hyperlink" Target="https://www.gov.uk/government/publications/teachers-pay-additional-grant-2023-to-2024"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government/publications/early-years-supplementary-grant-2023-to-2024" TargetMode="External"/><Relationship Id="rId27" Type="http://schemas.openxmlformats.org/officeDocument/2006/relationships/hyperlink" Target="https://www.gov.uk/guidance/senior-mental-health-lead-training" TargetMode="External"/><Relationship Id="rId30" Type="http://schemas.openxmlformats.org/officeDocument/2006/relationships/hyperlink" Target="https://www.gov.uk/government/publications/coronavirus-covid-19-recovery-premium-funding-allocations-and-conditions-of-grant-2023-to-2024"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C0736"/>
    <w:rsid w:val="003873F8"/>
    <w:rsid w:val="00417A06"/>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eec781b-51b2-41f5-8977-d833afa0cdb5" xsi:nil="true"/>
    <Date xmlns="deec781b-51b2-41f5-8977-d833afa0cdb5" xsi:nil="true"/>
    <TaxCatchAll xmlns="30d79745-92fc-4b4e-a213-f975f2a6d945" xsi:nil="true"/>
    <lcf76f155ced4ddcb4097134ff3c332f xmlns="deec781b-51b2-41f5-8977-d833afa0cdb5">
      <Terms xmlns="http://schemas.microsoft.com/office/infopath/2007/PartnerControls"/>
    </lcf76f155ced4ddcb4097134ff3c332f>
    <L xmlns="deec781b-51b2-41f5-8977-d833afa0cd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7" ma:contentTypeDescription="Create a new document." ma:contentTypeScope="" ma:versionID="4c3f3537e68ad7ee1e86c472f698cf1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e930d8b8389c0971ce3580f3ec9d3170"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 ma:index="3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deec781b-51b2-41f5-8977-d833afa0cdb5"/>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30d79745-92fc-4b4e-a213-f975f2a6d945"/>
    <ds:schemaRef ds:uri="http://www.w3.org/XML/1998/namespace"/>
  </ds:schemaRefs>
</ds:datastoreItem>
</file>

<file path=customXml/itemProps3.xml><?xml version="1.0" encoding="utf-8"?>
<ds:datastoreItem xmlns:ds="http://schemas.openxmlformats.org/officeDocument/2006/customXml" ds:itemID="{1E1BC75A-595D-4D64-B014-5BA4FE2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922</Words>
  <Characters>6978</Characters>
  <Application>Microsoft Office Word</Application>
  <DocSecurity>0</DocSecurity>
  <Lines>436</Lines>
  <Paragraphs>315</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 new grants</dc:title>
  <dc:subject>
  </dc:subject>
  <dc:creator>Sara Walsingham</dc:creator>
  <cp:keywords>
  </cp:keywords>
  <dc:description>
  </dc:description>
  <cp:lastModifiedBy>Phillip Nduoyo</cp:lastModifiedBy>
  <cp:revision>3</cp:revision>
  <dcterms:created xsi:type="dcterms:W3CDTF">2023-10-04T16:40:00Z</dcterms:created>
  <dcterms:modified xsi:type="dcterms:W3CDTF">2023-10-04T16:41:00Z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3996c7590fae162129efef37ce1bcbefeecbef98dd31122cfa6bb4241e20f05e</vt:lpwstr>
  </property>
</Properties>
</file>