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5339599A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10735">
            <w:t>Schools Forum Report</w:t>
          </w:r>
        </w:sdtContent>
      </w:sdt>
    </w:p>
    <w:p w14:paraId="4B137493" w14:textId="54347CD7" w:rsidR="00CC4CE1" w:rsidRPr="00BE6FB3" w:rsidRDefault="009445CC" w:rsidP="00AA79F3">
      <w:pPr>
        <w:pStyle w:val="Subtitle"/>
        <w:rPr>
          <w:szCs w:val="28"/>
        </w:rPr>
      </w:pPr>
      <w:r>
        <w:rPr>
          <w:szCs w:val="28"/>
        </w:rPr>
        <w:t>Trades Union Facility Time (TUFA) upda</w:t>
      </w:r>
      <w:r w:rsidR="00043B69">
        <w:rPr>
          <w:szCs w:val="28"/>
        </w:rPr>
        <w:t>te 2023-24</w:t>
      </w:r>
    </w:p>
    <w:p w14:paraId="47651AF4" w14:textId="77777777" w:rsidR="00070438" w:rsidRPr="00070438" w:rsidRDefault="00070438" w:rsidP="00070438"/>
    <w:sdt>
      <w:sdtPr>
        <w:alias w:val="Publish Date"/>
        <w:tag w:val=""/>
        <w:id w:val="1260947853"/>
        <w:placeholder>
          <w:docPart w:val="D5D8574D89F448F1BFD367AD467FF06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0-11T00:00:00Z">
          <w:dateFormat w:val="dd/MM/yyyy"/>
          <w:lid w:val="en-GB"/>
          <w:storeMappedDataAs w:val="dateTime"/>
          <w:calendar w:val="gregorian"/>
        </w:date>
      </w:sdtPr>
      <w:sdtContent>
        <w:p w14:paraId="491545AC" w14:textId="5C3423B5" w:rsidR="00CC4CE1" w:rsidRPr="00CC4CE1" w:rsidRDefault="00710735" w:rsidP="00101F8B">
          <w:r>
            <w:t>11/10/2023</w:t>
          </w:r>
        </w:p>
      </w:sdtContent>
    </w:sdt>
    <w:p w14:paraId="16189B94" w14:textId="77777777" w:rsidR="00CC4CE1" w:rsidRDefault="00CC4CE1" w:rsidP="00101F8B"/>
    <w:p w14:paraId="6A503581" w14:textId="77777777" w:rsidR="00860FA8" w:rsidRDefault="00860FA8" w:rsidP="00860FA8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7DA0BAAE" w14:textId="18C812D9" w:rsidR="00860FA8" w:rsidRPr="00CC3A17" w:rsidRDefault="009445CC" w:rsidP="009445CC">
      <w:pPr>
        <w:jc w:val="both"/>
      </w:pPr>
      <w:r>
        <w:t xml:space="preserve">Report on </w:t>
      </w:r>
      <w:r w:rsidR="00D02DDE">
        <w:t xml:space="preserve">the </w:t>
      </w:r>
      <w:r>
        <w:rPr>
          <w:szCs w:val="28"/>
        </w:rPr>
        <w:t>Trade Union Facilities Time</w:t>
      </w:r>
      <w:r w:rsidR="00C85AD7">
        <w:rPr>
          <w:szCs w:val="28"/>
        </w:rPr>
        <w:t xml:space="preserve"> </w:t>
      </w:r>
      <w:r>
        <w:rPr>
          <w:szCs w:val="28"/>
        </w:rPr>
        <w:t xml:space="preserve">Agreement </w:t>
      </w:r>
      <w:r w:rsidR="00C85AD7">
        <w:rPr>
          <w:szCs w:val="28"/>
        </w:rPr>
        <w:t>(</w:t>
      </w:r>
      <w:r>
        <w:t>TUFA</w:t>
      </w:r>
      <w:r w:rsidR="00C85AD7">
        <w:t>)</w:t>
      </w:r>
      <w:r w:rsidR="00860FA8">
        <w:t xml:space="preserve"> </w:t>
      </w:r>
      <w:r w:rsidR="00937E7C">
        <w:t xml:space="preserve">2023-24 </w:t>
      </w:r>
      <w:r w:rsidR="0067735F">
        <w:t xml:space="preserve">cost and income </w:t>
      </w:r>
      <w:r w:rsidR="00B12C11">
        <w:t>budgeted</w:t>
      </w:r>
      <w:r w:rsidR="00D35002">
        <w:t xml:space="preserve"> and </w:t>
      </w:r>
      <w:r w:rsidR="00937E7C">
        <w:t xml:space="preserve">forecasted position </w:t>
      </w:r>
      <w:r w:rsidR="00714A1E">
        <w:t xml:space="preserve">and the </w:t>
      </w:r>
      <w:r w:rsidR="0050040E">
        <w:t>and</w:t>
      </w:r>
      <w:r w:rsidR="00E0374E">
        <w:t xml:space="preserve"> the outturn </w:t>
      </w:r>
      <w:r w:rsidR="00937E7C">
        <w:t xml:space="preserve">position </w:t>
      </w:r>
      <w:r w:rsidR="00E0374E">
        <w:t>for 2022-23</w:t>
      </w:r>
    </w:p>
    <w:p w14:paraId="1A26A63D" w14:textId="77777777" w:rsidR="00860FA8" w:rsidRPr="0004045E" w:rsidRDefault="00860FA8" w:rsidP="00860FA8">
      <w:pPr>
        <w:spacing w:after="120"/>
        <w:rPr>
          <w:b/>
        </w:rPr>
      </w:pPr>
    </w:p>
    <w:p w14:paraId="57C443E8" w14:textId="77777777" w:rsidR="00860FA8" w:rsidRPr="00CC3A17" w:rsidRDefault="00860FA8" w:rsidP="00860FA8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727794E7" w14:textId="77777777" w:rsidR="000C5E2A" w:rsidRDefault="00860FA8" w:rsidP="00860FA8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Schools Forum are asked to</w:t>
      </w:r>
      <w:r w:rsidR="000C5E2A">
        <w:rPr>
          <w:bCs/>
          <w:sz w:val="22"/>
          <w:szCs w:val="22"/>
        </w:rPr>
        <w:t>:</w:t>
      </w:r>
    </w:p>
    <w:p w14:paraId="1F6DFBA4" w14:textId="04A4610A" w:rsidR="00860FA8" w:rsidRPr="00474DB3" w:rsidRDefault="00860FA8" w:rsidP="000C5E2A">
      <w:pPr>
        <w:pStyle w:val="ListParagraph"/>
        <w:numPr>
          <w:ilvl w:val="0"/>
          <w:numId w:val="9"/>
        </w:numPr>
        <w:spacing w:after="120"/>
      </w:pPr>
      <w:r w:rsidRPr="000C5E2A">
        <w:rPr>
          <w:bCs/>
          <w:sz w:val="22"/>
          <w:szCs w:val="22"/>
        </w:rPr>
        <w:t>consider and note</w:t>
      </w:r>
      <w:r w:rsidR="000C5E2A">
        <w:rPr>
          <w:bCs/>
          <w:sz w:val="22"/>
          <w:szCs w:val="22"/>
        </w:rPr>
        <w:t xml:space="preserve"> </w:t>
      </w:r>
      <w:r w:rsidR="00474DB3">
        <w:rPr>
          <w:bCs/>
          <w:sz w:val="22"/>
          <w:szCs w:val="22"/>
        </w:rPr>
        <w:t xml:space="preserve">the contents of the </w:t>
      </w:r>
      <w:proofErr w:type="gramStart"/>
      <w:r w:rsidR="00474DB3">
        <w:rPr>
          <w:bCs/>
          <w:sz w:val="22"/>
          <w:szCs w:val="22"/>
        </w:rPr>
        <w:t>report</w:t>
      </w:r>
      <w:proofErr w:type="gramEnd"/>
    </w:p>
    <w:p w14:paraId="6B67491B" w14:textId="7CEB3455" w:rsidR="00474DB3" w:rsidRPr="00CC3A17" w:rsidRDefault="00474DB3" w:rsidP="000C5E2A">
      <w:pPr>
        <w:pStyle w:val="ListParagraph"/>
        <w:numPr>
          <w:ilvl w:val="0"/>
          <w:numId w:val="9"/>
        </w:numPr>
        <w:spacing w:after="120"/>
      </w:pPr>
      <w:r>
        <w:rPr>
          <w:bCs/>
          <w:sz w:val="22"/>
          <w:szCs w:val="22"/>
        </w:rPr>
        <w:t xml:space="preserve">agree the proposed charging of TUFA costs for </w:t>
      </w:r>
      <w:r w:rsidR="007C1AEA">
        <w:rPr>
          <w:bCs/>
          <w:sz w:val="22"/>
          <w:szCs w:val="22"/>
        </w:rPr>
        <w:t xml:space="preserve">all special </w:t>
      </w:r>
      <w:proofErr w:type="gramStart"/>
      <w:r w:rsidR="007C1AEA">
        <w:rPr>
          <w:bCs/>
          <w:sz w:val="22"/>
          <w:szCs w:val="22"/>
        </w:rPr>
        <w:t>schools</w:t>
      </w:r>
      <w:proofErr w:type="gramEnd"/>
    </w:p>
    <w:p w14:paraId="6A186196" w14:textId="77777777" w:rsidR="00CC4CE1" w:rsidRDefault="00CC4CE1" w:rsidP="00101F8B"/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4F357D7C" w14:textId="77777777" w:rsidR="00710735" w:rsidRDefault="00710735" w:rsidP="00710735">
      <w:pPr>
        <w:spacing w:line="259" w:lineRule="auto"/>
        <w:rPr>
          <w:color w:val="000000"/>
        </w:rPr>
      </w:pPr>
      <w:r>
        <w:rPr>
          <w:color w:val="000000"/>
        </w:rPr>
        <w:br w:type="page"/>
      </w:r>
    </w:p>
    <w:p w14:paraId="3F4EFDBD" w14:textId="0DF42411" w:rsidR="00CC4CE1" w:rsidRDefault="00CC4CE1" w:rsidP="00534043">
      <w:pPr>
        <w:pStyle w:val="NoSpacing"/>
        <w:sectPr w:rsidR="00CC4CE1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Arial" w:eastAsiaTheme="minorEastAsia" w:hAnsi="Arial" w:cs="Arial"/>
          <w:color w:val="auto"/>
          <w:sz w:val="24"/>
          <w:szCs w:val="24"/>
          <w:lang w:val="en-GB" w:eastAsia="en-GB"/>
        </w:rPr>
        <w:id w:val="5540497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65EE64" w14:textId="306C16E3" w:rsidR="00C162AA" w:rsidRDefault="00C162AA" w:rsidP="00C162AA">
          <w:pPr>
            <w:pStyle w:val="TOCHeading"/>
            <w:spacing w:before="0" w:line="240" w:lineRule="auto"/>
          </w:pPr>
        </w:p>
        <w:p w14:paraId="00772E5A" w14:textId="38FE8DC7" w:rsidR="00101F8B" w:rsidRDefault="00000000"/>
      </w:sdtContent>
    </w:sdt>
    <w:p w14:paraId="0FAAE5DD" w14:textId="30B641EA" w:rsidR="00860FA8" w:rsidRPr="00C162AA" w:rsidRDefault="009445CC" w:rsidP="00860FA8">
      <w:pPr>
        <w:pStyle w:val="Heading2"/>
        <w:numPr>
          <w:ilvl w:val="0"/>
          <w:numId w:val="1"/>
        </w:numPr>
      </w:pPr>
      <w:r>
        <w:t xml:space="preserve">TUFA </w:t>
      </w:r>
      <w:r w:rsidR="00860FA8">
        <w:t xml:space="preserve">Budget for 2023-2024 </w:t>
      </w:r>
    </w:p>
    <w:p w14:paraId="2A410D7A" w14:textId="13D306E1" w:rsidR="00860FA8" w:rsidRDefault="00860FA8" w:rsidP="00860FA8">
      <w:pPr>
        <w:pStyle w:val="ListParagraph"/>
        <w:ind w:left="360"/>
        <w:rPr>
          <w:rFonts w:cs="Arial"/>
          <w:b/>
          <w:bCs/>
        </w:rPr>
      </w:pPr>
    </w:p>
    <w:p w14:paraId="45EAB1D5" w14:textId="2DA2A4A0" w:rsidR="00145B3B" w:rsidRPr="00E27A84" w:rsidRDefault="009445CC" w:rsidP="00860FA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t>The TUFA budget</w:t>
      </w:r>
      <w:r w:rsidR="00145B3B">
        <w:t xml:space="preserve"> (income)</w:t>
      </w:r>
      <w:r>
        <w:t xml:space="preserve"> is met from de-delegation (maintained primary &amp; secondary schools); a contribution (maintained special schools) and a requested contribution from academies and free schools. </w:t>
      </w:r>
      <w:r w:rsidR="00E27A84">
        <w:br/>
      </w:r>
    </w:p>
    <w:p w14:paraId="7D749120" w14:textId="5E9FA5A5" w:rsidR="00E27A84" w:rsidRPr="00E27A84" w:rsidRDefault="00E27A84" w:rsidP="00E27A84">
      <w:pPr>
        <w:pStyle w:val="ListParagraph"/>
        <w:autoSpaceDE w:val="0"/>
        <w:autoSpaceDN w:val="0"/>
        <w:adjustRightInd w:val="0"/>
        <w:ind w:left="426"/>
        <w:rPr>
          <w:b/>
          <w:bCs/>
          <w:color w:val="000000"/>
        </w:rPr>
      </w:pPr>
      <w:r w:rsidRPr="00E27A84">
        <w:rPr>
          <w:b/>
          <w:bCs/>
        </w:rPr>
        <w:t>Table 1</w:t>
      </w:r>
    </w:p>
    <w:p w14:paraId="1314078F" w14:textId="77777777" w:rsidR="00145B3B" w:rsidRPr="00145B3B" w:rsidRDefault="00145B3B" w:rsidP="00782ACF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tbl>
      <w:tblPr>
        <w:tblStyle w:val="TableGrid"/>
        <w:tblW w:w="7938" w:type="dxa"/>
        <w:tblLook w:val="04A0" w:firstRow="1" w:lastRow="0" w:firstColumn="1" w:lastColumn="0" w:noHBand="0" w:noVBand="1"/>
      </w:tblPr>
      <w:tblGrid>
        <w:gridCol w:w="3685"/>
        <w:gridCol w:w="2127"/>
        <w:gridCol w:w="2126"/>
      </w:tblGrid>
      <w:tr w:rsidR="006C6E7A" w:rsidRPr="00145B3B" w14:paraId="446AC777" w14:textId="77777777" w:rsidTr="00BF27A3">
        <w:trPr>
          <w:trHeight w:val="560"/>
        </w:trPr>
        <w:tc>
          <w:tcPr>
            <w:tcW w:w="3685" w:type="dxa"/>
            <w:noWrap/>
            <w:hideMark/>
          </w:tcPr>
          <w:p w14:paraId="4FC726F4" w14:textId="58B97DFE" w:rsidR="006C6E7A" w:rsidRPr="00F17516" w:rsidRDefault="006C6E7A" w:rsidP="00145B3B">
            <w:pPr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Staff costs supply cover</w:t>
            </w:r>
            <w:r w:rsidRPr="00F1751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 xml:space="preserve"> budgets</w:t>
            </w:r>
          </w:p>
        </w:tc>
        <w:tc>
          <w:tcPr>
            <w:tcW w:w="2127" w:type="dxa"/>
            <w:hideMark/>
          </w:tcPr>
          <w:p w14:paraId="55CF3D24" w14:textId="333270AD" w:rsidR="006C6E7A" w:rsidRPr="00F17516" w:rsidRDefault="00E27A84" w:rsidP="00E27A84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 xml:space="preserve"> (£)</w:t>
            </w:r>
          </w:p>
        </w:tc>
        <w:tc>
          <w:tcPr>
            <w:tcW w:w="2126" w:type="dxa"/>
          </w:tcPr>
          <w:p w14:paraId="24C12FCC" w14:textId="77777777" w:rsidR="00E27A84" w:rsidRPr="00F17516" w:rsidRDefault="00E27A84" w:rsidP="00E27A84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 xml:space="preserve">Estimated Outturn </w:t>
            </w:r>
          </w:p>
          <w:p w14:paraId="7C9960B0" w14:textId="22536F4A" w:rsidR="006C6E7A" w:rsidRPr="00F17516" w:rsidRDefault="00E27A84" w:rsidP="00E27A84">
            <w:pPr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2023-24</w:t>
            </w:r>
          </w:p>
        </w:tc>
      </w:tr>
      <w:tr w:rsidR="006C6E7A" w:rsidRPr="00145B3B" w14:paraId="0E36EE1E" w14:textId="77777777" w:rsidTr="00BF27A3">
        <w:trPr>
          <w:trHeight w:val="340"/>
        </w:trPr>
        <w:tc>
          <w:tcPr>
            <w:tcW w:w="3685" w:type="dxa"/>
            <w:noWrap/>
            <w:hideMark/>
          </w:tcPr>
          <w:p w14:paraId="5204989E" w14:textId="6BA3FA1C" w:rsidR="006C6E7A" w:rsidRPr="00145B3B" w:rsidRDefault="006C6E7A" w:rsidP="00145B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Maintained primary &amp; secondary </w:t>
            </w:r>
          </w:p>
        </w:tc>
        <w:tc>
          <w:tcPr>
            <w:tcW w:w="2127" w:type="dxa"/>
            <w:noWrap/>
            <w:hideMark/>
          </w:tcPr>
          <w:p w14:paraId="147201C2" w14:textId="77777777" w:rsidR="006C6E7A" w:rsidRPr="00145B3B" w:rsidRDefault="006C6E7A" w:rsidP="00145B3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5B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146,654</w:t>
            </w:r>
          </w:p>
        </w:tc>
        <w:tc>
          <w:tcPr>
            <w:tcW w:w="2126" w:type="dxa"/>
          </w:tcPr>
          <w:p w14:paraId="2A3C9E56" w14:textId="71DFE056" w:rsidR="006C6E7A" w:rsidRPr="00145B3B" w:rsidRDefault="00CC1D8B" w:rsidP="00145B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81,</w:t>
            </w:r>
            <w:r w:rsidR="00591F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831</w:t>
            </w:r>
          </w:p>
        </w:tc>
      </w:tr>
      <w:tr w:rsidR="006C6E7A" w:rsidRPr="00145B3B" w14:paraId="1831B4DE" w14:textId="77777777" w:rsidTr="00BF27A3">
        <w:trPr>
          <w:trHeight w:val="340"/>
        </w:trPr>
        <w:tc>
          <w:tcPr>
            <w:tcW w:w="3685" w:type="dxa"/>
            <w:noWrap/>
            <w:hideMark/>
          </w:tcPr>
          <w:p w14:paraId="6C59A3CD" w14:textId="351D6CF9" w:rsidR="006C6E7A" w:rsidRPr="00145B3B" w:rsidRDefault="00D26C2A" w:rsidP="00145B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 S</w:t>
            </w:r>
            <w:r w:rsidR="006C6E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pecial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Schools </w:t>
            </w:r>
            <w:r w:rsidR="006C6E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(per place)</w:t>
            </w:r>
          </w:p>
        </w:tc>
        <w:tc>
          <w:tcPr>
            <w:tcW w:w="2127" w:type="dxa"/>
            <w:noWrap/>
            <w:hideMark/>
          </w:tcPr>
          <w:p w14:paraId="526164FE" w14:textId="3286EB2C" w:rsidR="006C6E7A" w:rsidRPr="00145B3B" w:rsidRDefault="006C6E7A" w:rsidP="00145B3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E70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ED31344" w14:textId="37FBDBDB" w:rsidR="006C6E7A" w:rsidRPr="00145B3B" w:rsidRDefault="006C6E7A" w:rsidP="00145B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4E5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35,150</w:t>
            </w:r>
          </w:p>
        </w:tc>
      </w:tr>
      <w:tr w:rsidR="006C6E7A" w:rsidRPr="00145B3B" w14:paraId="064E35A8" w14:textId="77777777" w:rsidTr="00BF27A3">
        <w:trPr>
          <w:trHeight w:val="340"/>
        </w:trPr>
        <w:tc>
          <w:tcPr>
            <w:tcW w:w="3685" w:type="dxa"/>
            <w:noWrap/>
            <w:hideMark/>
          </w:tcPr>
          <w:p w14:paraId="45F46770" w14:textId="7CD5AA71" w:rsidR="006C6E7A" w:rsidRPr="00145B3B" w:rsidRDefault="006C6E7A" w:rsidP="00145B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Academy/Free School estimate</w:t>
            </w:r>
          </w:p>
        </w:tc>
        <w:tc>
          <w:tcPr>
            <w:tcW w:w="2127" w:type="dxa"/>
            <w:noWrap/>
            <w:hideMark/>
          </w:tcPr>
          <w:p w14:paraId="121CF77E" w14:textId="01185DFC" w:rsidR="006C6E7A" w:rsidRPr="00145B3B" w:rsidRDefault="006C6E7A" w:rsidP="00145B3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2A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47,405</w:t>
            </w:r>
          </w:p>
        </w:tc>
        <w:tc>
          <w:tcPr>
            <w:tcW w:w="2126" w:type="dxa"/>
          </w:tcPr>
          <w:p w14:paraId="324B32D9" w14:textId="5DD174E5" w:rsidR="006C6E7A" w:rsidRPr="00145B3B" w:rsidRDefault="006C6E7A" w:rsidP="00145B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="00591F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5,256</w:t>
            </w:r>
          </w:p>
        </w:tc>
      </w:tr>
      <w:tr w:rsidR="006C6E7A" w:rsidRPr="00145B3B" w14:paraId="3D64435B" w14:textId="77777777" w:rsidTr="00BF27A3">
        <w:trPr>
          <w:trHeight w:val="340"/>
        </w:trPr>
        <w:tc>
          <w:tcPr>
            <w:tcW w:w="3685" w:type="dxa"/>
            <w:noWrap/>
          </w:tcPr>
          <w:p w14:paraId="63CC09B6" w14:textId="7E46A0EB" w:rsidR="006C6E7A" w:rsidRDefault="006C6E7A" w:rsidP="00145B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LBTH teachers</w:t>
            </w:r>
          </w:p>
        </w:tc>
        <w:tc>
          <w:tcPr>
            <w:tcW w:w="2127" w:type="dxa"/>
            <w:noWrap/>
          </w:tcPr>
          <w:p w14:paraId="2624EF6A" w14:textId="77777777" w:rsidR="006C6E7A" w:rsidRPr="00782ACF" w:rsidRDefault="006C6E7A" w:rsidP="00145B3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0177F7" w14:textId="2364CB2E" w:rsidR="006C6E7A" w:rsidRPr="00145B3B" w:rsidRDefault="006C6E7A" w:rsidP="00145B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28,500</w:t>
            </w:r>
          </w:p>
        </w:tc>
      </w:tr>
      <w:tr w:rsidR="006C6E7A" w:rsidRPr="00145B3B" w14:paraId="290150D6" w14:textId="77777777" w:rsidTr="00BF27A3">
        <w:trPr>
          <w:trHeight w:val="340"/>
        </w:trPr>
        <w:tc>
          <w:tcPr>
            <w:tcW w:w="3685" w:type="dxa"/>
            <w:noWrap/>
          </w:tcPr>
          <w:p w14:paraId="4BB62E7D" w14:textId="7929037D" w:rsidR="006C6E7A" w:rsidRPr="00F17516" w:rsidRDefault="006C6E7A" w:rsidP="00145B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2127" w:type="dxa"/>
            <w:noWrap/>
          </w:tcPr>
          <w:p w14:paraId="687CF5A1" w14:textId="284ADC69" w:rsidR="006C6E7A" w:rsidRPr="00F17516" w:rsidRDefault="006C6E7A" w:rsidP="00145B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194,059</w:t>
            </w:r>
          </w:p>
        </w:tc>
        <w:tc>
          <w:tcPr>
            <w:tcW w:w="2126" w:type="dxa"/>
          </w:tcPr>
          <w:p w14:paraId="1CE809B7" w14:textId="16704293" w:rsidR="006C6E7A" w:rsidRPr="00F17516" w:rsidRDefault="006C6E7A" w:rsidP="00145B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175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591F24" w:rsidRPr="00F175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80,737</w:t>
            </w:r>
          </w:p>
        </w:tc>
      </w:tr>
    </w:tbl>
    <w:p w14:paraId="003CB4D6" w14:textId="77777777" w:rsidR="00145B3B" w:rsidRPr="00145B3B" w:rsidRDefault="00145B3B" w:rsidP="00145B3B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p w14:paraId="1CAED205" w14:textId="36CBC1DE" w:rsidR="00860FA8" w:rsidRDefault="009445CC" w:rsidP="00860FA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t>The costs are claimed by schools that release staff to support union members across all school types</w:t>
      </w:r>
      <w:r w:rsidR="00145B3B">
        <w:t xml:space="preserve">.  </w:t>
      </w:r>
      <w:r w:rsidR="00C626F0" w:rsidRPr="00950DC2">
        <w:t xml:space="preserve">Costs are also incurred by the local authority that employ </w:t>
      </w:r>
      <w:r w:rsidR="006A44F9">
        <w:t>the GMB representative</w:t>
      </w:r>
      <w:r w:rsidR="0065718B">
        <w:t>.</w:t>
      </w:r>
      <w:r w:rsidR="006A44F9">
        <w:t xml:space="preserve"> </w:t>
      </w:r>
      <w:r w:rsidR="00C626F0" w:rsidRPr="00950DC2">
        <w:t xml:space="preserve"> </w:t>
      </w:r>
      <w:r w:rsidR="00145B3B">
        <w:t xml:space="preserve">To protect the overspending budget, reimbursement for claims to support the cover arrangements of released staff are set at universal daily pre-agreed </w:t>
      </w:r>
      <w:proofErr w:type="gramStart"/>
      <w:r w:rsidR="00145B3B">
        <w:t>rates:</w:t>
      </w:r>
      <w:proofErr w:type="gramEnd"/>
      <w:r w:rsidR="00145B3B">
        <w:t xml:space="preserve"> are £150 for support staff, £350 for Headteachers and £300 for Teaching staff.</w:t>
      </w:r>
    </w:p>
    <w:p w14:paraId="79BBD557" w14:textId="77777777" w:rsidR="00860FA8" w:rsidRDefault="00860FA8" w:rsidP="00860FA8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p w14:paraId="2F917A54" w14:textId="77777777" w:rsidR="00960F58" w:rsidRPr="00960F58" w:rsidRDefault="00145B3B" w:rsidP="00145B3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145B3B">
        <w:rPr>
          <w:rFonts w:cs="Arial"/>
        </w:rPr>
        <w:t>The current budget is c.£19</w:t>
      </w:r>
      <w:r w:rsidR="006C6E7A">
        <w:rPr>
          <w:rFonts w:cs="Arial"/>
        </w:rPr>
        <w:t>4</w:t>
      </w:r>
      <w:r w:rsidRPr="00145B3B">
        <w:rPr>
          <w:rFonts w:cs="Arial"/>
        </w:rPr>
        <w:t>K per annum – made up of £14</w:t>
      </w:r>
      <w:r w:rsidR="006C6E7A">
        <w:rPr>
          <w:rFonts w:cs="Arial"/>
        </w:rPr>
        <w:t>7</w:t>
      </w:r>
      <w:r w:rsidRPr="00145B3B">
        <w:rPr>
          <w:rFonts w:cs="Arial"/>
        </w:rPr>
        <w:t>K from the de-delegated schools' budget and £4</w:t>
      </w:r>
      <w:r w:rsidR="006C6E7A">
        <w:rPr>
          <w:rFonts w:cs="Arial"/>
        </w:rPr>
        <w:t>7</w:t>
      </w:r>
      <w:r w:rsidRPr="00145B3B">
        <w:rPr>
          <w:rFonts w:cs="Arial"/>
        </w:rPr>
        <w:t xml:space="preserve">K from </w:t>
      </w:r>
      <w:r w:rsidRPr="00F07648">
        <w:rPr>
          <w:rFonts w:cs="Arial"/>
        </w:rPr>
        <w:t xml:space="preserve">academy schools.  </w:t>
      </w:r>
    </w:p>
    <w:p w14:paraId="7B0EBF5B" w14:textId="77777777" w:rsidR="00960F58" w:rsidRDefault="00960F58" w:rsidP="00960F58">
      <w:pPr>
        <w:pStyle w:val="ListParagraph"/>
        <w:rPr>
          <w:rFonts w:cs="Arial"/>
          <w:highlight w:val="yellow"/>
        </w:rPr>
      </w:pPr>
    </w:p>
    <w:p w14:paraId="32FEDA12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161E5AB5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4D3484F8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488E9CB8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1FFCAC7D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1CC592B5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4686528D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3862173A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7ED6DDCB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07455990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5B28B060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6C24D6A8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680D88A6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3A4DCCE6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69268E57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458362DE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0512C25F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04E0124E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3F4009C3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603B120B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31CD67B2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6D99E014" w14:textId="77777777" w:rsidR="002D142D" w:rsidRDefault="002D142D" w:rsidP="00960F58">
      <w:pPr>
        <w:pStyle w:val="ListParagraph"/>
        <w:rPr>
          <w:rFonts w:cs="Arial"/>
          <w:highlight w:val="yellow"/>
        </w:rPr>
      </w:pPr>
    </w:p>
    <w:p w14:paraId="14925774" w14:textId="77777777" w:rsidR="002D142D" w:rsidRPr="00960F58" w:rsidRDefault="002D142D" w:rsidP="00960F58">
      <w:pPr>
        <w:pStyle w:val="ListParagraph"/>
        <w:rPr>
          <w:rFonts w:cs="Arial"/>
          <w:highlight w:val="yellow"/>
        </w:rPr>
      </w:pPr>
    </w:p>
    <w:p w14:paraId="556BF6D8" w14:textId="31BC4533" w:rsidR="00145B3B" w:rsidRPr="00867695" w:rsidRDefault="00145B3B" w:rsidP="00145B3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867695">
        <w:rPr>
          <w:rFonts w:cs="Arial"/>
        </w:rPr>
        <w:t>The current cost of teacher trade union facilities time is £</w:t>
      </w:r>
      <w:r w:rsidR="006C6E7A" w:rsidRPr="00867695">
        <w:rPr>
          <w:rFonts w:cs="Arial"/>
        </w:rPr>
        <w:t>12</w:t>
      </w:r>
      <w:r w:rsidR="00F27A07" w:rsidRPr="00867695">
        <w:rPr>
          <w:rFonts w:cs="Arial"/>
        </w:rPr>
        <w:t>3.7</w:t>
      </w:r>
      <w:r w:rsidRPr="00867695">
        <w:rPr>
          <w:rFonts w:cs="Arial"/>
        </w:rPr>
        <w:t>K, and for support staff unions £</w:t>
      </w:r>
      <w:r w:rsidR="006C6E7A" w:rsidRPr="00867695">
        <w:rPr>
          <w:rFonts w:cs="Arial"/>
        </w:rPr>
        <w:t>57</w:t>
      </w:r>
      <w:r w:rsidRPr="00867695">
        <w:rPr>
          <w:rFonts w:cs="Arial"/>
        </w:rPr>
        <w:t xml:space="preserve">K per annum, </w:t>
      </w:r>
      <w:r w:rsidR="00960F58" w:rsidRPr="00867695">
        <w:rPr>
          <w:rFonts w:cs="Arial"/>
        </w:rPr>
        <w:t>further commitments are:</w:t>
      </w:r>
      <w:r w:rsidRPr="00867695">
        <w:rPr>
          <w:rFonts w:cs="Arial"/>
        </w:rPr>
        <w:t xml:space="preserve">  </w:t>
      </w:r>
    </w:p>
    <w:p w14:paraId="26B4D71B" w14:textId="3724FCD2" w:rsidR="00AC6928" w:rsidRPr="007033D6" w:rsidRDefault="00AC6928" w:rsidP="007033D6">
      <w:pPr>
        <w:autoSpaceDE w:val="0"/>
        <w:autoSpaceDN w:val="0"/>
        <w:adjustRightInd w:val="0"/>
      </w:pPr>
    </w:p>
    <w:p w14:paraId="40BC56FD" w14:textId="6C8420A5" w:rsidR="0060688F" w:rsidRDefault="00960F58" w:rsidP="001747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59" w:lineRule="auto"/>
        <w:ind w:hanging="798"/>
        <w:rPr>
          <w:rFonts w:cs="Arial"/>
        </w:rPr>
      </w:pPr>
      <w:r w:rsidRPr="00960F58">
        <w:rPr>
          <w:rFonts w:cs="Arial"/>
        </w:rPr>
        <w:t xml:space="preserve">Special </w:t>
      </w:r>
      <w:proofErr w:type="gramStart"/>
      <w:r w:rsidRPr="00960F58">
        <w:rPr>
          <w:rFonts w:cs="Arial"/>
        </w:rPr>
        <w:t>schools</w:t>
      </w:r>
      <w:proofErr w:type="gramEnd"/>
      <w:r w:rsidRPr="00960F58">
        <w:rPr>
          <w:rFonts w:cs="Arial"/>
        </w:rPr>
        <w:t xml:space="preserve"> income </w:t>
      </w:r>
      <w:r>
        <w:rPr>
          <w:rFonts w:cs="Arial"/>
        </w:rPr>
        <w:t xml:space="preserve">is </w:t>
      </w:r>
      <w:r w:rsidRPr="00960F58">
        <w:rPr>
          <w:rFonts w:cs="Arial"/>
        </w:rPr>
        <w:t xml:space="preserve">to be calculated – we have not charged </w:t>
      </w:r>
      <w:r w:rsidR="00B04EEA">
        <w:rPr>
          <w:rFonts w:cs="Arial"/>
        </w:rPr>
        <w:t xml:space="preserve">these settings </w:t>
      </w:r>
      <w:r w:rsidRPr="00960F58">
        <w:rPr>
          <w:rFonts w:cs="Arial"/>
        </w:rPr>
        <w:t>before</w:t>
      </w:r>
      <w:r>
        <w:rPr>
          <w:rFonts w:cs="Arial"/>
        </w:rPr>
        <w:t xml:space="preserve">, but staff are supported. </w:t>
      </w:r>
      <w:r w:rsidR="002C6D57">
        <w:rPr>
          <w:rFonts w:cs="Arial"/>
        </w:rPr>
        <w:t>U</w:t>
      </w:r>
      <w:r w:rsidR="00D077F2">
        <w:rPr>
          <w:rFonts w:cs="Arial"/>
        </w:rPr>
        <w:t>sing</w:t>
      </w:r>
      <w:r w:rsidR="00255401">
        <w:rPr>
          <w:rFonts w:cs="Arial"/>
        </w:rPr>
        <w:t xml:space="preserve"> the</w:t>
      </w:r>
      <w:r w:rsidR="00D077F2">
        <w:rPr>
          <w:rFonts w:cs="Arial"/>
        </w:rPr>
        <w:t xml:space="preserve"> national </w:t>
      </w:r>
      <w:r w:rsidR="001F1F03">
        <w:rPr>
          <w:rFonts w:cs="Arial"/>
        </w:rPr>
        <w:t>recommended guidelines</w:t>
      </w:r>
      <w:r w:rsidR="00B3642A">
        <w:rPr>
          <w:rFonts w:cs="Arial"/>
        </w:rPr>
        <w:t xml:space="preserve"> </w:t>
      </w:r>
      <w:r w:rsidR="001F1F03">
        <w:rPr>
          <w:rFonts w:cs="Arial"/>
        </w:rPr>
        <w:t>this would be at a rate of 3</w:t>
      </w:r>
      <w:r w:rsidR="00D077F2">
        <w:rPr>
          <w:rFonts w:cs="Arial"/>
        </w:rPr>
        <w:t xml:space="preserve"> times </w:t>
      </w:r>
      <w:r w:rsidR="001F1F03">
        <w:rPr>
          <w:rFonts w:cs="Arial"/>
        </w:rPr>
        <w:t>the place numbers</w:t>
      </w:r>
      <w:r w:rsidR="005E16D9">
        <w:rPr>
          <w:rFonts w:cs="Arial"/>
        </w:rPr>
        <w:t>,</w:t>
      </w:r>
      <w:r w:rsidR="001F1F03">
        <w:rPr>
          <w:rFonts w:cs="Arial"/>
        </w:rPr>
        <w:t xml:space="preserve"> because of the significantly higher ratio of staff numbers to </w:t>
      </w:r>
      <w:proofErr w:type="gramStart"/>
      <w:r w:rsidR="00062DB8">
        <w:rPr>
          <w:rFonts w:cs="Arial"/>
        </w:rPr>
        <w:t>pup</w:t>
      </w:r>
      <w:r w:rsidR="003E48C7">
        <w:rPr>
          <w:rFonts w:cs="Arial"/>
        </w:rPr>
        <w:t>i</w:t>
      </w:r>
      <w:r w:rsidR="00062DB8">
        <w:rPr>
          <w:rFonts w:cs="Arial"/>
        </w:rPr>
        <w:t>ls</w:t>
      </w:r>
      <w:r w:rsidR="0042050C">
        <w:rPr>
          <w:rFonts w:cs="Arial"/>
        </w:rPr>
        <w:t xml:space="preserve">  Applying</w:t>
      </w:r>
      <w:proofErr w:type="gramEnd"/>
      <w:r w:rsidR="0042050C">
        <w:rPr>
          <w:rFonts w:cs="Arial"/>
        </w:rPr>
        <w:t xml:space="preserve"> this to the de-delegated supply cover rate of £5.23 in 2023-24, </w:t>
      </w:r>
      <w:r w:rsidR="00B3642A">
        <w:rPr>
          <w:rFonts w:cs="Arial"/>
        </w:rPr>
        <w:t xml:space="preserve">it </w:t>
      </w:r>
      <w:r w:rsidR="0042050C">
        <w:rPr>
          <w:rFonts w:cs="Arial"/>
        </w:rPr>
        <w:t>would generate a charge of £1</w:t>
      </w:r>
      <w:r w:rsidR="005F6CD1">
        <w:rPr>
          <w:rFonts w:cs="Arial"/>
        </w:rPr>
        <w:t>5.69</w:t>
      </w:r>
      <w:r w:rsidR="0042050C">
        <w:rPr>
          <w:rFonts w:cs="Arial"/>
        </w:rPr>
        <w:t xml:space="preserve"> per place</w:t>
      </w:r>
      <w:r w:rsidR="00EA1CB0">
        <w:rPr>
          <w:rFonts w:cs="Arial"/>
        </w:rPr>
        <w:t>.</w:t>
      </w:r>
      <w:r w:rsidR="0042050C">
        <w:rPr>
          <w:rFonts w:cs="Arial"/>
        </w:rPr>
        <w:t xml:space="preserve">  </w:t>
      </w:r>
      <w:r w:rsidR="00951B96">
        <w:rPr>
          <w:rFonts w:cs="Arial"/>
        </w:rPr>
        <w:t>Table 2 shows the charge per school, including LEAP and the academy special school, Ian Mikado.</w:t>
      </w:r>
      <w:r w:rsidR="009C6F59">
        <w:rPr>
          <w:rFonts w:cs="Arial"/>
        </w:rPr>
        <w:t xml:space="preserve">  The total contribution is in the </w:t>
      </w:r>
      <w:r w:rsidR="009C6F59" w:rsidRPr="001D187D">
        <w:rPr>
          <w:rFonts w:cs="Arial"/>
        </w:rPr>
        <w:t>region of £16.</w:t>
      </w:r>
      <w:r w:rsidR="001D187D" w:rsidRPr="001D187D">
        <w:rPr>
          <w:rFonts w:cs="Arial"/>
        </w:rPr>
        <w:t>3</w:t>
      </w:r>
      <w:r w:rsidR="009C6F59" w:rsidRPr="001D187D">
        <w:rPr>
          <w:rFonts w:cs="Arial"/>
        </w:rPr>
        <w:t>k</w:t>
      </w:r>
      <w:r w:rsidR="009C6F59">
        <w:rPr>
          <w:rFonts w:cs="Arial"/>
        </w:rPr>
        <w:t xml:space="preserve"> if agreed.</w:t>
      </w:r>
    </w:p>
    <w:p w14:paraId="60C9178D" w14:textId="77777777" w:rsidR="00147C2A" w:rsidRDefault="00147C2A" w:rsidP="00147C2A">
      <w:pPr>
        <w:pStyle w:val="ListParagraph"/>
        <w:autoSpaceDE w:val="0"/>
        <w:autoSpaceDN w:val="0"/>
        <w:adjustRightInd w:val="0"/>
        <w:spacing w:line="259" w:lineRule="auto"/>
        <w:ind w:left="1224"/>
        <w:rPr>
          <w:rFonts w:cs="Arial"/>
        </w:rPr>
      </w:pPr>
    </w:p>
    <w:tbl>
      <w:tblPr>
        <w:tblStyle w:val="TableGrid"/>
        <w:tblW w:w="7579" w:type="dxa"/>
        <w:tblLook w:val="04A0" w:firstRow="1" w:lastRow="0" w:firstColumn="1" w:lastColumn="0" w:noHBand="0" w:noVBand="1"/>
      </w:tblPr>
      <w:tblGrid>
        <w:gridCol w:w="3539"/>
        <w:gridCol w:w="1676"/>
        <w:gridCol w:w="2364"/>
      </w:tblGrid>
      <w:tr w:rsidR="00951B96" w:rsidRPr="00951B96" w14:paraId="4FD288E6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607C4CD0" w14:textId="3A98C905" w:rsidR="00951B96" w:rsidRPr="00D02DF6" w:rsidRDefault="009C6F59" w:rsidP="00951B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 2</w:t>
            </w:r>
          </w:p>
        </w:tc>
        <w:tc>
          <w:tcPr>
            <w:tcW w:w="1676" w:type="dxa"/>
            <w:noWrap/>
            <w:hideMark/>
          </w:tcPr>
          <w:p w14:paraId="41C461F4" w14:textId="77777777" w:rsidR="00951B96" w:rsidRPr="00D02DF6" w:rsidRDefault="00951B96" w:rsidP="00951B9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2D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places</w:t>
            </w:r>
          </w:p>
        </w:tc>
        <w:tc>
          <w:tcPr>
            <w:tcW w:w="2364" w:type="dxa"/>
            <w:noWrap/>
            <w:hideMark/>
          </w:tcPr>
          <w:p w14:paraId="25EEA8E8" w14:textId="7D88E354" w:rsidR="00951B96" w:rsidRPr="00D02DF6" w:rsidRDefault="00951B96" w:rsidP="009C6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2D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="009C6F59" w:rsidRPr="00D02D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supply charge at £</w:t>
            </w:r>
            <w:r w:rsidR="005F6CD1" w:rsidRPr="00D02D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15.69</w:t>
            </w:r>
            <w:r w:rsidR="009C6F59" w:rsidRPr="00D02D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per place</w:t>
            </w:r>
          </w:p>
        </w:tc>
      </w:tr>
      <w:tr w:rsidR="009C6F59" w:rsidRPr="00951B96" w14:paraId="71A69630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5ADAB75F" w14:textId="77777777" w:rsidR="009C6F59" w:rsidRPr="00951B96" w:rsidRDefault="009C6F59" w:rsidP="009C6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Bowden House Delegated</w:t>
            </w:r>
          </w:p>
        </w:tc>
        <w:tc>
          <w:tcPr>
            <w:tcW w:w="1676" w:type="dxa"/>
            <w:noWrap/>
            <w:hideMark/>
          </w:tcPr>
          <w:p w14:paraId="505D8320" w14:textId="77777777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364" w:type="dxa"/>
            <w:noWrap/>
            <w:hideMark/>
          </w:tcPr>
          <w:p w14:paraId="2E7C4D19" w14:textId="1B26B215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£9</w:t>
            </w:r>
            <w:r w:rsidR="00E56982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6F59" w:rsidRPr="00951B96" w14:paraId="2433925C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1EDCB509" w14:textId="77777777" w:rsidR="009C6F59" w:rsidRPr="00951B96" w:rsidRDefault="009C6F59" w:rsidP="009C6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Phoenix Delegated</w:t>
            </w:r>
          </w:p>
        </w:tc>
        <w:tc>
          <w:tcPr>
            <w:tcW w:w="1676" w:type="dxa"/>
            <w:noWrap/>
            <w:hideMark/>
          </w:tcPr>
          <w:p w14:paraId="41F330A3" w14:textId="77777777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364" w:type="dxa"/>
            <w:noWrap/>
            <w:hideMark/>
          </w:tcPr>
          <w:p w14:paraId="299DC24B" w14:textId="3AE12918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£7,</w:t>
            </w:r>
            <w:r w:rsidR="00E56982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</w:tr>
      <w:tr w:rsidR="009C6F59" w:rsidRPr="00951B96" w14:paraId="1C3BE8EF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6C45352B" w14:textId="79367E1B" w:rsidR="009C6F59" w:rsidRPr="00951B96" w:rsidRDefault="009C6F59" w:rsidP="009C6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Beatrice Tate</w:t>
            </w:r>
          </w:p>
        </w:tc>
        <w:tc>
          <w:tcPr>
            <w:tcW w:w="1676" w:type="dxa"/>
          </w:tcPr>
          <w:p w14:paraId="5485BD4A" w14:textId="0FE8A6DB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64" w:type="dxa"/>
            <w:noWrap/>
            <w:hideMark/>
          </w:tcPr>
          <w:p w14:paraId="29BB947B" w14:textId="18F7B107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£1,8</w:t>
            </w:r>
            <w:r w:rsidR="00E56982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</w:tr>
      <w:tr w:rsidR="009C6F59" w:rsidRPr="00951B96" w14:paraId="4D7BD080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4163DFC8" w14:textId="77777777" w:rsidR="009C6F59" w:rsidRPr="00951B96" w:rsidRDefault="009C6F59" w:rsidP="009C6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Stephen Hawking Delegated</w:t>
            </w:r>
          </w:p>
        </w:tc>
        <w:tc>
          <w:tcPr>
            <w:tcW w:w="1676" w:type="dxa"/>
            <w:noWrap/>
            <w:hideMark/>
          </w:tcPr>
          <w:p w14:paraId="48FB59E7" w14:textId="77777777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1B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64" w:type="dxa"/>
            <w:noWrap/>
            <w:hideMark/>
          </w:tcPr>
          <w:p w14:paraId="6DB4D5D2" w14:textId="1CA36D0E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£1,6</w:t>
            </w:r>
            <w:r w:rsidR="005556E5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6F59" w:rsidRPr="00951B96" w14:paraId="36DD862B" w14:textId="77777777" w:rsidTr="00BF27A3">
        <w:trPr>
          <w:trHeight w:val="320"/>
        </w:trPr>
        <w:tc>
          <w:tcPr>
            <w:tcW w:w="3539" w:type="dxa"/>
            <w:noWrap/>
          </w:tcPr>
          <w:p w14:paraId="19FC74EE" w14:textId="7BFBD018" w:rsidR="009C6F59" w:rsidRPr="00951B96" w:rsidRDefault="009C6F59" w:rsidP="009C6F59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LEAP</w:t>
            </w:r>
          </w:p>
        </w:tc>
        <w:tc>
          <w:tcPr>
            <w:tcW w:w="1676" w:type="dxa"/>
            <w:noWrap/>
          </w:tcPr>
          <w:p w14:paraId="051E998C" w14:textId="63605448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364" w:type="dxa"/>
            <w:noWrap/>
          </w:tcPr>
          <w:p w14:paraId="01F53421" w14:textId="73180BA9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£3,</w:t>
            </w:r>
            <w:r w:rsidR="005556E5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</w:tr>
      <w:tr w:rsidR="009C6F59" w:rsidRPr="00951B96" w14:paraId="7512513F" w14:textId="77777777" w:rsidTr="00BF27A3">
        <w:trPr>
          <w:trHeight w:val="320"/>
        </w:trPr>
        <w:tc>
          <w:tcPr>
            <w:tcW w:w="3539" w:type="dxa"/>
            <w:noWrap/>
            <w:hideMark/>
          </w:tcPr>
          <w:p w14:paraId="21FA980B" w14:textId="55E2F084" w:rsidR="009C6F59" w:rsidRPr="00951B96" w:rsidRDefault="009C6F59" w:rsidP="009C6F59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IAN MIKARDO SCHOOL</w:t>
            </w:r>
          </w:p>
        </w:tc>
        <w:tc>
          <w:tcPr>
            <w:tcW w:w="1676" w:type="dxa"/>
            <w:noWrap/>
            <w:hideMark/>
          </w:tcPr>
          <w:p w14:paraId="28DDBC9F" w14:textId="5DBCAB68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64" w:type="dxa"/>
            <w:noWrap/>
            <w:hideMark/>
          </w:tcPr>
          <w:p w14:paraId="5D99EC7D" w14:textId="71FDB428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£8</w:t>
            </w:r>
            <w:r w:rsidR="005556E5" w:rsidRPr="005556E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C6F59" w:rsidRPr="00951B96" w14:paraId="3314CDA9" w14:textId="77777777" w:rsidTr="00BF27A3">
        <w:trPr>
          <w:trHeight w:val="290"/>
        </w:trPr>
        <w:tc>
          <w:tcPr>
            <w:tcW w:w="3539" w:type="dxa"/>
            <w:noWrap/>
            <w:hideMark/>
          </w:tcPr>
          <w:p w14:paraId="5AC3D5EC" w14:textId="77777777" w:rsidR="009C6F59" w:rsidRPr="00951B96" w:rsidRDefault="009C6F59" w:rsidP="009C6F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hideMark/>
          </w:tcPr>
          <w:p w14:paraId="66C89197" w14:textId="77777777" w:rsidR="009C6F59" w:rsidRPr="00951B96" w:rsidRDefault="009C6F59" w:rsidP="009C6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noWrap/>
            <w:hideMark/>
          </w:tcPr>
          <w:p w14:paraId="378637BB" w14:textId="4111D9D1" w:rsidR="009C6F59" w:rsidRPr="005556E5" w:rsidRDefault="009C6F59" w:rsidP="009C6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55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£16,</w:t>
            </w:r>
            <w:r w:rsidR="005556E5" w:rsidRPr="00555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</w:t>
            </w:r>
          </w:p>
        </w:tc>
      </w:tr>
    </w:tbl>
    <w:p w14:paraId="38F7F257" w14:textId="77777777" w:rsidR="009C6F59" w:rsidRPr="00573576" w:rsidRDefault="009C6F59" w:rsidP="00573576">
      <w:pPr>
        <w:autoSpaceDE w:val="0"/>
        <w:autoSpaceDN w:val="0"/>
        <w:adjustRightInd w:val="0"/>
      </w:pPr>
    </w:p>
    <w:p w14:paraId="46570C31" w14:textId="1BF3E26C" w:rsidR="00960F58" w:rsidRDefault="00960F58" w:rsidP="00960F5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960F58">
        <w:rPr>
          <w:rFonts w:cs="Arial"/>
        </w:rPr>
        <w:t>Invoices have not yet been sent to academies for 23/24</w:t>
      </w:r>
      <w:r w:rsidR="009C6F59">
        <w:rPr>
          <w:rFonts w:cs="Arial"/>
        </w:rPr>
        <w:t>, but have been included in the anticipated income, which also includes the accruals from 22-23</w:t>
      </w:r>
    </w:p>
    <w:p w14:paraId="1C81E4AC" w14:textId="77777777" w:rsidR="00AA189C" w:rsidRDefault="00AA189C" w:rsidP="0060688F">
      <w:pPr>
        <w:rPr>
          <w:color w:val="000000"/>
        </w:rPr>
      </w:pPr>
    </w:p>
    <w:p w14:paraId="6A7A8D23" w14:textId="77777777" w:rsidR="00147C2A" w:rsidRDefault="00147C2A" w:rsidP="0060688F">
      <w:pPr>
        <w:rPr>
          <w:color w:val="000000"/>
        </w:rPr>
      </w:pPr>
    </w:p>
    <w:p w14:paraId="6AA18335" w14:textId="77777777" w:rsidR="00147C2A" w:rsidRDefault="00147C2A" w:rsidP="0060688F">
      <w:pPr>
        <w:rPr>
          <w:color w:val="000000"/>
        </w:rPr>
      </w:pPr>
    </w:p>
    <w:p w14:paraId="40548A32" w14:textId="77777777" w:rsidR="00147C2A" w:rsidRDefault="00147C2A" w:rsidP="0060688F">
      <w:pPr>
        <w:rPr>
          <w:color w:val="000000"/>
        </w:rPr>
      </w:pPr>
    </w:p>
    <w:p w14:paraId="56BDE150" w14:textId="77777777" w:rsidR="00147C2A" w:rsidRDefault="00147C2A" w:rsidP="0060688F">
      <w:pPr>
        <w:rPr>
          <w:color w:val="000000"/>
        </w:rPr>
      </w:pPr>
    </w:p>
    <w:p w14:paraId="4E09011F" w14:textId="77777777" w:rsidR="00147C2A" w:rsidRDefault="00147C2A" w:rsidP="0060688F">
      <w:pPr>
        <w:rPr>
          <w:color w:val="000000"/>
        </w:rPr>
      </w:pPr>
    </w:p>
    <w:p w14:paraId="33FA98C6" w14:textId="77777777" w:rsidR="00147C2A" w:rsidRDefault="00147C2A" w:rsidP="0060688F">
      <w:pPr>
        <w:rPr>
          <w:color w:val="000000"/>
        </w:rPr>
      </w:pPr>
    </w:p>
    <w:p w14:paraId="7FD8E853" w14:textId="77777777" w:rsidR="00147C2A" w:rsidRDefault="00147C2A" w:rsidP="0060688F">
      <w:pPr>
        <w:rPr>
          <w:color w:val="000000"/>
        </w:rPr>
      </w:pPr>
    </w:p>
    <w:p w14:paraId="5837B9AA" w14:textId="77777777" w:rsidR="00147C2A" w:rsidRDefault="00147C2A" w:rsidP="0060688F">
      <w:pPr>
        <w:rPr>
          <w:color w:val="000000"/>
        </w:rPr>
      </w:pPr>
    </w:p>
    <w:p w14:paraId="1846B548" w14:textId="77777777" w:rsidR="00147C2A" w:rsidRDefault="00147C2A" w:rsidP="0060688F">
      <w:pPr>
        <w:rPr>
          <w:color w:val="000000"/>
        </w:rPr>
      </w:pPr>
    </w:p>
    <w:p w14:paraId="3DB6DAA5" w14:textId="77777777" w:rsidR="00147C2A" w:rsidRDefault="00147C2A" w:rsidP="0060688F">
      <w:pPr>
        <w:rPr>
          <w:color w:val="000000"/>
        </w:rPr>
      </w:pPr>
    </w:p>
    <w:p w14:paraId="23CD6AD9" w14:textId="77777777" w:rsidR="00147C2A" w:rsidRDefault="00147C2A" w:rsidP="0060688F">
      <w:pPr>
        <w:rPr>
          <w:color w:val="000000"/>
        </w:rPr>
      </w:pPr>
    </w:p>
    <w:p w14:paraId="0F6DC02D" w14:textId="77777777" w:rsidR="00147C2A" w:rsidRDefault="00147C2A" w:rsidP="0060688F">
      <w:pPr>
        <w:rPr>
          <w:color w:val="000000"/>
        </w:rPr>
      </w:pPr>
    </w:p>
    <w:p w14:paraId="3BA89263" w14:textId="77777777" w:rsidR="00147C2A" w:rsidRDefault="00147C2A" w:rsidP="0060688F">
      <w:pPr>
        <w:rPr>
          <w:color w:val="000000"/>
        </w:rPr>
      </w:pPr>
    </w:p>
    <w:p w14:paraId="4B361B81" w14:textId="77777777" w:rsidR="00147C2A" w:rsidRPr="0060688F" w:rsidRDefault="00147C2A" w:rsidP="0060688F">
      <w:pPr>
        <w:rPr>
          <w:color w:val="000000"/>
        </w:rPr>
      </w:pPr>
    </w:p>
    <w:p w14:paraId="215504EE" w14:textId="5FC15C1A" w:rsidR="006A16D6" w:rsidRPr="00C162AA" w:rsidRDefault="00815912" w:rsidP="006A16D6">
      <w:pPr>
        <w:pStyle w:val="Heading2"/>
        <w:numPr>
          <w:ilvl w:val="0"/>
          <w:numId w:val="1"/>
        </w:numPr>
      </w:pPr>
      <w:r>
        <w:t xml:space="preserve">TUFA </w:t>
      </w:r>
      <w:r w:rsidR="00AB4187">
        <w:t>Outturn Position</w:t>
      </w:r>
      <w:r w:rsidR="0060688F">
        <w:t xml:space="preserve"> for Prior </w:t>
      </w:r>
      <w:r w:rsidR="00812F29">
        <w:t xml:space="preserve">Financial </w:t>
      </w:r>
      <w:r w:rsidR="0060688F">
        <w:t>Year 2022-23</w:t>
      </w:r>
    </w:p>
    <w:p w14:paraId="55AAF288" w14:textId="77777777" w:rsidR="006A16D6" w:rsidRDefault="006A16D6" w:rsidP="006A16D6">
      <w:pPr>
        <w:pStyle w:val="ListParagraph"/>
        <w:ind w:left="360"/>
        <w:rPr>
          <w:rFonts w:cs="Arial"/>
          <w:b/>
          <w:bCs/>
        </w:rPr>
      </w:pPr>
    </w:p>
    <w:p w14:paraId="2EB33877" w14:textId="09C63811" w:rsidR="00D11484" w:rsidRDefault="00812F29" w:rsidP="004A40B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 w:rsidRPr="00D11484">
        <w:rPr>
          <w:color w:val="000000"/>
        </w:rPr>
        <w:t xml:space="preserve">In </w:t>
      </w:r>
      <w:r w:rsidR="00615D07" w:rsidRPr="00D11484">
        <w:rPr>
          <w:color w:val="000000"/>
        </w:rPr>
        <w:t xml:space="preserve">2022-23 financial year, the </w:t>
      </w:r>
      <w:r w:rsidR="00FA5DDD">
        <w:rPr>
          <w:color w:val="000000"/>
        </w:rPr>
        <w:t xml:space="preserve">total </w:t>
      </w:r>
      <w:r w:rsidR="00ED65D9" w:rsidRPr="00D11484">
        <w:rPr>
          <w:color w:val="000000"/>
        </w:rPr>
        <w:t>income re</w:t>
      </w:r>
      <w:r w:rsidR="005D0979" w:rsidRPr="00D11484">
        <w:rPr>
          <w:color w:val="000000"/>
        </w:rPr>
        <w:t xml:space="preserve">ceived </w:t>
      </w:r>
      <w:r w:rsidR="002F1650">
        <w:rPr>
          <w:color w:val="000000"/>
        </w:rPr>
        <w:t xml:space="preserve">for Trade Union Facilities Time Arrangements </w:t>
      </w:r>
      <w:r w:rsidR="00FA5DDD">
        <w:rPr>
          <w:color w:val="000000"/>
        </w:rPr>
        <w:t>was £194,711</w:t>
      </w:r>
      <w:r w:rsidR="00644E78">
        <w:rPr>
          <w:color w:val="000000"/>
        </w:rPr>
        <w:t xml:space="preserve"> comprising of </w:t>
      </w:r>
      <w:r w:rsidR="00644E78" w:rsidRPr="00D11484">
        <w:rPr>
          <w:color w:val="000000"/>
        </w:rPr>
        <w:t>£148,244</w:t>
      </w:r>
      <w:r w:rsidR="00644E78">
        <w:rPr>
          <w:color w:val="000000"/>
        </w:rPr>
        <w:t xml:space="preserve"> </w:t>
      </w:r>
      <w:r w:rsidR="005D0979" w:rsidRPr="00D11484">
        <w:rPr>
          <w:color w:val="000000"/>
        </w:rPr>
        <w:t xml:space="preserve">from maintained schools </w:t>
      </w:r>
      <w:proofErr w:type="spellStart"/>
      <w:r w:rsidR="00ED4B0A">
        <w:rPr>
          <w:color w:val="000000"/>
        </w:rPr>
        <w:t>dedelegated</w:t>
      </w:r>
      <w:proofErr w:type="spellEnd"/>
      <w:r w:rsidR="00ED4B0A">
        <w:rPr>
          <w:color w:val="000000"/>
        </w:rPr>
        <w:t xml:space="preserve"> budgets</w:t>
      </w:r>
      <w:r w:rsidR="005D0979" w:rsidRPr="00D11484">
        <w:rPr>
          <w:color w:val="000000"/>
        </w:rPr>
        <w:t xml:space="preserve"> </w:t>
      </w:r>
      <w:r w:rsidR="00D11484">
        <w:rPr>
          <w:color w:val="000000"/>
        </w:rPr>
        <w:t xml:space="preserve">and a further £46,467 </w:t>
      </w:r>
      <w:r w:rsidR="00587919">
        <w:rPr>
          <w:color w:val="000000"/>
        </w:rPr>
        <w:t>invoiced to academies/free schools</w:t>
      </w:r>
      <w:r w:rsidR="004C5ABB">
        <w:rPr>
          <w:color w:val="000000"/>
        </w:rPr>
        <w:t>.</w:t>
      </w:r>
    </w:p>
    <w:p w14:paraId="5A031D7D" w14:textId="5F3927A8" w:rsidR="006A16D6" w:rsidRPr="00D11484" w:rsidRDefault="006A16D6" w:rsidP="00D11484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  <w:r w:rsidRPr="00D11484">
        <w:rPr>
          <w:color w:val="000000"/>
        </w:rPr>
        <w:t xml:space="preserve"> </w:t>
      </w:r>
    </w:p>
    <w:p w14:paraId="448F3926" w14:textId="1371A699" w:rsidR="006A16D6" w:rsidRPr="00250792" w:rsidRDefault="004C5ABB" w:rsidP="006A16D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b/>
          <w:bCs/>
          <w:color w:val="000000"/>
        </w:rPr>
      </w:pPr>
      <w:r>
        <w:rPr>
          <w:color w:val="000000"/>
        </w:rPr>
        <w:t xml:space="preserve">The </w:t>
      </w:r>
      <w:r w:rsidR="004545BC">
        <w:rPr>
          <w:color w:val="000000"/>
        </w:rPr>
        <w:t xml:space="preserve">actual expenditure incurred in 2022/23 for TUFA support costs </w:t>
      </w:r>
      <w:r w:rsidR="00036542">
        <w:rPr>
          <w:color w:val="000000"/>
        </w:rPr>
        <w:t>totalled £196,885</w:t>
      </w:r>
      <w:r w:rsidR="00250792">
        <w:rPr>
          <w:color w:val="000000"/>
        </w:rPr>
        <w:t>.</w:t>
      </w:r>
    </w:p>
    <w:p w14:paraId="17799F62" w14:textId="77777777" w:rsidR="00250792" w:rsidRPr="00250792" w:rsidRDefault="00250792" w:rsidP="00250792">
      <w:pPr>
        <w:pStyle w:val="ListParagraph"/>
        <w:rPr>
          <w:b/>
          <w:bCs/>
          <w:color w:val="000000"/>
        </w:rPr>
      </w:pPr>
    </w:p>
    <w:p w14:paraId="49E5FF22" w14:textId="3FECA5B1" w:rsidR="00250792" w:rsidRPr="00860FA8" w:rsidRDefault="00250792" w:rsidP="006A16D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b/>
          <w:bCs/>
          <w:color w:val="000000"/>
        </w:rPr>
      </w:pPr>
      <w:r>
        <w:rPr>
          <w:color w:val="000000"/>
        </w:rPr>
        <w:t xml:space="preserve">The outturn position for 2022-23 was a </w:t>
      </w:r>
      <w:r w:rsidR="00352263">
        <w:rPr>
          <w:color w:val="000000"/>
        </w:rPr>
        <w:t xml:space="preserve">small overspend of </w:t>
      </w:r>
      <w:proofErr w:type="gramStart"/>
      <w:r w:rsidR="00352263">
        <w:rPr>
          <w:color w:val="000000"/>
        </w:rPr>
        <w:t>£2,17</w:t>
      </w:r>
      <w:r w:rsidR="008677EE">
        <w:rPr>
          <w:color w:val="000000"/>
        </w:rPr>
        <w:t>4</w:t>
      </w:r>
      <w:proofErr w:type="gramEnd"/>
    </w:p>
    <w:p w14:paraId="6B284235" w14:textId="77777777" w:rsidR="00CF024F" w:rsidRPr="00CC1D78" w:rsidRDefault="00CF024F" w:rsidP="006A16D6">
      <w:pPr>
        <w:autoSpaceDE w:val="0"/>
        <w:autoSpaceDN w:val="0"/>
        <w:adjustRightInd w:val="0"/>
        <w:ind w:left="426"/>
        <w:rPr>
          <w:rFonts w:eastAsia="Times New Roman"/>
          <w:color w:val="000000"/>
        </w:rPr>
      </w:pPr>
    </w:p>
    <w:p w14:paraId="480E6370" w14:textId="77777777" w:rsidR="00145B3B" w:rsidRPr="00145B3B" w:rsidRDefault="00145B3B" w:rsidP="00145B3B">
      <w:pPr>
        <w:pStyle w:val="Heading2"/>
        <w:numPr>
          <w:ilvl w:val="0"/>
          <w:numId w:val="1"/>
        </w:numPr>
      </w:pPr>
      <w:r w:rsidRPr="00145B3B">
        <w:t>Decisions and Next Steps</w:t>
      </w:r>
    </w:p>
    <w:p w14:paraId="6B098E96" w14:textId="77777777" w:rsidR="00145B3B" w:rsidRDefault="00145B3B" w:rsidP="00145B3B">
      <w:pPr>
        <w:spacing w:after="0"/>
      </w:pPr>
    </w:p>
    <w:p w14:paraId="003CB6C1" w14:textId="77777777" w:rsidR="00E72A40" w:rsidRDefault="00145B3B" w:rsidP="00145B3B">
      <w:pPr>
        <w:pStyle w:val="ListParagraph"/>
        <w:numPr>
          <w:ilvl w:val="1"/>
          <w:numId w:val="6"/>
        </w:numPr>
        <w:ind w:left="567" w:hanging="567"/>
        <w:contextualSpacing w:val="0"/>
        <w:jc w:val="both"/>
        <w:rPr>
          <w:rFonts w:cs="Arial"/>
        </w:rPr>
      </w:pPr>
      <w:r w:rsidRPr="003C1CB4">
        <w:rPr>
          <w:rFonts w:cs="Arial"/>
        </w:rPr>
        <w:t xml:space="preserve">The Forum </w:t>
      </w:r>
      <w:proofErr w:type="gramStart"/>
      <w:r w:rsidRPr="003C1CB4">
        <w:rPr>
          <w:rFonts w:cs="Arial"/>
        </w:rPr>
        <w:t>are</w:t>
      </w:r>
      <w:proofErr w:type="gramEnd"/>
      <w:r w:rsidRPr="003C1CB4">
        <w:rPr>
          <w:rFonts w:cs="Arial"/>
        </w:rPr>
        <w:t xml:space="preserve"> asked to </w:t>
      </w:r>
      <w:r w:rsidR="00AB2B55">
        <w:rPr>
          <w:rFonts w:cs="Arial"/>
        </w:rPr>
        <w:t>note</w:t>
      </w:r>
      <w:r w:rsidRPr="003C1CB4">
        <w:rPr>
          <w:rFonts w:cs="Arial"/>
        </w:rPr>
        <w:t xml:space="preserve"> the de-delegation of the schools’ facilities time budget and the funding arrangements that will determine the available budget.</w:t>
      </w:r>
    </w:p>
    <w:p w14:paraId="5DCACF25" w14:textId="77777777" w:rsidR="00506A31" w:rsidRDefault="00506A31" w:rsidP="00506A31">
      <w:pPr>
        <w:pStyle w:val="ListParagraph"/>
        <w:ind w:left="567"/>
        <w:contextualSpacing w:val="0"/>
        <w:jc w:val="both"/>
        <w:rPr>
          <w:rFonts w:cs="Arial"/>
        </w:rPr>
      </w:pPr>
    </w:p>
    <w:p w14:paraId="610E96EB" w14:textId="522E2D3B" w:rsidR="00506A31" w:rsidRPr="00C7693C" w:rsidRDefault="00E72A40" w:rsidP="00C7693C">
      <w:pPr>
        <w:pStyle w:val="ListParagraph"/>
        <w:numPr>
          <w:ilvl w:val="1"/>
          <w:numId w:val="6"/>
        </w:numPr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 xml:space="preserve">The Forum </w:t>
      </w:r>
      <w:proofErr w:type="gramStart"/>
      <w:r>
        <w:rPr>
          <w:rFonts w:cs="Arial"/>
        </w:rPr>
        <w:t>are</w:t>
      </w:r>
      <w:proofErr w:type="gramEnd"/>
      <w:r>
        <w:rPr>
          <w:rFonts w:cs="Arial"/>
        </w:rPr>
        <w:t xml:space="preserve"> asked to agree the proposed charging </w:t>
      </w:r>
      <w:r w:rsidR="0098637B">
        <w:rPr>
          <w:rFonts w:cs="Arial"/>
        </w:rPr>
        <w:t xml:space="preserve">of all Special Schools as set out in </w:t>
      </w:r>
      <w:r w:rsidR="00506A31">
        <w:rPr>
          <w:rFonts w:cs="Arial"/>
        </w:rPr>
        <w:t>point 1.4.1 of the report</w:t>
      </w:r>
    </w:p>
    <w:p w14:paraId="07C0A8D7" w14:textId="77777777" w:rsidR="00506A31" w:rsidRPr="00506A31" w:rsidRDefault="00506A31" w:rsidP="00506A31">
      <w:pPr>
        <w:pStyle w:val="ListParagraph"/>
        <w:rPr>
          <w:rFonts w:cs="Arial"/>
        </w:rPr>
      </w:pPr>
    </w:p>
    <w:p w14:paraId="68AFF498" w14:textId="65968A43" w:rsidR="00145B3B" w:rsidRDefault="00C7693C" w:rsidP="00145B3B">
      <w:pPr>
        <w:pStyle w:val="ListParagraph"/>
        <w:numPr>
          <w:ilvl w:val="1"/>
          <w:numId w:val="6"/>
        </w:numPr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>A</w:t>
      </w:r>
      <w:r w:rsidR="00AB2B55">
        <w:rPr>
          <w:rFonts w:cs="Arial"/>
        </w:rPr>
        <w:t xml:space="preserve"> further paper will be brought</w:t>
      </w:r>
      <w:r>
        <w:rPr>
          <w:rFonts w:cs="Arial"/>
        </w:rPr>
        <w:t xml:space="preserve"> to Schools Forum</w:t>
      </w:r>
      <w:r w:rsidR="00AB2B55">
        <w:rPr>
          <w:rFonts w:cs="Arial"/>
        </w:rPr>
        <w:t xml:space="preserve"> in November</w:t>
      </w:r>
      <w:r w:rsidR="00A74B82">
        <w:rPr>
          <w:rFonts w:cs="Arial"/>
        </w:rPr>
        <w:t xml:space="preserve"> </w:t>
      </w:r>
      <w:r>
        <w:rPr>
          <w:rFonts w:cs="Arial"/>
        </w:rPr>
        <w:t xml:space="preserve">to set out the proposals for the 2024-25 </w:t>
      </w:r>
      <w:r w:rsidR="00815912">
        <w:rPr>
          <w:rFonts w:cs="Arial"/>
        </w:rPr>
        <w:t>TUFA arrangements.</w:t>
      </w:r>
    </w:p>
    <w:p w14:paraId="41475ED5" w14:textId="77777777" w:rsidR="00145B3B" w:rsidRPr="003C1CB4" w:rsidRDefault="00145B3B" w:rsidP="00145B3B">
      <w:pPr>
        <w:pStyle w:val="ListParagraph"/>
        <w:ind w:left="567" w:hanging="567"/>
        <w:jc w:val="both"/>
        <w:rPr>
          <w:rFonts w:cs="Arial"/>
        </w:rPr>
      </w:pPr>
    </w:p>
    <w:p w14:paraId="2BA9CFB5" w14:textId="0421042A" w:rsidR="00145B3B" w:rsidRPr="00145B3B" w:rsidRDefault="00145B3B" w:rsidP="00145B3B">
      <w:pPr>
        <w:jc w:val="both"/>
      </w:pPr>
    </w:p>
    <w:p w14:paraId="2C922BD8" w14:textId="77777777" w:rsidR="00145B3B" w:rsidRPr="00AC6C71" w:rsidRDefault="00145B3B" w:rsidP="00145B3B">
      <w:pPr>
        <w:spacing w:after="0"/>
        <w:ind w:left="567" w:hanging="567"/>
        <w:jc w:val="both"/>
      </w:pPr>
    </w:p>
    <w:p w14:paraId="0163E41D" w14:textId="40D9719F" w:rsidR="00140894" w:rsidRPr="00024003" w:rsidRDefault="00140894" w:rsidP="00024003">
      <w:pPr>
        <w:pStyle w:val="Heading2"/>
        <w:rPr>
          <w:rFonts w:eastAsia="Times New Roman" w:cs="Times New Roman"/>
          <w:b w:val="0"/>
          <w:bCs w:val="0"/>
          <w:color w:val="000000"/>
        </w:rPr>
      </w:pPr>
    </w:p>
    <w:sectPr w:rsidR="00140894" w:rsidRPr="00024003" w:rsidSect="00DC0596"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3B38" w14:textId="77777777" w:rsidR="009F340E" w:rsidRDefault="009F340E" w:rsidP="00101F8B">
      <w:r>
        <w:separator/>
      </w:r>
    </w:p>
    <w:p w14:paraId="31B591F3" w14:textId="77777777" w:rsidR="009F340E" w:rsidRDefault="009F340E" w:rsidP="00101F8B"/>
    <w:p w14:paraId="1DACD4B9" w14:textId="77777777" w:rsidR="009F340E" w:rsidRDefault="009F340E" w:rsidP="00101F8B"/>
    <w:p w14:paraId="0A696E97" w14:textId="77777777" w:rsidR="009F340E" w:rsidRDefault="009F340E" w:rsidP="00101F8B"/>
    <w:p w14:paraId="09C43EDF" w14:textId="77777777" w:rsidR="009F340E" w:rsidRDefault="009F340E" w:rsidP="00101F8B"/>
    <w:p w14:paraId="48ACA456" w14:textId="77777777" w:rsidR="009F340E" w:rsidRDefault="009F340E" w:rsidP="00101F8B"/>
  </w:endnote>
  <w:endnote w:type="continuationSeparator" w:id="0">
    <w:p w14:paraId="2888283D" w14:textId="77777777" w:rsidR="009F340E" w:rsidRDefault="009F340E" w:rsidP="00101F8B">
      <w:r>
        <w:continuationSeparator/>
      </w:r>
    </w:p>
    <w:p w14:paraId="0A7C79A4" w14:textId="77777777" w:rsidR="009F340E" w:rsidRDefault="009F340E" w:rsidP="00101F8B"/>
    <w:p w14:paraId="64533502" w14:textId="77777777" w:rsidR="009F340E" w:rsidRDefault="009F340E" w:rsidP="00101F8B"/>
    <w:p w14:paraId="672582EA" w14:textId="77777777" w:rsidR="009F340E" w:rsidRDefault="009F340E" w:rsidP="00101F8B"/>
    <w:p w14:paraId="251C2825" w14:textId="77777777" w:rsidR="009F340E" w:rsidRDefault="009F340E" w:rsidP="00101F8B"/>
    <w:p w14:paraId="443CE4D0" w14:textId="77777777" w:rsidR="009F340E" w:rsidRDefault="009F340E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174E" w14:textId="77777777" w:rsidR="009F340E" w:rsidRDefault="009F340E" w:rsidP="00101F8B">
      <w:r>
        <w:separator/>
      </w:r>
    </w:p>
    <w:p w14:paraId="5B13E09A" w14:textId="77777777" w:rsidR="009F340E" w:rsidRDefault="009F340E" w:rsidP="00101F8B"/>
    <w:p w14:paraId="249C68E9" w14:textId="77777777" w:rsidR="009F340E" w:rsidRDefault="009F340E" w:rsidP="00101F8B"/>
    <w:p w14:paraId="1F717AE1" w14:textId="77777777" w:rsidR="009F340E" w:rsidRDefault="009F340E" w:rsidP="00101F8B"/>
    <w:p w14:paraId="5F83C11C" w14:textId="77777777" w:rsidR="009F340E" w:rsidRDefault="009F340E" w:rsidP="00101F8B"/>
    <w:p w14:paraId="5C9431ED" w14:textId="77777777" w:rsidR="009F340E" w:rsidRDefault="009F340E" w:rsidP="00101F8B"/>
  </w:footnote>
  <w:footnote w:type="continuationSeparator" w:id="0">
    <w:p w14:paraId="53683038" w14:textId="77777777" w:rsidR="009F340E" w:rsidRDefault="009F340E" w:rsidP="00101F8B">
      <w:r>
        <w:continuationSeparator/>
      </w:r>
    </w:p>
    <w:p w14:paraId="5F0EA8C9" w14:textId="77777777" w:rsidR="009F340E" w:rsidRDefault="009F340E" w:rsidP="00101F8B"/>
    <w:p w14:paraId="506E1C0F" w14:textId="77777777" w:rsidR="009F340E" w:rsidRDefault="009F340E" w:rsidP="00101F8B"/>
    <w:p w14:paraId="2B373AA6" w14:textId="77777777" w:rsidR="009F340E" w:rsidRDefault="009F340E" w:rsidP="00101F8B"/>
    <w:p w14:paraId="00D1CBEC" w14:textId="77777777" w:rsidR="009F340E" w:rsidRDefault="009F340E" w:rsidP="00101F8B"/>
    <w:p w14:paraId="0B88D981" w14:textId="77777777" w:rsidR="009F340E" w:rsidRDefault="009F340E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1" w15:restartNumberingAfterBreak="0">
    <w:nsid w:val="160567C6"/>
    <w:multiLevelType w:val="multilevel"/>
    <w:tmpl w:val="E8D2713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49E2"/>
    <w:multiLevelType w:val="multilevel"/>
    <w:tmpl w:val="8B34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isLgl/>
      <w:lvlText w:val="%1.%2"/>
      <w:lvlJc w:val="left"/>
      <w:pPr>
        <w:ind w:left="854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A7343A"/>
    <w:multiLevelType w:val="multilevel"/>
    <w:tmpl w:val="AC281C8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ED3402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F30D17"/>
    <w:multiLevelType w:val="hybridMultilevel"/>
    <w:tmpl w:val="B4CA31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6068E8"/>
    <w:multiLevelType w:val="hybridMultilevel"/>
    <w:tmpl w:val="B13C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9034499">
    <w:abstractNumId w:val="8"/>
  </w:num>
  <w:num w:numId="2" w16cid:durableId="1085416488">
    <w:abstractNumId w:val="0"/>
  </w:num>
  <w:num w:numId="3" w16cid:durableId="437601456">
    <w:abstractNumId w:val="7"/>
  </w:num>
  <w:num w:numId="4" w16cid:durableId="1766345715">
    <w:abstractNumId w:val="4"/>
  </w:num>
  <w:num w:numId="5" w16cid:durableId="2089423669">
    <w:abstractNumId w:val="2"/>
  </w:num>
  <w:num w:numId="6" w16cid:durableId="424569827">
    <w:abstractNumId w:val="3"/>
  </w:num>
  <w:num w:numId="7" w16cid:durableId="1640836727">
    <w:abstractNumId w:val="1"/>
  </w:num>
  <w:num w:numId="8" w16cid:durableId="1300384292">
    <w:abstractNumId w:val="6"/>
  </w:num>
  <w:num w:numId="9" w16cid:durableId="208691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24003"/>
    <w:rsid w:val="00036542"/>
    <w:rsid w:val="00043B69"/>
    <w:rsid w:val="00062DB8"/>
    <w:rsid w:val="00070438"/>
    <w:rsid w:val="0007185B"/>
    <w:rsid w:val="00080CA2"/>
    <w:rsid w:val="00097F8B"/>
    <w:rsid w:val="000A6D45"/>
    <w:rsid w:val="000C06A7"/>
    <w:rsid w:val="000C5E2A"/>
    <w:rsid w:val="00101F8B"/>
    <w:rsid w:val="00114878"/>
    <w:rsid w:val="00114BBD"/>
    <w:rsid w:val="00122218"/>
    <w:rsid w:val="001357FA"/>
    <w:rsid w:val="00140894"/>
    <w:rsid w:val="00145B3B"/>
    <w:rsid w:val="00147C2A"/>
    <w:rsid w:val="001702A6"/>
    <w:rsid w:val="00173D7C"/>
    <w:rsid w:val="001D187D"/>
    <w:rsid w:val="001D61A4"/>
    <w:rsid w:val="001F1F03"/>
    <w:rsid w:val="001F21E2"/>
    <w:rsid w:val="00246231"/>
    <w:rsid w:val="00250792"/>
    <w:rsid w:val="00255401"/>
    <w:rsid w:val="00260028"/>
    <w:rsid w:val="00284556"/>
    <w:rsid w:val="00297396"/>
    <w:rsid w:val="002A65B6"/>
    <w:rsid w:val="002C6D57"/>
    <w:rsid w:val="002D142D"/>
    <w:rsid w:val="002F1650"/>
    <w:rsid w:val="002F4BBA"/>
    <w:rsid w:val="00352263"/>
    <w:rsid w:val="003A09D3"/>
    <w:rsid w:val="003E48C7"/>
    <w:rsid w:val="00400E83"/>
    <w:rsid w:val="0042050C"/>
    <w:rsid w:val="004369A3"/>
    <w:rsid w:val="004545BC"/>
    <w:rsid w:val="00474DB3"/>
    <w:rsid w:val="004A4E37"/>
    <w:rsid w:val="004C5ABB"/>
    <w:rsid w:val="0050040E"/>
    <w:rsid w:val="00506A31"/>
    <w:rsid w:val="00534043"/>
    <w:rsid w:val="005556E5"/>
    <w:rsid w:val="00573576"/>
    <w:rsid w:val="00587919"/>
    <w:rsid w:val="00591BD2"/>
    <w:rsid w:val="00591F24"/>
    <w:rsid w:val="005B33BF"/>
    <w:rsid w:val="005B66E8"/>
    <w:rsid w:val="005D0979"/>
    <w:rsid w:val="005D512C"/>
    <w:rsid w:val="005E16D9"/>
    <w:rsid w:val="005E57A5"/>
    <w:rsid w:val="005F24B4"/>
    <w:rsid w:val="005F5665"/>
    <w:rsid w:val="005F6CD1"/>
    <w:rsid w:val="0060688F"/>
    <w:rsid w:val="00615D07"/>
    <w:rsid w:val="00644E78"/>
    <w:rsid w:val="0065718B"/>
    <w:rsid w:val="0067735F"/>
    <w:rsid w:val="00694C22"/>
    <w:rsid w:val="006A16D6"/>
    <w:rsid w:val="006A44F9"/>
    <w:rsid w:val="006A6700"/>
    <w:rsid w:val="006B18E9"/>
    <w:rsid w:val="006C6E7A"/>
    <w:rsid w:val="007033D6"/>
    <w:rsid w:val="00710735"/>
    <w:rsid w:val="00714A1E"/>
    <w:rsid w:val="007170F9"/>
    <w:rsid w:val="007361CD"/>
    <w:rsid w:val="00774185"/>
    <w:rsid w:val="00782ACF"/>
    <w:rsid w:val="007B40D8"/>
    <w:rsid w:val="007B71C6"/>
    <w:rsid w:val="007C1AEA"/>
    <w:rsid w:val="007C4F08"/>
    <w:rsid w:val="00812F29"/>
    <w:rsid w:val="008158A3"/>
    <w:rsid w:val="00815912"/>
    <w:rsid w:val="00860FA8"/>
    <w:rsid w:val="00867695"/>
    <w:rsid w:val="008677EE"/>
    <w:rsid w:val="00880FFC"/>
    <w:rsid w:val="00882E8C"/>
    <w:rsid w:val="008B70E7"/>
    <w:rsid w:val="009126DF"/>
    <w:rsid w:val="00914892"/>
    <w:rsid w:val="00937E7C"/>
    <w:rsid w:val="009445CC"/>
    <w:rsid w:val="00950DC2"/>
    <w:rsid w:val="00951B96"/>
    <w:rsid w:val="00960F58"/>
    <w:rsid w:val="0098637B"/>
    <w:rsid w:val="00993A92"/>
    <w:rsid w:val="009B70CB"/>
    <w:rsid w:val="009C6F59"/>
    <w:rsid w:val="009D5523"/>
    <w:rsid w:val="009F340E"/>
    <w:rsid w:val="00A74B82"/>
    <w:rsid w:val="00AA189C"/>
    <w:rsid w:val="00AA79F3"/>
    <w:rsid w:val="00AB2B55"/>
    <w:rsid w:val="00AB4187"/>
    <w:rsid w:val="00AC6928"/>
    <w:rsid w:val="00AC75ED"/>
    <w:rsid w:val="00AD2661"/>
    <w:rsid w:val="00B04EEA"/>
    <w:rsid w:val="00B12C11"/>
    <w:rsid w:val="00B1304B"/>
    <w:rsid w:val="00B3642A"/>
    <w:rsid w:val="00BA63ED"/>
    <w:rsid w:val="00BC54B3"/>
    <w:rsid w:val="00BD478B"/>
    <w:rsid w:val="00BE6FB3"/>
    <w:rsid w:val="00BF0E43"/>
    <w:rsid w:val="00BF27A3"/>
    <w:rsid w:val="00C162AA"/>
    <w:rsid w:val="00C25800"/>
    <w:rsid w:val="00C44E5A"/>
    <w:rsid w:val="00C626F0"/>
    <w:rsid w:val="00C7693C"/>
    <w:rsid w:val="00C85AD7"/>
    <w:rsid w:val="00C967EF"/>
    <w:rsid w:val="00CA0C38"/>
    <w:rsid w:val="00CA78F9"/>
    <w:rsid w:val="00CB6E47"/>
    <w:rsid w:val="00CC1D78"/>
    <w:rsid w:val="00CC1D8B"/>
    <w:rsid w:val="00CC1EAD"/>
    <w:rsid w:val="00CC4CE1"/>
    <w:rsid w:val="00CC7966"/>
    <w:rsid w:val="00CE7034"/>
    <w:rsid w:val="00CF024F"/>
    <w:rsid w:val="00D02DDE"/>
    <w:rsid w:val="00D02DF6"/>
    <w:rsid w:val="00D077F2"/>
    <w:rsid w:val="00D11484"/>
    <w:rsid w:val="00D26C2A"/>
    <w:rsid w:val="00D31074"/>
    <w:rsid w:val="00D35002"/>
    <w:rsid w:val="00D45506"/>
    <w:rsid w:val="00D82CA3"/>
    <w:rsid w:val="00DC0596"/>
    <w:rsid w:val="00DD4093"/>
    <w:rsid w:val="00DF5751"/>
    <w:rsid w:val="00E0374E"/>
    <w:rsid w:val="00E056E4"/>
    <w:rsid w:val="00E27A84"/>
    <w:rsid w:val="00E35B6B"/>
    <w:rsid w:val="00E56982"/>
    <w:rsid w:val="00E72A40"/>
    <w:rsid w:val="00EA1CB0"/>
    <w:rsid w:val="00EB6CAC"/>
    <w:rsid w:val="00EC546E"/>
    <w:rsid w:val="00ED4B0A"/>
    <w:rsid w:val="00ED65D9"/>
    <w:rsid w:val="00F00C55"/>
    <w:rsid w:val="00F07648"/>
    <w:rsid w:val="00F13203"/>
    <w:rsid w:val="00F17516"/>
    <w:rsid w:val="00F27A07"/>
    <w:rsid w:val="00F27FAC"/>
    <w:rsid w:val="00F5083F"/>
    <w:rsid w:val="00FA5DDD"/>
    <w:rsid w:val="00FE4EDF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8574D89F448F1BFD367AD467F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FDFD-A5F9-4A97-99BF-9A60B94EFD1D}"/>
      </w:docPartPr>
      <w:docPartBody>
        <w:p w:rsidR="00D107AD" w:rsidRDefault="00417A06" w:rsidP="00417A06">
          <w:pPr>
            <w:pStyle w:val="D5D8574D89F448F1BFD367AD467FF069"/>
          </w:pPr>
          <w:r w:rsidRPr="005C5489">
            <w:rPr>
              <w:rStyle w:val="PlaceholderText"/>
            </w:rPr>
            <w:t>[Publish Date]</w:t>
          </w:r>
        </w:p>
      </w:docPartBody>
    </w:docPart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22287B"/>
    <w:rsid w:val="003873F8"/>
    <w:rsid w:val="00417A06"/>
    <w:rsid w:val="00711E06"/>
    <w:rsid w:val="00AB3B44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A06"/>
    <w:rPr>
      <w:color w:val="808080"/>
    </w:rPr>
  </w:style>
  <w:style w:type="paragraph" w:customStyle="1" w:styleId="D5D8574D89F448F1BFD367AD467FF069">
    <w:name w:val="D5D8574D89F448F1BFD367AD467FF069"/>
    <w:rsid w:val="00417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7" ma:contentTypeDescription="Create a new document." ma:contentTypeScope="" ma:versionID="4c3f3537e68ad7ee1e86c472f698cf1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e930d8b8389c0971ce3580f3ec9d3170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BC75A-595D-4D64-B014-5BA4FE25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deec781b-51b2-41f5-8977-d833afa0cdb5"/>
    <ds:schemaRef ds:uri="30d79745-92fc-4b4e-a213-f975f2a6d945"/>
  </ds:schemaRefs>
</ds:datastoreItem>
</file>

<file path=customXml/itemProps4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2964</Characters>
  <Application>Microsoft Office Word</Application>
  <DocSecurity>0</DocSecurity>
  <Lines>174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Report</dc:title>
  <dc:subject>
  </dc:subject>
  <dc:creator>Sara Walsingham</dc:creator>
  <cp:keywords>
  </cp:keywords>
  <dc:description>
  </dc:description>
  <cp:lastModifiedBy>Phillip Nduoyo</cp:lastModifiedBy>
  <cp:revision>4</cp:revision>
  <dcterms:created xsi:type="dcterms:W3CDTF">2023-10-03T07:58:00Z</dcterms:created>
  <dcterms:modified xsi:type="dcterms:W3CDTF">2023-10-03T18:17:00Z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66a2c92a73d1a039bfaf9dd3ea0181d9512c24273f62f2c9f77a2fef969cb3f4</vt:lpwstr>
  </property>
</Properties>
</file>