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C7E23" w14:textId="77777777" w:rsidR="00673A87" w:rsidRPr="00C85A66" w:rsidRDefault="00673A87" w:rsidP="001B1424">
      <w:pPr>
        <w:rPr>
          <w:rFonts w:cs="Arial"/>
        </w:rPr>
      </w:pPr>
    </w:p>
    <w:p w14:paraId="09EE1982" w14:textId="6BC2E390" w:rsidR="003D08B1" w:rsidRPr="001B1424" w:rsidRDefault="001B1424" w:rsidP="001B1424">
      <w:pPr>
        <w:jc w:val="center"/>
        <w:rPr>
          <w:rFonts w:cs="Arial"/>
          <w:b/>
          <w:bCs/>
          <w:sz w:val="28"/>
          <w:szCs w:val="28"/>
        </w:rPr>
      </w:pPr>
      <w:r w:rsidRPr="001B1424">
        <w:rPr>
          <w:rFonts w:cs="Arial"/>
          <w:b/>
          <w:bCs/>
          <w:sz w:val="28"/>
          <w:szCs w:val="28"/>
        </w:rPr>
        <w:t>AGENDA ITEM</w:t>
      </w:r>
    </w:p>
    <w:p w14:paraId="0E5541D5" w14:textId="77777777" w:rsidR="003D08B1" w:rsidRPr="00C85A66" w:rsidRDefault="003D08B1" w:rsidP="001B1424">
      <w:pPr>
        <w:rPr>
          <w:rFonts w:cs="Arial"/>
          <w:b/>
        </w:rPr>
      </w:pPr>
    </w:p>
    <w:p w14:paraId="77CB454B" w14:textId="3A176677" w:rsidR="001E4116" w:rsidRPr="00C85A66" w:rsidRDefault="0013261A" w:rsidP="001B1424">
      <w:pPr>
        <w:pStyle w:val="BodyTextIndent"/>
        <w:tabs>
          <w:tab w:val="clear" w:pos="360"/>
        </w:tabs>
        <w:ind w:left="0" w:firstLine="0"/>
        <w:jc w:val="both"/>
        <w:rPr>
          <w:rFonts w:cs="Arial"/>
          <w:b/>
          <w:sz w:val="32"/>
          <w:szCs w:val="32"/>
        </w:rPr>
      </w:pPr>
      <w:r w:rsidRPr="00C85A66">
        <w:rPr>
          <w:rFonts w:cs="Arial"/>
          <w:b/>
          <w:sz w:val="32"/>
          <w:szCs w:val="32"/>
        </w:rPr>
        <w:t xml:space="preserve">Title of report: </w:t>
      </w:r>
      <w:r w:rsidR="008F303C" w:rsidRPr="00C85A66">
        <w:rPr>
          <w:rFonts w:cs="Arial"/>
          <w:b/>
          <w:bCs/>
        </w:rPr>
        <w:t xml:space="preserve">Central Schools Services </w:t>
      </w:r>
      <w:r w:rsidR="000F2077">
        <w:rPr>
          <w:rFonts w:cs="Arial"/>
          <w:b/>
          <w:bCs/>
        </w:rPr>
        <w:t>Block 2023-24</w:t>
      </w:r>
    </w:p>
    <w:p w14:paraId="4C2E41EF" w14:textId="77777777" w:rsidR="001E4116" w:rsidRPr="00C85A66" w:rsidRDefault="001E4116" w:rsidP="001B1424">
      <w:pPr>
        <w:rPr>
          <w:rFonts w:cs="Arial"/>
          <w:b/>
          <w:u w:val="single"/>
        </w:rPr>
      </w:pPr>
    </w:p>
    <w:p w14:paraId="25A4590C" w14:textId="0D96F262" w:rsidR="00616733" w:rsidRPr="00C85A66" w:rsidRDefault="001E4116" w:rsidP="001B1424">
      <w:pPr>
        <w:rPr>
          <w:rFonts w:cs="Arial"/>
        </w:rPr>
      </w:pPr>
      <w:r w:rsidRPr="00C85A66">
        <w:rPr>
          <w:rFonts w:cs="Arial"/>
          <w:b/>
        </w:rPr>
        <w:t xml:space="preserve">Author of the paper: </w:t>
      </w:r>
      <w:r w:rsidR="00862649" w:rsidRPr="00C85A66">
        <w:rPr>
          <w:rFonts w:cs="Arial"/>
          <w:b/>
        </w:rPr>
        <w:t xml:space="preserve">  </w:t>
      </w:r>
      <w:r w:rsidR="00BE6F69">
        <w:rPr>
          <w:rFonts w:cs="Arial"/>
          <w:b/>
        </w:rPr>
        <w:t>Sara Walsingham</w:t>
      </w:r>
    </w:p>
    <w:p w14:paraId="2CF8F86D" w14:textId="77777777" w:rsidR="001E4116" w:rsidRPr="00C85A66" w:rsidRDefault="001E4116" w:rsidP="001B1424">
      <w:pPr>
        <w:rPr>
          <w:rFonts w:cs="Arial"/>
        </w:rPr>
      </w:pPr>
    </w:p>
    <w:p w14:paraId="665F49FB" w14:textId="1A00280F" w:rsidR="00616733" w:rsidRPr="00C85A66" w:rsidRDefault="001E4116" w:rsidP="001B1424">
      <w:pPr>
        <w:rPr>
          <w:rFonts w:cs="Arial"/>
        </w:rPr>
      </w:pPr>
      <w:r w:rsidRPr="00C85A66">
        <w:rPr>
          <w:rFonts w:cs="Arial"/>
          <w:b/>
        </w:rPr>
        <w:t xml:space="preserve">Officer to present the paper to </w:t>
      </w:r>
      <w:r w:rsidR="00025F55" w:rsidRPr="00C85A66">
        <w:rPr>
          <w:rFonts w:cs="Arial"/>
          <w:b/>
        </w:rPr>
        <w:t>Schools Forum</w:t>
      </w:r>
      <w:r w:rsidRPr="00C85A66">
        <w:rPr>
          <w:rFonts w:cs="Arial"/>
          <w:b/>
        </w:rPr>
        <w:t xml:space="preserve">: </w:t>
      </w:r>
      <w:r w:rsidR="008F303C" w:rsidRPr="00C85A66">
        <w:rPr>
          <w:rFonts w:cs="Arial"/>
          <w:b/>
        </w:rPr>
        <w:t>Kay Goodacre</w:t>
      </w:r>
    </w:p>
    <w:p w14:paraId="70A620F6" w14:textId="77777777" w:rsidR="001E4116" w:rsidRPr="00C85A66" w:rsidRDefault="001E4116" w:rsidP="001B1424">
      <w:pPr>
        <w:rPr>
          <w:rFonts w:cs="Arial"/>
        </w:rPr>
      </w:pPr>
    </w:p>
    <w:p w14:paraId="304B6418" w14:textId="77777777" w:rsidR="001E4116" w:rsidRPr="00C85A66" w:rsidRDefault="001E4116" w:rsidP="001B1424">
      <w:pPr>
        <w:rPr>
          <w:rFonts w:cs="Arial"/>
          <w:b/>
        </w:rPr>
      </w:pPr>
      <w:r w:rsidRPr="00C85A66">
        <w:rPr>
          <w:rFonts w:cs="Arial"/>
          <w:b/>
        </w:rPr>
        <w:t>Details on who has been consulted with on this paper to date:</w:t>
      </w:r>
    </w:p>
    <w:p w14:paraId="574BC7C1" w14:textId="77777777" w:rsidR="00616733" w:rsidRPr="00C85A66" w:rsidRDefault="00616733" w:rsidP="001B1424">
      <w:pPr>
        <w:rPr>
          <w:rFonts w:cs="Arial"/>
          <w:b/>
        </w:rPr>
      </w:pPr>
    </w:p>
    <w:p w14:paraId="113B2B8E" w14:textId="77777777" w:rsidR="001E4116" w:rsidRPr="00C85A66" w:rsidRDefault="001E4116" w:rsidP="001E4116">
      <w:pPr>
        <w:spacing w:after="120"/>
        <w:rPr>
          <w:rFonts w:cs="Arial"/>
          <w:b/>
        </w:rPr>
      </w:pPr>
    </w:p>
    <w:tbl>
      <w:tblPr>
        <w:tblStyle w:val="TableGrid1"/>
        <w:tblW w:w="0" w:type="auto"/>
        <w:tblLook w:val="04A0" w:firstRow="1" w:lastRow="0" w:firstColumn="1" w:lastColumn="0" w:noHBand="0" w:noVBand="1"/>
      </w:tblPr>
      <w:tblGrid>
        <w:gridCol w:w="9060"/>
      </w:tblGrid>
      <w:tr w:rsidR="00F91B89" w:rsidRPr="00C85A66" w14:paraId="1EE9F9E6" w14:textId="77777777" w:rsidTr="00583F87">
        <w:tc>
          <w:tcPr>
            <w:tcW w:w="9286" w:type="dxa"/>
          </w:tcPr>
          <w:p w14:paraId="4E69D7A3" w14:textId="276E07DA" w:rsidR="006D33DC" w:rsidRPr="00C85A66" w:rsidRDefault="00F91B89" w:rsidP="001E4116">
            <w:pPr>
              <w:rPr>
                <w:rFonts w:cs="Arial"/>
                <w:b/>
              </w:rPr>
            </w:pPr>
            <w:r w:rsidRPr="00C85A66">
              <w:rPr>
                <w:rFonts w:cs="Arial"/>
                <w:b/>
              </w:rPr>
              <w:t>Executive Summary.</w:t>
            </w:r>
          </w:p>
          <w:p w14:paraId="5874C2FE" w14:textId="76B6FB8A" w:rsidR="00F91B89" w:rsidRPr="00C85A66" w:rsidRDefault="001E5678" w:rsidP="007B20BA">
            <w:pPr>
              <w:rPr>
                <w:rFonts w:cs="Arial"/>
              </w:rPr>
            </w:pPr>
            <w:r w:rsidRPr="00C85A66">
              <w:rPr>
                <w:rFonts w:cs="Arial"/>
              </w:rPr>
              <w:t xml:space="preserve">This report </w:t>
            </w:r>
            <w:r w:rsidR="00826A3F" w:rsidRPr="00C85A66">
              <w:rPr>
                <w:rFonts w:cs="Arial"/>
              </w:rPr>
              <w:t xml:space="preserve">summarises the </w:t>
            </w:r>
            <w:r w:rsidR="00BF0401">
              <w:rPr>
                <w:rFonts w:cs="Arial"/>
              </w:rPr>
              <w:t xml:space="preserve">centrally managed </w:t>
            </w:r>
            <w:r w:rsidR="00FA158C" w:rsidRPr="00C85A66">
              <w:rPr>
                <w:rFonts w:cs="Arial"/>
              </w:rPr>
              <w:t xml:space="preserve">services </w:t>
            </w:r>
            <w:r w:rsidR="00BF0401">
              <w:rPr>
                <w:rFonts w:cs="Arial"/>
              </w:rPr>
              <w:t xml:space="preserve">for schools </w:t>
            </w:r>
            <w:r w:rsidR="00FA158C" w:rsidRPr="00C85A66">
              <w:rPr>
                <w:rFonts w:cs="Arial"/>
              </w:rPr>
              <w:t>provided by Local Authorit</w:t>
            </w:r>
            <w:r w:rsidR="000F2077">
              <w:rPr>
                <w:rFonts w:cs="Arial"/>
              </w:rPr>
              <w:t>ies</w:t>
            </w:r>
            <w:r w:rsidR="008A1355" w:rsidRPr="00C85A66">
              <w:rPr>
                <w:rFonts w:cs="Arial"/>
              </w:rPr>
              <w:t xml:space="preserve"> </w:t>
            </w:r>
            <w:r w:rsidR="000F2077">
              <w:rPr>
                <w:rFonts w:cs="Arial"/>
              </w:rPr>
              <w:t xml:space="preserve">administered under the </w:t>
            </w:r>
            <w:r w:rsidR="008A1355" w:rsidRPr="00C85A66">
              <w:rPr>
                <w:rFonts w:cs="Arial"/>
              </w:rPr>
              <w:t>Central Schools Service Block</w:t>
            </w:r>
            <w:r w:rsidR="000F2077">
              <w:rPr>
                <w:rFonts w:cs="Arial"/>
              </w:rPr>
              <w:t xml:space="preserve"> of the Dedicated Schools Grant (DSG)</w:t>
            </w:r>
          </w:p>
          <w:p w14:paraId="4D826859" w14:textId="534D52F7" w:rsidR="00FA158C" w:rsidRPr="00C85A66" w:rsidRDefault="00FA158C" w:rsidP="007B20BA">
            <w:pPr>
              <w:rPr>
                <w:rFonts w:cs="Arial"/>
              </w:rPr>
            </w:pPr>
          </w:p>
        </w:tc>
      </w:tr>
    </w:tbl>
    <w:p w14:paraId="11249EAF" w14:textId="77777777" w:rsidR="006D33DC" w:rsidRPr="00C85A66" w:rsidRDefault="006D33DC" w:rsidP="00FE0176">
      <w:pPr>
        <w:pStyle w:val="Header"/>
        <w:jc w:val="center"/>
        <w:rPr>
          <w:rFonts w:cs="Arial"/>
          <w:b/>
        </w:rPr>
      </w:pPr>
    </w:p>
    <w:tbl>
      <w:tblPr>
        <w:tblStyle w:val="TableGrid1"/>
        <w:tblW w:w="0" w:type="auto"/>
        <w:tblLook w:val="04A0" w:firstRow="1" w:lastRow="0" w:firstColumn="1" w:lastColumn="0" w:noHBand="0" w:noVBand="1"/>
      </w:tblPr>
      <w:tblGrid>
        <w:gridCol w:w="9060"/>
      </w:tblGrid>
      <w:tr w:rsidR="006D33DC" w:rsidRPr="00C85A66" w14:paraId="58094818" w14:textId="77777777" w:rsidTr="00583F87">
        <w:tc>
          <w:tcPr>
            <w:tcW w:w="9286" w:type="dxa"/>
          </w:tcPr>
          <w:p w14:paraId="22C0A920" w14:textId="502E9DF2" w:rsidR="006D33DC" w:rsidRPr="00C85A66" w:rsidRDefault="006D33DC" w:rsidP="006D33DC">
            <w:pPr>
              <w:pStyle w:val="Header"/>
              <w:rPr>
                <w:rFonts w:cs="Arial"/>
                <w:b/>
              </w:rPr>
            </w:pPr>
            <w:r w:rsidRPr="00C85A66">
              <w:rPr>
                <w:rFonts w:cs="Arial"/>
                <w:b/>
              </w:rPr>
              <w:t>Recommendations.</w:t>
            </w:r>
          </w:p>
          <w:p w14:paraId="5B463A41" w14:textId="3AB11D85" w:rsidR="008F303C" w:rsidRPr="00C85A66" w:rsidRDefault="008F303C" w:rsidP="008F303C">
            <w:pPr>
              <w:rPr>
                <w:rFonts w:cs="Arial"/>
              </w:rPr>
            </w:pPr>
            <w:r w:rsidRPr="00C85A66">
              <w:rPr>
                <w:rFonts w:cs="Arial"/>
              </w:rPr>
              <w:t xml:space="preserve">This is an information item and Schools Forum is invited to </w:t>
            </w:r>
            <w:r w:rsidR="009641E1">
              <w:rPr>
                <w:rFonts w:cs="Arial"/>
              </w:rPr>
              <w:t xml:space="preserve">note and </w:t>
            </w:r>
            <w:r w:rsidRPr="00C85A66">
              <w:rPr>
                <w:rFonts w:cs="Arial"/>
              </w:rPr>
              <w:t>comment on the contents.</w:t>
            </w:r>
          </w:p>
          <w:p w14:paraId="294F0897" w14:textId="77777777" w:rsidR="002A18E2" w:rsidRPr="00C85A66" w:rsidRDefault="002A18E2" w:rsidP="008F303C">
            <w:pPr>
              <w:pStyle w:val="Header"/>
              <w:ind w:left="720"/>
              <w:rPr>
                <w:rFonts w:cs="Arial"/>
              </w:rPr>
            </w:pPr>
          </w:p>
        </w:tc>
      </w:tr>
    </w:tbl>
    <w:p w14:paraId="47EC94BA" w14:textId="77777777" w:rsidR="008A1355" w:rsidRPr="00C85A66" w:rsidRDefault="008A1355" w:rsidP="008A1355">
      <w:pPr>
        <w:pStyle w:val="ListParagraph"/>
        <w:ind w:left="360"/>
        <w:rPr>
          <w:rFonts w:cs="Arial"/>
          <w:b/>
        </w:rPr>
      </w:pPr>
    </w:p>
    <w:p w14:paraId="14399D73" w14:textId="33225A3D" w:rsidR="00660345" w:rsidRPr="00C85A66" w:rsidRDefault="00660345" w:rsidP="00C85A66">
      <w:pPr>
        <w:pStyle w:val="ListParagraph"/>
        <w:numPr>
          <w:ilvl w:val="0"/>
          <w:numId w:val="4"/>
        </w:numPr>
        <w:ind w:left="567" w:hanging="567"/>
        <w:rPr>
          <w:rFonts w:cs="Arial"/>
          <w:b/>
        </w:rPr>
      </w:pPr>
      <w:r w:rsidRPr="00C85A66">
        <w:rPr>
          <w:rFonts w:cs="Arial"/>
          <w:b/>
        </w:rPr>
        <w:t>Background.</w:t>
      </w:r>
    </w:p>
    <w:p w14:paraId="015A0140" w14:textId="77777777" w:rsidR="00660345" w:rsidRPr="00CE09C4" w:rsidRDefault="00660345" w:rsidP="00C85A66">
      <w:pPr>
        <w:pStyle w:val="ListParagraph"/>
        <w:ind w:left="567" w:hanging="567"/>
        <w:rPr>
          <w:rFonts w:cs="Arial"/>
          <w:b/>
          <w:sz w:val="22"/>
          <w:szCs w:val="22"/>
        </w:rPr>
      </w:pPr>
    </w:p>
    <w:p w14:paraId="4C747B1E" w14:textId="1C1DC3AC" w:rsidR="00B45BDE" w:rsidRPr="00B45BDE" w:rsidRDefault="008F303C" w:rsidP="004A7529">
      <w:pPr>
        <w:pStyle w:val="ListParagraph"/>
        <w:numPr>
          <w:ilvl w:val="1"/>
          <w:numId w:val="16"/>
        </w:numPr>
        <w:autoSpaceDE w:val="0"/>
        <w:autoSpaceDN w:val="0"/>
        <w:adjustRightInd w:val="0"/>
        <w:ind w:left="567" w:hanging="567"/>
        <w:rPr>
          <w:rFonts w:cs="Arial"/>
          <w:color w:val="000000"/>
          <w:sz w:val="22"/>
          <w:szCs w:val="22"/>
        </w:rPr>
      </w:pPr>
      <w:r w:rsidRPr="00B45BDE">
        <w:rPr>
          <w:rFonts w:cs="Arial"/>
          <w:color w:val="000000"/>
          <w:sz w:val="22"/>
          <w:szCs w:val="22"/>
        </w:rPr>
        <w:t xml:space="preserve">The Central School Services Block (CSSB) provides funding </w:t>
      </w:r>
      <w:r w:rsidR="000F2077" w:rsidRPr="00B45BDE">
        <w:rPr>
          <w:rFonts w:cs="Arial"/>
          <w:color w:val="000000"/>
          <w:sz w:val="22"/>
          <w:szCs w:val="22"/>
        </w:rPr>
        <w:t xml:space="preserve">on a formula basis </w:t>
      </w:r>
      <w:r w:rsidRPr="00B45BDE">
        <w:rPr>
          <w:rFonts w:cs="Arial"/>
          <w:color w:val="000000"/>
          <w:sz w:val="22"/>
          <w:szCs w:val="22"/>
        </w:rPr>
        <w:t>for local authorities to carry out central functions on behalf of maintained schools and academies</w:t>
      </w:r>
      <w:r w:rsidR="000F2077" w:rsidRPr="00B45BDE">
        <w:rPr>
          <w:rFonts w:cs="Arial"/>
          <w:color w:val="000000"/>
          <w:sz w:val="22"/>
          <w:szCs w:val="22"/>
        </w:rPr>
        <w:t xml:space="preserve">.  </w:t>
      </w:r>
      <w:r w:rsidR="00B45BDE" w:rsidRPr="00B45BDE">
        <w:rPr>
          <w:rFonts w:cs="Arial"/>
          <w:color w:val="000000"/>
          <w:sz w:val="22"/>
          <w:szCs w:val="22"/>
        </w:rPr>
        <w:t xml:space="preserve">The total annual CSSB allocation represents less than 1% of the total Dedicated Schools Grant (DSG) funding, before recoupment and deduction for direct funding of high needs places by the Education and Skills Funding Agency (ESFA). </w:t>
      </w:r>
    </w:p>
    <w:p w14:paraId="2BA405B7" w14:textId="77777777" w:rsidR="00B45BDE" w:rsidRPr="00B45BDE" w:rsidRDefault="00B45BDE" w:rsidP="00B45BDE">
      <w:pPr>
        <w:pStyle w:val="ListParagraph"/>
        <w:autoSpaceDE w:val="0"/>
        <w:autoSpaceDN w:val="0"/>
        <w:adjustRightInd w:val="0"/>
        <w:ind w:left="567"/>
        <w:rPr>
          <w:rFonts w:cs="Arial"/>
          <w:color w:val="000000"/>
          <w:sz w:val="22"/>
          <w:szCs w:val="22"/>
        </w:rPr>
      </w:pPr>
    </w:p>
    <w:p w14:paraId="46E76010" w14:textId="2D8EEED2" w:rsidR="00B45BDE" w:rsidRPr="00B45BDE" w:rsidRDefault="00B45BDE" w:rsidP="00B45BDE">
      <w:pPr>
        <w:pStyle w:val="ListParagraph"/>
        <w:numPr>
          <w:ilvl w:val="1"/>
          <w:numId w:val="16"/>
        </w:numPr>
        <w:autoSpaceDE w:val="0"/>
        <w:autoSpaceDN w:val="0"/>
        <w:adjustRightInd w:val="0"/>
        <w:ind w:left="567" w:hanging="567"/>
        <w:rPr>
          <w:rFonts w:cs="Arial"/>
          <w:color w:val="000000"/>
          <w:sz w:val="22"/>
          <w:szCs w:val="22"/>
        </w:rPr>
      </w:pPr>
      <w:r w:rsidRPr="00B45BDE">
        <w:rPr>
          <w:rFonts w:cs="Arial"/>
          <w:color w:val="000000"/>
          <w:sz w:val="22"/>
          <w:szCs w:val="22"/>
        </w:rPr>
        <w:t xml:space="preserve">The CSSB provides funding to local authorities (LA’s) for a prescribed list of statutory services held on behalf of schools and falling under the headings.  </w:t>
      </w:r>
      <w:r>
        <w:rPr>
          <w:rFonts w:cs="Arial"/>
          <w:color w:val="000000"/>
          <w:sz w:val="22"/>
          <w:szCs w:val="22"/>
        </w:rPr>
        <w:t xml:space="preserve">Since implementing a </w:t>
      </w:r>
      <w:r w:rsidRPr="00B45BDE">
        <w:rPr>
          <w:rFonts w:cs="Arial"/>
          <w:color w:val="000000"/>
          <w:sz w:val="22"/>
          <w:szCs w:val="22"/>
        </w:rPr>
        <w:t>formula</w:t>
      </w:r>
      <w:r>
        <w:rPr>
          <w:rFonts w:cs="Arial"/>
          <w:color w:val="000000"/>
          <w:sz w:val="22"/>
          <w:szCs w:val="22"/>
        </w:rPr>
        <w:t xml:space="preserve"> approach, the cost of services provided progressively </w:t>
      </w:r>
      <w:r w:rsidR="00C156F7">
        <w:rPr>
          <w:rFonts w:cs="Arial"/>
          <w:color w:val="000000"/>
          <w:sz w:val="22"/>
          <w:szCs w:val="22"/>
        </w:rPr>
        <w:t xml:space="preserve">has </w:t>
      </w:r>
      <w:r>
        <w:rPr>
          <w:rFonts w:cs="Arial"/>
          <w:color w:val="000000"/>
          <w:sz w:val="22"/>
          <w:szCs w:val="22"/>
        </w:rPr>
        <w:t>outstripped the allocation available</w:t>
      </w:r>
      <w:r w:rsidR="00C156F7">
        <w:rPr>
          <w:rFonts w:cs="Arial"/>
          <w:color w:val="000000"/>
          <w:sz w:val="22"/>
          <w:szCs w:val="22"/>
        </w:rPr>
        <w:t>, i</w:t>
      </w:r>
      <w:r>
        <w:rPr>
          <w:rFonts w:cs="Arial"/>
          <w:color w:val="000000"/>
          <w:sz w:val="22"/>
          <w:szCs w:val="22"/>
        </w:rPr>
        <w:t xml:space="preserve">t now </w:t>
      </w:r>
      <w:r w:rsidRPr="00B45BDE">
        <w:rPr>
          <w:rFonts w:cs="Arial"/>
          <w:color w:val="000000"/>
          <w:sz w:val="22"/>
          <w:szCs w:val="22"/>
        </w:rPr>
        <w:t>represents a contribution to th</w:t>
      </w:r>
      <w:r w:rsidR="00C156F7">
        <w:rPr>
          <w:rFonts w:cs="Arial"/>
          <w:color w:val="000000"/>
          <w:sz w:val="22"/>
          <w:szCs w:val="22"/>
        </w:rPr>
        <w:t>e</w:t>
      </w:r>
      <w:r>
        <w:rPr>
          <w:rFonts w:cs="Arial"/>
          <w:color w:val="000000"/>
          <w:sz w:val="22"/>
          <w:szCs w:val="22"/>
        </w:rPr>
        <w:t xml:space="preserve"> </w:t>
      </w:r>
      <w:r w:rsidRPr="00B45BDE">
        <w:rPr>
          <w:rFonts w:cs="Arial"/>
          <w:color w:val="000000"/>
          <w:sz w:val="22"/>
          <w:szCs w:val="22"/>
        </w:rPr>
        <w:t>service</w:t>
      </w:r>
      <w:r w:rsidR="00C156F7">
        <w:rPr>
          <w:rFonts w:cs="Arial"/>
          <w:color w:val="000000"/>
          <w:sz w:val="22"/>
          <w:szCs w:val="22"/>
        </w:rPr>
        <w:t>s</w:t>
      </w:r>
      <w:r>
        <w:rPr>
          <w:rFonts w:cs="Arial"/>
          <w:color w:val="000000"/>
          <w:sz w:val="22"/>
          <w:szCs w:val="22"/>
        </w:rPr>
        <w:t xml:space="preserve"> provi</w:t>
      </w:r>
      <w:r w:rsidR="00C156F7">
        <w:rPr>
          <w:rFonts w:cs="Arial"/>
          <w:color w:val="000000"/>
          <w:sz w:val="22"/>
          <w:szCs w:val="22"/>
        </w:rPr>
        <w:t>ded</w:t>
      </w:r>
      <w:r>
        <w:rPr>
          <w:rFonts w:cs="Arial"/>
          <w:color w:val="000000"/>
          <w:sz w:val="22"/>
          <w:szCs w:val="22"/>
        </w:rPr>
        <w:t>.</w:t>
      </w:r>
    </w:p>
    <w:p w14:paraId="355D3395" w14:textId="77777777" w:rsidR="00B45BDE" w:rsidRPr="00B45BDE" w:rsidRDefault="00B45BDE" w:rsidP="00B45BDE">
      <w:pPr>
        <w:pStyle w:val="ListParagraph"/>
        <w:rPr>
          <w:rFonts w:cs="Arial"/>
          <w:color w:val="000000"/>
          <w:sz w:val="22"/>
          <w:szCs w:val="22"/>
        </w:rPr>
      </w:pPr>
    </w:p>
    <w:p w14:paraId="5F7F7813" w14:textId="271AA7A3" w:rsidR="008F303C" w:rsidRPr="006C5574" w:rsidRDefault="00B45BDE" w:rsidP="00B6190D">
      <w:pPr>
        <w:pStyle w:val="ListParagraph"/>
        <w:numPr>
          <w:ilvl w:val="1"/>
          <w:numId w:val="16"/>
        </w:numPr>
        <w:autoSpaceDE w:val="0"/>
        <w:autoSpaceDN w:val="0"/>
        <w:adjustRightInd w:val="0"/>
        <w:ind w:left="567" w:hanging="567"/>
        <w:rPr>
          <w:rFonts w:cs="Arial"/>
          <w:b/>
          <w:bCs/>
          <w:color w:val="000000"/>
        </w:rPr>
      </w:pPr>
      <w:r w:rsidRPr="00B45BDE">
        <w:rPr>
          <w:rFonts w:cs="Arial"/>
          <w:color w:val="000000"/>
          <w:sz w:val="22"/>
          <w:szCs w:val="22"/>
        </w:rPr>
        <w:t xml:space="preserve">The </w:t>
      </w:r>
      <w:r w:rsidR="00AC5F4C">
        <w:rPr>
          <w:rFonts w:cs="Arial"/>
          <w:color w:val="000000"/>
          <w:sz w:val="22"/>
          <w:szCs w:val="22"/>
        </w:rPr>
        <w:t>grant formula is</w:t>
      </w:r>
      <w:r w:rsidRPr="00B45BDE">
        <w:rPr>
          <w:rFonts w:cs="Arial"/>
          <w:color w:val="000000"/>
          <w:sz w:val="22"/>
          <w:szCs w:val="22"/>
        </w:rPr>
        <w:t xml:space="preserve"> a</w:t>
      </w:r>
      <w:r w:rsidR="000F2077" w:rsidRPr="00B45BDE">
        <w:rPr>
          <w:rFonts w:cs="Arial"/>
          <w:color w:val="000000"/>
          <w:sz w:val="22"/>
          <w:szCs w:val="22"/>
        </w:rPr>
        <w:t>llocat</w:t>
      </w:r>
      <w:r w:rsidRPr="00B45BDE">
        <w:rPr>
          <w:rFonts w:cs="Arial"/>
          <w:color w:val="000000"/>
          <w:sz w:val="22"/>
          <w:szCs w:val="22"/>
        </w:rPr>
        <w:t xml:space="preserve">ed as two </w:t>
      </w:r>
      <w:r w:rsidR="000F2077" w:rsidRPr="00B45BDE">
        <w:rPr>
          <w:rFonts w:cs="Arial"/>
          <w:color w:val="000000"/>
          <w:sz w:val="22"/>
          <w:szCs w:val="22"/>
        </w:rPr>
        <w:t>elements</w:t>
      </w:r>
      <w:r w:rsidR="00AC5F4C">
        <w:rPr>
          <w:rFonts w:cs="Arial"/>
          <w:color w:val="000000"/>
          <w:sz w:val="22"/>
          <w:szCs w:val="22"/>
        </w:rPr>
        <w:t>, but the responsibilities under each are managed as a whole across several services</w:t>
      </w:r>
      <w:r w:rsidRPr="00B45BDE">
        <w:rPr>
          <w:rFonts w:cs="Arial"/>
          <w:color w:val="000000"/>
          <w:sz w:val="22"/>
          <w:szCs w:val="22"/>
        </w:rPr>
        <w:t xml:space="preserve">.  The </w:t>
      </w:r>
      <w:r w:rsidR="008F303C" w:rsidRPr="00B45BDE">
        <w:rPr>
          <w:rFonts w:cs="Arial"/>
          <w:color w:val="000000"/>
          <w:sz w:val="22"/>
          <w:szCs w:val="22"/>
        </w:rPr>
        <w:t>Ongoing responsibilities</w:t>
      </w:r>
      <w:r w:rsidRPr="00B45BDE">
        <w:rPr>
          <w:rFonts w:cs="Arial"/>
          <w:color w:val="000000"/>
          <w:sz w:val="22"/>
          <w:szCs w:val="22"/>
        </w:rPr>
        <w:t xml:space="preserve"> element - pupil number-based formula, and the </w:t>
      </w:r>
      <w:r w:rsidR="008F303C" w:rsidRPr="00B45BDE">
        <w:rPr>
          <w:rFonts w:cs="Arial"/>
          <w:color w:val="000000"/>
          <w:sz w:val="22"/>
          <w:szCs w:val="22"/>
        </w:rPr>
        <w:t>H</w:t>
      </w:r>
      <w:r w:rsidR="008F303C" w:rsidRPr="00C156F7">
        <w:rPr>
          <w:rFonts w:cs="Arial"/>
          <w:color w:val="000000"/>
          <w:sz w:val="22"/>
          <w:szCs w:val="22"/>
        </w:rPr>
        <w:t>istoric commitments</w:t>
      </w:r>
      <w:r w:rsidRPr="00C156F7">
        <w:rPr>
          <w:rFonts w:cs="Arial"/>
          <w:color w:val="000000"/>
          <w:sz w:val="22"/>
          <w:szCs w:val="22"/>
        </w:rPr>
        <w:t xml:space="preserve"> element which is being cut by 20% each year</w:t>
      </w:r>
      <w:r w:rsidR="00AC5F4C">
        <w:rPr>
          <w:rFonts w:cs="Arial"/>
          <w:color w:val="000000"/>
          <w:sz w:val="22"/>
          <w:szCs w:val="22"/>
        </w:rPr>
        <w:t>.</w:t>
      </w:r>
    </w:p>
    <w:p w14:paraId="3BECAC44" w14:textId="77777777" w:rsidR="006C5574" w:rsidRPr="006C5574" w:rsidRDefault="006C5574" w:rsidP="006C5574">
      <w:pPr>
        <w:autoSpaceDE w:val="0"/>
        <w:autoSpaceDN w:val="0"/>
        <w:adjustRightInd w:val="0"/>
        <w:rPr>
          <w:rFonts w:cs="Arial"/>
          <w:b/>
          <w:bCs/>
          <w:color w:val="000000"/>
        </w:rPr>
      </w:pPr>
    </w:p>
    <w:tbl>
      <w:tblPr>
        <w:tblStyle w:val="TableGrid1"/>
        <w:tblW w:w="9060" w:type="dxa"/>
        <w:tblLook w:val="04A0" w:firstRow="1" w:lastRow="0" w:firstColumn="1" w:lastColumn="0" w:noHBand="0" w:noVBand="1"/>
      </w:tblPr>
      <w:tblGrid>
        <w:gridCol w:w="3964"/>
        <w:gridCol w:w="1276"/>
        <w:gridCol w:w="1701"/>
        <w:gridCol w:w="1134"/>
        <w:gridCol w:w="985"/>
      </w:tblGrid>
      <w:tr w:rsidR="006C5574" w:rsidRPr="006C5574" w14:paraId="0E6B4D1D" w14:textId="2627FC19" w:rsidTr="00583F87">
        <w:trPr>
          <w:trHeight w:val="250"/>
        </w:trPr>
        <w:tc>
          <w:tcPr>
            <w:tcW w:w="3964" w:type="dxa"/>
            <w:noWrap/>
            <w:hideMark/>
          </w:tcPr>
          <w:p w14:paraId="5DF68365" w14:textId="04146E35" w:rsidR="006C5574" w:rsidRPr="006C5574" w:rsidRDefault="006C5574" w:rsidP="006C5574">
            <w:pPr>
              <w:rPr>
                <w:rFonts w:cs="Arial"/>
                <w:color w:val="000000"/>
                <w:sz w:val="20"/>
                <w:szCs w:val="20"/>
              </w:rPr>
            </w:pPr>
            <w:r w:rsidRPr="006C5574">
              <w:rPr>
                <w:rFonts w:cs="Arial"/>
                <w:color w:val="000000"/>
                <w:sz w:val="20"/>
                <w:szCs w:val="20"/>
              </w:rPr>
              <w:t> </w:t>
            </w:r>
            <w:r>
              <w:rPr>
                <w:rFonts w:cs="Arial"/>
                <w:color w:val="000000"/>
                <w:sz w:val="20"/>
                <w:szCs w:val="20"/>
              </w:rPr>
              <w:t>Table 1</w:t>
            </w:r>
          </w:p>
        </w:tc>
        <w:tc>
          <w:tcPr>
            <w:tcW w:w="1276" w:type="dxa"/>
            <w:noWrap/>
            <w:hideMark/>
          </w:tcPr>
          <w:p w14:paraId="551BA536" w14:textId="77777777" w:rsidR="006C5574" w:rsidRPr="006C5574" w:rsidRDefault="006C5574" w:rsidP="006C5574">
            <w:pPr>
              <w:jc w:val="center"/>
              <w:rPr>
                <w:rFonts w:cs="Arial"/>
                <w:color w:val="000000"/>
                <w:sz w:val="20"/>
                <w:szCs w:val="20"/>
              </w:rPr>
            </w:pPr>
            <w:r w:rsidRPr="006C5574">
              <w:rPr>
                <w:rFonts w:cs="Arial"/>
                <w:color w:val="000000"/>
                <w:sz w:val="20"/>
                <w:szCs w:val="20"/>
              </w:rPr>
              <w:t>Funding 2022-23</w:t>
            </w:r>
          </w:p>
        </w:tc>
        <w:tc>
          <w:tcPr>
            <w:tcW w:w="1701" w:type="dxa"/>
            <w:noWrap/>
            <w:hideMark/>
          </w:tcPr>
          <w:p w14:paraId="209DFB8F" w14:textId="50590071" w:rsidR="006C5574" w:rsidRPr="006C5574" w:rsidRDefault="006C5574" w:rsidP="006C5574">
            <w:pPr>
              <w:jc w:val="center"/>
              <w:rPr>
                <w:rFonts w:cs="Arial"/>
                <w:color w:val="000000"/>
                <w:sz w:val="20"/>
                <w:szCs w:val="20"/>
              </w:rPr>
            </w:pPr>
            <w:r w:rsidRPr="006C5574">
              <w:rPr>
                <w:rFonts w:cs="Arial"/>
                <w:color w:val="000000"/>
                <w:sz w:val="20"/>
                <w:szCs w:val="20"/>
              </w:rPr>
              <w:t>Provisional NFF funding 2023-24</w:t>
            </w:r>
          </w:p>
        </w:tc>
        <w:tc>
          <w:tcPr>
            <w:tcW w:w="1134" w:type="dxa"/>
            <w:noWrap/>
            <w:hideMark/>
          </w:tcPr>
          <w:p w14:paraId="67C868D9" w14:textId="3D905DC6" w:rsidR="006C5574" w:rsidRPr="006C5574" w:rsidRDefault="006C5574" w:rsidP="006C5574">
            <w:pPr>
              <w:jc w:val="center"/>
              <w:rPr>
                <w:rFonts w:cs="Arial"/>
                <w:color w:val="000000"/>
                <w:sz w:val="20"/>
                <w:szCs w:val="20"/>
              </w:rPr>
            </w:pPr>
            <w:r>
              <w:rPr>
                <w:rFonts w:cs="Arial"/>
                <w:color w:val="000000"/>
                <w:sz w:val="20"/>
                <w:szCs w:val="20"/>
              </w:rPr>
              <w:t>variance (£)</w:t>
            </w:r>
          </w:p>
        </w:tc>
        <w:tc>
          <w:tcPr>
            <w:tcW w:w="985" w:type="dxa"/>
          </w:tcPr>
          <w:p w14:paraId="66FF0F57" w14:textId="6A8D789D" w:rsidR="006C5574" w:rsidRPr="006C5574" w:rsidRDefault="006C5574" w:rsidP="006C5574">
            <w:pPr>
              <w:jc w:val="center"/>
              <w:rPr>
                <w:rFonts w:cs="Arial"/>
                <w:color w:val="000000"/>
                <w:sz w:val="20"/>
                <w:szCs w:val="20"/>
              </w:rPr>
            </w:pPr>
            <w:r>
              <w:rPr>
                <w:rFonts w:cs="Arial"/>
                <w:color w:val="000000"/>
                <w:sz w:val="20"/>
                <w:szCs w:val="20"/>
              </w:rPr>
              <w:t>variance (%)</w:t>
            </w:r>
          </w:p>
        </w:tc>
      </w:tr>
      <w:tr w:rsidR="006C5574" w:rsidRPr="006C5574" w14:paraId="70CC051C" w14:textId="76AB19CF" w:rsidTr="00583F87">
        <w:trPr>
          <w:trHeight w:val="250"/>
        </w:trPr>
        <w:tc>
          <w:tcPr>
            <w:tcW w:w="3964" w:type="dxa"/>
            <w:noWrap/>
            <w:hideMark/>
          </w:tcPr>
          <w:p w14:paraId="457A03D0" w14:textId="77777777" w:rsidR="006C5574" w:rsidRPr="006C5574" w:rsidRDefault="006C5574" w:rsidP="006C5574">
            <w:pPr>
              <w:rPr>
                <w:rFonts w:cs="Arial"/>
                <w:color w:val="000000"/>
                <w:sz w:val="20"/>
                <w:szCs w:val="20"/>
              </w:rPr>
            </w:pPr>
            <w:r w:rsidRPr="006C5574">
              <w:rPr>
                <w:rFonts w:cs="Arial"/>
                <w:color w:val="000000"/>
                <w:sz w:val="20"/>
                <w:szCs w:val="20"/>
              </w:rPr>
              <w:t>Per-pupil rate for ongoing responsibilities</w:t>
            </w:r>
          </w:p>
        </w:tc>
        <w:tc>
          <w:tcPr>
            <w:tcW w:w="1276" w:type="dxa"/>
            <w:noWrap/>
            <w:hideMark/>
          </w:tcPr>
          <w:p w14:paraId="74F117D4" w14:textId="5EA1B81C" w:rsidR="006C5574" w:rsidRPr="006C5574" w:rsidRDefault="006C5574" w:rsidP="006C5574">
            <w:pPr>
              <w:jc w:val="right"/>
              <w:rPr>
                <w:rFonts w:cs="Arial"/>
                <w:color w:val="000000"/>
                <w:sz w:val="20"/>
                <w:szCs w:val="20"/>
              </w:rPr>
            </w:pPr>
            <w:r>
              <w:rPr>
                <w:rFonts w:cs="Arial"/>
                <w:color w:val="000000"/>
                <w:sz w:val="20"/>
                <w:szCs w:val="20"/>
              </w:rPr>
              <w:t>£54.60</w:t>
            </w:r>
          </w:p>
        </w:tc>
        <w:tc>
          <w:tcPr>
            <w:tcW w:w="1701" w:type="dxa"/>
            <w:noWrap/>
            <w:hideMark/>
          </w:tcPr>
          <w:p w14:paraId="602C14FA" w14:textId="74DA7619" w:rsidR="006C5574" w:rsidRPr="006C5574" w:rsidRDefault="006C5574" w:rsidP="006C5574">
            <w:pPr>
              <w:jc w:val="right"/>
              <w:rPr>
                <w:rFonts w:cs="Arial"/>
                <w:color w:val="000000"/>
                <w:sz w:val="20"/>
                <w:szCs w:val="20"/>
              </w:rPr>
            </w:pPr>
            <w:r>
              <w:rPr>
                <w:rFonts w:cs="Arial"/>
                <w:color w:val="000000"/>
                <w:sz w:val="20"/>
                <w:szCs w:val="20"/>
              </w:rPr>
              <w:t>£53.24</w:t>
            </w:r>
          </w:p>
        </w:tc>
        <w:tc>
          <w:tcPr>
            <w:tcW w:w="1134" w:type="dxa"/>
            <w:noWrap/>
          </w:tcPr>
          <w:p w14:paraId="162DA97E" w14:textId="19005A5C" w:rsidR="006C5574" w:rsidRPr="006C5574" w:rsidRDefault="006C5574" w:rsidP="006C5574">
            <w:pPr>
              <w:jc w:val="right"/>
              <w:rPr>
                <w:rFonts w:cs="Arial"/>
                <w:color w:val="000000"/>
                <w:sz w:val="20"/>
                <w:szCs w:val="20"/>
              </w:rPr>
            </w:pPr>
            <w:r>
              <w:rPr>
                <w:rFonts w:cs="Arial"/>
                <w:color w:val="000000"/>
                <w:sz w:val="20"/>
                <w:szCs w:val="20"/>
              </w:rPr>
              <w:t>-£1.36</w:t>
            </w:r>
          </w:p>
        </w:tc>
        <w:tc>
          <w:tcPr>
            <w:tcW w:w="985" w:type="dxa"/>
          </w:tcPr>
          <w:p w14:paraId="1D0A1D1A" w14:textId="6DAF6B0D" w:rsidR="006C5574" w:rsidRPr="006C5574" w:rsidRDefault="006C5574" w:rsidP="006C5574">
            <w:pPr>
              <w:jc w:val="right"/>
              <w:rPr>
                <w:rFonts w:cs="Arial"/>
                <w:color w:val="000000"/>
                <w:sz w:val="20"/>
                <w:szCs w:val="20"/>
              </w:rPr>
            </w:pPr>
            <w:r>
              <w:rPr>
                <w:rFonts w:cs="Arial"/>
                <w:color w:val="000000"/>
                <w:sz w:val="20"/>
                <w:szCs w:val="20"/>
              </w:rPr>
              <w:t>-2%</w:t>
            </w:r>
          </w:p>
        </w:tc>
      </w:tr>
      <w:tr w:rsidR="006C5574" w:rsidRPr="006C5574" w14:paraId="72B1D7E3" w14:textId="47E6E8CD" w:rsidTr="00583F87">
        <w:trPr>
          <w:trHeight w:val="250"/>
        </w:trPr>
        <w:tc>
          <w:tcPr>
            <w:tcW w:w="3964" w:type="dxa"/>
            <w:noWrap/>
            <w:hideMark/>
          </w:tcPr>
          <w:p w14:paraId="5DED082B" w14:textId="77777777" w:rsidR="006C5574" w:rsidRPr="006C5574" w:rsidRDefault="006C5574" w:rsidP="006C5574">
            <w:pPr>
              <w:rPr>
                <w:rFonts w:cs="Arial"/>
                <w:color w:val="000000"/>
                <w:sz w:val="20"/>
                <w:szCs w:val="20"/>
              </w:rPr>
            </w:pPr>
            <w:r w:rsidRPr="006C5574">
              <w:rPr>
                <w:rFonts w:cs="Arial"/>
                <w:color w:val="000000"/>
                <w:sz w:val="20"/>
                <w:szCs w:val="20"/>
              </w:rPr>
              <w:t>2022-23 DSG schools' block pupil count</w:t>
            </w:r>
          </w:p>
        </w:tc>
        <w:tc>
          <w:tcPr>
            <w:tcW w:w="1276" w:type="dxa"/>
            <w:noWrap/>
            <w:hideMark/>
          </w:tcPr>
          <w:p w14:paraId="695F4358" w14:textId="0056BDD2" w:rsidR="006C5574" w:rsidRPr="006C5574" w:rsidRDefault="006C5574" w:rsidP="006C5574">
            <w:pPr>
              <w:jc w:val="right"/>
              <w:rPr>
                <w:rFonts w:cs="Arial"/>
                <w:color w:val="000000"/>
                <w:sz w:val="20"/>
                <w:szCs w:val="20"/>
              </w:rPr>
            </w:pPr>
            <w:r>
              <w:rPr>
                <w:rFonts w:cs="Arial"/>
                <w:color w:val="000000"/>
                <w:sz w:val="20"/>
                <w:szCs w:val="20"/>
              </w:rPr>
              <w:t>38216</w:t>
            </w:r>
          </w:p>
        </w:tc>
        <w:tc>
          <w:tcPr>
            <w:tcW w:w="1701" w:type="dxa"/>
            <w:noWrap/>
            <w:hideMark/>
          </w:tcPr>
          <w:p w14:paraId="06A76C20" w14:textId="593B34E0" w:rsidR="006C5574" w:rsidRPr="006C5574" w:rsidRDefault="006C5574" w:rsidP="006C5574">
            <w:pPr>
              <w:jc w:val="right"/>
              <w:rPr>
                <w:rFonts w:cs="Arial"/>
                <w:color w:val="000000"/>
                <w:sz w:val="20"/>
                <w:szCs w:val="20"/>
              </w:rPr>
            </w:pPr>
            <w:r>
              <w:rPr>
                <w:rFonts w:cs="Arial"/>
                <w:color w:val="000000"/>
                <w:sz w:val="20"/>
                <w:szCs w:val="20"/>
              </w:rPr>
              <w:t>38216</w:t>
            </w:r>
          </w:p>
        </w:tc>
        <w:tc>
          <w:tcPr>
            <w:tcW w:w="1134" w:type="dxa"/>
            <w:noWrap/>
          </w:tcPr>
          <w:p w14:paraId="5FEBC357" w14:textId="7DAAB466" w:rsidR="006C5574" w:rsidRPr="006C5574" w:rsidRDefault="006C5574" w:rsidP="006C5574">
            <w:pPr>
              <w:rPr>
                <w:rFonts w:cs="Arial"/>
                <w:color w:val="000000"/>
                <w:sz w:val="20"/>
                <w:szCs w:val="20"/>
              </w:rPr>
            </w:pPr>
            <w:r>
              <w:rPr>
                <w:rFonts w:cs="Arial"/>
                <w:color w:val="000000"/>
                <w:sz w:val="20"/>
                <w:szCs w:val="20"/>
              </w:rPr>
              <w:t> </w:t>
            </w:r>
          </w:p>
        </w:tc>
        <w:tc>
          <w:tcPr>
            <w:tcW w:w="985" w:type="dxa"/>
          </w:tcPr>
          <w:p w14:paraId="007DE747" w14:textId="26663FFB" w:rsidR="006C5574" w:rsidRPr="006C5574" w:rsidRDefault="006C5574" w:rsidP="006C5574">
            <w:pPr>
              <w:rPr>
                <w:rFonts w:cs="Arial"/>
                <w:color w:val="000000"/>
                <w:sz w:val="20"/>
                <w:szCs w:val="20"/>
              </w:rPr>
            </w:pPr>
            <w:r>
              <w:rPr>
                <w:rFonts w:cs="Arial"/>
                <w:color w:val="000000"/>
                <w:sz w:val="20"/>
                <w:szCs w:val="20"/>
              </w:rPr>
              <w:t> </w:t>
            </w:r>
          </w:p>
        </w:tc>
      </w:tr>
      <w:tr w:rsidR="006C5574" w:rsidRPr="006C5574" w14:paraId="64964EFA" w14:textId="15B33DC8" w:rsidTr="00583F87">
        <w:trPr>
          <w:trHeight w:val="250"/>
        </w:trPr>
        <w:tc>
          <w:tcPr>
            <w:tcW w:w="3964" w:type="dxa"/>
            <w:noWrap/>
            <w:hideMark/>
          </w:tcPr>
          <w:p w14:paraId="2BB42643" w14:textId="77777777" w:rsidR="006C5574" w:rsidRPr="006C5574" w:rsidRDefault="006C5574" w:rsidP="006C5574">
            <w:pPr>
              <w:rPr>
                <w:rFonts w:cs="Arial"/>
                <w:color w:val="000000"/>
                <w:sz w:val="20"/>
                <w:szCs w:val="20"/>
              </w:rPr>
            </w:pPr>
            <w:r w:rsidRPr="006C5574">
              <w:rPr>
                <w:rFonts w:cs="Arial"/>
                <w:color w:val="000000"/>
                <w:sz w:val="20"/>
                <w:szCs w:val="20"/>
              </w:rPr>
              <w:t>Total funding for historic commitments</w:t>
            </w:r>
          </w:p>
        </w:tc>
        <w:tc>
          <w:tcPr>
            <w:tcW w:w="1276" w:type="dxa"/>
            <w:noWrap/>
            <w:hideMark/>
          </w:tcPr>
          <w:p w14:paraId="392CA97D" w14:textId="71CA6A98" w:rsidR="006C5574" w:rsidRPr="006C5574" w:rsidRDefault="006C5574" w:rsidP="006C5574">
            <w:pPr>
              <w:jc w:val="right"/>
              <w:rPr>
                <w:rFonts w:cs="Arial"/>
                <w:color w:val="000000"/>
                <w:sz w:val="20"/>
                <w:szCs w:val="20"/>
              </w:rPr>
            </w:pPr>
            <w:r>
              <w:rPr>
                <w:rFonts w:cs="Arial"/>
                <w:color w:val="000000"/>
                <w:sz w:val="20"/>
                <w:szCs w:val="20"/>
              </w:rPr>
              <w:t>£1,424,384</w:t>
            </w:r>
          </w:p>
        </w:tc>
        <w:tc>
          <w:tcPr>
            <w:tcW w:w="1701" w:type="dxa"/>
            <w:noWrap/>
            <w:hideMark/>
          </w:tcPr>
          <w:p w14:paraId="016EEF64" w14:textId="24E10577" w:rsidR="006C5574" w:rsidRPr="006C5574" w:rsidRDefault="006C5574" w:rsidP="006C5574">
            <w:pPr>
              <w:jc w:val="right"/>
              <w:rPr>
                <w:rFonts w:cs="Arial"/>
                <w:color w:val="000000"/>
                <w:sz w:val="20"/>
                <w:szCs w:val="20"/>
              </w:rPr>
            </w:pPr>
            <w:r>
              <w:rPr>
                <w:rFonts w:cs="Arial"/>
                <w:color w:val="000000"/>
                <w:sz w:val="20"/>
                <w:szCs w:val="20"/>
              </w:rPr>
              <w:t>£1,139,507</w:t>
            </w:r>
          </w:p>
        </w:tc>
        <w:tc>
          <w:tcPr>
            <w:tcW w:w="1134" w:type="dxa"/>
            <w:noWrap/>
          </w:tcPr>
          <w:p w14:paraId="17E26DAD" w14:textId="3BB1571A" w:rsidR="006C5574" w:rsidRPr="006C5574" w:rsidRDefault="006C5574" w:rsidP="006C5574">
            <w:pPr>
              <w:jc w:val="right"/>
              <w:rPr>
                <w:rFonts w:cs="Arial"/>
                <w:color w:val="000000"/>
                <w:sz w:val="20"/>
                <w:szCs w:val="20"/>
              </w:rPr>
            </w:pPr>
            <w:r>
              <w:rPr>
                <w:rFonts w:cs="Arial"/>
                <w:color w:val="000000"/>
                <w:sz w:val="20"/>
                <w:szCs w:val="20"/>
              </w:rPr>
              <w:t>-£284,877</w:t>
            </w:r>
          </w:p>
        </w:tc>
        <w:tc>
          <w:tcPr>
            <w:tcW w:w="985" w:type="dxa"/>
          </w:tcPr>
          <w:p w14:paraId="1855F0EF" w14:textId="1F4A87DA" w:rsidR="006C5574" w:rsidRPr="006C5574" w:rsidRDefault="006C5574" w:rsidP="006C5574">
            <w:pPr>
              <w:jc w:val="right"/>
              <w:rPr>
                <w:rFonts w:cs="Arial"/>
                <w:color w:val="000000"/>
                <w:sz w:val="20"/>
                <w:szCs w:val="20"/>
              </w:rPr>
            </w:pPr>
            <w:r>
              <w:rPr>
                <w:rFonts w:cs="Arial"/>
                <w:color w:val="000000"/>
                <w:sz w:val="20"/>
                <w:szCs w:val="20"/>
              </w:rPr>
              <w:t>-20%</w:t>
            </w:r>
          </w:p>
        </w:tc>
      </w:tr>
      <w:tr w:rsidR="006C5574" w:rsidRPr="006C5574" w14:paraId="2B07A1D5" w14:textId="68FB307D" w:rsidTr="00583F87">
        <w:trPr>
          <w:trHeight w:val="250"/>
        </w:trPr>
        <w:tc>
          <w:tcPr>
            <w:tcW w:w="3964" w:type="dxa"/>
            <w:noWrap/>
            <w:hideMark/>
          </w:tcPr>
          <w:p w14:paraId="7560BCF3" w14:textId="5E7CE3F7" w:rsidR="006C5574" w:rsidRPr="006C5574" w:rsidRDefault="006C5574" w:rsidP="006C5574">
            <w:pPr>
              <w:rPr>
                <w:rFonts w:cs="Arial"/>
                <w:b/>
                <w:bCs/>
                <w:color w:val="000000"/>
                <w:sz w:val="20"/>
                <w:szCs w:val="20"/>
              </w:rPr>
            </w:pPr>
            <w:r w:rsidRPr="006C5574">
              <w:rPr>
                <w:rFonts w:cs="Arial"/>
                <w:b/>
                <w:bCs/>
                <w:color w:val="000000"/>
                <w:sz w:val="20"/>
                <w:szCs w:val="20"/>
              </w:rPr>
              <w:t>Total CSSB funding</w:t>
            </w:r>
          </w:p>
        </w:tc>
        <w:tc>
          <w:tcPr>
            <w:tcW w:w="1276" w:type="dxa"/>
            <w:noWrap/>
            <w:hideMark/>
          </w:tcPr>
          <w:p w14:paraId="1B3D9CA2" w14:textId="52119548" w:rsidR="006C5574" w:rsidRPr="006C5574" w:rsidRDefault="006C5574" w:rsidP="006C5574">
            <w:pPr>
              <w:jc w:val="right"/>
              <w:rPr>
                <w:rFonts w:cs="Arial"/>
                <w:b/>
                <w:bCs/>
                <w:color w:val="000000"/>
                <w:sz w:val="20"/>
                <w:szCs w:val="20"/>
              </w:rPr>
            </w:pPr>
            <w:r w:rsidRPr="006C5574">
              <w:rPr>
                <w:rFonts w:cs="Arial"/>
                <w:b/>
                <w:bCs/>
                <w:color w:val="000000"/>
                <w:sz w:val="20"/>
                <w:szCs w:val="20"/>
              </w:rPr>
              <w:t>£3,510,978</w:t>
            </w:r>
          </w:p>
        </w:tc>
        <w:tc>
          <w:tcPr>
            <w:tcW w:w="1701" w:type="dxa"/>
            <w:noWrap/>
            <w:hideMark/>
          </w:tcPr>
          <w:p w14:paraId="25AEAB20" w14:textId="0BC17131" w:rsidR="006C5574" w:rsidRPr="006C5574" w:rsidRDefault="006C5574" w:rsidP="006C5574">
            <w:pPr>
              <w:jc w:val="right"/>
              <w:rPr>
                <w:rFonts w:cs="Arial"/>
                <w:b/>
                <w:bCs/>
                <w:color w:val="000000"/>
                <w:sz w:val="20"/>
                <w:szCs w:val="20"/>
              </w:rPr>
            </w:pPr>
            <w:r w:rsidRPr="006C5574">
              <w:rPr>
                <w:rFonts w:cs="Arial"/>
                <w:b/>
                <w:bCs/>
                <w:color w:val="000000"/>
                <w:sz w:val="20"/>
                <w:szCs w:val="20"/>
              </w:rPr>
              <w:t>£3,173,936</w:t>
            </w:r>
          </w:p>
        </w:tc>
        <w:tc>
          <w:tcPr>
            <w:tcW w:w="1134" w:type="dxa"/>
            <w:noWrap/>
          </w:tcPr>
          <w:p w14:paraId="38E7ADE9" w14:textId="094A75D0" w:rsidR="006C5574" w:rsidRPr="006C5574" w:rsidRDefault="006C5574" w:rsidP="006C5574">
            <w:pPr>
              <w:jc w:val="right"/>
              <w:rPr>
                <w:rFonts w:cs="Arial"/>
                <w:b/>
                <w:bCs/>
                <w:color w:val="000000"/>
                <w:sz w:val="20"/>
                <w:szCs w:val="20"/>
              </w:rPr>
            </w:pPr>
            <w:r w:rsidRPr="006C5574">
              <w:rPr>
                <w:rFonts w:cs="Arial"/>
                <w:b/>
                <w:bCs/>
                <w:color w:val="000000"/>
                <w:sz w:val="20"/>
                <w:szCs w:val="20"/>
              </w:rPr>
              <w:t>-£337,042</w:t>
            </w:r>
          </w:p>
        </w:tc>
        <w:tc>
          <w:tcPr>
            <w:tcW w:w="985" w:type="dxa"/>
          </w:tcPr>
          <w:p w14:paraId="07801B5B" w14:textId="0D288336" w:rsidR="006C5574" w:rsidRPr="006C5574" w:rsidRDefault="006C5574" w:rsidP="006C5574">
            <w:pPr>
              <w:jc w:val="right"/>
              <w:rPr>
                <w:rFonts w:cs="Arial"/>
                <w:b/>
                <w:bCs/>
                <w:color w:val="000000"/>
                <w:sz w:val="20"/>
                <w:szCs w:val="20"/>
              </w:rPr>
            </w:pPr>
            <w:r w:rsidRPr="006C5574">
              <w:rPr>
                <w:rFonts w:cs="Arial"/>
                <w:b/>
                <w:bCs/>
                <w:color w:val="000000"/>
                <w:sz w:val="20"/>
                <w:szCs w:val="20"/>
              </w:rPr>
              <w:t>-10%</w:t>
            </w:r>
          </w:p>
        </w:tc>
      </w:tr>
    </w:tbl>
    <w:p w14:paraId="32753F8E" w14:textId="6C8F8757" w:rsidR="00C156F7" w:rsidRPr="009626AA" w:rsidRDefault="00C156F7" w:rsidP="00C156F7">
      <w:pPr>
        <w:pStyle w:val="ListParagraph"/>
        <w:numPr>
          <w:ilvl w:val="1"/>
          <w:numId w:val="16"/>
        </w:numPr>
        <w:autoSpaceDE w:val="0"/>
        <w:autoSpaceDN w:val="0"/>
        <w:adjustRightInd w:val="0"/>
        <w:ind w:left="567" w:hanging="567"/>
        <w:rPr>
          <w:rFonts w:cs="Arial"/>
          <w:color w:val="000000"/>
          <w:sz w:val="22"/>
          <w:szCs w:val="22"/>
        </w:rPr>
      </w:pPr>
      <w:r w:rsidRPr="009626AA">
        <w:rPr>
          <w:rFonts w:cs="Arial"/>
          <w:color w:val="000000"/>
          <w:sz w:val="22"/>
          <w:szCs w:val="22"/>
        </w:rPr>
        <w:t xml:space="preserve">The </w:t>
      </w:r>
      <w:r w:rsidR="006C5574" w:rsidRPr="009626AA">
        <w:rPr>
          <w:rFonts w:cs="Arial"/>
          <w:color w:val="000000"/>
          <w:sz w:val="22"/>
          <w:szCs w:val="22"/>
        </w:rPr>
        <w:t xml:space="preserve">local authority anticipates a reduction in the </w:t>
      </w:r>
      <w:r w:rsidRPr="009626AA">
        <w:rPr>
          <w:rFonts w:cs="Arial"/>
          <w:color w:val="000000"/>
          <w:sz w:val="22"/>
          <w:szCs w:val="22"/>
        </w:rPr>
        <w:t>total estimated CSSB allocation for financial year 2023 to 2024</w:t>
      </w:r>
      <w:r w:rsidR="00AC5F4C">
        <w:rPr>
          <w:rFonts w:cs="Arial"/>
          <w:color w:val="000000"/>
          <w:sz w:val="22"/>
          <w:szCs w:val="22"/>
        </w:rPr>
        <w:t xml:space="preserve">, which will be determined </w:t>
      </w:r>
      <w:r w:rsidR="006C5574" w:rsidRPr="009626AA">
        <w:rPr>
          <w:rFonts w:cs="Arial"/>
          <w:color w:val="000000"/>
          <w:sz w:val="22"/>
          <w:szCs w:val="22"/>
        </w:rPr>
        <w:t>using the October 2022 roll across all schools</w:t>
      </w:r>
      <w:r w:rsidR="00AC5F4C">
        <w:rPr>
          <w:rFonts w:cs="Arial"/>
          <w:color w:val="000000"/>
          <w:sz w:val="22"/>
          <w:szCs w:val="22"/>
        </w:rPr>
        <w:t>, issued in December 2022</w:t>
      </w:r>
      <w:r w:rsidR="006C5574" w:rsidRPr="009626AA">
        <w:rPr>
          <w:rFonts w:cs="Arial"/>
          <w:color w:val="000000"/>
          <w:sz w:val="22"/>
          <w:szCs w:val="22"/>
        </w:rPr>
        <w:t xml:space="preserve">. </w:t>
      </w:r>
    </w:p>
    <w:p w14:paraId="7B15CF0A" w14:textId="77777777" w:rsidR="00661A29" w:rsidRPr="009626AA" w:rsidRDefault="00661A29" w:rsidP="009626AA">
      <w:pPr>
        <w:pStyle w:val="ListParagraph"/>
        <w:autoSpaceDE w:val="0"/>
        <w:autoSpaceDN w:val="0"/>
        <w:adjustRightInd w:val="0"/>
        <w:ind w:left="567"/>
        <w:rPr>
          <w:rFonts w:cs="Arial"/>
          <w:color w:val="000000"/>
          <w:sz w:val="22"/>
          <w:szCs w:val="22"/>
        </w:rPr>
      </w:pPr>
    </w:p>
    <w:p w14:paraId="1DC89060" w14:textId="781D1C0C" w:rsidR="008F303C" w:rsidRPr="009626AA" w:rsidRDefault="008F303C" w:rsidP="00C85A66">
      <w:pPr>
        <w:pStyle w:val="ListParagraph"/>
        <w:numPr>
          <w:ilvl w:val="1"/>
          <w:numId w:val="16"/>
        </w:numPr>
        <w:autoSpaceDE w:val="0"/>
        <w:autoSpaceDN w:val="0"/>
        <w:adjustRightInd w:val="0"/>
        <w:ind w:left="567" w:hanging="567"/>
        <w:rPr>
          <w:rFonts w:cs="Arial"/>
          <w:color w:val="000000"/>
          <w:sz w:val="22"/>
          <w:szCs w:val="22"/>
        </w:rPr>
      </w:pPr>
      <w:r w:rsidRPr="009626AA">
        <w:rPr>
          <w:rFonts w:cs="Arial"/>
          <w:color w:val="000000"/>
          <w:sz w:val="22"/>
          <w:szCs w:val="22"/>
        </w:rPr>
        <w:t>This paper summarises the Central services that may be funded with the agreement of schools’ forums as set out in the Schools Revenue Funding 202</w:t>
      </w:r>
      <w:r w:rsidR="007E59C2" w:rsidRPr="009626AA">
        <w:rPr>
          <w:rFonts w:cs="Arial"/>
          <w:color w:val="000000"/>
          <w:sz w:val="22"/>
          <w:szCs w:val="22"/>
        </w:rPr>
        <w:t>2</w:t>
      </w:r>
      <w:r w:rsidRPr="009626AA">
        <w:rPr>
          <w:rFonts w:cs="Arial"/>
          <w:color w:val="000000"/>
          <w:sz w:val="22"/>
          <w:szCs w:val="22"/>
        </w:rPr>
        <w:t xml:space="preserve"> to 202</w:t>
      </w:r>
      <w:r w:rsidR="007E59C2" w:rsidRPr="009626AA">
        <w:rPr>
          <w:rFonts w:cs="Arial"/>
          <w:color w:val="000000"/>
          <w:sz w:val="22"/>
          <w:szCs w:val="22"/>
        </w:rPr>
        <w:t>3</w:t>
      </w:r>
      <w:r w:rsidRPr="009626AA">
        <w:rPr>
          <w:rFonts w:cs="Arial"/>
          <w:color w:val="000000"/>
          <w:sz w:val="22"/>
          <w:szCs w:val="22"/>
        </w:rPr>
        <w:t xml:space="preserve"> guidance, issued by the Education &amp; Skills Funding Agency</w:t>
      </w:r>
      <w:r w:rsidR="007E59C2" w:rsidRPr="009626AA">
        <w:rPr>
          <w:rFonts w:cs="Arial"/>
          <w:color w:val="000000"/>
          <w:sz w:val="22"/>
          <w:szCs w:val="22"/>
        </w:rPr>
        <w:t xml:space="preserve"> (ESFA)</w:t>
      </w:r>
      <w:r w:rsidR="00AC5F4C">
        <w:rPr>
          <w:rFonts w:cs="Arial"/>
          <w:color w:val="000000"/>
          <w:sz w:val="22"/>
          <w:szCs w:val="22"/>
        </w:rPr>
        <w:t xml:space="preserve">.  The full breakdown of statutory responsibilities is attached as an </w:t>
      </w:r>
      <w:r w:rsidR="00C974E4">
        <w:rPr>
          <w:rFonts w:cs="Arial"/>
          <w:color w:val="000000"/>
          <w:sz w:val="22"/>
          <w:szCs w:val="22"/>
        </w:rPr>
        <w:t>appendix</w:t>
      </w:r>
      <w:r w:rsidR="00B6113D">
        <w:rPr>
          <w:rFonts w:cs="Arial"/>
          <w:color w:val="000000"/>
          <w:sz w:val="22"/>
          <w:szCs w:val="22"/>
        </w:rPr>
        <w:t xml:space="preserve"> to this report</w:t>
      </w:r>
      <w:r w:rsidR="00AC5F4C">
        <w:rPr>
          <w:rFonts w:cs="Arial"/>
          <w:color w:val="000000"/>
          <w:sz w:val="22"/>
          <w:szCs w:val="22"/>
        </w:rPr>
        <w:t>.</w:t>
      </w:r>
    </w:p>
    <w:p w14:paraId="1ED57B22" w14:textId="77777777" w:rsidR="008A1355" w:rsidRPr="000562F4" w:rsidRDefault="008A1355" w:rsidP="00C85A66">
      <w:pPr>
        <w:pStyle w:val="ListParagraph"/>
        <w:ind w:left="567" w:hanging="567"/>
        <w:rPr>
          <w:rFonts w:cs="Arial"/>
          <w:b/>
          <w:bCs/>
          <w:color w:val="000000"/>
        </w:rPr>
      </w:pPr>
    </w:p>
    <w:p w14:paraId="014AF194" w14:textId="77777777" w:rsidR="008A1355" w:rsidRPr="000562F4" w:rsidRDefault="008A1355" w:rsidP="00C85A66">
      <w:pPr>
        <w:keepNext/>
        <w:ind w:left="567" w:hanging="567"/>
        <w:rPr>
          <w:rFonts w:cs="Arial"/>
          <w:b/>
        </w:rPr>
      </w:pPr>
    </w:p>
    <w:p w14:paraId="6913F04C" w14:textId="77777777" w:rsidR="008F303C" w:rsidRPr="000562F4" w:rsidRDefault="008F303C" w:rsidP="00C85A66">
      <w:pPr>
        <w:pStyle w:val="ListParagraph"/>
        <w:numPr>
          <w:ilvl w:val="0"/>
          <w:numId w:val="16"/>
        </w:numPr>
        <w:autoSpaceDE w:val="0"/>
        <w:autoSpaceDN w:val="0"/>
        <w:adjustRightInd w:val="0"/>
        <w:ind w:left="567" w:hanging="567"/>
        <w:rPr>
          <w:rFonts w:cs="Arial"/>
          <w:color w:val="000000"/>
        </w:rPr>
      </w:pPr>
      <w:r w:rsidRPr="000562F4">
        <w:rPr>
          <w:rFonts w:cs="Arial"/>
          <w:b/>
          <w:bCs/>
          <w:color w:val="000000"/>
        </w:rPr>
        <w:t xml:space="preserve">Details </w:t>
      </w:r>
    </w:p>
    <w:p w14:paraId="4028E004" w14:textId="77777777" w:rsidR="009E19B6" w:rsidRPr="000562F4" w:rsidRDefault="009E19B6" w:rsidP="009E19B6">
      <w:pPr>
        <w:pStyle w:val="ListParagraph"/>
        <w:rPr>
          <w:rFonts w:cs="Arial"/>
          <w:color w:val="000000"/>
          <w:sz w:val="22"/>
          <w:szCs w:val="22"/>
        </w:rPr>
      </w:pPr>
    </w:p>
    <w:p w14:paraId="15EAC4C0" w14:textId="01896B26" w:rsidR="0058205C" w:rsidRPr="000562F4" w:rsidRDefault="007E59C2" w:rsidP="00BF0401">
      <w:pPr>
        <w:pStyle w:val="ListParagraph"/>
        <w:numPr>
          <w:ilvl w:val="1"/>
          <w:numId w:val="16"/>
        </w:numPr>
        <w:autoSpaceDE w:val="0"/>
        <w:autoSpaceDN w:val="0"/>
        <w:adjustRightInd w:val="0"/>
        <w:rPr>
          <w:rFonts w:cs="Arial"/>
          <w:color w:val="000000"/>
          <w:sz w:val="22"/>
          <w:szCs w:val="22"/>
        </w:rPr>
      </w:pPr>
      <w:r w:rsidRPr="000562F4">
        <w:rPr>
          <w:rFonts w:cs="Arial"/>
          <w:color w:val="000000"/>
          <w:sz w:val="22"/>
          <w:szCs w:val="22"/>
        </w:rPr>
        <w:t>On-going commitments</w:t>
      </w:r>
      <w:r w:rsidR="00AC5F4C" w:rsidRPr="000562F4">
        <w:rPr>
          <w:rFonts w:cs="Arial"/>
          <w:color w:val="000000"/>
          <w:sz w:val="22"/>
          <w:szCs w:val="22"/>
        </w:rPr>
        <w:t xml:space="preserve"> for all </w:t>
      </w:r>
      <w:r w:rsidR="00C974E4" w:rsidRPr="000562F4">
        <w:rPr>
          <w:rFonts w:cs="Arial"/>
          <w:color w:val="000000"/>
          <w:sz w:val="22"/>
          <w:szCs w:val="22"/>
        </w:rPr>
        <w:t>school’s</w:t>
      </w:r>
      <w:r w:rsidR="00AC5F4C" w:rsidRPr="000562F4">
        <w:rPr>
          <w:rFonts w:cs="Arial"/>
          <w:color w:val="000000"/>
          <w:sz w:val="22"/>
          <w:szCs w:val="22"/>
        </w:rPr>
        <w:t xml:space="preserve"> fund responsibilities </w:t>
      </w:r>
      <w:r w:rsidR="0058205C" w:rsidRPr="000562F4">
        <w:rPr>
          <w:rFonts w:cs="Arial"/>
          <w:color w:val="000000"/>
          <w:sz w:val="22"/>
          <w:szCs w:val="22"/>
        </w:rPr>
        <w:t>that fall into the following categories:</w:t>
      </w:r>
    </w:p>
    <w:p w14:paraId="767AD418" w14:textId="1B9A9FA2" w:rsidR="007E59C2" w:rsidRPr="000562F4" w:rsidRDefault="007E59C2" w:rsidP="0058205C">
      <w:pPr>
        <w:pStyle w:val="ListParagraph"/>
        <w:autoSpaceDE w:val="0"/>
        <w:autoSpaceDN w:val="0"/>
        <w:adjustRightInd w:val="0"/>
        <w:ind w:left="1134"/>
        <w:rPr>
          <w:rFonts w:cs="Arial"/>
          <w:color w:val="000000"/>
          <w:sz w:val="22"/>
          <w:szCs w:val="22"/>
        </w:rPr>
      </w:pPr>
      <w:r w:rsidRPr="000562F4">
        <w:rPr>
          <w:rFonts w:cs="Arial"/>
          <w:color w:val="000000"/>
          <w:sz w:val="22"/>
          <w:szCs w:val="22"/>
        </w:rPr>
        <w:tab/>
      </w:r>
    </w:p>
    <w:p w14:paraId="67C3897A" w14:textId="2DBE3EC5" w:rsidR="008F303C" w:rsidRPr="000562F4" w:rsidRDefault="008F303C" w:rsidP="007E59C2">
      <w:pPr>
        <w:pStyle w:val="ListParagraph"/>
        <w:numPr>
          <w:ilvl w:val="1"/>
          <w:numId w:val="18"/>
        </w:numPr>
        <w:autoSpaceDE w:val="0"/>
        <w:autoSpaceDN w:val="0"/>
        <w:adjustRightInd w:val="0"/>
        <w:rPr>
          <w:rFonts w:cs="Arial"/>
          <w:color w:val="000000"/>
          <w:sz w:val="22"/>
          <w:szCs w:val="22"/>
        </w:rPr>
      </w:pPr>
      <w:r w:rsidRPr="000562F4">
        <w:rPr>
          <w:rFonts w:cs="Arial"/>
          <w:color w:val="000000"/>
          <w:sz w:val="22"/>
          <w:szCs w:val="22"/>
        </w:rPr>
        <w:t>Statutory and Regulatory duties</w:t>
      </w:r>
    </w:p>
    <w:p w14:paraId="537DF073" w14:textId="77777777" w:rsidR="008F303C" w:rsidRPr="000562F4" w:rsidRDefault="008F303C" w:rsidP="007E59C2">
      <w:pPr>
        <w:pStyle w:val="ListParagraph"/>
        <w:numPr>
          <w:ilvl w:val="1"/>
          <w:numId w:val="18"/>
        </w:numPr>
        <w:autoSpaceDE w:val="0"/>
        <w:autoSpaceDN w:val="0"/>
        <w:adjustRightInd w:val="0"/>
        <w:rPr>
          <w:rFonts w:cs="Arial"/>
          <w:color w:val="000000"/>
          <w:sz w:val="22"/>
          <w:szCs w:val="22"/>
        </w:rPr>
      </w:pPr>
      <w:r w:rsidRPr="000562F4">
        <w:rPr>
          <w:rFonts w:cs="Arial"/>
          <w:color w:val="000000"/>
          <w:sz w:val="22"/>
          <w:szCs w:val="22"/>
        </w:rPr>
        <w:t>Education Welfare</w:t>
      </w:r>
    </w:p>
    <w:p w14:paraId="217E5188" w14:textId="77777777" w:rsidR="008F303C" w:rsidRPr="000562F4" w:rsidRDefault="008F303C" w:rsidP="007E59C2">
      <w:pPr>
        <w:pStyle w:val="ListParagraph"/>
        <w:numPr>
          <w:ilvl w:val="1"/>
          <w:numId w:val="18"/>
        </w:numPr>
        <w:autoSpaceDE w:val="0"/>
        <w:autoSpaceDN w:val="0"/>
        <w:adjustRightInd w:val="0"/>
        <w:rPr>
          <w:rFonts w:cs="Arial"/>
          <w:color w:val="000000"/>
          <w:sz w:val="22"/>
          <w:szCs w:val="22"/>
        </w:rPr>
      </w:pPr>
      <w:r w:rsidRPr="000562F4">
        <w:rPr>
          <w:rFonts w:cs="Arial"/>
          <w:color w:val="000000"/>
          <w:sz w:val="22"/>
          <w:szCs w:val="22"/>
        </w:rPr>
        <w:t>Asset Management</w:t>
      </w:r>
    </w:p>
    <w:p w14:paraId="060A9B83" w14:textId="53C2E1B8" w:rsidR="008F303C" w:rsidRPr="000562F4" w:rsidRDefault="008F303C" w:rsidP="007E59C2">
      <w:pPr>
        <w:pStyle w:val="ListParagraph"/>
        <w:numPr>
          <w:ilvl w:val="1"/>
          <w:numId w:val="18"/>
        </w:numPr>
        <w:autoSpaceDE w:val="0"/>
        <w:autoSpaceDN w:val="0"/>
        <w:adjustRightInd w:val="0"/>
        <w:rPr>
          <w:rFonts w:cs="Arial"/>
          <w:color w:val="000000"/>
          <w:sz w:val="22"/>
          <w:szCs w:val="22"/>
        </w:rPr>
      </w:pPr>
      <w:r w:rsidRPr="000562F4">
        <w:rPr>
          <w:rFonts w:cs="Arial"/>
          <w:color w:val="000000"/>
          <w:sz w:val="22"/>
          <w:szCs w:val="22"/>
        </w:rPr>
        <w:t>Other Ongoing Duties</w:t>
      </w:r>
    </w:p>
    <w:p w14:paraId="06460AF1" w14:textId="77777777" w:rsidR="000562F4" w:rsidRPr="000562F4" w:rsidRDefault="000562F4" w:rsidP="001C1E82">
      <w:pPr>
        <w:autoSpaceDE w:val="0"/>
        <w:autoSpaceDN w:val="0"/>
        <w:adjustRightInd w:val="0"/>
        <w:rPr>
          <w:rFonts w:cs="Arial"/>
          <w:color w:val="000000"/>
          <w:sz w:val="22"/>
          <w:szCs w:val="22"/>
        </w:rPr>
      </w:pPr>
    </w:p>
    <w:p w14:paraId="765A3CC9" w14:textId="20397A37" w:rsidR="001C1E82" w:rsidRDefault="003E5330" w:rsidP="000562F4">
      <w:pPr>
        <w:pStyle w:val="ListParagraph"/>
        <w:numPr>
          <w:ilvl w:val="2"/>
          <w:numId w:val="16"/>
        </w:numPr>
        <w:autoSpaceDE w:val="0"/>
        <w:autoSpaceDN w:val="0"/>
        <w:adjustRightInd w:val="0"/>
      </w:pPr>
      <w:r w:rsidRPr="000562F4">
        <w:t>The estimated budget for 2023 -24,</w:t>
      </w:r>
      <w:r w:rsidR="000562F4" w:rsidRPr="000562F4">
        <w:t xml:space="preserve"> </w:t>
      </w:r>
      <w:r w:rsidRPr="000562F4">
        <w:t xml:space="preserve">calculated on the </w:t>
      </w:r>
      <w:r w:rsidR="000562F4" w:rsidRPr="000562F4">
        <w:t>s</w:t>
      </w:r>
      <w:r w:rsidRPr="000562F4">
        <w:t>ame pupil bu</w:t>
      </w:r>
      <w:r w:rsidR="000562F4" w:rsidRPr="000562F4">
        <w:t>dget</w:t>
      </w:r>
      <w:r w:rsidRPr="000562F4">
        <w:t xml:space="preserve"> base in 2022-23, will be reduced following the reduction in the hourly rate estimate.  The </w:t>
      </w:r>
      <w:r w:rsidR="000562F4" w:rsidRPr="000562F4">
        <w:t>final budget will be brought to Schools Forum for agreement in January 2023</w:t>
      </w:r>
    </w:p>
    <w:p w14:paraId="58125D28" w14:textId="77777777" w:rsidR="00B6113D" w:rsidRPr="000562F4" w:rsidRDefault="00B6113D" w:rsidP="00B6113D">
      <w:pPr>
        <w:pStyle w:val="ListParagraph"/>
        <w:autoSpaceDE w:val="0"/>
        <w:autoSpaceDN w:val="0"/>
        <w:adjustRightInd w:val="0"/>
      </w:pPr>
    </w:p>
    <w:p w14:paraId="2A6AE0DE" w14:textId="333E216A" w:rsidR="000562F4" w:rsidRDefault="000562F4" w:rsidP="000562F4">
      <w:pPr>
        <w:pStyle w:val="ListParagraph"/>
        <w:numPr>
          <w:ilvl w:val="2"/>
          <w:numId w:val="16"/>
        </w:numPr>
        <w:autoSpaceDE w:val="0"/>
        <w:autoSpaceDN w:val="0"/>
        <w:adjustRightInd w:val="0"/>
      </w:pPr>
      <w:r w:rsidRPr="000562F4">
        <w:t>Provisional savings are planned on the following basis:</w:t>
      </w:r>
    </w:p>
    <w:p w14:paraId="7194A38A" w14:textId="77777777" w:rsidR="000562F4" w:rsidRPr="000562F4" w:rsidRDefault="000562F4" w:rsidP="000562F4">
      <w:pPr>
        <w:pStyle w:val="ListParagraph"/>
        <w:autoSpaceDE w:val="0"/>
        <w:autoSpaceDN w:val="0"/>
        <w:adjustRightInd w:val="0"/>
      </w:pPr>
    </w:p>
    <w:tbl>
      <w:tblPr>
        <w:tblStyle w:val="TableGrid1"/>
        <w:tblW w:w="8779" w:type="dxa"/>
        <w:tblLook w:val="04A0" w:firstRow="1" w:lastRow="0" w:firstColumn="1" w:lastColumn="0" w:noHBand="0" w:noVBand="1"/>
      </w:tblPr>
      <w:tblGrid>
        <w:gridCol w:w="3676"/>
        <w:gridCol w:w="1520"/>
        <w:gridCol w:w="3583"/>
      </w:tblGrid>
      <w:tr w:rsidR="003E5330" w:rsidRPr="000F2077" w14:paraId="3F13C00F" w14:textId="77777777" w:rsidTr="00583F87">
        <w:trPr>
          <w:trHeight w:val="580"/>
        </w:trPr>
        <w:tc>
          <w:tcPr>
            <w:tcW w:w="3676" w:type="dxa"/>
            <w:hideMark/>
          </w:tcPr>
          <w:p w14:paraId="52249F02" w14:textId="5E3DE41F" w:rsidR="003E5330" w:rsidRPr="000F2077" w:rsidRDefault="003E5330" w:rsidP="00BF0401">
            <w:pPr>
              <w:rPr>
                <w:rFonts w:ascii="Calibri" w:hAnsi="Calibri" w:cs="Calibri"/>
                <w:b/>
                <w:bCs/>
                <w:sz w:val="22"/>
                <w:szCs w:val="22"/>
                <w:highlight w:val="yellow"/>
              </w:rPr>
            </w:pPr>
            <w:r w:rsidRPr="000562F4">
              <w:rPr>
                <w:rFonts w:ascii="Calibri" w:hAnsi="Calibri" w:cs="Calibri"/>
                <w:b/>
                <w:bCs/>
                <w:sz w:val="22"/>
                <w:szCs w:val="22"/>
              </w:rPr>
              <w:t>Ongoing responsibilities</w:t>
            </w:r>
            <w:r w:rsidRPr="000562F4">
              <w:rPr>
                <w:rFonts w:ascii="Calibri" w:hAnsi="Calibri" w:cs="Calibri"/>
                <w:b/>
                <w:bCs/>
                <w:sz w:val="22"/>
                <w:szCs w:val="22"/>
              </w:rPr>
              <w:br/>
            </w:r>
            <w:r w:rsidRPr="000562F4">
              <w:rPr>
                <w:rFonts w:ascii="Calibri" w:hAnsi="Calibri" w:cs="Calibri"/>
                <w:sz w:val="22"/>
                <w:szCs w:val="22"/>
              </w:rPr>
              <w:t>(allocation based on pupil numbers)</w:t>
            </w:r>
          </w:p>
        </w:tc>
        <w:tc>
          <w:tcPr>
            <w:tcW w:w="1520" w:type="dxa"/>
          </w:tcPr>
          <w:p w14:paraId="4CC5C3B5" w14:textId="77777777" w:rsidR="003E5330" w:rsidRDefault="003E5330" w:rsidP="00BF0401">
            <w:pPr>
              <w:jc w:val="center"/>
              <w:rPr>
                <w:rFonts w:cs="Arial"/>
                <w:sz w:val="22"/>
                <w:szCs w:val="22"/>
              </w:rPr>
            </w:pPr>
            <w:r>
              <w:rPr>
                <w:rFonts w:cs="Arial"/>
                <w:sz w:val="22"/>
                <w:szCs w:val="22"/>
              </w:rPr>
              <w:t>budget</w:t>
            </w:r>
            <w:r w:rsidRPr="00BF0401">
              <w:rPr>
                <w:rFonts w:cs="Arial"/>
                <w:sz w:val="22"/>
                <w:szCs w:val="22"/>
              </w:rPr>
              <w:t xml:space="preserve"> 22-23</w:t>
            </w:r>
          </w:p>
          <w:p w14:paraId="3233FA92" w14:textId="1DCB4EA0" w:rsidR="003E5330" w:rsidRPr="00BF0401" w:rsidRDefault="003E5330" w:rsidP="00BF0401">
            <w:pPr>
              <w:jc w:val="center"/>
              <w:rPr>
                <w:rFonts w:cs="Arial"/>
                <w:sz w:val="22"/>
                <w:szCs w:val="22"/>
              </w:rPr>
            </w:pPr>
            <w:r>
              <w:rPr>
                <w:rFonts w:cs="Arial"/>
                <w:sz w:val="22"/>
                <w:szCs w:val="22"/>
              </w:rPr>
              <w:t>£000</w:t>
            </w:r>
          </w:p>
        </w:tc>
        <w:tc>
          <w:tcPr>
            <w:tcW w:w="3583" w:type="dxa"/>
            <w:hideMark/>
          </w:tcPr>
          <w:p w14:paraId="0F0CAAAF" w14:textId="6E52E2A3" w:rsidR="003E5330" w:rsidRPr="00BF0401" w:rsidRDefault="003E5330" w:rsidP="00BF0401">
            <w:pPr>
              <w:jc w:val="center"/>
              <w:rPr>
                <w:rFonts w:cs="Arial"/>
                <w:sz w:val="22"/>
                <w:szCs w:val="22"/>
              </w:rPr>
            </w:pPr>
            <w:r w:rsidRPr="00BF0401">
              <w:rPr>
                <w:rFonts w:cs="Arial"/>
                <w:sz w:val="22"/>
                <w:szCs w:val="22"/>
              </w:rPr>
              <w:t>estimate for 2023-24</w:t>
            </w:r>
            <w:r>
              <w:rPr>
                <w:rFonts w:cs="Arial"/>
                <w:sz w:val="22"/>
                <w:szCs w:val="22"/>
              </w:rPr>
              <w:t xml:space="preserve"> </w:t>
            </w:r>
          </w:p>
        </w:tc>
      </w:tr>
      <w:tr w:rsidR="000562F4" w:rsidRPr="000F2077" w14:paraId="1D142DF0" w14:textId="77777777" w:rsidTr="00583F87">
        <w:trPr>
          <w:trHeight w:val="290"/>
        </w:trPr>
        <w:tc>
          <w:tcPr>
            <w:tcW w:w="3676" w:type="dxa"/>
            <w:noWrap/>
            <w:hideMark/>
          </w:tcPr>
          <w:p w14:paraId="099FB125" w14:textId="77777777" w:rsidR="000562F4" w:rsidRPr="000562F4" w:rsidRDefault="000562F4" w:rsidP="00BF0401">
            <w:pPr>
              <w:rPr>
                <w:rFonts w:ascii="Calibri" w:hAnsi="Calibri" w:cs="Calibri"/>
                <w:sz w:val="22"/>
                <w:szCs w:val="22"/>
              </w:rPr>
            </w:pPr>
            <w:r w:rsidRPr="000562F4">
              <w:rPr>
                <w:rFonts w:ascii="Calibri" w:hAnsi="Calibri" w:cs="Calibri"/>
                <w:sz w:val="22"/>
                <w:szCs w:val="22"/>
              </w:rPr>
              <w:t>Student Admissions</w:t>
            </w:r>
          </w:p>
        </w:tc>
        <w:tc>
          <w:tcPr>
            <w:tcW w:w="1520" w:type="dxa"/>
          </w:tcPr>
          <w:p w14:paraId="6A962B62" w14:textId="7BA848A6" w:rsidR="000562F4" w:rsidRPr="000562F4" w:rsidRDefault="000562F4" w:rsidP="00B56373">
            <w:pPr>
              <w:jc w:val="center"/>
              <w:rPr>
                <w:rFonts w:ascii="Calibri" w:hAnsi="Calibri" w:cs="Calibri"/>
                <w:sz w:val="22"/>
                <w:szCs w:val="22"/>
              </w:rPr>
            </w:pPr>
            <w:r w:rsidRPr="000562F4">
              <w:rPr>
                <w:rFonts w:ascii="Calibri" w:hAnsi="Calibri" w:cs="Calibri"/>
                <w:sz w:val="22"/>
                <w:szCs w:val="22"/>
              </w:rPr>
              <w:t>749</w:t>
            </w:r>
          </w:p>
        </w:tc>
        <w:tc>
          <w:tcPr>
            <w:tcW w:w="3583" w:type="dxa"/>
            <w:noWrap/>
          </w:tcPr>
          <w:p w14:paraId="273C1D41" w14:textId="05361004" w:rsidR="000562F4" w:rsidRPr="000562F4" w:rsidRDefault="000562F4" w:rsidP="00B6113D">
            <w:pPr>
              <w:rPr>
                <w:rFonts w:ascii="Calibri" w:hAnsi="Calibri" w:cs="Calibri"/>
                <w:sz w:val="22"/>
                <w:szCs w:val="22"/>
              </w:rPr>
            </w:pPr>
            <w:r>
              <w:rPr>
                <w:rFonts w:ascii="Calibri" w:hAnsi="Calibri" w:cs="Calibri"/>
                <w:sz w:val="22"/>
                <w:szCs w:val="22"/>
              </w:rPr>
              <w:t>All budgets remain same</w:t>
            </w:r>
          </w:p>
        </w:tc>
      </w:tr>
      <w:tr w:rsidR="002B45E1" w:rsidRPr="000F2077" w14:paraId="196F3075" w14:textId="77777777" w:rsidTr="00583F87">
        <w:trPr>
          <w:trHeight w:val="300"/>
        </w:trPr>
        <w:tc>
          <w:tcPr>
            <w:tcW w:w="3676" w:type="dxa"/>
            <w:noWrap/>
            <w:hideMark/>
          </w:tcPr>
          <w:p w14:paraId="061434E9" w14:textId="35EA1A45" w:rsidR="002B45E1" w:rsidRPr="000562F4" w:rsidRDefault="002B45E1" w:rsidP="002B45E1">
            <w:pPr>
              <w:rPr>
                <w:rFonts w:ascii="Calibri" w:hAnsi="Calibri" w:cs="Calibri"/>
                <w:sz w:val="22"/>
                <w:szCs w:val="22"/>
              </w:rPr>
            </w:pPr>
            <w:r w:rsidRPr="000562F4">
              <w:rPr>
                <w:rFonts w:ascii="Calibri" w:hAnsi="Calibri" w:cs="Calibri"/>
                <w:sz w:val="22"/>
                <w:szCs w:val="22"/>
              </w:rPr>
              <w:t xml:space="preserve">Meeting Expenses </w:t>
            </w:r>
          </w:p>
        </w:tc>
        <w:tc>
          <w:tcPr>
            <w:tcW w:w="1520" w:type="dxa"/>
          </w:tcPr>
          <w:p w14:paraId="675BDFA6" w14:textId="67AF6083" w:rsidR="002B45E1" w:rsidRPr="000562F4" w:rsidRDefault="002B45E1" w:rsidP="002B45E1">
            <w:pPr>
              <w:jc w:val="center"/>
              <w:rPr>
                <w:rFonts w:ascii="Calibri" w:hAnsi="Calibri" w:cs="Calibri"/>
                <w:sz w:val="22"/>
                <w:szCs w:val="22"/>
              </w:rPr>
            </w:pPr>
            <w:r w:rsidRPr="000562F4">
              <w:rPr>
                <w:rFonts w:ascii="Calibri" w:hAnsi="Calibri" w:cs="Calibri"/>
                <w:sz w:val="22"/>
                <w:szCs w:val="22"/>
              </w:rPr>
              <w:t>35</w:t>
            </w:r>
          </w:p>
        </w:tc>
        <w:tc>
          <w:tcPr>
            <w:tcW w:w="3583" w:type="dxa"/>
            <w:noWrap/>
          </w:tcPr>
          <w:p w14:paraId="0A15654C" w14:textId="144227BD" w:rsidR="002B45E1" w:rsidRPr="000562F4" w:rsidRDefault="002B45E1" w:rsidP="002B45E1">
            <w:pPr>
              <w:rPr>
                <w:rFonts w:ascii="Calibri" w:hAnsi="Calibri" w:cs="Calibri"/>
                <w:sz w:val="22"/>
                <w:szCs w:val="22"/>
              </w:rPr>
            </w:pPr>
            <w:r w:rsidRPr="004E4163">
              <w:rPr>
                <w:rFonts w:ascii="Calibri" w:hAnsi="Calibri" w:cs="Calibri"/>
                <w:sz w:val="22"/>
                <w:szCs w:val="22"/>
              </w:rPr>
              <w:t>All budgets remain same</w:t>
            </w:r>
          </w:p>
        </w:tc>
      </w:tr>
      <w:tr w:rsidR="002B45E1" w:rsidRPr="000F2077" w14:paraId="18B49C8C" w14:textId="77777777" w:rsidTr="00583F87">
        <w:trPr>
          <w:trHeight w:val="290"/>
        </w:trPr>
        <w:tc>
          <w:tcPr>
            <w:tcW w:w="3676" w:type="dxa"/>
            <w:noWrap/>
            <w:hideMark/>
          </w:tcPr>
          <w:p w14:paraId="639C6F3B" w14:textId="7719DAC1" w:rsidR="002B45E1" w:rsidRPr="000562F4" w:rsidRDefault="002B45E1" w:rsidP="002B45E1">
            <w:pPr>
              <w:rPr>
                <w:rFonts w:ascii="Calibri" w:hAnsi="Calibri" w:cs="Calibri"/>
                <w:sz w:val="22"/>
                <w:szCs w:val="22"/>
              </w:rPr>
            </w:pPr>
            <w:r w:rsidRPr="000562F4">
              <w:rPr>
                <w:rFonts w:ascii="Calibri" w:hAnsi="Calibri" w:cs="Calibri"/>
                <w:sz w:val="22"/>
                <w:szCs w:val="22"/>
              </w:rPr>
              <w:t xml:space="preserve">School Licence fees </w:t>
            </w:r>
          </w:p>
        </w:tc>
        <w:tc>
          <w:tcPr>
            <w:tcW w:w="1520" w:type="dxa"/>
          </w:tcPr>
          <w:p w14:paraId="0FEDCA20" w14:textId="5288496C" w:rsidR="002B45E1" w:rsidRPr="000562F4" w:rsidRDefault="002B45E1" w:rsidP="002B45E1">
            <w:pPr>
              <w:jc w:val="center"/>
              <w:rPr>
                <w:rFonts w:ascii="Calibri" w:hAnsi="Calibri" w:cs="Calibri"/>
                <w:sz w:val="22"/>
                <w:szCs w:val="22"/>
              </w:rPr>
            </w:pPr>
            <w:r w:rsidRPr="000562F4">
              <w:rPr>
                <w:rFonts w:ascii="Calibri" w:hAnsi="Calibri" w:cs="Calibri"/>
                <w:sz w:val="22"/>
                <w:szCs w:val="22"/>
              </w:rPr>
              <w:t>212</w:t>
            </w:r>
          </w:p>
        </w:tc>
        <w:tc>
          <w:tcPr>
            <w:tcW w:w="3583" w:type="dxa"/>
            <w:noWrap/>
          </w:tcPr>
          <w:p w14:paraId="308BB184" w14:textId="48FB376E" w:rsidR="002B45E1" w:rsidRPr="000562F4" w:rsidRDefault="002B45E1" w:rsidP="002B45E1">
            <w:pPr>
              <w:rPr>
                <w:rFonts w:ascii="Calibri" w:hAnsi="Calibri" w:cs="Calibri"/>
                <w:sz w:val="22"/>
                <w:szCs w:val="22"/>
              </w:rPr>
            </w:pPr>
            <w:r w:rsidRPr="004E4163">
              <w:rPr>
                <w:rFonts w:ascii="Calibri" w:hAnsi="Calibri" w:cs="Calibri"/>
                <w:sz w:val="22"/>
                <w:szCs w:val="22"/>
              </w:rPr>
              <w:t>All budgets remain same</w:t>
            </w:r>
          </w:p>
        </w:tc>
      </w:tr>
      <w:tr w:rsidR="002B45E1" w:rsidRPr="000F2077" w14:paraId="3EC49B83" w14:textId="77777777" w:rsidTr="00583F87">
        <w:trPr>
          <w:trHeight w:val="290"/>
        </w:trPr>
        <w:tc>
          <w:tcPr>
            <w:tcW w:w="3676" w:type="dxa"/>
            <w:noWrap/>
            <w:hideMark/>
          </w:tcPr>
          <w:p w14:paraId="17FEDD17" w14:textId="5A5F628A" w:rsidR="002B45E1" w:rsidRPr="000562F4" w:rsidRDefault="002B45E1" w:rsidP="002B45E1">
            <w:pPr>
              <w:rPr>
                <w:rFonts w:ascii="Calibri" w:hAnsi="Calibri" w:cs="Calibri"/>
                <w:sz w:val="22"/>
                <w:szCs w:val="22"/>
              </w:rPr>
            </w:pPr>
            <w:r w:rsidRPr="000562F4">
              <w:rPr>
                <w:rFonts w:ascii="Calibri" w:hAnsi="Calibri" w:cs="Calibri"/>
                <w:sz w:val="22"/>
                <w:szCs w:val="22"/>
              </w:rPr>
              <w:t>Contribution to pooled budgets (TPA)</w:t>
            </w:r>
          </w:p>
        </w:tc>
        <w:tc>
          <w:tcPr>
            <w:tcW w:w="1520" w:type="dxa"/>
          </w:tcPr>
          <w:p w14:paraId="14EE6357" w14:textId="28298D50" w:rsidR="002B45E1" w:rsidRPr="000562F4" w:rsidRDefault="002B45E1" w:rsidP="002B45E1">
            <w:pPr>
              <w:jc w:val="center"/>
              <w:rPr>
                <w:rFonts w:ascii="Calibri" w:hAnsi="Calibri" w:cs="Calibri"/>
                <w:sz w:val="22"/>
                <w:szCs w:val="22"/>
              </w:rPr>
            </w:pPr>
            <w:r w:rsidRPr="000562F4">
              <w:rPr>
                <w:rFonts w:ascii="Calibri" w:hAnsi="Calibri" w:cs="Calibri"/>
                <w:sz w:val="22"/>
                <w:szCs w:val="22"/>
              </w:rPr>
              <w:t>197</w:t>
            </w:r>
          </w:p>
        </w:tc>
        <w:tc>
          <w:tcPr>
            <w:tcW w:w="3583" w:type="dxa"/>
            <w:noWrap/>
          </w:tcPr>
          <w:p w14:paraId="37C9FEB1" w14:textId="688A5285" w:rsidR="002B45E1" w:rsidRPr="000562F4" w:rsidRDefault="002B45E1" w:rsidP="002B45E1">
            <w:pPr>
              <w:rPr>
                <w:rFonts w:ascii="Calibri" w:hAnsi="Calibri" w:cs="Calibri"/>
                <w:sz w:val="22"/>
                <w:szCs w:val="22"/>
              </w:rPr>
            </w:pPr>
            <w:r w:rsidRPr="004E4163">
              <w:rPr>
                <w:rFonts w:ascii="Calibri" w:hAnsi="Calibri" w:cs="Calibri"/>
                <w:sz w:val="22"/>
                <w:szCs w:val="22"/>
              </w:rPr>
              <w:t>All budgets remain same</w:t>
            </w:r>
          </w:p>
        </w:tc>
      </w:tr>
      <w:tr w:rsidR="002B45E1" w:rsidRPr="000F2077" w14:paraId="486807E5" w14:textId="77777777" w:rsidTr="00583F87">
        <w:trPr>
          <w:trHeight w:val="290"/>
        </w:trPr>
        <w:tc>
          <w:tcPr>
            <w:tcW w:w="3676" w:type="dxa"/>
            <w:noWrap/>
            <w:hideMark/>
          </w:tcPr>
          <w:p w14:paraId="5B5D769D" w14:textId="77777777" w:rsidR="002B45E1" w:rsidRPr="000562F4" w:rsidRDefault="002B45E1" w:rsidP="002B45E1">
            <w:pPr>
              <w:rPr>
                <w:rFonts w:ascii="Calibri" w:hAnsi="Calibri" w:cs="Calibri"/>
                <w:sz w:val="22"/>
                <w:szCs w:val="22"/>
              </w:rPr>
            </w:pPr>
            <w:r w:rsidRPr="000562F4">
              <w:rPr>
                <w:rFonts w:ascii="Calibri" w:hAnsi="Calibri" w:cs="Calibri"/>
                <w:sz w:val="22"/>
                <w:szCs w:val="22"/>
              </w:rPr>
              <w:t>Education Service Grant Retained</w:t>
            </w:r>
          </w:p>
        </w:tc>
        <w:tc>
          <w:tcPr>
            <w:tcW w:w="1520" w:type="dxa"/>
          </w:tcPr>
          <w:p w14:paraId="4A4118B1" w14:textId="043F3027" w:rsidR="002B45E1" w:rsidRPr="000562F4" w:rsidRDefault="002B45E1" w:rsidP="002B45E1">
            <w:pPr>
              <w:jc w:val="center"/>
              <w:rPr>
                <w:rFonts w:ascii="Calibri" w:hAnsi="Calibri" w:cs="Calibri"/>
                <w:sz w:val="22"/>
                <w:szCs w:val="22"/>
              </w:rPr>
            </w:pPr>
            <w:r w:rsidRPr="000562F4">
              <w:rPr>
                <w:rFonts w:ascii="Calibri" w:hAnsi="Calibri" w:cs="Calibri"/>
                <w:sz w:val="22"/>
                <w:szCs w:val="22"/>
              </w:rPr>
              <w:t>615</w:t>
            </w:r>
          </w:p>
        </w:tc>
        <w:tc>
          <w:tcPr>
            <w:tcW w:w="3583" w:type="dxa"/>
            <w:noWrap/>
          </w:tcPr>
          <w:p w14:paraId="28AE34CD" w14:textId="1D8CB72C" w:rsidR="002B45E1" w:rsidRPr="000562F4" w:rsidRDefault="002B45E1" w:rsidP="002B45E1">
            <w:pPr>
              <w:rPr>
                <w:rFonts w:ascii="Calibri" w:hAnsi="Calibri" w:cs="Calibri"/>
                <w:sz w:val="22"/>
                <w:szCs w:val="22"/>
              </w:rPr>
            </w:pPr>
            <w:r w:rsidRPr="004E4163">
              <w:rPr>
                <w:rFonts w:ascii="Calibri" w:hAnsi="Calibri" w:cs="Calibri"/>
                <w:sz w:val="22"/>
                <w:szCs w:val="22"/>
              </w:rPr>
              <w:t>All budgets remain same</w:t>
            </w:r>
          </w:p>
        </w:tc>
      </w:tr>
      <w:tr w:rsidR="00B6113D" w:rsidRPr="000F2077" w14:paraId="73CF8E2F" w14:textId="77777777" w:rsidTr="00583F87">
        <w:trPr>
          <w:trHeight w:val="290"/>
        </w:trPr>
        <w:tc>
          <w:tcPr>
            <w:tcW w:w="3676" w:type="dxa"/>
            <w:noWrap/>
          </w:tcPr>
          <w:p w14:paraId="0C7422E0" w14:textId="4D956041" w:rsidR="00B6113D" w:rsidRPr="000562F4" w:rsidRDefault="00B6113D" w:rsidP="00B6113D">
            <w:pPr>
              <w:rPr>
                <w:rFonts w:ascii="Calibri" w:hAnsi="Calibri" w:cs="Calibri"/>
                <w:sz w:val="22"/>
                <w:szCs w:val="22"/>
              </w:rPr>
            </w:pPr>
            <w:r w:rsidRPr="000562F4">
              <w:rPr>
                <w:rFonts w:ascii="Calibri" w:hAnsi="Calibri" w:cs="Calibri"/>
                <w:sz w:val="22"/>
                <w:szCs w:val="22"/>
              </w:rPr>
              <w:t>Non statemented SEN placements</w:t>
            </w:r>
          </w:p>
        </w:tc>
        <w:tc>
          <w:tcPr>
            <w:tcW w:w="1520" w:type="dxa"/>
          </w:tcPr>
          <w:p w14:paraId="5E6A9269" w14:textId="769A805E" w:rsidR="00B6113D" w:rsidRPr="000562F4" w:rsidRDefault="00B6113D" w:rsidP="00B6113D">
            <w:pPr>
              <w:jc w:val="center"/>
              <w:rPr>
                <w:rFonts w:ascii="Calibri" w:hAnsi="Calibri" w:cs="Calibri"/>
                <w:sz w:val="22"/>
                <w:szCs w:val="22"/>
              </w:rPr>
            </w:pPr>
            <w:r w:rsidRPr="000562F4">
              <w:rPr>
                <w:rFonts w:ascii="Calibri" w:hAnsi="Calibri" w:cs="Calibri"/>
                <w:sz w:val="22"/>
                <w:szCs w:val="22"/>
              </w:rPr>
              <w:t>247</w:t>
            </w:r>
          </w:p>
        </w:tc>
        <w:tc>
          <w:tcPr>
            <w:tcW w:w="3583" w:type="dxa"/>
            <w:noWrap/>
          </w:tcPr>
          <w:p w14:paraId="397FB856" w14:textId="1883281A" w:rsidR="00B6113D" w:rsidRPr="000562F4" w:rsidRDefault="00B6113D" w:rsidP="00B6113D">
            <w:pPr>
              <w:rPr>
                <w:rFonts w:ascii="Calibri" w:hAnsi="Calibri" w:cs="Calibri"/>
                <w:sz w:val="22"/>
                <w:szCs w:val="22"/>
              </w:rPr>
            </w:pPr>
          </w:p>
        </w:tc>
      </w:tr>
      <w:tr w:rsidR="00B6113D" w:rsidRPr="000F2077" w14:paraId="113CB81F" w14:textId="77777777" w:rsidTr="00583F87">
        <w:trPr>
          <w:trHeight w:val="290"/>
        </w:trPr>
        <w:tc>
          <w:tcPr>
            <w:tcW w:w="3676" w:type="dxa"/>
            <w:noWrap/>
            <w:hideMark/>
          </w:tcPr>
          <w:p w14:paraId="58D04095" w14:textId="503192BD" w:rsidR="00B6113D" w:rsidRPr="00B56373" w:rsidRDefault="00B6113D" w:rsidP="00B6113D">
            <w:pPr>
              <w:rPr>
                <w:rFonts w:ascii="Calibri" w:hAnsi="Calibri" w:cs="Calibri"/>
                <w:b/>
                <w:bCs/>
                <w:sz w:val="22"/>
                <w:szCs w:val="22"/>
              </w:rPr>
            </w:pPr>
            <w:r w:rsidRPr="000562F4">
              <w:rPr>
                <w:rFonts w:ascii="Calibri" w:hAnsi="Calibri" w:cs="Calibri"/>
                <w:sz w:val="22"/>
                <w:szCs w:val="22"/>
              </w:rPr>
              <w:t> </w:t>
            </w:r>
            <w:r w:rsidRPr="00B56373">
              <w:rPr>
                <w:rFonts w:ascii="Calibri" w:hAnsi="Calibri" w:cs="Calibri"/>
                <w:b/>
                <w:bCs/>
                <w:sz w:val="22"/>
                <w:szCs w:val="22"/>
              </w:rPr>
              <w:t>Total Ongoing</w:t>
            </w:r>
          </w:p>
        </w:tc>
        <w:tc>
          <w:tcPr>
            <w:tcW w:w="1520" w:type="dxa"/>
          </w:tcPr>
          <w:p w14:paraId="2CE2E89A" w14:textId="03060EFD" w:rsidR="00B6113D" w:rsidRPr="000562F4" w:rsidRDefault="00B6113D" w:rsidP="00B6113D">
            <w:pPr>
              <w:jc w:val="center"/>
              <w:rPr>
                <w:rFonts w:ascii="Calibri" w:hAnsi="Calibri" w:cs="Calibri"/>
                <w:b/>
                <w:bCs/>
                <w:sz w:val="22"/>
                <w:szCs w:val="22"/>
              </w:rPr>
            </w:pPr>
            <w:r>
              <w:rPr>
                <w:rFonts w:ascii="Calibri" w:hAnsi="Calibri" w:cs="Calibri"/>
                <w:b/>
                <w:bCs/>
                <w:sz w:val="22"/>
                <w:szCs w:val="22"/>
              </w:rPr>
              <w:t>1,809</w:t>
            </w:r>
          </w:p>
        </w:tc>
        <w:tc>
          <w:tcPr>
            <w:tcW w:w="3583" w:type="dxa"/>
            <w:noWrap/>
            <w:hideMark/>
          </w:tcPr>
          <w:p w14:paraId="69E55AB6" w14:textId="56126BF2" w:rsidR="00B6113D" w:rsidRPr="000F2077" w:rsidRDefault="00B6113D" w:rsidP="00B6113D">
            <w:pPr>
              <w:jc w:val="right"/>
              <w:rPr>
                <w:rFonts w:ascii="Calibri" w:hAnsi="Calibri" w:cs="Calibri"/>
                <w:b/>
                <w:bCs/>
                <w:sz w:val="22"/>
                <w:szCs w:val="22"/>
                <w:highlight w:val="yellow"/>
              </w:rPr>
            </w:pPr>
            <w:r w:rsidRPr="000562F4">
              <w:rPr>
                <w:rFonts w:ascii="Calibri" w:hAnsi="Calibri" w:cs="Calibri"/>
                <w:b/>
                <w:bCs/>
                <w:sz w:val="22"/>
                <w:szCs w:val="22"/>
              </w:rPr>
              <w:t xml:space="preserve">1,809 </w:t>
            </w:r>
            <w:r>
              <w:rPr>
                <w:rFonts w:ascii="Calibri" w:hAnsi="Calibri" w:cs="Calibri"/>
                <w:b/>
                <w:bCs/>
                <w:sz w:val="22"/>
                <w:szCs w:val="22"/>
              </w:rPr>
              <w:t>(0</w:t>
            </w:r>
            <w:r w:rsidRPr="000562F4">
              <w:rPr>
                <w:rFonts w:ascii="Calibri" w:hAnsi="Calibri" w:cs="Calibri"/>
                <w:b/>
                <w:bCs/>
                <w:sz w:val="22"/>
                <w:szCs w:val="22"/>
              </w:rPr>
              <w:t>%)</w:t>
            </w:r>
          </w:p>
        </w:tc>
      </w:tr>
    </w:tbl>
    <w:p w14:paraId="480FDC2B" w14:textId="77777777" w:rsidR="001C1E82" w:rsidRPr="000F2077" w:rsidRDefault="001C1E82" w:rsidP="001C1E82">
      <w:pPr>
        <w:autoSpaceDE w:val="0"/>
        <w:autoSpaceDN w:val="0"/>
        <w:adjustRightInd w:val="0"/>
        <w:rPr>
          <w:rFonts w:cs="Arial"/>
          <w:color w:val="000000"/>
          <w:sz w:val="22"/>
          <w:szCs w:val="22"/>
          <w:highlight w:val="yellow"/>
        </w:rPr>
      </w:pPr>
    </w:p>
    <w:p w14:paraId="5FFCA08B" w14:textId="5C20F4C9" w:rsidR="008F303C" w:rsidRPr="00BF0401" w:rsidRDefault="008F303C" w:rsidP="00BF0401">
      <w:pPr>
        <w:pStyle w:val="ListParagraph"/>
        <w:numPr>
          <w:ilvl w:val="1"/>
          <w:numId w:val="16"/>
        </w:numPr>
        <w:autoSpaceDE w:val="0"/>
        <w:autoSpaceDN w:val="0"/>
        <w:adjustRightInd w:val="0"/>
        <w:rPr>
          <w:rFonts w:cs="Arial"/>
          <w:color w:val="000000"/>
          <w:sz w:val="22"/>
          <w:szCs w:val="22"/>
        </w:rPr>
      </w:pPr>
      <w:r w:rsidRPr="00BF0401">
        <w:rPr>
          <w:rFonts w:cs="Arial"/>
          <w:color w:val="000000"/>
          <w:sz w:val="22"/>
          <w:szCs w:val="22"/>
        </w:rPr>
        <w:t>Historic Responsibilities</w:t>
      </w:r>
      <w:r w:rsidR="00AC5F4C">
        <w:rPr>
          <w:rFonts w:cs="Arial"/>
          <w:color w:val="000000"/>
          <w:sz w:val="22"/>
          <w:szCs w:val="22"/>
        </w:rPr>
        <w:t xml:space="preserve"> </w:t>
      </w:r>
      <w:r w:rsidR="009E19B6" w:rsidRPr="00BF0401">
        <w:rPr>
          <w:rFonts w:cs="Arial"/>
          <w:color w:val="000000"/>
          <w:sz w:val="22"/>
          <w:szCs w:val="22"/>
        </w:rPr>
        <w:t>allocated on the previous budget less 20%:</w:t>
      </w:r>
    </w:p>
    <w:p w14:paraId="6CFBCAAE" w14:textId="77777777" w:rsidR="009E19B6" w:rsidRPr="000F2077" w:rsidRDefault="009E19B6" w:rsidP="009E19B6">
      <w:pPr>
        <w:pStyle w:val="ListParagraph"/>
        <w:autoSpaceDE w:val="0"/>
        <w:autoSpaceDN w:val="0"/>
        <w:adjustRightInd w:val="0"/>
        <w:ind w:left="1418"/>
        <w:rPr>
          <w:rFonts w:cs="Arial"/>
          <w:color w:val="000000"/>
          <w:sz w:val="22"/>
          <w:szCs w:val="22"/>
          <w:highlight w:val="yellow"/>
        </w:rPr>
      </w:pPr>
    </w:p>
    <w:tbl>
      <w:tblPr>
        <w:tblStyle w:val="TableGrid1"/>
        <w:tblW w:w="8779" w:type="dxa"/>
        <w:tblLook w:val="04A0" w:firstRow="1" w:lastRow="0" w:firstColumn="1" w:lastColumn="0" w:noHBand="0" w:noVBand="1"/>
      </w:tblPr>
      <w:tblGrid>
        <w:gridCol w:w="3818"/>
        <w:gridCol w:w="1559"/>
        <w:gridCol w:w="3402"/>
      </w:tblGrid>
      <w:tr w:rsidR="00B56373" w:rsidRPr="000F2077" w14:paraId="31964B39" w14:textId="77777777" w:rsidTr="00583F87">
        <w:trPr>
          <w:trHeight w:val="620"/>
        </w:trPr>
        <w:tc>
          <w:tcPr>
            <w:tcW w:w="3818" w:type="dxa"/>
            <w:hideMark/>
          </w:tcPr>
          <w:p w14:paraId="3FEC49FF" w14:textId="41AA8824" w:rsidR="00B56373" w:rsidRPr="00B56373" w:rsidRDefault="00B56373" w:rsidP="009E19B6">
            <w:pPr>
              <w:rPr>
                <w:rFonts w:ascii="Calibri" w:hAnsi="Calibri" w:cs="Calibri"/>
                <w:b/>
                <w:bCs/>
                <w:sz w:val="22"/>
                <w:szCs w:val="22"/>
              </w:rPr>
            </w:pPr>
            <w:r w:rsidRPr="00B56373">
              <w:rPr>
                <w:rFonts w:ascii="Calibri" w:hAnsi="Calibri" w:cs="Calibri"/>
                <w:b/>
                <w:bCs/>
                <w:sz w:val="22"/>
                <w:szCs w:val="22"/>
              </w:rPr>
              <w:t xml:space="preserve">Historic budgets </w:t>
            </w:r>
            <w:r w:rsidRPr="00B56373">
              <w:rPr>
                <w:rFonts w:ascii="Calibri" w:hAnsi="Calibri" w:cs="Calibri"/>
                <w:b/>
                <w:bCs/>
                <w:sz w:val="22"/>
                <w:szCs w:val="22"/>
              </w:rPr>
              <w:br/>
            </w:r>
          </w:p>
        </w:tc>
        <w:tc>
          <w:tcPr>
            <w:tcW w:w="1559" w:type="dxa"/>
            <w:hideMark/>
          </w:tcPr>
          <w:p w14:paraId="1D719FA3" w14:textId="77777777" w:rsidR="00B56373" w:rsidRDefault="00B56373" w:rsidP="0058205C">
            <w:pPr>
              <w:jc w:val="center"/>
              <w:rPr>
                <w:rFonts w:cs="Arial"/>
                <w:sz w:val="22"/>
                <w:szCs w:val="22"/>
              </w:rPr>
            </w:pPr>
            <w:r w:rsidRPr="00B56373">
              <w:rPr>
                <w:rFonts w:cs="Arial"/>
                <w:sz w:val="22"/>
                <w:szCs w:val="22"/>
              </w:rPr>
              <w:t>budget 22-23</w:t>
            </w:r>
          </w:p>
          <w:p w14:paraId="66DF9121" w14:textId="1A3D8313" w:rsidR="00B56373" w:rsidRPr="00B56373" w:rsidRDefault="00B56373" w:rsidP="0058205C">
            <w:pPr>
              <w:jc w:val="center"/>
              <w:rPr>
                <w:rFonts w:cs="Arial"/>
                <w:sz w:val="22"/>
                <w:szCs w:val="22"/>
              </w:rPr>
            </w:pPr>
            <w:r>
              <w:rPr>
                <w:rFonts w:cs="Arial"/>
                <w:sz w:val="22"/>
                <w:szCs w:val="22"/>
              </w:rPr>
              <w:t>£000</w:t>
            </w:r>
          </w:p>
        </w:tc>
        <w:tc>
          <w:tcPr>
            <w:tcW w:w="3402" w:type="dxa"/>
            <w:hideMark/>
          </w:tcPr>
          <w:p w14:paraId="29CF827F" w14:textId="343CD6ED" w:rsidR="00B56373" w:rsidRPr="00B56373" w:rsidRDefault="00B56373" w:rsidP="0058205C">
            <w:pPr>
              <w:jc w:val="center"/>
              <w:rPr>
                <w:rFonts w:cs="Arial"/>
                <w:sz w:val="22"/>
                <w:szCs w:val="22"/>
              </w:rPr>
            </w:pPr>
            <w:r w:rsidRPr="00B56373">
              <w:rPr>
                <w:rFonts w:cs="Arial"/>
                <w:sz w:val="22"/>
                <w:szCs w:val="22"/>
              </w:rPr>
              <w:t>estimate for 2023-23</w:t>
            </w:r>
          </w:p>
        </w:tc>
      </w:tr>
      <w:tr w:rsidR="00B6113D" w:rsidRPr="000F2077" w14:paraId="2A42D791" w14:textId="77777777" w:rsidTr="00583F87">
        <w:trPr>
          <w:trHeight w:val="290"/>
        </w:trPr>
        <w:tc>
          <w:tcPr>
            <w:tcW w:w="3818" w:type="dxa"/>
            <w:noWrap/>
            <w:hideMark/>
          </w:tcPr>
          <w:p w14:paraId="77DFC660" w14:textId="791B531A" w:rsidR="00B6113D" w:rsidRPr="00B56373" w:rsidRDefault="00B6113D" w:rsidP="00AC5F4C">
            <w:pPr>
              <w:rPr>
                <w:rFonts w:ascii="Calibri" w:hAnsi="Calibri" w:cs="Calibri"/>
                <w:color w:val="7030A0"/>
                <w:sz w:val="22"/>
                <w:szCs w:val="22"/>
              </w:rPr>
            </w:pPr>
            <w:r w:rsidRPr="00B56373">
              <w:rPr>
                <w:rFonts w:ascii="Calibri" w:hAnsi="Calibri" w:cs="Calibri"/>
                <w:sz w:val="22"/>
                <w:szCs w:val="22"/>
              </w:rPr>
              <w:t>Recharges Education Social Care</w:t>
            </w:r>
          </w:p>
        </w:tc>
        <w:tc>
          <w:tcPr>
            <w:tcW w:w="1559" w:type="dxa"/>
            <w:noWrap/>
          </w:tcPr>
          <w:p w14:paraId="5ECA3833" w14:textId="00617F19" w:rsidR="00B6113D" w:rsidRPr="00B56373" w:rsidRDefault="00B6113D" w:rsidP="00B56373">
            <w:pPr>
              <w:jc w:val="center"/>
              <w:rPr>
                <w:rFonts w:ascii="Calibri" w:hAnsi="Calibri" w:cs="Calibri"/>
                <w:sz w:val="22"/>
                <w:szCs w:val="22"/>
              </w:rPr>
            </w:pPr>
            <w:r>
              <w:rPr>
                <w:rFonts w:ascii="Calibri" w:hAnsi="Calibri" w:cs="Calibri"/>
                <w:sz w:val="22"/>
                <w:szCs w:val="22"/>
              </w:rPr>
              <w:t>531</w:t>
            </w:r>
            <w:r w:rsidR="00E70A53">
              <w:rPr>
                <w:rFonts w:ascii="Calibri" w:hAnsi="Calibri" w:cs="Calibri"/>
                <w:sz w:val="22"/>
                <w:szCs w:val="22"/>
              </w:rPr>
              <w:t>.1</w:t>
            </w:r>
          </w:p>
        </w:tc>
        <w:tc>
          <w:tcPr>
            <w:tcW w:w="3402" w:type="dxa"/>
            <w:noWrap/>
          </w:tcPr>
          <w:p w14:paraId="0EDAE8F4" w14:textId="76A78688" w:rsidR="00E70A53" w:rsidRPr="00B56373" w:rsidRDefault="00E70A53" w:rsidP="00B6113D">
            <w:pPr>
              <w:rPr>
                <w:rFonts w:ascii="Calibri" w:hAnsi="Calibri" w:cs="Calibri"/>
                <w:sz w:val="22"/>
                <w:szCs w:val="22"/>
              </w:rPr>
            </w:pPr>
          </w:p>
        </w:tc>
      </w:tr>
      <w:tr w:rsidR="00B6113D" w:rsidRPr="000F2077" w14:paraId="35A38620" w14:textId="77777777" w:rsidTr="00583F87">
        <w:trPr>
          <w:trHeight w:val="290"/>
        </w:trPr>
        <w:tc>
          <w:tcPr>
            <w:tcW w:w="3818" w:type="dxa"/>
            <w:noWrap/>
            <w:hideMark/>
          </w:tcPr>
          <w:p w14:paraId="03D0A6D3" w14:textId="1B6312B5" w:rsidR="00B6113D" w:rsidRPr="00B56373" w:rsidRDefault="00B6113D" w:rsidP="00AC5F4C">
            <w:pPr>
              <w:rPr>
                <w:rFonts w:ascii="Calibri" w:hAnsi="Calibri" w:cs="Calibri"/>
                <w:color w:val="000000"/>
                <w:sz w:val="22"/>
                <w:szCs w:val="22"/>
              </w:rPr>
            </w:pPr>
            <w:r w:rsidRPr="00B56373">
              <w:rPr>
                <w:rFonts w:ascii="Calibri" w:hAnsi="Calibri" w:cs="Calibri"/>
                <w:color w:val="000000"/>
                <w:sz w:val="22"/>
                <w:szCs w:val="22"/>
              </w:rPr>
              <w:t xml:space="preserve">Early retirement </w:t>
            </w:r>
            <w:r>
              <w:rPr>
                <w:rFonts w:ascii="Calibri" w:hAnsi="Calibri" w:cs="Calibri"/>
                <w:color w:val="000000"/>
                <w:sz w:val="22"/>
                <w:szCs w:val="22"/>
              </w:rPr>
              <w:t>/redundancy (</w:t>
            </w:r>
            <w:r w:rsidRPr="00B56373">
              <w:rPr>
                <w:rFonts w:ascii="Calibri" w:hAnsi="Calibri" w:cs="Calibri"/>
                <w:color w:val="000000"/>
                <w:sz w:val="22"/>
                <w:szCs w:val="22"/>
              </w:rPr>
              <w:t>schools</w:t>
            </w:r>
            <w:r>
              <w:rPr>
                <w:rFonts w:ascii="Calibri" w:hAnsi="Calibri" w:cs="Calibri"/>
                <w:color w:val="000000"/>
                <w:sz w:val="22"/>
                <w:szCs w:val="22"/>
              </w:rPr>
              <w:t>)</w:t>
            </w:r>
          </w:p>
        </w:tc>
        <w:tc>
          <w:tcPr>
            <w:tcW w:w="1559" w:type="dxa"/>
            <w:noWrap/>
            <w:hideMark/>
          </w:tcPr>
          <w:p w14:paraId="769CACB7" w14:textId="6AD2E62B" w:rsidR="00B6113D" w:rsidRPr="00B56373" w:rsidRDefault="00B6113D" w:rsidP="00B56373">
            <w:pPr>
              <w:jc w:val="center"/>
              <w:rPr>
                <w:rFonts w:ascii="Calibri" w:hAnsi="Calibri" w:cs="Calibri"/>
                <w:sz w:val="22"/>
                <w:szCs w:val="22"/>
              </w:rPr>
            </w:pPr>
            <w:r>
              <w:rPr>
                <w:rFonts w:ascii="Calibri" w:hAnsi="Calibri" w:cs="Calibri"/>
                <w:sz w:val="22"/>
                <w:szCs w:val="22"/>
              </w:rPr>
              <w:t>53</w:t>
            </w:r>
            <w:r w:rsidR="00E70A53">
              <w:rPr>
                <w:rFonts w:ascii="Calibri" w:hAnsi="Calibri" w:cs="Calibri"/>
                <w:sz w:val="22"/>
                <w:szCs w:val="22"/>
              </w:rPr>
              <w:t>0.8</w:t>
            </w:r>
          </w:p>
        </w:tc>
        <w:tc>
          <w:tcPr>
            <w:tcW w:w="3402" w:type="dxa"/>
            <w:noWrap/>
          </w:tcPr>
          <w:p w14:paraId="739ACDEE" w14:textId="16F84E7D" w:rsidR="00B6113D" w:rsidRPr="00B56373" w:rsidRDefault="00E70A53" w:rsidP="00E70A53">
            <w:pPr>
              <w:rPr>
                <w:rFonts w:ascii="Calibri" w:hAnsi="Calibri" w:cs="Calibri"/>
                <w:sz w:val="22"/>
                <w:szCs w:val="22"/>
              </w:rPr>
            </w:pPr>
            <w:r>
              <w:rPr>
                <w:rFonts w:ascii="Calibri" w:hAnsi="Calibri" w:cs="Calibri"/>
                <w:sz w:val="22"/>
                <w:szCs w:val="22"/>
              </w:rPr>
              <w:t>High risk, outturn 21-22 £1.02m</w:t>
            </w:r>
          </w:p>
        </w:tc>
      </w:tr>
      <w:tr w:rsidR="00E70A53" w:rsidRPr="000F2077" w14:paraId="6FC96294" w14:textId="77777777" w:rsidTr="00583F87">
        <w:trPr>
          <w:trHeight w:val="290"/>
        </w:trPr>
        <w:tc>
          <w:tcPr>
            <w:tcW w:w="3818" w:type="dxa"/>
            <w:noWrap/>
          </w:tcPr>
          <w:p w14:paraId="1C1D64B2" w14:textId="1BBB2174" w:rsidR="00E70A53" w:rsidRPr="00B56373" w:rsidRDefault="00E70A53" w:rsidP="00E70A53">
            <w:pPr>
              <w:rPr>
                <w:rFonts w:ascii="Calibri" w:hAnsi="Calibri" w:cs="Calibri"/>
                <w:sz w:val="22"/>
                <w:szCs w:val="22"/>
              </w:rPr>
            </w:pPr>
            <w:r>
              <w:rPr>
                <w:rFonts w:ascii="Calibri" w:hAnsi="Calibri" w:cs="Calibri"/>
                <w:sz w:val="22"/>
                <w:szCs w:val="22"/>
              </w:rPr>
              <w:t>Recharge to Education Psych team</w:t>
            </w:r>
          </w:p>
        </w:tc>
        <w:tc>
          <w:tcPr>
            <w:tcW w:w="1559" w:type="dxa"/>
            <w:noWrap/>
          </w:tcPr>
          <w:p w14:paraId="2EACB8A3" w14:textId="74FF24E5" w:rsidR="00E70A53" w:rsidRDefault="00E70A53" w:rsidP="00E70A53">
            <w:pPr>
              <w:jc w:val="center"/>
              <w:rPr>
                <w:rFonts w:ascii="Calibri" w:hAnsi="Calibri" w:cs="Calibri"/>
                <w:sz w:val="22"/>
                <w:szCs w:val="22"/>
              </w:rPr>
            </w:pPr>
            <w:r>
              <w:rPr>
                <w:rFonts w:ascii="Calibri" w:hAnsi="Calibri" w:cs="Calibri"/>
                <w:sz w:val="22"/>
                <w:szCs w:val="22"/>
              </w:rPr>
              <w:t>188</w:t>
            </w:r>
          </w:p>
        </w:tc>
        <w:tc>
          <w:tcPr>
            <w:tcW w:w="3402" w:type="dxa"/>
            <w:noWrap/>
          </w:tcPr>
          <w:p w14:paraId="333412FE" w14:textId="2916437E" w:rsidR="00E70A53" w:rsidRDefault="00E70A53" w:rsidP="00E70A53">
            <w:pPr>
              <w:rPr>
                <w:rFonts w:ascii="Calibri" w:hAnsi="Calibri" w:cs="Calibri"/>
                <w:sz w:val="22"/>
                <w:szCs w:val="22"/>
              </w:rPr>
            </w:pPr>
            <w:r>
              <w:rPr>
                <w:rFonts w:ascii="Calibri" w:hAnsi="Calibri" w:cs="Calibri"/>
                <w:sz w:val="22"/>
                <w:szCs w:val="22"/>
              </w:rPr>
              <w:t>Remain as 2022-23</w:t>
            </w:r>
          </w:p>
        </w:tc>
      </w:tr>
      <w:tr w:rsidR="000A5CBB" w:rsidRPr="000F2077" w14:paraId="044966AA" w14:textId="77777777" w:rsidTr="00583F87">
        <w:trPr>
          <w:trHeight w:val="290"/>
        </w:trPr>
        <w:tc>
          <w:tcPr>
            <w:tcW w:w="3818" w:type="dxa"/>
            <w:noWrap/>
            <w:hideMark/>
          </w:tcPr>
          <w:p w14:paraId="615D6222" w14:textId="77777777" w:rsidR="000A5CBB" w:rsidRPr="00B56373" w:rsidRDefault="000A5CBB" w:rsidP="000A5CBB">
            <w:pPr>
              <w:rPr>
                <w:rFonts w:ascii="Calibri" w:hAnsi="Calibri" w:cs="Calibri"/>
                <w:sz w:val="22"/>
                <w:szCs w:val="22"/>
              </w:rPr>
            </w:pPr>
            <w:r w:rsidRPr="00B56373">
              <w:rPr>
                <w:rFonts w:ascii="Calibri" w:hAnsi="Calibri" w:cs="Calibri"/>
                <w:sz w:val="22"/>
                <w:szCs w:val="22"/>
              </w:rPr>
              <w:t>Children in Public Care Team</w:t>
            </w:r>
          </w:p>
        </w:tc>
        <w:tc>
          <w:tcPr>
            <w:tcW w:w="1559" w:type="dxa"/>
            <w:noWrap/>
            <w:hideMark/>
          </w:tcPr>
          <w:p w14:paraId="568A945B" w14:textId="3553C95A" w:rsidR="000A5CBB" w:rsidRPr="00B56373" w:rsidRDefault="000A5CBB" w:rsidP="000A5CBB">
            <w:pPr>
              <w:jc w:val="center"/>
              <w:rPr>
                <w:rFonts w:ascii="Calibri" w:hAnsi="Calibri" w:cs="Calibri"/>
                <w:sz w:val="22"/>
                <w:szCs w:val="22"/>
              </w:rPr>
            </w:pPr>
            <w:r>
              <w:rPr>
                <w:rFonts w:ascii="Calibri" w:hAnsi="Calibri" w:cs="Calibri"/>
                <w:sz w:val="22"/>
                <w:szCs w:val="22"/>
              </w:rPr>
              <w:t>251</w:t>
            </w:r>
          </w:p>
        </w:tc>
        <w:tc>
          <w:tcPr>
            <w:tcW w:w="3402" w:type="dxa"/>
            <w:noWrap/>
          </w:tcPr>
          <w:p w14:paraId="1D6A5761" w14:textId="514E3469" w:rsidR="000A5CBB" w:rsidRPr="00B56373" w:rsidRDefault="000A5CBB" w:rsidP="000A5CBB">
            <w:pPr>
              <w:rPr>
                <w:rFonts w:ascii="Calibri" w:hAnsi="Calibri" w:cs="Calibri"/>
                <w:sz w:val="22"/>
                <w:szCs w:val="22"/>
              </w:rPr>
            </w:pPr>
            <w:r w:rsidRPr="007721D8">
              <w:rPr>
                <w:rFonts w:ascii="Calibri" w:hAnsi="Calibri" w:cs="Calibri"/>
                <w:sz w:val="22"/>
                <w:szCs w:val="22"/>
              </w:rPr>
              <w:t>Remain as 2022-23</w:t>
            </w:r>
          </w:p>
        </w:tc>
      </w:tr>
      <w:tr w:rsidR="000A5CBB" w:rsidRPr="000F2077" w14:paraId="0B75D04C" w14:textId="77777777" w:rsidTr="00583F87">
        <w:trPr>
          <w:trHeight w:val="290"/>
        </w:trPr>
        <w:tc>
          <w:tcPr>
            <w:tcW w:w="3818" w:type="dxa"/>
            <w:noWrap/>
            <w:hideMark/>
          </w:tcPr>
          <w:p w14:paraId="486C372B" w14:textId="19443A17" w:rsidR="000A5CBB" w:rsidRPr="00B56373" w:rsidRDefault="000A5CBB" w:rsidP="000A5CBB">
            <w:pPr>
              <w:rPr>
                <w:rFonts w:ascii="Calibri" w:hAnsi="Calibri" w:cs="Calibri"/>
                <w:sz w:val="22"/>
                <w:szCs w:val="22"/>
              </w:rPr>
            </w:pPr>
            <w:r w:rsidRPr="00B56373">
              <w:rPr>
                <w:rFonts w:ascii="Calibri" w:hAnsi="Calibri" w:cs="Calibri"/>
                <w:sz w:val="22"/>
                <w:szCs w:val="22"/>
              </w:rPr>
              <w:t>Clothing grants</w:t>
            </w:r>
          </w:p>
        </w:tc>
        <w:tc>
          <w:tcPr>
            <w:tcW w:w="1559" w:type="dxa"/>
            <w:noWrap/>
            <w:hideMark/>
          </w:tcPr>
          <w:p w14:paraId="7A8D59DD" w14:textId="2C84C743" w:rsidR="000A5CBB" w:rsidRPr="00B56373" w:rsidRDefault="000A5CBB" w:rsidP="000A5CBB">
            <w:pPr>
              <w:jc w:val="center"/>
              <w:rPr>
                <w:rFonts w:ascii="Calibri" w:hAnsi="Calibri" w:cs="Calibri"/>
                <w:sz w:val="22"/>
                <w:szCs w:val="22"/>
              </w:rPr>
            </w:pPr>
            <w:r w:rsidRPr="00B56373">
              <w:rPr>
                <w:rFonts w:ascii="Calibri" w:hAnsi="Calibri" w:cs="Calibri"/>
                <w:sz w:val="22"/>
                <w:szCs w:val="22"/>
              </w:rPr>
              <w:t>201</w:t>
            </w:r>
          </w:p>
        </w:tc>
        <w:tc>
          <w:tcPr>
            <w:tcW w:w="3402" w:type="dxa"/>
            <w:noWrap/>
          </w:tcPr>
          <w:p w14:paraId="1BBD6D0C" w14:textId="403D8A51" w:rsidR="000A5CBB" w:rsidRPr="00B56373" w:rsidRDefault="000A5CBB" w:rsidP="000A5CBB">
            <w:pPr>
              <w:rPr>
                <w:rFonts w:ascii="Calibri" w:hAnsi="Calibri" w:cs="Calibri"/>
                <w:sz w:val="22"/>
                <w:szCs w:val="22"/>
              </w:rPr>
            </w:pPr>
            <w:r w:rsidRPr="007721D8">
              <w:rPr>
                <w:rFonts w:ascii="Calibri" w:hAnsi="Calibri" w:cs="Calibri"/>
                <w:sz w:val="22"/>
                <w:szCs w:val="22"/>
              </w:rPr>
              <w:t>Remain as 2022-23</w:t>
            </w:r>
          </w:p>
        </w:tc>
      </w:tr>
      <w:tr w:rsidR="00E70A53" w:rsidRPr="000F2077" w14:paraId="1EF1585A" w14:textId="77777777" w:rsidTr="00583F87">
        <w:trPr>
          <w:trHeight w:val="290"/>
        </w:trPr>
        <w:tc>
          <w:tcPr>
            <w:tcW w:w="3818" w:type="dxa"/>
            <w:noWrap/>
            <w:hideMark/>
          </w:tcPr>
          <w:p w14:paraId="2EDAD938" w14:textId="03E225FF" w:rsidR="00E70A53" w:rsidRPr="00B56373" w:rsidRDefault="00E70A53" w:rsidP="00E70A53">
            <w:pPr>
              <w:rPr>
                <w:rFonts w:ascii="Calibri" w:hAnsi="Calibri" w:cs="Calibri"/>
                <w:b/>
                <w:bCs/>
                <w:color w:val="000000"/>
                <w:sz w:val="22"/>
                <w:szCs w:val="22"/>
              </w:rPr>
            </w:pPr>
            <w:r w:rsidRPr="00B56373">
              <w:rPr>
                <w:rFonts w:ascii="Calibri" w:hAnsi="Calibri" w:cs="Calibri"/>
                <w:b/>
                <w:bCs/>
                <w:color w:val="000000"/>
                <w:sz w:val="22"/>
                <w:szCs w:val="22"/>
              </w:rPr>
              <w:t xml:space="preserve"> Total Historic </w:t>
            </w:r>
          </w:p>
        </w:tc>
        <w:tc>
          <w:tcPr>
            <w:tcW w:w="1559" w:type="dxa"/>
            <w:noWrap/>
            <w:hideMark/>
          </w:tcPr>
          <w:p w14:paraId="1CCC0925" w14:textId="7C0645FB" w:rsidR="00E70A53" w:rsidRPr="00B56373" w:rsidRDefault="00E70A53" w:rsidP="00E70A53">
            <w:pPr>
              <w:jc w:val="center"/>
              <w:rPr>
                <w:rFonts w:ascii="Calibri" w:hAnsi="Calibri" w:cs="Calibri"/>
                <w:b/>
                <w:bCs/>
                <w:color w:val="000000"/>
                <w:sz w:val="22"/>
                <w:szCs w:val="22"/>
              </w:rPr>
            </w:pPr>
            <w:r>
              <w:rPr>
                <w:rFonts w:ascii="Calibri" w:hAnsi="Calibri" w:cs="Calibri"/>
                <w:b/>
                <w:bCs/>
                <w:color w:val="000000"/>
                <w:sz w:val="22"/>
                <w:szCs w:val="22"/>
              </w:rPr>
              <w:t>1,702</w:t>
            </w:r>
          </w:p>
        </w:tc>
        <w:tc>
          <w:tcPr>
            <w:tcW w:w="3402" w:type="dxa"/>
            <w:noWrap/>
            <w:hideMark/>
          </w:tcPr>
          <w:p w14:paraId="5A879513" w14:textId="307E36D9" w:rsidR="00E70A53" w:rsidRPr="00B56373" w:rsidRDefault="00E70A53" w:rsidP="00E70A53">
            <w:pPr>
              <w:jc w:val="right"/>
              <w:rPr>
                <w:rFonts w:ascii="Calibri" w:hAnsi="Calibri" w:cs="Calibri"/>
                <w:b/>
                <w:bCs/>
                <w:color w:val="000000"/>
                <w:sz w:val="22"/>
                <w:szCs w:val="22"/>
              </w:rPr>
            </w:pPr>
            <w:r w:rsidRPr="00B56373">
              <w:rPr>
                <w:rFonts w:ascii="Calibri" w:hAnsi="Calibri" w:cs="Calibri"/>
                <w:b/>
                <w:bCs/>
                <w:color w:val="000000"/>
                <w:sz w:val="22"/>
                <w:szCs w:val="22"/>
              </w:rPr>
              <w:t>1,</w:t>
            </w:r>
            <w:r>
              <w:rPr>
                <w:rFonts w:ascii="Calibri" w:hAnsi="Calibri" w:cs="Calibri"/>
                <w:b/>
                <w:bCs/>
                <w:color w:val="000000"/>
                <w:sz w:val="22"/>
                <w:szCs w:val="22"/>
              </w:rPr>
              <w:t>366 (-20%)</w:t>
            </w:r>
          </w:p>
        </w:tc>
      </w:tr>
      <w:tr w:rsidR="00E70A53" w:rsidRPr="000F2077" w14:paraId="4DF91629" w14:textId="77777777" w:rsidTr="00583F87">
        <w:trPr>
          <w:trHeight w:val="473"/>
        </w:trPr>
        <w:tc>
          <w:tcPr>
            <w:tcW w:w="3818" w:type="dxa"/>
            <w:noWrap/>
          </w:tcPr>
          <w:p w14:paraId="11F83D16" w14:textId="62B25F4F" w:rsidR="00E70A53" w:rsidRPr="00B56373" w:rsidRDefault="00E70A53" w:rsidP="00E70A53">
            <w:pPr>
              <w:rPr>
                <w:rFonts w:ascii="Calibri" w:hAnsi="Calibri" w:cs="Calibri"/>
                <w:b/>
                <w:bCs/>
                <w:color w:val="000000"/>
                <w:sz w:val="22"/>
                <w:szCs w:val="22"/>
              </w:rPr>
            </w:pPr>
            <w:r w:rsidRPr="00B56373">
              <w:rPr>
                <w:rFonts w:ascii="Calibri" w:hAnsi="Calibri" w:cs="Calibri"/>
                <w:b/>
                <w:bCs/>
                <w:color w:val="000000"/>
                <w:sz w:val="22"/>
                <w:szCs w:val="22"/>
              </w:rPr>
              <w:t>Total CSSB</w:t>
            </w:r>
          </w:p>
        </w:tc>
        <w:tc>
          <w:tcPr>
            <w:tcW w:w="1559" w:type="dxa"/>
            <w:noWrap/>
          </w:tcPr>
          <w:p w14:paraId="7B4C3AF9" w14:textId="696DFCF1" w:rsidR="00E70A53" w:rsidRPr="00B56373" w:rsidRDefault="00E70A53" w:rsidP="00E70A53">
            <w:pPr>
              <w:jc w:val="center"/>
              <w:rPr>
                <w:rFonts w:ascii="Calibri" w:hAnsi="Calibri" w:cs="Calibri"/>
                <w:b/>
                <w:bCs/>
                <w:color w:val="000000"/>
                <w:sz w:val="22"/>
                <w:szCs w:val="22"/>
              </w:rPr>
            </w:pPr>
            <w:r>
              <w:rPr>
                <w:rFonts w:ascii="Calibri" w:hAnsi="Calibri" w:cs="Calibri"/>
                <w:b/>
                <w:bCs/>
                <w:color w:val="000000"/>
                <w:sz w:val="22"/>
                <w:szCs w:val="22"/>
              </w:rPr>
              <w:t>3,511</w:t>
            </w:r>
          </w:p>
        </w:tc>
        <w:tc>
          <w:tcPr>
            <w:tcW w:w="3402" w:type="dxa"/>
            <w:noWrap/>
          </w:tcPr>
          <w:p w14:paraId="367F5553" w14:textId="6BF058E0" w:rsidR="00E70A53" w:rsidRPr="00B56373" w:rsidRDefault="00E70A53" w:rsidP="00E70A53">
            <w:pPr>
              <w:jc w:val="right"/>
              <w:rPr>
                <w:rFonts w:ascii="Calibri" w:hAnsi="Calibri" w:cs="Calibri"/>
                <w:b/>
                <w:bCs/>
                <w:color w:val="000000"/>
                <w:sz w:val="22"/>
                <w:szCs w:val="22"/>
              </w:rPr>
            </w:pPr>
            <w:r>
              <w:rPr>
                <w:rFonts w:ascii="Calibri" w:hAnsi="Calibri" w:cs="Calibri"/>
                <w:b/>
                <w:bCs/>
                <w:color w:val="000000"/>
                <w:sz w:val="22"/>
                <w:szCs w:val="22"/>
              </w:rPr>
              <w:t>3,174 (10%)</w:t>
            </w:r>
          </w:p>
        </w:tc>
      </w:tr>
      <w:tr w:rsidR="00322F9A" w:rsidRPr="000F2077" w14:paraId="03EDD01C" w14:textId="77777777" w:rsidTr="00583F87">
        <w:trPr>
          <w:trHeight w:val="473"/>
        </w:trPr>
        <w:tc>
          <w:tcPr>
            <w:tcW w:w="3818" w:type="dxa"/>
            <w:noWrap/>
          </w:tcPr>
          <w:p w14:paraId="353D8CB8" w14:textId="77777777" w:rsidR="00322F9A" w:rsidRPr="00B56373" w:rsidRDefault="00322F9A" w:rsidP="00E70A53">
            <w:pPr>
              <w:rPr>
                <w:rFonts w:ascii="Calibri" w:hAnsi="Calibri" w:cs="Calibri"/>
                <w:b/>
                <w:bCs/>
                <w:color w:val="000000"/>
                <w:sz w:val="22"/>
                <w:szCs w:val="22"/>
              </w:rPr>
            </w:pPr>
          </w:p>
        </w:tc>
        <w:tc>
          <w:tcPr>
            <w:tcW w:w="1559" w:type="dxa"/>
            <w:noWrap/>
          </w:tcPr>
          <w:p w14:paraId="154C4ADC" w14:textId="77777777" w:rsidR="00322F9A" w:rsidRDefault="00322F9A" w:rsidP="00E70A53">
            <w:pPr>
              <w:jc w:val="center"/>
              <w:rPr>
                <w:rFonts w:ascii="Calibri" w:hAnsi="Calibri" w:cs="Calibri"/>
                <w:b/>
                <w:bCs/>
                <w:color w:val="000000"/>
                <w:sz w:val="22"/>
                <w:szCs w:val="22"/>
              </w:rPr>
            </w:pPr>
          </w:p>
        </w:tc>
        <w:tc>
          <w:tcPr>
            <w:tcW w:w="3402" w:type="dxa"/>
            <w:noWrap/>
          </w:tcPr>
          <w:p w14:paraId="2AE08F7F" w14:textId="77777777" w:rsidR="00322F9A" w:rsidRDefault="00322F9A" w:rsidP="00E70A53">
            <w:pPr>
              <w:jc w:val="right"/>
              <w:rPr>
                <w:rFonts w:ascii="Calibri" w:hAnsi="Calibri" w:cs="Calibri"/>
                <w:b/>
                <w:bCs/>
                <w:color w:val="000000"/>
                <w:sz w:val="22"/>
                <w:szCs w:val="22"/>
              </w:rPr>
            </w:pPr>
          </w:p>
        </w:tc>
      </w:tr>
    </w:tbl>
    <w:p w14:paraId="63BCF413" w14:textId="77777777" w:rsidR="009E19B6" w:rsidRPr="000F2077" w:rsidRDefault="009E19B6" w:rsidP="009E19B6">
      <w:pPr>
        <w:autoSpaceDE w:val="0"/>
        <w:autoSpaceDN w:val="0"/>
        <w:adjustRightInd w:val="0"/>
        <w:rPr>
          <w:rFonts w:cs="Arial"/>
          <w:color w:val="000000"/>
          <w:sz w:val="22"/>
          <w:szCs w:val="22"/>
          <w:highlight w:val="yellow"/>
        </w:rPr>
      </w:pPr>
    </w:p>
    <w:p w14:paraId="79A7D7EC" w14:textId="2973E0D8" w:rsidR="008F303C" w:rsidRPr="00B6113D" w:rsidRDefault="008F303C" w:rsidP="00C85A66">
      <w:pPr>
        <w:pStyle w:val="ListParagraph"/>
        <w:autoSpaceDE w:val="0"/>
        <w:autoSpaceDN w:val="0"/>
        <w:adjustRightInd w:val="0"/>
        <w:ind w:left="567" w:hanging="567"/>
        <w:rPr>
          <w:rFonts w:cs="Arial"/>
          <w:color w:val="000000"/>
          <w:sz w:val="22"/>
          <w:szCs w:val="22"/>
        </w:rPr>
      </w:pPr>
    </w:p>
    <w:p w14:paraId="1FB4B174" w14:textId="75865C86" w:rsidR="00EB1156" w:rsidRPr="00277246" w:rsidRDefault="00B6113D" w:rsidP="00EB1156">
      <w:pPr>
        <w:pStyle w:val="ListParagraph"/>
        <w:numPr>
          <w:ilvl w:val="2"/>
          <w:numId w:val="16"/>
        </w:numPr>
        <w:autoSpaceDE w:val="0"/>
        <w:autoSpaceDN w:val="0"/>
        <w:adjustRightInd w:val="0"/>
        <w:rPr>
          <w:rFonts w:cs="Arial"/>
          <w:color w:val="000000"/>
        </w:rPr>
      </w:pPr>
      <w:r w:rsidRPr="00277246">
        <w:rPr>
          <w:rFonts w:cs="Arial"/>
          <w:color w:val="000000"/>
        </w:rPr>
        <w:lastRenderedPageBreak/>
        <w:t xml:space="preserve">The early retirement budget is </w:t>
      </w:r>
      <w:r w:rsidR="00EB1156" w:rsidRPr="00277246">
        <w:rPr>
          <w:rFonts w:cs="Arial"/>
          <w:color w:val="000000"/>
        </w:rPr>
        <w:t>extremely</w:t>
      </w:r>
      <w:r w:rsidRPr="00277246">
        <w:rPr>
          <w:rFonts w:cs="Arial"/>
          <w:color w:val="000000"/>
        </w:rPr>
        <w:t xml:space="preserve"> high risk</w:t>
      </w:r>
      <w:r w:rsidR="00EB1156" w:rsidRPr="00277246">
        <w:rPr>
          <w:rFonts w:cs="Arial"/>
          <w:color w:val="000000"/>
        </w:rPr>
        <w:t>, having overspent in 2021-22.  T</w:t>
      </w:r>
      <w:r w:rsidRPr="00277246">
        <w:rPr>
          <w:rFonts w:cs="Arial"/>
          <w:color w:val="000000"/>
        </w:rPr>
        <w:t xml:space="preserve">he authority will not have the ability to accept costs from schools </w:t>
      </w:r>
      <w:r w:rsidR="00EB1156" w:rsidRPr="00277246">
        <w:rPr>
          <w:rFonts w:cs="Arial"/>
          <w:color w:val="000000"/>
        </w:rPr>
        <w:t>unless agreed in advance by the strategic Head of Childrens Finance.  The expectation will be, that aside from closing schools and those in financial difficulty, schools should plan ahead to utilise any surplus to fund avoidance measures that would require this support.  This is in preparation for the Historic element being reduce</w:t>
      </w:r>
      <w:r w:rsidR="0028450A">
        <w:rPr>
          <w:rFonts w:cs="Arial"/>
          <w:color w:val="000000"/>
        </w:rPr>
        <w:t>d</w:t>
      </w:r>
      <w:r w:rsidR="00EB1156" w:rsidRPr="00277246">
        <w:rPr>
          <w:rFonts w:cs="Arial"/>
          <w:color w:val="000000"/>
        </w:rPr>
        <w:t xml:space="preserve"> to 0 in two </w:t>
      </w:r>
      <w:r w:rsidR="00C974E4" w:rsidRPr="00277246">
        <w:rPr>
          <w:rFonts w:cs="Arial"/>
          <w:color w:val="000000"/>
        </w:rPr>
        <w:t>years’ time</w:t>
      </w:r>
      <w:r w:rsidR="007A4A2D" w:rsidRPr="00277246">
        <w:rPr>
          <w:rFonts w:cs="Arial"/>
          <w:color w:val="000000"/>
        </w:rPr>
        <w:t xml:space="preserve"> disallowing local authorities to retain these funds for maintained schools </w:t>
      </w:r>
      <w:r w:rsidR="00EB1156" w:rsidRPr="00277246">
        <w:rPr>
          <w:rFonts w:cs="Arial"/>
          <w:color w:val="000000"/>
        </w:rPr>
        <w:t>match</w:t>
      </w:r>
      <w:r w:rsidR="007A4A2D" w:rsidRPr="00277246">
        <w:rPr>
          <w:rFonts w:cs="Arial"/>
          <w:color w:val="000000"/>
        </w:rPr>
        <w:t>ing</w:t>
      </w:r>
      <w:r w:rsidR="00EB1156" w:rsidRPr="00277246">
        <w:rPr>
          <w:rFonts w:cs="Arial"/>
          <w:color w:val="000000"/>
        </w:rPr>
        <w:t xml:space="preserve"> the expectation in the academy sector.  </w:t>
      </w:r>
    </w:p>
    <w:p w14:paraId="3D113CA8" w14:textId="77777777" w:rsidR="00EB1156" w:rsidRPr="00277246" w:rsidRDefault="00EB1156" w:rsidP="00EB1156">
      <w:pPr>
        <w:pStyle w:val="ListParagraph"/>
        <w:autoSpaceDE w:val="0"/>
        <w:autoSpaceDN w:val="0"/>
        <w:adjustRightInd w:val="0"/>
        <w:ind w:left="567"/>
        <w:rPr>
          <w:rFonts w:cs="Arial"/>
          <w:color w:val="000000"/>
        </w:rPr>
      </w:pPr>
    </w:p>
    <w:p w14:paraId="79386E92" w14:textId="5B1069B8" w:rsidR="008F303C" w:rsidRPr="00277246" w:rsidRDefault="002A0ECF" w:rsidP="00C85A66">
      <w:pPr>
        <w:pStyle w:val="ListParagraph"/>
        <w:numPr>
          <w:ilvl w:val="1"/>
          <w:numId w:val="16"/>
        </w:numPr>
        <w:autoSpaceDE w:val="0"/>
        <w:autoSpaceDN w:val="0"/>
        <w:adjustRightInd w:val="0"/>
        <w:ind w:left="567" w:hanging="567"/>
        <w:rPr>
          <w:rFonts w:cs="Arial"/>
          <w:color w:val="000000"/>
        </w:rPr>
      </w:pPr>
      <w:r w:rsidRPr="00277246">
        <w:rPr>
          <w:rFonts w:cs="Arial"/>
          <w:color w:val="000000"/>
        </w:rPr>
        <w:t>T</w:t>
      </w:r>
      <w:r w:rsidR="008F303C" w:rsidRPr="00277246">
        <w:rPr>
          <w:rFonts w:cs="Arial"/>
          <w:color w:val="000000"/>
        </w:rPr>
        <w:t xml:space="preserve">he LA must review the services provided to schools and academies to ensure that the statutory and regulatory obligations are being met and that other services to schools are appropriately offered through a bought-in service.  </w:t>
      </w:r>
    </w:p>
    <w:p w14:paraId="04F6C3B0" w14:textId="77777777" w:rsidR="008F303C" w:rsidRPr="00277246" w:rsidRDefault="008F303C" w:rsidP="00C85A66">
      <w:pPr>
        <w:pStyle w:val="ListParagraph"/>
        <w:ind w:left="567" w:hanging="567"/>
        <w:rPr>
          <w:rFonts w:cs="Arial"/>
          <w:color w:val="000000"/>
        </w:rPr>
      </w:pPr>
    </w:p>
    <w:p w14:paraId="09BDF91A" w14:textId="079F25A7" w:rsidR="008F303C" w:rsidRPr="00277246" w:rsidRDefault="008F303C" w:rsidP="00C85A66">
      <w:pPr>
        <w:pStyle w:val="ListParagraph"/>
        <w:numPr>
          <w:ilvl w:val="1"/>
          <w:numId w:val="16"/>
        </w:numPr>
        <w:autoSpaceDE w:val="0"/>
        <w:autoSpaceDN w:val="0"/>
        <w:adjustRightInd w:val="0"/>
        <w:ind w:left="567" w:hanging="567"/>
        <w:rPr>
          <w:rFonts w:cs="Arial"/>
          <w:b/>
          <w:bCs/>
          <w:color w:val="000000"/>
        </w:rPr>
      </w:pPr>
      <w:r w:rsidRPr="00277246">
        <w:rPr>
          <w:rFonts w:cs="Arial"/>
          <w:color w:val="000000"/>
        </w:rPr>
        <w:t>The duties included in the CSSB are listed in the Revenue Funding Operational Guide and are appended to this report:</w:t>
      </w:r>
    </w:p>
    <w:p w14:paraId="283A6A02" w14:textId="77777777" w:rsidR="002A0ECF" w:rsidRPr="00277246" w:rsidRDefault="002A0ECF" w:rsidP="002A0ECF">
      <w:pPr>
        <w:pStyle w:val="ListParagraph"/>
        <w:rPr>
          <w:rFonts w:cs="Arial"/>
          <w:b/>
          <w:bCs/>
          <w:color w:val="000000"/>
        </w:rPr>
      </w:pPr>
    </w:p>
    <w:p w14:paraId="580A1CD5" w14:textId="77777777" w:rsidR="008F303C" w:rsidRPr="00277246" w:rsidRDefault="008F303C" w:rsidP="00C85A66">
      <w:pPr>
        <w:pStyle w:val="ListParagraph"/>
        <w:numPr>
          <w:ilvl w:val="2"/>
          <w:numId w:val="16"/>
        </w:numPr>
        <w:autoSpaceDE w:val="0"/>
        <w:autoSpaceDN w:val="0"/>
        <w:adjustRightInd w:val="0"/>
        <w:ind w:left="1276" w:hanging="709"/>
        <w:rPr>
          <w:rFonts w:cs="Arial"/>
          <w:b/>
          <w:bCs/>
          <w:color w:val="000000"/>
        </w:rPr>
      </w:pPr>
      <w:r w:rsidRPr="00277246">
        <w:rPr>
          <w:rFonts w:cs="Arial"/>
          <w:color w:val="000000"/>
        </w:rPr>
        <w:t xml:space="preserve">Responsibilities held by LA’s for </w:t>
      </w:r>
      <w:r w:rsidRPr="00277246">
        <w:rPr>
          <w:rFonts w:cs="Arial"/>
          <w:color w:val="000000"/>
          <w:u w:val="single"/>
        </w:rPr>
        <w:t>all schools</w:t>
      </w:r>
      <w:r w:rsidRPr="00277246">
        <w:rPr>
          <w:rFonts w:cs="Arial"/>
          <w:color w:val="000000"/>
        </w:rPr>
        <w:t xml:space="preserve"> are funded from the CSSB, with the agreement of schools’ forums, are set out in </w:t>
      </w:r>
      <w:r w:rsidRPr="00277246">
        <w:rPr>
          <w:rFonts w:cs="Arial"/>
          <w:b/>
          <w:bCs/>
          <w:color w:val="000000"/>
        </w:rPr>
        <w:t>Appendix 1</w:t>
      </w:r>
    </w:p>
    <w:p w14:paraId="1700EEAC" w14:textId="77777777" w:rsidR="008F303C" w:rsidRPr="00277246" w:rsidRDefault="008F303C" w:rsidP="00C85A66">
      <w:pPr>
        <w:pStyle w:val="ListParagraph"/>
        <w:numPr>
          <w:ilvl w:val="2"/>
          <w:numId w:val="16"/>
        </w:numPr>
        <w:autoSpaceDE w:val="0"/>
        <w:autoSpaceDN w:val="0"/>
        <w:adjustRightInd w:val="0"/>
        <w:ind w:left="1276" w:hanging="709"/>
        <w:rPr>
          <w:rFonts w:cs="Arial"/>
          <w:b/>
          <w:bCs/>
          <w:color w:val="000000"/>
        </w:rPr>
      </w:pPr>
      <w:r w:rsidRPr="00277246">
        <w:rPr>
          <w:rFonts w:cs="Arial"/>
          <w:color w:val="000000"/>
        </w:rPr>
        <w:t xml:space="preserve">Responsibilities held by LA’s for </w:t>
      </w:r>
      <w:r w:rsidRPr="00277246">
        <w:rPr>
          <w:rFonts w:cs="Arial"/>
          <w:color w:val="000000"/>
          <w:u w:val="single"/>
        </w:rPr>
        <w:t>maintained schools only</w:t>
      </w:r>
      <w:r w:rsidRPr="00277246">
        <w:rPr>
          <w:rFonts w:cs="Arial"/>
          <w:color w:val="000000"/>
        </w:rPr>
        <w:t xml:space="preserve"> are funded from maintained schools’ budgets only, with the agreement of the maintained schools’ members of schools’ forum are set out in </w:t>
      </w:r>
      <w:r w:rsidRPr="00277246">
        <w:rPr>
          <w:rFonts w:cs="Arial"/>
          <w:b/>
          <w:bCs/>
          <w:color w:val="000000"/>
        </w:rPr>
        <w:t>Appendix 2</w:t>
      </w:r>
    </w:p>
    <w:p w14:paraId="19D1076A" w14:textId="77777777" w:rsidR="008F303C" w:rsidRPr="00277246" w:rsidRDefault="008F303C" w:rsidP="00C85A66">
      <w:pPr>
        <w:pStyle w:val="ListParagraph"/>
        <w:ind w:left="567" w:hanging="567"/>
        <w:rPr>
          <w:rFonts w:cs="Arial"/>
          <w:color w:val="000000"/>
        </w:rPr>
      </w:pPr>
    </w:p>
    <w:p w14:paraId="1F6623D2" w14:textId="5C7866FE" w:rsidR="00BF37D9" w:rsidRPr="00277246" w:rsidRDefault="00BF37D9" w:rsidP="008E40E1">
      <w:pPr>
        <w:pStyle w:val="ListParagraph"/>
        <w:numPr>
          <w:ilvl w:val="1"/>
          <w:numId w:val="16"/>
        </w:numPr>
        <w:autoSpaceDE w:val="0"/>
        <w:autoSpaceDN w:val="0"/>
        <w:adjustRightInd w:val="0"/>
        <w:ind w:left="567" w:hanging="567"/>
        <w:rPr>
          <w:rFonts w:cs="Arial"/>
        </w:rPr>
      </w:pPr>
      <w:r w:rsidRPr="00277246">
        <w:rPr>
          <w:rFonts w:cs="Arial"/>
          <w:color w:val="000000"/>
        </w:rPr>
        <w:t>The cost of services to maintained schools only are part funded by proposed de-delegation, agreement of which is included in the decisions to be made in the Schools Block paper elsewhere on this agenda.</w:t>
      </w:r>
    </w:p>
    <w:p w14:paraId="385A9FF1" w14:textId="77777777" w:rsidR="00BF37D9" w:rsidRPr="00277246" w:rsidRDefault="00BF37D9" w:rsidP="00BF37D9">
      <w:pPr>
        <w:pStyle w:val="ListParagraph"/>
        <w:autoSpaceDE w:val="0"/>
        <w:autoSpaceDN w:val="0"/>
        <w:adjustRightInd w:val="0"/>
        <w:ind w:left="567"/>
        <w:rPr>
          <w:rFonts w:cs="Arial"/>
        </w:rPr>
      </w:pPr>
    </w:p>
    <w:p w14:paraId="31A8AD64" w14:textId="7A148E00" w:rsidR="00932832" w:rsidRPr="00277246" w:rsidRDefault="002A0ECF" w:rsidP="008E40E1">
      <w:pPr>
        <w:pStyle w:val="ListParagraph"/>
        <w:numPr>
          <w:ilvl w:val="1"/>
          <w:numId w:val="16"/>
        </w:numPr>
        <w:autoSpaceDE w:val="0"/>
        <w:autoSpaceDN w:val="0"/>
        <w:adjustRightInd w:val="0"/>
        <w:ind w:left="567" w:hanging="567"/>
        <w:rPr>
          <w:rFonts w:cs="Arial"/>
        </w:rPr>
        <w:sectPr w:rsidR="00932832" w:rsidRPr="00277246" w:rsidSect="001B481B">
          <w:headerReference w:type="default" r:id="rId11"/>
          <w:footerReference w:type="default" r:id="rId12"/>
          <w:pgSz w:w="11906" w:h="16838" w:code="9"/>
          <w:pgMar w:top="1503" w:right="1418" w:bottom="1440" w:left="1418" w:header="709" w:footer="709" w:gutter="0"/>
          <w:cols w:space="708"/>
          <w:docGrid w:linePitch="360"/>
        </w:sectPr>
      </w:pPr>
      <w:r w:rsidRPr="00277246">
        <w:rPr>
          <w:rFonts w:cs="Arial"/>
          <w:color w:val="000000"/>
        </w:rPr>
        <w:t>It should be noted that the CSSB is allocated to fulfil these statutory responsibilities, and if not agreed the local authority should d</w:t>
      </w:r>
      <w:r w:rsidR="00AA426A" w:rsidRPr="00277246">
        <w:rPr>
          <w:rFonts w:cs="Arial"/>
          <w:color w:val="000000"/>
        </w:rPr>
        <w:t>efer</w:t>
      </w:r>
      <w:r w:rsidRPr="00277246">
        <w:rPr>
          <w:rFonts w:cs="Arial"/>
          <w:color w:val="000000"/>
        </w:rPr>
        <w:t xml:space="preserve"> to the Secretary of State.  The </w:t>
      </w:r>
      <w:r w:rsidR="00BF37D9" w:rsidRPr="00277246">
        <w:rPr>
          <w:rFonts w:cs="Arial"/>
          <w:color w:val="000000"/>
        </w:rPr>
        <w:t xml:space="preserve">budget </w:t>
      </w:r>
      <w:r w:rsidRPr="00277246">
        <w:rPr>
          <w:rFonts w:cs="Arial"/>
          <w:color w:val="000000"/>
        </w:rPr>
        <w:t>allocation does not transfer to another block to schools</w:t>
      </w:r>
      <w:r w:rsidR="00BF37D9" w:rsidRPr="00277246">
        <w:rPr>
          <w:rFonts w:cs="Arial"/>
          <w:color w:val="000000"/>
        </w:rPr>
        <w:t>.</w:t>
      </w:r>
    </w:p>
    <w:p w14:paraId="58808E8F" w14:textId="4BC9D49B" w:rsidR="00A4143B" w:rsidRPr="00C85A66" w:rsidRDefault="00A4143B" w:rsidP="00A4143B">
      <w:pPr>
        <w:rPr>
          <w:rFonts w:cs="Arial"/>
          <w:b/>
          <w:bCs/>
        </w:rPr>
      </w:pPr>
      <w:r w:rsidRPr="00C85A66">
        <w:rPr>
          <w:rFonts w:cs="Arial"/>
          <w:b/>
          <w:bCs/>
        </w:rPr>
        <w:lastRenderedPageBreak/>
        <w:t>Appendix 1</w:t>
      </w:r>
      <w:r w:rsidRPr="00C85A66">
        <w:rPr>
          <w:rFonts w:cs="Arial"/>
          <w:b/>
          <w:bCs/>
        </w:rPr>
        <w:tab/>
        <w:t>Responsibilities Held by Local Authorities for ALL SCHOOLS</w:t>
      </w:r>
    </w:p>
    <w:p w14:paraId="18EE10E2" w14:textId="77777777" w:rsidR="00831D29" w:rsidRPr="00C85A66" w:rsidRDefault="00831D29" w:rsidP="00A4143B">
      <w:pPr>
        <w:rPr>
          <w:rFonts w:cs="Arial"/>
          <w:b/>
          <w:bCs/>
        </w:rPr>
      </w:pPr>
    </w:p>
    <w:tbl>
      <w:tblPr>
        <w:tblStyle w:val="TableGrid"/>
        <w:tblW w:w="12895" w:type="dxa"/>
        <w:tblLook w:val="04A0" w:firstRow="1" w:lastRow="0" w:firstColumn="1" w:lastColumn="0" w:noHBand="0" w:noVBand="1"/>
      </w:tblPr>
      <w:tblGrid>
        <w:gridCol w:w="1683"/>
        <w:gridCol w:w="11212"/>
      </w:tblGrid>
      <w:tr w:rsidR="00A4143B" w:rsidRPr="00C85A66" w14:paraId="337047F7" w14:textId="77777777" w:rsidTr="00583F87">
        <w:tc>
          <w:tcPr>
            <w:tcW w:w="1683" w:type="dxa"/>
            <w:shd w:val="clear" w:color="auto" w:fill="DDD9C3" w:themeFill="background2" w:themeFillShade="E6"/>
          </w:tcPr>
          <w:p w14:paraId="56E9E91A" w14:textId="77777777" w:rsidR="00A4143B" w:rsidRPr="00AA426A" w:rsidRDefault="00A4143B" w:rsidP="005B428C">
            <w:pPr>
              <w:rPr>
                <w:rFonts w:cs="Arial"/>
                <w:b/>
                <w:bCs/>
                <w:sz w:val="22"/>
                <w:szCs w:val="22"/>
              </w:rPr>
            </w:pPr>
            <w:r w:rsidRPr="00AA426A">
              <w:rPr>
                <w:rFonts w:cs="Arial"/>
                <w:b/>
                <w:bCs/>
                <w:sz w:val="22"/>
                <w:szCs w:val="22"/>
              </w:rPr>
              <w:t>Category</w:t>
            </w:r>
          </w:p>
        </w:tc>
        <w:tc>
          <w:tcPr>
            <w:tcW w:w="11212" w:type="dxa"/>
            <w:shd w:val="clear" w:color="auto" w:fill="DDD9C3" w:themeFill="background2" w:themeFillShade="E6"/>
          </w:tcPr>
          <w:p w14:paraId="66A06C86" w14:textId="77777777" w:rsidR="00A4143B" w:rsidRPr="00AA426A" w:rsidRDefault="00A4143B" w:rsidP="005B428C">
            <w:pPr>
              <w:rPr>
                <w:rFonts w:cs="Arial"/>
                <w:b/>
                <w:bCs/>
                <w:sz w:val="22"/>
                <w:szCs w:val="22"/>
              </w:rPr>
            </w:pPr>
            <w:r w:rsidRPr="00AA426A">
              <w:rPr>
                <w:rFonts w:cs="Arial"/>
                <w:b/>
                <w:bCs/>
                <w:sz w:val="22"/>
                <w:szCs w:val="22"/>
              </w:rPr>
              <w:t>Duties funded by CSSB, subject to Schools Forum agreement</w:t>
            </w:r>
          </w:p>
        </w:tc>
      </w:tr>
      <w:tr w:rsidR="00A4143B" w:rsidRPr="00C85A66" w14:paraId="4303AEC7" w14:textId="77777777" w:rsidTr="00583F87">
        <w:tc>
          <w:tcPr>
            <w:tcW w:w="1683" w:type="dxa"/>
          </w:tcPr>
          <w:p w14:paraId="7585AF29" w14:textId="77777777" w:rsidR="00A4143B" w:rsidRPr="00AA426A" w:rsidRDefault="00A4143B" w:rsidP="005B428C">
            <w:pPr>
              <w:rPr>
                <w:rFonts w:cs="Arial"/>
                <w:b/>
                <w:bCs/>
                <w:sz w:val="22"/>
                <w:szCs w:val="22"/>
              </w:rPr>
            </w:pPr>
            <w:r w:rsidRPr="00AA426A">
              <w:rPr>
                <w:rFonts w:cs="Arial"/>
                <w:b/>
                <w:bCs/>
                <w:sz w:val="22"/>
                <w:szCs w:val="22"/>
              </w:rPr>
              <w:t xml:space="preserve">Statutory &amp; </w:t>
            </w:r>
          </w:p>
          <w:p w14:paraId="249DAF55" w14:textId="77777777" w:rsidR="00A4143B" w:rsidRPr="00AA426A" w:rsidRDefault="00A4143B" w:rsidP="005B428C">
            <w:pPr>
              <w:rPr>
                <w:rFonts w:cs="Arial"/>
                <w:b/>
                <w:bCs/>
                <w:sz w:val="22"/>
                <w:szCs w:val="22"/>
              </w:rPr>
            </w:pPr>
            <w:r w:rsidRPr="00AA426A">
              <w:rPr>
                <w:rFonts w:cs="Arial"/>
                <w:b/>
                <w:bCs/>
                <w:sz w:val="22"/>
                <w:szCs w:val="22"/>
              </w:rPr>
              <w:t>Regulatory Duties</w:t>
            </w:r>
          </w:p>
        </w:tc>
        <w:tc>
          <w:tcPr>
            <w:tcW w:w="11212" w:type="dxa"/>
          </w:tcPr>
          <w:p w14:paraId="505C1809" w14:textId="77777777" w:rsidR="00A4143B" w:rsidRPr="00AA426A" w:rsidRDefault="00A4143B" w:rsidP="005B428C">
            <w:pPr>
              <w:rPr>
                <w:rFonts w:cs="Arial"/>
                <w:color w:val="000000"/>
                <w:sz w:val="22"/>
                <w:szCs w:val="22"/>
              </w:rPr>
            </w:pPr>
            <w:r w:rsidRPr="00AA426A">
              <w:rPr>
                <w:rFonts w:cs="Arial"/>
                <w:color w:val="000000"/>
                <w:sz w:val="22"/>
                <w:szCs w:val="22"/>
              </w:rPr>
              <w:t>• Director of children’s services and personal staff for director (Sch 2, 15a)</w:t>
            </w:r>
          </w:p>
          <w:p w14:paraId="7812E809" w14:textId="77777777" w:rsidR="00A4143B" w:rsidRPr="00AA426A" w:rsidRDefault="00A4143B" w:rsidP="005B428C">
            <w:pPr>
              <w:rPr>
                <w:rFonts w:cs="Arial"/>
                <w:color w:val="000000"/>
                <w:sz w:val="22"/>
                <w:szCs w:val="22"/>
              </w:rPr>
            </w:pPr>
            <w:r w:rsidRPr="00AA426A">
              <w:rPr>
                <w:rFonts w:cs="Arial"/>
                <w:color w:val="000000"/>
                <w:sz w:val="22"/>
                <w:szCs w:val="22"/>
              </w:rPr>
              <w:t>• Planning for the education service as a whole (Sch 2, 15b)</w:t>
            </w:r>
          </w:p>
          <w:p w14:paraId="085C8826" w14:textId="77777777" w:rsidR="00A4143B" w:rsidRPr="00AA426A" w:rsidRDefault="00A4143B" w:rsidP="005B428C">
            <w:pPr>
              <w:rPr>
                <w:rFonts w:cs="Arial"/>
                <w:color w:val="000000"/>
                <w:sz w:val="22"/>
                <w:szCs w:val="22"/>
              </w:rPr>
            </w:pPr>
            <w:r w:rsidRPr="00AA426A">
              <w:rPr>
                <w:rFonts w:cs="Arial"/>
                <w:color w:val="000000"/>
                <w:sz w:val="22"/>
                <w:szCs w:val="22"/>
              </w:rPr>
              <w:t>• Revenue budget preparation, preparation of information on income and expenditure relating to education, and external audit relating to education (Sch 2, 22)</w:t>
            </w:r>
          </w:p>
          <w:p w14:paraId="60DFDC6A" w14:textId="77777777" w:rsidR="00A4143B" w:rsidRPr="00AA426A" w:rsidRDefault="00A4143B" w:rsidP="005B428C">
            <w:pPr>
              <w:rPr>
                <w:rFonts w:cs="Arial"/>
                <w:color w:val="000000"/>
                <w:sz w:val="22"/>
                <w:szCs w:val="22"/>
              </w:rPr>
            </w:pPr>
            <w:r w:rsidRPr="00AA426A">
              <w:rPr>
                <w:rFonts w:cs="Arial"/>
                <w:color w:val="000000"/>
                <w:sz w:val="22"/>
                <w:szCs w:val="22"/>
              </w:rPr>
              <w:t>• Authorisation and monitoring of expenditure not met from schools’ budget shares (Sch 2, 15c)</w:t>
            </w:r>
          </w:p>
          <w:p w14:paraId="0717BAB5" w14:textId="77777777" w:rsidR="00A4143B" w:rsidRPr="00AA426A" w:rsidRDefault="00A4143B" w:rsidP="005B428C">
            <w:pPr>
              <w:rPr>
                <w:rFonts w:cs="Arial"/>
                <w:color w:val="000000"/>
                <w:sz w:val="22"/>
                <w:szCs w:val="22"/>
              </w:rPr>
            </w:pPr>
            <w:r w:rsidRPr="00AA426A">
              <w:rPr>
                <w:rFonts w:cs="Arial"/>
                <w:color w:val="000000"/>
                <w:sz w:val="22"/>
                <w:szCs w:val="22"/>
              </w:rPr>
              <w:t>• Formulation and review of local authority schools funding formula (Sch 2, 15d)</w:t>
            </w:r>
          </w:p>
          <w:p w14:paraId="34627052" w14:textId="77777777" w:rsidR="00A4143B" w:rsidRPr="00AA426A" w:rsidRDefault="00A4143B" w:rsidP="005B428C">
            <w:pPr>
              <w:rPr>
                <w:rFonts w:cs="Arial"/>
                <w:color w:val="000000"/>
                <w:sz w:val="22"/>
                <w:szCs w:val="22"/>
              </w:rPr>
            </w:pPr>
            <w:r w:rsidRPr="00AA426A">
              <w:rPr>
                <w:rFonts w:cs="Arial"/>
                <w:color w:val="000000"/>
                <w:sz w:val="22"/>
                <w:szCs w:val="22"/>
              </w:rPr>
              <w:t>• Internal audit and other tasks related to the authority’s chief finance officer’s responsibilities under Section 151 of LGA 1972 except duties specifically related to maintained schools (Sch 2, 15e)</w:t>
            </w:r>
          </w:p>
          <w:p w14:paraId="3F7BC6F7" w14:textId="77777777" w:rsidR="00A4143B" w:rsidRPr="00AA426A" w:rsidRDefault="00A4143B" w:rsidP="005B428C">
            <w:pPr>
              <w:rPr>
                <w:rFonts w:cs="Arial"/>
                <w:color w:val="000000"/>
                <w:sz w:val="22"/>
                <w:szCs w:val="22"/>
              </w:rPr>
            </w:pPr>
            <w:r w:rsidRPr="00AA426A">
              <w:rPr>
                <w:rFonts w:cs="Arial"/>
                <w:color w:val="000000"/>
                <w:sz w:val="22"/>
                <w:szCs w:val="22"/>
              </w:rPr>
              <w:t>• Consultation costs relating to non-staffing issues (Sch 2, 19)</w:t>
            </w:r>
          </w:p>
          <w:p w14:paraId="0A8CCF05" w14:textId="77777777" w:rsidR="00A4143B" w:rsidRPr="00AA426A" w:rsidRDefault="00A4143B" w:rsidP="005B428C">
            <w:pPr>
              <w:rPr>
                <w:rFonts w:cs="Arial"/>
                <w:color w:val="000000"/>
                <w:sz w:val="22"/>
                <w:szCs w:val="22"/>
              </w:rPr>
            </w:pPr>
            <w:r w:rsidRPr="00AA426A">
              <w:rPr>
                <w:rFonts w:cs="Arial"/>
                <w:color w:val="000000"/>
                <w:sz w:val="22"/>
                <w:szCs w:val="22"/>
              </w:rPr>
              <w:t>• Plans involving collaboration with other LA services or public or voluntary bodies (Sch 2, 15f)</w:t>
            </w:r>
          </w:p>
          <w:p w14:paraId="56EEABC3" w14:textId="77777777" w:rsidR="00A4143B" w:rsidRPr="00AA426A" w:rsidRDefault="00A4143B" w:rsidP="005B428C">
            <w:pPr>
              <w:rPr>
                <w:rFonts w:cs="Arial"/>
                <w:color w:val="000000"/>
                <w:sz w:val="22"/>
                <w:szCs w:val="22"/>
              </w:rPr>
            </w:pPr>
            <w:r w:rsidRPr="00AA426A">
              <w:rPr>
                <w:rFonts w:cs="Arial"/>
                <w:color w:val="000000"/>
                <w:sz w:val="22"/>
                <w:szCs w:val="22"/>
              </w:rPr>
              <w:t>• Standing Advisory Committees for Religious Education (SACREs) (Sch 2, 17)</w:t>
            </w:r>
          </w:p>
          <w:p w14:paraId="1D40337B" w14:textId="77777777" w:rsidR="00A4143B" w:rsidRPr="00AA426A" w:rsidRDefault="00A4143B" w:rsidP="005B428C">
            <w:pPr>
              <w:rPr>
                <w:rFonts w:cs="Arial"/>
                <w:color w:val="000000"/>
                <w:sz w:val="22"/>
                <w:szCs w:val="22"/>
              </w:rPr>
            </w:pPr>
            <w:r w:rsidRPr="00AA426A">
              <w:rPr>
                <w:rFonts w:cs="Arial"/>
                <w:color w:val="000000"/>
                <w:sz w:val="22"/>
                <w:szCs w:val="22"/>
              </w:rPr>
              <w:t>• Provision of information to or at the request of the Crown other than relating specifically to maintained schools (Sch 2, 21)</w:t>
            </w:r>
          </w:p>
        </w:tc>
      </w:tr>
      <w:tr w:rsidR="00A4143B" w:rsidRPr="00C85A66" w14:paraId="30D025D1" w14:textId="77777777" w:rsidTr="00583F87">
        <w:tc>
          <w:tcPr>
            <w:tcW w:w="1683" w:type="dxa"/>
          </w:tcPr>
          <w:p w14:paraId="7F54F1DD" w14:textId="77777777" w:rsidR="00A4143B" w:rsidRPr="00AA426A" w:rsidRDefault="00A4143B" w:rsidP="005B428C">
            <w:pPr>
              <w:rPr>
                <w:rFonts w:cs="Arial"/>
                <w:b/>
                <w:bCs/>
                <w:sz w:val="22"/>
                <w:szCs w:val="22"/>
              </w:rPr>
            </w:pPr>
            <w:r w:rsidRPr="00AA426A">
              <w:rPr>
                <w:rFonts w:cs="Arial"/>
                <w:b/>
                <w:bCs/>
                <w:sz w:val="22"/>
                <w:szCs w:val="22"/>
              </w:rPr>
              <w:t>Education Welfare</w:t>
            </w:r>
          </w:p>
        </w:tc>
        <w:tc>
          <w:tcPr>
            <w:tcW w:w="11212" w:type="dxa"/>
          </w:tcPr>
          <w:p w14:paraId="78CFA8DD" w14:textId="77777777" w:rsidR="00A4143B" w:rsidRPr="00AA426A" w:rsidRDefault="00A4143B" w:rsidP="005B428C">
            <w:pPr>
              <w:rPr>
                <w:rFonts w:cs="Arial"/>
                <w:color w:val="000000"/>
                <w:sz w:val="22"/>
                <w:szCs w:val="22"/>
              </w:rPr>
            </w:pPr>
            <w:r w:rsidRPr="00AA426A">
              <w:rPr>
                <w:rFonts w:cs="Arial"/>
                <w:color w:val="000000"/>
                <w:sz w:val="22"/>
                <w:szCs w:val="22"/>
              </w:rPr>
              <w:t>• Functions in relation to the exclusion of pupils from schools, excluding any provision of education to excluded pupils (Sch 2, 20)</w:t>
            </w:r>
          </w:p>
          <w:p w14:paraId="518E109C" w14:textId="77777777" w:rsidR="00A4143B" w:rsidRPr="00AA426A" w:rsidRDefault="00A4143B" w:rsidP="005B428C">
            <w:pPr>
              <w:rPr>
                <w:rFonts w:cs="Arial"/>
                <w:color w:val="000000"/>
                <w:sz w:val="22"/>
                <w:szCs w:val="22"/>
              </w:rPr>
            </w:pPr>
            <w:r w:rsidRPr="00AA426A">
              <w:rPr>
                <w:rFonts w:cs="Arial"/>
                <w:color w:val="000000"/>
                <w:sz w:val="22"/>
                <w:szCs w:val="22"/>
              </w:rPr>
              <w:t>• School attendance (Sch 2, 16)</w:t>
            </w:r>
          </w:p>
          <w:p w14:paraId="522000EB" w14:textId="77777777" w:rsidR="00A4143B" w:rsidRPr="00AA426A" w:rsidRDefault="00A4143B" w:rsidP="005B428C">
            <w:pPr>
              <w:rPr>
                <w:rFonts w:cs="Arial"/>
                <w:sz w:val="22"/>
                <w:szCs w:val="22"/>
              </w:rPr>
            </w:pPr>
            <w:r w:rsidRPr="00AA426A">
              <w:rPr>
                <w:rFonts w:cs="Arial"/>
                <w:color w:val="000000"/>
                <w:sz w:val="22"/>
                <w:szCs w:val="22"/>
              </w:rPr>
              <w:t>• Responsibilities regarding the employment of children (Sch 2, 18)</w:t>
            </w:r>
          </w:p>
        </w:tc>
      </w:tr>
      <w:tr w:rsidR="00A4143B" w:rsidRPr="00C85A66" w14:paraId="21A67042" w14:textId="77777777" w:rsidTr="00583F87">
        <w:tc>
          <w:tcPr>
            <w:tcW w:w="1683" w:type="dxa"/>
          </w:tcPr>
          <w:p w14:paraId="3C4792BA" w14:textId="77777777" w:rsidR="00A4143B" w:rsidRPr="00AA426A" w:rsidRDefault="00A4143B" w:rsidP="005B428C">
            <w:pPr>
              <w:rPr>
                <w:rFonts w:cs="Arial"/>
                <w:b/>
                <w:bCs/>
                <w:sz w:val="22"/>
                <w:szCs w:val="22"/>
              </w:rPr>
            </w:pPr>
            <w:r w:rsidRPr="00AA426A">
              <w:rPr>
                <w:rFonts w:cs="Arial"/>
                <w:b/>
                <w:bCs/>
                <w:sz w:val="22"/>
                <w:szCs w:val="22"/>
              </w:rPr>
              <w:t>Asset Management</w:t>
            </w:r>
          </w:p>
        </w:tc>
        <w:tc>
          <w:tcPr>
            <w:tcW w:w="11212" w:type="dxa"/>
          </w:tcPr>
          <w:p w14:paraId="20D4AE35" w14:textId="77777777" w:rsidR="00A4143B" w:rsidRPr="00AA426A" w:rsidRDefault="00A4143B" w:rsidP="005B428C">
            <w:pPr>
              <w:rPr>
                <w:rFonts w:cs="Arial"/>
                <w:color w:val="000000"/>
                <w:sz w:val="22"/>
                <w:szCs w:val="22"/>
              </w:rPr>
            </w:pPr>
            <w:r w:rsidRPr="00AA426A">
              <w:rPr>
                <w:rFonts w:cs="Arial"/>
                <w:sz w:val="22"/>
                <w:szCs w:val="22"/>
              </w:rPr>
              <w:t xml:space="preserve">• </w:t>
            </w:r>
            <w:r w:rsidRPr="00AA426A">
              <w:rPr>
                <w:rFonts w:cs="Arial"/>
                <w:color w:val="000000"/>
                <w:sz w:val="22"/>
                <w:szCs w:val="22"/>
              </w:rPr>
              <w:t>Management of the LA’s capital programme including preparation and review of an asset management plan, and negotiation and management of private finance transactions (Sch 2, 14a)</w:t>
            </w:r>
          </w:p>
          <w:p w14:paraId="1A2BE96B" w14:textId="77777777" w:rsidR="00A4143B" w:rsidRPr="00AA426A" w:rsidRDefault="00A4143B" w:rsidP="005B428C">
            <w:pPr>
              <w:rPr>
                <w:rFonts w:cs="Arial"/>
                <w:sz w:val="22"/>
                <w:szCs w:val="22"/>
              </w:rPr>
            </w:pPr>
            <w:r w:rsidRPr="00AA426A">
              <w:rPr>
                <w:rFonts w:cs="Arial"/>
                <w:color w:val="000000"/>
                <w:sz w:val="22"/>
                <w:szCs w:val="22"/>
              </w:rPr>
              <w:t>• General landlord duties for all buildings owned by the local authority, including those leased to academies (Sch 2, 14b)</w:t>
            </w:r>
          </w:p>
        </w:tc>
      </w:tr>
      <w:tr w:rsidR="00A4143B" w:rsidRPr="00C85A66" w14:paraId="55D9567A" w14:textId="77777777" w:rsidTr="00583F87">
        <w:tc>
          <w:tcPr>
            <w:tcW w:w="1683" w:type="dxa"/>
          </w:tcPr>
          <w:p w14:paraId="092D6B46" w14:textId="77777777" w:rsidR="00A4143B" w:rsidRPr="00AA426A" w:rsidRDefault="00A4143B" w:rsidP="005B428C">
            <w:pPr>
              <w:rPr>
                <w:rFonts w:cs="Arial"/>
                <w:b/>
                <w:bCs/>
                <w:sz w:val="22"/>
                <w:szCs w:val="22"/>
              </w:rPr>
            </w:pPr>
            <w:r w:rsidRPr="00AA426A">
              <w:rPr>
                <w:rFonts w:cs="Arial"/>
                <w:b/>
                <w:bCs/>
                <w:sz w:val="22"/>
                <w:szCs w:val="22"/>
              </w:rPr>
              <w:t>Other Ongoing Duties</w:t>
            </w:r>
          </w:p>
        </w:tc>
        <w:tc>
          <w:tcPr>
            <w:tcW w:w="11212" w:type="dxa"/>
          </w:tcPr>
          <w:p w14:paraId="2E7900FF" w14:textId="77777777" w:rsidR="00A4143B" w:rsidRPr="00AA426A" w:rsidRDefault="00A4143B" w:rsidP="005B428C">
            <w:pPr>
              <w:rPr>
                <w:rFonts w:cs="Arial"/>
                <w:color w:val="000000"/>
                <w:sz w:val="22"/>
                <w:szCs w:val="22"/>
              </w:rPr>
            </w:pPr>
            <w:r w:rsidRPr="00AA426A">
              <w:rPr>
                <w:rFonts w:cs="Arial"/>
                <w:sz w:val="22"/>
                <w:szCs w:val="22"/>
              </w:rPr>
              <w:t xml:space="preserve">• </w:t>
            </w:r>
            <w:r w:rsidRPr="00AA426A">
              <w:rPr>
                <w:rFonts w:cs="Arial"/>
                <w:color w:val="000000"/>
                <w:sz w:val="22"/>
                <w:szCs w:val="22"/>
              </w:rPr>
              <w:t>Licences negotiated centrally by the Secretary of State for all publicly funded schools (Sch 2, 8); this does not require schools forum approval</w:t>
            </w:r>
          </w:p>
          <w:p w14:paraId="732802B0" w14:textId="77777777" w:rsidR="00A4143B" w:rsidRPr="00AA426A" w:rsidRDefault="00A4143B" w:rsidP="005B428C">
            <w:pPr>
              <w:rPr>
                <w:rFonts w:cs="Arial"/>
                <w:color w:val="000000"/>
                <w:sz w:val="22"/>
                <w:szCs w:val="22"/>
              </w:rPr>
            </w:pPr>
            <w:r w:rsidRPr="00AA426A">
              <w:rPr>
                <w:rFonts w:cs="Arial"/>
                <w:color w:val="000000"/>
                <w:sz w:val="22"/>
                <w:szCs w:val="22"/>
              </w:rPr>
              <w:t>• Admissions (Sch 2, 9)</w:t>
            </w:r>
          </w:p>
          <w:p w14:paraId="60FC01C9" w14:textId="77777777" w:rsidR="00A4143B" w:rsidRPr="00AA426A" w:rsidRDefault="00A4143B" w:rsidP="005B428C">
            <w:pPr>
              <w:rPr>
                <w:rFonts w:cs="Arial"/>
                <w:color w:val="000000"/>
                <w:sz w:val="22"/>
                <w:szCs w:val="22"/>
              </w:rPr>
            </w:pPr>
            <w:r w:rsidRPr="00AA426A">
              <w:rPr>
                <w:rFonts w:cs="Arial"/>
                <w:color w:val="000000"/>
                <w:sz w:val="22"/>
                <w:szCs w:val="22"/>
              </w:rPr>
              <w:t>• Places in independent schools for non-SEN pupils (Sch 2, 10)</w:t>
            </w:r>
          </w:p>
          <w:p w14:paraId="3EDD72EE" w14:textId="77777777" w:rsidR="00A4143B" w:rsidRPr="00AA426A" w:rsidRDefault="00A4143B" w:rsidP="005B428C">
            <w:pPr>
              <w:rPr>
                <w:rFonts w:cs="Arial"/>
                <w:color w:val="000000"/>
                <w:sz w:val="22"/>
                <w:szCs w:val="22"/>
              </w:rPr>
            </w:pPr>
            <w:r w:rsidRPr="00AA426A">
              <w:rPr>
                <w:rFonts w:cs="Arial"/>
                <w:color w:val="000000"/>
                <w:sz w:val="22"/>
                <w:szCs w:val="22"/>
              </w:rPr>
              <w:t>• Remission of boarding fees at maintained schools and academies (Sch 2, 11)</w:t>
            </w:r>
          </w:p>
          <w:p w14:paraId="508EF86A" w14:textId="77777777" w:rsidR="00A4143B" w:rsidRPr="00AA426A" w:rsidRDefault="00A4143B" w:rsidP="005B428C">
            <w:pPr>
              <w:rPr>
                <w:rFonts w:cs="Arial"/>
                <w:color w:val="000000"/>
                <w:sz w:val="22"/>
                <w:szCs w:val="22"/>
              </w:rPr>
            </w:pPr>
            <w:r w:rsidRPr="00AA426A">
              <w:rPr>
                <w:rFonts w:cs="Arial"/>
                <w:color w:val="000000"/>
                <w:sz w:val="22"/>
                <w:szCs w:val="22"/>
              </w:rPr>
              <w:t>• Servicing of schools forums (Sch 2, 12)</w:t>
            </w:r>
          </w:p>
          <w:p w14:paraId="17DCE030" w14:textId="77777777" w:rsidR="00A4143B" w:rsidRPr="00AA426A" w:rsidRDefault="00A4143B" w:rsidP="005B428C">
            <w:pPr>
              <w:rPr>
                <w:rFonts w:cs="Arial"/>
                <w:color w:val="000000"/>
                <w:sz w:val="22"/>
                <w:szCs w:val="22"/>
              </w:rPr>
            </w:pPr>
            <w:r w:rsidRPr="00AA426A">
              <w:rPr>
                <w:rFonts w:cs="Arial"/>
                <w:color w:val="000000"/>
                <w:sz w:val="22"/>
                <w:szCs w:val="22"/>
              </w:rPr>
              <w:t>• Back-pay for equal pay claims (Sch 2, 13)</w:t>
            </w:r>
          </w:p>
          <w:p w14:paraId="0F915793" w14:textId="77777777" w:rsidR="00A4143B" w:rsidRPr="00AA426A" w:rsidRDefault="00A4143B" w:rsidP="005B428C">
            <w:pPr>
              <w:rPr>
                <w:rFonts w:cs="Arial"/>
                <w:sz w:val="22"/>
                <w:szCs w:val="22"/>
              </w:rPr>
            </w:pPr>
            <w:r w:rsidRPr="00AA426A">
              <w:rPr>
                <w:rFonts w:cs="Arial"/>
                <w:color w:val="000000"/>
                <w:sz w:val="22"/>
                <w:szCs w:val="22"/>
              </w:rPr>
              <w:t>• Writing to parents of year 9 pupils about schools with an atypical age of admission, such as UTCs and studio schools, within a reasonable travelling distance (Sch 2, 23)</w:t>
            </w:r>
          </w:p>
        </w:tc>
      </w:tr>
      <w:tr w:rsidR="00A4143B" w:rsidRPr="00C85A66" w14:paraId="665E3C74" w14:textId="77777777" w:rsidTr="00583F87">
        <w:tc>
          <w:tcPr>
            <w:tcW w:w="1683" w:type="dxa"/>
          </w:tcPr>
          <w:p w14:paraId="0DD76961" w14:textId="77777777" w:rsidR="00A4143B" w:rsidRPr="00AA426A" w:rsidRDefault="00A4143B" w:rsidP="005B428C">
            <w:pPr>
              <w:rPr>
                <w:rFonts w:cs="Arial"/>
                <w:b/>
                <w:bCs/>
                <w:sz w:val="22"/>
                <w:szCs w:val="22"/>
              </w:rPr>
            </w:pPr>
            <w:r w:rsidRPr="00AA426A">
              <w:rPr>
                <w:rFonts w:cs="Arial"/>
                <w:b/>
                <w:bCs/>
                <w:sz w:val="22"/>
                <w:szCs w:val="22"/>
              </w:rPr>
              <w:lastRenderedPageBreak/>
              <w:t>Historic Commitments</w:t>
            </w:r>
          </w:p>
        </w:tc>
        <w:tc>
          <w:tcPr>
            <w:tcW w:w="11212" w:type="dxa"/>
          </w:tcPr>
          <w:p w14:paraId="1BF266A9" w14:textId="77777777" w:rsidR="00A4143B" w:rsidRPr="00AA426A" w:rsidRDefault="00A4143B" w:rsidP="005B428C">
            <w:pPr>
              <w:rPr>
                <w:rFonts w:cs="Arial"/>
                <w:color w:val="000000"/>
                <w:sz w:val="22"/>
                <w:szCs w:val="22"/>
              </w:rPr>
            </w:pPr>
            <w:r w:rsidRPr="00AA426A">
              <w:rPr>
                <w:rFonts w:cs="Arial"/>
                <w:sz w:val="22"/>
                <w:szCs w:val="22"/>
              </w:rPr>
              <w:t xml:space="preserve">• </w:t>
            </w:r>
            <w:r w:rsidRPr="00AA426A">
              <w:rPr>
                <w:rFonts w:cs="Arial"/>
                <w:color w:val="000000"/>
                <w:sz w:val="22"/>
                <w:szCs w:val="22"/>
              </w:rPr>
              <w:t>Capital expenditure funded from revenue (Sch 2, 1)</w:t>
            </w:r>
          </w:p>
          <w:p w14:paraId="3D59329E" w14:textId="77777777" w:rsidR="00A4143B" w:rsidRPr="00AA426A" w:rsidRDefault="00A4143B" w:rsidP="005B428C">
            <w:pPr>
              <w:rPr>
                <w:rFonts w:cs="Arial"/>
                <w:color w:val="000000"/>
                <w:sz w:val="22"/>
                <w:szCs w:val="22"/>
              </w:rPr>
            </w:pPr>
            <w:r w:rsidRPr="00AA426A">
              <w:rPr>
                <w:rFonts w:cs="Arial"/>
                <w:color w:val="000000"/>
                <w:sz w:val="22"/>
                <w:szCs w:val="22"/>
              </w:rPr>
              <w:t>• Prudential borrowing costs (Sch 2, 2(a))</w:t>
            </w:r>
          </w:p>
          <w:p w14:paraId="21F7AD58" w14:textId="77777777" w:rsidR="00A4143B" w:rsidRPr="00AA426A" w:rsidRDefault="00A4143B" w:rsidP="005B428C">
            <w:pPr>
              <w:rPr>
                <w:rFonts w:cs="Arial"/>
                <w:color w:val="000000"/>
                <w:sz w:val="22"/>
                <w:szCs w:val="22"/>
              </w:rPr>
            </w:pPr>
            <w:r w:rsidRPr="00AA426A">
              <w:rPr>
                <w:rFonts w:cs="Arial"/>
                <w:color w:val="000000"/>
                <w:sz w:val="22"/>
                <w:szCs w:val="22"/>
              </w:rPr>
              <w:t>• Termination of employment costs (Sch 2, 2(b))</w:t>
            </w:r>
          </w:p>
          <w:p w14:paraId="35C1C98F" w14:textId="77777777" w:rsidR="00A4143B" w:rsidRPr="00AA426A" w:rsidRDefault="00A4143B" w:rsidP="005B428C">
            <w:pPr>
              <w:rPr>
                <w:rFonts w:cs="Arial"/>
                <w:sz w:val="22"/>
                <w:szCs w:val="22"/>
              </w:rPr>
            </w:pPr>
            <w:r w:rsidRPr="00AA426A">
              <w:rPr>
                <w:rFonts w:cs="Arial"/>
                <w:color w:val="000000"/>
                <w:sz w:val="22"/>
                <w:szCs w:val="22"/>
              </w:rPr>
              <w:t>• Contribution to combined budgets (Sch 2, 2(c))</w:t>
            </w:r>
          </w:p>
        </w:tc>
      </w:tr>
    </w:tbl>
    <w:p w14:paraId="1D7BBDCD" w14:textId="514DD31C" w:rsidR="00932832" w:rsidRPr="00C85A66" w:rsidRDefault="00932832">
      <w:pPr>
        <w:rPr>
          <w:rFonts w:cs="Arial"/>
        </w:rPr>
        <w:sectPr w:rsidR="00932832" w:rsidRPr="00C85A66" w:rsidSect="00932832">
          <w:pgSz w:w="16838" w:h="11906" w:orient="landscape" w:code="9"/>
          <w:pgMar w:top="1418" w:right="1503" w:bottom="1418" w:left="1440" w:header="709" w:footer="709" w:gutter="0"/>
          <w:cols w:space="708"/>
          <w:docGrid w:linePitch="360"/>
        </w:sectPr>
      </w:pPr>
    </w:p>
    <w:p w14:paraId="661FD061" w14:textId="47D71041" w:rsidR="0071379A" w:rsidRPr="00C85A66" w:rsidRDefault="0071379A" w:rsidP="0071379A">
      <w:pPr>
        <w:rPr>
          <w:rFonts w:cs="Arial"/>
          <w:b/>
          <w:bCs/>
        </w:rPr>
      </w:pPr>
      <w:r w:rsidRPr="00C85A66">
        <w:rPr>
          <w:rFonts w:cs="Arial"/>
          <w:b/>
          <w:bCs/>
        </w:rPr>
        <w:lastRenderedPageBreak/>
        <w:t>Appendix 2</w:t>
      </w:r>
      <w:r w:rsidRPr="00C85A66">
        <w:rPr>
          <w:rFonts w:cs="Arial"/>
          <w:b/>
          <w:bCs/>
        </w:rPr>
        <w:tab/>
      </w:r>
      <w:bookmarkStart w:id="0" w:name="_Hlk56086604"/>
      <w:r w:rsidRPr="00C85A66">
        <w:rPr>
          <w:rFonts w:cs="Arial"/>
          <w:b/>
          <w:bCs/>
        </w:rPr>
        <w:t xml:space="preserve">Responsibilities Held by Local Authorities for </w:t>
      </w:r>
      <w:bookmarkEnd w:id="0"/>
      <w:r w:rsidRPr="00C85A66">
        <w:rPr>
          <w:rFonts w:cs="Arial"/>
          <w:b/>
          <w:bCs/>
        </w:rPr>
        <w:t>MAINTAINED SCHOOLS ONLY</w:t>
      </w:r>
    </w:p>
    <w:p w14:paraId="20975805" w14:textId="77777777" w:rsidR="0071379A" w:rsidRPr="00C85A66" w:rsidRDefault="0071379A" w:rsidP="0071379A">
      <w:pPr>
        <w:rPr>
          <w:rFonts w:cs="Arial"/>
          <w:b/>
          <w:bCs/>
        </w:rPr>
      </w:pPr>
    </w:p>
    <w:tbl>
      <w:tblPr>
        <w:tblStyle w:val="TableGrid"/>
        <w:tblW w:w="14454" w:type="dxa"/>
        <w:tblLook w:val="04A0" w:firstRow="1" w:lastRow="0" w:firstColumn="1" w:lastColumn="0" w:noHBand="0" w:noVBand="1"/>
      </w:tblPr>
      <w:tblGrid>
        <w:gridCol w:w="1561"/>
        <w:gridCol w:w="12893"/>
      </w:tblGrid>
      <w:tr w:rsidR="0071379A" w:rsidRPr="00AA426A" w14:paraId="00A4304E" w14:textId="77777777" w:rsidTr="00AA426A">
        <w:trPr>
          <w:tblHeader/>
        </w:trPr>
        <w:tc>
          <w:tcPr>
            <w:tcW w:w="1511" w:type="dxa"/>
            <w:shd w:val="clear" w:color="auto" w:fill="DDD9C3" w:themeFill="background2" w:themeFillShade="E6"/>
          </w:tcPr>
          <w:p w14:paraId="6D8A0B5A" w14:textId="77777777" w:rsidR="0071379A" w:rsidRPr="00AA426A" w:rsidRDefault="0071379A" w:rsidP="005B428C">
            <w:pPr>
              <w:rPr>
                <w:rFonts w:cs="Arial"/>
                <w:b/>
                <w:bCs/>
                <w:sz w:val="22"/>
                <w:szCs w:val="22"/>
              </w:rPr>
            </w:pPr>
            <w:r w:rsidRPr="00AA426A">
              <w:rPr>
                <w:rFonts w:cs="Arial"/>
                <w:b/>
                <w:bCs/>
                <w:sz w:val="22"/>
                <w:szCs w:val="22"/>
              </w:rPr>
              <w:t>Category</w:t>
            </w:r>
          </w:p>
        </w:tc>
        <w:tc>
          <w:tcPr>
            <w:tcW w:w="12943" w:type="dxa"/>
            <w:shd w:val="clear" w:color="auto" w:fill="DDD9C3" w:themeFill="background2" w:themeFillShade="E6"/>
          </w:tcPr>
          <w:p w14:paraId="63E26E09" w14:textId="77777777" w:rsidR="0071379A" w:rsidRPr="00AA426A" w:rsidRDefault="0071379A" w:rsidP="005B428C">
            <w:pPr>
              <w:rPr>
                <w:rFonts w:cs="Arial"/>
                <w:b/>
                <w:bCs/>
                <w:sz w:val="22"/>
                <w:szCs w:val="22"/>
              </w:rPr>
            </w:pPr>
            <w:r w:rsidRPr="00AA426A">
              <w:rPr>
                <w:rFonts w:cs="Arial"/>
                <w:b/>
                <w:bCs/>
                <w:sz w:val="22"/>
                <w:szCs w:val="22"/>
              </w:rPr>
              <w:t>Duties funded by maintained schools (MS) budgets only, subject to MS Schools Forum members agreement</w:t>
            </w:r>
          </w:p>
        </w:tc>
      </w:tr>
      <w:tr w:rsidR="0071379A" w:rsidRPr="00AA426A" w14:paraId="21DA003F" w14:textId="77777777" w:rsidTr="005B428C">
        <w:tc>
          <w:tcPr>
            <w:tcW w:w="1511" w:type="dxa"/>
          </w:tcPr>
          <w:p w14:paraId="35DDDC6E" w14:textId="77777777" w:rsidR="0071379A" w:rsidRPr="00AA426A" w:rsidRDefault="0071379A" w:rsidP="005B428C">
            <w:pPr>
              <w:rPr>
                <w:rFonts w:cs="Arial"/>
                <w:b/>
                <w:bCs/>
                <w:sz w:val="22"/>
                <w:szCs w:val="22"/>
              </w:rPr>
            </w:pPr>
            <w:r w:rsidRPr="00AA426A">
              <w:rPr>
                <w:rFonts w:cs="Arial"/>
                <w:b/>
                <w:bCs/>
                <w:sz w:val="22"/>
                <w:szCs w:val="22"/>
              </w:rPr>
              <w:t xml:space="preserve">Statutory &amp; </w:t>
            </w:r>
          </w:p>
          <w:p w14:paraId="1B5E355E" w14:textId="77777777" w:rsidR="0071379A" w:rsidRPr="00AA426A" w:rsidRDefault="0071379A" w:rsidP="005B428C">
            <w:pPr>
              <w:rPr>
                <w:rFonts w:cs="Arial"/>
                <w:b/>
                <w:bCs/>
                <w:sz w:val="22"/>
                <w:szCs w:val="22"/>
              </w:rPr>
            </w:pPr>
            <w:r w:rsidRPr="00AA426A">
              <w:rPr>
                <w:rFonts w:cs="Arial"/>
                <w:b/>
                <w:bCs/>
                <w:sz w:val="22"/>
                <w:szCs w:val="22"/>
              </w:rPr>
              <w:t>Regulatory Duties</w:t>
            </w:r>
          </w:p>
        </w:tc>
        <w:tc>
          <w:tcPr>
            <w:tcW w:w="12943" w:type="dxa"/>
          </w:tcPr>
          <w:p w14:paraId="08320815" w14:textId="77777777" w:rsidR="0071379A" w:rsidRPr="00AA426A" w:rsidRDefault="0071379A" w:rsidP="005B428C">
            <w:pPr>
              <w:rPr>
                <w:rFonts w:cs="Arial"/>
                <w:color w:val="000000"/>
                <w:sz w:val="22"/>
                <w:szCs w:val="22"/>
              </w:rPr>
            </w:pPr>
            <w:r w:rsidRPr="00AA426A">
              <w:rPr>
                <w:rFonts w:cs="Arial"/>
                <w:color w:val="000000"/>
                <w:sz w:val="22"/>
                <w:szCs w:val="22"/>
              </w:rPr>
              <w:t>• Functions of LA related to best value and provision of advice to governing bodies in procuring goods and services (Sch 2, 58)</w:t>
            </w:r>
          </w:p>
          <w:p w14:paraId="026CB233" w14:textId="77777777" w:rsidR="0071379A" w:rsidRPr="00AA426A" w:rsidRDefault="0071379A" w:rsidP="005B428C">
            <w:pPr>
              <w:rPr>
                <w:rFonts w:cs="Arial"/>
                <w:color w:val="000000"/>
                <w:sz w:val="22"/>
                <w:szCs w:val="22"/>
              </w:rPr>
            </w:pPr>
            <w:r w:rsidRPr="00AA426A">
              <w:rPr>
                <w:rFonts w:cs="Arial"/>
                <w:color w:val="000000"/>
                <w:sz w:val="22"/>
                <w:szCs w:val="22"/>
              </w:rPr>
              <w:t>• Budgeting and accounting functions relating to maintained schools (Sch 2, 74)</w:t>
            </w:r>
          </w:p>
          <w:p w14:paraId="1EFCF438" w14:textId="77777777" w:rsidR="0071379A" w:rsidRPr="00AA426A" w:rsidRDefault="0071379A" w:rsidP="005B428C">
            <w:pPr>
              <w:rPr>
                <w:rFonts w:cs="Arial"/>
                <w:color w:val="000000"/>
                <w:sz w:val="22"/>
                <w:szCs w:val="22"/>
              </w:rPr>
            </w:pPr>
            <w:r w:rsidRPr="00AA426A">
              <w:rPr>
                <w:rFonts w:cs="Arial"/>
                <w:color w:val="000000"/>
                <w:sz w:val="22"/>
                <w:szCs w:val="22"/>
              </w:rPr>
              <w:t>• Authorisation and monitoring of expenditure in respect of schools which do not have delegated budgets, and related financial administration (Sch 2, 59)</w:t>
            </w:r>
          </w:p>
          <w:p w14:paraId="6931C9D5" w14:textId="77777777" w:rsidR="0071379A" w:rsidRPr="00AA426A" w:rsidRDefault="0071379A" w:rsidP="005B428C">
            <w:pPr>
              <w:rPr>
                <w:rFonts w:cs="Arial"/>
                <w:color w:val="000000"/>
                <w:sz w:val="22"/>
                <w:szCs w:val="22"/>
              </w:rPr>
            </w:pPr>
            <w:r w:rsidRPr="00AA426A">
              <w:rPr>
                <w:rFonts w:cs="Arial"/>
                <w:color w:val="000000"/>
                <w:sz w:val="22"/>
                <w:szCs w:val="22"/>
              </w:rPr>
              <w:t>• Monitoring of compliance with requirements in relation to the scheme for financing schools and the provision of community facilities by governing bodies (Sch 2, 60)</w:t>
            </w:r>
          </w:p>
          <w:p w14:paraId="3618D7C8" w14:textId="77777777" w:rsidR="0071379A" w:rsidRPr="00AA426A" w:rsidRDefault="0071379A" w:rsidP="005B428C">
            <w:pPr>
              <w:rPr>
                <w:rFonts w:cs="Arial"/>
                <w:color w:val="000000"/>
                <w:sz w:val="22"/>
                <w:szCs w:val="22"/>
              </w:rPr>
            </w:pPr>
            <w:r w:rsidRPr="00AA426A">
              <w:rPr>
                <w:rFonts w:cs="Arial"/>
                <w:color w:val="000000"/>
                <w:sz w:val="22"/>
                <w:szCs w:val="22"/>
              </w:rPr>
              <w:t>• Internal audit and other tasks related to the authority’s chief finance officer’s responsibilities under Section 151 of LGA 1972 for maintained schools (Sch 2, 61)</w:t>
            </w:r>
          </w:p>
          <w:p w14:paraId="721AE09B" w14:textId="77777777" w:rsidR="0071379A" w:rsidRPr="00AA426A" w:rsidRDefault="0071379A" w:rsidP="005B428C">
            <w:pPr>
              <w:rPr>
                <w:rFonts w:cs="Arial"/>
                <w:color w:val="000000"/>
                <w:sz w:val="22"/>
                <w:szCs w:val="22"/>
              </w:rPr>
            </w:pPr>
            <w:r w:rsidRPr="00AA426A">
              <w:rPr>
                <w:rFonts w:cs="Arial"/>
                <w:color w:val="000000"/>
                <w:sz w:val="22"/>
                <w:szCs w:val="22"/>
              </w:rPr>
              <w:t>• Functions made under Section 44 of the 2002 Act (Consistent Financial Reporting) (Sch 2, 62)</w:t>
            </w:r>
          </w:p>
          <w:p w14:paraId="0C27890E" w14:textId="77777777" w:rsidR="0071379A" w:rsidRPr="00AA426A" w:rsidRDefault="0071379A" w:rsidP="005B428C">
            <w:pPr>
              <w:rPr>
                <w:rFonts w:cs="Arial"/>
                <w:color w:val="000000"/>
                <w:sz w:val="22"/>
                <w:szCs w:val="22"/>
              </w:rPr>
            </w:pPr>
            <w:r w:rsidRPr="00AA426A">
              <w:rPr>
                <w:rFonts w:cs="Arial"/>
                <w:color w:val="000000"/>
                <w:sz w:val="22"/>
                <w:szCs w:val="22"/>
              </w:rPr>
              <w:t>• Investigations of employees or potential employees, with or without remuneration to work at or for schools under the direct management of the headteacher or governing body (Sch 2, 63)</w:t>
            </w:r>
          </w:p>
          <w:p w14:paraId="63C1A38B" w14:textId="77777777" w:rsidR="0071379A" w:rsidRPr="00AA426A" w:rsidRDefault="0071379A" w:rsidP="005B428C">
            <w:pPr>
              <w:rPr>
                <w:rFonts w:cs="Arial"/>
                <w:color w:val="000000"/>
                <w:sz w:val="22"/>
                <w:szCs w:val="22"/>
              </w:rPr>
            </w:pPr>
            <w:r w:rsidRPr="00AA426A">
              <w:rPr>
                <w:rFonts w:cs="Arial"/>
                <w:color w:val="000000"/>
                <w:sz w:val="22"/>
                <w:szCs w:val="22"/>
              </w:rPr>
              <w:t>• Functions related to local government pensions and administration of teachers’ pensions in relation to staff working at maintained schools under the direct management of the headteacher or governing body (Sch 2, 64)</w:t>
            </w:r>
          </w:p>
          <w:p w14:paraId="16ABF3F3" w14:textId="77777777" w:rsidR="0071379A" w:rsidRPr="00AA426A" w:rsidRDefault="0071379A" w:rsidP="005B428C">
            <w:pPr>
              <w:rPr>
                <w:rFonts w:cs="Arial"/>
                <w:color w:val="000000"/>
                <w:sz w:val="22"/>
                <w:szCs w:val="22"/>
              </w:rPr>
            </w:pPr>
            <w:r w:rsidRPr="00AA426A">
              <w:rPr>
                <w:rFonts w:cs="Arial"/>
                <w:color w:val="000000"/>
                <w:sz w:val="22"/>
                <w:szCs w:val="22"/>
              </w:rPr>
              <w:t>• Retrospective membership of pension schemes where it would not be appropriate to expect a school to meet the cost (Sch 2, 77)</w:t>
            </w:r>
          </w:p>
          <w:p w14:paraId="5DBA6CB2" w14:textId="77777777" w:rsidR="0071379A" w:rsidRPr="00AA426A" w:rsidRDefault="0071379A" w:rsidP="005B428C">
            <w:pPr>
              <w:rPr>
                <w:rFonts w:cs="Arial"/>
                <w:color w:val="000000"/>
                <w:sz w:val="22"/>
                <w:szCs w:val="22"/>
              </w:rPr>
            </w:pPr>
            <w:r w:rsidRPr="00AA426A">
              <w:rPr>
                <w:rFonts w:cs="Arial"/>
                <w:color w:val="000000"/>
                <w:sz w:val="22"/>
                <w:szCs w:val="22"/>
              </w:rPr>
              <w:t>• HR duties, including: advice to schools on the management of staff, pay alterations, conditions of service and composition or organisation of staff (Sch 2, 65); determination of conditions of service for non-teaching staff (Sch 2, 66); appointment or dismissal of employee functions (Sch 2, 66)</w:t>
            </w:r>
          </w:p>
          <w:p w14:paraId="53E8C413" w14:textId="77777777" w:rsidR="0071379A" w:rsidRPr="00AA426A" w:rsidRDefault="0071379A" w:rsidP="005B428C">
            <w:pPr>
              <w:rPr>
                <w:rFonts w:cs="Arial"/>
                <w:color w:val="000000"/>
                <w:sz w:val="22"/>
                <w:szCs w:val="22"/>
              </w:rPr>
            </w:pPr>
            <w:r w:rsidRPr="00AA426A">
              <w:rPr>
                <w:rFonts w:cs="Arial"/>
                <w:color w:val="000000"/>
                <w:sz w:val="22"/>
                <w:szCs w:val="22"/>
              </w:rPr>
              <w:t>• Consultation costs relating to staffing (Sch 2, 68)</w:t>
            </w:r>
          </w:p>
          <w:p w14:paraId="23B6FDD2" w14:textId="77777777" w:rsidR="0071379A" w:rsidRPr="00AA426A" w:rsidRDefault="0071379A" w:rsidP="005B428C">
            <w:pPr>
              <w:rPr>
                <w:rFonts w:cs="Arial"/>
                <w:color w:val="000000"/>
                <w:sz w:val="22"/>
                <w:szCs w:val="22"/>
              </w:rPr>
            </w:pPr>
            <w:r w:rsidRPr="00AA426A">
              <w:rPr>
                <w:rFonts w:cs="Arial"/>
                <w:color w:val="000000"/>
                <w:sz w:val="22"/>
                <w:szCs w:val="22"/>
              </w:rPr>
              <w:t>• Compliance with duties under Health and Safety at Work Act (Sch 2, 69)</w:t>
            </w:r>
          </w:p>
          <w:p w14:paraId="3E3430DD" w14:textId="77777777" w:rsidR="0071379A" w:rsidRPr="00AA426A" w:rsidRDefault="0071379A" w:rsidP="005B428C">
            <w:pPr>
              <w:rPr>
                <w:rFonts w:cs="Arial"/>
                <w:color w:val="000000"/>
                <w:sz w:val="22"/>
                <w:szCs w:val="22"/>
              </w:rPr>
            </w:pPr>
            <w:r w:rsidRPr="00AA426A">
              <w:rPr>
                <w:rFonts w:cs="Arial"/>
                <w:color w:val="000000"/>
                <w:sz w:val="22"/>
                <w:szCs w:val="22"/>
              </w:rPr>
              <w:t>• Provision of information to or at the request of the Crown relating to schools (Sch 2, 70)</w:t>
            </w:r>
          </w:p>
          <w:p w14:paraId="73436460" w14:textId="77777777" w:rsidR="0071379A" w:rsidRPr="00AA426A" w:rsidRDefault="0071379A" w:rsidP="005B428C">
            <w:pPr>
              <w:rPr>
                <w:rFonts w:cs="Arial"/>
                <w:color w:val="000000"/>
                <w:sz w:val="22"/>
                <w:szCs w:val="22"/>
              </w:rPr>
            </w:pPr>
            <w:r w:rsidRPr="00AA426A">
              <w:rPr>
                <w:rFonts w:cs="Arial"/>
                <w:color w:val="000000"/>
                <w:sz w:val="22"/>
                <w:szCs w:val="22"/>
              </w:rPr>
              <w:t>• School companies (Sch 2, 71)</w:t>
            </w:r>
          </w:p>
          <w:p w14:paraId="7B6EABC3" w14:textId="77777777" w:rsidR="0071379A" w:rsidRPr="00AA426A" w:rsidRDefault="0071379A" w:rsidP="005B428C">
            <w:pPr>
              <w:rPr>
                <w:rFonts w:cs="Arial"/>
                <w:color w:val="000000"/>
                <w:sz w:val="22"/>
                <w:szCs w:val="22"/>
              </w:rPr>
            </w:pPr>
            <w:r w:rsidRPr="00AA426A">
              <w:rPr>
                <w:rFonts w:cs="Arial"/>
                <w:color w:val="000000"/>
                <w:sz w:val="22"/>
                <w:szCs w:val="22"/>
              </w:rPr>
              <w:t>• Functions under the Equality Act 2010 (Sch 2, 72)</w:t>
            </w:r>
          </w:p>
          <w:p w14:paraId="5FC03F77" w14:textId="77777777" w:rsidR="0071379A" w:rsidRPr="00AA426A" w:rsidRDefault="0071379A" w:rsidP="005B428C">
            <w:pPr>
              <w:rPr>
                <w:rFonts w:cs="Arial"/>
                <w:color w:val="000000"/>
                <w:sz w:val="22"/>
                <w:szCs w:val="22"/>
              </w:rPr>
            </w:pPr>
            <w:r w:rsidRPr="00AA426A">
              <w:rPr>
                <w:rFonts w:cs="Arial"/>
                <w:color w:val="000000"/>
                <w:sz w:val="22"/>
                <w:szCs w:val="22"/>
              </w:rPr>
              <w:t>• Establish and maintaining computer systems, including data storage (Sch 2, 73)</w:t>
            </w:r>
          </w:p>
          <w:p w14:paraId="6D4F9A29" w14:textId="77777777" w:rsidR="0071379A" w:rsidRPr="00AA426A" w:rsidRDefault="0071379A" w:rsidP="005B428C">
            <w:pPr>
              <w:rPr>
                <w:rFonts w:cs="Arial"/>
                <w:color w:val="000000"/>
                <w:sz w:val="22"/>
                <w:szCs w:val="22"/>
              </w:rPr>
            </w:pPr>
            <w:r w:rsidRPr="00AA426A">
              <w:rPr>
                <w:rFonts w:cs="Arial"/>
                <w:color w:val="000000"/>
                <w:sz w:val="22"/>
                <w:szCs w:val="22"/>
              </w:rPr>
              <w:t>• Appointment of governors and payment of governor expenses (Sch 2, 74)</w:t>
            </w:r>
          </w:p>
        </w:tc>
      </w:tr>
      <w:tr w:rsidR="0071379A" w:rsidRPr="00AA426A" w14:paraId="05B77D08" w14:textId="77777777" w:rsidTr="005B428C">
        <w:tc>
          <w:tcPr>
            <w:tcW w:w="1511" w:type="dxa"/>
          </w:tcPr>
          <w:p w14:paraId="43483359" w14:textId="77777777" w:rsidR="0071379A" w:rsidRPr="00AA426A" w:rsidRDefault="0071379A" w:rsidP="005B428C">
            <w:pPr>
              <w:rPr>
                <w:rFonts w:cs="Arial"/>
                <w:b/>
                <w:bCs/>
                <w:sz w:val="22"/>
                <w:szCs w:val="22"/>
              </w:rPr>
            </w:pPr>
            <w:r w:rsidRPr="00AA426A">
              <w:rPr>
                <w:rFonts w:cs="Arial"/>
                <w:b/>
                <w:bCs/>
                <w:sz w:val="22"/>
                <w:szCs w:val="22"/>
              </w:rPr>
              <w:t>Education Welfare</w:t>
            </w:r>
          </w:p>
        </w:tc>
        <w:tc>
          <w:tcPr>
            <w:tcW w:w="12943" w:type="dxa"/>
          </w:tcPr>
          <w:p w14:paraId="43E6BB98" w14:textId="77777777" w:rsidR="0071379A" w:rsidRPr="00AA426A" w:rsidRDefault="0071379A" w:rsidP="005B428C">
            <w:pPr>
              <w:rPr>
                <w:rFonts w:cs="Arial"/>
                <w:color w:val="000000"/>
                <w:sz w:val="22"/>
                <w:szCs w:val="22"/>
              </w:rPr>
            </w:pPr>
            <w:r w:rsidRPr="00AA426A">
              <w:rPr>
                <w:rFonts w:cs="Arial"/>
                <w:color w:val="000000"/>
                <w:sz w:val="22"/>
                <w:szCs w:val="22"/>
              </w:rPr>
              <w:t>• Inspection of attendance registers (Sch 2, 80)</w:t>
            </w:r>
          </w:p>
        </w:tc>
      </w:tr>
      <w:tr w:rsidR="0071379A" w:rsidRPr="00AA426A" w14:paraId="005F36FE" w14:textId="77777777" w:rsidTr="005B428C">
        <w:tc>
          <w:tcPr>
            <w:tcW w:w="1511" w:type="dxa"/>
          </w:tcPr>
          <w:p w14:paraId="6B4441F8" w14:textId="77777777" w:rsidR="0071379A" w:rsidRPr="00AA426A" w:rsidRDefault="0071379A" w:rsidP="005B428C">
            <w:pPr>
              <w:rPr>
                <w:rFonts w:cs="Arial"/>
                <w:b/>
                <w:bCs/>
                <w:sz w:val="22"/>
                <w:szCs w:val="22"/>
              </w:rPr>
            </w:pPr>
            <w:r w:rsidRPr="00AA426A">
              <w:rPr>
                <w:rFonts w:cs="Arial"/>
                <w:b/>
                <w:bCs/>
                <w:sz w:val="22"/>
                <w:szCs w:val="22"/>
              </w:rPr>
              <w:t>Asset Management</w:t>
            </w:r>
          </w:p>
        </w:tc>
        <w:tc>
          <w:tcPr>
            <w:tcW w:w="12943" w:type="dxa"/>
          </w:tcPr>
          <w:p w14:paraId="34A3AB6C" w14:textId="77777777" w:rsidR="0071379A" w:rsidRPr="00AA426A" w:rsidRDefault="0071379A" w:rsidP="005B428C">
            <w:pPr>
              <w:rPr>
                <w:rFonts w:cs="Arial"/>
                <w:color w:val="000000"/>
                <w:sz w:val="22"/>
                <w:szCs w:val="22"/>
              </w:rPr>
            </w:pPr>
            <w:r w:rsidRPr="00AA426A">
              <w:rPr>
                <w:rFonts w:cs="Arial"/>
                <w:color w:val="000000"/>
                <w:sz w:val="22"/>
                <w:szCs w:val="22"/>
              </w:rPr>
              <w:t>• General landlord duties for all maintained schools (Sch 2, 78a &amp; b (section 542(2)) Education Act 1996; School Premises Regulations 2012) to ensure that school buildings have:</w:t>
            </w:r>
          </w:p>
          <w:p w14:paraId="05F43078" w14:textId="77777777" w:rsidR="0071379A" w:rsidRPr="00AA426A" w:rsidRDefault="0071379A" w:rsidP="005B428C">
            <w:pPr>
              <w:rPr>
                <w:rFonts w:cs="Arial"/>
                <w:color w:val="000000"/>
                <w:sz w:val="22"/>
                <w:szCs w:val="22"/>
              </w:rPr>
            </w:pPr>
            <w:r w:rsidRPr="00AA426A">
              <w:rPr>
                <w:rFonts w:cs="Arial"/>
                <w:color w:val="000000"/>
                <w:sz w:val="22"/>
                <w:szCs w:val="22"/>
              </w:rPr>
              <w:t>• appropriate facilities for pupils and staff (including medical and accommodation)</w:t>
            </w:r>
          </w:p>
          <w:p w14:paraId="03F42418" w14:textId="77777777" w:rsidR="0071379A" w:rsidRPr="00AA426A" w:rsidRDefault="0071379A" w:rsidP="005B428C">
            <w:pPr>
              <w:rPr>
                <w:rFonts w:cs="Arial"/>
                <w:color w:val="000000"/>
                <w:sz w:val="22"/>
                <w:szCs w:val="22"/>
              </w:rPr>
            </w:pPr>
            <w:r w:rsidRPr="00AA426A">
              <w:rPr>
                <w:rFonts w:cs="Arial"/>
                <w:color w:val="000000"/>
                <w:sz w:val="22"/>
                <w:szCs w:val="22"/>
              </w:rPr>
              <w:t>• the ability to sustain appropriate loads</w:t>
            </w:r>
          </w:p>
          <w:p w14:paraId="48195E8C" w14:textId="77777777" w:rsidR="0071379A" w:rsidRPr="00AA426A" w:rsidRDefault="0071379A" w:rsidP="005B428C">
            <w:pPr>
              <w:rPr>
                <w:rFonts w:cs="Arial"/>
                <w:color w:val="000000"/>
                <w:sz w:val="22"/>
                <w:szCs w:val="22"/>
              </w:rPr>
            </w:pPr>
            <w:r w:rsidRPr="00AA426A">
              <w:rPr>
                <w:rFonts w:cs="Arial"/>
                <w:color w:val="000000"/>
                <w:sz w:val="22"/>
                <w:szCs w:val="22"/>
              </w:rPr>
              <w:t>• reasonable weather resistance</w:t>
            </w:r>
          </w:p>
          <w:p w14:paraId="104CF2AF" w14:textId="77777777" w:rsidR="0071379A" w:rsidRPr="00AA426A" w:rsidRDefault="0071379A" w:rsidP="005B428C">
            <w:pPr>
              <w:rPr>
                <w:rFonts w:cs="Arial"/>
                <w:color w:val="000000"/>
                <w:sz w:val="22"/>
                <w:szCs w:val="22"/>
              </w:rPr>
            </w:pPr>
            <w:r w:rsidRPr="00AA426A">
              <w:rPr>
                <w:rFonts w:cs="Arial"/>
                <w:color w:val="000000"/>
                <w:sz w:val="22"/>
                <w:szCs w:val="22"/>
              </w:rPr>
              <w:lastRenderedPageBreak/>
              <w:t>• safe escape routes</w:t>
            </w:r>
          </w:p>
          <w:p w14:paraId="7306E489" w14:textId="77777777" w:rsidR="0071379A" w:rsidRPr="00AA426A" w:rsidRDefault="0071379A" w:rsidP="005B428C">
            <w:pPr>
              <w:rPr>
                <w:rFonts w:cs="Arial"/>
                <w:color w:val="000000"/>
                <w:sz w:val="22"/>
                <w:szCs w:val="22"/>
              </w:rPr>
            </w:pPr>
            <w:r w:rsidRPr="00AA426A">
              <w:rPr>
                <w:rFonts w:cs="Arial"/>
                <w:color w:val="000000"/>
                <w:sz w:val="22"/>
                <w:szCs w:val="22"/>
              </w:rPr>
              <w:t>• appropriate acoustic levels</w:t>
            </w:r>
          </w:p>
          <w:p w14:paraId="6A7A481D" w14:textId="77777777" w:rsidR="0071379A" w:rsidRPr="00AA426A" w:rsidRDefault="0071379A" w:rsidP="005B428C">
            <w:pPr>
              <w:rPr>
                <w:rFonts w:cs="Arial"/>
                <w:color w:val="000000"/>
                <w:sz w:val="22"/>
                <w:szCs w:val="22"/>
              </w:rPr>
            </w:pPr>
            <w:r w:rsidRPr="00AA426A">
              <w:rPr>
                <w:rFonts w:cs="Arial"/>
                <w:color w:val="000000"/>
                <w:sz w:val="22"/>
                <w:szCs w:val="22"/>
              </w:rPr>
              <w:t>• lighting, heating and ventilation which meets the required standards</w:t>
            </w:r>
          </w:p>
          <w:p w14:paraId="702D738C" w14:textId="77777777" w:rsidR="0071379A" w:rsidRPr="00AA426A" w:rsidRDefault="0071379A" w:rsidP="005B428C">
            <w:pPr>
              <w:rPr>
                <w:rFonts w:cs="Arial"/>
                <w:color w:val="000000"/>
                <w:sz w:val="22"/>
                <w:szCs w:val="22"/>
              </w:rPr>
            </w:pPr>
            <w:r w:rsidRPr="00AA426A">
              <w:rPr>
                <w:rFonts w:cs="Arial"/>
                <w:color w:val="000000"/>
                <w:sz w:val="22"/>
                <w:szCs w:val="22"/>
              </w:rPr>
              <w:t>• adequate water supplies and drainage</w:t>
            </w:r>
          </w:p>
          <w:p w14:paraId="1AB6BB19" w14:textId="77777777" w:rsidR="0071379A" w:rsidRPr="00AA426A" w:rsidRDefault="0071379A" w:rsidP="005B428C">
            <w:pPr>
              <w:rPr>
                <w:rFonts w:cs="Arial"/>
                <w:color w:val="000000"/>
                <w:sz w:val="22"/>
                <w:szCs w:val="22"/>
              </w:rPr>
            </w:pPr>
            <w:r w:rsidRPr="00AA426A">
              <w:rPr>
                <w:rFonts w:cs="Arial"/>
                <w:color w:val="000000"/>
                <w:sz w:val="22"/>
                <w:szCs w:val="22"/>
              </w:rPr>
              <w:t>• playing fields of the appropriate standards</w:t>
            </w:r>
          </w:p>
          <w:p w14:paraId="6F345DA9" w14:textId="77777777" w:rsidR="0071379A" w:rsidRPr="00AA426A" w:rsidRDefault="0071379A" w:rsidP="005B428C">
            <w:pPr>
              <w:rPr>
                <w:rFonts w:cs="Arial"/>
                <w:color w:val="000000"/>
                <w:sz w:val="22"/>
                <w:szCs w:val="22"/>
              </w:rPr>
            </w:pPr>
            <w:r w:rsidRPr="00AA426A">
              <w:rPr>
                <w:rFonts w:cs="Arial"/>
                <w:color w:val="000000"/>
                <w:sz w:val="22"/>
                <w:szCs w:val="22"/>
              </w:rPr>
              <w:t>• General health and safety duty as an employer for employees and others who may be affected (Health and Safety at Work etc. Act 1974)</w:t>
            </w:r>
          </w:p>
          <w:p w14:paraId="46FA0359" w14:textId="77777777" w:rsidR="0071379A" w:rsidRPr="00AA426A" w:rsidRDefault="0071379A" w:rsidP="005B428C">
            <w:pPr>
              <w:rPr>
                <w:rFonts w:cs="Arial"/>
                <w:color w:val="000000"/>
                <w:sz w:val="22"/>
                <w:szCs w:val="22"/>
              </w:rPr>
            </w:pPr>
            <w:r w:rsidRPr="00AA426A">
              <w:rPr>
                <w:rFonts w:cs="Arial"/>
                <w:color w:val="000000"/>
                <w:sz w:val="22"/>
                <w:szCs w:val="22"/>
              </w:rPr>
              <w:t>• Management of the risk from asbestos in community school buildings (Control of Asbestos Regulations 2012)</w:t>
            </w:r>
          </w:p>
        </w:tc>
      </w:tr>
      <w:tr w:rsidR="0071379A" w:rsidRPr="00AA426A" w14:paraId="488AC11C" w14:textId="77777777" w:rsidTr="005B428C">
        <w:tc>
          <w:tcPr>
            <w:tcW w:w="1511" w:type="dxa"/>
          </w:tcPr>
          <w:p w14:paraId="5FCD5097" w14:textId="77777777" w:rsidR="0071379A" w:rsidRPr="00AA426A" w:rsidRDefault="0071379A" w:rsidP="005B428C">
            <w:pPr>
              <w:rPr>
                <w:rFonts w:cs="Arial"/>
                <w:b/>
                <w:bCs/>
                <w:sz w:val="22"/>
                <w:szCs w:val="22"/>
              </w:rPr>
            </w:pPr>
            <w:r w:rsidRPr="00AA426A">
              <w:rPr>
                <w:rFonts w:cs="Arial"/>
                <w:b/>
                <w:bCs/>
                <w:sz w:val="22"/>
                <w:szCs w:val="22"/>
              </w:rPr>
              <w:lastRenderedPageBreak/>
              <w:t>Central Support Services</w:t>
            </w:r>
          </w:p>
        </w:tc>
        <w:tc>
          <w:tcPr>
            <w:tcW w:w="12943" w:type="dxa"/>
          </w:tcPr>
          <w:p w14:paraId="6299920A" w14:textId="77777777" w:rsidR="0071379A" w:rsidRPr="00AA426A" w:rsidRDefault="0071379A" w:rsidP="005B428C">
            <w:pPr>
              <w:rPr>
                <w:rFonts w:cs="Arial"/>
                <w:color w:val="000000"/>
                <w:sz w:val="22"/>
                <w:szCs w:val="22"/>
              </w:rPr>
            </w:pPr>
            <w:r w:rsidRPr="00AA426A">
              <w:rPr>
                <w:rFonts w:cs="Arial"/>
                <w:color w:val="000000"/>
                <w:sz w:val="22"/>
                <w:szCs w:val="22"/>
              </w:rPr>
              <w:t>• Clothing grants (Sch 2, 54)</w:t>
            </w:r>
          </w:p>
          <w:p w14:paraId="3884620D" w14:textId="77777777" w:rsidR="0071379A" w:rsidRPr="00AA426A" w:rsidRDefault="0071379A" w:rsidP="005B428C">
            <w:pPr>
              <w:rPr>
                <w:rFonts w:cs="Arial"/>
                <w:color w:val="000000"/>
                <w:sz w:val="22"/>
                <w:szCs w:val="22"/>
              </w:rPr>
            </w:pPr>
            <w:r w:rsidRPr="00AA426A">
              <w:rPr>
                <w:rFonts w:cs="Arial"/>
                <w:color w:val="000000"/>
                <w:sz w:val="22"/>
                <w:szCs w:val="22"/>
              </w:rPr>
              <w:t>• Provision of tuition in music, or on other music-related activities (Sch 2, 55)</w:t>
            </w:r>
          </w:p>
          <w:p w14:paraId="49B24D16" w14:textId="77777777" w:rsidR="0071379A" w:rsidRPr="00AA426A" w:rsidRDefault="0071379A" w:rsidP="005B428C">
            <w:pPr>
              <w:rPr>
                <w:rFonts w:cs="Arial"/>
                <w:color w:val="000000"/>
                <w:sz w:val="22"/>
                <w:szCs w:val="22"/>
              </w:rPr>
            </w:pPr>
            <w:r w:rsidRPr="00AA426A">
              <w:rPr>
                <w:rFonts w:cs="Arial"/>
                <w:color w:val="000000"/>
                <w:sz w:val="22"/>
                <w:szCs w:val="22"/>
              </w:rPr>
              <w:t>• Visual, creative and performing arts (Sch 2, 56)</w:t>
            </w:r>
          </w:p>
          <w:p w14:paraId="58441FF4" w14:textId="77777777" w:rsidR="0071379A" w:rsidRPr="00AA426A" w:rsidRDefault="0071379A" w:rsidP="005B428C">
            <w:pPr>
              <w:rPr>
                <w:rFonts w:cs="Arial"/>
                <w:color w:val="000000"/>
                <w:sz w:val="22"/>
                <w:szCs w:val="22"/>
              </w:rPr>
            </w:pPr>
            <w:r w:rsidRPr="00AA426A">
              <w:rPr>
                <w:rFonts w:cs="Arial"/>
                <w:color w:val="000000"/>
                <w:sz w:val="22"/>
                <w:szCs w:val="22"/>
              </w:rPr>
              <w:t>• Outdoor education centres (but not centres mainly for the provision of organised games, swimming or athletics) (Sch 2, 57)</w:t>
            </w:r>
          </w:p>
        </w:tc>
      </w:tr>
      <w:tr w:rsidR="0071379A" w:rsidRPr="00AA426A" w14:paraId="38E5CC21" w14:textId="77777777" w:rsidTr="005B428C">
        <w:tc>
          <w:tcPr>
            <w:tcW w:w="1511" w:type="dxa"/>
          </w:tcPr>
          <w:p w14:paraId="0E1F377A" w14:textId="77777777" w:rsidR="0071379A" w:rsidRPr="00AA426A" w:rsidRDefault="0071379A" w:rsidP="005B428C">
            <w:pPr>
              <w:rPr>
                <w:rFonts w:cs="Arial"/>
                <w:b/>
                <w:bCs/>
                <w:sz w:val="22"/>
                <w:szCs w:val="22"/>
              </w:rPr>
            </w:pPr>
            <w:r w:rsidRPr="00AA426A">
              <w:rPr>
                <w:rFonts w:cs="Arial"/>
                <w:b/>
                <w:bCs/>
                <w:sz w:val="22"/>
                <w:szCs w:val="22"/>
              </w:rPr>
              <w:t>Premature retirement &amp; redundancy</w:t>
            </w:r>
          </w:p>
        </w:tc>
        <w:tc>
          <w:tcPr>
            <w:tcW w:w="12943" w:type="dxa"/>
          </w:tcPr>
          <w:p w14:paraId="5E9FF0CD" w14:textId="77777777" w:rsidR="0071379A" w:rsidRPr="00AA426A" w:rsidRDefault="0071379A" w:rsidP="005B428C">
            <w:pPr>
              <w:rPr>
                <w:rFonts w:cs="Arial"/>
                <w:color w:val="000000"/>
                <w:sz w:val="22"/>
                <w:szCs w:val="22"/>
              </w:rPr>
            </w:pPr>
            <w:r w:rsidRPr="00AA426A">
              <w:rPr>
                <w:rFonts w:cs="Arial"/>
                <w:color w:val="000000"/>
                <w:sz w:val="22"/>
                <w:szCs w:val="22"/>
              </w:rPr>
              <w:t>• Dismissal or premature retirement when costs cannot be charged to maintained schools (Sch 2, 79)</w:t>
            </w:r>
          </w:p>
        </w:tc>
      </w:tr>
      <w:tr w:rsidR="0071379A" w:rsidRPr="00AA426A" w14:paraId="0A7591BB" w14:textId="77777777" w:rsidTr="005B428C">
        <w:tc>
          <w:tcPr>
            <w:tcW w:w="1511" w:type="dxa"/>
          </w:tcPr>
          <w:p w14:paraId="62D4D7CA" w14:textId="77777777" w:rsidR="0071379A" w:rsidRPr="00AA426A" w:rsidRDefault="0071379A" w:rsidP="005B428C">
            <w:pPr>
              <w:rPr>
                <w:rFonts w:cs="Arial"/>
                <w:b/>
                <w:bCs/>
                <w:sz w:val="22"/>
                <w:szCs w:val="22"/>
              </w:rPr>
            </w:pPr>
            <w:r w:rsidRPr="00AA426A">
              <w:rPr>
                <w:rFonts w:cs="Arial"/>
                <w:b/>
                <w:bCs/>
                <w:sz w:val="22"/>
                <w:szCs w:val="22"/>
              </w:rPr>
              <w:t>Monitoring national curriculum assessment</w:t>
            </w:r>
          </w:p>
        </w:tc>
        <w:tc>
          <w:tcPr>
            <w:tcW w:w="12943" w:type="dxa"/>
          </w:tcPr>
          <w:p w14:paraId="1A675D5E" w14:textId="77777777" w:rsidR="0071379A" w:rsidRPr="00AA426A" w:rsidRDefault="0071379A" w:rsidP="005B428C">
            <w:pPr>
              <w:rPr>
                <w:rFonts w:cs="Arial"/>
                <w:color w:val="000000"/>
                <w:sz w:val="22"/>
                <w:szCs w:val="22"/>
              </w:rPr>
            </w:pPr>
            <w:r w:rsidRPr="00AA426A">
              <w:rPr>
                <w:rFonts w:cs="Arial"/>
                <w:color w:val="000000"/>
                <w:sz w:val="22"/>
                <w:szCs w:val="22"/>
              </w:rPr>
              <w:t>• Monitoring of National Curriculum assessments (Sch 2, 76)</w:t>
            </w:r>
          </w:p>
        </w:tc>
      </w:tr>
    </w:tbl>
    <w:p w14:paraId="5B645759" w14:textId="77777777" w:rsidR="0071379A" w:rsidRPr="00AA426A" w:rsidRDefault="0071379A" w:rsidP="0071379A">
      <w:pPr>
        <w:rPr>
          <w:rFonts w:cs="Arial"/>
          <w:sz w:val="22"/>
          <w:szCs w:val="22"/>
        </w:rPr>
      </w:pPr>
    </w:p>
    <w:p w14:paraId="3377D5D0" w14:textId="77777777" w:rsidR="0071379A" w:rsidRPr="00AA426A" w:rsidRDefault="0071379A" w:rsidP="0071379A">
      <w:pPr>
        <w:rPr>
          <w:rFonts w:cs="Arial"/>
          <w:i/>
          <w:iCs/>
          <w:sz w:val="22"/>
          <w:szCs w:val="22"/>
        </w:rPr>
      </w:pPr>
      <w:r w:rsidRPr="00AA426A">
        <w:rPr>
          <w:rFonts w:cs="Arial"/>
          <w:b/>
          <w:bCs/>
          <w:i/>
          <w:iCs/>
          <w:sz w:val="22"/>
          <w:szCs w:val="22"/>
        </w:rPr>
        <w:t>NB.</w:t>
      </w:r>
      <w:r w:rsidRPr="00AA426A">
        <w:rPr>
          <w:rFonts w:cs="Arial"/>
          <w:i/>
          <w:iCs/>
          <w:sz w:val="22"/>
          <w:szCs w:val="22"/>
        </w:rPr>
        <w:t xml:space="preserve">  References included to the relevant schedules in the </w:t>
      </w:r>
      <w:r w:rsidRPr="00AA426A">
        <w:rPr>
          <w:rFonts w:cs="Arial"/>
          <w:b/>
          <w:bCs/>
          <w:i/>
          <w:iCs/>
          <w:sz w:val="22"/>
          <w:szCs w:val="22"/>
        </w:rPr>
        <w:t>School and Early Years Finance (England) Regulations 2020</w:t>
      </w:r>
    </w:p>
    <w:p w14:paraId="4B6CA300" w14:textId="676EB752" w:rsidR="00D00FB5" w:rsidRPr="00AA426A" w:rsidRDefault="00D00FB5">
      <w:pPr>
        <w:rPr>
          <w:rFonts w:cs="Arial"/>
          <w:sz w:val="22"/>
          <w:szCs w:val="22"/>
        </w:rPr>
      </w:pPr>
    </w:p>
    <w:p w14:paraId="21B60D65" w14:textId="2E9DE2BE" w:rsidR="008B2D9D" w:rsidRPr="00AA426A" w:rsidRDefault="008B2D9D" w:rsidP="00A5713D">
      <w:pPr>
        <w:rPr>
          <w:rFonts w:cs="Arial"/>
          <w:sz w:val="22"/>
          <w:szCs w:val="22"/>
        </w:rPr>
      </w:pPr>
    </w:p>
    <w:sectPr w:rsidR="008B2D9D" w:rsidRPr="00AA426A" w:rsidSect="00932832">
      <w:pgSz w:w="16838" w:h="11906" w:orient="landscape" w:code="9"/>
      <w:pgMar w:top="1418" w:right="1503"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06462" w14:textId="77777777" w:rsidR="003F5996" w:rsidRDefault="003F5996">
      <w:r>
        <w:separator/>
      </w:r>
    </w:p>
  </w:endnote>
  <w:endnote w:type="continuationSeparator" w:id="0">
    <w:p w14:paraId="3797D6F9" w14:textId="77777777" w:rsidR="003F5996" w:rsidRDefault="003F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578AF" w14:textId="77777777" w:rsidR="00196A2B" w:rsidRDefault="00196A2B">
    <w:pPr>
      <w:pStyle w:val="Footer"/>
      <w:jc w:val="center"/>
      <w:rPr>
        <w:b/>
      </w:rPr>
    </w:pPr>
    <w:r>
      <w:rPr>
        <w:rStyle w:val="PageNumber"/>
        <w:b/>
      </w:rPr>
      <w:fldChar w:fldCharType="begin"/>
    </w:r>
    <w:r>
      <w:rPr>
        <w:rStyle w:val="PageNumber"/>
        <w:b/>
      </w:rPr>
      <w:instrText xml:space="preserve"> PAGE </w:instrText>
    </w:r>
    <w:r>
      <w:rPr>
        <w:rStyle w:val="PageNumber"/>
        <w:b/>
      </w:rPr>
      <w:fldChar w:fldCharType="separate"/>
    </w:r>
    <w:r w:rsidR="007B20BA">
      <w:rPr>
        <w:rStyle w:val="PageNumber"/>
        <w:b/>
        <w:noProof/>
      </w:rPr>
      <w:t>1</w:t>
    </w:r>
    <w:r>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3953" w14:textId="77777777" w:rsidR="003F5996" w:rsidRDefault="003F5996">
      <w:r>
        <w:separator/>
      </w:r>
    </w:p>
  </w:footnote>
  <w:footnote w:type="continuationSeparator" w:id="0">
    <w:p w14:paraId="5B568C6A" w14:textId="77777777" w:rsidR="003F5996" w:rsidRDefault="003F5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DC72F" w14:textId="56D1C682" w:rsidR="00154D08" w:rsidRDefault="00196A2B">
    <w:pPr>
      <w:pStyle w:val="Header"/>
    </w:pPr>
    <w:r w:rsidRPr="00ED7730">
      <w:ptab w:relativeTo="margin" w:alignment="center" w:leader="none"/>
    </w:r>
    <w:r w:rsidR="007B20BA">
      <w:t xml:space="preserve">Schools Forum – </w:t>
    </w:r>
    <w:r w:rsidR="00DF6A3A">
      <w:t>1</w:t>
    </w:r>
    <w:r w:rsidR="00154D08">
      <w:t xml:space="preserve">2 </w:t>
    </w:r>
    <w:r w:rsidR="00982475">
      <w:t>October</w:t>
    </w:r>
    <w:r w:rsidR="00154D08">
      <w:t xml:space="preserve"> 202</w:t>
    </w:r>
    <w:r w:rsidR="00DF6A3A">
      <w:t>2</w:t>
    </w:r>
  </w:p>
  <w:p w14:paraId="060277CB" w14:textId="0EC39026" w:rsidR="00196A2B" w:rsidRDefault="007B20BA">
    <w:pPr>
      <w:pStyle w:val="Header"/>
    </w:pPr>
    <w:r>
      <w:t xml:space="preserve"> </w:t>
    </w:r>
    <w:r w:rsidR="00196A2B">
      <w:t>.</w:t>
    </w:r>
  </w:p>
  <w:p w14:paraId="27BA49BD" w14:textId="77777777" w:rsidR="00196A2B" w:rsidRDefault="00196A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5B4"/>
    <w:multiLevelType w:val="hybridMultilevel"/>
    <w:tmpl w:val="F494905C"/>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1" w15:restartNumberingAfterBreak="0">
    <w:nsid w:val="06EF26E1"/>
    <w:multiLevelType w:val="hybridMultilevel"/>
    <w:tmpl w:val="5F70E98E"/>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8322164"/>
    <w:multiLevelType w:val="hybridMultilevel"/>
    <w:tmpl w:val="28EEA05A"/>
    <w:lvl w:ilvl="0" w:tplc="BE240FA8">
      <w:start w:val="1"/>
      <w:numFmt w:val="decimal"/>
      <w:lvlText w:val="%1."/>
      <w:lvlJc w:val="left"/>
      <w:pPr>
        <w:ind w:left="788" w:hanging="360"/>
      </w:pPr>
      <w:rPr>
        <w:b w:val="0"/>
      </w:rPr>
    </w:lvl>
    <w:lvl w:ilvl="1" w:tplc="282A3826">
      <w:start w:val="1"/>
      <w:numFmt w:val="lowerLetter"/>
      <w:lvlText w:val="%2."/>
      <w:lvlJc w:val="left"/>
      <w:pPr>
        <w:ind w:left="1508" w:hanging="360"/>
      </w:pPr>
      <w:rPr>
        <w:b w:val="0"/>
      </w:r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3" w15:restartNumberingAfterBreak="0">
    <w:nsid w:val="085E36A5"/>
    <w:multiLevelType w:val="multilevel"/>
    <w:tmpl w:val="136A3C1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163B3D"/>
    <w:multiLevelType w:val="multilevel"/>
    <w:tmpl w:val="08090025"/>
    <w:lvl w:ilvl="0">
      <w:start w:val="1"/>
      <w:numFmt w:val="decimal"/>
      <w:lvlText w:val="%1"/>
      <w:lvlJc w:val="left"/>
      <w:pPr>
        <w:ind w:left="432" w:hanging="432"/>
      </w:pPr>
      <w:rPr>
        <w:b/>
        <w:bCs/>
      </w:rPr>
    </w:lvl>
    <w:lvl w:ilvl="1">
      <w:start w:val="1"/>
      <w:numFmt w:val="decimal"/>
      <w:lvlText w:val="%1.%2"/>
      <w:lvlJc w:val="left"/>
      <w:pPr>
        <w:ind w:left="576" w:hanging="576"/>
      </w:pPr>
      <w:rPr>
        <w:b/>
        <w:bCs/>
      </w:rPr>
    </w:lvl>
    <w:lvl w:ilvl="2">
      <w:start w:val="1"/>
      <w:numFmt w:val="decimal"/>
      <w:lvlText w:val="%1.%2.%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BAB4BCC"/>
    <w:multiLevelType w:val="hybridMultilevel"/>
    <w:tmpl w:val="0C14AE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8D3219"/>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0BF2FCC"/>
    <w:multiLevelType w:val="hybridMultilevel"/>
    <w:tmpl w:val="F32EABBA"/>
    <w:lvl w:ilvl="0" w:tplc="A5F0580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214B6FA6"/>
    <w:multiLevelType w:val="hybridMultilevel"/>
    <w:tmpl w:val="1BA03E02"/>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6693229"/>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0E1C25"/>
    <w:multiLevelType w:val="hybridMultilevel"/>
    <w:tmpl w:val="ADB47C2C"/>
    <w:lvl w:ilvl="0" w:tplc="260E64CA">
      <w:start w:val="1"/>
      <w:numFmt w:val="bullet"/>
      <w:lvlText w:val=""/>
      <w:lvlJc w:val="left"/>
      <w:pPr>
        <w:ind w:left="360" w:hanging="360"/>
      </w:pPr>
      <w:rPr>
        <w:rFonts w:ascii="Symbol" w:hAnsi="Symbol" w:hint="default"/>
        <w:color w:val="auto"/>
      </w:rPr>
    </w:lvl>
    <w:lvl w:ilvl="1" w:tplc="1A463746">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617FA8"/>
    <w:multiLevelType w:val="hybridMultilevel"/>
    <w:tmpl w:val="92122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16531D"/>
    <w:multiLevelType w:val="hybridMultilevel"/>
    <w:tmpl w:val="85081AD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4" w15:restartNumberingAfterBreak="0">
    <w:nsid w:val="50562EC7"/>
    <w:multiLevelType w:val="hybridMultilevel"/>
    <w:tmpl w:val="A23E9816"/>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15" w15:restartNumberingAfterBreak="0">
    <w:nsid w:val="582F528A"/>
    <w:multiLevelType w:val="hybridMultilevel"/>
    <w:tmpl w:val="A19098D4"/>
    <w:lvl w:ilvl="0" w:tplc="08090019">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6" w15:restartNumberingAfterBreak="0">
    <w:nsid w:val="5BAF00D1"/>
    <w:multiLevelType w:val="hybridMultilevel"/>
    <w:tmpl w:val="0FB86D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7F658A"/>
    <w:multiLevelType w:val="hybridMultilevel"/>
    <w:tmpl w:val="521EA2A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6F63770C"/>
    <w:multiLevelType w:val="hybridMultilevel"/>
    <w:tmpl w:val="24F634B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73FE37C9"/>
    <w:multiLevelType w:val="multilevel"/>
    <w:tmpl w:val="AD540B7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DAD2CFC"/>
    <w:multiLevelType w:val="multilevel"/>
    <w:tmpl w:val="637CFC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2"/>
  </w:num>
  <w:num w:numId="3">
    <w:abstractNumId w:val="16"/>
  </w:num>
  <w:num w:numId="4">
    <w:abstractNumId w:val="20"/>
  </w:num>
  <w:num w:numId="5">
    <w:abstractNumId w:val="15"/>
  </w:num>
  <w:num w:numId="6">
    <w:abstractNumId w:val="7"/>
  </w:num>
  <w:num w:numId="7">
    <w:abstractNumId w:val="10"/>
  </w:num>
  <w:num w:numId="8">
    <w:abstractNumId w:val="11"/>
  </w:num>
  <w:num w:numId="9">
    <w:abstractNumId w:val="14"/>
  </w:num>
  <w:num w:numId="10">
    <w:abstractNumId w:val="18"/>
  </w:num>
  <w:num w:numId="11">
    <w:abstractNumId w:val="0"/>
  </w:num>
  <w:num w:numId="12">
    <w:abstractNumId w:val="9"/>
  </w:num>
  <w:num w:numId="13">
    <w:abstractNumId w:val="12"/>
  </w:num>
  <w:num w:numId="14">
    <w:abstractNumId w:val="5"/>
  </w:num>
  <w:num w:numId="15">
    <w:abstractNumId w:val="13"/>
  </w:num>
  <w:num w:numId="16">
    <w:abstractNumId w:val="4"/>
  </w:num>
  <w:num w:numId="17">
    <w:abstractNumId w:val="17"/>
  </w:num>
  <w:num w:numId="18">
    <w:abstractNumId w:val="1"/>
  </w:num>
  <w:num w:numId="19">
    <w:abstractNumId w:val="19"/>
  </w:num>
  <w:num w:numId="20">
    <w:abstractNumId w:val="3"/>
  </w:num>
  <w:num w:numId="2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C3"/>
    <w:rsid w:val="00002531"/>
    <w:rsid w:val="000079CF"/>
    <w:rsid w:val="00010134"/>
    <w:rsid w:val="000106AF"/>
    <w:rsid w:val="00011A38"/>
    <w:rsid w:val="0001228D"/>
    <w:rsid w:val="00014128"/>
    <w:rsid w:val="000149FD"/>
    <w:rsid w:val="00025F55"/>
    <w:rsid w:val="00026A03"/>
    <w:rsid w:val="000273CB"/>
    <w:rsid w:val="00030F6F"/>
    <w:rsid w:val="000339DC"/>
    <w:rsid w:val="00036092"/>
    <w:rsid w:val="00037CCC"/>
    <w:rsid w:val="00041E9D"/>
    <w:rsid w:val="00044BF9"/>
    <w:rsid w:val="00046FCB"/>
    <w:rsid w:val="0005284B"/>
    <w:rsid w:val="00053B81"/>
    <w:rsid w:val="000562F4"/>
    <w:rsid w:val="0006017B"/>
    <w:rsid w:val="00060FED"/>
    <w:rsid w:val="0007256E"/>
    <w:rsid w:val="00074483"/>
    <w:rsid w:val="00077299"/>
    <w:rsid w:val="00083BBE"/>
    <w:rsid w:val="00087E04"/>
    <w:rsid w:val="000906A2"/>
    <w:rsid w:val="000A2234"/>
    <w:rsid w:val="000A5CBB"/>
    <w:rsid w:val="000A7872"/>
    <w:rsid w:val="000A78CA"/>
    <w:rsid w:val="000A7A7A"/>
    <w:rsid w:val="000B00E7"/>
    <w:rsid w:val="000C1387"/>
    <w:rsid w:val="000D3037"/>
    <w:rsid w:val="000D5510"/>
    <w:rsid w:val="000D6FF5"/>
    <w:rsid w:val="000D7F04"/>
    <w:rsid w:val="000E153F"/>
    <w:rsid w:val="000E7C2D"/>
    <w:rsid w:val="000F0BCB"/>
    <w:rsid w:val="000F1054"/>
    <w:rsid w:val="000F2077"/>
    <w:rsid w:val="00102CEB"/>
    <w:rsid w:val="00105935"/>
    <w:rsid w:val="00110AE1"/>
    <w:rsid w:val="00112247"/>
    <w:rsid w:val="001228A0"/>
    <w:rsid w:val="00125730"/>
    <w:rsid w:val="00126384"/>
    <w:rsid w:val="00127374"/>
    <w:rsid w:val="00131EEB"/>
    <w:rsid w:val="00132316"/>
    <w:rsid w:val="0013261A"/>
    <w:rsid w:val="00133AC3"/>
    <w:rsid w:val="001445AD"/>
    <w:rsid w:val="00146058"/>
    <w:rsid w:val="00151AD1"/>
    <w:rsid w:val="00152F4B"/>
    <w:rsid w:val="001545CA"/>
    <w:rsid w:val="00154D08"/>
    <w:rsid w:val="001619A7"/>
    <w:rsid w:val="001637DD"/>
    <w:rsid w:val="001638D3"/>
    <w:rsid w:val="00171274"/>
    <w:rsid w:val="00174CDA"/>
    <w:rsid w:val="00177800"/>
    <w:rsid w:val="00184A94"/>
    <w:rsid w:val="00184DD1"/>
    <w:rsid w:val="0019143A"/>
    <w:rsid w:val="00191AE2"/>
    <w:rsid w:val="00196A2B"/>
    <w:rsid w:val="001A2886"/>
    <w:rsid w:val="001A3DE9"/>
    <w:rsid w:val="001A4069"/>
    <w:rsid w:val="001A74CC"/>
    <w:rsid w:val="001B1424"/>
    <w:rsid w:val="001B1591"/>
    <w:rsid w:val="001B259F"/>
    <w:rsid w:val="001B44A2"/>
    <w:rsid w:val="001B481B"/>
    <w:rsid w:val="001C0093"/>
    <w:rsid w:val="001C1360"/>
    <w:rsid w:val="001C1E82"/>
    <w:rsid w:val="001C209A"/>
    <w:rsid w:val="001C6F21"/>
    <w:rsid w:val="001D32A0"/>
    <w:rsid w:val="001D4975"/>
    <w:rsid w:val="001D6BA4"/>
    <w:rsid w:val="001E0569"/>
    <w:rsid w:val="001E4116"/>
    <w:rsid w:val="001E472B"/>
    <w:rsid w:val="001E5678"/>
    <w:rsid w:val="001E70F6"/>
    <w:rsid w:val="001F3436"/>
    <w:rsid w:val="001F66E2"/>
    <w:rsid w:val="00205496"/>
    <w:rsid w:val="00212E55"/>
    <w:rsid w:val="002204C8"/>
    <w:rsid w:val="00221B84"/>
    <w:rsid w:val="002246CA"/>
    <w:rsid w:val="00227A06"/>
    <w:rsid w:val="00231641"/>
    <w:rsid w:val="002374A3"/>
    <w:rsid w:val="00246254"/>
    <w:rsid w:val="002467C4"/>
    <w:rsid w:val="00247157"/>
    <w:rsid w:val="00253B34"/>
    <w:rsid w:val="00256938"/>
    <w:rsid w:val="00257D10"/>
    <w:rsid w:val="0026062F"/>
    <w:rsid w:val="0026098B"/>
    <w:rsid w:val="00263DD7"/>
    <w:rsid w:val="002640E1"/>
    <w:rsid w:val="00264249"/>
    <w:rsid w:val="00266DE2"/>
    <w:rsid w:val="00277246"/>
    <w:rsid w:val="00281FD7"/>
    <w:rsid w:val="0028450A"/>
    <w:rsid w:val="00287DBD"/>
    <w:rsid w:val="0029022D"/>
    <w:rsid w:val="00290DA3"/>
    <w:rsid w:val="00291476"/>
    <w:rsid w:val="0029323C"/>
    <w:rsid w:val="002958F1"/>
    <w:rsid w:val="002A097D"/>
    <w:rsid w:val="002A0ECF"/>
    <w:rsid w:val="002A18E2"/>
    <w:rsid w:val="002A69DC"/>
    <w:rsid w:val="002A734B"/>
    <w:rsid w:val="002B4510"/>
    <w:rsid w:val="002B45E1"/>
    <w:rsid w:val="002B5AFA"/>
    <w:rsid w:val="002C54E5"/>
    <w:rsid w:val="002D76A6"/>
    <w:rsid w:val="002D7D56"/>
    <w:rsid w:val="002E356B"/>
    <w:rsid w:val="002E4201"/>
    <w:rsid w:val="002E44F4"/>
    <w:rsid w:val="002E68FD"/>
    <w:rsid w:val="002F4FB8"/>
    <w:rsid w:val="002F55A8"/>
    <w:rsid w:val="00303E97"/>
    <w:rsid w:val="003044B1"/>
    <w:rsid w:val="0030490E"/>
    <w:rsid w:val="00304E15"/>
    <w:rsid w:val="00314D6B"/>
    <w:rsid w:val="00322E4D"/>
    <w:rsid w:val="00322F9A"/>
    <w:rsid w:val="00326947"/>
    <w:rsid w:val="003322EA"/>
    <w:rsid w:val="00340F9D"/>
    <w:rsid w:val="00351F12"/>
    <w:rsid w:val="003531BB"/>
    <w:rsid w:val="003564B6"/>
    <w:rsid w:val="0036088C"/>
    <w:rsid w:val="00361F94"/>
    <w:rsid w:val="003728FD"/>
    <w:rsid w:val="00376C26"/>
    <w:rsid w:val="0038332C"/>
    <w:rsid w:val="003867AC"/>
    <w:rsid w:val="00391F54"/>
    <w:rsid w:val="003920CB"/>
    <w:rsid w:val="003925D5"/>
    <w:rsid w:val="00397511"/>
    <w:rsid w:val="003B2548"/>
    <w:rsid w:val="003B3B0E"/>
    <w:rsid w:val="003B700C"/>
    <w:rsid w:val="003B7621"/>
    <w:rsid w:val="003B7A09"/>
    <w:rsid w:val="003C0D3A"/>
    <w:rsid w:val="003C130C"/>
    <w:rsid w:val="003C1B70"/>
    <w:rsid w:val="003C1F00"/>
    <w:rsid w:val="003C4300"/>
    <w:rsid w:val="003D08B1"/>
    <w:rsid w:val="003D29D2"/>
    <w:rsid w:val="003D435E"/>
    <w:rsid w:val="003D4611"/>
    <w:rsid w:val="003E00BB"/>
    <w:rsid w:val="003E5330"/>
    <w:rsid w:val="003F5996"/>
    <w:rsid w:val="00405862"/>
    <w:rsid w:val="00405B39"/>
    <w:rsid w:val="00407F2D"/>
    <w:rsid w:val="00410D37"/>
    <w:rsid w:val="00410FB8"/>
    <w:rsid w:val="00411EEB"/>
    <w:rsid w:val="00415C71"/>
    <w:rsid w:val="00421266"/>
    <w:rsid w:val="004256EA"/>
    <w:rsid w:val="00434EDA"/>
    <w:rsid w:val="00444227"/>
    <w:rsid w:val="00444C0E"/>
    <w:rsid w:val="00446519"/>
    <w:rsid w:val="004478AE"/>
    <w:rsid w:val="00447E7C"/>
    <w:rsid w:val="004503C6"/>
    <w:rsid w:val="0045059B"/>
    <w:rsid w:val="00451CF7"/>
    <w:rsid w:val="00451E0F"/>
    <w:rsid w:val="004541FA"/>
    <w:rsid w:val="00456E78"/>
    <w:rsid w:val="00457528"/>
    <w:rsid w:val="0046014D"/>
    <w:rsid w:val="00465312"/>
    <w:rsid w:val="0046718D"/>
    <w:rsid w:val="004705A1"/>
    <w:rsid w:val="00472355"/>
    <w:rsid w:val="00472F71"/>
    <w:rsid w:val="004801FF"/>
    <w:rsid w:val="00481721"/>
    <w:rsid w:val="00484430"/>
    <w:rsid w:val="004862AC"/>
    <w:rsid w:val="004862E0"/>
    <w:rsid w:val="00486492"/>
    <w:rsid w:val="00487DC0"/>
    <w:rsid w:val="004A0F22"/>
    <w:rsid w:val="004A208D"/>
    <w:rsid w:val="004A2E94"/>
    <w:rsid w:val="004B6ED7"/>
    <w:rsid w:val="004C11CF"/>
    <w:rsid w:val="004C34C0"/>
    <w:rsid w:val="004D4FF7"/>
    <w:rsid w:val="004D7D73"/>
    <w:rsid w:val="004F67E3"/>
    <w:rsid w:val="00501776"/>
    <w:rsid w:val="00502101"/>
    <w:rsid w:val="005058AF"/>
    <w:rsid w:val="00505930"/>
    <w:rsid w:val="0050651C"/>
    <w:rsid w:val="005065B0"/>
    <w:rsid w:val="00510168"/>
    <w:rsid w:val="005210A6"/>
    <w:rsid w:val="00534FB2"/>
    <w:rsid w:val="0053599E"/>
    <w:rsid w:val="0054015A"/>
    <w:rsid w:val="00540291"/>
    <w:rsid w:val="00545A21"/>
    <w:rsid w:val="00545F96"/>
    <w:rsid w:val="00550232"/>
    <w:rsid w:val="00550AD9"/>
    <w:rsid w:val="00550F52"/>
    <w:rsid w:val="00552A9D"/>
    <w:rsid w:val="00552D0C"/>
    <w:rsid w:val="00554009"/>
    <w:rsid w:val="00555D14"/>
    <w:rsid w:val="00555D8D"/>
    <w:rsid w:val="00556BC3"/>
    <w:rsid w:val="00561C65"/>
    <w:rsid w:val="00565A0D"/>
    <w:rsid w:val="00565F48"/>
    <w:rsid w:val="00570929"/>
    <w:rsid w:val="00571F1C"/>
    <w:rsid w:val="00572E2A"/>
    <w:rsid w:val="00580113"/>
    <w:rsid w:val="00581CFC"/>
    <w:rsid w:val="0058205C"/>
    <w:rsid w:val="00582A23"/>
    <w:rsid w:val="00583F87"/>
    <w:rsid w:val="005840FC"/>
    <w:rsid w:val="00584A63"/>
    <w:rsid w:val="00586F2C"/>
    <w:rsid w:val="005934AD"/>
    <w:rsid w:val="005A2910"/>
    <w:rsid w:val="005A29F4"/>
    <w:rsid w:val="005A3C4D"/>
    <w:rsid w:val="005C226F"/>
    <w:rsid w:val="005D46B1"/>
    <w:rsid w:val="005D57DA"/>
    <w:rsid w:val="005D5CDC"/>
    <w:rsid w:val="005E12B9"/>
    <w:rsid w:val="005E7EBC"/>
    <w:rsid w:val="005F0F0E"/>
    <w:rsid w:val="005F1CE0"/>
    <w:rsid w:val="005F1EFF"/>
    <w:rsid w:val="005F399C"/>
    <w:rsid w:val="005F7713"/>
    <w:rsid w:val="00601345"/>
    <w:rsid w:val="00602FA9"/>
    <w:rsid w:val="00603459"/>
    <w:rsid w:val="00604DF8"/>
    <w:rsid w:val="00611B3F"/>
    <w:rsid w:val="00611E83"/>
    <w:rsid w:val="006134FA"/>
    <w:rsid w:val="00613717"/>
    <w:rsid w:val="00616733"/>
    <w:rsid w:val="006254AF"/>
    <w:rsid w:val="00625C62"/>
    <w:rsid w:val="00645F8F"/>
    <w:rsid w:val="0064633D"/>
    <w:rsid w:val="0064655C"/>
    <w:rsid w:val="00646D3B"/>
    <w:rsid w:val="006511CC"/>
    <w:rsid w:val="0065202F"/>
    <w:rsid w:val="00655831"/>
    <w:rsid w:val="00660345"/>
    <w:rsid w:val="00661A29"/>
    <w:rsid w:val="00664ED4"/>
    <w:rsid w:val="006706BB"/>
    <w:rsid w:val="00671CCB"/>
    <w:rsid w:val="0067369D"/>
    <w:rsid w:val="00673A87"/>
    <w:rsid w:val="00673E2E"/>
    <w:rsid w:val="00674AD4"/>
    <w:rsid w:val="00675758"/>
    <w:rsid w:val="00690471"/>
    <w:rsid w:val="00695F0A"/>
    <w:rsid w:val="0069748F"/>
    <w:rsid w:val="006A1227"/>
    <w:rsid w:val="006A1261"/>
    <w:rsid w:val="006A5F0B"/>
    <w:rsid w:val="006B15C2"/>
    <w:rsid w:val="006C3030"/>
    <w:rsid w:val="006C3E43"/>
    <w:rsid w:val="006C5574"/>
    <w:rsid w:val="006C5DF1"/>
    <w:rsid w:val="006C63CE"/>
    <w:rsid w:val="006C6470"/>
    <w:rsid w:val="006C75C1"/>
    <w:rsid w:val="006C7A55"/>
    <w:rsid w:val="006D33DC"/>
    <w:rsid w:val="006D455C"/>
    <w:rsid w:val="006D64E4"/>
    <w:rsid w:val="006E4FFA"/>
    <w:rsid w:val="006F119E"/>
    <w:rsid w:val="006F1734"/>
    <w:rsid w:val="006F2AAB"/>
    <w:rsid w:val="006F2E0C"/>
    <w:rsid w:val="006F3529"/>
    <w:rsid w:val="006F3ED5"/>
    <w:rsid w:val="007047E2"/>
    <w:rsid w:val="0070740D"/>
    <w:rsid w:val="0071067E"/>
    <w:rsid w:val="0071379A"/>
    <w:rsid w:val="00715428"/>
    <w:rsid w:val="00715552"/>
    <w:rsid w:val="007303C1"/>
    <w:rsid w:val="00734345"/>
    <w:rsid w:val="00740345"/>
    <w:rsid w:val="007420EE"/>
    <w:rsid w:val="007443D5"/>
    <w:rsid w:val="00755561"/>
    <w:rsid w:val="00764A57"/>
    <w:rsid w:val="007654C8"/>
    <w:rsid w:val="00775279"/>
    <w:rsid w:val="00775B33"/>
    <w:rsid w:val="00777C75"/>
    <w:rsid w:val="0078151E"/>
    <w:rsid w:val="007830A0"/>
    <w:rsid w:val="00793F85"/>
    <w:rsid w:val="007976AC"/>
    <w:rsid w:val="00797C2F"/>
    <w:rsid w:val="007A4A2D"/>
    <w:rsid w:val="007B0235"/>
    <w:rsid w:val="007B20BA"/>
    <w:rsid w:val="007B267B"/>
    <w:rsid w:val="007B6A6E"/>
    <w:rsid w:val="007C0808"/>
    <w:rsid w:val="007C1A9C"/>
    <w:rsid w:val="007C31A3"/>
    <w:rsid w:val="007C5374"/>
    <w:rsid w:val="007D00A9"/>
    <w:rsid w:val="007D0E5A"/>
    <w:rsid w:val="007D15CC"/>
    <w:rsid w:val="007D3E13"/>
    <w:rsid w:val="007D695C"/>
    <w:rsid w:val="007E0602"/>
    <w:rsid w:val="007E4B79"/>
    <w:rsid w:val="007E59C2"/>
    <w:rsid w:val="007F442C"/>
    <w:rsid w:val="007F598E"/>
    <w:rsid w:val="007F68E4"/>
    <w:rsid w:val="008016EC"/>
    <w:rsid w:val="008059CF"/>
    <w:rsid w:val="00805A54"/>
    <w:rsid w:val="008113A1"/>
    <w:rsid w:val="00811614"/>
    <w:rsid w:val="00815A44"/>
    <w:rsid w:val="00816F02"/>
    <w:rsid w:val="0082686D"/>
    <w:rsid w:val="00826A3F"/>
    <w:rsid w:val="008276F5"/>
    <w:rsid w:val="00827831"/>
    <w:rsid w:val="00830781"/>
    <w:rsid w:val="0083113B"/>
    <w:rsid w:val="008311F6"/>
    <w:rsid w:val="00831D29"/>
    <w:rsid w:val="00833A23"/>
    <w:rsid w:val="00840B1F"/>
    <w:rsid w:val="00840D9D"/>
    <w:rsid w:val="0084126C"/>
    <w:rsid w:val="008415CA"/>
    <w:rsid w:val="00842A36"/>
    <w:rsid w:val="00843CA0"/>
    <w:rsid w:val="00851B78"/>
    <w:rsid w:val="00853979"/>
    <w:rsid w:val="008551AC"/>
    <w:rsid w:val="00860514"/>
    <w:rsid w:val="0086243D"/>
    <w:rsid w:val="00862649"/>
    <w:rsid w:val="008675E8"/>
    <w:rsid w:val="00875173"/>
    <w:rsid w:val="00876D9E"/>
    <w:rsid w:val="008779FF"/>
    <w:rsid w:val="00884935"/>
    <w:rsid w:val="00887A6A"/>
    <w:rsid w:val="008918D0"/>
    <w:rsid w:val="00892737"/>
    <w:rsid w:val="0089533B"/>
    <w:rsid w:val="00897094"/>
    <w:rsid w:val="00897D1F"/>
    <w:rsid w:val="008A1355"/>
    <w:rsid w:val="008A63F2"/>
    <w:rsid w:val="008B2D9D"/>
    <w:rsid w:val="008B3A21"/>
    <w:rsid w:val="008B4C21"/>
    <w:rsid w:val="008C0499"/>
    <w:rsid w:val="008C10D0"/>
    <w:rsid w:val="008C1863"/>
    <w:rsid w:val="008C223D"/>
    <w:rsid w:val="008C589A"/>
    <w:rsid w:val="008C6C9C"/>
    <w:rsid w:val="008C709C"/>
    <w:rsid w:val="008D05A5"/>
    <w:rsid w:val="008D3826"/>
    <w:rsid w:val="008D795D"/>
    <w:rsid w:val="008E4D27"/>
    <w:rsid w:val="008E7125"/>
    <w:rsid w:val="008F09FF"/>
    <w:rsid w:val="008F1F04"/>
    <w:rsid w:val="008F303C"/>
    <w:rsid w:val="008F308F"/>
    <w:rsid w:val="008F3578"/>
    <w:rsid w:val="00901921"/>
    <w:rsid w:val="00903441"/>
    <w:rsid w:val="00910F12"/>
    <w:rsid w:val="00913C44"/>
    <w:rsid w:val="00913C73"/>
    <w:rsid w:val="00921BF5"/>
    <w:rsid w:val="009239D1"/>
    <w:rsid w:val="009324CE"/>
    <w:rsid w:val="00932832"/>
    <w:rsid w:val="00933146"/>
    <w:rsid w:val="00937126"/>
    <w:rsid w:val="009376B7"/>
    <w:rsid w:val="00951E60"/>
    <w:rsid w:val="009626AA"/>
    <w:rsid w:val="0096294A"/>
    <w:rsid w:val="009641E1"/>
    <w:rsid w:val="00965C59"/>
    <w:rsid w:val="00967412"/>
    <w:rsid w:val="0097070D"/>
    <w:rsid w:val="00974443"/>
    <w:rsid w:val="009759E5"/>
    <w:rsid w:val="00977FE3"/>
    <w:rsid w:val="00982475"/>
    <w:rsid w:val="00982C1A"/>
    <w:rsid w:val="009836A0"/>
    <w:rsid w:val="00983BE3"/>
    <w:rsid w:val="00987495"/>
    <w:rsid w:val="009874FC"/>
    <w:rsid w:val="00995FE0"/>
    <w:rsid w:val="009A6B26"/>
    <w:rsid w:val="009B0557"/>
    <w:rsid w:val="009B5F87"/>
    <w:rsid w:val="009C6A63"/>
    <w:rsid w:val="009D02BA"/>
    <w:rsid w:val="009D2763"/>
    <w:rsid w:val="009D3DB9"/>
    <w:rsid w:val="009D7EF1"/>
    <w:rsid w:val="009E19B6"/>
    <w:rsid w:val="009E2CE1"/>
    <w:rsid w:val="009F0DD3"/>
    <w:rsid w:val="009F1BE2"/>
    <w:rsid w:val="00A021D0"/>
    <w:rsid w:val="00A0264B"/>
    <w:rsid w:val="00A029DB"/>
    <w:rsid w:val="00A07CD4"/>
    <w:rsid w:val="00A16F56"/>
    <w:rsid w:val="00A270FB"/>
    <w:rsid w:val="00A3092C"/>
    <w:rsid w:val="00A35101"/>
    <w:rsid w:val="00A37785"/>
    <w:rsid w:val="00A37D8B"/>
    <w:rsid w:val="00A4143B"/>
    <w:rsid w:val="00A4191B"/>
    <w:rsid w:val="00A41FDD"/>
    <w:rsid w:val="00A423E2"/>
    <w:rsid w:val="00A4607D"/>
    <w:rsid w:val="00A46BC0"/>
    <w:rsid w:val="00A47AD0"/>
    <w:rsid w:val="00A50373"/>
    <w:rsid w:val="00A52DCE"/>
    <w:rsid w:val="00A5713D"/>
    <w:rsid w:val="00A60D80"/>
    <w:rsid w:val="00A638EF"/>
    <w:rsid w:val="00A67E07"/>
    <w:rsid w:val="00A7074D"/>
    <w:rsid w:val="00A70D06"/>
    <w:rsid w:val="00A76038"/>
    <w:rsid w:val="00A869BA"/>
    <w:rsid w:val="00A90D5D"/>
    <w:rsid w:val="00A90DE9"/>
    <w:rsid w:val="00A91654"/>
    <w:rsid w:val="00A9242E"/>
    <w:rsid w:val="00A95177"/>
    <w:rsid w:val="00A954C5"/>
    <w:rsid w:val="00AA2510"/>
    <w:rsid w:val="00AA426A"/>
    <w:rsid w:val="00AB1459"/>
    <w:rsid w:val="00AB7124"/>
    <w:rsid w:val="00AC418C"/>
    <w:rsid w:val="00AC481F"/>
    <w:rsid w:val="00AC5046"/>
    <w:rsid w:val="00AC5F4C"/>
    <w:rsid w:val="00AC6895"/>
    <w:rsid w:val="00AC6E99"/>
    <w:rsid w:val="00AD07DF"/>
    <w:rsid w:val="00AD467E"/>
    <w:rsid w:val="00AD5D3D"/>
    <w:rsid w:val="00AE2D02"/>
    <w:rsid w:val="00AF0DEB"/>
    <w:rsid w:val="00AF4000"/>
    <w:rsid w:val="00AF4619"/>
    <w:rsid w:val="00AF6781"/>
    <w:rsid w:val="00AF72A6"/>
    <w:rsid w:val="00B006AA"/>
    <w:rsid w:val="00B00BFF"/>
    <w:rsid w:val="00B14E69"/>
    <w:rsid w:val="00B156F5"/>
    <w:rsid w:val="00B20B09"/>
    <w:rsid w:val="00B23309"/>
    <w:rsid w:val="00B265D3"/>
    <w:rsid w:val="00B324D8"/>
    <w:rsid w:val="00B35C52"/>
    <w:rsid w:val="00B42738"/>
    <w:rsid w:val="00B42912"/>
    <w:rsid w:val="00B4534F"/>
    <w:rsid w:val="00B45BDE"/>
    <w:rsid w:val="00B51BA6"/>
    <w:rsid w:val="00B52078"/>
    <w:rsid w:val="00B56373"/>
    <w:rsid w:val="00B57BC9"/>
    <w:rsid w:val="00B57F41"/>
    <w:rsid w:val="00B60546"/>
    <w:rsid w:val="00B6113D"/>
    <w:rsid w:val="00B61622"/>
    <w:rsid w:val="00B62473"/>
    <w:rsid w:val="00B63F5E"/>
    <w:rsid w:val="00B676D3"/>
    <w:rsid w:val="00B709E5"/>
    <w:rsid w:val="00B7111E"/>
    <w:rsid w:val="00B72338"/>
    <w:rsid w:val="00B7237F"/>
    <w:rsid w:val="00B72BE2"/>
    <w:rsid w:val="00B756B4"/>
    <w:rsid w:val="00B82BF3"/>
    <w:rsid w:val="00B83052"/>
    <w:rsid w:val="00B8684F"/>
    <w:rsid w:val="00B87DE5"/>
    <w:rsid w:val="00B91F4A"/>
    <w:rsid w:val="00BA4D2F"/>
    <w:rsid w:val="00BA5748"/>
    <w:rsid w:val="00BB00C3"/>
    <w:rsid w:val="00BB0A45"/>
    <w:rsid w:val="00BB2F65"/>
    <w:rsid w:val="00BB4758"/>
    <w:rsid w:val="00BC510D"/>
    <w:rsid w:val="00BD02A8"/>
    <w:rsid w:val="00BD0C88"/>
    <w:rsid w:val="00BD1077"/>
    <w:rsid w:val="00BD2F97"/>
    <w:rsid w:val="00BD403B"/>
    <w:rsid w:val="00BD4FD7"/>
    <w:rsid w:val="00BE0855"/>
    <w:rsid w:val="00BE3436"/>
    <w:rsid w:val="00BE6F69"/>
    <w:rsid w:val="00BF0401"/>
    <w:rsid w:val="00BF0554"/>
    <w:rsid w:val="00BF12DE"/>
    <w:rsid w:val="00BF37D9"/>
    <w:rsid w:val="00BF6E7C"/>
    <w:rsid w:val="00BF73A1"/>
    <w:rsid w:val="00BF75F9"/>
    <w:rsid w:val="00C12ABE"/>
    <w:rsid w:val="00C13A3C"/>
    <w:rsid w:val="00C156F7"/>
    <w:rsid w:val="00C20840"/>
    <w:rsid w:val="00C21CE7"/>
    <w:rsid w:val="00C26020"/>
    <w:rsid w:val="00C26414"/>
    <w:rsid w:val="00C31AF1"/>
    <w:rsid w:val="00C33AB2"/>
    <w:rsid w:val="00C36824"/>
    <w:rsid w:val="00C40D4B"/>
    <w:rsid w:val="00C43608"/>
    <w:rsid w:val="00C44B19"/>
    <w:rsid w:val="00C50111"/>
    <w:rsid w:val="00C51271"/>
    <w:rsid w:val="00C56941"/>
    <w:rsid w:val="00C617F8"/>
    <w:rsid w:val="00C636D1"/>
    <w:rsid w:val="00C66217"/>
    <w:rsid w:val="00C679E6"/>
    <w:rsid w:val="00C67FDD"/>
    <w:rsid w:val="00C72642"/>
    <w:rsid w:val="00C74EA1"/>
    <w:rsid w:val="00C768A7"/>
    <w:rsid w:val="00C80C78"/>
    <w:rsid w:val="00C81B0D"/>
    <w:rsid w:val="00C83A68"/>
    <w:rsid w:val="00C85A66"/>
    <w:rsid w:val="00C85CF0"/>
    <w:rsid w:val="00C90FFA"/>
    <w:rsid w:val="00C95A30"/>
    <w:rsid w:val="00C974E4"/>
    <w:rsid w:val="00CA4964"/>
    <w:rsid w:val="00CB440D"/>
    <w:rsid w:val="00CB458A"/>
    <w:rsid w:val="00CC3237"/>
    <w:rsid w:val="00CC73F0"/>
    <w:rsid w:val="00CD0D8A"/>
    <w:rsid w:val="00CD0DC8"/>
    <w:rsid w:val="00CD1BDC"/>
    <w:rsid w:val="00CD2C9C"/>
    <w:rsid w:val="00CD764A"/>
    <w:rsid w:val="00CE09C4"/>
    <w:rsid w:val="00CE22AC"/>
    <w:rsid w:val="00CF1CF1"/>
    <w:rsid w:val="00CF2A2E"/>
    <w:rsid w:val="00CF341E"/>
    <w:rsid w:val="00CF36A1"/>
    <w:rsid w:val="00D00362"/>
    <w:rsid w:val="00D00FB5"/>
    <w:rsid w:val="00D02F19"/>
    <w:rsid w:val="00D25CD7"/>
    <w:rsid w:val="00D2769E"/>
    <w:rsid w:val="00D32FE6"/>
    <w:rsid w:val="00D3423A"/>
    <w:rsid w:val="00D37178"/>
    <w:rsid w:val="00D37CAC"/>
    <w:rsid w:val="00D4115F"/>
    <w:rsid w:val="00D436FE"/>
    <w:rsid w:val="00D46204"/>
    <w:rsid w:val="00D4650C"/>
    <w:rsid w:val="00D50D35"/>
    <w:rsid w:val="00D61F50"/>
    <w:rsid w:val="00D62A1F"/>
    <w:rsid w:val="00D702AB"/>
    <w:rsid w:val="00D728E7"/>
    <w:rsid w:val="00D74697"/>
    <w:rsid w:val="00D74A37"/>
    <w:rsid w:val="00D76549"/>
    <w:rsid w:val="00D77378"/>
    <w:rsid w:val="00D84641"/>
    <w:rsid w:val="00D86424"/>
    <w:rsid w:val="00D957DD"/>
    <w:rsid w:val="00DA22DF"/>
    <w:rsid w:val="00DB3C20"/>
    <w:rsid w:val="00DC18DC"/>
    <w:rsid w:val="00DC2677"/>
    <w:rsid w:val="00DC5FA6"/>
    <w:rsid w:val="00DD39B8"/>
    <w:rsid w:val="00DD6C98"/>
    <w:rsid w:val="00DE16B5"/>
    <w:rsid w:val="00DE733C"/>
    <w:rsid w:val="00DF6A3A"/>
    <w:rsid w:val="00DF7909"/>
    <w:rsid w:val="00DF7CEF"/>
    <w:rsid w:val="00E00944"/>
    <w:rsid w:val="00E21E4C"/>
    <w:rsid w:val="00E221C2"/>
    <w:rsid w:val="00E26D0A"/>
    <w:rsid w:val="00E27D56"/>
    <w:rsid w:val="00E301F8"/>
    <w:rsid w:val="00E313D6"/>
    <w:rsid w:val="00E332A9"/>
    <w:rsid w:val="00E36F58"/>
    <w:rsid w:val="00E45A92"/>
    <w:rsid w:val="00E552A8"/>
    <w:rsid w:val="00E56071"/>
    <w:rsid w:val="00E56F53"/>
    <w:rsid w:val="00E6044F"/>
    <w:rsid w:val="00E6124D"/>
    <w:rsid w:val="00E67ECA"/>
    <w:rsid w:val="00E70A53"/>
    <w:rsid w:val="00E735AF"/>
    <w:rsid w:val="00E77ABB"/>
    <w:rsid w:val="00E8363A"/>
    <w:rsid w:val="00E91E00"/>
    <w:rsid w:val="00E93F8D"/>
    <w:rsid w:val="00E95427"/>
    <w:rsid w:val="00E968CD"/>
    <w:rsid w:val="00EA72FD"/>
    <w:rsid w:val="00EB1156"/>
    <w:rsid w:val="00EB2573"/>
    <w:rsid w:val="00EB7424"/>
    <w:rsid w:val="00EC21D9"/>
    <w:rsid w:val="00ED2DA2"/>
    <w:rsid w:val="00ED48E9"/>
    <w:rsid w:val="00ED7730"/>
    <w:rsid w:val="00EE01F7"/>
    <w:rsid w:val="00EE3C29"/>
    <w:rsid w:val="00EE5A0F"/>
    <w:rsid w:val="00EF05F1"/>
    <w:rsid w:val="00EF0FE3"/>
    <w:rsid w:val="00EF144A"/>
    <w:rsid w:val="00EF2266"/>
    <w:rsid w:val="00EF318C"/>
    <w:rsid w:val="00EF4132"/>
    <w:rsid w:val="00EF78DD"/>
    <w:rsid w:val="00F01125"/>
    <w:rsid w:val="00F013C6"/>
    <w:rsid w:val="00F02156"/>
    <w:rsid w:val="00F05E02"/>
    <w:rsid w:val="00F1431A"/>
    <w:rsid w:val="00F2140C"/>
    <w:rsid w:val="00F22F45"/>
    <w:rsid w:val="00F2331E"/>
    <w:rsid w:val="00F24751"/>
    <w:rsid w:val="00F24C42"/>
    <w:rsid w:val="00F25E81"/>
    <w:rsid w:val="00F30356"/>
    <w:rsid w:val="00F325BC"/>
    <w:rsid w:val="00F33DE2"/>
    <w:rsid w:val="00F413F5"/>
    <w:rsid w:val="00F4337F"/>
    <w:rsid w:val="00F44713"/>
    <w:rsid w:val="00F474E9"/>
    <w:rsid w:val="00F501DD"/>
    <w:rsid w:val="00F503A4"/>
    <w:rsid w:val="00F50B6B"/>
    <w:rsid w:val="00F51BA2"/>
    <w:rsid w:val="00F530A2"/>
    <w:rsid w:val="00F5344E"/>
    <w:rsid w:val="00F601D7"/>
    <w:rsid w:val="00F6086C"/>
    <w:rsid w:val="00F61F89"/>
    <w:rsid w:val="00F6765F"/>
    <w:rsid w:val="00F67EAC"/>
    <w:rsid w:val="00F75550"/>
    <w:rsid w:val="00F8304B"/>
    <w:rsid w:val="00F91B89"/>
    <w:rsid w:val="00F95A14"/>
    <w:rsid w:val="00FA0601"/>
    <w:rsid w:val="00FA158C"/>
    <w:rsid w:val="00FA7D95"/>
    <w:rsid w:val="00FB1C19"/>
    <w:rsid w:val="00FC1F05"/>
    <w:rsid w:val="00FC333A"/>
    <w:rsid w:val="00FD189B"/>
    <w:rsid w:val="00FD622C"/>
    <w:rsid w:val="00FE0176"/>
    <w:rsid w:val="00FE1AA1"/>
    <w:rsid w:val="00FE1E66"/>
    <w:rsid w:val="00FE323D"/>
    <w:rsid w:val="00FE7B5E"/>
    <w:rsid w:val="00FF19BC"/>
    <w:rsid w:val="00FF40CA"/>
    <w:rsid w:val="00FF56F2"/>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C05D4"/>
  <w15:docId w15:val="{8A4D4AD2-A511-492E-8570-A563A839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aliases w:val="Numbered - 1"/>
    <w:basedOn w:val="Normal"/>
    <w:next w:val="Normal"/>
    <w:qFormat/>
    <w:rsid w:val="003322EA"/>
    <w:pPr>
      <w:keepNext/>
      <w:keepLines/>
      <w:widowControl w:val="0"/>
      <w:numPr>
        <w:numId w:val="21"/>
      </w:numPr>
      <w:spacing w:before="240" w:after="240"/>
      <w:outlineLvl w:val="0"/>
    </w:pPr>
    <w:rPr>
      <w:b/>
      <w:kern w:val="28"/>
      <w:sz w:val="22"/>
      <w:szCs w:val="20"/>
      <w:lang w:eastAsia="en-US"/>
    </w:rPr>
  </w:style>
  <w:style w:type="paragraph" w:styleId="Heading2">
    <w:name w:val="heading 2"/>
    <w:basedOn w:val="Normal"/>
    <w:next w:val="Normal"/>
    <w:qFormat/>
    <w:rsid w:val="00CF2A2E"/>
    <w:pPr>
      <w:keepNext/>
      <w:numPr>
        <w:ilvl w:val="1"/>
        <w:numId w:val="21"/>
      </w:numPr>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0562F4"/>
    <w:pPr>
      <w:keepNext/>
      <w:keepLines/>
      <w:numPr>
        <w:ilvl w:val="2"/>
        <w:numId w:val="21"/>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0562F4"/>
    <w:pPr>
      <w:keepNext/>
      <w:keepLines/>
      <w:numPr>
        <w:ilvl w:val="3"/>
        <w:numId w:val="2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0562F4"/>
    <w:pPr>
      <w:keepNext/>
      <w:keepLines/>
      <w:numPr>
        <w:ilvl w:val="4"/>
        <w:numId w:val="2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0562F4"/>
    <w:pPr>
      <w:keepNext/>
      <w:keepLines/>
      <w:numPr>
        <w:ilvl w:val="5"/>
        <w:numId w:val="2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0562F4"/>
    <w:pPr>
      <w:keepNext/>
      <w:keepLines/>
      <w:numPr>
        <w:ilvl w:val="6"/>
        <w:numId w:val="2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0562F4"/>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562F4"/>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StyleArial">
    <w:name w:val="Style Arial"/>
    <w:basedOn w:val="Normal"/>
    <w:rsid w:val="002246CA"/>
    <w:pPr>
      <w:spacing w:after="120"/>
    </w:pPr>
    <w:rPr>
      <w:rFonts w:cs="Arial"/>
      <w:sz w:val="28"/>
      <w:szCs w:val="20"/>
      <w:lang w:eastAsia="en-US"/>
    </w:rPr>
  </w:style>
  <w:style w:type="paragraph" w:customStyle="1" w:styleId="Default">
    <w:name w:val="Default"/>
    <w:rsid w:val="00CD0D8A"/>
    <w:pPr>
      <w:autoSpaceDE w:val="0"/>
      <w:autoSpaceDN w:val="0"/>
      <w:adjustRightInd w:val="0"/>
    </w:pPr>
    <w:rPr>
      <w:color w:val="000000"/>
      <w:sz w:val="24"/>
      <w:szCs w:val="24"/>
    </w:rPr>
  </w:style>
  <w:style w:type="paragraph" w:customStyle="1" w:styleId="DfESOutNumbered">
    <w:name w:val="DfESOutNumbered"/>
    <w:basedOn w:val="Normal"/>
    <w:rsid w:val="00FE323D"/>
    <w:pPr>
      <w:widowControl w:val="0"/>
      <w:numPr>
        <w:numId w:val="1"/>
      </w:numPr>
      <w:overflowPunct w:val="0"/>
      <w:autoSpaceDE w:val="0"/>
      <w:autoSpaceDN w:val="0"/>
      <w:adjustRightInd w:val="0"/>
      <w:spacing w:after="240"/>
      <w:textAlignment w:val="baseline"/>
    </w:pPr>
    <w:rPr>
      <w:rFonts w:cs="Arial"/>
      <w:sz w:val="22"/>
      <w:szCs w:val="20"/>
      <w:lang w:eastAsia="en-US"/>
    </w:rPr>
  </w:style>
  <w:style w:type="paragraph" w:styleId="BodyTextIndent">
    <w:name w:val="Body Text Indent"/>
    <w:basedOn w:val="Normal"/>
    <w:rsid w:val="003D08B1"/>
    <w:pPr>
      <w:tabs>
        <w:tab w:val="left" w:pos="360"/>
      </w:tabs>
      <w:spacing w:after="120"/>
      <w:ind w:left="360" w:hanging="360"/>
    </w:pPr>
    <w:rPr>
      <w:sz w:val="22"/>
      <w:szCs w:val="20"/>
      <w:lang w:val="en-US" w:eastAsia="en-US"/>
    </w:rPr>
  </w:style>
  <w:style w:type="character" w:styleId="Strong">
    <w:name w:val="Strong"/>
    <w:qFormat/>
    <w:rsid w:val="00D46204"/>
    <w:rPr>
      <w:b/>
      <w:bCs/>
    </w:rPr>
  </w:style>
  <w:style w:type="paragraph" w:styleId="BodyText">
    <w:name w:val="Body Text"/>
    <w:basedOn w:val="Normal"/>
    <w:rsid w:val="003322EA"/>
    <w:pPr>
      <w:spacing w:after="120"/>
    </w:pPr>
  </w:style>
  <w:style w:type="character" w:customStyle="1" w:styleId="endsenrhsennumparatext">
    <w:name w:val="ends enrhs ennumparatext"/>
    <w:basedOn w:val="DefaultParagraphFont"/>
    <w:rsid w:val="004503C6"/>
  </w:style>
  <w:style w:type="character" w:styleId="Hyperlink">
    <w:name w:val="Hyperlink"/>
    <w:rsid w:val="004503C6"/>
    <w:rPr>
      <w:color w:val="0000FF"/>
      <w:u w:val="single"/>
    </w:rPr>
  </w:style>
  <w:style w:type="paragraph" w:styleId="Revision">
    <w:name w:val="Revision"/>
    <w:hidden/>
    <w:uiPriority w:val="99"/>
    <w:semiHidden/>
    <w:rsid w:val="003044B1"/>
    <w:rPr>
      <w:rFonts w:ascii="Arial" w:hAnsi="Arial"/>
      <w:sz w:val="24"/>
      <w:szCs w:val="24"/>
    </w:rPr>
  </w:style>
  <w:style w:type="character" w:customStyle="1" w:styleId="HeaderChar">
    <w:name w:val="Header Char"/>
    <w:basedOn w:val="DefaultParagraphFont"/>
    <w:link w:val="Header"/>
    <w:uiPriority w:val="99"/>
    <w:rsid w:val="003044B1"/>
    <w:rPr>
      <w:rFonts w:ascii="Arial" w:hAnsi="Arial"/>
      <w:sz w:val="24"/>
      <w:szCs w:val="24"/>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uiPriority w:val="34"/>
    <w:qFormat/>
    <w:rsid w:val="00BF75F9"/>
    <w:pPr>
      <w:ind w:left="720"/>
      <w:contextualSpacing/>
    </w:pPr>
  </w:style>
  <w:style w:type="paragraph" w:customStyle="1" w:styleId="N3">
    <w:name w:val="N3"/>
    <w:basedOn w:val="Normal"/>
    <w:rsid w:val="004801FF"/>
    <w:pPr>
      <w:tabs>
        <w:tab w:val="num" w:pos="1440"/>
      </w:tabs>
      <w:spacing w:before="80" w:line="220" w:lineRule="atLeast"/>
      <w:ind w:left="1224" w:hanging="504"/>
      <w:jc w:val="both"/>
    </w:pPr>
    <w:rPr>
      <w:rFonts w:ascii="Times New Roman" w:hAnsi="Times New Roman"/>
      <w:sz w:val="21"/>
      <w:szCs w:val="20"/>
      <w:lang w:eastAsia="en-US"/>
    </w:rPr>
  </w:style>
  <w:style w:type="paragraph" w:styleId="FootnoteText">
    <w:name w:val="footnote text"/>
    <w:basedOn w:val="Normal"/>
    <w:link w:val="FootnoteTextChar"/>
    <w:rsid w:val="00C40D4B"/>
    <w:rPr>
      <w:sz w:val="20"/>
      <w:szCs w:val="20"/>
    </w:rPr>
  </w:style>
  <w:style w:type="character" w:customStyle="1" w:styleId="FootnoteTextChar">
    <w:name w:val="Footnote Text Char"/>
    <w:basedOn w:val="DefaultParagraphFont"/>
    <w:link w:val="FootnoteText"/>
    <w:rsid w:val="00C40D4B"/>
    <w:rPr>
      <w:rFonts w:ascii="Arial" w:hAnsi="Arial"/>
    </w:rPr>
  </w:style>
  <w:style w:type="character" w:styleId="FootnoteReference">
    <w:name w:val="footnote reference"/>
    <w:basedOn w:val="DefaultParagraphFont"/>
    <w:rsid w:val="00C40D4B"/>
    <w:rPr>
      <w:vertAlign w:val="superscript"/>
    </w:rPr>
  </w:style>
  <w:style w:type="table" w:customStyle="1" w:styleId="TableGrid1">
    <w:name w:val="Table Grid1"/>
    <w:basedOn w:val="TableNormal"/>
    <w:next w:val="TableGrid"/>
    <w:uiPriority w:val="59"/>
    <w:rsid w:val="00C264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303C"/>
    <w:rPr>
      <w:sz w:val="16"/>
      <w:szCs w:val="16"/>
    </w:rPr>
  </w:style>
  <w:style w:type="paragraph" w:styleId="CommentText">
    <w:name w:val="annotation text"/>
    <w:basedOn w:val="Normal"/>
    <w:link w:val="CommentTextChar"/>
    <w:uiPriority w:val="99"/>
    <w:semiHidden/>
    <w:unhideWhenUsed/>
    <w:rsid w:val="008F303C"/>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8F303C"/>
    <w:rPr>
      <w:rFonts w:asciiTheme="minorHAnsi" w:eastAsiaTheme="minorHAnsi" w:hAnsiTheme="minorHAnsi" w:cstheme="minorBidi"/>
      <w:lang w:eastAsia="en-US"/>
    </w:rPr>
  </w:style>
  <w:style w:type="character" w:customStyle="1" w:styleId="Heading3Char">
    <w:name w:val="Heading 3 Char"/>
    <w:basedOn w:val="DefaultParagraphFont"/>
    <w:link w:val="Heading3"/>
    <w:semiHidden/>
    <w:rsid w:val="000562F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0562F4"/>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0562F4"/>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0562F4"/>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0562F4"/>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0562F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0562F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33036">
      <w:bodyDiv w:val="1"/>
      <w:marLeft w:val="0"/>
      <w:marRight w:val="0"/>
      <w:marTop w:val="0"/>
      <w:marBottom w:val="0"/>
      <w:divBdr>
        <w:top w:val="none" w:sz="0" w:space="0" w:color="auto"/>
        <w:left w:val="none" w:sz="0" w:space="0" w:color="auto"/>
        <w:bottom w:val="none" w:sz="0" w:space="0" w:color="auto"/>
        <w:right w:val="none" w:sz="0" w:space="0" w:color="auto"/>
      </w:divBdr>
    </w:div>
    <w:div w:id="253562223">
      <w:bodyDiv w:val="1"/>
      <w:marLeft w:val="0"/>
      <w:marRight w:val="0"/>
      <w:marTop w:val="0"/>
      <w:marBottom w:val="0"/>
      <w:divBdr>
        <w:top w:val="none" w:sz="0" w:space="0" w:color="auto"/>
        <w:left w:val="none" w:sz="0" w:space="0" w:color="auto"/>
        <w:bottom w:val="none" w:sz="0" w:space="0" w:color="auto"/>
        <w:right w:val="none" w:sz="0" w:space="0" w:color="auto"/>
      </w:divBdr>
    </w:div>
    <w:div w:id="325137862">
      <w:bodyDiv w:val="1"/>
      <w:marLeft w:val="0"/>
      <w:marRight w:val="0"/>
      <w:marTop w:val="0"/>
      <w:marBottom w:val="0"/>
      <w:divBdr>
        <w:top w:val="none" w:sz="0" w:space="0" w:color="auto"/>
        <w:left w:val="none" w:sz="0" w:space="0" w:color="auto"/>
        <w:bottom w:val="none" w:sz="0" w:space="0" w:color="auto"/>
        <w:right w:val="none" w:sz="0" w:space="0" w:color="auto"/>
      </w:divBdr>
    </w:div>
    <w:div w:id="403187851">
      <w:bodyDiv w:val="1"/>
      <w:marLeft w:val="0"/>
      <w:marRight w:val="0"/>
      <w:marTop w:val="0"/>
      <w:marBottom w:val="0"/>
      <w:divBdr>
        <w:top w:val="none" w:sz="0" w:space="0" w:color="auto"/>
        <w:left w:val="none" w:sz="0" w:space="0" w:color="auto"/>
        <w:bottom w:val="none" w:sz="0" w:space="0" w:color="auto"/>
        <w:right w:val="none" w:sz="0" w:space="0" w:color="auto"/>
      </w:divBdr>
    </w:div>
    <w:div w:id="415053442">
      <w:bodyDiv w:val="1"/>
      <w:marLeft w:val="0"/>
      <w:marRight w:val="0"/>
      <w:marTop w:val="0"/>
      <w:marBottom w:val="0"/>
      <w:divBdr>
        <w:top w:val="none" w:sz="0" w:space="0" w:color="auto"/>
        <w:left w:val="none" w:sz="0" w:space="0" w:color="auto"/>
        <w:bottom w:val="none" w:sz="0" w:space="0" w:color="auto"/>
        <w:right w:val="none" w:sz="0" w:space="0" w:color="auto"/>
      </w:divBdr>
    </w:div>
    <w:div w:id="427700498">
      <w:bodyDiv w:val="1"/>
      <w:marLeft w:val="0"/>
      <w:marRight w:val="0"/>
      <w:marTop w:val="0"/>
      <w:marBottom w:val="0"/>
      <w:divBdr>
        <w:top w:val="none" w:sz="0" w:space="0" w:color="auto"/>
        <w:left w:val="none" w:sz="0" w:space="0" w:color="auto"/>
        <w:bottom w:val="none" w:sz="0" w:space="0" w:color="auto"/>
        <w:right w:val="none" w:sz="0" w:space="0" w:color="auto"/>
      </w:divBdr>
    </w:div>
    <w:div w:id="431975499">
      <w:bodyDiv w:val="1"/>
      <w:marLeft w:val="0"/>
      <w:marRight w:val="0"/>
      <w:marTop w:val="0"/>
      <w:marBottom w:val="0"/>
      <w:divBdr>
        <w:top w:val="none" w:sz="0" w:space="0" w:color="auto"/>
        <w:left w:val="none" w:sz="0" w:space="0" w:color="auto"/>
        <w:bottom w:val="none" w:sz="0" w:space="0" w:color="auto"/>
        <w:right w:val="none" w:sz="0" w:space="0" w:color="auto"/>
      </w:divBdr>
    </w:div>
    <w:div w:id="509226230">
      <w:bodyDiv w:val="1"/>
      <w:marLeft w:val="0"/>
      <w:marRight w:val="0"/>
      <w:marTop w:val="0"/>
      <w:marBottom w:val="0"/>
      <w:divBdr>
        <w:top w:val="none" w:sz="0" w:space="0" w:color="auto"/>
        <w:left w:val="none" w:sz="0" w:space="0" w:color="auto"/>
        <w:bottom w:val="none" w:sz="0" w:space="0" w:color="auto"/>
        <w:right w:val="none" w:sz="0" w:space="0" w:color="auto"/>
      </w:divBdr>
    </w:div>
    <w:div w:id="603533794">
      <w:bodyDiv w:val="1"/>
      <w:marLeft w:val="0"/>
      <w:marRight w:val="0"/>
      <w:marTop w:val="0"/>
      <w:marBottom w:val="0"/>
      <w:divBdr>
        <w:top w:val="none" w:sz="0" w:space="0" w:color="auto"/>
        <w:left w:val="none" w:sz="0" w:space="0" w:color="auto"/>
        <w:bottom w:val="none" w:sz="0" w:space="0" w:color="auto"/>
        <w:right w:val="none" w:sz="0" w:space="0" w:color="auto"/>
      </w:divBdr>
    </w:div>
    <w:div w:id="630719211">
      <w:bodyDiv w:val="1"/>
      <w:marLeft w:val="0"/>
      <w:marRight w:val="0"/>
      <w:marTop w:val="0"/>
      <w:marBottom w:val="0"/>
      <w:divBdr>
        <w:top w:val="none" w:sz="0" w:space="0" w:color="auto"/>
        <w:left w:val="none" w:sz="0" w:space="0" w:color="auto"/>
        <w:bottom w:val="none" w:sz="0" w:space="0" w:color="auto"/>
        <w:right w:val="none" w:sz="0" w:space="0" w:color="auto"/>
      </w:divBdr>
    </w:div>
    <w:div w:id="811874710">
      <w:bodyDiv w:val="1"/>
      <w:marLeft w:val="0"/>
      <w:marRight w:val="0"/>
      <w:marTop w:val="0"/>
      <w:marBottom w:val="0"/>
      <w:divBdr>
        <w:top w:val="none" w:sz="0" w:space="0" w:color="auto"/>
        <w:left w:val="none" w:sz="0" w:space="0" w:color="auto"/>
        <w:bottom w:val="none" w:sz="0" w:space="0" w:color="auto"/>
        <w:right w:val="none" w:sz="0" w:space="0" w:color="auto"/>
      </w:divBdr>
    </w:div>
    <w:div w:id="968320211">
      <w:bodyDiv w:val="1"/>
      <w:marLeft w:val="0"/>
      <w:marRight w:val="0"/>
      <w:marTop w:val="0"/>
      <w:marBottom w:val="0"/>
      <w:divBdr>
        <w:top w:val="none" w:sz="0" w:space="0" w:color="auto"/>
        <w:left w:val="none" w:sz="0" w:space="0" w:color="auto"/>
        <w:bottom w:val="none" w:sz="0" w:space="0" w:color="auto"/>
        <w:right w:val="none" w:sz="0" w:space="0" w:color="auto"/>
      </w:divBdr>
    </w:div>
    <w:div w:id="982854105">
      <w:bodyDiv w:val="1"/>
      <w:marLeft w:val="0"/>
      <w:marRight w:val="0"/>
      <w:marTop w:val="0"/>
      <w:marBottom w:val="0"/>
      <w:divBdr>
        <w:top w:val="none" w:sz="0" w:space="0" w:color="auto"/>
        <w:left w:val="none" w:sz="0" w:space="0" w:color="auto"/>
        <w:bottom w:val="none" w:sz="0" w:space="0" w:color="auto"/>
        <w:right w:val="none" w:sz="0" w:space="0" w:color="auto"/>
      </w:divBdr>
    </w:div>
    <w:div w:id="1121917077">
      <w:bodyDiv w:val="1"/>
      <w:marLeft w:val="0"/>
      <w:marRight w:val="0"/>
      <w:marTop w:val="0"/>
      <w:marBottom w:val="0"/>
      <w:divBdr>
        <w:top w:val="none" w:sz="0" w:space="0" w:color="auto"/>
        <w:left w:val="none" w:sz="0" w:space="0" w:color="auto"/>
        <w:bottom w:val="none" w:sz="0" w:space="0" w:color="auto"/>
        <w:right w:val="none" w:sz="0" w:space="0" w:color="auto"/>
      </w:divBdr>
    </w:div>
    <w:div w:id="1166288161">
      <w:marLeft w:val="0"/>
      <w:marRight w:val="0"/>
      <w:marTop w:val="0"/>
      <w:marBottom w:val="0"/>
      <w:divBdr>
        <w:top w:val="none" w:sz="0" w:space="0" w:color="auto"/>
        <w:left w:val="none" w:sz="0" w:space="0" w:color="auto"/>
        <w:bottom w:val="none" w:sz="0" w:space="0" w:color="auto"/>
        <w:right w:val="none" w:sz="0" w:space="0" w:color="auto"/>
      </w:divBdr>
      <w:divsChild>
        <w:div w:id="1507133342">
          <w:marLeft w:val="0"/>
          <w:marRight w:val="0"/>
          <w:marTop w:val="0"/>
          <w:marBottom w:val="0"/>
          <w:divBdr>
            <w:top w:val="none" w:sz="0" w:space="0" w:color="auto"/>
            <w:left w:val="none" w:sz="0" w:space="0" w:color="auto"/>
            <w:bottom w:val="none" w:sz="0" w:space="0" w:color="auto"/>
            <w:right w:val="none" w:sz="0" w:space="0" w:color="auto"/>
          </w:divBdr>
          <w:divsChild>
            <w:div w:id="153827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860967">
      <w:bodyDiv w:val="1"/>
      <w:marLeft w:val="0"/>
      <w:marRight w:val="0"/>
      <w:marTop w:val="0"/>
      <w:marBottom w:val="0"/>
      <w:divBdr>
        <w:top w:val="none" w:sz="0" w:space="0" w:color="auto"/>
        <w:left w:val="none" w:sz="0" w:space="0" w:color="auto"/>
        <w:bottom w:val="none" w:sz="0" w:space="0" w:color="auto"/>
        <w:right w:val="none" w:sz="0" w:space="0" w:color="auto"/>
      </w:divBdr>
    </w:div>
    <w:div w:id="1299458805">
      <w:bodyDiv w:val="1"/>
      <w:marLeft w:val="0"/>
      <w:marRight w:val="0"/>
      <w:marTop w:val="0"/>
      <w:marBottom w:val="0"/>
      <w:divBdr>
        <w:top w:val="none" w:sz="0" w:space="0" w:color="auto"/>
        <w:left w:val="none" w:sz="0" w:space="0" w:color="auto"/>
        <w:bottom w:val="none" w:sz="0" w:space="0" w:color="auto"/>
        <w:right w:val="none" w:sz="0" w:space="0" w:color="auto"/>
      </w:divBdr>
    </w:div>
    <w:div w:id="1434856902">
      <w:bodyDiv w:val="1"/>
      <w:marLeft w:val="0"/>
      <w:marRight w:val="0"/>
      <w:marTop w:val="0"/>
      <w:marBottom w:val="0"/>
      <w:divBdr>
        <w:top w:val="none" w:sz="0" w:space="0" w:color="auto"/>
        <w:left w:val="none" w:sz="0" w:space="0" w:color="auto"/>
        <w:bottom w:val="none" w:sz="0" w:space="0" w:color="auto"/>
        <w:right w:val="none" w:sz="0" w:space="0" w:color="auto"/>
      </w:divBdr>
    </w:div>
    <w:div w:id="1470977523">
      <w:marLeft w:val="0"/>
      <w:marRight w:val="0"/>
      <w:marTop w:val="0"/>
      <w:marBottom w:val="0"/>
      <w:divBdr>
        <w:top w:val="none" w:sz="0" w:space="0" w:color="auto"/>
        <w:left w:val="none" w:sz="0" w:space="0" w:color="auto"/>
        <w:bottom w:val="none" w:sz="0" w:space="0" w:color="auto"/>
        <w:right w:val="none" w:sz="0" w:space="0" w:color="auto"/>
      </w:divBdr>
      <w:divsChild>
        <w:div w:id="695693749">
          <w:marLeft w:val="0"/>
          <w:marRight w:val="0"/>
          <w:marTop w:val="0"/>
          <w:marBottom w:val="0"/>
          <w:divBdr>
            <w:top w:val="none" w:sz="0" w:space="0" w:color="auto"/>
            <w:left w:val="none" w:sz="0" w:space="0" w:color="auto"/>
            <w:bottom w:val="none" w:sz="0" w:space="0" w:color="auto"/>
            <w:right w:val="none" w:sz="0" w:space="0" w:color="auto"/>
          </w:divBdr>
          <w:divsChild>
            <w:div w:id="10748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87748885">
      <w:bodyDiv w:val="1"/>
      <w:marLeft w:val="0"/>
      <w:marRight w:val="0"/>
      <w:marTop w:val="0"/>
      <w:marBottom w:val="0"/>
      <w:divBdr>
        <w:top w:val="none" w:sz="0" w:space="0" w:color="auto"/>
        <w:left w:val="none" w:sz="0" w:space="0" w:color="auto"/>
        <w:bottom w:val="none" w:sz="0" w:space="0" w:color="auto"/>
        <w:right w:val="none" w:sz="0" w:space="0" w:color="auto"/>
      </w:divBdr>
    </w:div>
    <w:div w:id="1723095962">
      <w:marLeft w:val="0"/>
      <w:marRight w:val="0"/>
      <w:marTop w:val="0"/>
      <w:marBottom w:val="0"/>
      <w:divBdr>
        <w:top w:val="none" w:sz="0" w:space="0" w:color="auto"/>
        <w:left w:val="none" w:sz="0" w:space="0" w:color="auto"/>
        <w:bottom w:val="none" w:sz="0" w:space="0" w:color="auto"/>
        <w:right w:val="none" w:sz="0" w:space="0" w:color="auto"/>
      </w:divBdr>
      <w:divsChild>
        <w:div w:id="540483729">
          <w:marLeft w:val="0"/>
          <w:marRight w:val="0"/>
          <w:marTop w:val="0"/>
          <w:marBottom w:val="0"/>
          <w:divBdr>
            <w:top w:val="none" w:sz="0" w:space="0" w:color="auto"/>
            <w:left w:val="none" w:sz="0" w:space="0" w:color="auto"/>
            <w:bottom w:val="none" w:sz="0" w:space="0" w:color="auto"/>
            <w:right w:val="none" w:sz="0" w:space="0" w:color="auto"/>
          </w:divBdr>
          <w:divsChild>
            <w:div w:id="70649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28368">
      <w:bodyDiv w:val="1"/>
      <w:marLeft w:val="0"/>
      <w:marRight w:val="0"/>
      <w:marTop w:val="0"/>
      <w:marBottom w:val="0"/>
      <w:divBdr>
        <w:top w:val="none" w:sz="0" w:space="0" w:color="auto"/>
        <w:left w:val="none" w:sz="0" w:space="0" w:color="auto"/>
        <w:bottom w:val="none" w:sz="0" w:space="0" w:color="auto"/>
        <w:right w:val="none" w:sz="0" w:space="0" w:color="auto"/>
      </w:divBdr>
    </w:div>
    <w:div w:id="1790053945">
      <w:bodyDiv w:val="1"/>
      <w:marLeft w:val="0"/>
      <w:marRight w:val="0"/>
      <w:marTop w:val="0"/>
      <w:marBottom w:val="0"/>
      <w:divBdr>
        <w:top w:val="none" w:sz="0" w:space="0" w:color="auto"/>
        <w:left w:val="none" w:sz="0" w:space="0" w:color="auto"/>
        <w:bottom w:val="none" w:sz="0" w:space="0" w:color="auto"/>
        <w:right w:val="none" w:sz="0" w:space="0" w:color="auto"/>
      </w:divBdr>
    </w:div>
    <w:div w:id="1803763414">
      <w:bodyDiv w:val="1"/>
      <w:marLeft w:val="0"/>
      <w:marRight w:val="0"/>
      <w:marTop w:val="0"/>
      <w:marBottom w:val="0"/>
      <w:divBdr>
        <w:top w:val="none" w:sz="0" w:space="0" w:color="auto"/>
        <w:left w:val="none" w:sz="0" w:space="0" w:color="auto"/>
        <w:bottom w:val="none" w:sz="0" w:space="0" w:color="auto"/>
        <w:right w:val="none" w:sz="0" w:space="0" w:color="auto"/>
      </w:divBdr>
    </w:div>
    <w:div w:id="1959947867">
      <w:bodyDiv w:val="1"/>
      <w:marLeft w:val="0"/>
      <w:marRight w:val="0"/>
      <w:marTop w:val="0"/>
      <w:marBottom w:val="0"/>
      <w:divBdr>
        <w:top w:val="none" w:sz="0" w:space="0" w:color="auto"/>
        <w:left w:val="none" w:sz="0" w:space="0" w:color="auto"/>
        <w:bottom w:val="none" w:sz="0" w:space="0" w:color="auto"/>
        <w:right w:val="none" w:sz="0" w:space="0" w:color="auto"/>
      </w:divBdr>
    </w:div>
    <w:div w:id="21211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0d79745-92fc-4b4e-a213-f975f2a6d945" xsi:nil="true"/>
    <lcf76f155ced4ddcb4097134ff3c332f xmlns="deec781b-51b2-41f5-8977-d833afa0cdb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D01BE090C39F147A791A9BD3E22C541" ma:contentTypeVersion="16" ma:contentTypeDescription="Create a new document." ma:contentTypeScope="" ma:versionID="c55be5c4856c147cf072aba43e2c0743">
  <xsd:schema xmlns:xsd="http://www.w3.org/2001/XMLSchema" xmlns:xs="http://www.w3.org/2001/XMLSchema" xmlns:p="http://schemas.microsoft.com/office/2006/metadata/properties" xmlns:ns2="deec781b-51b2-41f5-8977-d833afa0cdb5" xmlns:ns3="30d79745-92fc-4b4e-a213-f975f2a6d945" targetNamespace="http://schemas.microsoft.com/office/2006/metadata/properties" ma:root="true" ma:fieldsID="63e26bc531ea084e734d7506d8187469" ns2:_="" ns3:_="">
    <xsd:import namespace="deec781b-51b2-41f5-8977-d833afa0cdb5"/>
    <xsd:import namespace="30d79745-92fc-4b4e-a213-f975f2a6d9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781b-51b2-41f5-8977-d833afa0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8753e4-6763-4ccc-a875-b7474a820090}" ma:internalName="TaxCatchAll" ma:showField="CatchAllData" ma:web="30d79745-92fc-4b4e-a213-f975f2a6d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EA9ABD-BB84-47DC-9AFD-4F5181798F65}">
  <ds:schemaRefs>
    <ds:schemaRef ds:uri="http://schemas.openxmlformats.org/officeDocument/2006/bibliography"/>
  </ds:schemaRefs>
</ds:datastoreItem>
</file>

<file path=customXml/itemProps2.xml><?xml version="1.0" encoding="utf-8"?>
<ds:datastoreItem xmlns:ds="http://schemas.openxmlformats.org/officeDocument/2006/customXml" ds:itemID="{5AC2E585-D01A-4BF4-9578-A2E5B91DB9C4}">
  <ds:schemaRefs>
    <ds:schemaRef ds:uri="http://schemas.microsoft.com/office/2006/metadata/properties"/>
    <ds:schemaRef ds:uri="http://schemas.microsoft.com/office/infopath/2007/PartnerControls"/>
    <ds:schemaRef ds:uri="30d79745-92fc-4b4e-a213-f975f2a6d945"/>
    <ds:schemaRef ds:uri="deec781b-51b2-41f5-8977-d833afa0cdb5"/>
  </ds:schemaRefs>
</ds:datastoreItem>
</file>

<file path=customXml/itemProps3.xml><?xml version="1.0" encoding="utf-8"?>
<ds:datastoreItem xmlns:ds="http://schemas.openxmlformats.org/officeDocument/2006/customXml" ds:itemID="{584E350F-ED2F-4130-A3DA-091E4FCD7A54}">
  <ds:schemaRefs>
    <ds:schemaRef ds:uri="http://schemas.microsoft.com/sharepoint/v3/contenttype/forms"/>
  </ds:schemaRefs>
</ds:datastoreItem>
</file>

<file path=customXml/itemProps4.xml><?xml version="1.0" encoding="utf-8"?>
<ds:datastoreItem xmlns:ds="http://schemas.openxmlformats.org/officeDocument/2006/customXml" ds:itemID="{26EEDD09-4967-443B-9299-1FFA2D099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c781b-51b2-41f5-8977-d833afa0cdb5"/>
    <ds:schemaRef ds:uri="30d79745-92fc-4b4e-a213-f975f2a6d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1838</Words>
  <Characters>10166</Characters>
  <Application>Microsoft Office Word</Application>
  <DocSecurity>0</DocSecurity>
  <Lines>309</Lines>
  <Paragraphs>183</Paragraphs>
  <ScaleCrop>false</ScaleCrop>
  <HeadingPairs>
    <vt:vector size="2" baseType="variant">
      <vt:variant>
        <vt:lpstr>Title</vt:lpstr>
      </vt:variant>
      <vt:variant>
        <vt:i4>1</vt:i4>
      </vt:variant>
    </vt:vector>
  </HeadingPairs>
  <TitlesOfParts>
    <vt:vector size="1" baseType="lpstr">
      <vt:lpstr>Children Schools and Families CMBM – July 2010</vt:lpstr>
    </vt:vector>
  </TitlesOfParts>
  <Company>London Borough of Tower Hamlets</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Schools and Families CMBM – July 2010</dc:title>
  <dc:creator>David Tully</dc:creator>
  <cp:lastModifiedBy>Phillip Nduoyo</cp:lastModifiedBy>
  <cp:revision>3</cp:revision>
  <cp:lastPrinted>2020-11-17T16:33:00Z</cp:lastPrinted>
  <dcterms:created xsi:type="dcterms:W3CDTF">2022-11-01T14:41:00Z</dcterms:created>
  <dcterms:modified xsi:type="dcterms:W3CDTF">2022-11-01T14:42:00Z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0x0101005D01BE090C39F147A791A9BD3E22C541</vt:lpwstr>
  </property>
  <property fmtid="{D5CDD505-2E9C-101B-9397-08002B2CF9AE}" pid="3" name="MediaServiceImageTags">
    <vt:lpwstr/>
  </property>
  <property fmtid="{D5CDD505-2E9C-101B-9397-08002B2CF9AE}" pid="4" name="GrammarlyDocumentId">
    <vt:lpwstr>3bb398b06c35e60c1cae904ffbd2f4e42c56034d75298746d4117c80650e3a7b</vt:lpwstr>
  </property>
</Properties>
</file>