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3695"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108"/>
      </w:tblGrid>
      <w:tr w:rsidR="004C11CF" w:rsidRPr="002374A3" w14:paraId="02D73697" w14:textId="77777777" w:rsidTr="00610152">
        <w:tc>
          <w:tcPr>
            <w:tcW w:w="9108" w:type="dxa"/>
          </w:tcPr>
          <w:p w14:paraId="02D73696" w14:textId="5CC6EB90" w:rsidR="004C11CF" w:rsidRPr="002374A3" w:rsidRDefault="0013261A" w:rsidP="002374A3">
            <w:pPr>
              <w:pStyle w:val="BodyTextIndent"/>
              <w:rPr>
                <w:b/>
                <w:sz w:val="32"/>
                <w:szCs w:val="32"/>
              </w:rPr>
            </w:pPr>
            <w:r>
              <w:rPr>
                <w:b/>
                <w:sz w:val="32"/>
                <w:szCs w:val="32"/>
              </w:rPr>
              <w:t>AGENDA ITEM</w:t>
            </w:r>
            <w:r w:rsidR="00CF28ED">
              <w:rPr>
                <w:b/>
                <w:sz w:val="32"/>
                <w:szCs w:val="32"/>
              </w:rPr>
              <w:t xml:space="preserve"> 3</w:t>
            </w:r>
            <w:r w:rsidR="009377C7">
              <w:rPr>
                <w:b/>
                <w:sz w:val="32"/>
                <w:szCs w:val="32"/>
              </w:rPr>
              <w:t>.2</w:t>
            </w:r>
          </w:p>
        </w:tc>
      </w:tr>
    </w:tbl>
    <w:p w14:paraId="02D73698" w14:textId="77777777" w:rsidR="003D08B1" w:rsidRPr="004C11CF" w:rsidRDefault="003D08B1" w:rsidP="004C11CF"/>
    <w:p w14:paraId="02D73699" w14:textId="77777777" w:rsidR="003D08B1" w:rsidRDefault="003D08B1" w:rsidP="003D08B1">
      <w:pPr>
        <w:rPr>
          <w:b/>
        </w:rPr>
      </w:pPr>
    </w:p>
    <w:p w14:paraId="02D7369A"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63235C">
        <w:rPr>
          <w:b/>
          <w:sz w:val="32"/>
          <w:szCs w:val="32"/>
        </w:rPr>
        <w:t>Central School Services Block</w:t>
      </w:r>
    </w:p>
    <w:p w14:paraId="02D7369B" w14:textId="77777777" w:rsidR="001E4116" w:rsidRPr="007B0EFA" w:rsidRDefault="001E4116" w:rsidP="001E4116">
      <w:pPr>
        <w:rPr>
          <w:b/>
          <w:sz w:val="22"/>
          <w:szCs w:val="22"/>
          <w:u w:val="single"/>
        </w:rPr>
      </w:pPr>
    </w:p>
    <w:p w14:paraId="02D7369C" w14:textId="1155F819" w:rsidR="001E4116" w:rsidRPr="007B0EFA" w:rsidRDefault="001E4116" w:rsidP="001E4116">
      <w:pPr>
        <w:pBdr>
          <w:top w:val="single" w:sz="4" w:space="1" w:color="auto"/>
          <w:left w:val="single" w:sz="4" w:space="4" w:color="auto"/>
          <w:bottom w:val="single" w:sz="4" w:space="1" w:color="auto"/>
          <w:right w:val="single" w:sz="4" w:space="4" w:color="auto"/>
        </w:pBdr>
      </w:pPr>
      <w:r w:rsidRPr="007B0EFA">
        <w:rPr>
          <w:b/>
        </w:rPr>
        <w:t xml:space="preserve">Author of the paper: </w:t>
      </w:r>
      <w:r w:rsidR="00862649" w:rsidRPr="007B0EFA">
        <w:rPr>
          <w:b/>
        </w:rPr>
        <w:t xml:space="preserve">  </w:t>
      </w:r>
      <w:r w:rsidR="00D3775D">
        <w:rPr>
          <w:b/>
        </w:rPr>
        <w:t>Kay Goodacre</w:t>
      </w:r>
      <w:r w:rsidR="0032014A" w:rsidRPr="007B0EFA">
        <w:rPr>
          <w:b/>
        </w:rPr>
        <w:t xml:space="preserve"> </w:t>
      </w:r>
      <w:r w:rsidR="00C13245" w:rsidRPr="007B0EFA">
        <w:rPr>
          <w:b/>
        </w:rPr>
        <w:t xml:space="preserve"> </w:t>
      </w:r>
    </w:p>
    <w:p w14:paraId="02D7369D" w14:textId="77777777" w:rsidR="001E4116" w:rsidRPr="007B0EFA" w:rsidRDefault="001E4116" w:rsidP="001E4116"/>
    <w:p w14:paraId="02D7369E" w14:textId="13595954" w:rsidR="001E4116" w:rsidRPr="007B0EFA" w:rsidRDefault="001E4116" w:rsidP="001E4116">
      <w:pPr>
        <w:pBdr>
          <w:top w:val="single" w:sz="4" w:space="1" w:color="auto"/>
          <w:left w:val="single" w:sz="4" w:space="4" w:color="auto"/>
          <w:bottom w:val="single" w:sz="4" w:space="1" w:color="auto"/>
          <w:right w:val="single" w:sz="4" w:space="4" w:color="auto"/>
        </w:pBdr>
      </w:pPr>
      <w:r w:rsidRPr="007B0EFA">
        <w:rPr>
          <w:b/>
        </w:rPr>
        <w:t xml:space="preserve">Officer to present the paper to </w:t>
      </w:r>
      <w:r w:rsidR="00025F55" w:rsidRPr="007B0EFA">
        <w:rPr>
          <w:b/>
        </w:rPr>
        <w:t>Schools Forum</w:t>
      </w:r>
      <w:r w:rsidRPr="007B0EFA">
        <w:rPr>
          <w:b/>
        </w:rPr>
        <w:t xml:space="preserve">: </w:t>
      </w:r>
      <w:r w:rsidR="00D3775D">
        <w:rPr>
          <w:b/>
        </w:rPr>
        <w:t>Kay Goodacre</w:t>
      </w:r>
    </w:p>
    <w:p w14:paraId="02D7369F" w14:textId="77777777" w:rsidR="001E4116" w:rsidRPr="007B0EFA" w:rsidRDefault="001E4116" w:rsidP="001E4116"/>
    <w:p w14:paraId="02D736A0" w14:textId="13239069" w:rsidR="0063235C" w:rsidRPr="00E0473F" w:rsidRDefault="001E4116" w:rsidP="002A08A5">
      <w:pPr>
        <w:pBdr>
          <w:top w:val="single" w:sz="4" w:space="1" w:color="auto"/>
          <w:left w:val="single" w:sz="4" w:space="4" w:color="auto"/>
          <w:bottom w:val="single" w:sz="4" w:space="1" w:color="auto"/>
          <w:right w:val="single" w:sz="4" w:space="4" w:color="auto"/>
        </w:pBdr>
        <w:rPr>
          <w:bCs/>
        </w:rPr>
      </w:pPr>
      <w:r w:rsidRPr="007B0EFA">
        <w:rPr>
          <w:b/>
        </w:rPr>
        <w:t>Details on who has been consulted on this paper to date:</w:t>
      </w:r>
      <w:r w:rsidR="00E0473F">
        <w:rPr>
          <w:b/>
        </w:rPr>
        <w:t xml:space="preserve"> </w:t>
      </w:r>
      <w:r w:rsidR="00E0473F" w:rsidRPr="00E0473F">
        <w:rPr>
          <w:bCs/>
        </w:rPr>
        <w:t>Previous Forum meeting</w:t>
      </w:r>
    </w:p>
    <w:p w14:paraId="02D736A1" w14:textId="77777777" w:rsidR="00C13245" w:rsidRPr="007B0EFA" w:rsidRDefault="00C13245" w:rsidP="002A08A5">
      <w:pPr>
        <w:pBdr>
          <w:top w:val="single" w:sz="4" w:space="1" w:color="auto"/>
          <w:left w:val="single" w:sz="4" w:space="4" w:color="auto"/>
          <w:bottom w:val="single" w:sz="4" w:space="1" w:color="auto"/>
          <w:right w:val="single" w:sz="4" w:space="4" w:color="auto"/>
        </w:pBdr>
        <w:rPr>
          <w:b/>
        </w:rPr>
      </w:pPr>
    </w:p>
    <w:p w14:paraId="02D736A2" w14:textId="77777777" w:rsidR="001E4116" w:rsidRPr="007B0EFA" w:rsidRDefault="001E4116" w:rsidP="001E4116"/>
    <w:tbl>
      <w:tblPr>
        <w:tblStyle w:val="TableGrid"/>
        <w:tblW w:w="0" w:type="auto"/>
        <w:tblLook w:val="04A0" w:firstRow="1" w:lastRow="0" w:firstColumn="1" w:lastColumn="0" w:noHBand="0" w:noVBand="1"/>
      </w:tblPr>
      <w:tblGrid>
        <w:gridCol w:w="9286"/>
      </w:tblGrid>
      <w:tr w:rsidR="002A08A5" w:rsidRPr="007B0EFA" w14:paraId="02D736AA" w14:textId="77777777" w:rsidTr="002A08A5">
        <w:tc>
          <w:tcPr>
            <w:tcW w:w="9286" w:type="dxa"/>
          </w:tcPr>
          <w:p w14:paraId="02D736A3" w14:textId="77777777" w:rsidR="002A08A5" w:rsidRPr="007B0EFA" w:rsidRDefault="002A08A5" w:rsidP="001E4116">
            <w:pPr>
              <w:rPr>
                <w:b/>
              </w:rPr>
            </w:pPr>
            <w:r w:rsidRPr="007B0EFA">
              <w:rPr>
                <w:b/>
              </w:rPr>
              <w:t>Executive Summary.</w:t>
            </w:r>
          </w:p>
          <w:p w14:paraId="02D736A4" w14:textId="77777777" w:rsidR="00D20C22" w:rsidRDefault="0079745A" w:rsidP="001E4116">
            <w:r w:rsidRPr="007B0EFA">
              <w:t>The report:</w:t>
            </w:r>
          </w:p>
          <w:p w14:paraId="02D736A5" w14:textId="77777777" w:rsidR="00676A40" w:rsidRPr="007B0EFA" w:rsidRDefault="00676A40" w:rsidP="001E4116"/>
          <w:p w14:paraId="02D736A6" w14:textId="01A741C1" w:rsidR="00D20C22" w:rsidRPr="00676A40" w:rsidRDefault="00D20C22" w:rsidP="009C56C2">
            <w:pPr>
              <w:pStyle w:val="ListParagraph"/>
              <w:numPr>
                <w:ilvl w:val="0"/>
                <w:numId w:val="3"/>
              </w:numPr>
              <w:rPr>
                <w:b/>
              </w:rPr>
            </w:pPr>
            <w:r w:rsidRPr="007B0EFA">
              <w:t>Sets out the background to the Central Schools S</w:t>
            </w:r>
            <w:r w:rsidR="0079745A" w:rsidRPr="007B0EFA">
              <w:t>ervices Block</w:t>
            </w:r>
            <w:r w:rsidR="00676A40">
              <w:t xml:space="preserve"> (CSSB)</w:t>
            </w:r>
            <w:r w:rsidR="0079745A" w:rsidRPr="007B0EFA">
              <w:t xml:space="preserve"> and the</w:t>
            </w:r>
            <w:r w:rsidR="0032014A" w:rsidRPr="007B0EFA">
              <w:t xml:space="preserve"> allocation for 202</w:t>
            </w:r>
            <w:r w:rsidR="002211B9">
              <w:t>1</w:t>
            </w:r>
            <w:r w:rsidR="0032014A" w:rsidRPr="007B0EFA">
              <w:t>-2</w:t>
            </w:r>
            <w:r w:rsidR="002211B9">
              <w:t>2</w:t>
            </w:r>
            <w:r w:rsidRPr="007B0EFA">
              <w:t>.</w:t>
            </w:r>
          </w:p>
          <w:p w14:paraId="02D736A7" w14:textId="0E4AA1DD" w:rsidR="00676A40" w:rsidRPr="007B0EFA" w:rsidRDefault="00676A40" w:rsidP="009C56C2">
            <w:pPr>
              <w:pStyle w:val="ListParagraph"/>
              <w:numPr>
                <w:ilvl w:val="0"/>
                <w:numId w:val="3"/>
              </w:numPr>
              <w:rPr>
                <w:b/>
              </w:rPr>
            </w:pPr>
            <w:r>
              <w:t xml:space="preserve">Informs members of the </w:t>
            </w:r>
            <w:r w:rsidR="00E0473F">
              <w:t xml:space="preserve">real terms </w:t>
            </w:r>
            <w:r>
              <w:t>cut of £0.</w:t>
            </w:r>
            <w:r w:rsidR="00EC3FE5">
              <w:t>505</w:t>
            </w:r>
            <w:r>
              <w:t>m in the CSSB for 202</w:t>
            </w:r>
            <w:r w:rsidR="00A26626">
              <w:t>1</w:t>
            </w:r>
            <w:r>
              <w:t>-2</w:t>
            </w:r>
            <w:r w:rsidR="00A26626">
              <w:t>2</w:t>
            </w:r>
            <w:r>
              <w:t xml:space="preserve">. </w:t>
            </w:r>
          </w:p>
          <w:p w14:paraId="02D736A8" w14:textId="3746A5D7" w:rsidR="00B06B29" w:rsidRPr="007B0EFA" w:rsidRDefault="00676A40" w:rsidP="009C56C2">
            <w:pPr>
              <w:pStyle w:val="ListParagraph"/>
              <w:numPr>
                <w:ilvl w:val="0"/>
                <w:numId w:val="3"/>
              </w:numPr>
            </w:pPr>
            <w:r>
              <w:t xml:space="preserve">Sets out the budgets that the local authority wishes to </w:t>
            </w:r>
            <w:r w:rsidR="002211B9">
              <w:t>con</w:t>
            </w:r>
            <w:r w:rsidR="00921F38">
              <w:t>tinue</w:t>
            </w:r>
            <w:r w:rsidR="00B32E5B">
              <w:t xml:space="preserve"> through the</w:t>
            </w:r>
            <w:r w:rsidR="00921F38">
              <w:t xml:space="preserve"> </w:t>
            </w:r>
            <w:r>
              <w:t>central</w:t>
            </w:r>
            <w:r w:rsidR="00921F38">
              <w:t xml:space="preserve"> </w:t>
            </w:r>
            <w:r w:rsidR="00B32E5B">
              <w:t xml:space="preserve">school </w:t>
            </w:r>
            <w:r w:rsidR="00921F38">
              <w:t>service</w:t>
            </w:r>
            <w:r w:rsidR="00B32E5B">
              <w:t xml:space="preserve"> block</w:t>
            </w:r>
            <w:r w:rsidR="00921F38">
              <w:t xml:space="preserve"> </w:t>
            </w:r>
            <w:r>
              <w:t>and the proposed budgetary reductions to accommodate the cut in funding.</w:t>
            </w:r>
          </w:p>
          <w:p w14:paraId="02D736A9" w14:textId="77777777" w:rsidR="002A08A5" w:rsidRPr="007B0EFA" w:rsidRDefault="002A08A5" w:rsidP="001E4116"/>
        </w:tc>
      </w:tr>
    </w:tbl>
    <w:p w14:paraId="02D736AB" w14:textId="77777777" w:rsidR="002A08A5" w:rsidRPr="007B0EFA" w:rsidRDefault="002A08A5" w:rsidP="002A08A5">
      <w:pPr>
        <w:pStyle w:val="Header"/>
        <w:jc w:val="center"/>
        <w:rPr>
          <w:b/>
        </w:rPr>
      </w:pPr>
    </w:p>
    <w:tbl>
      <w:tblPr>
        <w:tblStyle w:val="TableGrid"/>
        <w:tblW w:w="0" w:type="auto"/>
        <w:tblLook w:val="04A0" w:firstRow="1" w:lastRow="0" w:firstColumn="1" w:lastColumn="0" w:noHBand="0" w:noVBand="1"/>
      </w:tblPr>
      <w:tblGrid>
        <w:gridCol w:w="9286"/>
      </w:tblGrid>
      <w:tr w:rsidR="002A08A5" w:rsidRPr="007B0EFA" w14:paraId="02D736B4" w14:textId="77777777" w:rsidTr="002A08A5">
        <w:tc>
          <w:tcPr>
            <w:tcW w:w="9286" w:type="dxa"/>
          </w:tcPr>
          <w:p w14:paraId="02D736AC" w14:textId="77777777" w:rsidR="002A08A5" w:rsidRPr="007B0EFA" w:rsidRDefault="002A08A5" w:rsidP="002A08A5">
            <w:pPr>
              <w:pStyle w:val="Header"/>
              <w:rPr>
                <w:b/>
              </w:rPr>
            </w:pPr>
            <w:r w:rsidRPr="007B0EFA">
              <w:rPr>
                <w:b/>
              </w:rPr>
              <w:t xml:space="preserve">Details of recommendations and timescales for decisions: </w:t>
            </w:r>
          </w:p>
          <w:p w14:paraId="02D736AD" w14:textId="77777777" w:rsidR="003C7DF4" w:rsidRPr="007B0EFA" w:rsidRDefault="003C7DF4" w:rsidP="002A08A5">
            <w:pPr>
              <w:pStyle w:val="Header"/>
              <w:rPr>
                <w:b/>
              </w:rPr>
            </w:pPr>
          </w:p>
          <w:p w14:paraId="02D736AE" w14:textId="77777777" w:rsidR="002A08A5" w:rsidRPr="007B0EFA" w:rsidRDefault="002A08A5" w:rsidP="002A08A5">
            <w:pPr>
              <w:pStyle w:val="Header"/>
              <w:rPr>
                <w:b/>
              </w:rPr>
            </w:pPr>
            <w:r w:rsidRPr="007B0EFA">
              <w:rPr>
                <w:b/>
              </w:rPr>
              <w:t>Schools Forum is asked to:</w:t>
            </w:r>
          </w:p>
          <w:p w14:paraId="02D736AF" w14:textId="77777777" w:rsidR="00B06B29" w:rsidRPr="007B0EFA" w:rsidRDefault="00B06B29" w:rsidP="002A08A5">
            <w:pPr>
              <w:pStyle w:val="Header"/>
              <w:rPr>
                <w:b/>
              </w:rPr>
            </w:pPr>
          </w:p>
          <w:p w14:paraId="02D736B0" w14:textId="22D52319" w:rsidR="0079745A" w:rsidRPr="007B0EFA" w:rsidRDefault="0079745A" w:rsidP="000D5CCD">
            <w:pPr>
              <w:pStyle w:val="Header"/>
              <w:ind w:left="360"/>
              <w:rPr>
                <w:b/>
              </w:rPr>
            </w:pPr>
            <w:r w:rsidRPr="007B0EFA">
              <w:rPr>
                <w:b/>
              </w:rPr>
              <w:t xml:space="preserve">Agree the </w:t>
            </w:r>
            <w:r w:rsidR="00812466">
              <w:rPr>
                <w:b/>
              </w:rPr>
              <w:t>c</w:t>
            </w:r>
            <w:r w:rsidR="006335B5">
              <w:rPr>
                <w:b/>
              </w:rPr>
              <w:t>ontinuation of the use of C</w:t>
            </w:r>
            <w:r w:rsidR="00D37AAB">
              <w:rPr>
                <w:b/>
              </w:rPr>
              <w:t xml:space="preserve">entral school Services budget to the </w:t>
            </w:r>
            <w:r w:rsidR="00F46219">
              <w:rPr>
                <w:b/>
              </w:rPr>
              <w:t>budget lines listed.</w:t>
            </w:r>
          </w:p>
          <w:p w14:paraId="02D736B2" w14:textId="09860DC6" w:rsidR="002A08A5" w:rsidRPr="007B0EFA" w:rsidRDefault="002A08A5" w:rsidP="000D5CCD">
            <w:pPr>
              <w:pStyle w:val="Header"/>
              <w:ind w:left="720"/>
              <w:rPr>
                <w:b/>
              </w:rPr>
            </w:pPr>
          </w:p>
          <w:p w14:paraId="02D736B3" w14:textId="77777777" w:rsidR="002A08A5" w:rsidRPr="007B0EFA" w:rsidRDefault="002A08A5" w:rsidP="002A08A5">
            <w:pPr>
              <w:pStyle w:val="Header"/>
              <w:rPr>
                <w:b/>
              </w:rPr>
            </w:pPr>
          </w:p>
        </w:tc>
      </w:tr>
    </w:tbl>
    <w:p w14:paraId="02D736B5" w14:textId="77777777" w:rsidR="002A08A5" w:rsidRPr="007B0EFA" w:rsidRDefault="002A08A5" w:rsidP="002A08A5">
      <w:pPr>
        <w:pStyle w:val="Header"/>
        <w:jc w:val="center"/>
        <w:rPr>
          <w:b/>
        </w:rPr>
      </w:pPr>
    </w:p>
    <w:p w14:paraId="02D736B6" w14:textId="77777777" w:rsidR="002A08A5" w:rsidRPr="007B0EFA" w:rsidRDefault="002A08A5" w:rsidP="002A08A5">
      <w:pPr>
        <w:pStyle w:val="Header"/>
        <w:jc w:val="center"/>
        <w:rPr>
          <w:b/>
        </w:rPr>
      </w:pPr>
    </w:p>
    <w:p w14:paraId="02D736B7" w14:textId="77777777" w:rsidR="00BB4758" w:rsidRPr="007B0EFA" w:rsidRDefault="001E4116" w:rsidP="002A08A5">
      <w:pPr>
        <w:pStyle w:val="Header"/>
        <w:jc w:val="center"/>
        <w:rPr>
          <w:b/>
        </w:rPr>
      </w:pPr>
      <w:r w:rsidRPr="007B0EFA">
        <w:rPr>
          <w:b/>
        </w:rPr>
        <w:br w:type="page"/>
      </w:r>
    </w:p>
    <w:p w14:paraId="02D736B8" w14:textId="77777777" w:rsidR="00974C85" w:rsidRPr="007B0EFA" w:rsidRDefault="00974C85" w:rsidP="009C56C2">
      <w:pPr>
        <w:numPr>
          <w:ilvl w:val="0"/>
          <w:numId w:val="2"/>
        </w:numPr>
        <w:spacing w:after="160" w:line="259" w:lineRule="auto"/>
        <w:contextualSpacing/>
        <w:rPr>
          <w:b/>
        </w:rPr>
      </w:pPr>
      <w:r w:rsidRPr="007B0EFA">
        <w:rPr>
          <w:b/>
        </w:rPr>
        <w:lastRenderedPageBreak/>
        <w:t>Central School Services Block (CSSB).</w:t>
      </w:r>
    </w:p>
    <w:p w14:paraId="02D736B9" w14:textId="77777777" w:rsidR="00974C85" w:rsidRPr="007B0EFA" w:rsidRDefault="00974C85" w:rsidP="00974C85">
      <w:pPr>
        <w:spacing w:after="160" w:line="259" w:lineRule="auto"/>
        <w:ind w:left="360"/>
        <w:contextualSpacing/>
        <w:rPr>
          <w:b/>
        </w:rPr>
      </w:pPr>
    </w:p>
    <w:p w14:paraId="02D736BA" w14:textId="77777777" w:rsidR="008A589D" w:rsidRPr="007B0EFA" w:rsidRDefault="00974C85" w:rsidP="008A589D">
      <w:pPr>
        <w:numPr>
          <w:ilvl w:val="1"/>
          <w:numId w:val="2"/>
        </w:numPr>
        <w:spacing w:after="160" w:line="259" w:lineRule="auto"/>
        <w:ind w:left="567" w:hanging="567"/>
        <w:contextualSpacing/>
      </w:pPr>
      <w:r w:rsidRPr="007B0EFA">
        <w:t xml:space="preserve">The Central Schools Services Block </w:t>
      </w:r>
      <w:r w:rsidR="00E954C0" w:rsidRPr="007B0EFA">
        <w:t xml:space="preserve">of the Dedicated Schools Grant (DSG) </w:t>
      </w:r>
      <w:r w:rsidRPr="007B0EFA">
        <w:t xml:space="preserve">was created in 2018-19. It </w:t>
      </w:r>
      <w:r w:rsidR="00FE248C" w:rsidRPr="007B0EFA">
        <w:t xml:space="preserve">brought together </w:t>
      </w:r>
      <w:r w:rsidRPr="007B0EFA">
        <w:t xml:space="preserve">centrally retained budgets </w:t>
      </w:r>
      <w:r w:rsidR="00FE248C" w:rsidRPr="007B0EFA">
        <w:t xml:space="preserve">transferred from </w:t>
      </w:r>
      <w:r w:rsidRPr="007B0EFA">
        <w:t>the Schools Block and funding</w:t>
      </w:r>
      <w:r w:rsidR="00513AE8" w:rsidRPr="007B0EFA">
        <w:t xml:space="preserve"> </w:t>
      </w:r>
      <w:r w:rsidR="00FE248C" w:rsidRPr="007B0EFA">
        <w:t xml:space="preserve">for </w:t>
      </w:r>
      <w:r w:rsidRPr="007B0EFA">
        <w:t xml:space="preserve">duties </w:t>
      </w:r>
      <w:r w:rsidR="00FE248C" w:rsidRPr="007B0EFA">
        <w:t xml:space="preserve">retained </w:t>
      </w:r>
      <w:r w:rsidRPr="007B0EFA">
        <w:t>for both maintained schools and academies</w:t>
      </w:r>
      <w:r w:rsidR="00FE248C" w:rsidRPr="007B0EFA">
        <w:t>. T</w:t>
      </w:r>
      <w:r w:rsidRPr="007B0EFA">
        <w:t>he l</w:t>
      </w:r>
      <w:r w:rsidR="00B42306">
        <w:t>atter was previously funded through</w:t>
      </w:r>
      <w:r w:rsidRPr="007B0EFA">
        <w:t xml:space="preserve"> the Education Services Grant (ESG).</w:t>
      </w:r>
    </w:p>
    <w:p w14:paraId="02D736BB" w14:textId="77777777" w:rsidR="008A589D" w:rsidRPr="007B0EFA" w:rsidRDefault="008A589D" w:rsidP="008A589D">
      <w:pPr>
        <w:tabs>
          <w:tab w:val="left" w:pos="709"/>
        </w:tabs>
        <w:spacing w:after="160" w:line="259" w:lineRule="auto"/>
        <w:ind w:left="360"/>
        <w:contextualSpacing/>
      </w:pPr>
    </w:p>
    <w:p w14:paraId="02D736BC" w14:textId="77777777" w:rsidR="008A589D" w:rsidRPr="007B0EFA" w:rsidRDefault="008A589D" w:rsidP="008A589D">
      <w:pPr>
        <w:numPr>
          <w:ilvl w:val="1"/>
          <w:numId w:val="2"/>
        </w:numPr>
        <w:spacing w:after="160" w:line="259" w:lineRule="auto"/>
        <w:ind w:left="567" w:hanging="567"/>
        <w:contextualSpacing/>
      </w:pPr>
      <w:r w:rsidRPr="007B0EFA">
        <w:t>The aim of the CSSB is to improve transparency and recognise the continued need to</w:t>
      </w:r>
      <w:r w:rsidR="00B722B9">
        <w:t xml:space="preserve"> use the DSG</w:t>
      </w:r>
      <w:r w:rsidRPr="007B0EFA">
        <w:t xml:space="preserve"> to fund centrally managed commitments which support front line and support service functions.</w:t>
      </w:r>
    </w:p>
    <w:p w14:paraId="02D736BD" w14:textId="77777777" w:rsidR="00974C85" w:rsidRPr="007B0EFA" w:rsidRDefault="00974C85" w:rsidP="00974C85">
      <w:pPr>
        <w:spacing w:after="160" w:line="259" w:lineRule="auto"/>
        <w:ind w:left="567"/>
        <w:contextualSpacing/>
      </w:pPr>
    </w:p>
    <w:p w14:paraId="02D736BE" w14:textId="77777777" w:rsidR="00974C85" w:rsidRPr="007B0EFA" w:rsidRDefault="00974C85" w:rsidP="009C56C2">
      <w:pPr>
        <w:numPr>
          <w:ilvl w:val="1"/>
          <w:numId w:val="2"/>
        </w:numPr>
        <w:spacing w:after="160" w:line="259" w:lineRule="auto"/>
        <w:ind w:hanging="567"/>
        <w:contextualSpacing/>
      </w:pPr>
      <w:r w:rsidRPr="007B0EFA">
        <w:t>The funding the Author</w:t>
      </w:r>
      <w:r w:rsidR="00513AE8" w:rsidRPr="007B0EFA">
        <w:t>ity receives is made up of two</w:t>
      </w:r>
      <w:r w:rsidRPr="007B0EFA">
        <w:t xml:space="preserve"> </w:t>
      </w:r>
      <w:r w:rsidR="00513AE8" w:rsidRPr="007B0EFA">
        <w:t>elements</w:t>
      </w:r>
      <w:r w:rsidRPr="007B0EFA">
        <w:t>:</w:t>
      </w:r>
    </w:p>
    <w:p w14:paraId="02D736BF" w14:textId="77777777" w:rsidR="00974C85" w:rsidRPr="007B0EFA" w:rsidRDefault="00974C85" w:rsidP="00974C85">
      <w:pPr>
        <w:spacing w:after="160" w:line="259" w:lineRule="auto"/>
        <w:contextualSpacing/>
      </w:pPr>
    </w:p>
    <w:p w14:paraId="02D736C1" w14:textId="26A548F7" w:rsidR="007B0EFA" w:rsidRPr="007B0EFA" w:rsidRDefault="00974C85" w:rsidP="00221DAB">
      <w:pPr>
        <w:numPr>
          <w:ilvl w:val="2"/>
          <w:numId w:val="2"/>
        </w:numPr>
        <w:spacing w:after="160" w:line="259" w:lineRule="auto"/>
        <w:ind w:left="1418" w:hanging="698"/>
        <w:contextualSpacing/>
      </w:pPr>
      <w:r w:rsidRPr="007B0EFA">
        <w:t xml:space="preserve">Funding </w:t>
      </w:r>
      <w:r w:rsidR="00A96F8C" w:rsidRPr="007B0EFA">
        <w:t xml:space="preserve">through a national formula </w:t>
      </w:r>
      <w:r w:rsidRPr="007B0EFA">
        <w:t>for ongoing responsibilities</w:t>
      </w:r>
      <w:r w:rsidR="006C6348">
        <w:t>,</w:t>
      </w:r>
      <w:r w:rsidRPr="007B0EFA">
        <w:t xml:space="preserve"> such as admissions</w:t>
      </w:r>
      <w:r w:rsidR="006C6348">
        <w:t>,</w:t>
      </w:r>
      <w:r w:rsidR="00513AE8" w:rsidRPr="007B0EFA">
        <w:t xml:space="preserve"> and former ESG services.</w:t>
      </w:r>
      <w:r w:rsidR="00950365" w:rsidRPr="007B0EFA">
        <w:t xml:space="preserve"> For</w:t>
      </w:r>
      <w:r w:rsidR="0032014A" w:rsidRPr="007B0EFA">
        <w:t xml:space="preserve"> 202</w:t>
      </w:r>
      <w:r w:rsidR="00EC7376">
        <w:t>1</w:t>
      </w:r>
      <w:r w:rsidR="0032014A" w:rsidRPr="007B0EFA">
        <w:t>-2</w:t>
      </w:r>
      <w:r w:rsidR="00EC7376">
        <w:t>2</w:t>
      </w:r>
      <w:r w:rsidR="007E2837" w:rsidRPr="007B0EFA">
        <w:t xml:space="preserve"> the allocation is £</w:t>
      </w:r>
      <w:r w:rsidR="00B200D4">
        <w:t>2</w:t>
      </w:r>
      <w:r w:rsidR="00277E23">
        <w:t>.1</w:t>
      </w:r>
      <w:r w:rsidR="003B5008">
        <w:t>0</w:t>
      </w:r>
      <w:r w:rsidR="00277E23">
        <w:t>7</w:t>
      </w:r>
      <w:r w:rsidR="000007DD" w:rsidRPr="007B0EFA">
        <w:t>m</w:t>
      </w:r>
      <w:r w:rsidR="007E2837" w:rsidRPr="007B0EFA">
        <w:t xml:space="preserve"> compared to £</w:t>
      </w:r>
      <w:r w:rsidR="00EC7376">
        <w:t>1</w:t>
      </w:r>
      <w:r w:rsidR="007E2837" w:rsidRPr="007B0EFA">
        <w:t>.</w:t>
      </w:r>
      <w:r w:rsidR="00EC7376">
        <w:t>974</w:t>
      </w:r>
      <w:r w:rsidR="007E2837" w:rsidRPr="007B0EFA">
        <w:t>m for 20</w:t>
      </w:r>
      <w:r w:rsidR="007B77DE">
        <w:t>20</w:t>
      </w:r>
      <w:r w:rsidR="007E2837" w:rsidRPr="007B0EFA">
        <w:t>-2</w:t>
      </w:r>
      <w:r w:rsidR="007B77DE">
        <w:t>1</w:t>
      </w:r>
      <w:r w:rsidR="007E2837" w:rsidRPr="007B0EFA">
        <w:t xml:space="preserve">, </w:t>
      </w:r>
      <w:r w:rsidR="00277E23">
        <w:t>this represents a decrease in real terms</w:t>
      </w:r>
      <w:r w:rsidR="00966200">
        <w:t xml:space="preserve"> of £</w:t>
      </w:r>
      <w:r w:rsidR="00411500">
        <w:t>5</w:t>
      </w:r>
      <w:r w:rsidR="00966200">
        <w:t>9k</w:t>
      </w:r>
      <w:r w:rsidR="00277E23">
        <w:t xml:space="preserve"> as </w:t>
      </w:r>
      <w:r w:rsidR="005D445C">
        <w:t>an allocation o</w:t>
      </w:r>
      <w:r w:rsidR="00966200">
        <w:t>f</w:t>
      </w:r>
      <w:r w:rsidR="005D445C">
        <w:t xml:space="preserve"> £192k</w:t>
      </w:r>
      <w:r w:rsidR="008624FA">
        <w:t xml:space="preserve"> is included</w:t>
      </w:r>
      <w:r w:rsidR="005D445C">
        <w:t xml:space="preserve"> </w:t>
      </w:r>
      <w:r w:rsidR="00EA2F6B">
        <w:t xml:space="preserve">which was </w:t>
      </w:r>
      <w:r w:rsidR="00872BA7">
        <w:t xml:space="preserve">previously </w:t>
      </w:r>
      <w:r w:rsidR="008624FA">
        <w:t xml:space="preserve">paid </w:t>
      </w:r>
      <w:r w:rsidR="00EA2F6B">
        <w:t>separat</w:t>
      </w:r>
      <w:r w:rsidR="00872BA7">
        <w:t>ely</w:t>
      </w:r>
      <w:r w:rsidR="00EA2F6B">
        <w:t xml:space="preserve"> </w:t>
      </w:r>
      <w:r w:rsidR="006F4B9B">
        <w:t xml:space="preserve">as </w:t>
      </w:r>
      <w:r w:rsidR="00EA2F6B">
        <w:t>pay and pensions grant.</w:t>
      </w:r>
    </w:p>
    <w:p w14:paraId="02D736C2" w14:textId="1199CC54" w:rsidR="00593813" w:rsidRPr="007B0EFA" w:rsidRDefault="007E2837" w:rsidP="007B0EFA">
      <w:pPr>
        <w:numPr>
          <w:ilvl w:val="2"/>
          <w:numId w:val="2"/>
        </w:numPr>
        <w:spacing w:after="160" w:line="259" w:lineRule="auto"/>
        <w:ind w:left="1418" w:hanging="698"/>
        <w:contextualSpacing/>
      </w:pPr>
      <w:r w:rsidRPr="007B0EFA">
        <w:t xml:space="preserve">A lump sum element </w:t>
      </w:r>
      <w:r w:rsidR="000007DD" w:rsidRPr="007B0EFA">
        <w:t xml:space="preserve">for historical commitments. </w:t>
      </w:r>
      <w:r w:rsidRPr="007B0EFA">
        <w:t>For 202</w:t>
      </w:r>
      <w:r w:rsidR="007B77DE">
        <w:t>1</w:t>
      </w:r>
      <w:r w:rsidRPr="007B0EFA">
        <w:t>-2</w:t>
      </w:r>
      <w:r w:rsidR="007B77DE">
        <w:t>2</w:t>
      </w:r>
      <w:r w:rsidRPr="007B0EFA">
        <w:t xml:space="preserve"> this will be £</w:t>
      </w:r>
      <w:r w:rsidR="007B77DE">
        <w:t>1</w:t>
      </w:r>
      <w:r w:rsidRPr="007B0EFA">
        <w:t>.</w:t>
      </w:r>
      <w:r w:rsidR="00170E12">
        <w:t>780</w:t>
      </w:r>
      <w:r w:rsidRPr="007B0EFA">
        <w:t>m compared to £2.</w:t>
      </w:r>
      <w:r w:rsidR="00170E12">
        <w:t>226</w:t>
      </w:r>
      <w:r w:rsidRPr="007B0EFA">
        <w:t>m for 20</w:t>
      </w:r>
      <w:r w:rsidR="00170E12">
        <w:t>20</w:t>
      </w:r>
      <w:r w:rsidRPr="007B0EFA">
        <w:t>-2</w:t>
      </w:r>
      <w:r w:rsidR="00170E12">
        <w:t>1</w:t>
      </w:r>
      <w:r w:rsidRPr="007B0EFA">
        <w:t>, a reduction of £0.</w:t>
      </w:r>
      <w:r w:rsidR="00170E12">
        <w:t>44</w:t>
      </w:r>
      <w:r w:rsidR="0012431B">
        <w:t>6</w:t>
      </w:r>
      <w:r w:rsidRPr="007B0EFA">
        <w:t>m.</w:t>
      </w:r>
      <w:r w:rsidR="0066120B" w:rsidRPr="007B0EFA">
        <w:t xml:space="preserve"> </w:t>
      </w:r>
      <w:r w:rsidR="00F33B76">
        <w:t>This is a signifi</w:t>
      </w:r>
      <w:r w:rsidR="008341F3">
        <w:t>cant reduction in funding and a</w:t>
      </w:r>
      <w:r w:rsidR="0066120B" w:rsidRPr="007B0EFA">
        <w:t>lthough a reduction in this element was expected</w:t>
      </w:r>
      <w:r w:rsidR="00F74CFC">
        <w:t>,</w:t>
      </w:r>
      <w:r w:rsidR="0066120B" w:rsidRPr="007B0EFA">
        <w:t xml:space="preserve"> as the Education and Skills Funding Agency (ESFA) </w:t>
      </w:r>
      <w:r w:rsidR="00747E1A" w:rsidRPr="007B0EFA">
        <w:t>assumes a downward trend in historical commitments</w:t>
      </w:r>
      <w:r w:rsidR="008341F3">
        <w:t xml:space="preserve"> it represents a significant reduction in </w:t>
      </w:r>
      <w:r w:rsidR="00031A20">
        <w:t>LA resources</w:t>
      </w:r>
      <w:r w:rsidR="00665D28">
        <w:t>.</w:t>
      </w:r>
    </w:p>
    <w:p w14:paraId="02D736C3" w14:textId="77777777" w:rsidR="00593813" w:rsidRPr="007B0EFA" w:rsidRDefault="00593813" w:rsidP="00593813">
      <w:pPr>
        <w:tabs>
          <w:tab w:val="left" w:pos="709"/>
        </w:tabs>
        <w:spacing w:after="160" w:line="259" w:lineRule="auto"/>
        <w:ind w:left="709"/>
        <w:contextualSpacing/>
      </w:pPr>
    </w:p>
    <w:p w14:paraId="02D736C4" w14:textId="046B83E5" w:rsidR="00AD6680" w:rsidRPr="007B0EFA" w:rsidRDefault="008A589D" w:rsidP="009C56C2">
      <w:pPr>
        <w:numPr>
          <w:ilvl w:val="1"/>
          <w:numId w:val="2"/>
        </w:numPr>
        <w:tabs>
          <w:tab w:val="left" w:pos="709"/>
        </w:tabs>
        <w:spacing w:after="160" w:line="259" w:lineRule="auto"/>
        <w:ind w:left="709" w:hanging="709"/>
        <w:contextualSpacing/>
      </w:pPr>
      <w:r w:rsidRPr="007B0EFA">
        <w:t>The overall CSSB for 202</w:t>
      </w:r>
      <w:r w:rsidR="007020CA">
        <w:t>1</w:t>
      </w:r>
      <w:r w:rsidRPr="007B0EFA">
        <w:t>-2</w:t>
      </w:r>
      <w:r w:rsidR="001D6A6A">
        <w:t>2</w:t>
      </w:r>
      <w:r w:rsidRPr="007B0EFA">
        <w:t xml:space="preserve"> is </w:t>
      </w:r>
      <w:r w:rsidR="00700948" w:rsidRPr="007B0EFA">
        <w:t>therefore £</w:t>
      </w:r>
      <w:r w:rsidR="00336FD4">
        <w:t>3</w:t>
      </w:r>
      <w:r w:rsidRPr="007B0EFA">
        <w:t>.</w:t>
      </w:r>
      <w:r w:rsidR="009A2140">
        <w:t>887</w:t>
      </w:r>
      <w:r w:rsidRPr="007B0EFA">
        <w:t>m, compared with a 2017-18 baseline of £4.920m</w:t>
      </w:r>
      <w:r w:rsidR="00A26908">
        <w:t xml:space="preserve">, a reduction </w:t>
      </w:r>
      <w:r w:rsidR="00B727D4">
        <w:t>exceeding £1m</w:t>
      </w:r>
      <w:r w:rsidR="00B155D3">
        <w:t xml:space="preserve"> and 20%</w:t>
      </w:r>
      <w:r w:rsidR="002139AB">
        <w:t xml:space="preserve"> </w:t>
      </w:r>
      <w:r w:rsidR="00733123">
        <w:t>over 4 years</w:t>
      </w:r>
      <w:r w:rsidR="00B727D4">
        <w:t>.</w:t>
      </w:r>
    </w:p>
    <w:p w14:paraId="02D736C5" w14:textId="77777777" w:rsidR="00793390" w:rsidRPr="007B0EFA" w:rsidRDefault="00793390" w:rsidP="00793390">
      <w:pPr>
        <w:tabs>
          <w:tab w:val="left" w:pos="709"/>
        </w:tabs>
        <w:spacing w:after="160" w:line="259" w:lineRule="auto"/>
        <w:ind w:left="709"/>
        <w:contextualSpacing/>
      </w:pPr>
    </w:p>
    <w:p w14:paraId="02D736C7" w14:textId="6C2587AD" w:rsidR="007B0EFA" w:rsidRDefault="007B0EFA" w:rsidP="000844FD">
      <w:pPr>
        <w:numPr>
          <w:ilvl w:val="1"/>
          <w:numId w:val="2"/>
        </w:numPr>
        <w:tabs>
          <w:tab w:val="left" w:pos="709"/>
        </w:tabs>
        <w:spacing w:after="160" w:line="259" w:lineRule="auto"/>
        <w:ind w:hanging="709"/>
        <w:contextualSpacing/>
        <w:rPr>
          <w:rFonts w:cs="Arial"/>
        </w:rPr>
      </w:pPr>
      <w:r w:rsidRPr="00D81243">
        <w:rPr>
          <w:rFonts w:cs="Arial"/>
        </w:rPr>
        <w:t>The services retained under this block in 20</w:t>
      </w:r>
      <w:r w:rsidR="00193E69" w:rsidRPr="00D81243">
        <w:rPr>
          <w:rFonts w:cs="Arial"/>
        </w:rPr>
        <w:t>20</w:t>
      </w:r>
      <w:r w:rsidRPr="00D81243">
        <w:rPr>
          <w:rFonts w:cs="Arial"/>
        </w:rPr>
        <w:t>-2</w:t>
      </w:r>
      <w:r w:rsidR="00193E69" w:rsidRPr="00D81243">
        <w:rPr>
          <w:rFonts w:cs="Arial"/>
        </w:rPr>
        <w:t>1</w:t>
      </w:r>
      <w:r w:rsidRPr="00D81243">
        <w:rPr>
          <w:rFonts w:cs="Arial"/>
        </w:rPr>
        <w:t xml:space="preserve"> and the proposed allocations</w:t>
      </w:r>
      <w:r w:rsidR="00D96FD7">
        <w:rPr>
          <w:rFonts w:cs="Arial"/>
        </w:rPr>
        <w:t xml:space="preserve"> for 2021-22</w:t>
      </w:r>
      <w:r w:rsidRPr="00D81243">
        <w:rPr>
          <w:rFonts w:cs="Arial"/>
        </w:rPr>
        <w:t xml:space="preserve"> are set out in Table 1.</w:t>
      </w:r>
    </w:p>
    <w:p w14:paraId="63DF3264" w14:textId="77777777" w:rsidR="00D81243" w:rsidRPr="00D81243" w:rsidRDefault="00D81243" w:rsidP="000844FD">
      <w:pPr>
        <w:numPr>
          <w:ilvl w:val="1"/>
          <w:numId w:val="2"/>
        </w:numPr>
        <w:tabs>
          <w:tab w:val="left" w:pos="709"/>
        </w:tabs>
        <w:spacing w:after="160" w:line="259" w:lineRule="auto"/>
        <w:ind w:hanging="709"/>
        <w:contextualSpacing/>
        <w:rPr>
          <w:rFonts w:cs="Arial"/>
        </w:rPr>
      </w:pPr>
    </w:p>
    <w:p w14:paraId="02D736C9" w14:textId="1EA8EB8F" w:rsidR="007B0EFA" w:rsidRPr="007B0EFA" w:rsidRDefault="007B0EFA" w:rsidP="00B76EB5">
      <w:pPr>
        <w:ind w:left="567"/>
        <w:rPr>
          <w:rFonts w:cs="Arial"/>
          <w:sz w:val="22"/>
          <w:szCs w:val="22"/>
        </w:rPr>
      </w:pPr>
      <w:r w:rsidRPr="007B0EFA">
        <w:rPr>
          <w:rFonts w:cs="Arial"/>
          <w:b/>
        </w:rPr>
        <w:t>Table 1: CSSB Budget Allocations.</w:t>
      </w:r>
    </w:p>
    <w:tbl>
      <w:tblPr>
        <w:tblStyle w:val="TableGrid"/>
        <w:tblW w:w="8789" w:type="dxa"/>
        <w:tblLayout w:type="fixed"/>
        <w:tblLook w:val="01E0" w:firstRow="1" w:lastRow="1" w:firstColumn="1" w:lastColumn="1" w:noHBand="0" w:noVBand="0"/>
      </w:tblPr>
      <w:tblGrid>
        <w:gridCol w:w="4820"/>
        <w:gridCol w:w="1984"/>
        <w:gridCol w:w="1985"/>
      </w:tblGrid>
      <w:tr w:rsidR="007B0EFA" w:rsidRPr="007B0EFA" w14:paraId="02D736D1" w14:textId="77777777" w:rsidTr="00610152">
        <w:trPr>
          <w:trHeight w:hRule="exact" w:val="1130"/>
        </w:trPr>
        <w:tc>
          <w:tcPr>
            <w:tcW w:w="4820" w:type="dxa"/>
          </w:tcPr>
          <w:p w14:paraId="02D736CA" w14:textId="77777777" w:rsidR="007B0EFA" w:rsidRPr="007B0EFA" w:rsidRDefault="007B0EFA" w:rsidP="007E05A7">
            <w:pPr>
              <w:widowControl w:val="0"/>
              <w:spacing w:before="54"/>
              <w:ind w:left="102"/>
              <w:rPr>
                <w:rFonts w:eastAsia="Arial" w:cs="Arial"/>
                <w:b/>
                <w:color w:val="221F1F"/>
                <w:sz w:val="22"/>
                <w:szCs w:val="22"/>
                <w:lang w:val="en-US" w:eastAsia="en-US"/>
              </w:rPr>
            </w:pPr>
            <w:r>
              <w:rPr>
                <w:rFonts w:eastAsia="Arial" w:cs="Arial"/>
                <w:b/>
                <w:color w:val="221F1F"/>
                <w:sz w:val="22"/>
                <w:szCs w:val="22"/>
                <w:lang w:val="en-US" w:eastAsia="en-US"/>
              </w:rPr>
              <w:t>Service.</w:t>
            </w:r>
          </w:p>
          <w:p w14:paraId="02D736CB" w14:textId="77777777" w:rsidR="007B0EFA" w:rsidRPr="007B0EFA" w:rsidRDefault="007B0EFA" w:rsidP="007E05A7">
            <w:pPr>
              <w:widowControl w:val="0"/>
              <w:spacing w:before="54"/>
              <w:ind w:left="102"/>
              <w:rPr>
                <w:rFonts w:eastAsia="Arial" w:cs="Arial"/>
                <w:b/>
                <w:color w:val="221F1F"/>
                <w:sz w:val="22"/>
                <w:szCs w:val="22"/>
                <w:lang w:val="en-US" w:eastAsia="en-US"/>
              </w:rPr>
            </w:pPr>
          </w:p>
          <w:p w14:paraId="02D736CC" w14:textId="77777777" w:rsidR="007B0EFA" w:rsidRPr="007B0EFA" w:rsidRDefault="007B0EFA" w:rsidP="007E05A7">
            <w:pPr>
              <w:widowControl w:val="0"/>
              <w:spacing w:before="54"/>
              <w:ind w:left="102"/>
              <w:rPr>
                <w:rFonts w:eastAsia="Arial" w:cs="Arial"/>
                <w:b/>
                <w:sz w:val="22"/>
                <w:szCs w:val="22"/>
                <w:lang w:val="en-US" w:eastAsia="en-US"/>
              </w:rPr>
            </w:pPr>
          </w:p>
        </w:tc>
        <w:tc>
          <w:tcPr>
            <w:tcW w:w="1984" w:type="dxa"/>
          </w:tcPr>
          <w:p w14:paraId="02D736CD" w14:textId="11A285B3" w:rsidR="007B0EFA" w:rsidRPr="007B0EFA" w:rsidRDefault="007B0EFA" w:rsidP="007E05A7">
            <w:pPr>
              <w:widowControl w:val="0"/>
              <w:spacing w:before="54"/>
              <w:jc w:val="center"/>
              <w:rPr>
                <w:rFonts w:eastAsia="Arial" w:cs="Arial"/>
                <w:b/>
                <w:color w:val="221F1F"/>
                <w:sz w:val="22"/>
                <w:szCs w:val="22"/>
                <w:lang w:val="en-US" w:eastAsia="en-US"/>
              </w:rPr>
            </w:pPr>
            <w:r w:rsidRPr="007B0EFA">
              <w:rPr>
                <w:rFonts w:eastAsia="Arial" w:cs="Arial"/>
                <w:b/>
                <w:color w:val="221F1F"/>
                <w:sz w:val="22"/>
                <w:szCs w:val="22"/>
                <w:lang w:val="en-US" w:eastAsia="en-US"/>
              </w:rPr>
              <w:t>20</w:t>
            </w:r>
            <w:r w:rsidR="00937421">
              <w:rPr>
                <w:rFonts w:eastAsia="Arial" w:cs="Arial"/>
                <w:b/>
                <w:color w:val="221F1F"/>
                <w:sz w:val="22"/>
                <w:szCs w:val="22"/>
                <w:lang w:val="en-US" w:eastAsia="en-US"/>
              </w:rPr>
              <w:t>2</w:t>
            </w:r>
            <w:r w:rsidR="00E63B0F">
              <w:rPr>
                <w:rFonts w:eastAsia="Arial" w:cs="Arial"/>
                <w:b/>
                <w:color w:val="221F1F"/>
                <w:sz w:val="22"/>
                <w:szCs w:val="22"/>
                <w:lang w:val="en-US" w:eastAsia="en-US"/>
              </w:rPr>
              <w:t>1</w:t>
            </w:r>
            <w:r w:rsidRPr="007B0EFA">
              <w:rPr>
                <w:rFonts w:eastAsia="Arial" w:cs="Arial"/>
                <w:b/>
                <w:color w:val="221F1F"/>
                <w:sz w:val="22"/>
                <w:szCs w:val="22"/>
                <w:lang w:val="en-US" w:eastAsia="en-US"/>
              </w:rPr>
              <w:t>-2</w:t>
            </w:r>
            <w:r w:rsidR="00E63B0F">
              <w:rPr>
                <w:rFonts w:eastAsia="Arial" w:cs="Arial"/>
                <w:b/>
                <w:color w:val="221F1F"/>
                <w:sz w:val="22"/>
                <w:szCs w:val="22"/>
                <w:lang w:val="en-US" w:eastAsia="en-US"/>
              </w:rPr>
              <w:t>2</w:t>
            </w:r>
          </w:p>
          <w:p w14:paraId="02D736CE" w14:textId="77777777" w:rsidR="007B0EFA" w:rsidRPr="007B0EFA" w:rsidRDefault="007B0EFA" w:rsidP="007E05A7">
            <w:pPr>
              <w:widowControl w:val="0"/>
              <w:spacing w:before="54"/>
              <w:jc w:val="center"/>
              <w:rPr>
                <w:rFonts w:eastAsia="Arial" w:cs="Arial"/>
                <w:b/>
                <w:sz w:val="22"/>
                <w:szCs w:val="22"/>
                <w:lang w:val="en-US" w:eastAsia="en-US"/>
              </w:rPr>
            </w:pPr>
            <w:r w:rsidRPr="007B0EFA">
              <w:rPr>
                <w:rFonts w:eastAsia="Arial" w:cs="Arial"/>
                <w:b/>
                <w:color w:val="221F1F"/>
                <w:sz w:val="22"/>
                <w:szCs w:val="22"/>
                <w:lang w:val="en-US" w:eastAsia="en-US"/>
              </w:rPr>
              <w:t>£000</w:t>
            </w:r>
          </w:p>
        </w:tc>
        <w:tc>
          <w:tcPr>
            <w:tcW w:w="1985" w:type="dxa"/>
          </w:tcPr>
          <w:p w14:paraId="02D736CF" w14:textId="29FAF76F" w:rsidR="007B0EFA" w:rsidRDefault="007B0EFA" w:rsidP="007E05A7">
            <w:pPr>
              <w:widowControl w:val="0"/>
              <w:spacing w:before="54"/>
              <w:jc w:val="center"/>
              <w:rPr>
                <w:rFonts w:eastAsia="Arial" w:cs="Arial"/>
                <w:b/>
                <w:color w:val="221F1F"/>
                <w:sz w:val="22"/>
                <w:szCs w:val="22"/>
                <w:lang w:val="en-US" w:eastAsia="en-US"/>
              </w:rPr>
            </w:pPr>
            <w:r w:rsidRPr="007B0EFA">
              <w:rPr>
                <w:rFonts w:eastAsia="Arial" w:cs="Arial"/>
                <w:b/>
                <w:color w:val="221F1F"/>
                <w:sz w:val="22"/>
                <w:szCs w:val="22"/>
                <w:lang w:val="en-US" w:eastAsia="en-US"/>
              </w:rPr>
              <w:t>2020-21</w:t>
            </w:r>
          </w:p>
          <w:p w14:paraId="1BF32C87" w14:textId="676CA6DC" w:rsidR="00B76EB5" w:rsidRPr="007B0EFA" w:rsidRDefault="00B76EB5" w:rsidP="007E05A7">
            <w:pPr>
              <w:widowControl w:val="0"/>
              <w:spacing w:before="54"/>
              <w:jc w:val="center"/>
              <w:rPr>
                <w:rFonts w:eastAsia="Arial" w:cs="Arial"/>
                <w:b/>
                <w:color w:val="221F1F"/>
                <w:sz w:val="22"/>
                <w:szCs w:val="22"/>
                <w:lang w:val="en-US" w:eastAsia="en-US"/>
              </w:rPr>
            </w:pPr>
            <w:r w:rsidRPr="00B76EB5">
              <w:rPr>
                <w:rFonts w:eastAsia="Arial" w:cs="Arial"/>
                <w:b/>
                <w:color w:val="221F1F"/>
                <w:sz w:val="16"/>
                <w:szCs w:val="16"/>
                <w:lang w:val="en-US" w:eastAsia="en-US"/>
              </w:rPr>
              <w:t>(updated for final allocation</w:t>
            </w:r>
            <w:r>
              <w:rPr>
                <w:rFonts w:eastAsia="Arial" w:cs="Arial"/>
                <w:b/>
                <w:color w:val="221F1F"/>
                <w:sz w:val="22"/>
                <w:szCs w:val="22"/>
                <w:lang w:val="en-US" w:eastAsia="en-US"/>
              </w:rPr>
              <w:t>)</w:t>
            </w:r>
          </w:p>
          <w:p w14:paraId="02D736D0" w14:textId="77777777" w:rsidR="007B0EFA" w:rsidRPr="007B0EFA" w:rsidRDefault="007B0EFA" w:rsidP="007E05A7">
            <w:pPr>
              <w:widowControl w:val="0"/>
              <w:spacing w:before="54"/>
              <w:jc w:val="center"/>
              <w:rPr>
                <w:rFonts w:eastAsia="Arial" w:cs="Arial"/>
                <w:b/>
                <w:color w:val="221F1F"/>
                <w:sz w:val="22"/>
                <w:szCs w:val="22"/>
                <w:lang w:val="en-US" w:eastAsia="en-US"/>
              </w:rPr>
            </w:pPr>
            <w:r w:rsidRPr="007B0EFA">
              <w:rPr>
                <w:rFonts w:eastAsia="Arial" w:cs="Arial"/>
                <w:b/>
                <w:color w:val="221F1F"/>
                <w:sz w:val="22"/>
                <w:szCs w:val="22"/>
                <w:lang w:val="en-US" w:eastAsia="en-US"/>
              </w:rPr>
              <w:t>£000</w:t>
            </w:r>
          </w:p>
        </w:tc>
      </w:tr>
      <w:tr w:rsidR="007B0EFA" w:rsidRPr="007B0EFA" w14:paraId="02D736D5" w14:textId="77777777" w:rsidTr="00610152">
        <w:trPr>
          <w:trHeight w:hRule="exact" w:val="321"/>
        </w:trPr>
        <w:tc>
          <w:tcPr>
            <w:tcW w:w="4820" w:type="dxa"/>
          </w:tcPr>
          <w:p w14:paraId="02D736D2" w14:textId="77777777" w:rsidR="007B0EFA" w:rsidRPr="007B0EFA" w:rsidRDefault="007B0EFA" w:rsidP="007E05A7">
            <w:pPr>
              <w:widowControl w:val="0"/>
              <w:spacing w:before="54"/>
              <w:rPr>
                <w:rFonts w:eastAsia="Arial" w:cs="Arial"/>
                <w:sz w:val="22"/>
                <w:szCs w:val="22"/>
                <w:lang w:val="en-US" w:eastAsia="en-US"/>
              </w:rPr>
            </w:pPr>
            <w:r w:rsidRPr="007B0EFA">
              <w:rPr>
                <w:rFonts w:eastAsia="Arial" w:cs="Arial"/>
                <w:color w:val="221F1F"/>
                <w:spacing w:val="-1"/>
                <w:sz w:val="22"/>
                <w:szCs w:val="22"/>
                <w:lang w:val="en-US" w:eastAsia="en-US"/>
              </w:rPr>
              <w:t>S</w:t>
            </w:r>
            <w:r w:rsidRPr="007B0EFA">
              <w:rPr>
                <w:rFonts w:eastAsia="Arial" w:cs="Arial"/>
                <w:color w:val="221F1F"/>
                <w:sz w:val="22"/>
                <w:szCs w:val="22"/>
                <w:lang w:val="en-US" w:eastAsia="en-US"/>
              </w:rPr>
              <w:t>ch</w:t>
            </w:r>
            <w:r w:rsidRPr="007B0EFA">
              <w:rPr>
                <w:rFonts w:eastAsia="Arial" w:cs="Arial"/>
                <w:color w:val="221F1F"/>
                <w:spacing w:val="-1"/>
                <w:sz w:val="22"/>
                <w:szCs w:val="22"/>
                <w:lang w:val="en-US" w:eastAsia="en-US"/>
              </w:rPr>
              <w:t>o</w:t>
            </w:r>
            <w:r w:rsidRPr="007B0EFA">
              <w:rPr>
                <w:rFonts w:eastAsia="Arial" w:cs="Arial"/>
                <w:color w:val="221F1F"/>
                <w:sz w:val="22"/>
                <w:szCs w:val="22"/>
                <w:lang w:val="en-US" w:eastAsia="en-US"/>
              </w:rPr>
              <w:t>ol</w:t>
            </w:r>
            <w:r w:rsidRPr="007B0EFA">
              <w:rPr>
                <w:rFonts w:eastAsia="Arial" w:cs="Arial"/>
                <w:color w:val="221F1F"/>
                <w:spacing w:val="-1"/>
                <w:sz w:val="22"/>
                <w:szCs w:val="22"/>
                <w:lang w:val="en-US" w:eastAsia="en-US"/>
              </w:rPr>
              <w:t xml:space="preserve"> </w:t>
            </w:r>
            <w:r w:rsidRPr="007B0EFA">
              <w:rPr>
                <w:rFonts w:eastAsia="Arial" w:cs="Arial"/>
                <w:color w:val="221F1F"/>
                <w:sz w:val="22"/>
                <w:szCs w:val="22"/>
                <w:lang w:val="en-US" w:eastAsia="en-US"/>
              </w:rPr>
              <w:t>a</w:t>
            </w:r>
            <w:r w:rsidRPr="007B0EFA">
              <w:rPr>
                <w:rFonts w:eastAsia="Arial" w:cs="Arial"/>
                <w:color w:val="221F1F"/>
                <w:spacing w:val="-4"/>
                <w:sz w:val="22"/>
                <w:szCs w:val="22"/>
                <w:lang w:val="en-US" w:eastAsia="en-US"/>
              </w:rPr>
              <w:t>d</w:t>
            </w:r>
            <w:r w:rsidRPr="007B0EFA">
              <w:rPr>
                <w:rFonts w:eastAsia="Arial" w:cs="Arial"/>
                <w:color w:val="221F1F"/>
                <w:sz w:val="22"/>
                <w:szCs w:val="22"/>
                <w:lang w:val="en-US" w:eastAsia="en-US"/>
              </w:rPr>
              <w:t>m</w:t>
            </w:r>
            <w:r w:rsidRPr="007B0EFA">
              <w:rPr>
                <w:rFonts w:eastAsia="Arial" w:cs="Arial"/>
                <w:color w:val="221F1F"/>
                <w:spacing w:val="-2"/>
                <w:sz w:val="22"/>
                <w:szCs w:val="22"/>
                <w:lang w:val="en-US" w:eastAsia="en-US"/>
              </w:rPr>
              <w:t>i</w:t>
            </w:r>
            <w:r w:rsidRPr="007B0EFA">
              <w:rPr>
                <w:rFonts w:eastAsia="Arial" w:cs="Arial"/>
                <w:color w:val="221F1F"/>
                <w:sz w:val="22"/>
                <w:szCs w:val="22"/>
                <w:lang w:val="en-US" w:eastAsia="en-US"/>
              </w:rPr>
              <w:t>ss</w:t>
            </w:r>
            <w:r w:rsidRPr="007B0EFA">
              <w:rPr>
                <w:rFonts w:eastAsia="Arial" w:cs="Arial"/>
                <w:color w:val="221F1F"/>
                <w:spacing w:val="-2"/>
                <w:sz w:val="22"/>
                <w:szCs w:val="22"/>
                <w:lang w:val="en-US" w:eastAsia="en-US"/>
              </w:rPr>
              <w:t>i</w:t>
            </w:r>
            <w:r w:rsidRPr="007B0EFA">
              <w:rPr>
                <w:rFonts w:eastAsia="Arial" w:cs="Arial"/>
                <w:color w:val="221F1F"/>
                <w:sz w:val="22"/>
                <w:szCs w:val="22"/>
                <w:lang w:val="en-US" w:eastAsia="en-US"/>
              </w:rPr>
              <w:t>o</w:t>
            </w:r>
            <w:r w:rsidRPr="007B0EFA">
              <w:rPr>
                <w:rFonts w:eastAsia="Arial" w:cs="Arial"/>
                <w:color w:val="221F1F"/>
                <w:spacing w:val="-1"/>
                <w:sz w:val="22"/>
                <w:szCs w:val="22"/>
                <w:lang w:val="en-US" w:eastAsia="en-US"/>
              </w:rPr>
              <w:t>n</w:t>
            </w:r>
            <w:r w:rsidRPr="007B0EFA">
              <w:rPr>
                <w:rFonts w:eastAsia="Arial" w:cs="Arial"/>
                <w:color w:val="221F1F"/>
                <w:sz w:val="22"/>
                <w:szCs w:val="22"/>
                <w:lang w:val="en-US" w:eastAsia="en-US"/>
              </w:rPr>
              <w:t>s</w:t>
            </w:r>
          </w:p>
        </w:tc>
        <w:tc>
          <w:tcPr>
            <w:tcW w:w="1984" w:type="dxa"/>
          </w:tcPr>
          <w:p w14:paraId="6853EB05" w14:textId="2918DDC6" w:rsidR="00937421" w:rsidRDefault="00510352" w:rsidP="007E05A7">
            <w:pPr>
              <w:widowControl w:val="0"/>
              <w:spacing w:before="54"/>
              <w:ind w:left="102"/>
              <w:jc w:val="right"/>
              <w:rPr>
                <w:rFonts w:eastAsia="Arial" w:cs="Arial"/>
                <w:color w:val="221F1F"/>
                <w:spacing w:val="-1"/>
                <w:sz w:val="22"/>
                <w:szCs w:val="22"/>
                <w:lang w:val="en-US" w:eastAsia="en-US"/>
              </w:rPr>
            </w:pPr>
            <w:r>
              <w:rPr>
                <w:rFonts w:eastAsia="Arial" w:cs="Arial"/>
                <w:color w:val="221F1F"/>
                <w:spacing w:val="-1"/>
                <w:sz w:val="22"/>
                <w:szCs w:val="22"/>
                <w:lang w:val="en-US" w:eastAsia="en-US"/>
              </w:rPr>
              <w:t>7</w:t>
            </w:r>
            <w:r w:rsidR="00397DE5">
              <w:rPr>
                <w:rFonts w:eastAsia="Arial" w:cs="Arial"/>
                <w:color w:val="221F1F"/>
                <w:spacing w:val="-1"/>
                <w:sz w:val="22"/>
                <w:szCs w:val="22"/>
                <w:lang w:val="en-US" w:eastAsia="en-US"/>
              </w:rPr>
              <w:t>3</w:t>
            </w:r>
            <w:r>
              <w:rPr>
                <w:rFonts w:eastAsia="Arial" w:cs="Arial"/>
                <w:color w:val="221F1F"/>
                <w:spacing w:val="-1"/>
                <w:sz w:val="22"/>
                <w:szCs w:val="22"/>
                <w:lang w:val="en-US" w:eastAsia="en-US"/>
              </w:rPr>
              <w:t>0</w:t>
            </w:r>
          </w:p>
          <w:p w14:paraId="02D736D3" w14:textId="42A252EB" w:rsidR="007B0EFA" w:rsidRPr="007B0EFA" w:rsidRDefault="007B0EFA" w:rsidP="007E05A7">
            <w:pPr>
              <w:widowControl w:val="0"/>
              <w:spacing w:before="54"/>
              <w:ind w:left="102"/>
              <w:jc w:val="right"/>
              <w:rPr>
                <w:rFonts w:eastAsia="Arial" w:cs="Arial"/>
                <w:color w:val="221F1F"/>
                <w:spacing w:val="-1"/>
                <w:sz w:val="22"/>
                <w:szCs w:val="22"/>
                <w:lang w:val="en-US" w:eastAsia="en-US"/>
              </w:rPr>
            </w:pPr>
            <w:r w:rsidRPr="007B0EFA">
              <w:rPr>
                <w:rFonts w:eastAsia="Arial" w:cs="Arial"/>
                <w:color w:val="221F1F"/>
                <w:spacing w:val="-1"/>
                <w:sz w:val="22"/>
                <w:szCs w:val="22"/>
                <w:lang w:val="en-US" w:eastAsia="en-US"/>
              </w:rPr>
              <w:t>99</w:t>
            </w:r>
          </w:p>
        </w:tc>
        <w:tc>
          <w:tcPr>
            <w:tcW w:w="1985" w:type="dxa"/>
          </w:tcPr>
          <w:p w14:paraId="02D736D4" w14:textId="77777777" w:rsidR="007B0EFA" w:rsidRPr="007B0EFA" w:rsidRDefault="007B0EFA" w:rsidP="007E05A7">
            <w:pPr>
              <w:widowControl w:val="0"/>
              <w:spacing w:before="54"/>
              <w:ind w:left="917"/>
              <w:jc w:val="right"/>
              <w:rPr>
                <w:rFonts w:eastAsia="Arial" w:cs="Arial"/>
                <w:color w:val="221F1F"/>
                <w:spacing w:val="-1"/>
                <w:sz w:val="22"/>
                <w:szCs w:val="22"/>
                <w:lang w:val="en-US" w:eastAsia="en-US"/>
              </w:rPr>
            </w:pPr>
            <w:r w:rsidRPr="007B0EFA">
              <w:rPr>
                <w:rFonts w:eastAsia="Arial" w:cs="Arial"/>
                <w:color w:val="221F1F"/>
                <w:spacing w:val="-1"/>
                <w:sz w:val="22"/>
                <w:szCs w:val="22"/>
                <w:lang w:val="en-US" w:eastAsia="en-US"/>
              </w:rPr>
              <w:t>699</w:t>
            </w:r>
          </w:p>
        </w:tc>
      </w:tr>
      <w:tr w:rsidR="007B0EFA" w:rsidRPr="007B0EFA" w14:paraId="02D736D9" w14:textId="77777777" w:rsidTr="00610152">
        <w:trPr>
          <w:trHeight w:hRule="exact" w:val="319"/>
        </w:trPr>
        <w:tc>
          <w:tcPr>
            <w:tcW w:w="4820" w:type="dxa"/>
          </w:tcPr>
          <w:p w14:paraId="02D736D6" w14:textId="59D584E0" w:rsidR="007B0EFA" w:rsidRPr="007B0EFA" w:rsidRDefault="007B0EFA" w:rsidP="007E05A7">
            <w:pPr>
              <w:widowControl w:val="0"/>
              <w:spacing w:before="51"/>
              <w:rPr>
                <w:rFonts w:eastAsia="Arial" w:cs="Arial"/>
                <w:sz w:val="22"/>
                <w:szCs w:val="22"/>
                <w:lang w:val="en-US" w:eastAsia="en-US"/>
              </w:rPr>
            </w:pPr>
            <w:r w:rsidRPr="007B0EFA">
              <w:rPr>
                <w:rFonts w:eastAsia="Arial" w:cs="Arial"/>
                <w:color w:val="221F1F"/>
                <w:spacing w:val="-1"/>
                <w:sz w:val="22"/>
                <w:szCs w:val="22"/>
                <w:lang w:val="en-US" w:eastAsia="en-US"/>
              </w:rPr>
              <w:t>S</w:t>
            </w:r>
            <w:r w:rsidRPr="007B0EFA">
              <w:rPr>
                <w:rFonts w:eastAsia="Arial" w:cs="Arial"/>
                <w:color w:val="221F1F"/>
                <w:sz w:val="22"/>
                <w:szCs w:val="22"/>
                <w:lang w:val="en-US" w:eastAsia="en-US"/>
              </w:rPr>
              <w:t>er</w:t>
            </w:r>
            <w:r w:rsidRPr="007B0EFA">
              <w:rPr>
                <w:rFonts w:eastAsia="Arial" w:cs="Arial"/>
                <w:color w:val="221F1F"/>
                <w:spacing w:val="-3"/>
                <w:sz w:val="22"/>
                <w:szCs w:val="22"/>
                <w:lang w:val="en-US" w:eastAsia="en-US"/>
              </w:rPr>
              <w:t>v</w:t>
            </w:r>
            <w:r w:rsidRPr="007B0EFA">
              <w:rPr>
                <w:rFonts w:eastAsia="Arial" w:cs="Arial"/>
                <w:color w:val="221F1F"/>
                <w:spacing w:val="-2"/>
                <w:sz w:val="22"/>
                <w:szCs w:val="22"/>
                <w:lang w:val="en-US" w:eastAsia="en-US"/>
              </w:rPr>
              <w:t>i</w:t>
            </w:r>
            <w:r w:rsidRPr="007B0EFA">
              <w:rPr>
                <w:rFonts w:eastAsia="Arial" w:cs="Arial"/>
                <w:color w:val="221F1F"/>
                <w:sz w:val="22"/>
                <w:szCs w:val="22"/>
                <w:lang w:val="en-US" w:eastAsia="en-US"/>
              </w:rPr>
              <w:t>c</w:t>
            </w:r>
            <w:r w:rsidRPr="007B0EFA">
              <w:rPr>
                <w:rFonts w:eastAsia="Arial" w:cs="Arial"/>
                <w:color w:val="221F1F"/>
                <w:spacing w:val="-2"/>
                <w:sz w:val="22"/>
                <w:szCs w:val="22"/>
                <w:lang w:val="en-US" w:eastAsia="en-US"/>
              </w:rPr>
              <w:t>i</w:t>
            </w:r>
            <w:r w:rsidRPr="007B0EFA">
              <w:rPr>
                <w:rFonts w:eastAsia="Arial" w:cs="Arial"/>
                <w:color w:val="221F1F"/>
                <w:sz w:val="22"/>
                <w:szCs w:val="22"/>
                <w:lang w:val="en-US" w:eastAsia="en-US"/>
              </w:rPr>
              <w:t>ng</w:t>
            </w:r>
            <w:r w:rsidRPr="007B0EFA">
              <w:rPr>
                <w:rFonts w:eastAsia="Arial" w:cs="Arial"/>
                <w:color w:val="221F1F"/>
                <w:spacing w:val="2"/>
                <w:sz w:val="22"/>
                <w:szCs w:val="22"/>
                <w:lang w:val="en-US" w:eastAsia="en-US"/>
              </w:rPr>
              <w:t xml:space="preserve"> </w:t>
            </w:r>
            <w:r w:rsidRPr="007B0EFA">
              <w:rPr>
                <w:rFonts w:eastAsia="Arial" w:cs="Arial"/>
                <w:color w:val="221F1F"/>
                <w:spacing w:val="-3"/>
                <w:sz w:val="22"/>
                <w:szCs w:val="22"/>
                <w:lang w:val="en-US" w:eastAsia="en-US"/>
              </w:rPr>
              <w:t>o</w:t>
            </w:r>
            <w:r w:rsidRPr="007B0EFA">
              <w:rPr>
                <w:rFonts w:eastAsia="Arial" w:cs="Arial"/>
                <w:color w:val="221F1F"/>
                <w:sz w:val="22"/>
                <w:szCs w:val="22"/>
                <w:lang w:val="en-US" w:eastAsia="en-US"/>
              </w:rPr>
              <w:t>f</w:t>
            </w:r>
            <w:r w:rsidRPr="007B0EFA">
              <w:rPr>
                <w:rFonts w:eastAsia="Arial" w:cs="Arial"/>
                <w:color w:val="221F1F"/>
                <w:spacing w:val="2"/>
                <w:sz w:val="22"/>
                <w:szCs w:val="22"/>
                <w:lang w:val="en-US" w:eastAsia="en-US"/>
              </w:rPr>
              <w:t xml:space="preserve"> </w:t>
            </w:r>
            <w:r w:rsidR="0003323E">
              <w:rPr>
                <w:rFonts w:eastAsia="Arial" w:cs="Arial"/>
                <w:color w:val="221F1F"/>
                <w:spacing w:val="2"/>
                <w:sz w:val="22"/>
                <w:szCs w:val="22"/>
                <w:lang w:val="en-US" w:eastAsia="en-US"/>
              </w:rPr>
              <w:t>S</w:t>
            </w:r>
            <w:r w:rsidRPr="007B0EFA">
              <w:rPr>
                <w:rFonts w:eastAsia="Arial" w:cs="Arial"/>
                <w:color w:val="221F1F"/>
                <w:sz w:val="22"/>
                <w:szCs w:val="22"/>
                <w:lang w:val="en-US" w:eastAsia="en-US"/>
              </w:rPr>
              <w:t>ch</w:t>
            </w:r>
            <w:r w:rsidRPr="007B0EFA">
              <w:rPr>
                <w:rFonts w:eastAsia="Arial" w:cs="Arial"/>
                <w:color w:val="221F1F"/>
                <w:spacing w:val="-1"/>
                <w:sz w:val="22"/>
                <w:szCs w:val="22"/>
                <w:lang w:val="en-US" w:eastAsia="en-US"/>
              </w:rPr>
              <w:t>o</w:t>
            </w:r>
            <w:r w:rsidRPr="007B0EFA">
              <w:rPr>
                <w:rFonts w:eastAsia="Arial" w:cs="Arial"/>
                <w:color w:val="221F1F"/>
                <w:sz w:val="22"/>
                <w:szCs w:val="22"/>
                <w:lang w:val="en-US" w:eastAsia="en-US"/>
              </w:rPr>
              <w:t>o</w:t>
            </w:r>
            <w:r w:rsidRPr="007B0EFA">
              <w:rPr>
                <w:rFonts w:eastAsia="Arial" w:cs="Arial"/>
                <w:color w:val="221F1F"/>
                <w:spacing w:val="-2"/>
                <w:sz w:val="22"/>
                <w:szCs w:val="22"/>
                <w:lang w:val="en-US" w:eastAsia="en-US"/>
              </w:rPr>
              <w:t>l</w:t>
            </w:r>
            <w:r w:rsidRPr="007B0EFA">
              <w:rPr>
                <w:rFonts w:eastAsia="Arial" w:cs="Arial"/>
                <w:color w:val="221F1F"/>
                <w:sz w:val="22"/>
                <w:szCs w:val="22"/>
                <w:lang w:val="en-US" w:eastAsia="en-US"/>
              </w:rPr>
              <w:t>s</w:t>
            </w:r>
            <w:r w:rsidRPr="007B0EFA">
              <w:rPr>
                <w:rFonts w:eastAsia="Arial" w:cs="Arial"/>
                <w:color w:val="221F1F"/>
                <w:spacing w:val="-1"/>
                <w:sz w:val="22"/>
                <w:szCs w:val="22"/>
                <w:lang w:val="en-US" w:eastAsia="en-US"/>
              </w:rPr>
              <w:t xml:space="preserve"> </w:t>
            </w:r>
            <w:r w:rsidRPr="007B0EFA">
              <w:rPr>
                <w:rFonts w:eastAsia="Arial" w:cs="Arial"/>
                <w:color w:val="221F1F"/>
                <w:spacing w:val="3"/>
                <w:sz w:val="22"/>
                <w:szCs w:val="22"/>
                <w:lang w:val="en-US" w:eastAsia="en-US"/>
              </w:rPr>
              <w:t>f</w:t>
            </w:r>
            <w:r w:rsidRPr="007B0EFA">
              <w:rPr>
                <w:rFonts w:eastAsia="Arial" w:cs="Arial"/>
                <w:color w:val="221F1F"/>
                <w:spacing w:val="-3"/>
                <w:sz w:val="22"/>
                <w:szCs w:val="22"/>
                <w:lang w:val="en-US" w:eastAsia="en-US"/>
              </w:rPr>
              <w:t>o</w:t>
            </w:r>
            <w:r w:rsidRPr="007B0EFA">
              <w:rPr>
                <w:rFonts w:eastAsia="Arial" w:cs="Arial"/>
                <w:color w:val="221F1F"/>
                <w:sz w:val="22"/>
                <w:szCs w:val="22"/>
                <w:lang w:val="en-US" w:eastAsia="en-US"/>
              </w:rPr>
              <w:t>ru</w:t>
            </w:r>
            <w:r w:rsidRPr="007B0EFA">
              <w:rPr>
                <w:rFonts w:eastAsia="Arial" w:cs="Arial"/>
                <w:color w:val="221F1F"/>
                <w:spacing w:val="-3"/>
                <w:sz w:val="22"/>
                <w:szCs w:val="22"/>
                <w:lang w:val="en-US" w:eastAsia="en-US"/>
              </w:rPr>
              <w:t>m</w:t>
            </w:r>
            <w:r w:rsidRPr="007B0EFA">
              <w:rPr>
                <w:rFonts w:eastAsia="Arial" w:cs="Arial"/>
                <w:color w:val="221F1F"/>
                <w:sz w:val="22"/>
                <w:szCs w:val="22"/>
                <w:lang w:val="en-US" w:eastAsia="en-US"/>
              </w:rPr>
              <w:t>s</w:t>
            </w:r>
          </w:p>
        </w:tc>
        <w:tc>
          <w:tcPr>
            <w:tcW w:w="1984" w:type="dxa"/>
          </w:tcPr>
          <w:p w14:paraId="02D736D7" w14:textId="040391A3" w:rsidR="007B0EFA" w:rsidRPr="007B0EFA" w:rsidRDefault="007B0EFA" w:rsidP="007E05A7">
            <w:pPr>
              <w:widowControl w:val="0"/>
              <w:spacing w:before="54"/>
              <w:ind w:left="102"/>
              <w:jc w:val="right"/>
              <w:rPr>
                <w:rFonts w:eastAsia="Arial" w:cs="Arial"/>
                <w:color w:val="221F1F"/>
                <w:spacing w:val="-1"/>
                <w:sz w:val="22"/>
                <w:szCs w:val="22"/>
                <w:lang w:val="en-US" w:eastAsia="en-US"/>
              </w:rPr>
            </w:pPr>
            <w:r w:rsidRPr="007B0EFA">
              <w:rPr>
                <w:rFonts w:eastAsia="Arial" w:cs="Arial"/>
                <w:color w:val="221F1F"/>
                <w:spacing w:val="-1"/>
                <w:sz w:val="22"/>
                <w:szCs w:val="22"/>
                <w:lang w:val="en-US" w:eastAsia="en-US"/>
              </w:rPr>
              <w:t>3</w:t>
            </w:r>
            <w:r w:rsidR="006001B3">
              <w:rPr>
                <w:rFonts w:eastAsia="Arial" w:cs="Arial"/>
                <w:color w:val="221F1F"/>
                <w:spacing w:val="-1"/>
                <w:sz w:val="22"/>
                <w:szCs w:val="22"/>
                <w:lang w:val="en-US" w:eastAsia="en-US"/>
              </w:rPr>
              <w:t>5</w:t>
            </w:r>
          </w:p>
        </w:tc>
        <w:tc>
          <w:tcPr>
            <w:tcW w:w="1985" w:type="dxa"/>
          </w:tcPr>
          <w:p w14:paraId="02D736D8" w14:textId="77777777" w:rsidR="007B0EFA" w:rsidRPr="007B0EFA" w:rsidRDefault="007B0EFA" w:rsidP="007E05A7">
            <w:pPr>
              <w:widowControl w:val="0"/>
              <w:spacing w:before="51"/>
              <w:ind w:left="1040"/>
              <w:jc w:val="right"/>
              <w:rPr>
                <w:rFonts w:eastAsia="Arial" w:cs="Arial"/>
                <w:sz w:val="22"/>
                <w:szCs w:val="22"/>
                <w:lang w:val="en-US" w:eastAsia="en-US"/>
              </w:rPr>
            </w:pPr>
            <w:r w:rsidRPr="007B0EFA">
              <w:rPr>
                <w:rFonts w:eastAsia="Arial" w:cs="Arial"/>
                <w:sz w:val="22"/>
                <w:szCs w:val="22"/>
                <w:lang w:val="en-US" w:eastAsia="en-US"/>
              </w:rPr>
              <w:t>30</w:t>
            </w:r>
          </w:p>
        </w:tc>
      </w:tr>
      <w:tr w:rsidR="007B0EFA" w:rsidRPr="007B0EFA" w14:paraId="02D736DD" w14:textId="77777777" w:rsidTr="00610152">
        <w:trPr>
          <w:trHeight w:hRule="exact" w:val="319"/>
        </w:trPr>
        <w:tc>
          <w:tcPr>
            <w:tcW w:w="4820" w:type="dxa"/>
          </w:tcPr>
          <w:p w14:paraId="02D736DA" w14:textId="143E3699" w:rsidR="007B0EFA" w:rsidRPr="007B0EFA" w:rsidRDefault="007B0EFA" w:rsidP="007E05A7">
            <w:pPr>
              <w:widowControl w:val="0"/>
              <w:spacing w:before="54"/>
              <w:rPr>
                <w:rFonts w:eastAsia="Arial" w:cs="Arial"/>
                <w:sz w:val="22"/>
                <w:szCs w:val="22"/>
                <w:lang w:val="en-US" w:eastAsia="en-US"/>
              </w:rPr>
            </w:pPr>
            <w:r w:rsidRPr="007B0EFA">
              <w:rPr>
                <w:rFonts w:eastAsia="Arial" w:cs="Arial"/>
                <w:color w:val="221F1F"/>
                <w:sz w:val="22"/>
                <w:szCs w:val="22"/>
                <w:lang w:val="en-US" w:eastAsia="en-US"/>
              </w:rPr>
              <w:t>F</w:t>
            </w:r>
            <w:r w:rsidRPr="007B0EFA">
              <w:rPr>
                <w:rFonts w:eastAsia="Arial" w:cs="Arial"/>
                <w:color w:val="221F1F"/>
                <w:spacing w:val="-1"/>
                <w:sz w:val="22"/>
                <w:szCs w:val="22"/>
                <w:lang w:val="en-US" w:eastAsia="en-US"/>
              </w:rPr>
              <w:t>e</w:t>
            </w:r>
            <w:r w:rsidRPr="007B0EFA">
              <w:rPr>
                <w:rFonts w:eastAsia="Arial" w:cs="Arial"/>
                <w:color w:val="221F1F"/>
                <w:sz w:val="22"/>
                <w:szCs w:val="22"/>
                <w:lang w:val="en-US" w:eastAsia="en-US"/>
              </w:rPr>
              <w:t>es</w:t>
            </w:r>
            <w:r w:rsidRPr="007B0EFA">
              <w:rPr>
                <w:rFonts w:eastAsia="Arial" w:cs="Arial"/>
                <w:color w:val="221F1F"/>
                <w:spacing w:val="-2"/>
                <w:sz w:val="22"/>
                <w:szCs w:val="22"/>
                <w:lang w:val="en-US" w:eastAsia="en-US"/>
              </w:rPr>
              <w:t xml:space="preserve"> </w:t>
            </w:r>
            <w:r w:rsidRPr="007B0EFA">
              <w:rPr>
                <w:rFonts w:eastAsia="Arial" w:cs="Arial"/>
                <w:color w:val="221F1F"/>
                <w:sz w:val="22"/>
                <w:szCs w:val="22"/>
                <w:lang w:val="en-US" w:eastAsia="en-US"/>
              </w:rPr>
              <w:t xml:space="preserve">to </w:t>
            </w:r>
            <w:r w:rsidR="00D96FD7">
              <w:rPr>
                <w:rFonts w:eastAsia="Arial" w:cs="Arial"/>
                <w:color w:val="221F1F"/>
                <w:sz w:val="22"/>
                <w:szCs w:val="22"/>
                <w:lang w:val="en-US" w:eastAsia="en-US"/>
              </w:rPr>
              <w:t>I</w:t>
            </w:r>
            <w:r w:rsidRPr="007B0EFA">
              <w:rPr>
                <w:rFonts w:eastAsia="Arial" w:cs="Arial"/>
                <w:color w:val="221F1F"/>
                <w:spacing w:val="-1"/>
                <w:sz w:val="22"/>
                <w:szCs w:val="22"/>
                <w:lang w:val="en-US" w:eastAsia="en-US"/>
              </w:rPr>
              <w:t>n</w:t>
            </w:r>
            <w:r w:rsidRPr="007B0EFA">
              <w:rPr>
                <w:rFonts w:eastAsia="Arial" w:cs="Arial"/>
                <w:color w:val="221F1F"/>
                <w:sz w:val="22"/>
                <w:szCs w:val="22"/>
                <w:lang w:val="en-US" w:eastAsia="en-US"/>
              </w:rPr>
              <w:t>d</w:t>
            </w:r>
            <w:r w:rsidRPr="007B0EFA">
              <w:rPr>
                <w:rFonts w:eastAsia="Arial" w:cs="Arial"/>
                <w:color w:val="221F1F"/>
                <w:spacing w:val="-1"/>
                <w:sz w:val="22"/>
                <w:szCs w:val="22"/>
                <w:lang w:val="en-US" w:eastAsia="en-US"/>
              </w:rPr>
              <w:t>e</w:t>
            </w:r>
            <w:r w:rsidRPr="007B0EFA">
              <w:rPr>
                <w:rFonts w:eastAsia="Arial" w:cs="Arial"/>
                <w:color w:val="221F1F"/>
                <w:sz w:val="22"/>
                <w:szCs w:val="22"/>
                <w:lang w:val="en-US" w:eastAsia="en-US"/>
              </w:rPr>
              <w:t>p</w:t>
            </w:r>
            <w:r w:rsidRPr="007B0EFA">
              <w:rPr>
                <w:rFonts w:eastAsia="Arial" w:cs="Arial"/>
                <w:color w:val="221F1F"/>
                <w:spacing w:val="-1"/>
                <w:sz w:val="22"/>
                <w:szCs w:val="22"/>
                <w:lang w:val="en-US" w:eastAsia="en-US"/>
              </w:rPr>
              <w:t>e</w:t>
            </w:r>
            <w:r w:rsidRPr="007B0EFA">
              <w:rPr>
                <w:rFonts w:eastAsia="Arial" w:cs="Arial"/>
                <w:color w:val="221F1F"/>
                <w:sz w:val="22"/>
                <w:szCs w:val="22"/>
                <w:lang w:val="en-US" w:eastAsia="en-US"/>
              </w:rPr>
              <w:t>n</w:t>
            </w:r>
            <w:r w:rsidRPr="007B0EFA">
              <w:rPr>
                <w:rFonts w:eastAsia="Arial" w:cs="Arial"/>
                <w:color w:val="221F1F"/>
                <w:spacing w:val="-1"/>
                <w:sz w:val="22"/>
                <w:szCs w:val="22"/>
                <w:lang w:val="en-US" w:eastAsia="en-US"/>
              </w:rPr>
              <w:t>d</w:t>
            </w:r>
            <w:r w:rsidRPr="007B0EFA">
              <w:rPr>
                <w:rFonts w:eastAsia="Arial" w:cs="Arial"/>
                <w:color w:val="221F1F"/>
                <w:spacing w:val="-3"/>
                <w:sz w:val="22"/>
                <w:szCs w:val="22"/>
                <w:lang w:val="en-US" w:eastAsia="en-US"/>
              </w:rPr>
              <w:t>e</w:t>
            </w:r>
            <w:r w:rsidRPr="007B0EFA">
              <w:rPr>
                <w:rFonts w:eastAsia="Arial" w:cs="Arial"/>
                <w:color w:val="221F1F"/>
                <w:sz w:val="22"/>
                <w:szCs w:val="22"/>
                <w:lang w:val="en-US" w:eastAsia="en-US"/>
              </w:rPr>
              <w:t>nt</w:t>
            </w:r>
            <w:r w:rsidRPr="007B0EFA">
              <w:rPr>
                <w:rFonts w:eastAsia="Arial" w:cs="Arial"/>
                <w:color w:val="221F1F"/>
                <w:spacing w:val="1"/>
                <w:sz w:val="22"/>
                <w:szCs w:val="22"/>
                <w:lang w:val="en-US" w:eastAsia="en-US"/>
              </w:rPr>
              <w:t xml:space="preserve"> </w:t>
            </w:r>
            <w:r w:rsidRPr="007B0EFA">
              <w:rPr>
                <w:rFonts w:eastAsia="Arial" w:cs="Arial"/>
                <w:color w:val="221F1F"/>
                <w:sz w:val="22"/>
                <w:szCs w:val="22"/>
                <w:lang w:val="en-US" w:eastAsia="en-US"/>
              </w:rPr>
              <w:t>sch</w:t>
            </w:r>
            <w:r w:rsidRPr="007B0EFA">
              <w:rPr>
                <w:rFonts w:eastAsia="Arial" w:cs="Arial"/>
                <w:color w:val="221F1F"/>
                <w:spacing w:val="-1"/>
                <w:sz w:val="22"/>
                <w:szCs w:val="22"/>
                <w:lang w:val="en-US" w:eastAsia="en-US"/>
              </w:rPr>
              <w:t>o</w:t>
            </w:r>
            <w:r w:rsidRPr="007B0EFA">
              <w:rPr>
                <w:rFonts w:eastAsia="Arial" w:cs="Arial"/>
                <w:color w:val="221F1F"/>
                <w:sz w:val="22"/>
                <w:szCs w:val="22"/>
                <w:lang w:val="en-US" w:eastAsia="en-US"/>
              </w:rPr>
              <w:t>o</w:t>
            </w:r>
            <w:r w:rsidRPr="007B0EFA">
              <w:rPr>
                <w:rFonts w:eastAsia="Arial" w:cs="Arial"/>
                <w:color w:val="221F1F"/>
                <w:spacing w:val="-2"/>
                <w:sz w:val="22"/>
                <w:szCs w:val="22"/>
                <w:lang w:val="en-US" w:eastAsia="en-US"/>
              </w:rPr>
              <w:t>l</w:t>
            </w:r>
            <w:r w:rsidRPr="007B0EFA">
              <w:rPr>
                <w:rFonts w:eastAsia="Arial" w:cs="Arial"/>
                <w:color w:val="221F1F"/>
                <w:sz w:val="22"/>
                <w:szCs w:val="22"/>
                <w:lang w:val="en-US" w:eastAsia="en-US"/>
              </w:rPr>
              <w:t>s</w:t>
            </w:r>
            <w:r w:rsidRPr="007B0EFA">
              <w:rPr>
                <w:rFonts w:eastAsia="Arial" w:cs="Arial"/>
                <w:color w:val="221F1F"/>
                <w:spacing w:val="-2"/>
                <w:sz w:val="22"/>
                <w:szCs w:val="22"/>
                <w:lang w:val="en-US" w:eastAsia="en-US"/>
              </w:rPr>
              <w:t xml:space="preserve"> </w:t>
            </w:r>
            <w:r w:rsidRPr="007B0EFA">
              <w:rPr>
                <w:rFonts w:eastAsia="Arial" w:cs="Arial"/>
                <w:color w:val="221F1F"/>
                <w:spacing w:val="-4"/>
                <w:sz w:val="22"/>
                <w:szCs w:val="22"/>
                <w:lang w:val="en-US" w:eastAsia="en-US"/>
              </w:rPr>
              <w:t>w</w:t>
            </w:r>
            <w:r w:rsidRPr="007B0EFA">
              <w:rPr>
                <w:rFonts w:eastAsia="Arial" w:cs="Arial"/>
                <w:color w:val="221F1F"/>
                <w:spacing w:val="-2"/>
                <w:sz w:val="22"/>
                <w:szCs w:val="22"/>
                <w:lang w:val="en-US" w:eastAsia="en-US"/>
              </w:rPr>
              <w:t>i</w:t>
            </w:r>
            <w:r w:rsidRPr="007B0EFA">
              <w:rPr>
                <w:rFonts w:eastAsia="Arial" w:cs="Arial"/>
                <w:color w:val="221F1F"/>
                <w:sz w:val="22"/>
                <w:szCs w:val="22"/>
                <w:lang w:val="en-US" w:eastAsia="en-US"/>
              </w:rPr>
              <w:t>th</w:t>
            </w:r>
            <w:r w:rsidRPr="007B0EFA">
              <w:rPr>
                <w:rFonts w:eastAsia="Arial" w:cs="Arial"/>
                <w:color w:val="221F1F"/>
                <w:spacing w:val="-1"/>
                <w:sz w:val="22"/>
                <w:szCs w:val="22"/>
                <w:lang w:val="en-US" w:eastAsia="en-US"/>
              </w:rPr>
              <w:t>o</w:t>
            </w:r>
            <w:r w:rsidRPr="007B0EFA">
              <w:rPr>
                <w:rFonts w:eastAsia="Arial" w:cs="Arial"/>
                <w:color w:val="221F1F"/>
                <w:sz w:val="22"/>
                <w:szCs w:val="22"/>
                <w:lang w:val="en-US" w:eastAsia="en-US"/>
              </w:rPr>
              <w:t>ut</w:t>
            </w:r>
            <w:r w:rsidRPr="007B0EFA">
              <w:rPr>
                <w:rFonts w:eastAsia="Arial" w:cs="Arial"/>
                <w:color w:val="221F1F"/>
                <w:spacing w:val="1"/>
                <w:sz w:val="22"/>
                <w:szCs w:val="22"/>
                <w:lang w:val="en-US" w:eastAsia="en-US"/>
              </w:rPr>
              <w:t xml:space="preserve"> </w:t>
            </w:r>
            <w:r w:rsidRPr="007B0EFA">
              <w:rPr>
                <w:rFonts w:eastAsia="Arial" w:cs="Arial"/>
                <w:color w:val="221F1F"/>
                <w:spacing w:val="-1"/>
                <w:sz w:val="22"/>
                <w:szCs w:val="22"/>
                <w:lang w:val="en-US" w:eastAsia="en-US"/>
              </w:rPr>
              <w:t>SE</w:t>
            </w:r>
            <w:r w:rsidRPr="007B0EFA">
              <w:rPr>
                <w:rFonts w:eastAsia="Arial" w:cs="Arial"/>
                <w:color w:val="221F1F"/>
                <w:sz w:val="22"/>
                <w:szCs w:val="22"/>
                <w:lang w:val="en-US" w:eastAsia="en-US"/>
              </w:rPr>
              <w:t>N</w:t>
            </w:r>
          </w:p>
        </w:tc>
        <w:tc>
          <w:tcPr>
            <w:tcW w:w="1984" w:type="dxa"/>
          </w:tcPr>
          <w:p w14:paraId="0D374B42" w14:textId="45C7BE58" w:rsidR="007B0EFA" w:rsidRDefault="00E64371" w:rsidP="007E05A7">
            <w:pPr>
              <w:widowControl w:val="0"/>
              <w:spacing w:before="54"/>
              <w:ind w:left="102"/>
              <w:jc w:val="right"/>
              <w:rPr>
                <w:rFonts w:eastAsia="Arial" w:cs="Arial"/>
                <w:iCs/>
                <w:color w:val="221F1F"/>
                <w:spacing w:val="-1"/>
                <w:sz w:val="22"/>
                <w:szCs w:val="22"/>
                <w:lang w:val="en-US" w:eastAsia="en-US"/>
              </w:rPr>
            </w:pPr>
            <w:r>
              <w:rPr>
                <w:rFonts w:eastAsia="Arial" w:cs="Arial"/>
                <w:iCs/>
                <w:color w:val="221F1F"/>
                <w:spacing w:val="-1"/>
                <w:sz w:val="22"/>
                <w:szCs w:val="22"/>
                <w:lang w:val="en-US" w:eastAsia="en-US"/>
              </w:rPr>
              <w:t>2</w:t>
            </w:r>
            <w:r w:rsidR="00F44B20">
              <w:rPr>
                <w:rFonts w:eastAsia="Arial" w:cs="Arial"/>
                <w:iCs/>
                <w:color w:val="221F1F"/>
                <w:spacing w:val="-1"/>
                <w:sz w:val="22"/>
                <w:szCs w:val="22"/>
                <w:lang w:val="en-US" w:eastAsia="en-US"/>
              </w:rPr>
              <w:t>2</w:t>
            </w:r>
            <w:r w:rsidR="00196727">
              <w:rPr>
                <w:rFonts w:eastAsia="Arial" w:cs="Arial"/>
                <w:iCs/>
                <w:color w:val="221F1F"/>
                <w:spacing w:val="-1"/>
                <w:sz w:val="22"/>
                <w:szCs w:val="22"/>
                <w:lang w:val="en-US" w:eastAsia="en-US"/>
              </w:rPr>
              <w:t>5</w:t>
            </w:r>
          </w:p>
          <w:p w14:paraId="02D736DB" w14:textId="660948B6" w:rsidR="00196727" w:rsidRPr="00510352" w:rsidRDefault="00196727" w:rsidP="007E05A7">
            <w:pPr>
              <w:widowControl w:val="0"/>
              <w:spacing w:before="54"/>
              <w:ind w:left="102"/>
              <w:jc w:val="right"/>
              <w:rPr>
                <w:rFonts w:eastAsia="Arial" w:cs="Arial"/>
                <w:iCs/>
                <w:color w:val="221F1F"/>
                <w:spacing w:val="-1"/>
                <w:sz w:val="22"/>
                <w:szCs w:val="22"/>
                <w:lang w:val="en-US" w:eastAsia="en-US"/>
              </w:rPr>
            </w:pPr>
          </w:p>
        </w:tc>
        <w:tc>
          <w:tcPr>
            <w:tcW w:w="1985" w:type="dxa"/>
          </w:tcPr>
          <w:p w14:paraId="5DEC5BC9" w14:textId="5F4501A0" w:rsidR="007B0EFA" w:rsidRPr="00510352" w:rsidRDefault="00510352" w:rsidP="007E05A7">
            <w:pPr>
              <w:widowControl w:val="0"/>
              <w:spacing w:before="54"/>
              <w:ind w:left="917"/>
              <w:jc w:val="right"/>
              <w:rPr>
                <w:rFonts w:eastAsia="Arial" w:cs="Arial"/>
                <w:iCs/>
                <w:sz w:val="22"/>
                <w:szCs w:val="22"/>
                <w:lang w:val="en-US" w:eastAsia="en-US"/>
              </w:rPr>
            </w:pPr>
            <w:r>
              <w:rPr>
                <w:rFonts w:eastAsia="Arial" w:cs="Arial"/>
                <w:iCs/>
                <w:sz w:val="22"/>
                <w:szCs w:val="22"/>
                <w:lang w:val="en-US" w:eastAsia="en-US"/>
              </w:rPr>
              <w:t>358</w:t>
            </w:r>
          </w:p>
          <w:p w14:paraId="02D736DC" w14:textId="17742641" w:rsidR="00B76EB5" w:rsidRPr="00510352" w:rsidRDefault="00B76EB5" w:rsidP="007E05A7">
            <w:pPr>
              <w:widowControl w:val="0"/>
              <w:spacing w:before="54"/>
              <w:ind w:left="917"/>
              <w:jc w:val="right"/>
              <w:rPr>
                <w:rFonts w:eastAsia="Arial" w:cs="Arial"/>
                <w:iCs/>
                <w:sz w:val="22"/>
                <w:szCs w:val="22"/>
                <w:lang w:val="en-US" w:eastAsia="en-US"/>
              </w:rPr>
            </w:pPr>
          </w:p>
        </w:tc>
      </w:tr>
      <w:tr w:rsidR="007B0EFA" w:rsidRPr="007B0EFA" w14:paraId="02D736E1" w14:textId="77777777" w:rsidTr="00610152">
        <w:trPr>
          <w:trHeight w:hRule="exact" w:val="321"/>
        </w:trPr>
        <w:tc>
          <w:tcPr>
            <w:tcW w:w="4820" w:type="dxa"/>
          </w:tcPr>
          <w:p w14:paraId="144F7E44" w14:textId="1026B201" w:rsidR="007B0EFA" w:rsidRDefault="0036653D" w:rsidP="007E05A7">
            <w:pPr>
              <w:widowControl w:val="0"/>
              <w:spacing w:before="54"/>
              <w:rPr>
                <w:rFonts w:eastAsia="Arial" w:cs="Arial"/>
                <w:color w:val="221F1F"/>
                <w:sz w:val="22"/>
                <w:szCs w:val="22"/>
                <w:lang w:val="en-US" w:eastAsia="en-US"/>
              </w:rPr>
            </w:pPr>
            <w:r>
              <w:rPr>
                <w:rFonts w:eastAsia="Arial" w:cs="Arial"/>
                <w:color w:val="221F1F"/>
                <w:sz w:val="22"/>
                <w:szCs w:val="22"/>
                <w:lang w:val="en-US" w:eastAsia="en-US"/>
              </w:rPr>
              <w:t>C</w:t>
            </w:r>
            <w:r w:rsidR="007B0EFA" w:rsidRPr="007B0EFA">
              <w:rPr>
                <w:rFonts w:eastAsia="Arial" w:cs="Arial"/>
                <w:color w:val="221F1F"/>
                <w:sz w:val="22"/>
                <w:szCs w:val="22"/>
                <w:lang w:val="en-US" w:eastAsia="en-US"/>
              </w:rPr>
              <w:t>o</w:t>
            </w:r>
            <w:r w:rsidR="007B0EFA" w:rsidRPr="007B0EFA">
              <w:rPr>
                <w:rFonts w:eastAsia="Arial" w:cs="Arial"/>
                <w:color w:val="221F1F"/>
                <w:spacing w:val="-1"/>
                <w:sz w:val="22"/>
                <w:szCs w:val="22"/>
                <w:lang w:val="en-US" w:eastAsia="en-US"/>
              </w:rPr>
              <w:t>p</w:t>
            </w:r>
            <w:r w:rsidR="007B0EFA" w:rsidRPr="007B0EFA">
              <w:rPr>
                <w:rFonts w:eastAsia="Arial" w:cs="Arial"/>
                <w:color w:val="221F1F"/>
                <w:spacing w:val="-3"/>
                <w:sz w:val="22"/>
                <w:szCs w:val="22"/>
                <w:lang w:val="en-US" w:eastAsia="en-US"/>
              </w:rPr>
              <w:t>y</w:t>
            </w:r>
            <w:r w:rsidR="007B0EFA" w:rsidRPr="007B0EFA">
              <w:rPr>
                <w:rFonts w:eastAsia="Arial" w:cs="Arial"/>
                <w:color w:val="221F1F"/>
                <w:sz w:val="22"/>
                <w:szCs w:val="22"/>
                <w:lang w:val="en-US" w:eastAsia="en-US"/>
              </w:rPr>
              <w:t>r</w:t>
            </w:r>
            <w:r w:rsidR="007B0EFA" w:rsidRPr="007B0EFA">
              <w:rPr>
                <w:rFonts w:eastAsia="Arial" w:cs="Arial"/>
                <w:color w:val="221F1F"/>
                <w:spacing w:val="-2"/>
                <w:sz w:val="22"/>
                <w:szCs w:val="22"/>
                <w:lang w:val="en-US" w:eastAsia="en-US"/>
              </w:rPr>
              <w:t>i</w:t>
            </w:r>
            <w:r w:rsidR="007B0EFA" w:rsidRPr="007B0EFA">
              <w:rPr>
                <w:rFonts w:eastAsia="Arial" w:cs="Arial"/>
                <w:color w:val="221F1F"/>
                <w:spacing w:val="1"/>
                <w:sz w:val="22"/>
                <w:szCs w:val="22"/>
                <w:lang w:val="en-US" w:eastAsia="en-US"/>
              </w:rPr>
              <w:t>g</w:t>
            </w:r>
            <w:r w:rsidR="007B0EFA" w:rsidRPr="007B0EFA">
              <w:rPr>
                <w:rFonts w:eastAsia="Arial" w:cs="Arial"/>
                <w:color w:val="221F1F"/>
                <w:spacing w:val="-3"/>
                <w:sz w:val="22"/>
                <w:szCs w:val="22"/>
                <w:lang w:val="en-US" w:eastAsia="en-US"/>
              </w:rPr>
              <w:t>h</w:t>
            </w:r>
            <w:r w:rsidR="007B0EFA" w:rsidRPr="007B0EFA">
              <w:rPr>
                <w:rFonts w:eastAsia="Arial" w:cs="Arial"/>
                <w:color w:val="221F1F"/>
                <w:sz w:val="22"/>
                <w:szCs w:val="22"/>
                <w:lang w:val="en-US" w:eastAsia="en-US"/>
              </w:rPr>
              <w:t>t</w:t>
            </w:r>
            <w:r w:rsidR="007B0EFA" w:rsidRPr="007B0EFA">
              <w:rPr>
                <w:rFonts w:eastAsia="Arial" w:cs="Arial"/>
                <w:color w:val="221F1F"/>
                <w:spacing w:val="2"/>
                <w:sz w:val="22"/>
                <w:szCs w:val="22"/>
                <w:lang w:val="en-US" w:eastAsia="en-US"/>
              </w:rPr>
              <w:t xml:space="preserve"> </w:t>
            </w:r>
            <w:r w:rsidR="007B0EFA" w:rsidRPr="007B0EFA">
              <w:rPr>
                <w:rFonts w:eastAsia="Arial" w:cs="Arial"/>
                <w:color w:val="221F1F"/>
                <w:spacing w:val="-2"/>
                <w:sz w:val="22"/>
                <w:szCs w:val="22"/>
                <w:lang w:val="en-US" w:eastAsia="en-US"/>
              </w:rPr>
              <w:t>li</w:t>
            </w:r>
            <w:r w:rsidR="007B0EFA" w:rsidRPr="007B0EFA">
              <w:rPr>
                <w:rFonts w:eastAsia="Arial" w:cs="Arial"/>
                <w:color w:val="221F1F"/>
                <w:sz w:val="22"/>
                <w:szCs w:val="22"/>
                <w:lang w:val="en-US" w:eastAsia="en-US"/>
              </w:rPr>
              <w:t>ce</w:t>
            </w:r>
            <w:r w:rsidR="007B0EFA" w:rsidRPr="007B0EFA">
              <w:rPr>
                <w:rFonts w:eastAsia="Arial" w:cs="Arial"/>
                <w:color w:val="221F1F"/>
                <w:spacing w:val="-1"/>
                <w:sz w:val="22"/>
                <w:szCs w:val="22"/>
                <w:lang w:val="en-US" w:eastAsia="en-US"/>
              </w:rPr>
              <w:t>n</w:t>
            </w:r>
            <w:r w:rsidR="007B0EFA" w:rsidRPr="007B0EFA">
              <w:rPr>
                <w:rFonts w:eastAsia="Arial" w:cs="Arial"/>
                <w:color w:val="221F1F"/>
                <w:sz w:val="22"/>
                <w:szCs w:val="22"/>
                <w:lang w:val="en-US" w:eastAsia="en-US"/>
              </w:rPr>
              <w:t>ses</w:t>
            </w:r>
          </w:p>
          <w:p w14:paraId="02D736DE" w14:textId="5A8DFDD3" w:rsidR="000E4EE8" w:rsidRPr="007B0EFA" w:rsidRDefault="000E4EE8" w:rsidP="007E05A7">
            <w:pPr>
              <w:widowControl w:val="0"/>
              <w:spacing w:before="54"/>
              <w:rPr>
                <w:rFonts w:eastAsia="Arial" w:cs="Arial"/>
                <w:sz w:val="22"/>
                <w:szCs w:val="22"/>
                <w:lang w:val="en-US" w:eastAsia="en-US"/>
              </w:rPr>
            </w:pPr>
          </w:p>
        </w:tc>
        <w:tc>
          <w:tcPr>
            <w:tcW w:w="1984" w:type="dxa"/>
          </w:tcPr>
          <w:p w14:paraId="754895EF" w14:textId="77777777" w:rsidR="007B0EFA" w:rsidRDefault="00510352" w:rsidP="007E05A7">
            <w:pPr>
              <w:widowControl w:val="0"/>
              <w:spacing w:before="54"/>
              <w:ind w:left="102"/>
              <w:jc w:val="right"/>
              <w:rPr>
                <w:rFonts w:eastAsia="Arial" w:cs="Arial"/>
                <w:color w:val="221F1F"/>
                <w:spacing w:val="-1"/>
                <w:sz w:val="22"/>
                <w:szCs w:val="22"/>
                <w:lang w:val="en-US" w:eastAsia="en-US"/>
              </w:rPr>
            </w:pPr>
            <w:r>
              <w:rPr>
                <w:rFonts w:eastAsia="Arial" w:cs="Arial"/>
                <w:color w:val="221F1F"/>
                <w:spacing w:val="-1"/>
                <w:sz w:val="22"/>
                <w:szCs w:val="22"/>
                <w:lang w:val="en-US" w:eastAsia="en-US"/>
              </w:rPr>
              <w:t>280</w:t>
            </w:r>
          </w:p>
          <w:p w14:paraId="02D736DF" w14:textId="21633081" w:rsidR="00510352" w:rsidRPr="007B0EFA" w:rsidRDefault="00510352" w:rsidP="007E05A7">
            <w:pPr>
              <w:widowControl w:val="0"/>
              <w:spacing w:before="54"/>
              <w:ind w:left="102"/>
              <w:jc w:val="right"/>
              <w:rPr>
                <w:rFonts w:eastAsia="Arial" w:cs="Arial"/>
                <w:color w:val="221F1F"/>
                <w:spacing w:val="-1"/>
                <w:sz w:val="22"/>
                <w:szCs w:val="22"/>
                <w:lang w:val="en-US" w:eastAsia="en-US"/>
              </w:rPr>
            </w:pPr>
          </w:p>
        </w:tc>
        <w:tc>
          <w:tcPr>
            <w:tcW w:w="1985" w:type="dxa"/>
          </w:tcPr>
          <w:p w14:paraId="1637C161" w14:textId="2AC71A1A" w:rsidR="007B0EFA" w:rsidRDefault="002907FF" w:rsidP="007E05A7">
            <w:pPr>
              <w:widowControl w:val="0"/>
              <w:spacing w:before="54"/>
              <w:ind w:left="917"/>
              <w:jc w:val="right"/>
              <w:rPr>
                <w:rFonts w:eastAsia="Arial" w:cs="Arial"/>
                <w:sz w:val="22"/>
                <w:szCs w:val="22"/>
                <w:lang w:val="en-US" w:eastAsia="en-US"/>
              </w:rPr>
            </w:pPr>
            <w:r>
              <w:rPr>
                <w:rFonts w:eastAsia="Arial" w:cs="Arial"/>
                <w:sz w:val="22"/>
                <w:szCs w:val="22"/>
                <w:lang w:val="en-US" w:eastAsia="en-US"/>
              </w:rPr>
              <w:t>257</w:t>
            </w:r>
          </w:p>
          <w:p w14:paraId="02D736E0" w14:textId="31188F21" w:rsidR="001C09C4" w:rsidRPr="007B0EFA" w:rsidRDefault="001C09C4" w:rsidP="007E05A7">
            <w:pPr>
              <w:widowControl w:val="0"/>
              <w:spacing w:before="54"/>
              <w:ind w:left="917"/>
              <w:jc w:val="right"/>
              <w:rPr>
                <w:rFonts w:eastAsia="Arial" w:cs="Arial"/>
                <w:sz w:val="22"/>
                <w:szCs w:val="22"/>
                <w:lang w:val="en-US" w:eastAsia="en-US"/>
              </w:rPr>
            </w:pPr>
          </w:p>
        </w:tc>
      </w:tr>
      <w:tr w:rsidR="006036B1" w:rsidRPr="007B0EFA" w14:paraId="30168CDD" w14:textId="77777777" w:rsidTr="00610152">
        <w:trPr>
          <w:trHeight w:hRule="exact" w:val="321"/>
        </w:trPr>
        <w:tc>
          <w:tcPr>
            <w:tcW w:w="4820" w:type="dxa"/>
          </w:tcPr>
          <w:p w14:paraId="6119958E" w14:textId="27B2BBA1" w:rsidR="006036B1" w:rsidRPr="007B0EFA" w:rsidRDefault="008103C0" w:rsidP="007E05A7">
            <w:pPr>
              <w:widowControl w:val="0"/>
              <w:spacing w:before="54"/>
              <w:rPr>
                <w:rFonts w:eastAsia="Arial" w:cs="Arial"/>
                <w:color w:val="221F1F"/>
                <w:spacing w:val="-2"/>
                <w:sz w:val="22"/>
                <w:szCs w:val="22"/>
                <w:lang w:val="en-US" w:eastAsia="en-US"/>
              </w:rPr>
            </w:pPr>
            <w:r>
              <w:rPr>
                <w:rFonts w:eastAsia="Arial" w:cs="Arial"/>
                <w:color w:val="221F1F"/>
                <w:spacing w:val="-2"/>
                <w:sz w:val="22"/>
                <w:szCs w:val="22"/>
                <w:lang w:val="en-US" w:eastAsia="en-US"/>
              </w:rPr>
              <w:t>Former ESG Duties *</w:t>
            </w:r>
          </w:p>
        </w:tc>
        <w:tc>
          <w:tcPr>
            <w:tcW w:w="1984" w:type="dxa"/>
          </w:tcPr>
          <w:p w14:paraId="2D8B4593" w14:textId="025A48ED" w:rsidR="006036B1" w:rsidRDefault="00B12112" w:rsidP="007E05A7">
            <w:pPr>
              <w:widowControl w:val="0"/>
              <w:spacing w:before="54"/>
              <w:ind w:left="102"/>
              <w:jc w:val="right"/>
              <w:rPr>
                <w:rFonts w:eastAsia="Arial" w:cs="Arial"/>
                <w:color w:val="221F1F"/>
                <w:spacing w:val="-1"/>
                <w:sz w:val="22"/>
                <w:szCs w:val="22"/>
                <w:lang w:val="en-US" w:eastAsia="en-US"/>
              </w:rPr>
            </w:pPr>
            <w:r>
              <w:rPr>
                <w:rFonts w:eastAsia="Arial" w:cs="Arial"/>
                <w:color w:val="221F1F"/>
                <w:spacing w:val="-1"/>
                <w:sz w:val="22"/>
                <w:szCs w:val="22"/>
                <w:lang w:val="en-US" w:eastAsia="en-US"/>
              </w:rPr>
              <w:t>6</w:t>
            </w:r>
            <w:r w:rsidR="00325C80">
              <w:rPr>
                <w:rFonts w:eastAsia="Arial" w:cs="Arial"/>
                <w:color w:val="221F1F"/>
                <w:spacing w:val="-1"/>
                <w:sz w:val="22"/>
                <w:szCs w:val="22"/>
                <w:lang w:val="en-US" w:eastAsia="en-US"/>
              </w:rPr>
              <w:t>45</w:t>
            </w:r>
          </w:p>
        </w:tc>
        <w:tc>
          <w:tcPr>
            <w:tcW w:w="1985" w:type="dxa"/>
          </w:tcPr>
          <w:p w14:paraId="52F8DBD6" w14:textId="4F05627B" w:rsidR="006036B1" w:rsidRDefault="008103C0" w:rsidP="007E05A7">
            <w:pPr>
              <w:widowControl w:val="0"/>
              <w:spacing w:before="54"/>
              <w:ind w:left="917"/>
              <w:jc w:val="right"/>
              <w:rPr>
                <w:rFonts w:eastAsia="Arial" w:cs="Arial"/>
                <w:sz w:val="22"/>
                <w:szCs w:val="22"/>
                <w:lang w:val="en-US" w:eastAsia="en-US"/>
              </w:rPr>
            </w:pPr>
            <w:r>
              <w:rPr>
                <w:rFonts w:eastAsia="Arial" w:cs="Arial"/>
                <w:sz w:val="22"/>
                <w:szCs w:val="22"/>
                <w:lang w:val="en-US" w:eastAsia="en-US"/>
              </w:rPr>
              <w:t>630</w:t>
            </w:r>
          </w:p>
        </w:tc>
      </w:tr>
      <w:tr w:rsidR="00AD2187" w:rsidRPr="007B0EFA" w14:paraId="6C82F0B9" w14:textId="77777777" w:rsidTr="00610152">
        <w:trPr>
          <w:trHeight w:hRule="exact" w:val="264"/>
        </w:trPr>
        <w:tc>
          <w:tcPr>
            <w:tcW w:w="4820" w:type="dxa"/>
          </w:tcPr>
          <w:p w14:paraId="67A9F45A" w14:textId="47D9AA6A" w:rsidR="00AD2187" w:rsidRPr="00CA2E80" w:rsidRDefault="008103C0" w:rsidP="007E05A7">
            <w:pPr>
              <w:widowControl w:val="0"/>
              <w:spacing w:line="249" w:lineRule="exact"/>
              <w:rPr>
                <w:rFonts w:eastAsia="Arial" w:cs="Arial"/>
                <w:bCs/>
                <w:spacing w:val="1"/>
                <w:sz w:val="22"/>
                <w:szCs w:val="22"/>
                <w:lang w:val="en-US" w:eastAsia="en-US"/>
              </w:rPr>
            </w:pPr>
            <w:r>
              <w:rPr>
                <w:rFonts w:eastAsia="Arial" w:cs="Arial"/>
                <w:bCs/>
                <w:spacing w:val="1"/>
                <w:sz w:val="22"/>
                <w:szCs w:val="22"/>
                <w:lang w:val="en-US" w:eastAsia="en-US"/>
              </w:rPr>
              <w:t xml:space="preserve">Central </w:t>
            </w:r>
            <w:r w:rsidR="007132B7">
              <w:rPr>
                <w:rFonts w:eastAsia="Arial" w:cs="Arial"/>
                <w:bCs/>
                <w:spacing w:val="1"/>
                <w:sz w:val="22"/>
                <w:szCs w:val="22"/>
                <w:lang w:val="en-US" w:eastAsia="en-US"/>
              </w:rPr>
              <w:t>T</w:t>
            </w:r>
            <w:r>
              <w:rPr>
                <w:rFonts w:eastAsia="Arial" w:cs="Arial"/>
                <w:bCs/>
                <w:spacing w:val="1"/>
                <w:sz w:val="22"/>
                <w:szCs w:val="22"/>
                <w:lang w:val="en-US" w:eastAsia="en-US"/>
              </w:rPr>
              <w:t>eachers pay and pensions</w:t>
            </w:r>
          </w:p>
        </w:tc>
        <w:tc>
          <w:tcPr>
            <w:tcW w:w="1984" w:type="dxa"/>
          </w:tcPr>
          <w:p w14:paraId="7E1001E0" w14:textId="24FEEE84" w:rsidR="00855721" w:rsidRPr="00CA2E80" w:rsidRDefault="00B12112" w:rsidP="007E05A7">
            <w:pPr>
              <w:widowControl w:val="0"/>
              <w:spacing w:line="249" w:lineRule="exact"/>
              <w:ind w:left="610"/>
              <w:jc w:val="right"/>
              <w:rPr>
                <w:rFonts w:eastAsia="Arial" w:cs="Arial"/>
                <w:bCs/>
                <w:sz w:val="22"/>
                <w:szCs w:val="22"/>
                <w:lang w:val="en-US" w:eastAsia="en-US"/>
              </w:rPr>
            </w:pPr>
            <w:r>
              <w:rPr>
                <w:rFonts w:eastAsia="Arial" w:cs="Arial"/>
                <w:bCs/>
                <w:sz w:val="22"/>
                <w:szCs w:val="22"/>
                <w:lang w:val="en-US" w:eastAsia="en-US"/>
              </w:rPr>
              <w:t>192</w:t>
            </w:r>
          </w:p>
        </w:tc>
        <w:tc>
          <w:tcPr>
            <w:tcW w:w="1985" w:type="dxa"/>
          </w:tcPr>
          <w:p w14:paraId="4724DEC4" w14:textId="3EDCFBDE" w:rsidR="00DD7733" w:rsidRPr="00D81243" w:rsidRDefault="00DD7733" w:rsidP="007E05A7">
            <w:pPr>
              <w:widowControl w:val="0"/>
              <w:spacing w:line="249" w:lineRule="exact"/>
              <w:ind w:left="610"/>
              <w:jc w:val="right"/>
              <w:rPr>
                <w:rFonts w:eastAsia="Arial" w:cs="Arial"/>
                <w:b/>
                <w:sz w:val="22"/>
                <w:szCs w:val="22"/>
                <w:lang w:val="en-US" w:eastAsia="en-US"/>
              </w:rPr>
            </w:pPr>
          </w:p>
        </w:tc>
      </w:tr>
      <w:tr w:rsidR="007B0EFA" w:rsidRPr="007B0EFA" w14:paraId="02D736E5" w14:textId="77777777" w:rsidTr="00610152">
        <w:trPr>
          <w:trHeight w:hRule="exact" w:val="264"/>
        </w:trPr>
        <w:tc>
          <w:tcPr>
            <w:tcW w:w="4820" w:type="dxa"/>
          </w:tcPr>
          <w:p w14:paraId="02D736E2" w14:textId="7D2FE783" w:rsidR="007B0EFA" w:rsidRPr="007B0EFA" w:rsidRDefault="007B0EFA" w:rsidP="007E05A7">
            <w:pPr>
              <w:widowControl w:val="0"/>
              <w:spacing w:line="249" w:lineRule="exact"/>
              <w:rPr>
                <w:rFonts w:eastAsia="Arial" w:cs="Arial"/>
                <w:b/>
                <w:sz w:val="22"/>
                <w:szCs w:val="22"/>
                <w:lang w:val="en-US" w:eastAsia="en-US"/>
              </w:rPr>
            </w:pPr>
            <w:r w:rsidRPr="007B0EFA">
              <w:rPr>
                <w:rFonts w:eastAsia="Arial" w:cs="Arial"/>
                <w:b/>
                <w:color w:val="221F1F"/>
                <w:spacing w:val="1"/>
                <w:sz w:val="22"/>
                <w:szCs w:val="22"/>
                <w:lang w:val="en-US" w:eastAsia="en-US"/>
              </w:rPr>
              <w:t>O</w:t>
            </w:r>
            <w:r w:rsidRPr="007B0EFA">
              <w:rPr>
                <w:rFonts w:eastAsia="Arial" w:cs="Arial"/>
                <w:b/>
                <w:color w:val="221F1F"/>
                <w:spacing w:val="-4"/>
                <w:sz w:val="22"/>
                <w:szCs w:val="22"/>
                <w:lang w:val="en-US" w:eastAsia="en-US"/>
              </w:rPr>
              <w:t>n</w:t>
            </w:r>
            <w:r w:rsidRPr="007B0EFA">
              <w:rPr>
                <w:rFonts w:eastAsia="Arial" w:cs="Arial"/>
                <w:b/>
                <w:color w:val="221F1F"/>
                <w:spacing w:val="1"/>
                <w:sz w:val="22"/>
                <w:szCs w:val="22"/>
                <w:lang w:val="en-US" w:eastAsia="en-US"/>
              </w:rPr>
              <w:t>g</w:t>
            </w:r>
            <w:r w:rsidRPr="007B0EFA">
              <w:rPr>
                <w:rFonts w:eastAsia="Arial" w:cs="Arial"/>
                <w:b/>
                <w:color w:val="221F1F"/>
                <w:sz w:val="22"/>
                <w:szCs w:val="22"/>
                <w:lang w:val="en-US" w:eastAsia="en-US"/>
              </w:rPr>
              <w:t>o</w:t>
            </w:r>
            <w:r w:rsidRPr="007B0EFA">
              <w:rPr>
                <w:rFonts w:eastAsia="Arial" w:cs="Arial"/>
                <w:b/>
                <w:color w:val="221F1F"/>
                <w:spacing w:val="-2"/>
                <w:sz w:val="22"/>
                <w:szCs w:val="22"/>
                <w:lang w:val="en-US" w:eastAsia="en-US"/>
              </w:rPr>
              <w:t>i</w:t>
            </w:r>
            <w:r w:rsidRPr="007B0EFA">
              <w:rPr>
                <w:rFonts w:eastAsia="Arial" w:cs="Arial"/>
                <w:b/>
                <w:color w:val="221F1F"/>
                <w:sz w:val="22"/>
                <w:szCs w:val="22"/>
                <w:lang w:val="en-US" w:eastAsia="en-US"/>
              </w:rPr>
              <w:t>ng</w:t>
            </w:r>
            <w:r w:rsidRPr="007B0EFA">
              <w:rPr>
                <w:rFonts w:eastAsia="Arial" w:cs="Arial"/>
                <w:b/>
                <w:color w:val="221F1F"/>
                <w:spacing w:val="-2"/>
                <w:sz w:val="22"/>
                <w:szCs w:val="22"/>
                <w:lang w:val="en-US" w:eastAsia="en-US"/>
              </w:rPr>
              <w:t xml:space="preserve"> </w:t>
            </w:r>
            <w:r w:rsidRPr="007B0EFA">
              <w:rPr>
                <w:rFonts w:eastAsia="Arial" w:cs="Arial"/>
                <w:b/>
                <w:color w:val="221F1F"/>
                <w:sz w:val="22"/>
                <w:szCs w:val="22"/>
                <w:lang w:val="en-US" w:eastAsia="en-US"/>
              </w:rPr>
              <w:t xml:space="preserve">Duties </w:t>
            </w:r>
          </w:p>
        </w:tc>
        <w:tc>
          <w:tcPr>
            <w:tcW w:w="1984" w:type="dxa"/>
          </w:tcPr>
          <w:p w14:paraId="02D736E3" w14:textId="5222E01D" w:rsidR="007B0EFA" w:rsidRPr="007B0EFA" w:rsidRDefault="007B0EFA" w:rsidP="007E05A7">
            <w:pPr>
              <w:widowControl w:val="0"/>
              <w:spacing w:line="249" w:lineRule="exact"/>
              <w:ind w:left="610"/>
              <w:jc w:val="right"/>
              <w:rPr>
                <w:rFonts w:eastAsia="Arial" w:cs="Arial"/>
                <w:b/>
                <w:sz w:val="22"/>
                <w:szCs w:val="22"/>
                <w:lang w:val="en-US" w:eastAsia="en-US"/>
              </w:rPr>
            </w:pPr>
            <w:r w:rsidRPr="007B0EFA">
              <w:rPr>
                <w:rFonts w:eastAsia="Arial" w:cs="Arial"/>
                <w:b/>
                <w:color w:val="221F1F"/>
                <w:sz w:val="22"/>
                <w:szCs w:val="22"/>
                <w:lang w:val="en-US" w:eastAsia="en-US"/>
              </w:rPr>
              <w:t xml:space="preserve"> </w:t>
            </w:r>
            <w:r w:rsidR="00D028B4">
              <w:rPr>
                <w:rFonts w:eastAsia="Arial" w:cs="Arial"/>
                <w:b/>
                <w:color w:val="221F1F"/>
                <w:sz w:val="22"/>
                <w:szCs w:val="22"/>
                <w:lang w:val="en-US" w:eastAsia="en-US"/>
              </w:rPr>
              <w:t>2,1</w:t>
            </w:r>
            <w:r w:rsidR="00F44B20">
              <w:rPr>
                <w:rFonts w:eastAsia="Arial" w:cs="Arial"/>
                <w:b/>
                <w:color w:val="221F1F"/>
                <w:sz w:val="22"/>
                <w:szCs w:val="22"/>
                <w:lang w:val="en-US" w:eastAsia="en-US"/>
              </w:rPr>
              <w:t>0</w:t>
            </w:r>
            <w:r w:rsidR="00D028B4">
              <w:rPr>
                <w:rFonts w:eastAsia="Arial" w:cs="Arial"/>
                <w:b/>
                <w:color w:val="221F1F"/>
                <w:sz w:val="22"/>
                <w:szCs w:val="22"/>
                <w:lang w:val="en-US" w:eastAsia="en-US"/>
              </w:rPr>
              <w:t>7</w:t>
            </w:r>
          </w:p>
        </w:tc>
        <w:tc>
          <w:tcPr>
            <w:tcW w:w="1985" w:type="dxa"/>
          </w:tcPr>
          <w:p w14:paraId="02D736E4" w14:textId="292E558B" w:rsidR="007B0EFA" w:rsidRPr="007B0EFA" w:rsidRDefault="00476793" w:rsidP="007E05A7">
            <w:pPr>
              <w:widowControl w:val="0"/>
              <w:spacing w:line="249" w:lineRule="exact"/>
              <w:ind w:left="610"/>
              <w:jc w:val="right"/>
              <w:rPr>
                <w:rFonts w:eastAsia="Arial" w:cs="Arial"/>
                <w:b/>
                <w:color w:val="221F1F"/>
                <w:sz w:val="22"/>
                <w:szCs w:val="22"/>
                <w:lang w:val="en-US" w:eastAsia="en-US"/>
              </w:rPr>
            </w:pPr>
            <w:r>
              <w:rPr>
                <w:rFonts w:eastAsia="Arial" w:cs="Arial"/>
                <w:b/>
                <w:color w:val="221F1F"/>
                <w:sz w:val="22"/>
                <w:szCs w:val="22"/>
                <w:lang w:val="en-US" w:eastAsia="en-US"/>
              </w:rPr>
              <w:t>1,974</w:t>
            </w:r>
          </w:p>
        </w:tc>
      </w:tr>
      <w:tr w:rsidR="007B0EFA" w:rsidRPr="007B0EFA" w14:paraId="02D73709" w14:textId="77777777" w:rsidTr="007E05A7">
        <w:tblPrEx>
          <w:tblLook w:val="04A0" w:firstRow="1" w:lastRow="0" w:firstColumn="1" w:lastColumn="0" w:noHBand="0" w:noVBand="1"/>
        </w:tblPrEx>
        <w:tc>
          <w:tcPr>
            <w:tcW w:w="4820" w:type="dxa"/>
            <w:tcBorders>
              <w:left w:val="single" w:sz="4" w:space="0" w:color="auto"/>
              <w:bottom w:val="single" w:sz="4" w:space="0" w:color="auto"/>
              <w:right w:val="single" w:sz="4" w:space="0" w:color="auto"/>
            </w:tcBorders>
            <w:shd w:val="clear" w:color="auto" w:fill="D9D9D9" w:themeFill="background1" w:themeFillShade="D9"/>
          </w:tcPr>
          <w:p w14:paraId="02D73706" w14:textId="77777777" w:rsidR="007B0EFA" w:rsidRPr="007B0EFA" w:rsidRDefault="007B0EFA" w:rsidP="007E05A7">
            <w:pPr>
              <w:widowControl w:val="0"/>
              <w:spacing w:before="54"/>
              <w:rPr>
                <w:rFonts w:eastAsia="Arial" w:cs="Arial"/>
                <w:b/>
                <w:color w:val="221F1F"/>
                <w:spacing w:val="-1"/>
                <w:sz w:val="22"/>
                <w:szCs w:val="22"/>
                <w:lang w:val="en-US" w:eastAsia="en-US"/>
              </w:rPr>
            </w:pPr>
            <w:r w:rsidRPr="007B0EFA">
              <w:rPr>
                <w:rFonts w:eastAsia="Arial" w:cs="Arial"/>
                <w:b/>
                <w:color w:val="221F1F"/>
                <w:spacing w:val="-1"/>
                <w:sz w:val="22"/>
                <w:szCs w:val="22"/>
                <w:lang w:val="en-US" w:eastAsia="en-US"/>
              </w:rPr>
              <w:t>Historical</w:t>
            </w:r>
            <w:r w:rsidR="00C1160D">
              <w:rPr>
                <w:rFonts w:eastAsia="Arial" w:cs="Arial"/>
                <w:b/>
                <w:color w:val="221F1F"/>
                <w:spacing w:val="-1"/>
                <w:sz w:val="22"/>
                <w:szCs w:val="22"/>
                <w:lang w:val="en-US" w:eastAsia="en-US"/>
              </w:rPr>
              <w:t xml:space="preserve"> Commitments</w:t>
            </w:r>
          </w:p>
        </w:tc>
        <w:tc>
          <w:tcPr>
            <w:tcW w:w="1984" w:type="dxa"/>
            <w:tcBorders>
              <w:left w:val="single" w:sz="4" w:space="0" w:color="auto"/>
              <w:bottom w:val="single" w:sz="4" w:space="0" w:color="auto"/>
              <w:right w:val="single" w:sz="4" w:space="0" w:color="auto"/>
            </w:tcBorders>
            <w:shd w:val="clear" w:color="auto" w:fill="D9D9D9" w:themeFill="background1" w:themeFillShade="D9"/>
          </w:tcPr>
          <w:p w14:paraId="02D73707" w14:textId="20689973" w:rsidR="007B0EFA" w:rsidRPr="007B0EFA" w:rsidRDefault="002C5DC3" w:rsidP="007E05A7">
            <w:pPr>
              <w:widowControl w:val="0"/>
              <w:spacing w:before="54"/>
              <w:ind w:left="102"/>
              <w:jc w:val="right"/>
              <w:rPr>
                <w:rFonts w:eastAsia="Arial" w:cs="Arial"/>
                <w:b/>
                <w:color w:val="221F1F"/>
                <w:spacing w:val="-1"/>
                <w:sz w:val="22"/>
                <w:szCs w:val="22"/>
                <w:lang w:val="en-US" w:eastAsia="en-US"/>
              </w:rPr>
            </w:pPr>
            <w:r>
              <w:rPr>
                <w:rFonts w:eastAsia="Arial" w:cs="Arial"/>
                <w:b/>
                <w:color w:val="221F1F"/>
                <w:spacing w:val="-1"/>
                <w:sz w:val="22"/>
                <w:szCs w:val="22"/>
                <w:lang w:val="en-US" w:eastAsia="en-US"/>
              </w:rPr>
              <w:t>1,780</w:t>
            </w:r>
          </w:p>
        </w:tc>
        <w:tc>
          <w:tcPr>
            <w:tcW w:w="1985" w:type="dxa"/>
            <w:tcBorders>
              <w:left w:val="single" w:sz="4" w:space="0" w:color="auto"/>
              <w:bottom w:val="single" w:sz="4" w:space="0" w:color="auto"/>
              <w:right w:val="single" w:sz="4" w:space="0" w:color="auto"/>
            </w:tcBorders>
            <w:shd w:val="clear" w:color="auto" w:fill="D9D9D9" w:themeFill="background1" w:themeFillShade="D9"/>
          </w:tcPr>
          <w:p w14:paraId="02D73708" w14:textId="6DA0D0A9" w:rsidR="007B0EFA" w:rsidRPr="007B0EFA" w:rsidRDefault="007870EE" w:rsidP="007E05A7">
            <w:pPr>
              <w:widowControl w:val="0"/>
              <w:spacing w:before="54"/>
              <w:ind w:left="102"/>
              <w:jc w:val="right"/>
              <w:rPr>
                <w:rFonts w:eastAsia="Arial" w:cs="Arial"/>
                <w:b/>
                <w:color w:val="221F1F"/>
                <w:spacing w:val="-1"/>
                <w:sz w:val="22"/>
                <w:szCs w:val="22"/>
                <w:lang w:val="en-US" w:eastAsia="en-US"/>
              </w:rPr>
            </w:pPr>
            <w:r>
              <w:rPr>
                <w:rFonts w:eastAsia="Arial" w:cs="Arial"/>
                <w:b/>
                <w:color w:val="221F1F"/>
                <w:spacing w:val="-1"/>
                <w:sz w:val="22"/>
                <w:szCs w:val="22"/>
                <w:lang w:val="en-US" w:eastAsia="en-US"/>
              </w:rPr>
              <w:t>2,226</w:t>
            </w:r>
          </w:p>
        </w:tc>
      </w:tr>
      <w:tr w:rsidR="007B0EFA" w:rsidRPr="007B0EFA" w14:paraId="02D73711" w14:textId="77777777" w:rsidTr="007E05A7">
        <w:tblPrEx>
          <w:tblLook w:val="04A0" w:firstRow="1" w:lastRow="0" w:firstColumn="1" w:lastColumn="0" w:noHBand="0" w:noVBand="1"/>
        </w:tblPrEx>
        <w:tc>
          <w:tcPr>
            <w:tcW w:w="4820" w:type="dxa"/>
            <w:tcBorders>
              <w:top w:val="single" w:sz="4" w:space="0" w:color="auto"/>
            </w:tcBorders>
            <w:shd w:val="clear" w:color="auto" w:fill="D9D9D9" w:themeFill="background1" w:themeFillShade="D9"/>
          </w:tcPr>
          <w:p w14:paraId="02D7370E" w14:textId="77777777" w:rsidR="007B0EFA" w:rsidRPr="007B0EFA" w:rsidRDefault="007B0EFA" w:rsidP="007E05A7">
            <w:pPr>
              <w:widowControl w:val="0"/>
              <w:spacing w:before="54"/>
              <w:rPr>
                <w:rFonts w:eastAsia="Arial" w:cs="Arial"/>
                <w:b/>
                <w:color w:val="221F1F"/>
                <w:spacing w:val="-1"/>
                <w:sz w:val="22"/>
                <w:szCs w:val="22"/>
                <w:lang w:val="en-US" w:eastAsia="en-US"/>
              </w:rPr>
            </w:pPr>
            <w:r w:rsidRPr="007B0EFA">
              <w:rPr>
                <w:rFonts w:eastAsia="Arial" w:cs="Arial"/>
                <w:b/>
                <w:color w:val="221F1F"/>
                <w:spacing w:val="-1"/>
                <w:sz w:val="22"/>
                <w:szCs w:val="22"/>
                <w:lang w:val="en-US" w:eastAsia="en-US"/>
              </w:rPr>
              <w:t>Total CSSB</w:t>
            </w:r>
          </w:p>
        </w:tc>
        <w:tc>
          <w:tcPr>
            <w:tcW w:w="1984" w:type="dxa"/>
            <w:tcBorders>
              <w:top w:val="single" w:sz="4" w:space="0" w:color="auto"/>
            </w:tcBorders>
            <w:shd w:val="clear" w:color="auto" w:fill="D9D9D9" w:themeFill="background1" w:themeFillShade="D9"/>
          </w:tcPr>
          <w:p w14:paraId="02D7370F" w14:textId="54186036" w:rsidR="007B0EFA" w:rsidRPr="007B0EFA" w:rsidRDefault="002C5DC3" w:rsidP="007E05A7">
            <w:pPr>
              <w:widowControl w:val="0"/>
              <w:spacing w:before="54"/>
              <w:ind w:left="102"/>
              <w:jc w:val="right"/>
              <w:rPr>
                <w:rFonts w:eastAsia="Arial" w:cs="Arial"/>
                <w:b/>
                <w:color w:val="221F1F"/>
                <w:spacing w:val="-1"/>
                <w:sz w:val="22"/>
                <w:szCs w:val="22"/>
                <w:lang w:val="en-US" w:eastAsia="en-US"/>
              </w:rPr>
            </w:pPr>
            <w:r>
              <w:rPr>
                <w:rFonts w:eastAsia="Arial" w:cs="Arial"/>
                <w:b/>
                <w:color w:val="221F1F"/>
                <w:spacing w:val="-1"/>
                <w:sz w:val="22"/>
                <w:szCs w:val="22"/>
                <w:lang w:val="en-US" w:eastAsia="en-US"/>
              </w:rPr>
              <w:t>3,887</w:t>
            </w:r>
          </w:p>
        </w:tc>
        <w:tc>
          <w:tcPr>
            <w:tcW w:w="1985" w:type="dxa"/>
            <w:tcBorders>
              <w:top w:val="single" w:sz="4" w:space="0" w:color="auto"/>
            </w:tcBorders>
            <w:shd w:val="clear" w:color="auto" w:fill="D9D9D9" w:themeFill="background1" w:themeFillShade="D9"/>
          </w:tcPr>
          <w:p w14:paraId="02D73710" w14:textId="1D60CAED" w:rsidR="007B0EFA" w:rsidRPr="007B0EFA" w:rsidRDefault="007B0EFA" w:rsidP="007E05A7">
            <w:pPr>
              <w:widowControl w:val="0"/>
              <w:spacing w:before="54"/>
              <w:ind w:left="102"/>
              <w:jc w:val="right"/>
              <w:rPr>
                <w:rFonts w:eastAsia="Arial" w:cs="Arial"/>
                <w:b/>
                <w:color w:val="221F1F"/>
                <w:spacing w:val="-1"/>
                <w:sz w:val="22"/>
                <w:szCs w:val="22"/>
                <w:lang w:val="en-US" w:eastAsia="en-US"/>
              </w:rPr>
            </w:pPr>
            <w:r w:rsidRPr="007B0EFA">
              <w:rPr>
                <w:rFonts w:eastAsia="Arial" w:cs="Arial"/>
                <w:b/>
                <w:color w:val="221F1F"/>
                <w:spacing w:val="-1"/>
                <w:sz w:val="22"/>
                <w:szCs w:val="22"/>
                <w:lang w:val="en-US" w:eastAsia="en-US"/>
              </w:rPr>
              <w:t>4,20</w:t>
            </w:r>
            <w:r w:rsidR="00F87B6C">
              <w:rPr>
                <w:rFonts w:eastAsia="Arial" w:cs="Arial"/>
                <w:b/>
                <w:color w:val="221F1F"/>
                <w:spacing w:val="-1"/>
                <w:sz w:val="22"/>
                <w:szCs w:val="22"/>
                <w:lang w:val="en-US" w:eastAsia="en-US"/>
              </w:rPr>
              <w:t>0</w:t>
            </w:r>
          </w:p>
        </w:tc>
      </w:tr>
    </w:tbl>
    <w:p w14:paraId="02D73712" w14:textId="2CC89D94" w:rsidR="007B0EFA" w:rsidRDefault="007B0EFA" w:rsidP="007B0EFA">
      <w:pPr>
        <w:pStyle w:val="ListParagraph"/>
        <w:ind w:left="792"/>
        <w:rPr>
          <w:rFonts w:cs="Arial"/>
          <w:sz w:val="22"/>
          <w:szCs w:val="22"/>
        </w:rPr>
      </w:pPr>
    </w:p>
    <w:p w14:paraId="2751F3D6" w14:textId="6718206E" w:rsidR="009965FB" w:rsidRPr="007B0EFA" w:rsidRDefault="009965FB" w:rsidP="007B0EFA">
      <w:pPr>
        <w:pStyle w:val="ListParagraph"/>
        <w:ind w:left="792"/>
        <w:rPr>
          <w:rFonts w:cs="Arial"/>
          <w:sz w:val="22"/>
          <w:szCs w:val="22"/>
        </w:rPr>
      </w:pPr>
      <w:r>
        <w:rPr>
          <w:rFonts w:cs="Arial"/>
          <w:sz w:val="22"/>
          <w:szCs w:val="22"/>
        </w:rPr>
        <w:t xml:space="preserve">Former ESG duties are those statutory duties that the Council holds for all Maintained Schools and </w:t>
      </w:r>
      <w:r w:rsidR="00FA5D04">
        <w:rPr>
          <w:rFonts w:cs="Arial"/>
          <w:sz w:val="22"/>
          <w:szCs w:val="22"/>
        </w:rPr>
        <w:t>Academies, these will include Statutory reporting and officer duties, Ed</w:t>
      </w:r>
      <w:r w:rsidR="00F93C90">
        <w:rPr>
          <w:rFonts w:cs="Arial"/>
          <w:sz w:val="22"/>
          <w:szCs w:val="22"/>
        </w:rPr>
        <w:t>ucation Welfare and Asset management</w:t>
      </w:r>
      <w:r w:rsidR="00844BED">
        <w:rPr>
          <w:rFonts w:cs="Arial"/>
          <w:sz w:val="22"/>
          <w:szCs w:val="22"/>
        </w:rPr>
        <w:t xml:space="preserve"> (Annex 1) </w:t>
      </w:r>
      <w:r w:rsidR="00F93C90">
        <w:rPr>
          <w:rFonts w:cs="Arial"/>
          <w:sz w:val="22"/>
          <w:szCs w:val="22"/>
        </w:rPr>
        <w:t>The allocation represents the amount that was baselined to the Central s</w:t>
      </w:r>
      <w:r w:rsidR="001C09C4">
        <w:rPr>
          <w:rFonts w:cs="Arial"/>
          <w:sz w:val="22"/>
          <w:szCs w:val="22"/>
        </w:rPr>
        <w:t>chool services block in 2018-19</w:t>
      </w:r>
      <w:r w:rsidR="00325C80">
        <w:rPr>
          <w:rFonts w:cs="Arial"/>
          <w:sz w:val="22"/>
          <w:szCs w:val="22"/>
        </w:rPr>
        <w:t>, increased by inflation for 2021 to 2022</w:t>
      </w:r>
      <w:bookmarkStart w:id="0" w:name="_GoBack"/>
      <w:bookmarkEnd w:id="0"/>
    </w:p>
    <w:p w14:paraId="54B5837B" w14:textId="77777777" w:rsidR="00B43D3B" w:rsidRDefault="00B43D3B" w:rsidP="001E19C2">
      <w:pPr>
        <w:pStyle w:val="Default"/>
        <w:ind w:left="720"/>
        <w:rPr>
          <w:rFonts w:ascii="Arial" w:hAnsi="Arial"/>
          <w:b/>
          <w:color w:val="auto"/>
          <w:sz w:val="22"/>
          <w:szCs w:val="22"/>
        </w:rPr>
      </w:pPr>
    </w:p>
    <w:p w14:paraId="550170EC" w14:textId="6939444B" w:rsidR="003B78ED" w:rsidRDefault="00763D19" w:rsidP="00A4190F">
      <w:pPr>
        <w:spacing w:after="200" w:line="276" w:lineRule="auto"/>
        <w:ind w:left="709"/>
        <w:rPr>
          <w:rFonts w:eastAsia="Calibri" w:cs="Arial"/>
          <w:sz w:val="22"/>
          <w:szCs w:val="22"/>
        </w:rPr>
      </w:pPr>
      <w:r w:rsidRPr="00763D19">
        <w:rPr>
          <w:rFonts w:eastAsia="Calibri" w:cs="Arial"/>
          <w:sz w:val="22"/>
          <w:szCs w:val="22"/>
        </w:rPr>
        <w:t>.</w:t>
      </w:r>
    </w:p>
    <w:p w14:paraId="54FDD786" w14:textId="4EC67941" w:rsidR="00621A69" w:rsidRPr="00621A69" w:rsidRDefault="00EF7BD4" w:rsidP="00EF7BD4">
      <w:pPr>
        <w:spacing w:after="200" w:line="276" w:lineRule="auto"/>
        <w:rPr>
          <w:rFonts w:eastAsia="Calibri" w:cs="Arial"/>
          <w:b/>
          <w:sz w:val="22"/>
          <w:szCs w:val="22"/>
        </w:rPr>
      </w:pPr>
      <w:r w:rsidRPr="00761095">
        <w:rPr>
          <w:rFonts w:eastAsia="Calibri" w:cs="Arial"/>
          <w:bCs/>
          <w:sz w:val="22"/>
          <w:szCs w:val="22"/>
        </w:rPr>
        <w:t>1.7</w:t>
      </w:r>
      <w:r>
        <w:rPr>
          <w:rFonts w:eastAsia="Calibri" w:cs="Arial"/>
          <w:b/>
          <w:sz w:val="22"/>
          <w:szCs w:val="22"/>
        </w:rPr>
        <w:t xml:space="preserve"> </w:t>
      </w:r>
      <w:r w:rsidR="00761095">
        <w:rPr>
          <w:rFonts w:eastAsia="Calibri" w:cs="Arial"/>
          <w:b/>
          <w:sz w:val="22"/>
          <w:szCs w:val="22"/>
        </w:rPr>
        <w:tab/>
      </w:r>
      <w:r w:rsidR="00992332">
        <w:rPr>
          <w:rFonts w:eastAsia="Calibri" w:cs="Arial"/>
          <w:b/>
          <w:sz w:val="22"/>
          <w:szCs w:val="22"/>
        </w:rPr>
        <w:t xml:space="preserve">Recommended </w:t>
      </w:r>
      <w:r w:rsidR="00621A69" w:rsidRPr="00621A69">
        <w:rPr>
          <w:rFonts w:eastAsia="Calibri" w:cs="Arial"/>
          <w:b/>
          <w:sz w:val="22"/>
          <w:szCs w:val="22"/>
        </w:rPr>
        <w:t>Distribution of Historic Commitments</w:t>
      </w:r>
    </w:p>
    <w:tbl>
      <w:tblPr>
        <w:tblStyle w:val="TableGrid"/>
        <w:tblW w:w="8411" w:type="dxa"/>
        <w:tblLook w:val="04A0" w:firstRow="1" w:lastRow="0" w:firstColumn="1" w:lastColumn="0" w:noHBand="0" w:noVBand="1"/>
      </w:tblPr>
      <w:tblGrid>
        <w:gridCol w:w="5491"/>
        <w:gridCol w:w="1532"/>
        <w:gridCol w:w="1388"/>
      </w:tblGrid>
      <w:tr w:rsidR="00F56B26" w:rsidRPr="003B78ED" w14:paraId="7E1D9141" w14:textId="65E26E6F" w:rsidTr="00610152">
        <w:tc>
          <w:tcPr>
            <w:tcW w:w="5491" w:type="dxa"/>
            <w:hideMark/>
          </w:tcPr>
          <w:p w14:paraId="33560253" w14:textId="77777777" w:rsidR="00F56B26" w:rsidRPr="003B78ED" w:rsidRDefault="00F56B26" w:rsidP="003B78ED">
            <w:pPr>
              <w:textAlignment w:val="baseline"/>
              <w:rPr>
                <w:rFonts w:ascii="Segoe UI" w:hAnsi="Segoe UI" w:cs="Segoe UI"/>
                <w:sz w:val="18"/>
                <w:szCs w:val="18"/>
              </w:rPr>
            </w:pPr>
            <w:r w:rsidRPr="003B78ED">
              <w:rPr>
                <w:rFonts w:cs="Arial"/>
                <w:b/>
                <w:bCs/>
              </w:rPr>
              <w:t>Item</w:t>
            </w:r>
            <w:r w:rsidRPr="003B78ED">
              <w:rPr>
                <w:rFonts w:cs="Arial"/>
              </w:rPr>
              <w:t> </w:t>
            </w:r>
          </w:p>
        </w:tc>
        <w:tc>
          <w:tcPr>
            <w:tcW w:w="1532" w:type="dxa"/>
            <w:hideMark/>
          </w:tcPr>
          <w:p w14:paraId="7E9E7764" w14:textId="15E1C4DA" w:rsidR="0062611F" w:rsidRPr="006F5425" w:rsidRDefault="0062611F" w:rsidP="0062611F">
            <w:pPr>
              <w:jc w:val="center"/>
              <w:textAlignment w:val="baseline"/>
              <w:rPr>
                <w:rFonts w:cs="Arial"/>
                <w:b/>
                <w:bCs/>
                <w:sz w:val="22"/>
                <w:szCs w:val="22"/>
              </w:rPr>
            </w:pPr>
            <w:r w:rsidRPr="006F5425">
              <w:rPr>
                <w:rFonts w:cs="Arial"/>
                <w:b/>
                <w:bCs/>
                <w:sz w:val="22"/>
                <w:szCs w:val="22"/>
              </w:rPr>
              <w:t>202</w:t>
            </w:r>
            <w:r w:rsidR="00345882">
              <w:rPr>
                <w:rFonts w:cs="Arial"/>
                <w:b/>
                <w:bCs/>
                <w:sz w:val="22"/>
                <w:szCs w:val="22"/>
              </w:rPr>
              <w:t>1</w:t>
            </w:r>
            <w:r w:rsidRPr="006F5425">
              <w:rPr>
                <w:rFonts w:cs="Arial"/>
                <w:b/>
                <w:bCs/>
                <w:sz w:val="22"/>
                <w:szCs w:val="22"/>
              </w:rPr>
              <w:t>-2</w:t>
            </w:r>
            <w:r w:rsidR="00345882">
              <w:rPr>
                <w:rFonts w:cs="Arial"/>
                <w:b/>
                <w:bCs/>
                <w:sz w:val="22"/>
                <w:szCs w:val="22"/>
              </w:rPr>
              <w:t>2</w:t>
            </w:r>
          </w:p>
          <w:p w14:paraId="05A3F5E9" w14:textId="20574253" w:rsidR="00F56B26" w:rsidRPr="003B78ED" w:rsidRDefault="0062611F" w:rsidP="0062611F">
            <w:pPr>
              <w:jc w:val="center"/>
              <w:textAlignment w:val="baseline"/>
              <w:rPr>
                <w:rFonts w:cs="Arial"/>
                <w:b/>
                <w:bCs/>
                <w:sz w:val="22"/>
                <w:szCs w:val="22"/>
              </w:rPr>
            </w:pPr>
            <w:r w:rsidRPr="006F5425">
              <w:rPr>
                <w:rFonts w:cs="Arial"/>
                <w:b/>
                <w:bCs/>
                <w:sz w:val="22"/>
                <w:szCs w:val="22"/>
              </w:rPr>
              <w:t>£00’s</w:t>
            </w:r>
          </w:p>
        </w:tc>
        <w:tc>
          <w:tcPr>
            <w:tcW w:w="1388" w:type="dxa"/>
          </w:tcPr>
          <w:p w14:paraId="484C3B2E" w14:textId="77777777" w:rsidR="00F56B26" w:rsidRPr="006F5425" w:rsidRDefault="000A3CAE" w:rsidP="003B78ED">
            <w:pPr>
              <w:jc w:val="center"/>
              <w:textAlignment w:val="baseline"/>
              <w:rPr>
                <w:rFonts w:cs="Arial"/>
                <w:b/>
                <w:bCs/>
                <w:sz w:val="22"/>
                <w:szCs w:val="22"/>
              </w:rPr>
            </w:pPr>
            <w:r w:rsidRPr="006F5425">
              <w:rPr>
                <w:rFonts w:cs="Arial"/>
                <w:b/>
                <w:bCs/>
                <w:sz w:val="22"/>
                <w:szCs w:val="22"/>
              </w:rPr>
              <w:t>2020-21</w:t>
            </w:r>
          </w:p>
          <w:p w14:paraId="3AB3911C" w14:textId="43C8B3CF" w:rsidR="000A3CAE" w:rsidRPr="006F5425" w:rsidRDefault="000A3CAE" w:rsidP="003B78ED">
            <w:pPr>
              <w:jc w:val="center"/>
              <w:textAlignment w:val="baseline"/>
              <w:rPr>
                <w:rFonts w:cs="Arial"/>
                <w:b/>
                <w:bCs/>
                <w:sz w:val="22"/>
                <w:szCs w:val="22"/>
              </w:rPr>
            </w:pPr>
            <w:r w:rsidRPr="006F5425">
              <w:rPr>
                <w:rFonts w:cs="Arial"/>
                <w:b/>
                <w:bCs/>
                <w:sz w:val="22"/>
                <w:szCs w:val="22"/>
              </w:rPr>
              <w:t>£00’s</w:t>
            </w:r>
          </w:p>
        </w:tc>
      </w:tr>
      <w:tr w:rsidR="00F56B26" w:rsidRPr="003B78ED" w14:paraId="297B7991" w14:textId="0F9AAA2B" w:rsidTr="00610152">
        <w:tc>
          <w:tcPr>
            <w:tcW w:w="5491" w:type="dxa"/>
            <w:hideMark/>
          </w:tcPr>
          <w:p w14:paraId="4F5A71DC" w14:textId="77777777" w:rsidR="00F56B26" w:rsidRPr="003B78ED" w:rsidRDefault="00F56B26" w:rsidP="003B78ED">
            <w:pPr>
              <w:textAlignment w:val="baseline"/>
              <w:rPr>
                <w:rFonts w:ascii="Segoe UI" w:hAnsi="Segoe UI" w:cs="Segoe UI"/>
                <w:sz w:val="18"/>
                <w:szCs w:val="18"/>
              </w:rPr>
            </w:pPr>
            <w:r w:rsidRPr="003B78ED">
              <w:rPr>
                <w:rFonts w:cs="Arial"/>
              </w:rPr>
              <w:t>Education Psychology </w:t>
            </w:r>
          </w:p>
        </w:tc>
        <w:tc>
          <w:tcPr>
            <w:tcW w:w="1532" w:type="dxa"/>
            <w:hideMark/>
          </w:tcPr>
          <w:p w14:paraId="5BCED984" w14:textId="32DCA268" w:rsidR="00F56B26" w:rsidRPr="003B78ED" w:rsidRDefault="00F56B26" w:rsidP="003D41AA">
            <w:pPr>
              <w:jc w:val="center"/>
              <w:textAlignment w:val="baseline"/>
              <w:rPr>
                <w:rFonts w:ascii="Segoe UI" w:hAnsi="Segoe UI" w:cs="Segoe UI"/>
                <w:sz w:val="18"/>
                <w:szCs w:val="18"/>
              </w:rPr>
            </w:pPr>
          </w:p>
        </w:tc>
        <w:tc>
          <w:tcPr>
            <w:tcW w:w="1388" w:type="dxa"/>
          </w:tcPr>
          <w:p w14:paraId="3B7EDC62" w14:textId="789B2A88" w:rsidR="00F56B26" w:rsidRPr="003B78ED" w:rsidRDefault="006F5425" w:rsidP="003D41AA">
            <w:pPr>
              <w:jc w:val="center"/>
              <w:textAlignment w:val="baseline"/>
              <w:rPr>
                <w:rFonts w:cs="Arial"/>
              </w:rPr>
            </w:pPr>
            <w:r>
              <w:rPr>
                <w:rFonts w:cs="Arial"/>
              </w:rPr>
              <w:t>188</w:t>
            </w:r>
          </w:p>
        </w:tc>
      </w:tr>
      <w:tr w:rsidR="00F56B26" w:rsidRPr="003B78ED" w14:paraId="01BDBD13" w14:textId="722D7A17" w:rsidTr="00610152">
        <w:tc>
          <w:tcPr>
            <w:tcW w:w="5491" w:type="dxa"/>
            <w:hideMark/>
          </w:tcPr>
          <w:p w14:paraId="00F376A3" w14:textId="77627F6E" w:rsidR="00F56B26" w:rsidRPr="003B78ED" w:rsidRDefault="00F56B26" w:rsidP="003B78ED">
            <w:pPr>
              <w:textAlignment w:val="baseline"/>
              <w:rPr>
                <w:rFonts w:ascii="Segoe UI" w:hAnsi="Segoe UI" w:cs="Segoe UI"/>
                <w:sz w:val="18"/>
                <w:szCs w:val="18"/>
              </w:rPr>
            </w:pPr>
            <w:r w:rsidRPr="003B78ED">
              <w:rPr>
                <w:rFonts w:cs="Arial"/>
              </w:rPr>
              <w:t>Children in Public Care </w:t>
            </w:r>
            <w:r w:rsidR="00FB2201">
              <w:rPr>
                <w:rFonts w:cs="Arial"/>
              </w:rPr>
              <w:t>inc</w:t>
            </w:r>
            <w:r w:rsidR="00103334">
              <w:rPr>
                <w:rFonts w:cs="Arial"/>
              </w:rPr>
              <w:t>luding</w:t>
            </w:r>
            <w:r w:rsidR="0003323B">
              <w:rPr>
                <w:rFonts w:cs="Arial"/>
              </w:rPr>
              <w:t xml:space="preserve"> Virtual School</w:t>
            </w:r>
          </w:p>
        </w:tc>
        <w:tc>
          <w:tcPr>
            <w:tcW w:w="1532" w:type="dxa"/>
            <w:hideMark/>
          </w:tcPr>
          <w:p w14:paraId="171AFF38" w14:textId="5120BB0E" w:rsidR="00F56B26" w:rsidRPr="003B78ED" w:rsidRDefault="00F56B26" w:rsidP="003D41AA">
            <w:pPr>
              <w:jc w:val="center"/>
              <w:textAlignment w:val="baseline"/>
              <w:rPr>
                <w:rFonts w:ascii="Segoe UI" w:hAnsi="Segoe UI" w:cs="Segoe UI"/>
                <w:sz w:val="18"/>
                <w:szCs w:val="18"/>
              </w:rPr>
            </w:pPr>
            <w:r w:rsidRPr="003B78ED">
              <w:rPr>
                <w:rFonts w:cs="Arial"/>
              </w:rPr>
              <w:t>370</w:t>
            </w:r>
          </w:p>
        </w:tc>
        <w:tc>
          <w:tcPr>
            <w:tcW w:w="1388" w:type="dxa"/>
          </w:tcPr>
          <w:p w14:paraId="55B1BB57" w14:textId="2B255F49" w:rsidR="00F56B26" w:rsidRPr="003B78ED" w:rsidRDefault="006F5425" w:rsidP="003D41AA">
            <w:pPr>
              <w:jc w:val="center"/>
              <w:textAlignment w:val="baseline"/>
              <w:rPr>
                <w:rFonts w:cs="Arial"/>
              </w:rPr>
            </w:pPr>
            <w:r>
              <w:rPr>
                <w:rFonts w:cs="Arial"/>
              </w:rPr>
              <w:t>370</w:t>
            </w:r>
          </w:p>
        </w:tc>
      </w:tr>
      <w:tr w:rsidR="00F56B26" w:rsidRPr="003B78ED" w14:paraId="6E15ECF7" w14:textId="04684175" w:rsidTr="00610152">
        <w:tc>
          <w:tcPr>
            <w:tcW w:w="5491" w:type="dxa"/>
            <w:hideMark/>
          </w:tcPr>
          <w:p w14:paraId="670B2395" w14:textId="77777777" w:rsidR="00F56B26" w:rsidRPr="003B78ED" w:rsidRDefault="00F56B26" w:rsidP="003B78ED">
            <w:pPr>
              <w:textAlignment w:val="baseline"/>
              <w:rPr>
                <w:rFonts w:ascii="Segoe UI" w:hAnsi="Segoe UI" w:cs="Segoe UI"/>
                <w:sz w:val="18"/>
                <w:szCs w:val="18"/>
              </w:rPr>
            </w:pPr>
            <w:r w:rsidRPr="003B78ED">
              <w:rPr>
                <w:rFonts w:cs="Arial"/>
              </w:rPr>
              <w:t>Enrichment </w:t>
            </w:r>
          </w:p>
        </w:tc>
        <w:tc>
          <w:tcPr>
            <w:tcW w:w="1532" w:type="dxa"/>
            <w:hideMark/>
          </w:tcPr>
          <w:p w14:paraId="3160EAA1" w14:textId="6B004A2C" w:rsidR="00F56B26" w:rsidRPr="003B78ED" w:rsidRDefault="00F56B26" w:rsidP="003D41AA">
            <w:pPr>
              <w:jc w:val="center"/>
              <w:textAlignment w:val="baseline"/>
              <w:rPr>
                <w:rFonts w:ascii="Segoe UI" w:hAnsi="Segoe UI" w:cs="Segoe UI"/>
                <w:sz w:val="18"/>
                <w:szCs w:val="18"/>
              </w:rPr>
            </w:pPr>
          </w:p>
        </w:tc>
        <w:tc>
          <w:tcPr>
            <w:tcW w:w="1388" w:type="dxa"/>
          </w:tcPr>
          <w:p w14:paraId="2EA3D60F" w14:textId="51444A77" w:rsidR="00F56B26" w:rsidRPr="003B78ED" w:rsidRDefault="006F5425" w:rsidP="003D41AA">
            <w:pPr>
              <w:jc w:val="center"/>
              <w:textAlignment w:val="baseline"/>
              <w:rPr>
                <w:rFonts w:cs="Arial"/>
              </w:rPr>
            </w:pPr>
            <w:r>
              <w:rPr>
                <w:rFonts w:cs="Arial"/>
              </w:rPr>
              <w:t>52</w:t>
            </w:r>
          </w:p>
        </w:tc>
      </w:tr>
      <w:tr w:rsidR="00F56B26" w:rsidRPr="003B78ED" w14:paraId="47A6C406" w14:textId="7E7316FE" w:rsidTr="00610152">
        <w:tc>
          <w:tcPr>
            <w:tcW w:w="5491" w:type="dxa"/>
            <w:hideMark/>
          </w:tcPr>
          <w:p w14:paraId="0CC70E87" w14:textId="77777777" w:rsidR="00F56B26" w:rsidRPr="003B78ED" w:rsidRDefault="00F56B26" w:rsidP="003B78ED">
            <w:pPr>
              <w:textAlignment w:val="baseline"/>
              <w:rPr>
                <w:rFonts w:ascii="Segoe UI" w:hAnsi="Segoe UI" w:cs="Segoe UI"/>
                <w:sz w:val="18"/>
                <w:szCs w:val="18"/>
              </w:rPr>
            </w:pPr>
            <w:r w:rsidRPr="003B78ED">
              <w:rPr>
                <w:rFonts w:cs="Arial"/>
              </w:rPr>
              <w:t>Clothing Grant </w:t>
            </w:r>
          </w:p>
        </w:tc>
        <w:tc>
          <w:tcPr>
            <w:tcW w:w="1532" w:type="dxa"/>
            <w:hideMark/>
          </w:tcPr>
          <w:p w14:paraId="4B84FB3A" w14:textId="4D8F9BF7" w:rsidR="00F56B26" w:rsidRPr="003B78ED" w:rsidRDefault="00F56B26" w:rsidP="003D41AA">
            <w:pPr>
              <w:jc w:val="center"/>
              <w:textAlignment w:val="baseline"/>
              <w:rPr>
                <w:rFonts w:ascii="Segoe UI" w:hAnsi="Segoe UI" w:cs="Segoe UI"/>
                <w:sz w:val="18"/>
                <w:szCs w:val="18"/>
              </w:rPr>
            </w:pPr>
            <w:r w:rsidRPr="003B78ED">
              <w:rPr>
                <w:rFonts w:cs="Arial"/>
              </w:rPr>
              <w:t>201</w:t>
            </w:r>
          </w:p>
        </w:tc>
        <w:tc>
          <w:tcPr>
            <w:tcW w:w="1388" w:type="dxa"/>
          </w:tcPr>
          <w:p w14:paraId="2046002B" w14:textId="7CBE3B3F" w:rsidR="00F56B26" w:rsidRPr="003B78ED" w:rsidRDefault="006F5425" w:rsidP="003D41AA">
            <w:pPr>
              <w:jc w:val="center"/>
              <w:textAlignment w:val="baseline"/>
              <w:rPr>
                <w:rFonts w:cs="Arial"/>
              </w:rPr>
            </w:pPr>
            <w:r>
              <w:rPr>
                <w:rFonts w:cs="Arial"/>
              </w:rPr>
              <w:t>201</w:t>
            </w:r>
          </w:p>
        </w:tc>
      </w:tr>
      <w:tr w:rsidR="00F56B26" w:rsidRPr="003B78ED" w14:paraId="61F63086" w14:textId="6378FD41" w:rsidTr="00610152">
        <w:tc>
          <w:tcPr>
            <w:tcW w:w="5491" w:type="dxa"/>
            <w:hideMark/>
          </w:tcPr>
          <w:p w14:paraId="63BAFFDB" w14:textId="77777777" w:rsidR="00F56B26" w:rsidRPr="003B78ED" w:rsidRDefault="00F56B26" w:rsidP="003B78ED">
            <w:pPr>
              <w:textAlignment w:val="baseline"/>
              <w:rPr>
                <w:rFonts w:ascii="Segoe UI" w:hAnsi="Segoe UI" w:cs="Segoe UI"/>
                <w:sz w:val="18"/>
                <w:szCs w:val="18"/>
              </w:rPr>
            </w:pPr>
            <w:r w:rsidRPr="003B78ED">
              <w:rPr>
                <w:rFonts w:cs="Arial"/>
              </w:rPr>
              <w:t>Weekend GCSE Classes </w:t>
            </w:r>
          </w:p>
        </w:tc>
        <w:tc>
          <w:tcPr>
            <w:tcW w:w="1532" w:type="dxa"/>
            <w:hideMark/>
          </w:tcPr>
          <w:p w14:paraId="17F6610F" w14:textId="052A71E0" w:rsidR="00F56B26" w:rsidRPr="003B78ED" w:rsidRDefault="00F56B26" w:rsidP="003D41AA">
            <w:pPr>
              <w:jc w:val="center"/>
              <w:textAlignment w:val="baseline"/>
              <w:rPr>
                <w:rFonts w:ascii="Segoe UI" w:hAnsi="Segoe UI" w:cs="Segoe UI"/>
                <w:sz w:val="18"/>
                <w:szCs w:val="18"/>
              </w:rPr>
            </w:pPr>
          </w:p>
        </w:tc>
        <w:tc>
          <w:tcPr>
            <w:tcW w:w="1388" w:type="dxa"/>
          </w:tcPr>
          <w:p w14:paraId="339886D3" w14:textId="2F3360BE" w:rsidR="00F56B26" w:rsidRPr="003B78ED" w:rsidRDefault="006F5425" w:rsidP="003D41AA">
            <w:pPr>
              <w:jc w:val="center"/>
              <w:textAlignment w:val="baseline"/>
              <w:rPr>
                <w:rFonts w:cs="Arial"/>
              </w:rPr>
            </w:pPr>
            <w:r>
              <w:rPr>
                <w:rFonts w:cs="Arial"/>
              </w:rPr>
              <w:t>21</w:t>
            </w:r>
          </w:p>
        </w:tc>
      </w:tr>
      <w:tr w:rsidR="00F56B26" w:rsidRPr="003B78ED" w14:paraId="4C26D4DA" w14:textId="6474FF40" w:rsidTr="00610152">
        <w:tc>
          <w:tcPr>
            <w:tcW w:w="5491" w:type="dxa"/>
            <w:hideMark/>
          </w:tcPr>
          <w:p w14:paraId="3CB067BC" w14:textId="77777777" w:rsidR="00F56B26" w:rsidRPr="003B78ED" w:rsidRDefault="00F56B26" w:rsidP="003B78ED">
            <w:pPr>
              <w:textAlignment w:val="baseline"/>
              <w:rPr>
                <w:rFonts w:ascii="Segoe UI" w:hAnsi="Segoe UI" w:cs="Segoe UI"/>
                <w:sz w:val="18"/>
                <w:szCs w:val="18"/>
              </w:rPr>
            </w:pPr>
            <w:r w:rsidRPr="003B78ED">
              <w:rPr>
                <w:rFonts w:cs="Arial"/>
              </w:rPr>
              <w:t>In-Reach/Out-Reach Work </w:t>
            </w:r>
          </w:p>
        </w:tc>
        <w:tc>
          <w:tcPr>
            <w:tcW w:w="1532" w:type="dxa"/>
            <w:hideMark/>
          </w:tcPr>
          <w:p w14:paraId="56887615" w14:textId="37B3C63E" w:rsidR="00F56B26" w:rsidRPr="003B78ED" w:rsidRDefault="00F56B26" w:rsidP="003D41AA">
            <w:pPr>
              <w:jc w:val="center"/>
              <w:textAlignment w:val="baseline"/>
              <w:rPr>
                <w:rFonts w:ascii="Segoe UI" w:hAnsi="Segoe UI" w:cs="Segoe UI"/>
                <w:sz w:val="18"/>
                <w:szCs w:val="18"/>
              </w:rPr>
            </w:pPr>
            <w:r w:rsidRPr="003B78ED">
              <w:rPr>
                <w:rFonts w:cs="Arial"/>
              </w:rPr>
              <w:t>738</w:t>
            </w:r>
          </w:p>
        </w:tc>
        <w:tc>
          <w:tcPr>
            <w:tcW w:w="1388" w:type="dxa"/>
          </w:tcPr>
          <w:p w14:paraId="77711B81" w14:textId="1499B246" w:rsidR="00F56B26" w:rsidRPr="003B78ED" w:rsidRDefault="006F5425" w:rsidP="003D41AA">
            <w:pPr>
              <w:jc w:val="center"/>
              <w:textAlignment w:val="baseline"/>
              <w:rPr>
                <w:rFonts w:cs="Arial"/>
              </w:rPr>
            </w:pPr>
            <w:r>
              <w:rPr>
                <w:rFonts w:cs="Arial"/>
              </w:rPr>
              <w:t>738</w:t>
            </w:r>
          </w:p>
        </w:tc>
      </w:tr>
      <w:tr w:rsidR="00F56B26" w:rsidRPr="003B78ED" w14:paraId="3E1D0966" w14:textId="6C8F7BFE" w:rsidTr="00610152">
        <w:tc>
          <w:tcPr>
            <w:tcW w:w="5491" w:type="dxa"/>
          </w:tcPr>
          <w:p w14:paraId="3D381E01" w14:textId="20518AE9" w:rsidR="00F56B26" w:rsidRPr="003B78ED" w:rsidRDefault="00F56B26" w:rsidP="003B78ED">
            <w:pPr>
              <w:textAlignment w:val="baseline"/>
              <w:rPr>
                <w:rFonts w:cs="Arial"/>
              </w:rPr>
            </w:pPr>
            <w:r>
              <w:rPr>
                <w:rFonts w:cs="Arial"/>
              </w:rPr>
              <w:t xml:space="preserve">Historic Redundancy Cost </w:t>
            </w:r>
          </w:p>
        </w:tc>
        <w:tc>
          <w:tcPr>
            <w:tcW w:w="1532" w:type="dxa"/>
          </w:tcPr>
          <w:p w14:paraId="2CE3E6E1" w14:textId="5D5D5558" w:rsidR="00F56B26" w:rsidRPr="003B78ED" w:rsidRDefault="007768C2" w:rsidP="003D41AA">
            <w:pPr>
              <w:jc w:val="center"/>
              <w:textAlignment w:val="baseline"/>
              <w:rPr>
                <w:rFonts w:cs="Arial"/>
              </w:rPr>
            </w:pPr>
            <w:r>
              <w:rPr>
                <w:rFonts w:cs="Arial"/>
              </w:rPr>
              <w:t xml:space="preserve">  471 *</w:t>
            </w:r>
          </w:p>
        </w:tc>
        <w:tc>
          <w:tcPr>
            <w:tcW w:w="1388" w:type="dxa"/>
          </w:tcPr>
          <w:p w14:paraId="5794A9E5" w14:textId="3B6C3335" w:rsidR="00F56B26" w:rsidRPr="003B78ED" w:rsidRDefault="002875DA" w:rsidP="003D41AA">
            <w:pPr>
              <w:jc w:val="center"/>
              <w:textAlignment w:val="baseline"/>
              <w:rPr>
                <w:rFonts w:cs="Arial"/>
              </w:rPr>
            </w:pPr>
            <w:r>
              <w:rPr>
                <w:rFonts w:cs="Arial"/>
              </w:rPr>
              <w:t xml:space="preserve">  </w:t>
            </w:r>
            <w:r w:rsidR="0066157B">
              <w:rPr>
                <w:rFonts w:cs="Arial"/>
              </w:rPr>
              <w:t>656</w:t>
            </w:r>
            <w:r>
              <w:rPr>
                <w:rFonts w:cs="Arial"/>
              </w:rPr>
              <w:t xml:space="preserve"> *</w:t>
            </w:r>
          </w:p>
        </w:tc>
      </w:tr>
      <w:tr w:rsidR="00F56B26" w:rsidRPr="003B78ED" w14:paraId="5E9547A0" w14:textId="784B5181" w:rsidTr="00610152">
        <w:tc>
          <w:tcPr>
            <w:tcW w:w="5491" w:type="dxa"/>
            <w:hideMark/>
          </w:tcPr>
          <w:p w14:paraId="08C08524" w14:textId="77777777" w:rsidR="00F56B26" w:rsidRPr="003B78ED" w:rsidRDefault="00F56B26" w:rsidP="003B78ED">
            <w:pPr>
              <w:textAlignment w:val="baseline"/>
              <w:rPr>
                <w:rFonts w:ascii="Segoe UI" w:hAnsi="Segoe UI" w:cs="Segoe UI"/>
                <w:sz w:val="18"/>
                <w:szCs w:val="18"/>
              </w:rPr>
            </w:pPr>
            <w:r w:rsidRPr="003B78ED">
              <w:rPr>
                <w:rFonts w:cs="Arial"/>
                <w:b/>
                <w:bCs/>
              </w:rPr>
              <w:t>Total</w:t>
            </w:r>
            <w:r w:rsidRPr="003B78ED">
              <w:rPr>
                <w:rFonts w:cs="Arial"/>
              </w:rPr>
              <w:t> </w:t>
            </w:r>
          </w:p>
        </w:tc>
        <w:tc>
          <w:tcPr>
            <w:tcW w:w="1532" w:type="dxa"/>
            <w:hideMark/>
          </w:tcPr>
          <w:p w14:paraId="5CC076AA" w14:textId="57B48AA2" w:rsidR="00F56B26" w:rsidRPr="003B78ED" w:rsidRDefault="00F56B26" w:rsidP="003D41AA">
            <w:pPr>
              <w:jc w:val="center"/>
              <w:textAlignment w:val="baseline"/>
              <w:rPr>
                <w:rFonts w:ascii="Segoe UI" w:hAnsi="Segoe UI" w:cs="Segoe UI"/>
                <w:sz w:val="18"/>
                <w:szCs w:val="18"/>
              </w:rPr>
            </w:pPr>
            <w:r w:rsidRPr="003B78ED">
              <w:rPr>
                <w:rFonts w:cs="Arial"/>
                <w:b/>
                <w:bCs/>
              </w:rPr>
              <w:t>1,</w:t>
            </w:r>
            <w:r w:rsidR="00A375AE">
              <w:rPr>
                <w:rFonts w:cs="Arial"/>
                <w:b/>
                <w:bCs/>
              </w:rPr>
              <w:t>780</w:t>
            </w:r>
          </w:p>
        </w:tc>
        <w:tc>
          <w:tcPr>
            <w:tcW w:w="1388" w:type="dxa"/>
          </w:tcPr>
          <w:p w14:paraId="7C82C835" w14:textId="6679CF04" w:rsidR="00F56B26" w:rsidRPr="003B78ED" w:rsidRDefault="0003323B" w:rsidP="003D41AA">
            <w:pPr>
              <w:jc w:val="center"/>
              <w:textAlignment w:val="baseline"/>
              <w:rPr>
                <w:rFonts w:cs="Arial"/>
                <w:b/>
                <w:bCs/>
              </w:rPr>
            </w:pPr>
            <w:r>
              <w:rPr>
                <w:rFonts w:cs="Arial"/>
                <w:b/>
                <w:bCs/>
              </w:rPr>
              <w:t>2,226</w:t>
            </w:r>
          </w:p>
        </w:tc>
      </w:tr>
    </w:tbl>
    <w:p w14:paraId="79040AB2" w14:textId="40F5473B" w:rsidR="007D37B3" w:rsidRDefault="007D37B3" w:rsidP="00623382">
      <w:pPr>
        <w:textAlignment w:val="baseline"/>
        <w:rPr>
          <w:rFonts w:cs="Arial"/>
          <w:b/>
          <w:bCs/>
          <w:sz w:val="22"/>
          <w:szCs w:val="22"/>
        </w:rPr>
      </w:pPr>
    </w:p>
    <w:p w14:paraId="1CBA6725" w14:textId="68806F33" w:rsidR="002875DA" w:rsidRDefault="002875DA" w:rsidP="002875DA">
      <w:pPr>
        <w:textAlignment w:val="baseline"/>
        <w:rPr>
          <w:rFonts w:cs="Arial"/>
          <w:sz w:val="22"/>
          <w:szCs w:val="22"/>
        </w:rPr>
      </w:pPr>
      <w:r>
        <w:rPr>
          <w:rFonts w:cs="Arial"/>
          <w:b/>
          <w:bCs/>
          <w:sz w:val="22"/>
          <w:szCs w:val="22"/>
        </w:rPr>
        <w:tab/>
        <w:t xml:space="preserve">* </w:t>
      </w:r>
      <w:r w:rsidRPr="002875DA">
        <w:rPr>
          <w:rFonts w:cs="Arial"/>
          <w:sz w:val="22"/>
          <w:szCs w:val="22"/>
        </w:rPr>
        <w:t>balancing figure from historic duties</w:t>
      </w:r>
    </w:p>
    <w:p w14:paraId="2236EDB1" w14:textId="196BB5DF" w:rsidR="00761095" w:rsidRDefault="00761095" w:rsidP="002875DA">
      <w:pPr>
        <w:textAlignment w:val="baseline"/>
        <w:rPr>
          <w:rFonts w:cs="Arial"/>
          <w:sz w:val="22"/>
          <w:szCs w:val="22"/>
        </w:rPr>
      </w:pPr>
    </w:p>
    <w:p w14:paraId="542CDA9E" w14:textId="4FD4D696" w:rsidR="00070716" w:rsidRDefault="00070716" w:rsidP="00A04473">
      <w:pPr>
        <w:ind w:left="720" w:hanging="720"/>
        <w:textAlignment w:val="baseline"/>
        <w:rPr>
          <w:rFonts w:cs="Arial"/>
          <w:sz w:val="22"/>
          <w:szCs w:val="22"/>
        </w:rPr>
      </w:pPr>
      <w:r>
        <w:rPr>
          <w:rFonts w:cs="Arial"/>
          <w:sz w:val="22"/>
          <w:szCs w:val="22"/>
        </w:rPr>
        <w:t xml:space="preserve">1.8 </w:t>
      </w:r>
      <w:r w:rsidR="00A04473">
        <w:rPr>
          <w:rFonts w:cs="Arial"/>
          <w:sz w:val="22"/>
          <w:szCs w:val="22"/>
        </w:rPr>
        <w:tab/>
      </w:r>
      <w:r w:rsidR="006D5922">
        <w:rPr>
          <w:rFonts w:cs="Arial"/>
          <w:sz w:val="22"/>
          <w:szCs w:val="22"/>
        </w:rPr>
        <w:t xml:space="preserve">The expectation from the ESFA is that the </w:t>
      </w:r>
      <w:r w:rsidR="00A04473">
        <w:rPr>
          <w:rFonts w:cs="Arial"/>
          <w:sz w:val="22"/>
          <w:szCs w:val="22"/>
        </w:rPr>
        <w:t xml:space="preserve">value of Historic commitments will continue to decrease </w:t>
      </w:r>
      <w:r w:rsidR="00061C1C">
        <w:rPr>
          <w:rFonts w:cs="Arial"/>
          <w:sz w:val="22"/>
          <w:szCs w:val="22"/>
        </w:rPr>
        <w:t>with</w:t>
      </w:r>
      <w:r w:rsidR="00E145A5">
        <w:rPr>
          <w:rFonts w:cs="Arial"/>
          <w:sz w:val="22"/>
          <w:szCs w:val="22"/>
        </w:rPr>
        <w:t xml:space="preserve"> th</w:t>
      </w:r>
      <w:r w:rsidR="003507D3">
        <w:rPr>
          <w:rFonts w:cs="Arial"/>
          <w:sz w:val="22"/>
          <w:szCs w:val="22"/>
        </w:rPr>
        <w:t xml:space="preserve">is funding </w:t>
      </w:r>
      <w:r w:rsidR="00103334">
        <w:rPr>
          <w:rFonts w:cs="Arial"/>
          <w:sz w:val="22"/>
          <w:szCs w:val="22"/>
        </w:rPr>
        <w:t>further</w:t>
      </w:r>
      <w:r w:rsidR="00061C1C">
        <w:rPr>
          <w:rFonts w:cs="Arial"/>
          <w:sz w:val="22"/>
          <w:szCs w:val="22"/>
        </w:rPr>
        <w:t xml:space="preserve"> </w:t>
      </w:r>
      <w:r w:rsidR="003507D3">
        <w:rPr>
          <w:rFonts w:cs="Arial"/>
          <w:sz w:val="22"/>
          <w:szCs w:val="22"/>
        </w:rPr>
        <w:t>reduc</w:t>
      </w:r>
      <w:r w:rsidR="00103334">
        <w:rPr>
          <w:rFonts w:cs="Arial"/>
          <w:sz w:val="22"/>
          <w:szCs w:val="22"/>
        </w:rPr>
        <w:t>ing</w:t>
      </w:r>
      <w:r w:rsidR="003507D3">
        <w:rPr>
          <w:rFonts w:cs="Arial"/>
          <w:sz w:val="22"/>
          <w:szCs w:val="22"/>
        </w:rPr>
        <w:t xml:space="preserve"> in future years. Allocations </w:t>
      </w:r>
      <w:r w:rsidR="007A6F23">
        <w:rPr>
          <w:rFonts w:cs="Arial"/>
          <w:sz w:val="22"/>
          <w:szCs w:val="22"/>
        </w:rPr>
        <w:t xml:space="preserve">will therefore need to reviewed </w:t>
      </w:r>
      <w:r w:rsidR="00061C1C">
        <w:rPr>
          <w:rFonts w:cs="Arial"/>
          <w:sz w:val="22"/>
          <w:szCs w:val="22"/>
        </w:rPr>
        <w:t xml:space="preserve">regularly and </w:t>
      </w:r>
      <w:r w:rsidR="00992332">
        <w:rPr>
          <w:rFonts w:cs="Arial"/>
          <w:sz w:val="22"/>
          <w:szCs w:val="22"/>
        </w:rPr>
        <w:t xml:space="preserve">further details will be bought to </w:t>
      </w:r>
      <w:r w:rsidR="00B40A61">
        <w:rPr>
          <w:rFonts w:cs="Arial"/>
          <w:sz w:val="22"/>
          <w:szCs w:val="22"/>
        </w:rPr>
        <w:t>the Autumn term forum.</w:t>
      </w:r>
    </w:p>
    <w:p w14:paraId="0A8BB05A" w14:textId="2BF92F15" w:rsidR="00761095" w:rsidRDefault="00761095" w:rsidP="002875DA">
      <w:pPr>
        <w:textAlignment w:val="baseline"/>
        <w:rPr>
          <w:rFonts w:cs="Arial"/>
          <w:sz w:val="22"/>
          <w:szCs w:val="22"/>
        </w:rPr>
      </w:pPr>
    </w:p>
    <w:p w14:paraId="11900FEC" w14:textId="5BCB7B54" w:rsidR="00761095" w:rsidRDefault="00761095" w:rsidP="002875DA">
      <w:pPr>
        <w:textAlignment w:val="baseline"/>
        <w:rPr>
          <w:rFonts w:cs="Arial"/>
          <w:b/>
          <w:bCs/>
          <w:sz w:val="22"/>
          <w:szCs w:val="22"/>
        </w:rPr>
      </w:pPr>
    </w:p>
    <w:p w14:paraId="3B067F85" w14:textId="0356D342" w:rsidR="00172C73" w:rsidRDefault="00172C73" w:rsidP="002875DA">
      <w:pPr>
        <w:textAlignment w:val="baseline"/>
        <w:rPr>
          <w:rFonts w:cs="Arial"/>
          <w:b/>
          <w:bCs/>
          <w:sz w:val="22"/>
          <w:szCs w:val="22"/>
        </w:rPr>
      </w:pPr>
    </w:p>
    <w:p w14:paraId="497B03B8" w14:textId="77777777" w:rsidR="00172C73" w:rsidRDefault="00172C73" w:rsidP="00172C73">
      <w:pPr>
        <w:pStyle w:val="Heading2"/>
        <w:spacing w:before="120" w:after="120"/>
        <w:rPr>
          <w:i w:val="0"/>
          <w:iCs w:val="0"/>
        </w:rPr>
      </w:pPr>
      <w:r w:rsidRPr="002B5908">
        <w:rPr>
          <w:i w:val="0"/>
          <w:iCs w:val="0"/>
        </w:rPr>
        <w:t xml:space="preserve">Contact Details </w:t>
      </w:r>
    </w:p>
    <w:p w14:paraId="0F4A89C1" w14:textId="77777777" w:rsidR="00172C73" w:rsidRPr="002B5908" w:rsidRDefault="00172C73" w:rsidP="00172C73"/>
    <w:p w14:paraId="399377C5" w14:textId="77777777" w:rsidR="00172C73" w:rsidRPr="002F653C" w:rsidRDefault="00172C73" w:rsidP="00172C73">
      <w:pPr>
        <w:spacing w:after="120"/>
      </w:pPr>
      <w:r w:rsidRPr="002F653C">
        <w:t xml:space="preserve">If you have any queries or comments in advance of the Schools Forum meeting about this report, please contact: </w:t>
      </w:r>
    </w:p>
    <w:p w14:paraId="6966A56B" w14:textId="77777777" w:rsidR="00172C73" w:rsidRPr="002F653C" w:rsidRDefault="00172C73" w:rsidP="00172C73">
      <w:pPr>
        <w:ind w:left="720"/>
      </w:pPr>
      <w:r w:rsidRPr="002F653C">
        <w:t xml:space="preserve">Name: </w:t>
      </w:r>
      <w:r>
        <w:t>Kay Goodacre – Head of Strategic Finance Children and Culture</w:t>
      </w:r>
      <w:r w:rsidRPr="002F653C">
        <w:t xml:space="preserve"> </w:t>
      </w:r>
    </w:p>
    <w:p w14:paraId="21E4E672" w14:textId="76B11289" w:rsidR="00172C73" w:rsidRPr="002F653C" w:rsidRDefault="00172C73" w:rsidP="00172C73">
      <w:pPr>
        <w:ind w:left="720"/>
      </w:pPr>
      <w:r w:rsidRPr="002F653C">
        <w:t>Telephone Number: 020</w:t>
      </w:r>
      <w:r w:rsidR="00A454FB">
        <w:t xml:space="preserve"> </w:t>
      </w:r>
      <w:r w:rsidRPr="002F653C">
        <w:t xml:space="preserve">7364 </w:t>
      </w:r>
      <w:r>
        <w:t>0672</w:t>
      </w:r>
    </w:p>
    <w:p w14:paraId="34F33876" w14:textId="3825B289" w:rsidR="00172C73" w:rsidRDefault="00172C73" w:rsidP="00172C73">
      <w:pPr>
        <w:textAlignment w:val="baseline"/>
        <w:rPr>
          <w:rStyle w:val="Hyperlink"/>
          <w:rFonts w:cs="Arial"/>
        </w:rPr>
      </w:pPr>
      <w:r w:rsidRPr="002F653C">
        <w:t xml:space="preserve">Email Address: </w:t>
      </w:r>
      <w:hyperlink r:id="rId11" w:history="1">
        <w:r>
          <w:rPr>
            <w:rStyle w:val="Hyperlink"/>
            <w:rFonts w:cs="Arial"/>
          </w:rPr>
          <w:t>kay.goodacre@towerhamlets.gov.uk</w:t>
        </w:r>
      </w:hyperlink>
    </w:p>
    <w:p w14:paraId="193EF31C" w14:textId="1F013BA3" w:rsidR="00172C73" w:rsidRDefault="00172C73" w:rsidP="00172C73">
      <w:pPr>
        <w:textAlignment w:val="baseline"/>
        <w:rPr>
          <w:rStyle w:val="Hyperlink"/>
          <w:rFonts w:cs="Arial"/>
        </w:rPr>
      </w:pPr>
    </w:p>
    <w:p w14:paraId="0D59941D" w14:textId="4093E358" w:rsidR="00172C73" w:rsidRDefault="00172C73" w:rsidP="00172C73">
      <w:pPr>
        <w:textAlignment w:val="baseline"/>
        <w:rPr>
          <w:rStyle w:val="Hyperlink"/>
          <w:rFonts w:cs="Arial"/>
        </w:rPr>
      </w:pPr>
    </w:p>
    <w:p w14:paraId="04857366" w14:textId="0EA8CE06" w:rsidR="00172C73" w:rsidRDefault="00172C73" w:rsidP="00172C73">
      <w:pPr>
        <w:textAlignment w:val="baseline"/>
        <w:rPr>
          <w:rStyle w:val="Hyperlink"/>
          <w:rFonts w:cs="Arial"/>
        </w:rPr>
      </w:pPr>
    </w:p>
    <w:p w14:paraId="7CF477F8" w14:textId="49AB6359" w:rsidR="00172C73" w:rsidRDefault="00172C73" w:rsidP="00172C73">
      <w:pPr>
        <w:textAlignment w:val="baseline"/>
        <w:rPr>
          <w:rStyle w:val="Hyperlink"/>
          <w:rFonts w:cs="Arial"/>
        </w:rPr>
      </w:pPr>
    </w:p>
    <w:p w14:paraId="4F0F29B8" w14:textId="13C05043" w:rsidR="00172C73" w:rsidRDefault="00172C73" w:rsidP="00172C73">
      <w:pPr>
        <w:textAlignment w:val="baseline"/>
        <w:rPr>
          <w:rStyle w:val="Hyperlink"/>
          <w:rFonts w:cs="Arial"/>
        </w:rPr>
      </w:pPr>
    </w:p>
    <w:p w14:paraId="53D3DAB4" w14:textId="017A065C" w:rsidR="00172C73" w:rsidRDefault="00172C73" w:rsidP="00172C73">
      <w:pPr>
        <w:textAlignment w:val="baseline"/>
        <w:rPr>
          <w:rStyle w:val="Hyperlink"/>
          <w:rFonts w:cs="Arial"/>
        </w:rPr>
      </w:pPr>
    </w:p>
    <w:p w14:paraId="4152982A" w14:textId="18A46B90" w:rsidR="00172C73" w:rsidRDefault="00172C73" w:rsidP="00172C73">
      <w:pPr>
        <w:textAlignment w:val="baseline"/>
        <w:rPr>
          <w:rStyle w:val="Hyperlink"/>
          <w:rFonts w:cs="Arial"/>
        </w:rPr>
      </w:pPr>
    </w:p>
    <w:p w14:paraId="76BF2C41" w14:textId="1F11BB9E" w:rsidR="00172C73" w:rsidRDefault="00172C73" w:rsidP="00172C73">
      <w:pPr>
        <w:textAlignment w:val="baseline"/>
        <w:rPr>
          <w:rStyle w:val="Hyperlink"/>
          <w:rFonts w:cs="Arial"/>
        </w:rPr>
      </w:pPr>
    </w:p>
    <w:p w14:paraId="06575593" w14:textId="5F7A8C37" w:rsidR="00172C73" w:rsidRDefault="00172C73" w:rsidP="00172C73">
      <w:pPr>
        <w:textAlignment w:val="baseline"/>
        <w:rPr>
          <w:rStyle w:val="Hyperlink"/>
          <w:rFonts w:cs="Arial"/>
        </w:rPr>
      </w:pPr>
    </w:p>
    <w:p w14:paraId="7B621370" w14:textId="7C909A62" w:rsidR="00172C73" w:rsidRDefault="00172C73" w:rsidP="00172C73">
      <w:pPr>
        <w:textAlignment w:val="baseline"/>
        <w:rPr>
          <w:rStyle w:val="Hyperlink"/>
          <w:rFonts w:cs="Arial"/>
        </w:rPr>
      </w:pPr>
    </w:p>
    <w:p w14:paraId="527F949E" w14:textId="03754459" w:rsidR="00172C73" w:rsidRDefault="00172C73" w:rsidP="00172C73">
      <w:pPr>
        <w:textAlignment w:val="baseline"/>
        <w:rPr>
          <w:rStyle w:val="Hyperlink"/>
          <w:rFonts w:cs="Arial"/>
        </w:rPr>
      </w:pPr>
    </w:p>
    <w:p w14:paraId="44CBC0BB" w14:textId="57AD9AD4" w:rsidR="00172C73" w:rsidRDefault="00172C73" w:rsidP="00172C73">
      <w:pPr>
        <w:textAlignment w:val="baseline"/>
        <w:rPr>
          <w:rStyle w:val="Hyperlink"/>
          <w:rFonts w:cs="Arial"/>
        </w:rPr>
      </w:pPr>
    </w:p>
    <w:p w14:paraId="452F4371" w14:textId="7566D5ED" w:rsidR="00623382" w:rsidRPr="00623382" w:rsidRDefault="00EA34A9" w:rsidP="00CA7A60">
      <w:pPr>
        <w:textAlignment w:val="baseline"/>
        <w:rPr>
          <w:rFonts w:ascii="Segoe UI" w:hAnsi="Segoe UI" w:cs="Segoe UI"/>
          <w:sz w:val="18"/>
          <w:szCs w:val="18"/>
        </w:rPr>
      </w:pPr>
      <w:r w:rsidRPr="00623382">
        <w:rPr>
          <w:rFonts w:cs="Arial"/>
          <w:b/>
          <w:bCs/>
          <w:sz w:val="22"/>
          <w:szCs w:val="22"/>
        </w:rPr>
        <w:lastRenderedPageBreak/>
        <w:t>Appendix</w:t>
      </w:r>
      <w:r>
        <w:rPr>
          <w:rFonts w:cs="Arial"/>
          <w:b/>
          <w:bCs/>
          <w:sz w:val="22"/>
          <w:szCs w:val="22"/>
        </w:rPr>
        <w:t xml:space="preserve"> 1</w:t>
      </w:r>
      <w:r w:rsidRPr="00623382">
        <w:rPr>
          <w:rFonts w:cs="Arial"/>
          <w:b/>
          <w:bCs/>
          <w:sz w:val="22"/>
          <w:szCs w:val="22"/>
        </w:rPr>
        <w:t>:</w:t>
      </w:r>
      <w:r w:rsidR="00623382" w:rsidRPr="00623382">
        <w:rPr>
          <w:rFonts w:ascii="Calibri" w:hAnsi="Calibri" w:cs="Calibri"/>
          <w:sz w:val="22"/>
          <w:szCs w:val="22"/>
        </w:rPr>
        <w:t xml:space="preserve"> </w:t>
      </w:r>
      <w:r w:rsidR="00623382" w:rsidRPr="00623382">
        <w:rPr>
          <w:rFonts w:cs="Arial"/>
          <w:b/>
          <w:bCs/>
          <w:sz w:val="22"/>
          <w:szCs w:val="22"/>
        </w:rPr>
        <w:t>Ongoing Duties</w:t>
      </w:r>
      <w:r w:rsidR="00623382" w:rsidRPr="00623382">
        <w:rPr>
          <w:rFonts w:cs="Arial"/>
          <w:sz w:val="22"/>
          <w:szCs w:val="22"/>
        </w:rPr>
        <w:t>.  </w:t>
      </w:r>
    </w:p>
    <w:p w14:paraId="413B2DFA" w14:textId="77777777" w:rsidR="00623382" w:rsidRPr="00623382" w:rsidRDefault="00623382" w:rsidP="00623382">
      <w:pPr>
        <w:numPr>
          <w:ilvl w:val="0"/>
          <w:numId w:val="17"/>
        </w:numPr>
        <w:ind w:left="360" w:firstLine="0"/>
        <w:textAlignment w:val="baseline"/>
        <w:rPr>
          <w:rFonts w:cs="Arial"/>
          <w:color w:val="000000"/>
          <w:sz w:val="22"/>
          <w:szCs w:val="22"/>
        </w:rPr>
      </w:pPr>
      <w:r w:rsidRPr="00623382">
        <w:rPr>
          <w:rFonts w:cs="Arial"/>
          <w:b/>
          <w:bCs/>
          <w:sz w:val="22"/>
          <w:szCs w:val="22"/>
        </w:rPr>
        <w:t>Pupil Services and School Sufficiency (Admissions).</w:t>
      </w:r>
      <w:r w:rsidRPr="00623382">
        <w:rPr>
          <w:rFonts w:cs="Arial"/>
          <w:sz w:val="22"/>
          <w:szCs w:val="22"/>
        </w:rPr>
        <w:t> </w:t>
      </w:r>
    </w:p>
    <w:p w14:paraId="165FA731" w14:textId="77777777" w:rsidR="00623382" w:rsidRPr="00623382" w:rsidRDefault="00623382" w:rsidP="00623382">
      <w:pPr>
        <w:ind w:left="720"/>
        <w:textAlignment w:val="baseline"/>
        <w:rPr>
          <w:rFonts w:ascii="Segoe UI" w:hAnsi="Segoe UI" w:cs="Segoe UI"/>
          <w:color w:val="000000"/>
          <w:sz w:val="18"/>
          <w:szCs w:val="18"/>
        </w:rPr>
      </w:pPr>
      <w:r w:rsidRPr="00623382">
        <w:rPr>
          <w:rFonts w:cs="Arial"/>
          <w:sz w:val="22"/>
          <w:szCs w:val="22"/>
        </w:rPr>
        <w:t> </w:t>
      </w:r>
    </w:p>
    <w:p w14:paraId="3235E12D" w14:textId="575E3D34" w:rsidR="00623382" w:rsidRPr="00623382" w:rsidRDefault="00623382" w:rsidP="00CA7A60">
      <w:pPr>
        <w:ind w:left="705"/>
        <w:textAlignment w:val="baseline"/>
        <w:rPr>
          <w:rFonts w:ascii="Segoe UI" w:hAnsi="Segoe UI" w:cs="Segoe UI"/>
          <w:sz w:val="18"/>
          <w:szCs w:val="18"/>
        </w:rPr>
      </w:pPr>
      <w:r w:rsidRPr="00623382">
        <w:rPr>
          <w:rFonts w:cs="Arial"/>
          <w:sz w:val="22"/>
          <w:szCs w:val="22"/>
        </w:rPr>
        <w:t>Pupil Services and School Sufficiency discharges the local authority’s statutory duties in respect of school place planning, school admissions, pupil exclusion and children missing education; adhering to legislation and statutory guidance laid by central government.  The Service works to ensure that every child in the borough has access to a school place. Statutory duties include:  </w:t>
      </w:r>
    </w:p>
    <w:p w14:paraId="580C3D35" w14:textId="77777777" w:rsidR="00623382" w:rsidRPr="00623382" w:rsidRDefault="00623382" w:rsidP="00623382">
      <w:pPr>
        <w:numPr>
          <w:ilvl w:val="0"/>
          <w:numId w:val="18"/>
        </w:numPr>
        <w:ind w:left="1080" w:firstLine="0"/>
        <w:textAlignment w:val="baseline"/>
        <w:rPr>
          <w:rFonts w:cs="Arial"/>
          <w:color w:val="000000"/>
          <w:sz w:val="22"/>
          <w:szCs w:val="22"/>
        </w:rPr>
      </w:pPr>
      <w:r w:rsidRPr="00623382">
        <w:rPr>
          <w:rFonts w:cs="Arial"/>
          <w:sz w:val="22"/>
          <w:szCs w:val="22"/>
        </w:rPr>
        <w:t>To be responsible for ensuring that sufficient education is available to meet the needs of the population in the area.  </w:t>
      </w:r>
    </w:p>
    <w:p w14:paraId="68950D7E" w14:textId="77777777" w:rsidR="00623382" w:rsidRPr="00623382" w:rsidRDefault="00623382" w:rsidP="00623382">
      <w:pPr>
        <w:numPr>
          <w:ilvl w:val="0"/>
          <w:numId w:val="19"/>
        </w:numPr>
        <w:ind w:left="1080" w:firstLine="0"/>
        <w:textAlignment w:val="baseline"/>
        <w:rPr>
          <w:rFonts w:cs="Arial"/>
          <w:color w:val="000000"/>
          <w:sz w:val="22"/>
          <w:szCs w:val="22"/>
        </w:rPr>
      </w:pPr>
      <w:r w:rsidRPr="00623382">
        <w:rPr>
          <w:rFonts w:cs="Arial"/>
          <w:sz w:val="22"/>
          <w:szCs w:val="22"/>
        </w:rPr>
        <w:t>To be responsible for the planning and provision of arrangements to manage the supply of primary and secondary school places in the local authority area, including arrangements for the establishment of new schools and the discontinuance of existing schools.  </w:t>
      </w:r>
    </w:p>
    <w:p w14:paraId="3933828D" w14:textId="77777777" w:rsidR="00623382" w:rsidRPr="00623382" w:rsidRDefault="00623382" w:rsidP="00623382">
      <w:pPr>
        <w:numPr>
          <w:ilvl w:val="0"/>
          <w:numId w:val="20"/>
        </w:numPr>
        <w:ind w:left="1080" w:firstLine="0"/>
        <w:textAlignment w:val="baseline"/>
        <w:rPr>
          <w:rFonts w:cs="Arial"/>
          <w:color w:val="000000"/>
          <w:sz w:val="22"/>
          <w:szCs w:val="22"/>
        </w:rPr>
      </w:pPr>
      <w:r w:rsidRPr="00623382">
        <w:rPr>
          <w:rFonts w:cs="Arial"/>
          <w:sz w:val="22"/>
          <w:szCs w:val="22"/>
        </w:rPr>
        <w:t>To comply with the legislative Code in exercising and discharging the local authority functions in relation to school admissions under the School Standards and Framework Act (SSFA) 1998. The SSFA and relevant regulations confers a number of duties which require the LA to carry out different functions at different times of the admissions cycle.  </w:t>
      </w:r>
    </w:p>
    <w:p w14:paraId="082424A8" w14:textId="77777777" w:rsidR="00623382" w:rsidRPr="00623382" w:rsidRDefault="00623382" w:rsidP="00623382">
      <w:pPr>
        <w:numPr>
          <w:ilvl w:val="0"/>
          <w:numId w:val="21"/>
        </w:numPr>
        <w:ind w:left="1080" w:firstLine="0"/>
        <w:textAlignment w:val="baseline"/>
        <w:rPr>
          <w:rFonts w:cs="Arial"/>
          <w:sz w:val="22"/>
          <w:szCs w:val="22"/>
        </w:rPr>
      </w:pPr>
      <w:r w:rsidRPr="00623382">
        <w:rPr>
          <w:rFonts w:cs="Arial"/>
          <w:sz w:val="22"/>
          <w:szCs w:val="22"/>
        </w:rPr>
        <w:t>For each school year, the local authority must publicly consult on, determine and publish the prescribed information about the admission arrangements for each of the maintained schools in its area, and if regulations so provide, such maintained schools outside its area.  </w:t>
      </w:r>
    </w:p>
    <w:p w14:paraId="6D9EF4CE" w14:textId="77777777" w:rsidR="00623382" w:rsidRPr="00623382" w:rsidRDefault="00623382" w:rsidP="00623382">
      <w:pPr>
        <w:numPr>
          <w:ilvl w:val="0"/>
          <w:numId w:val="22"/>
        </w:numPr>
        <w:ind w:left="1080" w:firstLine="0"/>
        <w:textAlignment w:val="baseline"/>
        <w:rPr>
          <w:rFonts w:cs="Arial"/>
          <w:sz w:val="22"/>
          <w:szCs w:val="22"/>
        </w:rPr>
      </w:pPr>
      <w:r w:rsidRPr="00623382">
        <w:rPr>
          <w:rFonts w:cs="Arial"/>
          <w:sz w:val="22"/>
          <w:szCs w:val="22"/>
        </w:rPr>
        <w:t>To provide advice and assistance to parents when deciding on a school place and allow parents to express a preference. </w:t>
      </w:r>
    </w:p>
    <w:p w14:paraId="06227063" w14:textId="77777777" w:rsidR="00623382" w:rsidRPr="00623382" w:rsidRDefault="00623382" w:rsidP="00623382">
      <w:pPr>
        <w:numPr>
          <w:ilvl w:val="0"/>
          <w:numId w:val="23"/>
        </w:numPr>
        <w:ind w:left="1080" w:firstLine="0"/>
        <w:textAlignment w:val="baseline"/>
        <w:rPr>
          <w:rFonts w:cs="Arial"/>
          <w:sz w:val="22"/>
          <w:szCs w:val="22"/>
        </w:rPr>
      </w:pPr>
      <w:r w:rsidRPr="00623382">
        <w:rPr>
          <w:rFonts w:cs="Arial"/>
          <w:sz w:val="22"/>
          <w:szCs w:val="22"/>
        </w:rPr>
        <w:t>To co-ordinate the arrangements for admission to maintained schools in the area at the statutory points of entry and exit, and the management of in-year admissions. </w:t>
      </w:r>
    </w:p>
    <w:p w14:paraId="723E28A7" w14:textId="77777777" w:rsidR="00623382" w:rsidRPr="00623382" w:rsidRDefault="00623382" w:rsidP="00623382">
      <w:pPr>
        <w:numPr>
          <w:ilvl w:val="0"/>
          <w:numId w:val="24"/>
        </w:numPr>
        <w:ind w:left="1080" w:firstLine="0"/>
        <w:textAlignment w:val="baseline"/>
        <w:rPr>
          <w:rFonts w:cs="Arial"/>
          <w:sz w:val="22"/>
          <w:szCs w:val="22"/>
        </w:rPr>
      </w:pPr>
      <w:r w:rsidRPr="00623382">
        <w:rPr>
          <w:rFonts w:cs="Arial"/>
          <w:sz w:val="22"/>
          <w:szCs w:val="22"/>
        </w:rPr>
        <w:t>To monitor children missing from education, including the management of pupil exclusions under the LA’s Fair Access arrangements. </w:t>
      </w:r>
    </w:p>
    <w:p w14:paraId="0BCA6C3E" w14:textId="77777777" w:rsidR="00623382" w:rsidRPr="00623382" w:rsidRDefault="00623382" w:rsidP="00623382">
      <w:pPr>
        <w:numPr>
          <w:ilvl w:val="0"/>
          <w:numId w:val="25"/>
        </w:numPr>
        <w:ind w:left="1080" w:firstLine="0"/>
        <w:textAlignment w:val="baseline"/>
        <w:rPr>
          <w:rFonts w:cs="Arial"/>
          <w:color w:val="000000"/>
          <w:sz w:val="22"/>
          <w:szCs w:val="22"/>
        </w:rPr>
      </w:pPr>
      <w:r w:rsidRPr="00623382">
        <w:rPr>
          <w:rFonts w:cs="Arial"/>
          <w:sz w:val="22"/>
          <w:szCs w:val="22"/>
        </w:rPr>
        <w:t>To manage the Local Authority’s arrangements for enabling parents of a children to appeal against admissions decisions to maintained schools in its area.  </w:t>
      </w:r>
    </w:p>
    <w:p w14:paraId="6FA73520" w14:textId="426A6298" w:rsidR="00623382" w:rsidRPr="00623382" w:rsidRDefault="00623382" w:rsidP="00623382">
      <w:pPr>
        <w:numPr>
          <w:ilvl w:val="0"/>
          <w:numId w:val="26"/>
        </w:numPr>
        <w:ind w:left="1080" w:firstLine="0"/>
        <w:textAlignment w:val="baseline"/>
        <w:rPr>
          <w:rFonts w:cs="Arial"/>
          <w:color w:val="000000"/>
          <w:sz w:val="22"/>
          <w:szCs w:val="22"/>
        </w:rPr>
      </w:pPr>
      <w:r w:rsidRPr="00623382">
        <w:rPr>
          <w:rFonts w:cs="Arial"/>
          <w:sz w:val="22"/>
          <w:szCs w:val="22"/>
        </w:rPr>
        <w:t>Reports by Local Authority to the adjudicator and returns to the DfE about matters relevant to </w:t>
      </w:r>
      <w:r w:rsidR="00422A5A">
        <w:rPr>
          <w:rFonts w:cs="Arial"/>
          <w:sz w:val="22"/>
          <w:szCs w:val="22"/>
        </w:rPr>
        <w:t>S</w:t>
      </w:r>
      <w:r w:rsidRPr="00623382">
        <w:rPr>
          <w:rFonts w:cs="Arial"/>
          <w:sz w:val="22"/>
          <w:szCs w:val="22"/>
        </w:rPr>
        <w:t>chools admissions as may be required by the School Admissions and School Appeals Codes.  </w:t>
      </w:r>
    </w:p>
    <w:p w14:paraId="7CAE0C13" w14:textId="77777777" w:rsidR="00623382" w:rsidRPr="00623382" w:rsidRDefault="00623382" w:rsidP="00623382">
      <w:pPr>
        <w:textAlignment w:val="baseline"/>
        <w:rPr>
          <w:rFonts w:ascii="Segoe UI" w:hAnsi="Segoe UI" w:cs="Segoe UI"/>
          <w:sz w:val="18"/>
          <w:szCs w:val="18"/>
        </w:rPr>
      </w:pPr>
      <w:r w:rsidRPr="00623382">
        <w:rPr>
          <w:rFonts w:cs="Arial"/>
          <w:sz w:val="22"/>
          <w:szCs w:val="22"/>
        </w:rPr>
        <w:t> </w:t>
      </w:r>
    </w:p>
    <w:p w14:paraId="3C12340E" w14:textId="18CC173C" w:rsidR="00623382" w:rsidRPr="00623382" w:rsidRDefault="00623382" w:rsidP="00623382">
      <w:pPr>
        <w:numPr>
          <w:ilvl w:val="0"/>
          <w:numId w:val="27"/>
        </w:numPr>
        <w:ind w:left="360" w:firstLine="0"/>
        <w:textAlignment w:val="baseline"/>
        <w:rPr>
          <w:rFonts w:cs="Arial"/>
          <w:color w:val="000000"/>
          <w:sz w:val="22"/>
          <w:szCs w:val="22"/>
        </w:rPr>
      </w:pPr>
      <w:r w:rsidRPr="00623382">
        <w:rPr>
          <w:rFonts w:cs="Arial"/>
          <w:b/>
          <w:bCs/>
          <w:sz w:val="22"/>
          <w:szCs w:val="22"/>
        </w:rPr>
        <w:t>Servicing of Schools Forums.</w:t>
      </w:r>
    </w:p>
    <w:p w14:paraId="2163E05E" w14:textId="77777777" w:rsidR="00623382" w:rsidRPr="00623382" w:rsidRDefault="00623382" w:rsidP="00623382">
      <w:pPr>
        <w:ind w:left="720"/>
        <w:textAlignment w:val="baseline"/>
        <w:rPr>
          <w:rFonts w:ascii="Segoe UI" w:hAnsi="Segoe UI" w:cs="Segoe UI"/>
          <w:color w:val="000000"/>
          <w:sz w:val="18"/>
          <w:szCs w:val="18"/>
        </w:rPr>
      </w:pPr>
      <w:r w:rsidRPr="00623382">
        <w:rPr>
          <w:rFonts w:cs="Arial"/>
          <w:sz w:val="22"/>
          <w:szCs w:val="22"/>
        </w:rPr>
        <w:t> </w:t>
      </w:r>
    </w:p>
    <w:p w14:paraId="0FA3437A" w14:textId="3CBB77CB" w:rsidR="00623382" w:rsidRPr="00623382" w:rsidRDefault="00623382" w:rsidP="00623382">
      <w:pPr>
        <w:ind w:left="720"/>
        <w:textAlignment w:val="baseline"/>
        <w:rPr>
          <w:rFonts w:ascii="Segoe UI" w:hAnsi="Segoe UI" w:cs="Segoe UI"/>
          <w:color w:val="000000"/>
          <w:sz w:val="18"/>
          <w:szCs w:val="18"/>
        </w:rPr>
      </w:pPr>
      <w:r w:rsidRPr="00623382">
        <w:rPr>
          <w:rFonts w:cs="Arial"/>
          <w:sz w:val="22"/>
          <w:szCs w:val="22"/>
        </w:rPr>
        <w:t>A local authority is required to establish a </w:t>
      </w:r>
      <w:r w:rsidR="00422A5A">
        <w:rPr>
          <w:rFonts w:cs="Arial"/>
          <w:sz w:val="22"/>
          <w:szCs w:val="22"/>
        </w:rPr>
        <w:t>S</w:t>
      </w:r>
      <w:r w:rsidRPr="00623382">
        <w:rPr>
          <w:rFonts w:cs="Arial"/>
          <w:sz w:val="22"/>
          <w:szCs w:val="22"/>
        </w:rPr>
        <w:t>chools forum in its area and is allowed to retain costs relating to the establishment and maintenance of the forum as well as costs of consultations. The retained budget covers the cost of arranging and clerking meetings and officer support to the Forum.  </w:t>
      </w:r>
    </w:p>
    <w:p w14:paraId="0560642F" w14:textId="77777777" w:rsidR="00623382" w:rsidRPr="00623382" w:rsidRDefault="00623382" w:rsidP="00623382">
      <w:pPr>
        <w:ind w:left="720"/>
        <w:textAlignment w:val="baseline"/>
        <w:rPr>
          <w:rFonts w:ascii="Segoe UI" w:hAnsi="Segoe UI" w:cs="Segoe UI"/>
          <w:color w:val="000000"/>
          <w:sz w:val="18"/>
          <w:szCs w:val="18"/>
        </w:rPr>
      </w:pPr>
      <w:r w:rsidRPr="00623382">
        <w:rPr>
          <w:rFonts w:cs="Arial"/>
          <w:sz w:val="22"/>
          <w:szCs w:val="22"/>
        </w:rPr>
        <w:t> </w:t>
      </w:r>
    </w:p>
    <w:p w14:paraId="5DF00FC7" w14:textId="77777777" w:rsidR="00623382" w:rsidRPr="00623382" w:rsidRDefault="00623382" w:rsidP="00623382">
      <w:pPr>
        <w:numPr>
          <w:ilvl w:val="0"/>
          <w:numId w:val="28"/>
        </w:numPr>
        <w:ind w:left="360" w:firstLine="0"/>
        <w:textAlignment w:val="baseline"/>
        <w:rPr>
          <w:rFonts w:cs="Arial"/>
          <w:color w:val="000000"/>
          <w:sz w:val="22"/>
          <w:szCs w:val="22"/>
        </w:rPr>
      </w:pPr>
      <w:r w:rsidRPr="00623382">
        <w:rPr>
          <w:rFonts w:cs="Arial"/>
          <w:b/>
          <w:bCs/>
          <w:sz w:val="22"/>
          <w:szCs w:val="22"/>
        </w:rPr>
        <w:t>Fees to Independent Schools for Pupils without SEN.</w:t>
      </w:r>
      <w:r w:rsidRPr="00623382">
        <w:rPr>
          <w:rFonts w:cs="Arial"/>
          <w:sz w:val="22"/>
          <w:szCs w:val="22"/>
        </w:rPr>
        <w:t> </w:t>
      </w:r>
    </w:p>
    <w:p w14:paraId="5D9A21AE" w14:textId="77777777" w:rsidR="00623382" w:rsidRPr="00623382" w:rsidRDefault="00623382" w:rsidP="00623382">
      <w:pPr>
        <w:ind w:left="720"/>
        <w:textAlignment w:val="baseline"/>
        <w:rPr>
          <w:rFonts w:ascii="Segoe UI" w:hAnsi="Segoe UI" w:cs="Segoe UI"/>
          <w:color w:val="000000"/>
          <w:sz w:val="18"/>
          <w:szCs w:val="18"/>
        </w:rPr>
      </w:pPr>
      <w:r w:rsidRPr="00623382">
        <w:rPr>
          <w:rFonts w:cs="Arial"/>
          <w:sz w:val="22"/>
          <w:szCs w:val="22"/>
        </w:rPr>
        <w:t> </w:t>
      </w:r>
    </w:p>
    <w:p w14:paraId="7D0AE89F" w14:textId="77777777" w:rsidR="00623382" w:rsidRPr="00623382" w:rsidRDefault="00623382" w:rsidP="00623382">
      <w:pPr>
        <w:ind w:left="720"/>
        <w:textAlignment w:val="baseline"/>
        <w:rPr>
          <w:rFonts w:ascii="Segoe UI" w:hAnsi="Segoe UI" w:cs="Segoe UI"/>
          <w:color w:val="000000"/>
          <w:sz w:val="18"/>
          <w:szCs w:val="18"/>
        </w:rPr>
      </w:pPr>
      <w:r w:rsidRPr="00623382">
        <w:rPr>
          <w:rFonts w:cs="Arial"/>
          <w:color w:val="000000"/>
          <w:sz w:val="22"/>
          <w:szCs w:val="22"/>
        </w:rPr>
        <w:t>Fees or expenses payable in respect of pupils without SEN at a specialist and non-maintained institution. This relates to pupils on remand and other social care.  </w:t>
      </w:r>
    </w:p>
    <w:p w14:paraId="268B28DB" w14:textId="77777777" w:rsidR="00623382" w:rsidRPr="00623382" w:rsidRDefault="00623382" w:rsidP="00623382">
      <w:pPr>
        <w:ind w:left="720"/>
        <w:textAlignment w:val="baseline"/>
        <w:rPr>
          <w:rFonts w:ascii="Segoe UI" w:hAnsi="Segoe UI" w:cs="Segoe UI"/>
          <w:color w:val="000000"/>
          <w:sz w:val="18"/>
          <w:szCs w:val="18"/>
        </w:rPr>
      </w:pPr>
      <w:r w:rsidRPr="00623382">
        <w:rPr>
          <w:rFonts w:cs="Arial"/>
          <w:sz w:val="22"/>
          <w:szCs w:val="22"/>
        </w:rPr>
        <w:t> </w:t>
      </w:r>
    </w:p>
    <w:p w14:paraId="43AB0E3C" w14:textId="77777777" w:rsidR="00623382" w:rsidRPr="00623382" w:rsidRDefault="00623382" w:rsidP="00623382">
      <w:pPr>
        <w:numPr>
          <w:ilvl w:val="0"/>
          <w:numId w:val="29"/>
        </w:numPr>
        <w:ind w:left="360" w:firstLine="0"/>
        <w:textAlignment w:val="baseline"/>
        <w:rPr>
          <w:rFonts w:cs="Arial"/>
          <w:color w:val="000000"/>
          <w:sz w:val="22"/>
          <w:szCs w:val="22"/>
        </w:rPr>
      </w:pPr>
      <w:r w:rsidRPr="00623382">
        <w:rPr>
          <w:rFonts w:cs="Arial"/>
          <w:b/>
          <w:bCs/>
          <w:sz w:val="22"/>
          <w:szCs w:val="22"/>
        </w:rPr>
        <w:t>Licence Fees.</w:t>
      </w:r>
      <w:r w:rsidRPr="00623382">
        <w:rPr>
          <w:rFonts w:cs="Arial"/>
          <w:sz w:val="22"/>
          <w:szCs w:val="22"/>
        </w:rPr>
        <w:t> </w:t>
      </w:r>
    </w:p>
    <w:p w14:paraId="144DE1E0" w14:textId="77777777" w:rsidR="00623382" w:rsidRPr="00623382" w:rsidRDefault="00623382" w:rsidP="00623382">
      <w:pPr>
        <w:ind w:left="720"/>
        <w:textAlignment w:val="baseline"/>
        <w:rPr>
          <w:rFonts w:ascii="Segoe UI" w:hAnsi="Segoe UI" w:cs="Segoe UI"/>
          <w:color w:val="000000"/>
          <w:sz w:val="18"/>
          <w:szCs w:val="18"/>
        </w:rPr>
      </w:pPr>
      <w:r w:rsidRPr="00623382">
        <w:rPr>
          <w:rFonts w:cs="Arial"/>
          <w:sz w:val="22"/>
          <w:szCs w:val="22"/>
        </w:rPr>
        <w:t> </w:t>
      </w:r>
    </w:p>
    <w:p w14:paraId="29E38806" w14:textId="6F3D04F5" w:rsidR="00623382" w:rsidRPr="00623382" w:rsidRDefault="00623382" w:rsidP="00623382">
      <w:pPr>
        <w:ind w:left="720"/>
        <w:textAlignment w:val="baseline"/>
        <w:rPr>
          <w:rFonts w:ascii="Segoe UI" w:hAnsi="Segoe UI" w:cs="Segoe UI"/>
          <w:color w:val="000000"/>
          <w:sz w:val="18"/>
          <w:szCs w:val="18"/>
        </w:rPr>
      </w:pPr>
      <w:r w:rsidRPr="00623382">
        <w:rPr>
          <w:rFonts w:cs="Arial"/>
          <w:sz w:val="22"/>
          <w:szCs w:val="22"/>
        </w:rPr>
        <w:t>These are licence fees negotiated nationally by the Secretary of State for Education. This is a consultation item as the charge is automatically deducted from the DSG and Forum’s permission to retain this item is not required.  </w:t>
      </w:r>
    </w:p>
    <w:sectPr w:rsidR="00623382" w:rsidRPr="00623382" w:rsidSect="00B55E8C">
      <w:headerReference w:type="default" r:id="rId12"/>
      <w:footerReference w:type="default" r:id="rId13"/>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0152" w14:textId="77777777" w:rsidR="00334663" w:rsidRDefault="00334663">
      <w:r>
        <w:separator/>
      </w:r>
    </w:p>
  </w:endnote>
  <w:endnote w:type="continuationSeparator" w:id="0">
    <w:p w14:paraId="031AF4CF" w14:textId="77777777" w:rsidR="00334663" w:rsidRDefault="0033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37BF" w14:textId="77777777" w:rsidR="0096294A" w:rsidRPr="000C38B1" w:rsidRDefault="0096294A">
    <w:pPr>
      <w:pStyle w:val="Footer"/>
      <w:jc w:val="center"/>
    </w:pPr>
    <w:r w:rsidRPr="000C38B1">
      <w:rPr>
        <w:rStyle w:val="PageNumber"/>
      </w:rPr>
      <w:fldChar w:fldCharType="begin"/>
    </w:r>
    <w:r w:rsidRPr="000C38B1">
      <w:rPr>
        <w:rStyle w:val="PageNumber"/>
      </w:rPr>
      <w:instrText xml:space="preserve"> PAGE </w:instrText>
    </w:r>
    <w:r w:rsidRPr="000C38B1">
      <w:rPr>
        <w:rStyle w:val="PageNumber"/>
      </w:rPr>
      <w:fldChar w:fldCharType="separate"/>
    </w:r>
    <w:r w:rsidR="000C38B1">
      <w:rPr>
        <w:rStyle w:val="PageNumber"/>
        <w:noProof/>
      </w:rPr>
      <w:t>1</w:t>
    </w:r>
    <w:r w:rsidRPr="000C38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72AC5" w14:textId="77777777" w:rsidR="00334663" w:rsidRDefault="00334663">
      <w:r>
        <w:separator/>
      </w:r>
    </w:p>
  </w:footnote>
  <w:footnote w:type="continuationSeparator" w:id="0">
    <w:p w14:paraId="2EDC3850" w14:textId="77777777" w:rsidR="00334663" w:rsidRDefault="0033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37BD" w14:textId="0DA2AB40" w:rsidR="0096294A" w:rsidRDefault="0096294A">
    <w:pPr>
      <w:pStyle w:val="Header"/>
    </w:pPr>
    <w:r w:rsidRPr="00ED7730">
      <w:ptab w:relativeTo="margin" w:alignment="center" w:leader="none"/>
    </w:r>
    <w:r w:rsidR="00FF7453">
      <w:t>Schools Forum</w:t>
    </w:r>
    <w:r w:rsidR="00B42306">
      <w:t xml:space="preserve"> </w:t>
    </w:r>
    <w:r w:rsidR="00494BDD">
      <w:t>13 January</w:t>
    </w:r>
    <w:r w:rsidR="00B42306">
      <w:t xml:space="preserve"> 20</w:t>
    </w:r>
    <w:r w:rsidR="00494BDD">
      <w:t>21</w:t>
    </w:r>
  </w:p>
  <w:p w14:paraId="02D737BE"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DEB"/>
    <w:multiLevelType w:val="multilevel"/>
    <w:tmpl w:val="EF90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96C28"/>
    <w:multiLevelType w:val="multilevel"/>
    <w:tmpl w:val="131EE2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423562"/>
    <w:multiLevelType w:val="hybridMultilevel"/>
    <w:tmpl w:val="717E58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0594E18"/>
    <w:multiLevelType w:val="hybridMultilevel"/>
    <w:tmpl w:val="205006EA"/>
    <w:lvl w:ilvl="0" w:tplc="D1F2CF94">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7F729C"/>
    <w:multiLevelType w:val="multilevel"/>
    <w:tmpl w:val="7676F6F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1C645E"/>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E294B48"/>
    <w:multiLevelType w:val="multilevel"/>
    <w:tmpl w:val="8F508C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601150"/>
    <w:multiLevelType w:val="multilevel"/>
    <w:tmpl w:val="C6B6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F00A3A"/>
    <w:multiLevelType w:val="multilevel"/>
    <w:tmpl w:val="2846679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4A1872"/>
    <w:multiLevelType w:val="multilevel"/>
    <w:tmpl w:val="1C8CA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F3365"/>
    <w:multiLevelType w:val="multilevel"/>
    <w:tmpl w:val="AD9C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185CEB"/>
    <w:multiLevelType w:val="multilevel"/>
    <w:tmpl w:val="C8C4B4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F42427"/>
    <w:multiLevelType w:val="multilevel"/>
    <w:tmpl w:val="5DA861A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560946"/>
    <w:multiLevelType w:val="multilevel"/>
    <w:tmpl w:val="F5C07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416BF1"/>
    <w:multiLevelType w:val="hybridMultilevel"/>
    <w:tmpl w:val="72F46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20529"/>
    <w:multiLevelType w:val="multilevel"/>
    <w:tmpl w:val="61044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6E4A6A"/>
    <w:multiLevelType w:val="multilevel"/>
    <w:tmpl w:val="F14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85659"/>
    <w:multiLevelType w:val="multilevel"/>
    <w:tmpl w:val="9CBEB0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AAB1496"/>
    <w:multiLevelType w:val="hybridMultilevel"/>
    <w:tmpl w:val="7FEC0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CF6C76"/>
    <w:multiLevelType w:val="hybridMultilevel"/>
    <w:tmpl w:val="9274F028"/>
    <w:lvl w:ilvl="0" w:tplc="3F669F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B54CA8"/>
    <w:multiLevelType w:val="multilevel"/>
    <w:tmpl w:val="12D8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E57307"/>
    <w:multiLevelType w:val="multilevel"/>
    <w:tmpl w:val="36F4A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13421E"/>
    <w:multiLevelType w:val="multilevel"/>
    <w:tmpl w:val="6294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8513444"/>
    <w:multiLevelType w:val="hybridMultilevel"/>
    <w:tmpl w:val="F6B6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16B57"/>
    <w:multiLevelType w:val="multilevel"/>
    <w:tmpl w:val="B15EE33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B126E40"/>
    <w:multiLevelType w:val="multilevel"/>
    <w:tmpl w:val="BCBCF56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FF3395"/>
    <w:multiLevelType w:val="hybridMultilevel"/>
    <w:tmpl w:val="3516F0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ED65CBC"/>
    <w:multiLevelType w:val="hybridMultilevel"/>
    <w:tmpl w:val="B38A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6F944695"/>
    <w:multiLevelType w:val="multilevel"/>
    <w:tmpl w:val="2340C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8539A7"/>
    <w:multiLevelType w:val="multilevel"/>
    <w:tmpl w:val="F6187E5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A00A43"/>
    <w:multiLevelType w:val="hybridMultilevel"/>
    <w:tmpl w:val="A58ED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F70115"/>
    <w:multiLevelType w:val="hybridMultilevel"/>
    <w:tmpl w:val="CF54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6"/>
  </w:num>
  <w:num w:numId="4">
    <w:abstractNumId w:val="33"/>
  </w:num>
  <w:num w:numId="5">
    <w:abstractNumId w:val="25"/>
  </w:num>
  <w:num w:numId="6">
    <w:abstractNumId w:val="29"/>
  </w:num>
  <w:num w:numId="7">
    <w:abstractNumId w:val="34"/>
  </w:num>
  <w:num w:numId="8">
    <w:abstractNumId w:val="2"/>
  </w:num>
  <w:num w:numId="9">
    <w:abstractNumId w:val="16"/>
  </w:num>
  <w:num w:numId="10">
    <w:abstractNumId w:val="20"/>
  </w:num>
  <w:num w:numId="11">
    <w:abstractNumId w:val="4"/>
  </w:num>
  <w:num w:numId="12">
    <w:abstractNumId w:val="9"/>
  </w:num>
  <w:num w:numId="13">
    <w:abstractNumId w:val="21"/>
  </w:num>
  <w:num w:numId="14">
    <w:abstractNumId w:val="30"/>
  </w:num>
  <w:num w:numId="15">
    <w:abstractNumId w:val="8"/>
  </w:num>
  <w:num w:numId="16">
    <w:abstractNumId w:val="28"/>
  </w:num>
  <w:num w:numId="17">
    <w:abstractNumId w:val="12"/>
  </w:num>
  <w:num w:numId="18">
    <w:abstractNumId w:val="24"/>
  </w:num>
  <w:num w:numId="19">
    <w:abstractNumId w:val="7"/>
  </w:num>
  <w:num w:numId="20">
    <w:abstractNumId w:val="19"/>
  </w:num>
  <w:num w:numId="21">
    <w:abstractNumId w:val="1"/>
  </w:num>
  <w:num w:numId="22">
    <w:abstractNumId w:val="13"/>
  </w:num>
  <w:num w:numId="23">
    <w:abstractNumId w:val="27"/>
  </w:num>
  <w:num w:numId="24">
    <w:abstractNumId w:val="32"/>
  </w:num>
  <w:num w:numId="25">
    <w:abstractNumId w:val="14"/>
  </w:num>
  <w:num w:numId="26">
    <w:abstractNumId w:val="10"/>
  </w:num>
  <w:num w:numId="27">
    <w:abstractNumId w:val="23"/>
  </w:num>
  <w:num w:numId="28">
    <w:abstractNumId w:val="17"/>
  </w:num>
  <w:num w:numId="29">
    <w:abstractNumId w:val="31"/>
  </w:num>
  <w:num w:numId="30">
    <w:abstractNumId w:val="22"/>
  </w:num>
  <w:num w:numId="31">
    <w:abstractNumId w:val="15"/>
  </w:num>
  <w:num w:numId="32">
    <w:abstractNumId w:val="11"/>
  </w:num>
  <w:num w:numId="33">
    <w:abstractNumId w:val="18"/>
  </w:num>
  <w:num w:numId="34">
    <w:abstractNumId w:val="0"/>
  </w:num>
  <w:num w:numId="3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07DD"/>
    <w:rsid w:val="000079CF"/>
    <w:rsid w:val="000106AF"/>
    <w:rsid w:val="00011A38"/>
    <w:rsid w:val="0001228D"/>
    <w:rsid w:val="00014128"/>
    <w:rsid w:val="000149FD"/>
    <w:rsid w:val="00025F55"/>
    <w:rsid w:val="00026A03"/>
    <w:rsid w:val="00026AE4"/>
    <w:rsid w:val="00030F6F"/>
    <w:rsid w:val="0003175B"/>
    <w:rsid w:val="00031A20"/>
    <w:rsid w:val="0003323B"/>
    <w:rsid w:val="0003323E"/>
    <w:rsid w:val="000339DC"/>
    <w:rsid w:val="00041E9D"/>
    <w:rsid w:val="00044881"/>
    <w:rsid w:val="00046FCB"/>
    <w:rsid w:val="0005284B"/>
    <w:rsid w:val="00053B81"/>
    <w:rsid w:val="00060FED"/>
    <w:rsid w:val="00061C1C"/>
    <w:rsid w:val="00070716"/>
    <w:rsid w:val="0007256E"/>
    <w:rsid w:val="00077299"/>
    <w:rsid w:val="00083BBE"/>
    <w:rsid w:val="00087E04"/>
    <w:rsid w:val="000A2234"/>
    <w:rsid w:val="000A3CAE"/>
    <w:rsid w:val="000A7872"/>
    <w:rsid w:val="000A78CA"/>
    <w:rsid w:val="000B01EC"/>
    <w:rsid w:val="000C08C0"/>
    <w:rsid w:val="000C0AC7"/>
    <w:rsid w:val="000C1387"/>
    <w:rsid w:val="000C38B1"/>
    <w:rsid w:val="000D3037"/>
    <w:rsid w:val="000D4839"/>
    <w:rsid w:val="000D5510"/>
    <w:rsid w:val="000D5CCD"/>
    <w:rsid w:val="000D6FF5"/>
    <w:rsid w:val="000E153F"/>
    <w:rsid w:val="000E4EE8"/>
    <w:rsid w:val="000E7C2D"/>
    <w:rsid w:val="000F0BCB"/>
    <w:rsid w:val="000F1054"/>
    <w:rsid w:val="000F16FE"/>
    <w:rsid w:val="00102CEB"/>
    <w:rsid w:val="00103334"/>
    <w:rsid w:val="00110AE1"/>
    <w:rsid w:val="0012431B"/>
    <w:rsid w:val="00125730"/>
    <w:rsid w:val="00126384"/>
    <w:rsid w:val="00127374"/>
    <w:rsid w:val="00131EEB"/>
    <w:rsid w:val="0013261A"/>
    <w:rsid w:val="00132774"/>
    <w:rsid w:val="00133AC3"/>
    <w:rsid w:val="00141246"/>
    <w:rsid w:val="001429D8"/>
    <w:rsid w:val="001445AD"/>
    <w:rsid w:val="00151AD1"/>
    <w:rsid w:val="00152F4B"/>
    <w:rsid w:val="001619A7"/>
    <w:rsid w:val="001637DD"/>
    <w:rsid w:val="001638D3"/>
    <w:rsid w:val="00167C77"/>
    <w:rsid w:val="00170E12"/>
    <w:rsid w:val="00171274"/>
    <w:rsid w:val="00171A9E"/>
    <w:rsid w:val="00172C73"/>
    <w:rsid w:val="00177800"/>
    <w:rsid w:val="00184A94"/>
    <w:rsid w:val="001901D4"/>
    <w:rsid w:val="0019143A"/>
    <w:rsid w:val="00191C1C"/>
    <w:rsid w:val="00193E69"/>
    <w:rsid w:val="00196727"/>
    <w:rsid w:val="001A2886"/>
    <w:rsid w:val="001A74CC"/>
    <w:rsid w:val="001B1591"/>
    <w:rsid w:val="001B259F"/>
    <w:rsid w:val="001C09C4"/>
    <w:rsid w:val="001C209A"/>
    <w:rsid w:val="001C6F21"/>
    <w:rsid w:val="001D32A0"/>
    <w:rsid w:val="001D4975"/>
    <w:rsid w:val="001D6A6A"/>
    <w:rsid w:val="001D6BA4"/>
    <w:rsid w:val="001E19C2"/>
    <w:rsid w:val="001E4116"/>
    <w:rsid w:val="001E472B"/>
    <w:rsid w:val="001E70F6"/>
    <w:rsid w:val="00205496"/>
    <w:rsid w:val="002139AB"/>
    <w:rsid w:val="002211B9"/>
    <w:rsid w:val="00221B84"/>
    <w:rsid w:val="002246CA"/>
    <w:rsid w:val="00225D98"/>
    <w:rsid w:val="00231641"/>
    <w:rsid w:val="002374A3"/>
    <w:rsid w:val="00246254"/>
    <w:rsid w:val="002467C4"/>
    <w:rsid w:val="00253B34"/>
    <w:rsid w:val="00253B59"/>
    <w:rsid w:val="00256938"/>
    <w:rsid w:val="00257D10"/>
    <w:rsid w:val="0026062F"/>
    <w:rsid w:val="0026098B"/>
    <w:rsid w:val="002640E1"/>
    <w:rsid w:val="00264249"/>
    <w:rsid w:val="00266DE2"/>
    <w:rsid w:val="002739E8"/>
    <w:rsid w:val="00277E23"/>
    <w:rsid w:val="002875DA"/>
    <w:rsid w:val="00287DBD"/>
    <w:rsid w:val="0029022D"/>
    <w:rsid w:val="002907FF"/>
    <w:rsid w:val="00291476"/>
    <w:rsid w:val="0029323C"/>
    <w:rsid w:val="002958F1"/>
    <w:rsid w:val="002A08A5"/>
    <w:rsid w:val="002A69DC"/>
    <w:rsid w:val="002A734B"/>
    <w:rsid w:val="002B05AD"/>
    <w:rsid w:val="002C5DC3"/>
    <w:rsid w:val="002E1F74"/>
    <w:rsid w:val="002F4FB8"/>
    <w:rsid w:val="002F55A8"/>
    <w:rsid w:val="003044B1"/>
    <w:rsid w:val="0030490E"/>
    <w:rsid w:val="00304E15"/>
    <w:rsid w:val="0032014A"/>
    <w:rsid w:val="00321273"/>
    <w:rsid w:val="00322E4D"/>
    <w:rsid w:val="00325C80"/>
    <w:rsid w:val="003322EA"/>
    <w:rsid w:val="00334663"/>
    <w:rsid w:val="00336681"/>
    <w:rsid w:val="00336FD4"/>
    <w:rsid w:val="00344086"/>
    <w:rsid w:val="00345882"/>
    <w:rsid w:val="003507D3"/>
    <w:rsid w:val="00351F12"/>
    <w:rsid w:val="003531BB"/>
    <w:rsid w:val="003564B6"/>
    <w:rsid w:val="00361F94"/>
    <w:rsid w:val="0036653D"/>
    <w:rsid w:val="00373AD2"/>
    <w:rsid w:val="0038332C"/>
    <w:rsid w:val="003853DD"/>
    <w:rsid w:val="003867AC"/>
    <w:rsid w:val="00386A86"/>
    <w:rsid w:val="003920CB"/>
    <w:rsid w:val="003925D5"/>
    <w:rsid w:val="00397511"/>
    <w:rsid w:val="00397DE5"/>
    <w:rsid w:val="003B2548"/>
    <w:rsid w:val="003B3B0E"/>
    <w:rsid w:val="003B5008"/>
    <w:rsid w:val="003B700C"/>
    <w:rsid w:val="003B7621"/>
    <w:rsid w:val="003B78ED"/>
    <w:rsid w:val="003C014F"/>
    <w:rsid w:val="003C4300"/>
    <w:rsid w:val="003C7DF4"/>
    <w:rsid w:val="003D08B1"/>
    <w:rsid w:val="003D29D2"/>
    <w:rsid w:val="003D41AA"/>
    <w:rsid w:val="003D435E"/>
    <w:rsid w:val="003D4611"/>
    <w:rsid w:val="003E00BB"/>
    <w:rsid w:val="00405B39"/>
    <w:rsid w:val="00407F2D"/>
    <w:rsid w:val="00410D37"/>
    <w:rsid w:val="00411500"/>
    <w:rsid w:val="00411EEB"/>
    <w:rsid w:val="00421266"/>
    <w:rsid w:val="00422A5A"/>
    <w:rsid w:val="004256EA"/>
    <w:rsid w:val="00434AC8"/>
    <w:rsid w:val="00434EDA"/>
    <w:rsid w:val="00444C0E"/>
    <w:rsid w:val="00446519"/>
    <w:rsid w:val="004478AE"/>
    <w:rsid w:val="00447E7C"/>
    <w:rsid w:val="004503C6"/>
    <w:rsid w:val="0045059B"/>
    <w:rsid w:val="00451CF7"/>
    <w:rsid w:val="00457528"/>
    <w:rsid w:val="004635C3"/>
    <w:rsid w:val="00465312"/>
    <w:rsid w:val="0046718D"/>
    <w:rsid w:val="004705A1"/>
    <w:rsid w:val="00476793"/>
    <w:rsid w:val="004775A8"/>
    <w:rsid w:val="004862AC"/>
    <w:rsid w:val="004862E0"/>
    <w:rsid w:val="00486492"/>
    <w:rsid w:val="004901CB"/>
    <w:rsid w:val="00494BDD"/>
    <w:rsid w:val="004A0F22"/>
    <w:rsid w:val="004A2E94"/>
    <w:rsid w:val="004B3834"/>
    <w:rsid w:val="004B4056"/>
    <w:rsid w:val="004B55EC"/>
    <w:rsid w:val="004B6ED7"/>
    <w:rsid w:val="004C04E8"/>
    <w:rsid w:val="004C11CF"/>
    <w:rsid w:val="004D2F39"/>
    <w:rsid w:val="004D3440"/>
    <w:rsid w:val="004D4FF7"/>
    <w:rsid w:val="004D7D73"/>
    <w:rsid w:val="004F13F3"/>
    <w:rsid w:val="004F3685"/>
    <w:rsid w:val="004F67E3"/>
    <w:rsid w:val="004F7D5E"/>
    <w:rsid w:val="00501776"/>
    <w:rsid w:val="0050651C"/>
    <w:rsid w:val="005065B0"/>
    <w:rsid w:val="00510168"/>
    <w:rsid w:val="00510352"/>
    <w:rsid w:val="005116F8"/>
    <w:rsid w:val="00513440"/>
    <w:rsid w:val="00513AE8"/>
    <w:rsid w:val="005210A6"/>
    <w:rsid w:val="0054015A"/>
    <w:rsid w:val="00540291"/>
    <w:rsid w:val="005427F7"/>
    <w:rsid w:val="00545A21"/>
    <w:rsid w:val="00547A33"/>
    <w:rsid w:val="00550AD9"/>
    <w:rsid w:val="00552A9D"/>
    <w:rsid w:val="00565D57"/>
    <w:rsid w:val="00565F48"/>
    <w:rsid w:val="00572E2A"/>
    <w:rsid w:val="00580113"/>
    <w:rsid w:val="00581CFC"/>
    <w:rsid w:val="00582A23"/>
    <w:rsid w:val="005840FC"/>
    <w:rsid w:val="00584A63"/>
    <w:rsid w:val="005934AD"/>
    <w:rsid w:val="00593813"/>
    <w:rsid w:val="005A2910"/>
    <w:rsid w:val="005A29F4"/>
    <w:rsid w:val="005A3C4D"/>
    <w:rsid w:val="005C4497"/>
    <w:rsid w:val="005D445C"/>
    <w:rsid w:val="005D57DA"/>
    <w:rsid w:val="005E12B9"/>
    <w:rsid w:val="005E47DF"/>
    <w:rsid w:val="005E7EBC"/>
    <w:rsid w:val="005F1CE0"/>
    <w:rsid w:val="005F399C"/>
    <w:rsid w:val="006001B3"/>
    <w:rsid w:val="00603459"/>
    <w:rsid w:val="006036B1"/>
    <w:rsid w:val="00604DF8"/>
    <w:rsid w:val="0060579D"/>
    <w:rsid w:val="00610152"/>
    <w:rsid w:val="006119E8"/>
    <w:rsid w:val="00611B3F"/>
    <w:rsid w:val="006134FA"/>
    <w:rsid w:val="00613717"/>
    <w:rsid w:val="00613D0C"/>
    <w:rsid w:val="00621A69"/>
    <w:rsid w:val="00623382"/>
    <w:rsid w:val="0062611F"/>
    <w:rsid w:val="00627D76"/>
    <w:rsid w:val="0063235C"/>
    <w:rsid w:val="006335B5"/>
    <w:rsid w:val="0064655C"/>
    <w:rsid w:val="00646D3B"/>
    <w:rsid w:val="00647B84"/>
    <w:rsid w:val="00651E7D"/>
    <w:rsid w:val="0065202F"/>
    <w:rsid w:val="0066120B"/>
    <w:rsid w:val="0066157B"/>
    <w:rsid w:val="00664ED4"/>
    <w:rsid w:val="00665D28"/>
    <w:rsid w:val="006669D3"/>
    <w:rsid w:val="006706BB"/>
    <w:rsid w:val="00671CCB"/>
    <w:rsid w:val="0067369D"/>
    <w:rsid w:val="00673A87"/>
    <w:rsid w:val="00674AD4"/>
    <w:rsid w:val="00676A40"/>
    <w:rsid w:val="006814BF"/>
    <w:rsid w:val="00690471"/>
    <w:rsid w:val="00694EE9"/>
    <w:rsid w:val="00695F0A"/>
    <w:rsid w:val="0069748F"/>
    <w:rsid w:val="006A1261"/>
    <w:rsid w:val="006A550D"/>
    <w:rsid w:val="006B15C2"/>
    <w:rsid w:val="006C3030"/>
    <w:rsid w:val="006C3E43"/>
    <w:rsid w:val="006C5DF1"/>
    <w:rsid w:val="006C6348"/>
    <w:rsid w:val="006C63CE"/>
    <w:rsid w:val="006C6470"/>
    <w:rsid w:val="006C75C1"/>
    <w:rsid w:val="006C7A55"/>
    <w:rsid w:val="006D5922"/>
    <w:rsid w:val="006D64E4"/>
    <w:rsid w:val="006D7474"/>
    <w:rsid w:val="006F119E"/>
    <w:rsid w:val="006F1734"/>
    <w:rsid w:val="006F2AAB"/>
    <w:rsid w:val="006F2E0C"/>
    <w:rsid w:val="006F4B9B"/>
    <w:rsid w:val="006F5425"/>
    <w:rsid w:val="00700948"/>
    <w:rsid w:val="007020CA"/>
    <w:rsid w:val="007047E2"/>
    <w:rsid w:val="0070740D"/>
    <w:rsid w:val="0071067E"/>
    <w:rsid w:val="007132B7"/>
    <w:rsid w:val="00715428"/>
    <w:rsid w:val="00715552"/>
    <w:rsid w:val="007303C1"/>
    <w:rsid w:val="00733123"/>
    <w:rsid w:val="00734345"/>
    <w:rsid w:val="007420EE"/>
    <w:rsid w:val="007443D5"/>
    <w:rsid w:val="00747E1A"/>
    <w:rsid w:val="00755561"/>
    <w:rsid w:val="00761095"/>
    <w:rsid w:val="00763D19"/>
    <w:rsid w:val="00764A57"/>
    <w:rsid w:val="007654C8"/>
    <w:rsid w:val="00775279"/>
    <w:rsid w:val="007768C2"/>
    <w:rsid w:val="00777C75"/>
    <w:rsid w:val="0078151E"/>
    <w:rsid w:val="007830A0"/>
    <w:rsid w:val="007870EE"/>
    <w:rsid w:val="007917BF"/>
    <w:rsid w:val="00793390"/>
    <w:rsid w:val="00793F85"/>
    <w:rsid w:val="0079745A"/>
    <w:rsid w:val="007976AC"/>
    <w:rsid w:val="00797C2F"/>
    <w:rsid w:val="007A4B91"/>
    <w:rsid w:val="007A6F23"/>
    <w:rsid w:val="007B0EFA"/>
    <w:rsid w:val="007B267B"/>
    <w:rsid w:val="007B77DE"/>
    <w:rsid w:val="007C0808"/>
    <w:rsid w:val="007C5374"/>
    <w:rsid w:val="007D15CC"/>
    <w:rsid w:val="007D1C37"/>
    <w:rsid w:val="007D37B3"/>
    <w:rsid w:val="007D3E13"/>
    <w:rsid w:val="007D695C"/>
    <w:rsid w:val="007E2837"/>
    <w:rsid w:val="007E4B79"/>
    <w:rsid w:val="007F31DA"/>
    <w:rsid w:val="007F382E"/>
    <w:rsid w:val="007F442C"/>
    <w:rsid w:val="007F598E"/>
    <w:rsid w:val="007F68E4"/>
    <w:rsid w:val="007F6BDB"/>
    <w:rsid w:val="008016EC"/>
    <w:rsid w:val="008059CF"/>
    <w:rsid w:val="008076B4"/>
    <w:rsid w:val="008103C0"/>
    <w:rsid w:val="008113A1"/>
    <w:rsid w:val="00811614"/>
    <w:rsid w:val="00812466"/>
    <w:rsid w:val="00816F02"/>
    <w:rsid w:val="0082686D"/>
    <w:rsid w:val="008276F5"/>
    <w:rsid w:val="00827831"/>
    <w:rsid w:val="00830781"/>
    <w:rsid w:val="0083113B"/>
    <w:rsid w:val="008311F6"/>
    <w:rsid w:val="00833A23"/>
    <w:rsid w:val="008341F3"/>
    <w:rsid w:val="008346DA"/>
    <w:rsid w:val="008415CA"/>
    <w:rsid w:val="00842A36"/>
    <w:rsid w:val="00843CA0"/>
    <w:rsid w:val="00844BED"/>
    <w:rsid w:val="00847989"/>
    <w:rsid w:val="00851B78"/>
    <w:rsid w:val="00853979"/>
    <w:rsid w:val="008551AC"/>
    <w:rsid w:val="00855721"/>
    <w:rsid w:val="008624FA"/>
    <w:rsid w:val="00862649"/>
    <w:rsid w:val="00872BA7"/>
    <w:rsid w:val="0087358A"/>
    <w:rsid w:val="00875173"/>
    <w:rsid w:val="00876D9E"/>
    <w:rsid w:val="008779FF"/>
    <w:rsid w:val="00884935"/>
    <w:rsid w:val="00887A6A"/>
    <w:rsid w:val="008918D0"/>
    <w:rsid w:val="0089533B"/>
    <w:rsid w:val="00897094"/>
    <w:rsid w:val="008A589D"/>
    <w:rsid w:val="008B3A21"/>
    <w:rsid w:val="008B4A3F"/>
    <w:rsid w:val="008C0499"/>
    <w:rsid w:val="008C10D0"/>
    <w:rsid w:val="008C1863"/>
    <w:rsid w:val="008C557A"/>
    <w:rsid w:val="008C709C"/>
    <w:rsid w:val="008D3826"/>
    <w:rsid w:val="008D78E1"/>
    <w:rsid w:val="008E4D27"/>
    <w:rsid w:val="008E7125"/>
    <w:rsid w:val="008F1F04"/>
    <w:rsid w:val="008F308F"/>
    <w:rsid w:val="00901921"/>
    <w:rsid w:val="00903441"/>
    <w:rsid w:val="00910F12"/>
    <w:rsid w:val="00921F38"/>
    <w:rsid w:val="00925BA9"/>
    <w:rsid w:val="009324CE"/>
    <w:rsid w:val="00937126"/>
    <w:rsid w:val="00937421"/>
    <w:rsid w:val="009376B7"/>
    <w:rsid w:val="009377C7"/>
    <w:rsid w:val="00950365"/>
    <w:rsid w:val="009626E3"/>
    <w:rsid w:val="0096294A"/>
    <w:rsid w:val="00966200"/>
    <w:rsid w:val="00967412"/>
    <w:rsid w:val="0097070D"/>
    <w:rsid w:val="00974008"/>
    <w:rsid w:val="00974443"/>
    <w:rsid w:val="00974C85"/>
    <w:rsid w:val="00977FE3"/>
    <w:rsid w:val="00982C1A"/>
    <w:rsid w:val="00983BE3"/>
    <w:rsid w:val="00987AEC"/>
    <w:rsid w:val="00992332"/>
    <w:rsid w:val="009965FB"/>
    <w:rsid w:val="009A2140"/>
    <w:rsid w:val="009A4DDB"/>
    <w:rsid w:val="009A6B26"/>
    <w:rsid w:val="009A6CCD"/>
    <w:rsid w:val="009B5285"/>
    <w:rsid w:val="009B5F87"/>
    <w:rsid w:val="009B6CC0"/>
    <w:rsid w:val="009C0B87"/>
    <w:rsid w:val="009C56C2"/>
    <w:rsid w:val="009C6A63"/>
    <w:rsid w:val="009D02BA"/>
    <w:rsid w:val="009D7EF1"/>
    <w:rsid w:val="009E2CE1"/>
    <w:rsid w:val="009F0DD3"/>
    <w:rsid w:val="009F2DB4"/>
    <w:rsid w:val="009F71FE"/>
    <w:rsid w:val="00A021D0"/>
    <w:rsid w:val="00A0264B"/>
    <w:rsid w:val="00A04473"/>
    <w:rsid w:val="00A26626"/>
    <w:rsid w:val="00A26908"/>
    <w:rsid w:val="00A270FB"/>
    <w:rsid w:val="00A3092C"/>
    <w:rsid w:val="00A35101"/>
    <w:rsid w:val="00A35583"/>
    <w:rsid w:val="00A375AE"/>
    <w:rsid w:val="00A37785"/>
    <w:rsid w:val="00A4190F"/>
    <w:rsid w:val="00A4191B"/>
    <w:rsid w:val="00A41FDD"/>
    <w:rsid w:val="00A454FB"/>
    <w:rsid w:val="00A4698D"/>
    <w:rsid w:val="00A46BC0"/>
    <w:rsid w:val="00A47AD0"/>
    <w:rsid w:val="00A7074D"/>
    <w:rsid w:val="00A70D06"/>
    <w:rsid w:val="00A82157"/>
    <w:rsid w:val="00A869BA"/>
    <w:rsid w:val="00A90D5D"/>
    <w:rsid w:val="00A90DE9"/>
    <w:rsid w:val="00A9242E"/>
    <w:rsid w:val="00A96F8C"/>
    <w:rsid w:val="00AA0AB5"/>
    <w:rsid w:val="00AB1798"/>
    <w:rsid w:val="00AB6287"/>
    <w:rsid w:val="00AB7124"/>
    <w:rsid w:val="00AC021C"/>
    <w:rsid w:val="00AC3973"/>
    <w:rsid w:val="00AC481F"/>
    <w:rsid w:val="00AC6895"/>
    <w:rsid w:val="00AD2187"/>
    <w:rsid w:val="00AD467E"/>
    <w:rsid w:val="00AD6680"/>
    <w:rsid w:val="00AE0E75"/>
    <w:rsid w:val="00AE2D02"/>
    <w:rsid w:val="00AF4619"/>
    <w:rsid w:val="00AF72A6"/>
    <w:rsid w:val="00AF7B22"/>
    <w:rsid w:val="00B006AA"/>
    <w:rsid w:val="00B00BFF"/>
    <w:rsid w:val="00B06B29"/>
    <w:rsid w:val="00B12112"/>
    <w:rsid w:val="00B155D3"/>
    <w:rsid w:val="00B156F5"/>
    <w:rsid w:val="00B159F3"/>
    <w:rsid w:val="00B200D4"/>
    <w:rsid w:val="00B23309"/>
    <w:rsid w:val="00B265D3"/>
    <w:rsid w:val="00B32E5B"/>
    <w:rsid w:val="00B35C52"/>
    <w:rsid w:val="00B40A61"/>
    <w:rsid w:val="00B41CB6"/>
    <w:rsid w:val="00B42306"/>
    <w:rsid w:val="00B42738"/>
    <w:rsid w:val="00B42912"/>
    <w:rsid w:val="00B43D3B"/>
    <w:rsid w:val="00B51BA6"/>
    <w:rsid w:val="00B52078"/>
    <w:rsid w:val="00B55E8C"/>
    <w:rsid w:val="00B57BC9"/>
    <w:rsid w:val="00B57F41"/>
    <w:rsid w:val="00B60546"/>
    <w:rsid w:val="00B61622"/>
    <w:rsid w:val="00B62473"/>
    <w:rsid w:val="00B63F5E"/>
    <w:rsid w:val="00B676D3"/>
    <w:rsid w:val="00B7111E"/>
    <w:rsid w:val="00B722B9"/>
    <w:rsid w:val="00B727D4"/>
    <w:rsid w:val="00B72BE2"/>
    <w:rsid w:val="00B76EB5"/>
    <w:rsid w:val="00B83052"/>
    <w:rsid w:val="00B8684F"/>
    <w:rsid w:val="00B87DE5"/>
    <w:rsid w:val="00B91616"/>
    <w:rsid w:val="00B91F4A"/>
    <w:rsid w:val="00B94F92"/>
    <w:rsid w:val="00BB00C3"/>
    <w:rsid w:val="00BB0A45"/>
    <w:rsid w:val="00BB2F65"/>
    <w:rsid w:val="00BB4758"/>
    <w:rsid w:val="00BC407D"/>
    <w:rsid w:val="00BC510D"/>
    <w:rsid w:val="00BC7077"/>
    <w:rsid w:val="00BD0C88"/>
    <w:rsid w:val="00BD1077"/>
    <w:rsid w:val="00BD2F97"/>
    <w:rsid w:val="00BD403B"/>
    <w:rsid w:val="00BE3436"/>
    <w:rsid w:val="00BF027B"/>
    <w:rsid w:val="00BF12DE"/>
    <w:rsid w:val="00BF6E7C"/>
    <w:rsid w:val="00BF75F9"/>
    <w:rsid w:val="00C1160D"/>
    <w:rsid w:val="00C12ABE"/>
    <w:rsid w:val="00C13245"/>
    <w:rsid w:val="00C21CE7"/>
    <w:rsid w:val="00C26020"/>
    <w:rsid w:val="00C33AB2"/>
    <w:rsid w:val="00C36824"/>
    <w:rsid w:val="00C4575C"/>
    <w:rsid w:val="00C51271"/>
    <w:rsid w:val="00C529B7"/>
    <w:rsid w:val="00C56941"/>
    <w:rsid w:val="00C617F8"/>
    <w:rsid w:val="00C679E6"/>
    <w:rsid w:val="00C67FDD"/>
    <w:rsid w:val="00C72642"/>
    <w:rsid w:val="00C81B0D"/>
    <w:rsid w:val="00C85CF0"/>
    <w:rsid w:val="00C90FFA"/>
    <w:rsid w:val="00CA2E80"/>
    <w:rsid w:val="00CA4964"/>
    <w:rsid w:val="00CA7A60"/>
    <w:rsid w:val="00CB08F3"/>
    <w:rsid w:val="00CB440D"/>
    <w:rsid w:val="00CB458A"/>
    <w:rsid w:val="00CC3237"/>
    <w:rsid w:val="00CC73F0"/>
    <w:rsid w:val="00CD0D8A"/>
    <w:rsid w:val="00CD1162"/>
    <w:rsid w:val="00CD2C9C"/>
    <w:rsid w:val="00CD764A"/>
    <w:rsid w:val="00CE5E94"/>
    <w:rsid w:val="00CF1CF1"/>
    <w:rsid w:val="00CF28ED"/>
    <w:rsid w:val="00CF2A2E"/>
    <w:rsid w:val="00CF341E"/>
    <w:rsid w:val="00CF36A1"/>
    <w:rsid w:val="00CF660E"/>
    <w:rsid w:val="00D028B4"/>
    <w:rsid w:val="00D05C39"/>
    <w:rsid w:val="00D20C22"/>
    <w:rsid w:val="00D22AB1"/>
    <w:rsid w:val="00D25CD7"/>
    <w:rsid w:val="00D2769E"/>
    <w:rsid w:val="00D3775D"/>
    <w:rsid w:val="00D37AAB"/>
    <w:rsid w:val="00D37CAC"/>
    <w:rsid w:val="00D4115F"/>
    <w:rsid w:val="00D46204"/>
    <w:rsid w:val="00D62A1F"/>
    <w:rsid w:val="00D702AB"/>
    <w:rsid w:val="00D728E7"/>
    <w:rsid w:val="00D74697"/>
    <w:rsid w:val="00D7596C"/>
    <w:rsid w:val="00D75E00"/>
    <w:rsid w:val="00D76549"/>
    <w:rsid w:val="00D81243"/>
    <w:rsid w:val="00D86424"/>
    <w:rsid w:val="00D957DD"/>
    <w:rsid w:val="00D96FD7"/>
    <w:rsid w:val="00DA22DF"/>
    <w:rsid w:val="00DA4883"/>
    <w:rsid w:val="00DB3C20"/>
    <w:rsid w:val="00DC5FA6"/>
    <w:rsid w:val="00DD075B"/>
    <w:rsid w:val="00DD39B8"/>
    <w:rsid w:val="00DD7733"/>
    <w:rsid w:val="00DF21FF"/>
    <w:rsid w:val="00DF365E"/>
    <w:rsid w:val="00DF5D5B"/>
    <w:rsid w:val="00DF7CEF"/>
    <w:rsid w:val="00E0473F"/>
    <w:rsid w:val="00E13568"/>
    <w:rsid w:val="00E145A5"/>
    <w:rsid w:val="00E21E4C"/>
    <w:rsid w:val="00E221C2"/>
    <w:rsid w:val="00E23B8E"/>
    <w:rsid w:val="00E301F8"/>
    <w:rsid w:val="00E31B7B"/>
    <w:rsid w:val="00E324DB"/>
    <w:rsid w:val="00E332A9"/>
    <w:rsid w:val="00E36F58"/>
    <w:rsid w:val="00E541F0"/>
    <w:rsid w:val="00E56071"/>
    <w:rsid w:val="00E6124D"/>
    <w:rsid w:val="00E63B0F"/>
    <w:rsid w:val="00E64371"/>
    <w:rsid w:val="00E67ECA"/>
    <w:rsid w:val="00E93F8D"/>
    <w:rsid w:val="00E954C0"/>
    <w:rsid w:val="00E968CD"/>
    <w:rsid w:val="00EA2F6B"/>
    <w:rsid w:val="00EA34A9"/>
    <w:rsid w:val="00EB1673"/>
    <w:rsid w:val="00EB2573"/>
    <w:rsid w:val="00EB7424"/>
    <w:rsid w:val="00EC21D9"/>
    <w:rsid w:val="00EC3CD0"/>
    <w:rsid w:val="00EC3FE5"/>
    <w:rsid w:val="00EC50B6"/>
    <w:rsid w:val="00EC7376"/>
    <w:rsid w:val="00ED7730"/>
    <w:rsid w:val="00EE5A0F"/>
    <w:rsid w:val="00EE7DAF"/>
    <w:rsid w:val="00EF05F1"/>
    <w:rsid w:val="00EF0FE3"/>
    <w:rsid w:val="00EF144A"/>
    <w:rsid w:val="00EF2266"/>
    <w:rsid w:val="00EF2588"/>
    <w:rsid w:val="00EF318C"/>
    <w:rsid w:val="00EF3F99"/>
    <w:rsid w:val="00EF4132"/>
    <w:rsid w:val="00EF49AD"/>
    <w:rsid w:val="00EF60AC"/>
    <w:rsid w:val="00EF7BD4"/>
    <w:rsid w:val="00F01125"/>
    <w:rsid w:val="00F013C6"/>
    <w:rsid w:val="00F01F6A"/>
    <w:rsid w:val="00F05E02"/>
    <w:rsid w:val="00F1431A"/>
    <w:rsid w:val="00F14B5B"/>
    <w:rsid w:val="00F2140C"/>
    <w:rsid w:val="00F22F45"/>
    <w:rsid w:val="00F2331E"/>
    <w:rsid w:val="00F24751"/>
    <w:rsid w:val="00F25E81"/>
    <w:rsid w:val="00F30356"/>
    <w:rsid w:val="00F325BC"/>
    <w:rsid w:val="00F32EA6"/>
    <w:rsid w:val="00F33B76"/>
    <w:rsid w:val="00F33DE2"/>
    <w:rsid w:val="00F413F5"/>
    <w:rsid w:val="00F44713"/>
    <w:rsid w:val="00F44B20"/>
    <w:rsid w:val="00F46219"/>
    <w:rsid w:val="00F474E9"/>
    <w:rsid w:val="00F503A4"/>
    <w:rsid w:val="00F50B6B"/>
    <w:rsid w:val="00F51BA2"/>
    <w:rsid w:val="00F530A2"/>
    <w:rsid w:val="00F56B26"/>
    <w:rsid w:val="00F601D7"/>
    <w:rsid w:val="00F6086C"/>
    <w:rsid w:val="00F61F89"/>
    <w:rsid w:val="00F6765F"/>
    <w:rsid w:val="00F67EAC"/>
    <w:rsid w:val="00F73818"/>
    <w:rsid w:val="00F74CFC"/>
    <w:rsid w:val="00F75550"/>
    <w:rsid w:val="00F76FA2"/>
    <w:rsid w:val="00F826C1"/>
    <w:rsid w:val="00F8304B"/>
    <w:rsid w:val="00F87B6C"/>
    <w:rsid w:val="00F93C90"/>
    <w:rsid w:val="00F95A14"/>
    <w:rsid w:val="00FA5D04"/>
    <w:rsid w:val="00FA653E"/>
    <w:rsid w:val="00FA7D95"/>
    <w:rsid w:val="00FB1382"/>
    <w:rsid w:val="00FB1C19"/>
    <w:rsid w:val="00FB2201"/>
    <w:rsid w:val="00FB2DC0"/>
    <w:rsid w:val="00FC1F05"/>
    <w:rsid w:val="00FC333A"/>
    <w:rsid w:val="00FC438D"/>
    <w:rsid w:val="00FD189B"/>
    <w:rsid w:val="00FD4C22"/>
    <w:rsid w:val="00FE0176"/>
    <w:rsid w:val="00FE1AA1"/>
    <w:rsid w:val="00FE1E66"/>
    <w:rsid w:val="00FE248C"/>
    <w:rsid w:val="00FE323D"/>
    <w:rsid w:val="00FE6916"/>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73695"/>
  <w15:docId w15:val="{065E458C-C533-4DCF-81D4-A5F58274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469637791">
      <w:bodyDiv w:val="1"/>
      <w:marLeft w:val="0"/>
      <w:marRight w:val="0"/>
      <w:marTop w:val="0"/>
      <w:marBottom w:val="0"/>
      <w:divBdr>
        <w:top w:val="none" w:sz="0" w:space="0" w:color="auto"/>
        <w:left w:val="none" w:sz="0" w:space="0" w:color="auto"/>
        <w:bottom w:val="none" w:sz="0" w:space="0" w:color="auto"/>
        <w:right w:val="none" w:sz="0" w:space="0" w:color="auto"/>
      </w:divBdr>
      <w:divsChild>
        <w:div w:id="678966809">
          <w:marLeft w:val="0"/>
          <w:marRight w:val="0"/>
          <w:marTop w:val="0"/>
          <w:marBottom w:val="0"/>
          <w:divBdr>
            <w:top w:val="none" w:sz="0" w:space="0" w:color="auto"/>
            <w:left w:val="none" w:sz="0" w:space="0" w:color="auto"/>
            <w:bottom w:val="none" w:sz="0" w:space="0" w:color="auto"/>
            <w:right w:val="none" w:sz="0" w:space="0" w:color="auto"/>
          </w:divBdr>
          <w:divsChild>
            <w:div w:id="473762354">
              <w:marLeft w:val="0"/>
              <w:marRight w:val="0"/>
              <w:marTop w:val="0"/>
              <w:marBottom w:val="0"/>
              <w:divBdr>
                <w:top w:val="none" w:sz="0" w:space="0" w:color="auto"/>
                <w:left w:val="none" w:sz="0" w:space="0" w:color="auto"/>
                <w:bottom w:val="none" w:sz="0" w:space="0" w:color="auto"/>
                <w:right w:val="none" w:sz="0" w:space="0" w:color="auto"/>
              </w:divBdr>
            </w:div>
          </w:divsChild>
        </w:div>
        <w:div w:id="977033749">
          <w:marLeft w:val="0"/>
          <w:marRight w:val="0"/>
          <w:marTop w:val="0"/>
          <w:marBottom w:val="0"/>
          <w:divBdr>
            <w:top w:val="none" w:sz="0" w:space="0" w:color="auto"/>
            <w:left w:val="none" w:sz="0" w:space="0" w:color="auto"/>
            <w:bottom w:val="none" w:sz="0" w:space="0" w:color="auto"/>
            <w:right w:val="none" w:sz="0" w:space="0" w:color="auto"/>
          </w:divBdr>
          <w:divsChild>
            <w:div w:id="2005277499">
              <w:marLeft w:val="0"/>
              <w:marRight w:val="0"/>
              <w:marTop w:val="0"/>
              <w:marBottom w:val="0"/>
              <w:divBdr>
                <w:top w:val="none" w:sz="0" w:space="0" w:color="auto"/>
                <w:left w:val="none" w:sz="0" w:space="0" w:color="auto"/>
                <w:bottom w:val="none" w:sz="0" w:space="0" w:color="auto"/>
                <w:right w:val="none" w:sz="0" w:space="0" w:color="auto"/>
              </w:divBdr>
            </w:div>
          </w:divsChild>
        </w:div>
        <w:div w:id="1497844301">
          <w:marLeft w:val="0"/>
          <w:marRight w:val="0"/>
          <w:marTop w:val="0"/>
          <w:marBottom w:val="0"/>
          <w:divBdr>
            <w:top w:val="none" w:sz="0" w:space="0" w:color="auto"/>
            <w:left w:val="none" w:sz="0" w:space="0" w:color="auto"/>
            <w:bottom w:val="none" w:sz="0" w:space="0" w:color="auto"/>
            <w:right w:val="none" w:sz="0" w:space="0" w:color="auto"/>
          </w:divBdr>
          <w:divsChild>
            <w:div w:id="217329856">
              <w:marLeft w:val="0"/>
              <w:marRight w:val="0"/>
              <w:marTop w:val="0"/>
              <w:marBottom w:val="0"/>
              <w:divBdr>
                <w:top w:val="none" w:sz="0" w:space="0" w:color="auto"/>
                <w:left w:val="none" w:sz="0" w:space="0" w:color="auto"/>
                <w:bottom w:val="none" w:sz="0" w:space="0" w:color="auto"/>
                <w:right w:val="none" w:sz="0" w:space="0" w:color="auto"/>
              </w:divBdr>
            </w:div>
          </w:divsChild>
        </w:div>
        <w:div w:id="225380522">
          <w:marLeft w:val="0"/>
          <w:marRight w:val="0"/>
          <w:marTop w:val="0"/>
          <w:marBottom w:val="0"/>
          <w:divBdr>
            <w:top w:val="none" w:sz="0" w:space="0" w:color="auto"/>
            <w:left w:val="none" w:sz="0" w:space="0" w:color="auto"/>
            <w:bottom w:val="none" w:sz="0" w:space="0" w:color="auto"/>
            <w:right w:val="none" w:sz="0" w:space="0" w:color="auto"/>
          </w:divBdr>
          <w:divsChild>
            <w:div w:id="119763819">
              <w:marLeft w:val="0"/>
              <w:marRight w:val="0"/>
              <w:marTop w:val="0"/>
              <w:marBottom w:val="0"/>
              <w:divBdr>
                <w:top w:val="none" w:sz="0" w:space="0" w:color="auto"/>
                <w:left w:val="none" w:sz="0" w:space="0" w:color="auto"/>
                <w:bottom w:val="none" w:sz="0" w:space="0" w:color="auto"/>
                <w:right w:val="none" w:sz="0" w:space="0" w:color="auto"/>
              </w:divBdr>
            </w:div>
          </w:divsChild>
        </w:div>
        <w:div w:id="1924603615">
          <w:marLeft w:val="0"/>
          <w:marRight w:val="0"/>
          <w:marTop w:val="0"/>
          <w:marBottom w:val="0"/>
          <w:divBdr>
            <w:top w:val="none" w:sz="0" w:space="0" w:color="auto"/>
            <w:left w:val="none" w:sz="0" w:space="0" w:color="auto"/>
            <w:bottom w:val="none" w:sz="0" w:space="0" w:color="auto"/>
            <w:right w:val="none" w:sz="0" w:space="0" w:color="auto"/>
          </w:divBdr>
          <w:divsChild>
            <w:div w:id="1689595627">
              <w:marLeft w:val="0"/>
              <w:marRight w:val="0"/>
              <w:marTop w:val="0"/>
              <w:marBottom w:val="0"/>
              <w:divBdr>
                <w:top w:val="none" w:sz="0" w:space="0" w:color="auto"/>
                <w:left w:val="none" w:sz="0" w:space="0" w:color="auto"/>
                <w:bottom w:val="none" w:sz="0" w:space="0" w:color="auto"/>
                <w:right w:val="none" w:sz="0" w:space="0" w:color="auto"/>
              </w:divBdr>
            </w:div>
          </w:divsChild>
        </w:div>
        <w:div w:id="2067099489">
          <w:marLeft w:val="0"/>
          <w:marRight w:val="0"/>
          <w:marTop w:val="0"/>
          <w:marBottom w:val="0"/>
          <w:divBdr>
            <w:top w:val="none" w:sz="0" w:space="0" w:color="auto"/>
            <w:left w:val="none" w:sz="0" w:space="0" w:color="auto"/>
            <w:bottom w:val="none" w:sz="0" w:space="0" w:color="auto"/>
            <w:right w:val="none" w:sz="0" w:space="0" w:color="auto"/>
          </w:divBdr>
          <w:divsChild>
            <w:div w:id="1525903634">
              <w:marLeft w:val="0"/>
              <w:marRight w:val="0"/>
              <w:marTop w:val="0"/>
              <w:marBottom w:val="0"/>
              <w:divBdr>
                <w:top w:val="none" w:sz="0" w:space="0" w:color="auto"/>
                <w:left w:val="none" w:sz="0" w:space="0" w:color="auto"/>
                <w:bottom w:val="none" w:sz="0" w:space="0" w:color="auto"/>
                <w:right w:val="none" w:sz="0" w:space="0" w:color="auto"/>
              </w:divBdr>
            </w:div>
          </w:divsChild>
        </w:div>
        <w:div w:id="1354384582">
          <w:marLeft w:val="0"/>
          <w:marRight w:val="0"/>
          <w:marTop w:val="0"/>
          <w:marBottom w:val="0"/>
          <w:divBdr>
            <w:top w:val="none" w:sz="0" w:space="0" w:color="auto"/>
            <w:left w:val="none" w:sz="0" w:space="0" w:color="auto"/>
            <w:bottom w:val="none" w:sz="0" w:space="0" w:color="auto"/>
            <w:right w:val="none" w:sz="0" w:space="0" w:color="auto"/>
          </w:divBdr>
          <w:divsChild>
            <w:div w:id="2136021846">
              <w:marLeft w:val="0"/>
              <w:marRight w:val="0"/>
              <w:marTop w:val="0"/>
              <w:marBottom w:val="0"/>
              <w:divBdr>
                <w:top w:val="none" w:sz="0" w:space="0" w:color="auto"/>
                <w:left w:val="none" w:sz="0" w:space="0" w:color="auto"/>
                <w:bottom w:val="none" w:sz="0" w:space="0" w:color="auto"/>
                <w:right w:val="none" w:sz="0" w:space="0" w:color="auto"/>
              </w:divBdr>
            </w:div>
          </w:divsChild>
        </w:div>
        <w:div w:id="1282608433">
          <w:marLeft w:val="0"/>
          <w:marRight w:val="0"/>
          <w:marTop w:val="0"/>
          <w:marBottom w:val="0"/>
          <w:divBdr>
            <w:top w:val="none" w:sz="0" w:space="0" w:color="auto"/>
            <w:left w:val="none" w:sz="0" w:space="0" w:color="auto"/>
            <w:bottom w:val="none" w:sz="0" w:space="0" w:color="auto"/>
            <w:right w:val="none" w:sz="0" w:space="0" w:color="auto"/>
          </w:divBdr>
          <w:divsChild>
            <w:div w:id="1964536458">
              <w:marLeft w:val="0"/>
              <w:marRight w:val="0"/>
              <w:marTop w:val="0"/>
              <w:marBottom w:val="0"/>
              <w:divBdr>
                <w:top w:val="none" w:sz="0" w:space="0" w:color="auto"/>
                <w:left w:val="none" w:sz="0" w:space="0" w:color="auto"/>
                <w:bottom w:val="none" w:sz="0" w:space="0" w:color="auto"/>
                <w:right w:val="none" w:sz="0" w:space="0" w:color="auto"/>
              </w:divBdr>
            </w:div>
          </w:divsChild>
        </w:div>
        <w:div w:id="346566345">
          <w:marLeft w:val="0"/>
          <w:marRight w:val="0"/>
          <w:marTop w:val="0"/>
          <w:marBottom w:val="0"/>
          <w:divBdr>
            <w:top w:val="none" w:sz="0" w:space="0" w:color="auto"/>
            <w:left w:val="none" w:sz="0" w:space="0" w:color="auto"/>
            <w:bottom w:val="none" w:sz="0" w:space="0" w:color="auto"/>
            <w:right w:val="none" w:sz="0" w:space="0" w:color="auto"/>
          </w:divBdr>
          <w:divsChild>
            <w:div w:id="214045661">
              <w:marLeft w:val="0"/>
              <w:marRight w:val="0"/>
              <w:marTop w:val="0"/>
              <w:marBottom w:val="0"/>
              <w:divBdr>
                <w:top w:val="none" w:sz="0" w:space="0" w:color="auto"/>
                <w:left w:val="none" w:sz="0" w:space="0" w:color="auto"/>
                <w:bottom w:val="none" w:sz="0" w:space="0" w:color="auto"/>
                <w:right w:val="none" w:sz="0" w:space="0" w:color="auto"/>
              </w:divBdr>
            </w:div>
          </w:divsChild>
        </w:div>
        <w:div w:id="2081322158">
          <w:marLeft w:val="0"/>
          <w:marRight w:val="0"/>
          <w:marTop w:val="0"/>
          <w:marBottom w:val="0"/>
          <w:divBdr>
            <w:top w:val="none" w:sz="0" w:space="0" w:color="auto"/>
            <w:left w:val="none" w:sz="0" w:space="0" w:color="auto"/>
            <w:bottom w:val="none" w:sz="0" w:space="0" w:color="auto"/>
            <w:right w:val="none" w:sz="0" w:space="0" w:color="auto"/>
          </w:divBdr>
          <w:divsChild>
            <w:div w:id="1978367462">
              <w:marLeft w:val="0"/>
              <w:marRight w:val="0"/>
              <w:marTop w:val="0"/>
              <w:marBottom w:val="0"/>
              <w:divBdr>
                <w:top w:val="none" w:sz="0" w:space="0" w:color="auto"/>
                <w:left w:val="none" w:sz="0" w:space="0" w:color="auto"/>
                <w:bottom w:val="none" w:sz="0" w:space="0" w:color="auto"/>
                <w:right w:val="none" w:sz="0" w:space="0" w:color="auto"/>
              </w:divBdr>
            </w:div>
          </w:divsChild>
        </w:div>
        <w:div w:id="182280863">
          <w:marLeft w:val="0"/>
          <w:marRight w:val="0"/>
          <w:marTop w:val="0"/>
          <w:marBottom w:val="0"/>
          <w:divBdr>
            <w:top w:val="none" w:sz="0" w:space="0" w:color="auto"/>
            <w:left w:val="none" w:sz="0" w:space="0" w:color="auto"/>
            <w:bottom w:val="none" w:sz="0" w:space="0" w:color="auto"/>
            <w:right w:val="none" w:sz="0" w:space="0" w:color="auto"/>
          </w:divBdr>
          <w:divsChild>
            <w:div w:id="1708068715">
              <w:marLeft w:val="0"/>
              <w:marRight w:val="0"/>
              <w:marTop w:val="0"/>
              <w:marBottom w:val="0"/>
              <w:divBdr>
                <w:top w:val="none" w:sz="0" w:space="0" w:color="auto"/>
                <w:left w:val="none" w:sz="0" w:space="0" w:color="auto"/>
                <w:bottom w:val="none" w:sz="0" w:space="0" w:color="auto"/>
                <w:right w:val="none" w:sz="0" w:space="0" w:color="auto"/>
              </w:divBdr>
            </w:div>
          </w:divsChild>
        </w:div>
        <w:div w:id="602150285">
          <w:marLeft w:val="0"/>
          <w:marRight w:val="0"/>
          <w:marTop w:val="0"/>
          <w:marBottom w:val="0"/>
          <w:divBdr>
            <w:top w:val="none" w:sz="0" w:space="0" w:color="auto"/>
            <w:left w:val="none" w:sz="0" w:space="0" w:color="auto"/>
            <w:bottom w:val="none" w:sz="0" w:space="0" w:color="auto"/>
            <w:right w:val="none" w:sz="0" w:space="0" w:color="auto"/>
          </w:divBdr>
          <w:divsChild>
            <w:div w:id="345795059">
              <w:marLeft w:val="0"/>
              <w:marRight w:val="0"/>
              <w:marTop w:val="0"/>
              <w:marBottom w:val="0"/>
              <w:divBdr>
                <w:top w:val="none" w:sz="0" w:space="0" w:color="auto"/>
                <w:left w:val="none" w:sz="0" w:space="0" w:color="auto"/>
                <w:bottom w:val="none" w:sz="0" w:space="0" w:color="auto"/>
                <w:right w:val="none" w:sz="0" w:space="0" w:color="auto"/>
              </w:divBdr>
            </w:div>
          </w:divsChild>
        </w:div>
        <w:div w:id="1514804142">
          <w:marLeft w:val="0"/>
          <w:marRight w:val="0"/>
          <w:marTop w:val="0"/>
          <w:marBottom w:val="0"/>
          <w:divBdr>
            <w:top w:val="none" w:sz="0" w:space="0" w:color="auto"/>
            <w:left w:val="none" w:sz="0" w:space="0" w:color="auto"/>
            <w:bottom w:val="none" w:sz="0" w:space="0" w:color="auto"/>
            <w:right w:val="none" w:sz="0" w:space="0" w:color="auto"/>
          </w:divBdr>
          <w:divsChild>
            <w:div w:id="1126044569">
              <w:marLeft w:val="0"/>
              <w:marRight w:val="0"/>
              <w:marTop w:val="0"/>
              <w:marBottom w:val="0"/>
              <w:divBdr>
                <w:top w:val="none" w:sz="0" w:space="0" w:color="auto"/>
                <w:left w:val="none" w:sz="0" w:space="0" w:color="auto"/>
                <w:bottom w:val="none" w:sz="0" w:space="0" w:color="auto"/>
                <w:right w:val="none" w:sz="0" w:space="0" w:color="auto"/>
              </w:divBdr>
            </w:div>
          </w:divsChild>
        </w:div>
        <w:div w:id="111899669">
          <w:marLeft w:val="0"/>
          <w:marRight w:val="0"/>
          <w:marTop w:val="0"/>
          <w:marBottom w:val="0"/>
          <w:divBdr>
            <w:top w:val="none" w:sz="0" w:space="0" w:color="auto"/>
            <w:left w:val="none" w:sz="0" w:space="0" w:color="auto"/>
            <w:bottom w:val="none" w:sz="0" w:space="0" w:color="auto"/>
            <w:right w:val="none" w:sz="0" w:space="0" w:color="auto"/>
          </w:divBdr>
          <w:divsChild>
            <w:div w:id="1975285251">
              <w:marLeft w:val="0"/>
              <w:marRight w:val="0"/>
              <w:marTop w:val="0"/>
              <w:marBottom w:val="0"/>
              <w:divBdr>
                <w:top w:val="none" w:sz="0" w:space="0" w:color="auto"/>
                <w:left w:val="none" w:sz="0" w:space="0" w:color="auto"/>
                <w:bottom w:val="none" w:sz="0" w:space="0" w:color="auto"/>
                <w:right w:val="none" w:sz="0" w:space="0" w:color="auto"/>
              </w:divBdr>
            </w:div>
          </w:divsChild>
        </w:div>
        <w:div w:id="738360082">
          <w:marLeft w:val="0"/>
          <w:marRight w:val="0"/>
          <w:marTop w:val="0"/>
          <w:marBottom w:val="0"/>
          <w:divBdr>
            <w:top w:val="none" w:sz="0" w:space="0" w:color="auto"/>
            <w:left w:val="none" w:sz="0" w:space="0" w:color="auto"/>
            <w:bottom w:val="none" w:sz="0" w:space="0" w:color="auto"/>
            <w:right w:val="none" w:sz="0" w:space="0" w:color="auto"/>
          </w:divBdr>
          <w:divsChild>
            <w:div w:id="1777944312">
              <w:marLeft w:val="0"/>
              <w:marRight w:val="0"/>
              <w:marTop w:val="0"/>
              <w:marBottom w:val="0"/>
              <w:divBdr>
                <w:top w:val="none" w:sz="0" w:space="0" w:color="auto"/>
                <w:left w:val="none" w:sz="0" w:space="0" w:color="auto"/>
                <w:bottom w:val="none" w:sz="0" w:space="0" w:color="auto"/>
                <w:right w:val="none" w:sz="0" w:space="0" w:color="auto"/>
              </w:divBdr>
            </w:div>
          </w:divsChild>
        </w:div>
        <w:div w:id="1358581469">
          <w:marLeft w:val="0"/>
          <w:marRight w:val="0"/>
          <w:marTop w:val="0"/>
          <w:marBottom w:val="0"/>
          <w:divBdr>
            <w:top w:val="none" w:sz="0" w:space="0" w:color="auto"/>
            <w:left w:val="none" w:sz="0" w:space="0" w:color="auto"/>
            <w:bottom w:val="none" w:sz="0" w:space="0" w:color="auto"/>
            <w:right w:val="none" w:sz="0" w:space="0" w:color="auto"/>
          </w:divBdr>
          <w:divsChild>
            <w:div w:id="2143843438">
              <w:marLeft w:val="0"/>
              <w:marRight w:val="0"/>
              <w:marTop w:val="0"/>
              <w:marBottom w:val="0"/>
              <w:divBdr>
                <w:top w:val="none" w:sz="0" w:space="0" w:color="auto"/>
                <w:left w:val="none" w:sz="0" w:space="0" w:color="auto"/>
                <w:bottom w:val="none" w:sz="0" w:space="0" w:color="auto"/>
                <w:right w:val="none" w:sz="0" w:space="0" w:color="auto"/>
              </w:divBdr>
            </w:div>
          </w:divsChild>
        </w:div>
        <w:div w:id="262346121">
          <w:marLeft w:val="0"/>
          <w:marRight w:val="0"/>
          <w:marTop w:val="0"/>
          <w:marBottom w:val="0"/>
          <w:divBdr>
            <w:top w:val="none" w:sz="0" w:space="0" w:color="auto"/>
            <w:left w:val="none" w:sz="0" w:space="0" w:color="auto"/>
            <w:bottom w:val="none" w:sz="0" w:space="0" w:color="auto"/>
            <w:right w:val="none" w:sz="0" w:space="0" w:color="auto"/>
          </w:divBdr>
          <w:divsChild>
            <w:div w:id="139662918">
              <w:marLeft w:val="0"/>
              <w:marRight w:val="0"/>
              <w:marTop w:val="0"/>
              <w:marBottom w:val="0"/>
              <w:divBdr>
                <w:top w:val="none" w:sz="0" w:space="0" w:color="auto"/>
                <w:left w:val="none" w:sz="0" w:space="0" w:color="auto"/>
                <w:bottom w:val="none" w:sz="0" w:space="0" w:color="auto"/>
                <w:right w:val="none" w:sz="0" w:space="0" w:color="auto"/>
              </w:divBdr>
            </w:div>
          </w:divsChild>
        </w:div>
        <w:div w:id="31923852">
          <w:marLeft w:val="0"/>
          <w:marRight w:val="0"/>
          <w:marTop w:val="0"/>
          <w:marBottom w:val="0"/>
          <w:divBdr>
            <w:top w:val="none" w:sz="0" w:space="0" w:color="auto"/>
            <w:left w:val="none" w:sz="0" w:space="0" w:color="auto"/>
            <w:bottom w:val="none" w:sz="0" w:space="0" w:color="auto"/>
            <w:right w:val="none" w:sz="0" w:space="0" w:color="auto"/>
          </w:divBdr>
          <w:divsChild>
            <w:div w:id="9767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762802024">
      <w:bodyDiv w:val="1"/>
      <w:marLeft w:val="0"/>
      <w:marRight w:val="0"/>
      <w:marTop w:val="0"/>
      <w:marBottom w:val="0"/>
      <w:divBdr>
        <w:top w:val="none" w:sz="0" w:space="0" w:color="auto"/>
        <w:left w:val="none" w:sz="0" w:space="0" w:color="auto"/>
        <w:bottom w:val="none" w:sz="0" w:space="0" w:color="auto"/>
        <w:right w:val="none" w:sz="0" w:space="0" w:color="auto"/>
      </w:divBdr>
      <w:divsChild>
        <w:div w:id="1857304138">
          <w:marLeft w:val="0"/>
          <w:marRight w:val="0"/>
          <w:marTop w:val="0"/>
          <w:marBottom w:val="0"/>
          <w:divBdr>
            <w:top w:val="none" w:sz="0" w:space="0" w:color="auto"/>
            <w:left w:val="none" w:sz="0" w:space="0" w:color="auto"/>
            <w:bottom w:val="none" w:sz="0" w:space="0" w:color="auto"/>
            <w:right w:val="none" w:sz="0" w:space="0" w:color="auto"/>
          </w:divBdr>
        </w:div>
        <w:div w:id="1069116855">
          <w:marLeft w:val="0"/>
          <w:marRight w:val="0"/>
          <w:marTop w:val="0"/>
          <w:marBottom w:val="0"/>
          <w:divBdr>
            <w:top w:val="none" w:sz="0" w:space="0" w:color="auto"/>
            <w:left w:val="none" w:sz="0" w:space="0" w:color="auto"/>
            <w:bottom w:val="none" w:sz="0" w:space="0" w:color="auto"/>
            <w:right w:val="none" w:sz="0" w:space="0" w:color="auto"/>
          </w:divBdr>
        </w:div>
        <w:div w:id="2063287321">
          <w:marLeft w:val="0"/>
          <w:marRight w:val="0"/>
          <w:marTop w:val="0"/>
          <w:marBottom w:val="0"/>
          <w:divBdr>
            <w:top w:val="none" w:sz="0" w:space="0" w:color="auto"/>
            <w:left w:val="none" w:sz="0" w:space="0" w:color="auto"/>
            <w:bottom w:val="none" w:sz="0" w:space="0" w:color="auto"/>
            <w:right w:val="none" w:sz="0" w:space="0" w:color="auto"/>
          </w:divBdr>
          <w:divsChild>
            <w:div w:id="445080640">
              <w:marLeft w:val="0"/>
              <w:marRight w:val="0"/>
              <w:marTop w:val="0"/>
              <w:marBottom w:val="0"/>
              <w:divBdr>
                <w:top w:val="none" w:sz="0" w:space="0" w:color="auto"/>
                <w:left w:val="none" w:sz="0" w:space="0" w:color="auto"/>
                <w:bottom w:val="none" w:sz="0" w:space="0" w:color="auto"/>
                <w:right w:val="none" w:sz="0" w:space="0" w:color="auto"/>
              </w:divBdr>
            </w:div>
            <w:div w:id="411858653">
              <w:marLeft w:val="0"/>
              <w:marRight w:val="0"/>
              <w:marTop w:val="0"/>
              <w:marBottom w:val="0"/>
              <w:divBdr>
                <w:top w:val="none" w:sz="0" w:space="0" w:color="auto"/>
                <w:left w:val="none" w:sz="0" w:space="0" w:color="auto"/>
                <w:bottom w:val="none" w:sz="0" w:space="0" w:color="auto"/>
                <w:right w:val="none" w:sz="0" w:space="0" w:color="auto"/>
              </w:divBdr>
            </w:div>
            <w:div w:id="726949654">
              <w:marLeft w:val="0"/>
              <w:marRight w:val="0"/>
              <w:marTop w:val="0"/>
              <w:marBottom w:val="0"/>
              <w:divBdr>
                <w:top w:val="none" w:sz="0" w:space="0" w:color="auto"/>
                <w:left w:val="none" w:sz="0" w:space="0" w:color="auto"/>
                <w:bottom w:val="none" w:sz="0" w:space="0" w:color="auto"/>
                <w:right w:val="none" w:sz="0" w:space="0" w:color="auto"/>
              </w:divBdr>
            </w:div>
            <w:div w:id="1741176712">
              <w:marLeft w:val="0"/>
              <w:marRight w:val="0"/>
              <w:marTop w:val="0"/>
              <w:marBottom w:val="0"/>
              <w:divBdr>
                <w:top w:val="none" w:sz="0" w:space="0" w:color="auto"/>
                <w:left w:val="none" w:sz="0" w:space="0" w:color="auto"/>
                <w:bottom w:val="none" w:sz="0" w:space="0" w:color="auto"/>
                <w:right w:val="none" w:sz="0" w:space="0" w:color="auto"/>
              </w:divBdr>
            </w:div>
            <w:div w:id="920060855">
              <w:marLeft w:val="0"/>
              <w:marRight w:val="0"/>
              <w:marTop w:val="0"/>
              <w:marBottom w:val="0"/>
              <w:divBdr>
                <w:top w:val="none" w:sz="0" w:space="0" w:color="auto"/>
                <w:left w:val="none" w:sz="0" w:space="0" w:color="auto"/>
                <w:bottom w:val="none" w:sz="0" w:space="0" w:color="auto"/>
                <w:right w:val="none" w:sz="0" w:space="0" w:color="auto"/>
              </w:divBdr>
            </w:div>
          </w:divsChild>
        </w:div>
        <w:div w:id="1005668333">
          <w:marLeft w:val="0"/>
          <w:marRight w:val="0"/>
          <w:marTop w:val="0"/>
          <w:marBottom w:val="0"/>
          <w:divBdr>
            <w:top w:val="none" w:sz="0" w:space="0" w:color="auto"/>
            <w:left w:val="none" w:sz="0" w:space="0" w:color="auto"/>
            <w:bottom w:val="none" w:sz="0" w:space="0" w:color="auto"/>
            <w:right w:val="none" w:sz="0" w:space="0" w:color="auto"/>
          </w:divBdr>
          <w:divsChild>
            <w:div w:id="1690990072">
              <w:marLeft w:val="0"/>
              <w:marRight w:val="0"/>
              <w:marTop w:val="0"/>
              <w:marBottom w:val="0"/>
              <w:divBdr>
                <w:top w:val="none" w:sz="0" w:space="0" w:color="auto"/>
                <w:left w:val="none" w:sz="0" w:space="0" w:color="auto"/>
                <w:bottom w:val="none" w:sz="0" w:space="0" w:color="auto"/>
                <w:right w:val="none" w:sz="0" w:space="0" w:color="auto"/>
              </w:divBdr>
            </w:div>
            <w:div w:id="176038911">
              <w:marLeft w:val="0"/>
              <w:marRight w:val="0"/>
              <w:marTop w:val="0"/>
              <w:marBottom w:val="0"/>
              <w:divBdr>
                <w:top w:val="none" w:sz="0" w:space="0" w:color="auto"/>
                <w:left w:val="none" w:sz="0" w:space="0" w:color="auto"/>
                <w:bottom w:val="none" w:sz="0" w:space="0" w:color="auto"/>
                <w:right w:val="none" w:sz="0" w:space="0" w:color="auto"/>
              </w:divBdr>
            </w:div>
            <w:div w:id="1028868019">
              <w:marLeft w:val="0"/>
              <w:marRight w:val="0"/>
              <w:marTop w:val="0"/>
              <w:marBottom w:val="0"/>
              <w:divBdr>
                <w:top w:val="none" w:sz="0" w:space="0" w:color="auto"/>
                <w:left w:val="none" w:sz="0" w:space="0" w:color="auto"/>
                <w:bottom w:val="none" w:sz="0" w:space="0" w:color="auto"/>
                <w:right w:val="none" w:sz="0" w:space="0" w:color="auto"/>
              </w:divBdr>
            </w:div>
            <w:div w:id="890993612">
              <w:marLeft w:val="0"/>
              <w:marRight w:val="0"/>
              <w:marTop w:val="0"/>
              <w:marBottom w:val="0"/>
              <w:divBdr>
                <w:top w:val="none" w:sz="0" w:space="0" w:color="auto"/>
                <w:left w:val="none" w:sz="0" w:space="0" w:color="auto"/>
                <w:bottom w:val="none" w:sz="0" w:space="0" w:color="auto"/>
                <w:right w:val="none" w:sz="0" w:space="0" w:color="auto"/>
              </w:divBdr>
            </w:div>
            <w:div w:id="441071071">
              <w:marLeft w:val="0"/>
              <w:marRight w:val="0"/>
              <w:marTop w:val="0"/>
              <w:marBottom w:val="0"/>
              <w:divBdr>
                <w:top w:val="none" w:sz="0" w:space="0" w:color="auto"/>
                <w:left w:val="none" w:sz="0" w:space="0" w:color="auto"/>
                <w:bottom w:val="none" w:sz="0" w:space="0" w:color="auto"/>
                <w:right w:val="none" w:sz="0" w:space="0" w:color="auto"/>
              </w:divBdr>
            </w:div>
          </w:divsChild>
        </w:div>
        <w:div w:id="289212856">
          <w:marLeft w:val="0"/>
          <w:marRight w:val="0"/>
          <w:marTop w:val="0"/>
          <w:marBottom w:val="0"/>
          <w:divBdr>
            <w:top w:val="none" w:sz="0" w:space="0" w:color="auto"/>
            <w:left w:val="none" w:sz="0" w:space="0" w:color="auto"/>
            <w:bottom w:val="none" w:sz="0" w:space="0" w:color="auto"/>
            <w:right w:val="none" w:sz="0" w:space="0" w:color="auto"/>
          </w:divBdr>
          <w:divsChild>
            <w:div w:id="488985078">
              <w:marLeft w:val="0"/>
              <w:marRight w:val="0"/>
              <w:marTop w:val="0"/>
              <w:marBottom w:val="0"/>
              <w:divBdr>
                <w:top w:val="none" w:sz="0" w:space="0" w:color="auto"/>
                <w:left w:val="none" w:sz="0" w:space="0" w:color="auto"/>
                <w:bottom w:val="none" w:sz="0" w:space="0" w:color="auto"/>
                <w:right w:val="none" w:sz="0" w:space="0" w:color="auto"/>
              </w:divBdr>
            </w:div>
            <w:div w:id="1917742586">
              <w:marLeft w:val="0"/>
              <w:marRight w:val="0"/>
              <w:marTop w:val="0"/>
              <w:marBottom w:val="0"/>
              <w:divBdr>
                <w:top w:val="none" w:sz="0" w:space="0" w:color="auto"/>
                <w:left w:val="none" w:sz="0" w:space="0" w:color="auto"/>
                <w:bottom w:val="none" w:sz="0" w:space="0" w:color="auto"/>
                <w:right w:val="none" w:sz="0" w:space="0" w:color="auto"/>
              </w:divBdr>
            </w:div>
            <w:div w:id="1200700408">
              <w:marLeft w:val="0"/>
              <w:marRight w:val="0"/>
              <w:marTop w:val="0"/>
              <w:marBottom w:val="0"/>
              <w:divBdr>
                <w:top w:val="none" w:sz="0" w:space="0" w:color="auto"/>
                <w:left w:val="none" w:sz="0" w:space="0" w:color="auto"/>
                <w:bottom w:val="none" w:sz="0" w:space="0" w:color="auto"/>
                <w:right w:val="none" w:sz="0" w:space="0" w:color="auto"/>
              </w:divBdr>
            </w:div>
            <w:div w:id="1162966350">
              <w:marLeft w:val="0"/>
              <w:marRight w:val="0"/>
              <w:marTop w:val="0"/>
              <w:marBottom w:val="0"/>
              <w:divBdr>
                <w:top w:val="none" w:sz="0" w:space="0" w:color="auto"/>
                <w:left w:val="none" w:sz="0" w:space="0" w:color="auto"/>
                <w:bottom w:val="none" w:sz="0" w:space="0" w:color="auto"/>
                <w:right w:val="none" w:sz="0" w:space="0" w:color="auto"/>
              </w:divBdr>
            </w:div>
            <w:div w:id="1525438380">
              <w:marLeft w:val="0"/>
              <w:marRight w:val="0"/>
              <w:marTop w:val="0"/>
              <w:marBottom w:val="0"/>
              <w:divBdr>
                <w:top w:val="none" w:sz="0" w:space="0" w:color="auto"/>
                <w:left w:val="none" w:sz="0" w:space="0" w:color="auto"/>
                <w:bottom w:val="none" w:sz="0" w:space="0" w:color="auto"/>
                <w:right w:val="none" w:sz="0" w:space="0" w:color="auto"/>
              </w:divBdr>
            </w:div>
          </w:divsChild>
        </w:div>
        <w:div w:id="226112301">
          <w:marLeft w:val="0"/>
          <w:marRight w:val="0"/>
          <w:marTop w:val="0"/>
          <w:marBottom w:val="0"/>
          <w:divBdr>
            <w:top w:val="none" w:sz="0" w:space="0" w:color="auto"/>
            <w:left w:val="none" w:sz="0" w:space="0" w:color="auto"/>
            <w:bottom w:val="none" w:sz="0" w:space="0" w:color="auto"/>
            <w:right w:val="none" w:sz="0" w:space="0" w:color="auto"/>
          </w:divBdr>
          <w:divsChild>
            <w:div w:id="1034773187">
              <w:marLeft w:val="0"/>
              <w:marRight w:val="0"/>
              <w:marTop w:val="0"/>
              <w:marBottom w:val="0"/>
              <w:divBdr>
                <w:top w:val="none" w:sz="0" w:space="0" w:color="auto"/>
                <w:left w:val="none" w:sz="0" w:space="0" w:color="auto"/>
                <w:bottom w:val="none" w:sz="0" w:space="0" w:color="auto"/>
                <w:right w:val="none" w:sz="0" w:space="0" w:color="auto"/>
              </w:divBdr>
            </w:div>
            <w:div w:id="136456424">
              <w:marLeft w:val="0"/>
              <w:marRight w:val="0"/>
              <w:marTop w:val="0"/>
              <w:marBottom w:val="0"/>
              <w:divBdr>
                <w:top w:val="none" w:sz="0" w:space="0" w:color="auto"/>
                <w:left w:val="none" w:sz="0" w:space="0" w:color="auto"/>
                <w:bottom w:val="none" w:sz="0" w:space="0" w:color="auto"/>
                <w:right w:val="none" w:sz="0" w:space="0" w:color="auto"/>
              </w:divBdr>
            </w:div>
            <w:div w:id="1504322019">
              <w:marLeft w:val="0"/>
              <w:marRight w:val="0"/>
              <w:marTop w:val="0"/>
              <w:marBottom w:val="0"/>
              <w:divBdr>
                <w:top w:val="none" w:sz="0" w:space="0" w:color="auto"/>
                <w:left w:val="none" w:sz="0" w:space="0" w:color="auto"/>
                <w:bottom w:val="none" w:sz="0" w:space="0" w:color="auto"/>
                <w:right w:val="none" w:sz="0" w:space="0" w:color="auto"/>
              </w:divBdr>
            </w:div>
            <w:div w:id="460659135">
              <w:marLeft w:val="0"/>
              <w:marRight w:val="0"/>
              <w:marTop w:val="0"/>
              <w:marBottom w:val="0"/>
              <w:divBdr>
                <w:top w:val="none" w:sz="0" w:space="0" w:color="auto"/>
                <w:left w:val="none" w:sz="0" w:space="0" w:color="auto"/>
                <w:bottom w:val="none" w:sz="0" w:space="0" w:color="auto"/>
                <w:right w:val="none" w:sz="0" w:space="0" w:color="auto"/>
              </w:divBdr>
            </w:div>
            <w:div w:id="117186673">
              <w:marLeft w:val="0"/>
              <w:marRight w:val="0"/>
              <w:marTop w:val="0"/>
              <w:marBottom w:val="0"/>
              <w:divBdr>
                <w:top w:val="none" w:sz="0" w:space="0" w:color="auto"/>
                <w:left w:val="none" w:sz="0" w:space="0" w:color="auto"/>
                <w:bottom w:val="none" w:sz="0" w:space="0" w:color="auto"/>
                <w:right w:val="none" w:sz="0" w:space="0" w:color="auto"/>
              </w:divBdr>
            </w:div>
          </w:divsChild>
        </w:div>
        <w:div w:id="1750154666">
          <w:marLeft w:val="0"/>
          <w:marRight w:val="0"/>
          <w:marTop w:val="0"/>
          <w:marBottom w:val="0"/>
          <w:divBdr>
            <w:top w:val="none" w:sz="0" w:space="0" w:color="auto"/>
            <w:left w:val="none" w:sz="0" w:space="0" w:color="auto"/>
            <w:bottom w:val="none" w:sz="0" w:space="0" w:color="auto"/>
            <w:right w:val="none" w:sz="0" w:space="0" w:color="auto"/>
          </w:divBdr>
          <w:divsChild>
            <w:div w:id="1652951366">
              <w:marLeft w:val="0"/>
              <w:marRight w:val="0"/>
              <w:marTop w:val="0"/>
              <w:marBottom w:val="0"/>
              <w:divBdr>
                <w:top w:val="none" w:sz="0" w:space="0" w:color="auto"/>
                <w:left w:val="none" w:sz="0" w:space="0" w:color="auto"/>
                <w:bottom w:val="none" w:sz="0" w:space="0" w:color="auto"/>
                <w:right w:val="none" w:sz="0" w:space="0" w:color="auto"/>
              </w:divBdr>
            </w:div>
            <w:div w:id="1528135142">
              <w:marLeft w:val="0"/>
              <w:marRight w:val="0"/>
              <w:marTop w:val="0"/>
              <w:marBottom w:val="0"/>
              <w:divBdr>
                <w:top w:val="none" w:sz="0" w:space="0" w:color="auto"/>
                <w:left w:val="none" w:sz="0" w:space="0" w:color="auto"/>
                <w:bottom w:val="none" w:sz="0" w:space="0" w:color="auto"/>
                <w:right w:val="none" w:sz="0" w:space="0" w:color="auto"/>
              </w:divBdr>
            </w:div>
            <w:div w:id="35394664">
              <w:marLeft w:val="0"/>
              <w:marRight w:val="0"/>
              <w:marTop w:val="0"/>
              <w:marBottom w:val="0"/>
              <w:divBdr>
                <w:top w:val="none" w:sz="0" w:space="0" w:color="auto"/>
                <w:left w:val="none" w:sz="0" w:space="0" w:color="auto"/>
                <w:bottom w:val="none" w:sz="0" w:space="0" w:color="auto"/>
                <w:right w:val="none" w:sz="0" w:space="0" w:color="auto"/>
              </w:divBdr>
            </w:div>
            <w:div w:id="783772478">
              <w:marLeft w:val="0"/>
              <w:marRight w:val="0"/>
              <w:marTop w:val="0"/>
              <w:marBottom w:val="0"/>
              <w:divBdr>
                <w:top w:val="none" w:sz="0" w:space="0" w:color="auto"/>
                <w:left w:val="none" w:sz="0" w:space="0" w:color="auto"/>
                <w:bottom w:val="none" w:sz="0" w:space="0" w:color="auto"/>
                <w:right w:val="none" w:sz="0" w:space="0" w:color="auto"/>
              </w:divBdr>
            </w:div>
            <w:div w:id="1481656768">
              <w:marLeft w:val="0"/>
              <w:marRight w:val="0"/>
              <w:marTop w:val="0"/>
              <w:marBottom w:val="0"/>
              <w:divBdr>
                <w:top w:val="none" w:sz="0" w:space="0" w:color="auto"/>
                <w:left w:val="none" w:sz="0" w:space="0" w:color="auto"/>
                <w:bottom w:val="none" w:sz="0" w:space="0" w:color="auto"/>
                <w:right w:val="none" w:sz="0" w:space="0" w:color="auto"/>
              </w:divBdr>
            </w:div>
          </w:divsChild>
        </w:div>
        <w:div w:id="1174611856">
          <w:marLeft w:val="0"/>
          <w:marRight w:val="0"/>
          <w:marTop w:val="0"/>
          <w:marBottom w:val="0"/>
          <w:divBdr>
            <w:top w:val="none" w:sz="0" w:space="0" w:color="auto"/>
            <w:left w:val="none" w:sz="0" w:space="0" w:color="auto"/>
            <w:bottom w:val="none" w:sz="0" w:space="0" w:color="auto"/>
            <w:right w:val="none" w:sz="0" w:space="0" w:color="auto"/>
          </w:divBdr>
        </w:div>
        <w:div w:id="1158303366">
          <w:marLeft w:val="0"/>
          <w:marRight w:val="0"/>
          <w:marTop w:val="0"/>
          <w:marBottom w:val="0"/>
          <w:divBdr>
            <w:top w:val="none" w:sz="0" w:space="0" w:color="auto"/>
            <w:left w:val="none" w:sz="0" w:space="0" w:color="auto"/>
            <w:bottom w:val="none" w:sz="0" w:space="0" w:color="auto"/>
            <w:right w:val="none" w:sz="0" w:space="0" w:color="auto"/>
          </w:divBdr>
        </w:div>
        <w:div w:id="339897234">
          <w:marLeft w:val="0"/>
          <w:marRight w:val="0"/>
          <w:marTop w:val="0"/>
          <w:marBottom w:val="0"/>
          <w:divBdr>
            <w:top w:val="none" w:sz="0" w:space="0" w:color="auto"/>
            <w:left w:val="none" w:sz="0" w:space="0" w:color="auto"/>
            <w:bottom w:val="none" w:sz="0" w:space="0" w:color="auto"/>
            <w:right w:val="none" w:sz="0" w:space="0" w:color="auto"/>
          </w:divBdr>
        </w:div>
        <w:div w:id="1970431017">
          <w:marLeft w:val="0"/>
          <w:marRight w:val="0"/>
          <w:marTop w:val="0"/>
          <w:marBottom w:val="0"/>
          <w:divBdr>
            <w:top w:val="none" w:sz="0" w:space="0" w:color="auto"/>
            <w:left w:val="none" w:sz="0" w:space="0" w:color="auto"/>
            <w:bottom w:val="none" w:sz="0" w:space="0" w:color="auto"/>
            <w:right w:val="none" w:sz="0" w:space="0" w:color="auto"/>
          </w:divBdr>
        </w:div>
        <w:div w:id="763961849">
          <w:marLeft w:val="0"/>
          <w:marRight w:val="0"/>
          <w:marTop w:val="0"/>
          <w:marBottom w:val="0"/>
          <w:divBdr>
            <w:top w:val="none" w:sz="0" w:space="0" w:color="auto"/>
            <w:left w:val="none" w:sz="0" w:space="0" w:color="auto"/>
            <w:bottom w:val="none" w:sz="0" w:space="0" w:color="auto"/>
            <w:right w:val="none" w:sz="0" w:space="0" w:color="auto"/>
          </w:divBdr>
        </w:div>
        <w:div w:id="2058158136">
          <w:marLeft w:val="0"/>
          <w:marRight w:val="0"/>
          <w:marTop w:val="0"/>
          <w:marBottom w:val="0"/>
          <w:divBdr>
            <w:top w:val="none" w:sz="0" w:space="0" w:color="auto"/>
            <w:left w:val="none" w:sz="0" w:space="0" w:color="auto"/>
            <w:bottom w:val="none" w:sz="0" w:space="0" w:color="auto"/>
            <w:right w:val="none" w:sz="0" w:space="0" w:color="auto"/>
          </w:divBdr>
          <w:divsChild>
            <w:div w:id="195776577">
              <w:marLeft w:val="0"/>
              <w:marRight w:val="0"/>
              <w:marTop w:val="0"/>
              <w:marBottom w:val="0"/>
              <w:divBdr>
                <w:top w:val="none" w:sz="0" w:space="0" w:color="auto"/>
                <w:left w:val="none" w:sz="0" w:space="0" w:color="auto"/>
                <w:bottom w:val="none" w:sz="0" w:space="0" w:color="auto"/>
                <w:right w:val="none" w:sz="0" w:space="0" w:color="auto"/>
              </w:divBdr>
            </w:div>
            <w:div w:id="1775860207">
              <w:marLeft w:val="0"/>
              <w:marRight w:val="0"/>
              <w:marTop w:val="0"/>
              <w:marBottom w:val="0"/>
              <w:divBdr>
                <w:top w:val="none" w:sz="0" w:space="0" w:color="auto"/>
                <w:left w:val="none" w:sz="0" w:space="0" w:color="auto"/>
                <w:bottom w:val="none" w:sz="0" w:space="0" w:color="auto"/>
                <w:right w:val="none" w:sz="0" w:space="0" w:color="auto"/>
              </w:divBdr>
            </w:div>
            <w:div w:id="1785804021">
              <w:marLeft w:val="0"/>
              <w:marRight w:val="0"/>
              <w:marTop w:val="0"/>
              <w:marBottom w:val="0"/>
              <w:divBdr>
                <w:top w:val="none" w:sz="0" w:space="0" w:color="auto"/>
                <w:left w:val="none" w:sz="0" w:space="0" w:color="auto"/>
                <w:bottom w:val="none" w:sz="0" w:space="0" w:color="auto"/>
                <w:right w:val="none" w:sz="0" w:space="0" w:color="auto"/>
              </w:divBdr>
            </w:div>
            <w:div w:id="625351190">
              <w:marLeft w:val="0"/>
              <w:marRight w:val="0"/>
              <w:marTop w:val="0"/>
              <w:marBottom w:val="0"/>
              <w:divBdr>
                <w:top w:val="none" w:sz="0" w:space="0" w:color="auto"/>
                <w:left w:val="none" w:sz="0" w:space="0" w:color="auto"/>
                <w:bottom w:val="none" w:sz="0" w:space="0" w:color="auto"/>
                <w:right w:val="none" w:sz="0" w:space="0" w:color="auto"/>
              </w:divBdr>
            </w:div>
            <w:div w:id="1020280729">
              <w:marLeft w:val="0"/>
              <w:marRight w:val="0"/>
              <w:marTop w:val="0"/>
              <w:marBottom w:val="0"/>
              <w:divBdr>
                <w:top w:val="none" w:sz="0" w:space="0" w:color="auto"/>
                <w:left w:val="none" w:sz="0" w:space="0" w:color="auto"/>
                <w:bottom w:val="none" w:sz="0" w:space="0" w:color="auto"/>
                <w:right w:val="none" w:sz="0" w:space="0" w:color="auto"/>
              </w:divBdr>
            </w:div>
          </w:divsChild>
        </w:div>
        <w:div w:id="2028405127">
          <w:marLeft w:val="0"/>
          <w:marRight w:val="0"/>
          <w:marTop w:val="0"/>
          <w:marBottom w:val="0"/>
          <w:divBdr>
            <w:top w:val="none" w:sz="0" w:space="0" w:color="auto"/>
            <w:left w:val="none" w:sz="0" w:space="0" w:color="auto"/>
            <w:bottom w:val="none" w:sz="0" w:space="0" w:color="auto"/>
            <w:right w:val="none" w:sz="0" w:space="0" w:color="auto"/>
          </w:divBdr>
        </w:div>
        <w:div w:id="556282746">
          <w:marLeft w:val="0"/>
          <w:marRight w:val="0"/>
          <w:marTop w:val="0"/>
          <w:marBottom w:val="0"/>
          <w:divBdr>
            <w:top w:val="none" w:sz="0" w:space="0" w:color="auto"/>
            <w:left w:val="none" w:sz="0" w:space="0" w:color="auto"/>
            <w:bottom w:val="none" w:sz="0" w:space="0" w:color="auto"/>
            <w:right w:val="none" w:sz="0" w:space="0" w:color="auto"/>
          </w:divBdr>
        </w:div>
        <w:div w:id="1999073824">
          <w:marLeft w:val="0"/>
          <w:marRight w:val="0"/>
          <w:marTop w:val="0"/>
          <w:marBottom w:val="0"/>
          <w:divBdr>
            <w:top w:val="none" w:sz="0" w:space="0" w:color="auto"/>
            <w:left w:val="none" w:sz="0" w:space="0" w:color="auto"/>
            <w:bottom w:val="none" w:sz="0" w:space="0" w:color="auto"/>
            <w:right w:val="none" w:sz="0" w:space="0" w:color="auto"/>
          </w:divBdr>
        </w:div>
        <w:div w:id="1619600575">
          <w:marLeft w:val="0"/>
          <w:marRight w:val="0"/>
          <w:marTop w:val="0"/>
          <w:marBottom w:val="0"/>
          <w:divBdr>
            <w:top w:val="none" w:sz="0" w:space="0" w:color="auto"/>
            <w:left w:val="none" w:sz="0" w:space="0" w:color="auto"/>
            <w:bottom w:val="none" w:sz="0" w:space="0" w:color="auto"/>
            <w:right w:val="none" w:sz="0" w:space="0" w:color="auto"/>
          </w:divBdr>
        </w:div>
        <w:div w:id="1023702417">
          <w:marLeft w:val="0"/>
          <w:marRight w:val="0"/>
          <w:marTop w:val="0"/>
          <w:marBottom w:val="0"/>
          <w:divBdr>
            <w:top w:val="none" w:sz="0" w:space="0" w:color="auto"/>
            <w:left w:val="none" w:sz="0" w:space="0" w:color="auto"/>
            <w:bottom w:val="none" w:sz="0" w:space="0" w:color="auto"/>
            <w:right w:val="none" w:sz="0" w:space="0" w:color="auto"/>
          </w:divBdr>
        </w:div>
        <w:div w:id="1837458384">
          <w:marLeft w:val="0"/>
          <w:marRight w:val="0"/>
          <w:marTop w:val="0"/>
          <w:marBottom w:val="0"/>
          <w:divBdr>
            <w:top w:val="none" w:sz="0" w:space="0" w:color="auto"/>
            <w:left w:val="none" w:sz="0" w:space="0" w:color="auto"/>
            <w:bottom w:val="none" w:sz="0" w:space="0" w:color="auto"/>
            <w:right w:val="none" w:sz="0" w:space="0" w:color="auto"/>
          </w:divBdr>
        </w:div>
        <w:div w:id="1265839960">
          <w:marLeft w:val="0"/>
          <w:marRight w:val="0"/>
          <w:marTop w:val="0"/>
          <w:marBottom w:val="0"/>
          <w:divBdr>
            <w:top w:val="none" w:sz="0" w:space="0" w:color="auto"/>
            <w:left w:val="none" w:sz="0" w:space="0" w:color="auto"/>
            <w:bottom w:val="none" w:sz="0" w:space="0" w:color="auto"/>
            <w:right w:val="none" w:sz="0" w:space="0" w:color="auto"/>
          </w:divBdr>
        </w:div>
        <w:div w:id="1248810432">
          <w:marLeft w:val="0"/>
          <w:marRight w:val="0"/>
          <w:marTop w:val="0"/>
          <w:marBottom w:val="0"/>
          <w:divBdr>
            <w:top w:val="none" w:sz="0" w:space="0" w:color="auto"/>
            <w:left w:val="none" w:sz="0" w:space="0" w:color="auto"/>
            <w:bottom w:val="none" w:sz="0" w:space="0" w:color="auto"/>
            <w:right w:val="none" w:sz="0" w:space="0" w:color="auto"/>
          </w:divBdr>
        </w:div>
        <w:div w:id="1462311701">
          <w:marLeft w:val="0"/>
          <w:marRight w:val="0"/>
          <w:marTop w:val="0"/>
          <w:marBottom w:val="0"/>
          <w:divBdr>
            <w:top w:val="none" w:sz="0" w:space="0" w:color="auto"/>
            <w:left w:val="none" w:sz="0" w:space="0" w:color="auto"/>
            <w:bottom w:val="none" w:sz="0" w:space="0" w:color="auto"/>
            <w:right w:val="none" w:sz="0" w:space="0" w:color="auto"/>
          </w:divBdr>
        </w:div>
        <w:div w:id="253393184">
          <w:marLeft w:val="0"/>
          <w:marRight w:val="0"/>
          <w:marTop w:val="0"/>
          <w:marBottom w:val="0"/>
          <w:divBdr>
            <w:top w:val="none" w:sz="0" w:space="0" w:color="auto"/>
            <w:left w:val="none" w:sz="0" w:space="0" w:color="auto"/>
            <w:bottom w:val="none" w:sz="0" w:space="0" w:color="auto"/>
            <w:right w:val="none" w:sz="0" w:space="0" w:color="auto"/>
          </w:divBdr>
        </w:div>
        <w:div w:id="2043313283">
          <w:marLeft w:val="0"/>
          <w:marRight w:val="0"/>
          <w:marTop w:val="0"/>
          <w:marBottom w:val="0"/>
          <w:divBdr>
            <w:top w:val="none" w:sz="0" w:space="0" w:color="auto"/>
            <w:left w:val="none" w:sz="0" w:space="0" w:color="auto"/>
            <w:bottom w:val="none" w:sz="0" w:space="0" w:color="auto"/>
            <w:right w:val="none" w:sz="0" w:space="0" w:color="auto"/>
          </w:divBdr>
          <w:divsChild>
            <w:div w:id="1790202949">
              <w:marLeft w:val="-75"/>
              <w:marRight w:val="0"/>
              <w:marTop w:val="30"/>
              <w:marBottom w:val="30"/>
              <w:divBdr>
                <w:top w:val="none" w:sz="0" w:space="0" w:color="auto"/>
                <w:left w:val="none" w:sz="0" w:space="0" w:color="auto"/>
                <w:bottom w:val="none" w:sz="0" w:space="0" w:color="auto"/>
                <w:right w:val="none" w:sz="0" w:space="0" w:color="auto"/>
              </w:divBdr>
              <w:divsChild>
                <w:div w:id="69468573">
                  <w:marLeft w:val="0"/>
                  <w:marRight w:val="0"/>
                  <w:marTop w:val="0"/>
                  <w:marBottom w:val="0"/>
                  <w:divBdr>
                    <w:top w:val="none" w:sz="0" w:space="0" w:color="auto"/>
                    <w:left w:val="none" w:sz="0" w:space="0" w:color="auto"/>
                    <w:bottom w:val="none" w:sz="0" w:space="0" w:color="auto"/>
                    <w:right w:val="none" w:sz="0" w:space="0" w:color="auto"/>
                  </w:divBdr>
                  <w:divsChild>
                    <w:div w:id="1896358554">
                      <w:marLeft w:val="0"/>
                      <w:marRight w:val="0"/>
                      <w:marTop w:val="0"/>
                      <w:marBottom w:val="0"/>
                      <w:divBdr>
                        <w:top w:val="none" w:sz="0" w:space="0" w:color="auto"/>
                        <w:left w:val="none" w:sz="0" w:space="0" w:color="auto"/>
                        <w:bottom w:val="none" w:sz="0" w:space="0" w:color="auto"/>
                        <w:right w:val="none" w:sz="0" w:space="0" w:color="auto"/>
                      </w:divBdr>
                    </w:div>
                  </w:divsChild>
                </w:div>
                <w:div w:id="659119013">
                  <w:marLeft w:val="0"/>
                  <w:marRight w:val="0"/>
                  <w:marTop w:val="0"/>
                  <w:marBottom w:val="0"/>
                  <w:divBdr>
                    <w:top w:val="none" w:sz="0" w:space="0" w:color="auto"/>
                    <w:left w:val="none" w:sz="0" w:space="0" w:color="auto"/>
                    <w:bottom w:val="none" w:sz="0" w:space="0" w:color="auto"/>
                    <w:right w:val="none" w:sz="0" w:space="0" w:color="auto"/>
                  </w:divBdr>
                  <w:divsChild>
                    <w:div w:id="2079553328">
                      <w:marLeft w:val="0"/>
                      <w:marRight w:val="0"/>
                      <w:marTop w:val="0"/>
                      <w:marBottom w:val="0"/>
                      <w:divBdr>
                        <w:top w:val="none" w:sz="0" w:space="0" w:color="auto"/>
                        <w:left w:val="none" w:sz="0" w:space="0" w:color="auto"/>
                        <w:bottom w:val="none" w:sz="0" w:space="0" w:color="auto"/>
                        <w:right w:val="none" w:sz="0" w:space="0" w:color="auto"/>
                      </w:divBdr>
                    </w:div>
                  </w:divsChild>
                </w:div>
                <w:div w:id="104429727">
                  <w:marLeft w:val="0"/>
                  <w:marRight w:val="0"/>
                  <w:marTop w:val="0"/>
                  <w:marBottom w:val="0"/>
                  <w:divBdr>
                    <w:top w:val="none" w:sz="0" w:space="0" w:color="auto"/>
                    <w:left w:val="none" w:sz="0" w:space="0" w:color="auto"/>
                    <w:bottom w:val="none" w:sz="0" w:space="0" w:color="auto"/>
                    <w:right w:val="none" w:sz="0" w:space="0" w:color="auto"/>
                  </w:divBdr>
                  <w:divsChild>
                    <w:div w:id="1737585112">
                      <w:marLeft w:val="0"/>
                      <w:marRight w:val="0"/>
                      <w:marTop w:val="0"/>
                      <w:marBottom w:val="0"/>
                      <w:divBdr>
                        <w:top w:val="none" w:sz="0" w:space="0" w:color="auto"/>
                        <w:left w:val="none" w:sz="0" w:space="0" w:color="auto"/>
                        <w:bottom w:val="none" w:sz="0" w:space="0" w:color="auto"/>
                        <w:right w:val="none" w:sz="0" w:space="0" w:color="auto"/>
                      </w:divBdr>
                    </w:div>
                  </w:divsChild>
                </w:div>
                <w:div w:id="1450319422">
                  <w:marLeft w:val="0"/>
                  <w:marRight w:val="0"/>
                  <w:marTop w:val="0"/>
                  <w:marBottom w:val="0"/>
                  <w:divBdr>
                    <w:top w:val="none" w:sz="0" w:space="0" w:color="auto"/>
                    <w:left w:val="none" w:sz="0" w:space="0" w:color="auto"/>
                    <w:bottom w:val="none" w:sz="0" w:space="0" w:color="auto"/>
                    <w:right w:val="none" w:sz="0" w:space="0" w:color="auto"/>
                  </w:divBdr>
                  <w:divsChild>
                    <w:div w:id="600527993">
                      <w:marLeft w:val="0"/>
                      <w:marRight w:val="0"/>
                      <w:marTop w:val="0"/>
                      <w:marBottom w:val="0"/>
                      <w:divBdr>
                        <w:top w:val="none" w:sz="0" w:space="0" w:color="auto"/>
                        <w:left w:val="none" w:sz="0" w:space="0" w:color="auto"/>
                        <w:bottom w:val="none" w:sz="0" w:space="0" w:color="auto"/>
                        <w:right w:val="none" w:sz="0" w:space="0" w:color="auto"/>
                      </w:divBdr>
                    </w:div>
                  </w:divsChild>
                </w:div>
                <w:div w:id="552813683">
                  <w:marLeft w:val="0"/>
                  <w:marRight w:val="0"/>
                  <w:marTop w:val="0"/>
                  <w:marBottom w:val="0"/>
                  <w:divBdr>
                    <w:top w:val="none" w:sz="0" w:space="0" w:color="auto"/>
                    <w:left w:val="none" w:sz="0" w:space="0" w:color="auto"/>
                    <w:bottom w:val="none" w:sz="0" w:space="0" w:color="auto"/>
                    <w:right w:val="none" w:sz="0" w:space="0" w:color="auto"/>
                  </w:divBdr>
                  <w:divsChild>
                    <w:div w:id="1155952005">
                      <w:marLeft w:val="0"/>
                      <w:marRight w:val="0"/>
                      <w:marTop w:val="0"/>
                      <w:marBottom w:val="0"/>
                      <w:divBdr>
                        <w:top w:val="none" w:sz="0" w:space="0" w:color="auto"/>
                        <w:left w:val="none" w:sz="0" w:space="0" w:color="auto"/>
                        <w:bottom w:val="none" w:sz="0" w:space="0" w:color="auto"/>
                        <w:right w:val="none" w:sz="0" w:space="0" w:color="auto"/>
                      </w:divBdr>
                    </w:div>
                  </w:divsChild>
                </w:div>
                <w:div w:id="486632070">
                  <w:marLeft w:val="0"/>
                  <w:marRight w:val="0"/>
                  <w:marTop w:val="0"/>
                  <w:marBottom w:val="0"/>
                  <w:divBdr>
                    <w:top w:val="none" w:sz="0" w:space="0" w:color="auto"/>
                    <w:left w:val="none" w:sz="0" w:space="0" w:color="auto"/>
                    <w:bottom w:val="none" w:sz="0" w:space="0" w:color="auto"/>
                    <w:right w:val="none" w:sz="0" w:space="0" w:color="auto"/>
                  </w:divBdr>
                  <w:divsChild>
                    <w:div w:id="100925988">
                      <w:marLeft w:val="0"/>
                      <w:marRight w:val="0"/>
                      <w:marTop w:val="0"/>
                      <w:marBottom w:val="0"/>
                      <w:divBdr>
                        <w:top w:val="none" w:sz="0" w:space="0" w:color="auto"/>
                        <w:left w:val="none" w:sz="0" w:space="0" w:color="auto"/>
                        <w:bottom w:val="none" w:sz="0" w:space="0" w:color="auto"/>
                        <w:right w:val="none" w:sz="0" w:space="0" w:color="auto"/>
                      </w:divBdr>
                    </w:div>
                  </w:divsChild>
                </w:div>
                <w:div w:id="1540051686">
                  <w:marLeft w:val="0"/>
                  <w:marRight w:val="0"/>
                  <w:marTop w:val="0"/>
                  <w:marBottom w:val="0"/>
                  <w:divBdr>
                    <w:top w:val="none" w:sz="0" w:space="0" w:color="auto"/>
                    <w:left w:val="none" w:sz="0" w:space="0" w:color="auto"/>
                    <w:bottom w:val="none" w:sz="0" w:space="0" w:color="auto"/>
                    <w:right w:val="none" w:sz="0" w:space="0" w:color="auto"/>
                  </w:divBdr>
                  <w:divsChild>
                    <w:div w:id="1197432300">
                      <w:marLeft w:val="0"/>
                      <w:marRight w:val="0"/>
                      <w:marTop w:val="0"/>
                      <w:marBottom w:val="0"/>
                      <w:divBdr>
                        <w:top w:val="none" w:sz="0" w:space="0" w:color="auto"/>
                        <w:left w:val="none" w:sz="0" w:space="0" w:color="auto"/>
                        <w:bottom w:val="none" w:sz="0" w:space="0" w:color="auto"/>
                        <w:right w:val="none" w:sz="0" w:space="0" w:color="auto"/>
                      </w:divBdr>
                    </w:div>
                  </w:divsChild>
                </w:div>
                <w:div w:id="1233929901">
                  <w:marLeft w:val="0"/>
                  <w:marRight w:val="0"/>
                  <w:marTop w:val="0"/>
                  <w:marBottom w:val="0"/>
                  <w:divBdr>
                    <w:top w:val="none" w:sz="0" w:space="0" w:color="auto"/>
                    <w:left w:val="none" w:sz="0" w:space="0" w:color="auto"/>
                    <w:bottom w:val="none" w:sz="0" w:space="0" w:color="auto"/>
                    <w:right w:val="none" w:sz="0" w:space="0" w:color="auto"/>
                  </w:divBdr>
                  <w:divsChild>
                    <w:div w:id="1352222960">
                      <w:marLeft w:val="0"/>
                      <w:marRight w:val="0"/>
                      <w:marTop w:val="0"/>
                      <w:marBottom w:val="0"/>
                      <w:divBdr>
                        <w:top w:val="none" w:sz="0" w:space="0" w:color="auto"/>
                        <w:left w:val="none" w:sz="0" w:space="0" w:color="auto"/>
                        <w:bottom w:val="none" w:sz="0" w:space="0" w:color="auto"/>
                        <w:right w:val="none" w:sz="0" w:space="0" w:color="auto"/>
                      </w:divBdr>
                    </w:div>
                  </w:divsChild>
                </w:div>
                <w:div w:id="545915477">
                  <w:marLeft w:val="0"/>
                  <w:marRight w:val="0"/>
                  <w:marTop w:val="0"/>
                  <w:marBottom w:val="0"/>
                  <w:divBdr>
                    <w:top w:val="none" w:sz="0" w:space="0" w:color="auto"/>
                    <w:left w:val="none" w:sz="0" w:space="0" w:color="auto"/>
                    <w:bottom w:val="none" w:sz="0" w:space="0" w:color="auto"/>
                    <w:right w:val="none" w:sz="0" w:space="0" w:color="auto"/>
                  </w:divBdr>
                  <w:divsChild>
                    <w:div w:id="131794465">
                      <w:marLeft w:val="0"/>
                      <w:marRight w:val="0"/>
                      <w:marTop w:val="0"/>
                      <w:marBottom w:val="0"/>
                      <w:divBdr>
                        <w:top w:val="none" w:sz="0" w:space="0" w:color="auto"/>
                        <w:left w:val="none" w:sz="0" w:space="0" w:color="auto"/>
                        <w:bottom w:val="none" w:sz="0" w:space="0" w:color="auto"/>
                        <w:right w:val="none" w:sz="0" w:space="0" w:color="auto"/>
                      </w:divBdr>
                    </w:div>
                  </w:divsChild>
                </w:div>
                <w:div w:id="1410033771">
                  <w:marLeft w:val="0"/>
                  <w:marRight w:val="0"/>
                  <w:marTop w:val="0"/>
                  <w:marBottom w:val="0"/>
                  <w:divBdr>
                    <w:top w:val="none" w:sz="0" w:space="0" w:color="auto"/>
                    <w:left w:val="none" w:sz="0" w:space="0" w:color="auto"/>
                    <w:bottom w:val="none" w:sz="0" w:space="0" w:color="auto"/>
                    <w:right w:val="none" w:sz="0" w:space="0" w:color="auto"/>
                  </w:divBdr>
                  <w:divsChild>
                    <w:div w:id="1890724002">
                      <w:marLeft w:val="0"/>
                      <w:marRight w:val="0"/>
                      <w:marTop w:val="0"/>
                      <w:marBottom w:val="0"/>
                      <w:divBdr>
                        <w:top w:val="none" w:sz="0" w:space="0" w:color="auto"/>
                        <w:left w:val="none" w:sz="0" w:space="0" w:color="auto"/>
                        <w:bottom w:val="none" w:sz="0" w:space="0" w:color="auto"/>
                        <w:right w:val="none" w:sz="0" w:space="0" w:color="auto"/>
                      </w:divBdr>
                    </w:div>
                  </w:divsChild>
                </w:div>
                <w:div w:id="573323673">
                  <w:marLeft w:val="0"/>
                  <w:marRight w:val="0"/>
                  <w:marTop w:val="0"/>
                  <w:marBottom w:val="0"/>
                  <w:divBdr>
                    <w:top w:val="none" w:sz="0" w:space="0" w:color="auto"/>
                    <w:left w:val="none" w:sz="0" w:space="0" w:color="auto"/>
                    <w:bottom w:val="none" w:sz="0" w:space="0" w:color="auto"/>
                    <w:right w:val="none" w:sz="0" w:space="0" w:color="auto"/>
                  </w:divBdr>
                  <w:divsChild>
                    <w:div w:id="1933662715">
                      <w:marLeft w:val="0"/>
                      <w:marRight w:val="0"/>
                      <w:marTop w:val="0"/>
                      <w:marBottom w:val="0"/>
                      <w:divBdr>
                        <w:top w:val="none" w:sz="0" w:space="0" w:color="auto"/>
                        <w:left w:val="none" w:sz="0" w:space="0" w:color="auto"/>
                        <w:bottom w:val="none" w:sz="0" w:space="0" w:color="auto"/>
                        <w:right w:val="none" w:sz="0" w:space="0" w:color="auto"/>
                      </w:divBdr>
                    </w:div>
                  </w:divsChild>
                </w:div>
                <w:div w:id="793870015">
                  <w:marLeft w:val="0"/>
                  <w:marRight w:val="0"/>
                  <w:marTop w:val="0"/>
                  <w:marBottom w:val="0"/>
                  <w:divBdr>
                    <w:top w:val="none" w:sz="0" w:space="0" w:color="auto"/>
                    <w:left w:val="none" w:sz="0" w:space="0" w:color="auto"/>
                    <w:bottom w:val="none" w:sz="0" w:space="0" w:color="auto"/>
                    <w:right w:val="none" w:sz="0" w:space="0" w:color="auto"/>
                  </w:divBdr>
                  <w:divsChild>
                    <w:div w:id="1209755223">
                      <w:marLeft w:val="0"/>
                      <w:marRight w:val="0"/>
                      <w:marTop w:val="0"/>
                      <w:marBottom w:val="0"/>
                      <w:divBdr>
                        <w:top w:val="none" w:sz="0" w:space="0" w:color="auto"/>
                        <w:left w:val="none" w:sz="0" w:space="0" w:color="auto"/>
                        <w:bottom w:val="none" w:sz="0" w:space="0" w:color="auto"/>
                        <w:right w:val="none" w:sz="0" w:space="0" w:color="auto"/>
                      </w:divBdr>
                    </w:div>
                  </w:divsChild>
                </w:div>
                <w:div w:id="503128823">
                  <w:marLeft w:val="0"/>
                  <w:marRight w:val="0"/>
                  <w:marTop w:val="0"/>
                  <w:marBottom w:val="0"/>
                  <w:divBdr>
                    <w:top w:val="none" w:sz="0" w:space="0" w:color="auto"/>
                    <w:left w:val="none" w:sz="0" w:space="0" w:color="auto"/>
                    <w:bottom w:val="none" w:sz="0" w:space="0" w:color="auto"/>
                    <w:right w:val="none" w:sz="0" w:space="0" w:color="auto"/>
                  </w:divBdr>
                  <w:divsChild>
                    <w:div w:id="523519845">
                      <w:marLeft w:val="0"/>
                      <w:marRight w:val="0"/>
                      <w:marTop w:val="0"/>
                      <w:marBottom w:val="0"/>
                      <w:divBdr>
                        <w:top w:val="none" w:sz="0" w:space="0" w:color="auto"/>
                        <w:left w:val="none" w:sz="0" w:space="0" w:color="auto"/>
                        <w:bottom w:val="none" w:sz="0" w:space="0" w:color="auto"/>
                        <w:right w:val="none" w:sz="0" w:space="0" w:color="auto"/>
                      </w:divBdr>
                    </w:div>
                  </w:divsChild>
                </w:div>
                <w:div w:id="2007898690">
                  <w:marLeft w:val="0"/>
                  <w:marRight w:val="0"/>
                  <w:marTop w:val="0"/>
                  <w:marBottom w:val="0"/>
                  <w:divBdr>
                    <w:top w:val="none" w:sz="0" w:space="0" w:color="auto"/>
                    <w:left w:val="none" w:sz="0" w:space="0" w:color="auto"/>
                    <w:bottom w:val="none" w:sz="0" w:space="0" w:color="auto"/>
                    <w:right w:val="none" w:sz="0" w:space="0" w:color="auto"/>
                  </w:divBdr>
                  <w:divsChild>
                    <w:div w:id="16108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24378">
          <w:marLeft w:val="0"/>
          <w:marRight w:val="0"/>
          <w:marTop w:val="0"/>
          <w:marBottom w:val="0"/>
          <w:divBdr>
            <w:top w:val="none" w:sz="0" w:space="0" w:color="auto"/>
            <w:left w:val="none" w:sz="0" w:space="0" w:color="auto"/>
            <w:bottom w:val="none" w:sz="0" w:space="0" w:color="auto"/>
            <w:right w:val="none" w:sz="0" w:space="0" w:color="auto"/>
          </w:divBdr>
          <w:divsChild>
            <w:div w:id="1327512028">
              <w:marLeft w:val="0"/>
              <w:marRight w:val="0"/>
              <w:marTop w:val="0"/>
              <w:marBottom w:val="0"/>
              <w:divBdr>
                <w:top w:val="none" w:sz="0" w:space="0" w:color="auto"/>
                <w:left w:val="none" w:sz="0" w:space="0" w:color="auto"/>
                <w:bottom w:val="none" w:sz="0" w:space="0" w:color="auto"/>
                <w:right w:val="none" w:sz="0" w:space="0" w:color="auto"/>
              </w:divBdr>
            </w:div>
            <w:div w:id="52581015">
              <w:marLeft w:val="0"/>
              <w:marRight w:val="0"/>
              <w:marTop w:val="0"/>
              <w:marBottom w:val="0"/>
              <w:divBdr>
                <w:top w:val="none" w:sz="0" w:space="0" w:color="auto"/>
                <w:left w:val="none" w:sz="0" w:space="0" w:color="auto"/>
                <w:bottom w:val="none" w:sz="0" w:space="0" w:color="auto"/>
                <w:right w:val="none" w:sz="0" w:space="0" w:color="auto"/>
              </w:divBdr>
            </w:div>
            <w:div w:id="204222812">
              <w:marLeft w:val="0"/>
              <w:marRight w:val="0"/>
              <w:marTop w:val="0"/>
              <w:marBottom w:val="0"/>
              <w:divBdr>
                <w:top w:val="none" w:sz="0" w:space="0" w:color="auto"/>
                <w:left w:val="none" w:sz="0" w:space="0" w:color="auto"/>
                <w:bottom w:val="none" w:sz="0" w:space="0" w:color="auto"/>
                <w:right w:val="none" w:sz="0" w:space="0" w:color="auto"/>
              </w:divBdr>
            </w:div>
            <w:div w:id="532037539">
              <w:marLeft w:val="0"/>
              <w:marRight w:val="0"/>
              <w:marTop w:val="0"/>
              <w:marBottom w:val="0"/>
              <w:divBdr>
                <w:top w:val="none" w:sz="0" w:space="0" w:color="auto"/>
                <w:left w:val="none" w:sz="0" w:space="0" w:color="auto"/>
                <w:bottom w:val="none" w:sz="0" w:space="0" w:color="auto"/>
                <w:right w:val="none" w:sz="0" w:space="0" w:color="auto"/>
              </w:divBdr>
            </w:div>
            <w:div w:id="1946111548">
              <w:marLeft w:val="0"/>
              <w:marRight w:val="0"/>
              <w:marTop w:val="0"/>
              <w:marBottom w:val="0"/>
              <w:divBdr>
                <w:top w:val="none" w:sz="0" w:space="0" w:color="auto"/>
                <w:left w:val="none" w:sz="0" w:space="0" w:color="auto"/>
                <w:bottom w:val="none" w:sz="0" w:space="0" w:color="auto"/>
                <w:right w:val="none" w:sz="0" w:space="0" w:color="auto"/>
              </w:divBdr>
            </w:div>
          </w:divsChild>
        </w:div>
        <w:div w:id="831987037">
          <w:marLeft w:val="0"/>
          <w:marRight w:val="0"/>
          <w:marTop w:val="0"/>
          <w:marBottom w:val="0"/>
          <w:divBdr>
            <w:top w:val="none" w:sz="0" w:space="0" w:color="auto"/>
            <w:left w:val="none" w:sz="0" w:space="0" w:color="auto"/>
            <w:bottom w:val="none" w:sz="0" w:space="0" w:color="auto"/>
            <w:right w:val="none" w:sz="0" w:space="0" w:color="auto"/>
          </w:divBdr>
          <w:divsChild>
            <w:div w:id="32387303">
              <w:marLeft w:val="0"/>
              <w:marRight w:val="0"/>
              <w:marTop w:val="0"/>
              <w:marBottom w:val="0"/>
              <w:divBdr>
                <w:top w:val="none" w:sz="0" w:space="0" w:color="auto"/>
                <w:left w:val="none" w:sz="0" w:space="0" w:color="auto"/>
                <w:bottom w:val="none" w:sz="0" w:space="0" w:color="auto"/>
                <w:right w:val="none" w:sz="0" w:space="0" w:color="auto"/>
              </w:divBdr>
            </w:div>
          </w:divsChild>
        </w:div>
        <w:div w:id="1360277251">
          <w:marLeft w:val="0"/>
          <w:marRight w:val="0"/>
          <w:marTop w:val="0"/>
          <w:marBottom w:val="0"/>
          <w:divBdr>
            <w:top w:val="none" w:sz="0" w:space="0" w:color="auto"/>
            <w:left w:val="none" w:sz="0" w:space="0" w:color="auto"/>
            <w:bottom w:val="none" w:sz="0" w:space="0" w:color="auto"/>
            <w:right w:val="none" w:sz="0" w:space="0" w:color="auto"/>
          </w:divBdr>
          <w:divsChild>
            <w:div w:id="1955478401">
              <w:marLeft w:val="0"/>
              <w:marRight w:val="0"/>
              <w:marTop w:val="0"/>
              <w:marBottom w:val="0"/>
              <w:divBdr>
                <w:top w:val="none" w:sz="0" w:space="0" w:color="auto"/>
                <w:left w:val="none" w:sz="0" w:space="0" w:color="auto"/>
                <w:bottom w:val="none" w:sz="0" w:space="0" w:color="auto"/>
                <w:right w:val="none" w:sz="0" w:space="0" w:color="auto"/>
              </w:divBdr>
            </w:div>
            <w:div w:id="1684742878">
              <w:marLeft w:val="0"/>
              <w:marRight w:val="0"/>
              <w:marTop w:val="0"/>
              <w:marBottom w:val="0"/>
              <w:divBdr>
                <w:top w:val="none" w:sz="0" w:space="0" w:color="auto"/>
                <w:left w:val="none" w:sz="0" w:space="0" w:color="auto"/>
                <w:bottom w:val="none" w:sz="0" w:space="0" w:color="auto"/>
                <w:right w:val="none" w:sz="0" w:space="0" w:color="auto"/>
              </w:divBdr>
            </w:div>
            <w:div w:id="11310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881164191">
      <w:bodyDiv w:val="1"/>
      <w:marLeft w:val="0"/>
      <w:marRight w:val="0"/>
      <w:marTop w:val="0"/>
      <w:marBottom w:val="0"/>
      <w:divBdr>
        <w:top w:val="none" w:sz="0" w:space="0" w:color="auto"/>
        <w:left w:val="none" w:sz="0" w:space="0" w:color="auto"/>
        <w:bottom w:val="none" w:sz="0" w:space="0" w:color="auto"/>
        <w:right w:val="none" w:sz="0" w:space="0" w:color="auto"/>
      </w:divBdr>
      <w:divsChild>
        <w:div w:id="1178235540">
          <w:marLeft w:val="0"/>
          <w:marRight w:val="0"/>
          <w:marTop w:val="0"/>
          <w:marBottom w:val="0"/>
          <w:divBdr>
            <w:top w:val="none" w:sz="0" w:space="0" w:color="auto"/>
            <w:left w:val="none" w:sz="0" w:space="0" w:color="auto"/>
            <w:bottom w:val="none" w:sz="0" w:space="0" w:color="auto"/>
            <w:right w:val="none" w:sz="0" w:space="0" w:color="auto"/>
          </w:divBdr>
          <w:divsChild>
            <w:div w:id="632174281">
              <w:marLeft w:val="0"/>
              <w:marRight w:val="0"/>
              <w:marTop w:val="0"/>
              <w:marBottom w:val="0"/>
              <w:divBdr>
                <w:top w:val="none" w:sz="0" w:space="0" w:color="auto"/>
                <w:left w:val="none" w:sz="0" w:space="0" w:color="auto"/>
                <w:bottom w:val="none" w:sz="0" w:space="0" w:color="auto"/>
                <w:right w:val="none" w:sz="0" w:space="0" w:color="auto"/>
              </w:divBdr>
              <w:divsChild>
                <w:div w:id="1231425775">
                  <w:marLeft w:val="0"/>
                  <w:marRight w:val="0"/>
                  <w:marTop w:val="0"/>
                  <w:marBottom w:val="0"/>
                  <w:divBdr>
                    <w:top w:val="none" w:sz="0" w:space="0" w:color="auto"/>
                    <w:left w:val="none" w:sz="0" w:space="0" w:color="auto"/>
                    <w:bottom w:val="none" w:sz="0" w:space="0" w:color="auto"/>
                    <w:right w:val="none" w:sz="0" w:space="0" w:color="auto"/>
                  </w:divBdr>
                  <w:divsChild>
                    <w:div w:id="128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46673899">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ine.hoare@towerhamlet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4718A1CDEFF48B7ADB1A2E67F9D12" ma:contentTypeVersion="9" ma:contentTypeDescription="Create a new document." ma:contentTypeScope="" ma:versionID="1e8961fd5fe916ec6dddfeafb984cbc2">
  <xsd:schema xmlns:xsd="http://www.w3.org/2001/XMLSchema" xmlns:xs="http://www.w3.org/2001/XMLSchema" xmlns:p="http://schemas.microsoft.com/office/2006/metadata/properties" xmlns:ns3="c02c181e-bc3c-486b-ad13-c9c8d82d57e0" targetNamespace="http://schemas.microsoft.com/office/2006/metadata/properties" ma:root="true" ma:fieldsID="48719581934d2e1a313f0baed684537a" ns3:_="">
    <xsd:import namespace="c02c181e-bc3c-486b-ad13-c9c8d82d57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c181e-bc3c-486b-ad13-c9c8d82d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64E0-CE38-4AFB-A038-540708E54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c181e-bc3c-486b-ad13-c9c8d82d5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4CA01-70ED-42C8-BDD5-2AB6B93C595A}">
  <ds:schemaRefs>
    <ds:schemaRef ds:uri="http://schemas.microsoft.com/sharepoint/v3/contenttype/forms"/>
  </ds:schemaRefs>
</ds:datastoreItem>
</file>

<file path=customXml/itemProps3.xml><?xml version="1.0" encoding="utf-8"?>
<ds:datastoreItem xmlns:ds="http://schemas.openxmlformats.org/officeDocument/2006/customXml" ds:itemID="{D5964AED-EC9D-47B7-A76C-69CE1F7DB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C1C1DC-2FFF-4804-AB9F-5AE6D754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School Services Block</dc:title>
  <dc:creator>David Tully</dc:creator>
  <cp:lastModifiedBy>Phillip Nduoyo</cp:lastModifiedBy>
  <cp:revision>99</cp:revision>
  <cp:lastPrinted>2019-11-28T13:11:00Z</cp:lastPrinted>
  <dcterms:created xsi:type="dcterms:W3CDTF">2021-01-08T12:20:00Z</dcterms:created>
  <dcterms:modified xsi:type="dcterms:W3CDTF">2021-01-13T08:40:00Z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0x010100C7F4718A1CDEFF48B7ADB1A2E67F9D12</vt:lpwstr>
  </property>
  <property fmtid="{D5CDD505-2E9C-101B-9397-08002B2CF9AE}" pid="3" name="Order">
    <vt:r8>6036800</vt:r8>
  </property>
</Properties>
</file>