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pPr w:leftFromText="180" w:rightFromText="180" w:vertAnchor="text" w:horzAnchor="margin" w:tblpX="-39" w:tblpY="34"/>
        <w:tblW w:w="9207" w:type="dxa"/>
        <w:tblLook w:val="01E0" w:firstRow="1" w:lastRow="1" w:firstColumn="1" w:lastColumn="1" w:noHBand="0" w:noVBand="0"/>
      </w:tblPr>
      <w:tblGrid>
        <w:gridCol w:w="9207"/>
      </w:tblGrid>
      <w:tr w:rsidR="004C11CF" w:rsidRPr="00300352" w14:paraId="0A0C8C85" w14:textId="77777777" w:rsidTr="004D6011">
        <w:tc>
          <w:tcPr>
            <w:tcW w:w="9207" w:type="dxa"/>
          </w:tcPr>
          <w:p w14:paraId="4D427843" w14:textId="77777777" w:rsidR="004C11CF" w:rsidRPr="00300352" w:rsidRDefault="0013261A" w:rsidP="008A5AAC">
            <w:pPr>
              <w:pStyle w:val="BodyTextIndent"/>
              <w:rPr>
                <w:b/>
                <w:sz w:val="32"/>
                <w:szCs w:val="32"/>
              </w:rPr>
            </w:pPr>
            <w:r w:rsidRPr="00300352">
              <w:rPr>
                <w:b/>
                <w:sz w:val="32"/>
                <w:szCs w:val="32"/>
              </w:rPr>
              <w:t xml:space="preserve">AGENDA ITEM </w:t>
            </w:r>
          </w:p>
        </w:tc>
      </w:tr>
    </w:tbl>
    <w:p w14:paraId="1E777D32" w14:textId="77777777" w:rsidR="003D08B1" w:rsidRPr="00300352" w:rsidRDefault="003D08B1" w:rsidP="004C11CF"/>
    <w:p w14:paraId="690AA773" w14:textId="5E5D9B61" w:rsidR="001E4116" w:rsidRPr="00300352" w:rsidRDefault="0013261A" w:rsidP="004C11CF">
      <w:pPr>
        <w:pStyle w:val="BodyTextIndent"/>
        <w:pBdr>
          <w:top w:val="single" w:sz="4" w:space="1" w:color="auto"/>
          <w:left w:val="single" w:sz="4" w:space="1" w:color="auto"/>
          <w:bottom w:val="single" w:sz="4" w:space="1" w:color="auto"/>
          <w:right w:val="single" w:sz="4" w:space="4" w:color="auto"/>
        </w:pBdr>
        <w:tabs>
          <w:tab w:val="clear" w:pos="360"/>
        </w:tabs>
        <w:ind w:left="0" w:firstLine="0"/>
        <w:jc w:val="both"/>
        <w:rPr>
          <w:b/>
          <w:sz w:val="32"/>
          <w:szCs w:val="32"/>
        </w:rPr>
      </w:pPr>
      <w:r w:rsidRPr="00300352">
        <w:rPr>
          <w:b/>
          <w:sz w:val="32"/>
          <w:szCs w:val="32"/>
        </w:rPr>
        <w:t xml:space="preserve">Title of report: </w:t>
      </w:r>
      <w:bookmarkStart w:id="0" w:name="_GoBack"/>
      <w:r w:rsidR="00D116DF" w:rsidRPr="00300352">
        <w:rPr>
          <w:rFonts w:cs="Arial"/>
          <w:b/>
        </w:rPr>
        <w:t>Early Years Block Funding 202</w:t>
      </w:r>
      <w:r w:rsidR="00160047">
        <w:rPr>
          <w:rFonts w:cs="Arial"/>
          <w:b/>
        </w:rPr>
        <w:t>1</w:t>
      </w:r>
      <w:r w:rsidR="00D116DF" w:rsidRPr="00300352">
        <w:rPr>
          <w:rFonts w:cs="Arial"/>
          <w:b/>
        </w:rPr>
        <w:t>-2</w:t>
      </w:r>
      <w:r w:rsidR="00160047">
        <w:rPr>
          <w:rFonts w:cs="Arial"/>
          <w:b/>
        </w:rPr>
        <w:t>2</w:t>
      </w:r>
      <w:bookmarkEnd w:id="0"/>
    </w:p>
    <w:p w14:paraId="58C6E122" w14:textId="77777777" w:rsidR="001E4116" w:rsidRPr="00300352" w:rsidRDefault="001E4116" w:rsidP="001E4116">
      <w:pPr>
        <w:rPr>
          <w:b/>
          <w:u w:val="single"/>
        </w:rPr>
      </w:pPr>
    </w:p>
    <w:p w14:paraId="60B7C6F1" w14:textId="77777777" w:rsidR="00616733" w:rsidRPr="00300352" w:rsidRDefault="001E4116" w:rsidP="001E4116">
      <w:pPr>
        <w:pBdr>
          <w:top w:val="single" w:sz="4" w:space="1" w:color="auto"/>
          <w:left w:val="single" w:sz="4" w:space="4" w:color="auto"/>
          <w:bottom w:val="single" w:sz="4" w:space="1" w:color="auto"/>
          <w:right w:val="single" w:sz="4" w:space="4" w:color="auto"/>
        </w:pBdr>
        <w:rPr>
          <w:rFonts w:cs="Arial"/>
        </w:rPr>
      </w:pPr>
      <w:r w:rsidRPr="00300352">
        <w:rPr>
          <w:rFonts w:cs="Arial"/>
          <w:b/>
        </w:rPr>
        <w:t xml:space="preserve">Author of the paper: </w:t>
      </w:r>
      <w:r w:rsidR="00862649" w:rsidRPr="00300352">
        <w:rPr>
          <w:rFonts w:cs="Arial"/>
          <w:b/>
        </w:rPr>
        <w:t xml:space="preserve">  </w:t>
      </w:r>
      <w:r w:rsidR="00D116DF" w:rsidRPr="00300352">
        <w:rPr>
          <w:rFonts w:cs="Arial"/>
          <w:b/>
        </w:rPr>
        <w:t>Pauline Hoare</w:t>
      </w:r>
    </w:p>
    <w:p w14:paraId="0557F37B" w14:textId="77777777" w:rsidR="001E4116" w:rsidRPr="00300352" w:rsidRDefault="001E4116" w:rsidP="001E4116">
      <w:pPr>
        <w:rPr>
          <w:rFonts w:cs="Arial"/>
        </w:rPr>
      </w:pPr>
    </w:p>
    <w:p w14:paraId="1A2466B0" w14:textId="481EC39C" w:rsidR="00616733" w:rsidRPr="00300352" w:rsidRDefault="001E4116" w:rsidP="001E4116">
      <w:pPr>
        <w:pBdr>
          <w:top w:val="single" w:sz="4" w:space="1" w:color="auto"/>
          <w:left w:val="single" w:sz="4" w:space="4" w:color="auto"/>
          <w:bottom w:val="single" w:sz="4" w:space="1" w:color="auto"/>
          <w:right w:val="single" w:sz="4" w:space="4" w:color="auto"/>
        </w:pBdr>
        <w:rPr>
          <w:rFonts w:cs="Arial"/>
        </w:rPr>
      </w:pPr>
      <w:r w:rsidRPr="00300352">
        <w:rPr>
          <w:rFonts w:cs="Arial"/>
          <w:b/>
        </w:rPr>
        <w:t xml:space="preserve">Officer to present the paper to </w:t>
      </w:r>
      <w:r w:rsidR="00025F55" w:rsidRPr="00300352">
        <w:rPr>
          <w:rFonts w:cs="Arial"/>
          <w:b/>
        </w:rPr>
        <w:t>Schools Forum</w:t>
      </w:r>
      <w:r w:rsidRPr="00300352">
        <w:rPr>
          <w:rFonts w:cs="Arial"/>
          <w:b/>
        </w:rPr>
        <w:t xml:space="preserve">: </w:t>
      </w:r>
      <w:r w:rsidR="00610DC3" w:rsidRPr="00300352">
        <w:rPr>
          <w:rFonts w:cs="Arial"/>
          <w:lang w:val="en-US"/>
        </w:rPr>
        <w:t>Christine McInnes</w:t>
      </w:r>
      <w:r w:rsidR="00610DC3" w:rsidRPr="00300352" w:rsidDel="00610DC3">
        <w:rPr>
          <w:rFonts w:cs="Arial"/>
          <w:b/>
        </w:rPr>
        <w:t xml:space="preserve"> </w:t>
      </w:r>
    </w:p>
    <w:p w14:paraId="01843FD7" w14:textId="77777777" w:rsidR="001E4116" w:rsidRPr="00300352" w:rsidRDefault="001E4116" w:rsidP="001E4116">
      <w:pPr>
        <w:rPr>
          <w:rFonts w:cs="Arial"/>
        </w:rPr>
      </w:pPr>
    </w:p>
    <w:p w14:paraId="4991BCAC" w14:textId="77777777" w:rsidR="001E4116" w:rsidRPr="00300352" w:rsidRDefault="001E4116" w:rsidP="001E4116">
      <w:pPr>
        <w:pBdr>
          <w:top w:val="single" w:sz="4" w:space="1" w:color="auto"/>
          <w:left w:val="single" w:sz="4" w:space="4" w:color="auto"/>
          <w:bottom w:val="single" w:sz="4" w:space="1" w:color="auto"/>
          <w:right w:val="single" w:sz="4" w:space="4" w:color="auto"/>
        </w:pBdr>
        <w:rPr>
          <w:rFonts w:cs="Arial"/>
          <w:b/>
        </w:rPr>
      </w:pPr>
      <w:r w:rsidRPr="00300352">
        <w:rPr>
          <w:rFonts w:cs="Arial"/>
          <w:b/>
        </w:rPr>
        <w:t>Details on who has been consulted with on this paper to date:</w:t>
      </w:r>
    </w:p>
    <w:p w14:paraId="76FFFAB5" w14:textId="168E9960" w:rsidR="00616733" w:rsidRPr="00300352" w:rsidRDefault="00D116DF" w:rsidP="001E4116">
      <w:pPr>
        <w:pBdr>
          <w:top w:val="single" w:sz="4" w:space="1" w:color="auto"/>
          <w:left w:val="single" w:sz="4" w:space="4" w:color="auto"/>
          <w:bottom w:val="single" w:sz="4" w:space="1" w:color="auto"/>
          <w:right w:val="single" w:sz="4" w:space="4" w:color="auto"/>
        </w:pBdr>
        <w:rPr>
          <w:rFonts w:cs="Arial"/>
        </w:rPr>
      </w:pPr>
      <w:r w:rsidRPr="00300352">
        <w:rPr>
          <w:rFonts w:cs="Arial"/>
          <w:lang w:val="en-US"/>
        </w:rPr>
        <w:t>Christine McInnes,</w:t>
      </w:r>
      <w:r w:rsidRPr="00300352">
        <w:t xml:space="preserve"> </w:t>
      </w:r>
      <w:r w:rsidR="00805B79">
        <w:rPr>
          <w:rFonts w:cs="Arial"/>
          <w:lang w:val="en-US"/>
        </w:rPr>
        <w:t>Kay Goodacre, Nikki Parsons</w:t>
      </w:r>
    </w:p>
    <w:p w14:paraId="5541F075" w14:textId="77777777" w:rsidR="001E4116" w:rsidRPr="00300352" w:rsidRDefault="001E4116" w:rsidP="001E4116">
      <w:pPr>
        <w:spacing w:after="120"/>
        <w:rPr>
          <w:rFonts w:cs="Arial"/>
          <w:b/>
        </w:rPr>
      </w:pPr>
    </w:p>
    <w:tbl>
      <w:tblPr>
        <w:tblStyle w:val="TableGrid"/>
        <w:tblW w:w="0" w:type="auto"/>
        <w:tblLook w:val="04A0" w:firstRow="1" w:lastRow="0" w:firstColumn="1" w:lastColumn="0" w:noHBand="0" w:noVBand="1"/>
      </w:tblPr>
      <w:tblGrid>
        <w:gridCol w:w="9060"/>
      </w:tblGrid>
      <w:tr w:rsidR="00F91B89" w:rsidRPr="00300352" w14:paraId="41427E10" w14:textId="77777777" w:rsidTr="00F91B89">
        <w:tc>
          <w:tcPr>
            <w:tcW w:w="9286" w:type="dxa"/>
          </w:tcPr>
          <w:p w14:paraId="5DB29856" w14:textId="77777777" w:rsidR="00F91B89" w:rsidRPr="00300352" w:rsidRDefault="00F91B89" w:rsidP="001E4116">
            <w:pPr>
              <w:rPr>
                <w:rFonts w:cs="Arial"/>
                <w:b/>
              </w:rPr>
            </w:pPr>
            <w:r w:rsidRPr="00300352">
              <w:rPr>
                <w:rFonts w:cs="Arial"/>
                <w:b/>
              </w:rPr>
              <w:t>Executive Summary.</w:t>
            </w:r>
          </w:p>
          <w:p w14:paraId="735FE78A" w14:textId="60F04C32" w:rsidR="00E87631" w:rsidRPr="00300352" w:rsidRDefault="000B1E4E" w:rsidP="002F653C">
            <w:r w:rsidRPr="00300352">
              <w:t xml:space="preserve">This report </w:t>
            </w:r>
            <w:r w:rsidR="00EE2209" w:rsidRPr="00300352">
              <w:t>update</w:t>
            </w:r>
            <w:r w:rsidR="00443F9A" w:rsidRPr="00300352">
              <w:t>s</w:t>
            </w:r>
            <w:r w:rsidR="00EE2209" w:rsidRPr="00300352">
              <w:t xml:space="preserve"> Schools Forum on the </w:t>
            </w:r>
            <w:r w:rsidR="00341922">
              <w:t>possible</w:t>
            </w:r>
            <w:r w:rsidR="00341922" w:rsidRPr="00300352">
              <w:t xml:space="preserve"> </w:t>
            </w:r>
            <w:r w:rsidR="00EE2209" w:rsidRPr="00300352">
              <w:t>20</w:t>
            </w:r>
            <w:r w:rsidR="009D1EBC">
              <w:t>2</w:t>
            </w:r>
            <w:r w:rsidR="000733AD">
              <w:t>1</w:t>
            </w:r>
            <w:r w:rsidR="00EE2209" w:rsidRPr="00300352">
              <w:t>-2</w:t>
            </w:r>
            <w:r w:rsidR="00270810">
              <w:t>2</w:t>
            </w:r>
            <w:r w:rsidR="00EE2209" w:rsidRPr="00300352">
              <w:t xml:space="preserve"> </w:t>
            </w:r>
            <w:r w:rsidR="00341922">
              <w:t xml:space="preserve">DFE </w:t>
            </w:r>
            <w:r w:rsidR="00EE2209" w:rsidRPr="00300352">
              <w:t xml:space="preserve">funding arrangements for early years and presents proposals for the </w:t>
            </w:r>
            <w:r w:rsidR="00270810">
              <w:t xml:space="preserve">possible </w:t>
            </w:r>
            <w:r w:rsidR="00EE2209" w:rsidRPr="00300352">
              <w:t xml:space="preserve">use of </w:t>
            </w:r>
            <w:r w:rsidR="00270810">
              <w:t xml:space="preserve">such funds for </w:t>
            </w:r>
            <w:r w:rsidR="00EE2209" w:rsidRPr="00300352">
              <w:t>the 202</w:t>
            </w:r>
            <w:r w:rsidR="009D1EBC">
              <w:t>1</w:t>
            </w:r>
            <w:r w:rsidR="00EE2209" w:rsidRPr="00300352">
              <w:t>-2</w:t>
            </w:r>
            <w:r w:rsidR="009D1EBC">
              <w:t>2</w:t>
            </w:r>
            <w:r w:rsidR="00EE2209" w:rsidRPr="00300352">
              <w:t xml:space="preserve"> early years centrally retained budget.</w:t>
            </w:r>
          </w:p>
        </w:tc>
      </w:tr>
    </w:tbl>
    <w:p w14:paraId="2EEAF911" w14:textId="77777777" w:rsidR="006D33DC" w:rsidRPr="00300352" w:rsidRDefault="006D33DC" w:rsidP="00FE0176">
      <w:pPr>
        <w:pStyle w:val="Header"/>
        <w:jc w:val="center"/>
        <w:rPr>
          <w:rFonts w:cs="Arial"/>
          <w:b/>
        </w:rPr>
      </w:pPr>
    </w:p>
    <w:tbl>
      <w:tblPr>
        <w:tblStyle w:val="TableGrid"/>
        <w:tblW w:w="0" w:type="auto"/>
        <w:tblLook w:val="04A0" w:firstRow="1" w:lastRow="0" w:firstColumn="1" w:lastColumn="0" w:noHBand="0" w:noVBand="1"/>
      </w:tblPr>
      <w:tblGrid>
        <w:gridCol w:w="9060"/>
      </w:tblGrid>
      <w:tr w:rsidR="006D33DC" w:rsidRPr="002F653C" w14:paraId="6FB66C6A" w14:textId="77777777" w:rsidTr="006D33DC">
        <w:tc>
          <w:tcPr>
            <w:tcW w:w="9286" w:type="dxa"/>
          </w:tcPr>
          <w:p w14:paraId="0761BF12" w14:textId="77777777" w:rsidR="006D33DC" w:rsidRPr="00300352" w:rsidRDefault="006D33DC" w:rsidP="006D33DC">
            <w:pPr>
              <w:pStyle w:val="Header"/>
              <w:rPr>
                <w:rFonts w:cs="Arial"/>
                <w:b/>
              </w:rPr>
            </w:pPr>
            <w:r w:rsidRPr="00300352">
              <w:rPr>
                <w:rFonts w:cs="Arial"/>
                <w:b/>
              </w:rPr>
              <w:t>Recommendations.</w:t>
            </w:r>
          </w:p>
          <w:p w14:paraId="2FBF2DCC" w14:textId="77777777" w:rsidR="006D33DC" w:rsidRPr="00300352" w:rsidRDefault="006D33DC" w:rsidP="006D33DC">
            <w:pPr>
              <w:pStyle w:val="Header"/>
            </w:pPr>
            <w:r w:rsidRPr="00300352">
              <w:t>Forum is asked to:</w:t>
            </w:r>
          </w:p>
          <w:p w14:paraId="544CC70C" w14:textId="447C257B" w:rsidR="002A18E2" w:rsidRPr="00300352" w:rsidRDefault="00A53D66" w:rsidP="000B1E4E">
            <w:pPr>
              <w:pStyle w:val="Header"/>
              <w:numPr>
                <w:ilvl w:val="0"/>
                <w:numId w:val="3"/>
              </w:numPr>
            </w:pPr>
            <w:r>
              <w:t>N</w:t>
            </w:r>
            <w:r w:rsidR="00D116DF" w:rsidRPr="00300352">
              <w:t>ote the contents of the report</w:t>
            </w:r>
            <w:r w:rsidR="00300352">
              <w:t>.</w:t>
            </w:r>
          </w:p>
          <w:p w14:paraId="207CEC55" w14:textId="626A38AC" w:rsidR="000B1E4E" w:rsidRPr="00300352" w:rsidRDefault="003D17BC" w:rsidP="000B1E4E">
            <w:pPr>
              <w:pStyle w:val="NoSpacing"/>
              <w:numPr>
                <w:ilvl w:val="0"/>
                <w:numId w:val="3"/>
              </w:numPr>
              <w:rPr>
                <w:rFonts w:ascii="Arial" w:eastAsia="Times New Roman" w:hAnsi="Arial" w:cs="Times New Roman"/>
                <w:sz w:val="24"/>
                <w:szCs w:val="24"/>
                <w:lang w:eastAsia="en-GB"/>
              </w:rPr>
            </w:pPr>
            <w:r>
              <w:rPr>
                <w:rFonts w:ascii="Arial" w:eastAsia="Times New Roman" w:hAnsi="Arial" w:cs="Times New Roman"/>
                <w:sz w:val="24"/>
                <w:szCs w:val="24"/>
                <w:lang w:eastAsia="en-GB"/>
              </w:rPr>
              <w:t>Note the current developing financial situation</w:t>
            </w:r>
            <w:r w:rsidR="000B1E4E" w:rsidRPr="00300352">
              <w:rPr>
                <w:rFonts w:ascii="Arial" w:eastAsia="Times New Roman" w:hAnsi="Arial" w:cs="Times New Roman"/>
                <w:sz w:val="24"/>
                <w:szCs w:val="24"/>
                <w:lang w:eastAsia="en-GB"/>
              </w:rPr>
              <w:t xml:space="preserve"> </w:t>
            </w:r>
            <w:r>
              <w:rPr>
                <w:rFonts w:ascii="Arial" w:eastAsia="Times New Roman" w:hAnsi="Arial" w:cs="Times New Roman"/>
                <w:sz w:val="24"/>
                <w:szCs w:val="24"/>
                <w:lang w:eastAsia="en-GB"/>
              </w:rPr>
              <w:t>for early years settings including schools</w:t>
            </w:r>
            <w:r w:rsidR="00341922">
              <w:rPr>
                <w:rFonts w:ascii="Arial" w:eastAsia="Times New Roman" w:hAnsi="Arial" w:cs="Times New Roman"/>
                <w:sz w:val="24"/>
                <w:szCs w:val="24"/>
                <w:lang w:eastAsia="en-GB"/>
              </w:rPr>
              <w:t xml:space="preserve"> with nursery provision</w:t>
            </w:r>
            <w:r w:rsidR="00A53D66">
              <w:rPr>
                <w:rFonts w:ascii="Arial" w:eastAsia="Times New Roman" w:hAnsi="Arial" w:cs="Times New Roman"/>
                <w:sz w:val="24"/>
                <w:szCs w:val="24"/>
                <w:lang w:eastAsia="en-GB"/>
              </w:rPr>
              <w:t>.</w:t>
            </w:r>
          </w:p>
          <w:p w14:paraId="0A2CB207" w14:textId="76277A47" w:rsidR="00D116DF" w:rsidRPr="002F653C" w:rsidRDefault="000B1E4E" w:rsidP="000B1E4E">
            <w:pPr>
              <w:pStyle w:val="NoSpacing"/>
              <w:numPr>
                <w:ilvl w:val="0"/>
                <w:numId w:val="3"/>
              </w:numPr>
              <w:rPr>
                <w:rFonts w:ascii="Arial" w:eastAsia="Times New Roman" w:hAnsi="Arial" w:cs="Times New Roman"/>
                <w:sz w:val="24"/>
                <w:szCs w:val="24"/>
                <w:lang w:eastAsia="en-GB"/>
              </w:rPr>
            </w:pPr>
            <w:r w:rsidRPr="00300352">
              <w:rPr>
                <w:rFonts w:ascii="Arial" w:eastAsia="Times New Roman" w:hAnsi="Arial" w:cs="Times New Roman"/>
                <w:sz w:val="24"/>
                <w:szCs w:val="24"/>
                <w:lang w:eastAsia="en-GB"/>
              </w:rPr>
              <w:t xml:space="preserve">Agree the </w:t>
            </w:r>
            <w:r w:rsidR="003D17BC">
              <w:rPr>
                <w:rFonts w:ascii="Arial" w:eastAsia="Times New Roman" w:hAnsi="Arial" w:cs="Times New Roman"/>
                <w:sz w:val="24"/>
                <w:szCs w:val="24"/>
                <w:lang w:eastAsia="en-GB"/>
              </w:rPr>
              <w:t xml:space="preserve">continuation of the </w:t>
            </w:r>
            <w:r w:rsidRPr="00300352">
              <w:rPr>
                <w:rFonts w:ascii="Arial" w:eastAsia="Times New Roman" w:hAnsi="Arial" w:cs="Times New Roman"/>
                <w:sz w:val="24"/>
                <w:szCs w:val="24"/>
                <w:lang w:eastAsia="en-GB"/>
              </w:rPr>
              <w:t>Early Years centrally retained funding for 202</w:t>
            </w:r>
            <w:r w:rsidR="009D1EBC">
              <w:rPr>
                <w:rFonts w:ascii="Arial" w:eastAsia="Times New Roman" w:hAnsi="Arial" w:cs="Times New Roman"/>
                <w:sz w:val="24"/>
                <w:szCs w:val="24"/>
                <w:lang w:eastAsia="en-GB"/>
              </w:rPr>
              <w:t>1</w:t>
            </w:r>
            <w:r w:rsidRPr="00300352">
              <w:rPr>
                <w:rFonts w:ascii="Arial" w:eastAsia="Times New Roman" w:hAnsi="Arial" w:cs="Times New Roman"/>
                <w:sz w:val="24"/>
                <w:szCs w:val="24"/>
                <w:lang w:eastAsia="en-GB"/>
              </w:rPr>
              <w:t>-2</w:t>
            </w:r>
            <w:r w:rsidR="009D1EBC">
              <w:rPr>
                <w:rFonts w:ascii="Arial" w:eastAsia="Times New Roman" w:hAnsi="Arial" w:cs="Times New Roman"/>
                <w:sz w:val="24"/>
                <w:szCs w:val="24"/>
                <w:lang w:eastAsia="en-GB"/>
              </w:rPr>
              <w:t>2</w:t>
            </w:r>
            <w:r w:rsidRPr="00300352">
              <w:rPr>
                <w:rFonts w:ascii="Arial" w:eastAsia="Times New Roman" w:hAnsi="Arial" w:cs="Times New Roman"/>
                <w:sz w:val="24"/>
                <w:szCs w:val="24"/>
                <w:lang w:eastAsia="en-GB"/>
              </w:rPr>
              <w:t>.</w:t>
            </w:r>
          </w:p>
        </w:tc>
      </w:tr>
    </w:tbl>
    <w:p w14:paraId="446A0F5A" w14:textId="77777777" w:rsidR="002A18E2" w:rsidRPr="002F653C" w:rsidRDefault="002A18E2" w:rsidP="00B4534F">
      <w:pPr>
        <w:pStyle w:val="Header"/>
        <w:rPr>
          <w:rFonts w:cs="Arial"/>
          <w:b/>
        </w:rPr>
      </w:pPr>
    </w:p>
    <w:p w14:paraId="33DBB874" w14:textId="77777777" w:rsidR="00660345" w:rsidRPr="002F653C" w:rsidRDefault="00660345" w:rsidP="00913C44">
      <w:pPr>
        <w:pStyle w:val="ListParagraph"/>
        <w:numPr>
          <w:ilvl w:val="0"/>
          <w:numId w:val="4"/>
        </w:numPr>
        <w:rPr>
          <w:rFonts w:cs="Arial"/>
          <w:b/>
        </w:rPr>
      </w:pPr>
      <w:r w:rsidRPr="002F653C">
        <w:rPr>
          <w:rFonts w:cs="Arial"/>
          <w:b/>
        </w:rPr>
        <w:t>Background.</w:t>
      </w:r>
    </w:p>
    <w:p w14:paraId="24B09F5F" w14:textId="2EA4C135" w:rsidR="00D116DF" w:rsidRPr="002F653C" w:rsidRDefault="00D116DF" w:rsidP="00D116DF">
      <w:pPr>
        <w:spacing w:after="120"/>
      </w:pPr>
      <w:r w:rsidRPr="002F653C">
        <w:t>1.1</w:t>
      </w:r>
      <w:r w:rsidRPr="002F653C">
        <w:tab/>
        <w:t xml:space="preserve">The Early Years National Funding Formula (EYNFF) was introduced in 2017-18 and </w:t>
      </w:r>
      <w:r w:rsidR="00CC433E">
        <w:t xml:space="preserve">in general </w:t>
      </w:r>
      <w:r w:rsidRPr="002F653C">
        <w:t>the principles remain</w:t>
      </w:r>
      <w:r w:rsidR="00CC433E">
        <w:t xml:space="preserve"> the same</w:t>
      </w:r>
      <w:r w:rsidRPr="002F653C">
        <w:t xml:space="preserve">.  </w:t>
      </w:r>
      <w:r w:rsidR="000C14FF">
        <w:t xml:space="preserve">  The </w:t>
      </w:r>
      <w:r w:rsidR="00CC433E">
        <w:t xml:space="preserve">main </w:t>
      </w:r>
      <w:r w:rsidR="003D7518">
        <w:t xml:space="preserve">items </w:t>
      </w:r>
      <w:r w:rsidR="000C14FF">
        <w:t>are outlined below</w:t>
      </w:r>
      <w:r w:rsidR="00CC433E">
        <w:t xml:space="preserve"> </w:t>
      </w:r>
      <w:r w:rsidR="00CE4ABC" w:rsidRPr="002F653C">
        <w:t>and comprise:</w:t>
      </w:r>
    </w:p>
    <w:p w14:paraId="26DEC50C" w14:textId="30633BA8" w:rsidR="00D116DF" w:rsidRPr="002F653C" w:rsidRDefault="00D116DF" w:rsidP="00B17520">
      <w:pPr>
        <w:pStyle w:val="ListParagraph"/>
        <w:numPr>
          <w:ilvl w:val="0"/>
          <w:numId w:val="16"/>
        </w:numPr>
      </w:pPr>
      <w:r w:rsidRPr="008B4BF9">
        <w:t>A mandatory 95% ‘pass through’ of funding to schools and early years</w:t>
      </w:r>
      <w:r w:rsidR="008B4BF9" w:rsidRPr="008B4BF9">
        <w:t xml:space="preserve"> p</w:t>
      </w:r>
      <w:r w:rsidRPr="008B4BF9">
        <w:t>roviders</w:t>
      </w:r>
      <w:r w:rsidRPr="002F653C">
        <w:t>;</w:t>
      </w:r>
    </w:p>
    <w:p w14:paraId="4B3A266A" w14:textId="243ABC23" w:rsidR="00D116DF" w:rsidRPr="002F653C" w:rsidRDefault="00D116DF" w:rsidP="00B17520">
      <w:pPr>
        <w:pStyle w:val="ListParagraph"/>
        <w:numPr>
          <w:ilvl w:val="0"/>
          <w:numId w:val="16"/>
        </w:numPr>
      </w:pPr>
      <w:r w:rsidRPr="002F653C">
        <w:t xml:space="preserve">A 5% central retention; </w:t>
      </w:r>
    </w:p>
    <w:p w14:paraId="10E08E2C" w14:textId="18FB668D" w:rsidR="00D116DF" w:rsidRPr="002F653C" w:rsidRDefault="00D116DF" w:rsidP="00B17520">
      <w:pPr>
        <w:pStyle w:val="ListParagraph"/>
        <w:numPr>
          <w:ilvl w:val="0"/>
          <w:numId w:val="16"/>
        </w:numPr>
      </w:pPr>
      <w:r w:rsidRPr="002F653C">
        <w:t xml:space="preserve">A universal hourly base rate for eligible </w:t>
      </w:r>
      <w:proofErr w:type="gramStart"/>
      <w:r w:rsidRPr="002F653C">
        <w:t>three and four year</w:t>
      </w:r>
      <w:proofErr w:type="gramEnd"/>
      <w:r w:rsidRPr="002F653C">
        <w:t xml:space="preserve"> olds, currently £7.16; and</w:t>
      </w:r>
    </w:p>
    <w:p w14:paraId="11BAE369" w14:textId="77777777" w:rsidR="00D116DF" w:rsidRPr="002F653C" w:rsidRDefault="00D116DF" w:rsidP="00B17520">
      <w:pPr>
        <w:pStyle w:val="ListParagraph"/>
        <w:numPr>
          <w:ilvl w:val="0"/>
          <w:numId w:val="16"/>
        </w:numPr>
      </w:pPr>
      <w:r w:rsidRPr="002F653C">
        <w:t>A 30p deprivation supplement for eligible children based on the child’s post code using the Income Deprivation Affecting Children Index (IDACI).</w:t>
      </w:r>
    </w:p>
    <w:p w14:paraId="723471AD" w14:textId="7C504BE6" w:rsidR="00D116DF" w:rsidRPr="002F653C" w:rsidRDefault="00D116DF" w:rsidP="00B17520">
      <w:pPr>
        <w:spacing w:before="120" w:after="120"/>
      </w:pPr>
      <w:r w:rsidRPr="002F653C">
        <w:t xml:space="preserve">1.2   The </w:t>
      </w:r>
      <w:r w:rsidR="005C06C6" w:rsidRPr="002F653C">
        <w:t xml:space="preserve">2020-21 </w:t>
      </w:r>
      <w:r w:rsidRPr="002F653C">
        <w:t xml:space="preserve">EYNFF Guidance for local authorities states that centrally retained early years funds </w:t>
      </w:r>
      <w:r w:rsidR="007D04CB" w:rsidRPr="002F653C">
        <w:t>c</w:t>
      </w:r>
      <w:r w:rsidRPr="002F653C">
        <w:t xml:space="preserve">ould be used “…for central services or services in-kind, including specialist SEND services.” </w:t>
      </w:r>
      <w:r w:rsidR="00D15641" w:rsidRPr="002F653C">
        <w:t>In addition, t</w:t>
      </w:r>
      <w:r w:rsidRPr="002F653C">
        <w:t xml:space="preserve">he Guidance states that Schools Forums must be consulted on changes to the local early years funding formula (i.e. calculating the payment of the hourly rate for the universal offer for three and four year olds), including agreeing the total centrally retained sum, by </w:t>
      </w:r>
      <w:r w:rsidR="00CE4ABC" w:rsidRPr="002F653C">
        <w:t xml:space="preserve">the end of </w:t>
      </w:r>
      <w:r w:rsidRPr="002F653C">
        <w:t xml:space="preserve">February 2020. Locally, central services </w:t>
      </w:r>
      <w:r w:rsidR="00CE4ABC" w:rsidRPr="002F653C">
        <w:t xml:space="preserve">currently </w:t>
      </w:r>
      <w:r w:rsidRPr="002F653C">
        <w:t>include:</w:t>
      </w:r>
    </w:p>
    <w:p w14:paraId="60F9F82D" w14:textId="77777777" w:rsidR="00D116DF" w:rsidRPr="002F653C" w:rsidRDefault="00D116DF" w:rsidP="00B17520">
      <w:pPr>
        <w:pStyle w:val="ListParagraph"/>
        <w:numPr>
          <w:ilvl w:val="0"/>
          <w:numId w:val="17"/>
        </w:numPr>
      </w:pPr>
      <w:r w:rsidRPr="002F653C">
        <w:t>Staffing for the quality improvement of childcare;</w:t>
      </w:r>
    </w:p>
    <w:p w14:paraId="70B2B9C6" w14:textId="2FE4FF0A" w:rsidR="00D116DF" w:rsidRPr="002F653C" w:rsidRDefault="005E269A" w:rsidP="00B17520">
      <w:pPr>
        <w:pStyle w:val="ListParagraph"/>
        <w:numPr>
          <w:ilvl w:val="0"/>
          <w:numId w:val="17"/>
        </w:numPr>
      </w:pPr>
      <w:r>
        <w:t>Early Years Foundation Stage Profile (EYFSP) m</w:t>
      </w:r>
      <w:r w:rsidR="00D116DF" w:rsidRPr="00CB46AE">
        <w:t>oderation;</w:t>
      </w:r>
    </w:p>
    <w:p w14:paraId="138DE28F" w14:textId="43CB28C5" w:rsidR="00D116DF" w:rsidRPr="002F653C" w:rsidRDefault="00D116DF" w:rsidP="00B17520">
      <w:pPr>
        <w:pStyle w:val="ListParagraph"/>
        <w:numPr>
          <w:ilvl w:val="0"/>
          <w:numId w:val="17"/>
        </w:numPr>
      </w:pPr>
      <w:r w:rsidRPr="002F653C">
        <w:lastRenderedPageBreak/>
        <w:t>Inclusion support for childcare settings</w:t>
      </w:r>
      <w:r w:rsidR="005E269A">
        <w:t xml:space="preserve"> in line with the SEND Code of Practice</w:t>
      </w:r>
      <w:r w:rsidRPr="00CB46AE">
        <w:t>; and</w:t>
      </w:r>
    </w:p>
    <w:p w14:paraId="453944B7" w14:textId="77777777" w:rsidR="00465C43" w:rsidRPr="002F653C" w:rsidRDefault="00D116DF" w:rsidP="00D116DF">
      <w:pPr>
        <w:pStyle w:val="ListParagraph"/>
        <w:numPr>
          <w:ilvl w:val="0"/>
          <w:numId w:val="17"/>
        </w:numPr>
        <w:spacing w:after="120" w:line="276" w:lineRule="auto"/>
      </w:pPr>
      <w:r w:rsidRPr="002F653C">
        <w:t xml:space="preserve">Subsidised training for all early education settings.  </w:t>
      </w:r>
    </w:p>
    <w:p w14:paraId="410E063C" w14:textId="5ED43707" w:rsidR="00D116DF" w:rsidRPr="002F653C" w:rsidRDefault="00465C43" w:rsidP="00F12833">
      <w:pPr>
        <w:spacing w:after="120"/>
      </w:pPr>
      <w:r w:rsidRPr="002F653C">
        <w:t xml:space="preserve">1.4 </w:t>
      </w:r>
      <w:r w:rsidR="00D116DF" w:rsidRPr="002F653C">
        <w:t>The</w:t>
      </w:r>
      <w:r w:rsidRPr="002F653C">
        <w:t xml:space="preserve"> above central services</w:t>
      </w:r>
      <w:r w:rsidR="00D116DF" w:rsidRPr="002F653C">
        <w:t xml:space="preserve"> </w:t>
      </w:r>
      <w:r w:rsidR="00F12833">
        <w:t>will be</w:t>
      </w:r>
      <w:r w:rsidR="00D116DF" w:rsidRPr="002F653C">
        <w:t xml:space="preserve"> </w:t>
      </w:r>
      <w:r w:rsidR="0001437F">
        <w:t xml:space="preserve">partly </w:t>
      </w:r>
      <w:r w:rsidR="00D116DF" w:rsidRPr="002F653C">
        <w:t>funded</w:t>
      </w:r>
      <w:r w:rsidR="00F12833">
        <w:t xml:space="preserve"> </w:t>
      </w:r>
      <w:r w:rsidR="00F12833" w:rsidRPr="002F653C">
        <w:t>(2020</w:t>
      </w:r>
      <w:r w:rsidR="00F12833">
        <w:t>-21</w:t>
      </w:r>
      <w:r w:rsidR="00F12833" w:rsidRPr="002F653C">
        <w:t xml:space="preserve">) </w:t>
      </w:r>
      <w:r w:rsidR="00D116DF" w:rsidRPr="002F653C">
        <w:t>from the retained sum</w:t>
      </w:r>
      <w:r w:rsidR="004218FF">
        <w:t xml:space="preserve"> with a contribution from the Council through the General Fund</w:t>
      </w:r>
      <w:r w:rsidR="00D116DF" w:rsidRPr="002F653C">
        <w:t xml:space="preserve">. </w:t>
      </w:r>
    </w:p>
    <w:p w14:paraId="3CFEFF71" w14:textId="16BED5DC" w:rsidR="000B1E4E" w:rsidRPr="00341922" w:rsidRDefault="000B1E4E" w:rsidP="00EE2209">
      <w:pPr>
        <w:pStyle w:val="Heading2"/>
        <w:keepNext w:val="0"/>
        <w:numPr>
          <w:ilvl w:val="0"/>
          <w:numId w:val="20"/>
        </w:numPr>
        <w:spacing w:before="200" w:after="0" w:line="276" w:lineRule="auto"/>
      </w:pPr>
      <w:r w:rsidRPr="00A47A0D">
        <w:t>20</w:t>
      </w:r>
      <w:r w:rsidRPr="000524DD">
        <w:t>20</w:t>
      </w:r>
      <w:r w:rsidR="008230E2" w:rsidRPr="00341922">
        <w:t>-21</w:t>
      </w:r>
      <w:r w:rsidRPr="00A47A0D">
        <w:t xml:space="preserve"> </w:t>
      </w:r>
      <w:r w:rsidRPr="000524DD">
        <w:t>update</w:t>
      </w:r>
    </w:p>
    <w:p w14:paraId="1D9A6D51" w14:textId="678FD843" w:rsidR="000B1E4E" w:rsidRDefault="000B1E4E" w:rsidP="000B1E4E">
      <w:r w:rsidRPr="00341922">
        <w:t xml:space="preserve">2.1 Table 1 below shows the </w:t>
      </w:r>
      <w:r w:rsidR="00E17D09" w:rsidRPr="00341922">
        <w:t>2020</w:t>
      </w:r>
      <w:r w:rsidR="008230E2" w:rsidRPr="00341922">
        <w:t>-21</w:t>
      </w:r>
      <w:r w:rsidRPr="000524DD">
        <w:t xml:space="preserve"> budget </w:t>
      </w:r>
      <w:r w:rsidR="00EF44C8">
        <w:t xml:space="preserve">expenditure </w:t>
      </w:r>
      <w:r w:rsidR="00E17D09" w:rsidRPr="000524DD">
        <w:t>for</w:t>
      </w:r>
      <w:r w:rsidRPr="00341922">
        <w:t xml:space="preserve"> the Early Years retained funding.</w:t>
      </w:r>
    </w:p>
    <w:p w14:paraId="14687030" w14:textId="05A49FDB" w:rsidR="002578B4" w:rsidRDefault="002578B4" w:rsidP="000B1E4E"/>
    <w:p w14:paraId="56BC9EA3" w14:textId="77777777" w:rsidR="002578B4" w:rsidRPr="00EF44C8" w:rsidRDefault="002578B4" w:rsidP="002578B4">
      <w:pPr>
        <w:rPr>
          <w:rFonts w:cs="Arial"/>
          <w:b/>
          <w:bCs/>
          <w:color w:val="000000"/>
        </w:rPr>
      </w:pPr>
      <w:r w:rsidRPr="00EF44C8">
        <w:rPr>
          <w:rFonts w:cs="Arial"/>
          <w:b/>
          <w:bCs/>
          <w:color w:val="000000"/>
        </w:rPr>
        <w:t xml:space="preserve">Table 1: Forum Agreed Centrally Retained Budgets 2020-21 </w:t>
      </w:r>
    </w:p>
    <w:p w14:paraId="0C600AB6" w14:textId="5B87AEEC" w:rsidR="004D6011" w:rsidRDefault="004D6011" w:rsidP="000B1E4E"/>
    <w:tbl>
      <w:tblPr>
        <w:tblStyle w:val="TableGrid1"/>
        <w:tblW w:w="5000" w:type="pct"/>
        <w:tblLayout w:type="fixed"/>
        <w:tblLook w:val="04A0" w:firstRow="1" w:lastRow="0" w:firstColumn="1" w:lastColumn="0" w:noHBand="0" w:noVBand="1"/>
      </w:tblPr>
      <w:tblGrid>
        <w:gridCol w:w="1218"/>
        <w:gridCol w:w="5976"/>
        <w:gridCol w:w="1866"/>
      </w:tblGrid>
      <w:tr w:rsidR="004D6011" w:rsidRPr="00EF44C8" w14:paraId="1D0110E1" w14:textId="77777777" w:rsidTr="00F24C5C">
        <w:trPr>
          <w:trHeight w:val="315"/>
        </w:trPr>
        <w:tc>
          <w:tcPr>
            <w:tcW w:w="672" w:type="pct"/>
          </w:tcPr>
          <w:p w14:paraId="521D2A70" w14:textId="77777777" w:rsidR="004D6011" w:rsidRPr="00EF44C8" w:rsidRDefault="004D6011" w:rsidP="00F24C5C">
            <w:pPr>
              <w:jc w:val="both"/>
              <w:rPr>
                <w:b/>
                <w:bCs/>
                <w:color w:val="000000"/>
                <w:sz w:val="18"/>
                <w:szCs w:val="18"/>
              </w:rPr>
            </w:pPr>
            <w:r w:rsidRPr="00EF44C8">
              <w:rPr>
                <w:b/>
                <w:bCs/>
                <w:color w:val="000000"/>
                <w:sz w:val="18"/>
                <w:szCs w:val="18"/>
              </w:rPr>
              <w:t>Item</w:t>
            </w:r>
          </w:p>
        </w:tc>
        <w:tc>
          <w:tcPr>
            <w:tcW w:w="3298" w:type="pct"/>
          </w:tcPr>
          <w:p w14:paraId="43F1F2EA" w14:textId="77777777" w:rsidR="004D6011" w:rsidRPr="00EF44C8" w:rsidRDefault="004D6011" w:rsidP="00F24C5C">
            <w:pPr>
              <w:rPr>
                <w:b/>
                <w:bCs/>
                <w:color w:val="000000"/>
                <w:sz w:val="18"/>
                <w:szCs w:val="18"/>
              </w:rPr>
            </w:pPr>
            <w:r w:rsidRPr="00EF44C8">
              <w:rPr>
                <w:b/>
                <w:bCs/>
                <w:color w:val="000000"/>
                <w:sz w:val="18"/>
                <w:szCs w:val="18"/>
              </w:rPr>
              <w:t>Description</w:t>
            </w:r>
          </w:p>
        </w:tc>
        <w:tc>
          <w:tcPr>
            <w:tcW w:w="1030" w:type="pct"/>
          </w:tcPr>
          <w:p w14:paraId="3400C7E3" w14:textId="77777777" w:rsidR="004D6011" w:rsidRPr="00EF44C8" w:rsidRDefault="004D6011" w:rsidP="00F24C5C">
            <w:pPr>
              <w:jc w:val="right"/>
              <w:rPr>
                <w:b/>
                <w:bCs/>
                <w:color w:val="000000"/>
                <w:sz w:val="18"/>
                <w:szCs w:val="18"/>
              </w:rPr>
            </w:pPr>
            <w:r w:rsidRPr="00EF44C8">
              <w:rPr>
                <w:b/>
                <w:bCs/>
                <w:color w:val="000000"/>
                <w:sz w:val="18"/>
                <w:szCs w:val="18"/>
              </w:rPr>
              <w:t>Budget 2020-2021</w:t>
            </w:r>
          </w:p>
        </w:tc>
      </w:tr>
      <w:tr w:rsidR="004D6011" w:rsidRPr="00EF44C8" w14:paraId="75D32715" w14:textId="77777777" w:rsidTr="00F24C5C">
        <w:trPr>
          <w:trHeight w:val="315"/>
        </w:trPr>
        <w:tc>
          <w:tcPr>
            <w:tcW w:w="672" w:type="pct"/>
          </w:tcPr>
          <w:p w14:paraId="4CF1512B" w14:textId="77777777" w:rsidR="004D6011" w:rsidRPr="00EF44C8" w:rsidRDefault="004D6011" w:rsidP="00F24C5C">
            <w:pPr>
              <w:jc w:val="both"/>
              <w:rPr>
                <w:b/>
                <w:bCs/>
                <w:color w:val="000000"/>
                <w:sz w:val="18"/>
                <w:szCs w:val="18"/>
              </w:rPr>
            </w:pPr>
          </w:p>
        </w:tc>
        <w:tc>
          <w:tcPr>
            <w:tcW w:w="3298" w:type="pct"/>
          </w:tcPr>
          <w:p w14:paraId="60C3B8C2" w14:textId="77777777" w:rsidR="004D6011" w:rsidRPr="00EF44C8" w:rsidRDefault="004D6011" w:rsidP="00F24C5C">
            <w:pPr>
              <w:rPr>
                <w:b/>
                <w:bCs/>
                <w:color w:val="000000"/>
                <w:sz w:val="18"/>
                <w:szCs w:val="18"/>
              </w:rPr>
            </w:pPr>
          </w:p>
        </w:tc>
        <w:tc>
          <w:tcPr>
            <w:tcW w:w="1030" w:type="pct"/>
          </w:tcPr>
          <w:p w14:paraId="4F93D805" w14:textId="77777777" w:rsidR="004D6011" w:rsidRPr="00EF44C8" w:rsidRDefault="004D6011" w:rsidP="00F24C5C">
            <w:pPr>
              <w:jc w:val="center"/>
              <w:rPr>
                <w:b/>
                <w:bCs/>
                <w:color w:val="000000"/>
                <w:sz w:val="18"/>
                <w:szCs w:val="18"/>
              </w:rPr>
            </w:pPr>
            <w:r w:rsidRPr="00EF44C8">
              <w:rPr>
                <w:b/>
                <w:bCs/>
                <w:color w:val="000000"/>
                <w:sz w:val="18"/>
                <w:szCs w:val="18"/>
              </w:rPr>
              <w:t>£m</w:t>
            </w:r>
          </w:p>
        </w:tc>
      </w:tr>
      <w:tr w:rsidR="004D6011" w:rsidRPr="00EF44C8" w14:paraId="6E70EC62" w14:textId="77777777" w:rsidTr="00F24C5C">
        <w:trPr>
          <w:trHeight w:val="315"/>
        </w:trPr>
        <w:tc>
          <w:tcPr>
            <w:tcW w:w="672" w:type="pct"/>
          </w:tcPr>
          <w:p w14:paraId="408F46B7" w14:textId="77777777" w:rsidR="004D6011" w:rsidRPr="00EF44C8" w:rsidRDefault="004D6011" w:rsidP="00F24C5C">
            <w:pPr>
              <w:pStyle w:val="ListParagraph"/>
              <w:numPr>
                <w:ilvl w:val="0"/>
                <w:numId w:val="22"/>
              </w:numPr>
              <w:spacing w:line="276" w:lineRule="auto"/>
              <w:jc w:val="both"/>
              <w:rPr>
                <w:b/>
                <w:bCs/>
                <w:color w:val="000000"/>
                <w:sz w:val="18"/>
                <w:szCs w:val="18"/>
              </w:rPr>
            </w:pPr>
          </w:p>
        </w:tc>
        <w:tc>
          <w:tcPr>
            <w:tcW w:w="3298" w:type="pct"/>
            <w:hideMark/>
          </w:tcPr>
          <w:p w14:paraId="5398BE82" w14:textId="77777777" w:rsidR="004D6011" w:rsidRPr="00EF44C8" w:rsidRDefault="004D6011" w:rsidP="00F24C5C">
            <w:pPr>
              <w:rPr>
                <w:b/>
                <w:bCs/>
                <w:color w:val="000000"/>
                <w:sz w:val="18"/>
                <w:szCs w:val="18"/>
              </w:rPr>
            </w:pPr>
            <w:r w:rsidRPr="00EF44C8">
              <w:rPr>
                <w:b/>
                <w:bCs/>
                <w:color w:val="000000"/>
                <w:sz w:val="18"/>
                <w:szCs w:val="18"/>
              </w:rPr>
              <w:t>Contribution to Service Management</w:t>
            </w:r>
          </w:p>
        </w:tc>
        <w:tc>
          <w:tcPr>
            <w:tcW w:w="1030" w:type="pct"/>
            <w:hideMark/>
          </w:tcPr>
          <w:p w14:paraId="25D16DE0" w14:textId="77777777" w:rsidR="004D6011" w:rsidRPr="00EF44C8" w:rsidRDefault="004D6011" w:rsidP="00F24C5C">
            <w:pPr>
              <w:jc w:val="right"/>
              <w:rPr>
                <w:b/>
                <w:bCs/>
                <w:color w:val="000000"/>
                <w:sz w:val="18"/>
                <w:szCs w:val="18"/>
              </w:rPr>
            </w:pPr>
            <w:r w:rsidRPr="00EF44C8">
              <w:rPr>
                <w:b/>
                <w:bCs/>
                <w:color w:val="000000"/>
                <w:sz w:val="18"/>
                <w:szCs w:val="18"/>
              </w:rPr>
              <w:t>0.06</w:t>
            </w:r>
          </w:p>
        </w:tc>
      </w:tr>
      <w:tr w:rsidR="004D6011" w:rsidRPr="00EF44C8" w14:paraId="51E23921" w14:textId="77777777" w:rsidTr="00F24C5C">
        <w:trPr>
          <w:trHeight w:val="315"/>
        </w:trPr>
        <w:tc>
          <w:tcPr>
            <w:tcW w:w="672" w:type="pct"/>
          </w:tcPr>
          <w:p w14:paraId="7D296CC6" w14:textId="77777777" w:rsidR="004D6011" w:rsidRPr="00EF44C8" w:rsidRDefault="004D6011" w:rsidP="00F24C5C">
            <w:pPr>
              <w:pStyle w:val="ListParagraph"/>
              <w:numPr>
                <w:ilvl w:val="0"/>
                <w:numId w:val="22"/>
              </w:numPr>
              <w:spacing w:line="276" w:lineRule="auto"/>
              <w:jc w:val="both"/>
              <w:rPr>
                <w:b/>
                <w:bCs/>
                <w:color w:val="000000"/>
                <w:sz w:val="18"/>
                <w:szCs w:val="18"/>
              </w:rPr>
            </w:pPr>
          </w:p>
        </w:tc>
        <w:tc>
          <w:tcPr>
            <w:tcW w:w="3298" w:type="pct"/>
            <w:hideMark/>
          </w:tcPr>
          <w:p w14:paraId="393EEDD4" w14:textId="77777777" w:rsidR="004D6011" w:rsidRPr="00EF44C8" w:rsidRDefault="004D6011" w:rsidP="00F24C5C">
            <w:pPr>
              <w:rPr>
                <w:b/>
                <w:bCs/>
                <w:color w:val="000000"/>
                <w:sz w:val="18"/>
                <w:szCs w:val="18"/>
              </w:rPr>
            </w:pPr>
            <w:r w:rsidRPr="00EF44C8">
              <w:rPr>
                <w:b/>
                <w:bCs/>
                <w:color w:val="000000"/>
                <w:sz w:val="18"/>
                <w:szCs w:val="18"/>
              </w:rPr>
              <w:t>Business Support: sufficiency of childcare places (PVI) and QA of criterion referenced entitlements (PVI)</w:t>
            </w:r>
          </w:p>
        </w:tc>
        <w:tc>
          <w:tcPr>
            <w:tcW w:w="1030" w:type="pct"/>
            <w:hideMark/>
          </w:tcPr>
          <w:p w14:paraId="3E36A845" w14:textId="77777777" w:rsidR="004D6011" w:rsidRPr="00EF44C8" w:rsidRDefault="004D6011" w:rsidP="00F24C5C">
            <w:pPr>
              <w:jc w:val="right"/>
              <w:rPr>
                <w:b/>
                <w:bCs/>
                <w:color w:val="000000"/>
                <w:sz w:val="18"/>
                <w:szCs w:val="18"/>
              </w:rPr>
            </w:pPr>
            <w:r w:rsidRPr="00EF44C8">
              <w:rPr>
                <w:b/>
                <w:bCs/>
                <w:color w:val="000000"/>
                <w:sz w:val="18"/>
                <w:szCs w:val="18"/>
              </w:rPr>
              <w:t>0.34</w:t>
            </w:r>
          </w:p>
        </w:tc>
      </w:tr>
      <w:tr w:rsidR="004D6011" w:rsidRPr="00EF44C8" w14:paraId="63CCA249" w14:textId="77777777" w:rsidTr="00F24C5C">
        <w:trPr>
          <w:trHeight w:val="315"/>
        </w:trPr>
        <w:tc>
          <w:tcPr>
            <w:tcW w:w="672" w:type="pct"/>
          </w:tcPr>
          <w:p w14:paraId="6EB68D90" w14:textId="77777777" w:rsidR="004D6011" w:rsidRPr="00EF44C8" w:rsidRDefault="004D6011" w:rsidP="00F24C5C">
            <w:pPr>
              <w:pStyle w:val="ListParagraph"/>
              <w:numPr>
                <w:ilvl w:val="0"/>
                <w:numId w:val="22"/>
              </w:numPr>
              <w:spacing w:line="276" w:lineRule="auto"/>
              <w:jc w:val="both"/>
              <w:rPr>
                <w:b/>
                <w:bCs/>
                <w:color w:val="000000"/>
                <w:sz w:val="18"/>
                <w:szCs w:val="18"/>
              </w:rPr>
            </w:pPr>
          </w:p>
        </w:tc>
        <w:tc>
          <w:tcPr>
            <w:tcW w:w="3298" w:type="pct"/>
            <w:hideMark/>
          </w:tcPr>
          <w:p w14:paraId="6C61C0B3" w14:textId="77777777" w:rsidR="004D6011" w:rsidRPr="00EF44C8" w:rsidRDefault="004D6011" w:rsidP="00F24C5C">
            <w:pPr>
              <w:rPr>
                <w:b/>
                <w:bCs/>
                <w:color w:val="000000"/>
                <w:sz w:val="18"/>
                <w:szCs w:val="18"/>
              </w:rPr>
            </w:pPr>
            <w:r w:rsidRPr="00EF44C8">
              <w:rPr>
                <w:b/>
                <w:bCs/>
                <w:color w:val="000000"/>
                <w:sz w:val="18"/>
                <w:szCs w:val="18"/>
              </w:rPr>
              <w:t>Quality Assurance team (PVI quality improvement)</w:t>
            </w:r>
          </w:p>
        </w:tc>
        <w:tc>
          <w:tcPr>
            <w:tcW w:w="1030" w:type="pct"/>
            <w:hideMark/>
          </w:tcPr>
          <w:p w14:paraId="7D2A88BC" w14:textId="77777777" w:rsidR="004D6011" w:rsidRPr="00EF44C8" w:rsidRDefault="004D6011" w:rsidP="00F24C5C">
            <w:pPr>
              <w:jc w:val="right"/>
              <w:rPr>
                <w:b/>
                <w:bCs/>
                <w:color w:val="000000"/>
                <w:sz w:val="18"/>
                <w:szCs w:val="18"/>
              </w:rPr>
            </w:pPr>
            <w:r w:rsidRPr="00EF44C8">
              <w:rPr>
                <w:b/>
                <w:bCs/>
                <w:color w:val="000000"/>
                <w:sz w:val="18"/>
                <w:szCs w:val="18"/>
              </w:rPr>
              <w:t>0.34</w:t>
            </w:r>
          </w:p>
        </w:tc>
      </w:tr>
      <w:tr w:rsidR="004D6011" w:rsidRPr="00EF44C8" w14:paraId="0100274D" w14:textId="77777777" w:rsidTr="00F24C5C">
        <w:trPr>
          <w:trHeight w:val="315"/>
        </w:trPr>
        <w:tc>
          <w:tcPr>
            <w:tcW w:w="672" w:type="pct"/>
          </w:tcPr>
          <w:p w14:paraId="3C7AAC74" w14:textId="77777777" w:rsidR="004D6011" w:rsidRPr="00EF44C8" w:rsidRDefault="004D6011" w:rsidP="00F24C5C">
            <w:pPr>
              <w:pStyle w:val="ListParagraph"/>
              <w:numPr>
                <w:ilvl w:val="0"/>
                <w:numId w:val="22"/>
              </w:numPr>
              <w:spacing w:line="276" w:lineRule="auto"/>
              <w:jc w:val="both"/>
              <w:rPr>
                <w:b/>
                <w:bCs/>
                <w:color w:val="000000"/>
                <w:sz w:val="18"/>
                <w:szCs w:val="18"/>
              </w:rPr>
            </w:pPr>
          </w:p>
        </w:tc>
        <w:tc>
          <w:tcPr>
            <w:tcW w:w="3298" w:type="pct"/>
            <w:hideMark/>
          </w:tcPr>
          <w:p w14:paraId="4936A120" w14:textId="77777777" w:rsidR="004D6011" w:rsidRPr="00EF44C8" w:rsidRDefault="004D6011" w:rsidP="00F24C5C">
            <w:pPr>
              <w:rPr>
                <w:b/>
                <w:bCs/>
                <w:color w:val="000000"/>
                <w:sz w:val="18"/>
                <w:szCs w:val="18"/>
              </w:rPr>
            </w:pPr>
            <w:r w:rsidRPr="00EF44C8">
              <w:rPr>
                <w:b/>
                <w:bCs/>
                <w:color w:val="000000"/>
                <w:sz w:val="18"/>
                <w:szCs w:val="18"/>
              </w:rPr>
              <w:t xml:space="preserve">Area Inclusion Co-Ordinators (SEND support in PVI settings) and EYFSP moderation </w:t>
            </w:r>
          </w:p>
        </w:tc>
        <w:tc>
          <w:tcPr>
            <w:tcW w:w="1030" w:type="pct"/>
            <w:hideMark/>
          </w:tcPr>
          <w:p w14:paraId="4FD0314D" w14:textId="77777777" w:rsidR="004D6011" w:rsidRPr="00EF44C8" w:rsidRDefault="004D6011" w:rsidP="00F24C5C">
            <w:pPr>
              <w:jc w:val="right"/>
              <w:rPr>
                <w:b/>
                <w:bCs/>
                <w:color w:val="000000"/>
                <w:sz w:val="18"/>
                <w:szCs w:val="18"/>
              </w:rPr>
            </w:pPr>
            <w:r w:rsidRPr="00EF44C8">
              <w:rPr>
                <w:b/>
                <w:bCs/>
                <w:color w:val="000000"/>
                <w:sz w:val="18"/>
                <w:szCs w:val="18"/>
              </w:rPr>
              <w:t>0.43</w:t>
            </w:r>
          </w:p>
        </w:tc>
      </w:tr>
      <w:tr w:rsidR="004D6011" w:rsidRPr="00EF44C8" w14:paraId="3F0FACBB" w14:textId="77777777" w:rsidTr="00F24C5C">
        <w:trPr>
          <w:trHeight w:val="315"/>
        </w:trPr>
        <w:tc>
          <w:tcPr>
            <w:tcW w:w="672" w:type="pct"/>
          </w:tcPr>
          <w:p w14:paraId="7DF05DA8" w14:textId="77777777" w:rsidR="004D6011" w:rsidRPr="00EF44C8" w:rsidRDefault="004D6011" w:rsidP="00F24C5C">
            <w:pPr>
              <w:pStyle w:val="ListParagraph"/>
              <w:numPr>
                <w:ilvl w:val="0"/>
                <w:numId w:val="22"/>
              </w:numPr>
              <w:spacing w:line="276" w:lineRule="auto"/>
              <w:jc w:val="both"/>
              <w:rPr>
                <w:b/>
                <w:bCs/>
                <w:color w:val="000000"/>
                <w:sz w:val="18"/>
                <w:szCs w:val="18"/>
              </w:rPr>
            </w:pPr>
          </w:p>
        </w:tc>
        <w:tc>
          <w:tcPr>
            <w:tcW w:w="3298" w:type="pct"/>
            <w:hideMark/>
          </w:tcPr>
          <w:p w14:paraId="0945E814" w14:textId="77777777" w:rsidR="004D6011" w:rsidRPr="00EF44C8" w:rsidRDefault="004D6011" w:rsidP="00F24C5C">
            <w:pPr>
              <w:rPr>
                <w:b/>
                <w:bCs/>
                <w:color w:val="000000"/>
                <w:sz w:val="18"/>
                <w:szCs w:val="18"/>
              </w:rPr>
            </w:pPr>
            <w:r w:rsidRPr="00EF44C8">
              <w:rPr>
                <w:b/>
                <w:bCs/>
                <w:color w:val="000000"/>
                <w:sz w:val="18"/>
                <w:szCs w:val="18"/>
              </w:rPr>
              <w:t xml:space="preserve">Workforce Development </w:t>
            </w:r>
          </w:p>
        </w:tc>
        <w:tc>
          <w:tcPr>
            <w:tcW w:w="1030" w:type="pct"/>
            <w:hideMark/>
          </w:tcPr>
          <w:p w14:paraId="59E4F173" w14:textId="77777777" w:rsidR="004D6011" w:rsidRPr="00EF44C8" w:rsidRDefault="004D6011" w:rsidP="00F24C5C">
            <w:pPr>
              <w:jc w:val="right"/>
              <w:rPr>
                <w:b/>
                <w:bCs/>
                <w:color w:val="000000"/>
                <w:sz w:val="18"/>
                <w:szCs w:val="18"/>
              </w:rPr>
            </w:pPr>
            <w:r w:rsidRPr="00EF44C8">
              <w:rPr>
                <w:b/>
                <w:bCs/>
                <w:color w:val="000000"/>
                <w:sz w:val="18"/>
                <w:szCs w:val="18"/>
              </w:rPr>
              <w:t>0.1</w:t>
            </w:r>
          </w:p>
        </w:tc>
      </w:tr>
      <w:tr w:rsidR="004D6011" w:rsidRPr="002F653C" w14:paraId="58173694" w14:textId="77777777" w:rsidTr="00F24C5C">
        <w:trPr>
          <w:trHeight w:val="315"/>
        </w:trPr>
        <w:tc>
          <w:tcPr>
            <w:tcW w:w="672" w:type="pct"/>
            <w:hideMark/>
          </w:tcPr>
          <w:p w14:paraId="5762679C" w14:textId="77777777" w:rsidR="004D6011" w:rsidRPr="00EF44C8" w:rsidRDefault="004D6011" w:rsidP="00F24C5C">
            <w:pPr>
              <w:jc w:val="both"/>
              <w:rPr>
                <w:b/>
                <w:bCs/>
                <w:color w:val="000000"/>
                <w:sz w:val="18"/>
                <w:szCs w:val="18"/>
              </w:rPr>
            </w:pPr>
            <w:r w:rsidRPr="00EF44C8">
              <w:rPr>
                <w:b/>
                <w:bCs/>
                <w:color w:val="000000"/>
                <w:sz w:val="18"/>
                <w:szCs w:val="18"/>
              </w:rPr>
              <w:t> </w:t>
            </w:r>
          </w:p>
        </w:tc>
        <w:tc>
          <w:tcPr>
            <w:tcW w:w="3298" w:type="pct"/>
            <w:hideMark/>
          </w:tcPr>
          <w:p w14:paraId="752DB82A" w14:textId="77777777" w:rsidR="004D6011" w:rsidRPr="00EF44C8" w:rsidRDefault="004D6011" w:rsidP="00F24C5C">
            <w:pPr>
              <w:rPr>
                <w:b/>
                <w:bCs/>
                <w:color w:val="000000"/>
                <w:sz w:val="18"/>
                <w:szCs w:val="18"/>
              </w:rPr>
            </w:pPr>
            <w:r w:rsidRPr="00EF44C8">
              <w:rPr>
                <w:b/>
                <w:bCs/>
                <w:color w:val="000000"/>
                <w:sz w:val="18"/>
                <w:szCs w:val="18"/>
              </w:rPr>
              <w:t>TOTAL</w:t>
            </w:r>
          </w:p>
        </w:tc>
        <w:tc>
          <w:tcPr>
            <w:tcW w:w="1030" w:type="pct"/>
            <w:hideMark/>
          </w:tcPr>
          <w:p w14:paraId="75FF240E" w14:textId="77777777" w:rsidR="004D6011" w:rsidRPr="002F653C" w:rsidRDefault="004D6011" w:rsidP="00F24C5C">
            <w:pPr>
              <w:jc w:val="right"/>
              <w:rPr>
                <w:b/>
                <w:bCs/>
                <w:color w:val="000000"/>
                <w:sz w:val="18"/>
                <w:szCs w:val="18"/>
              </w:rPr>
            </w:pPr>
            <w:r w:rsidRPr="00EF44C8">
              <w:rPr>
                <w:b/>
                <w:bCs/>
                <w:color w:val="000000"/>
                <w:sz w:val="18"/>
                <w:szCs w:val="18"/>
              </w:rPr>
              <w:t>1.29</w:t>
            </w:r>
          </w:p>
        </w:tc>
      </w:tr>
    </w:tbl>
    <w:p w14:paraId="7F4E8685" w14:textId="028BA703" w:rsidR="004D6011" w:rsidRDefault="004D6011" w:rsidP="000B1E4E"/>
    <w:p w14:paraId="4292D9F5" w14:textId="77777777" w:rsidR="004D6011" w:rsidRPr="00341922" w:rsidRDefault="004D6011" w:rsidP="000B1E4E"/>
    <w:p w14:paraId="7700BC20" w14:textId="4C0C1C8D" w:rsidR="000B1E4E" w:rsidRPr="002F653C" w:rsidRDefault="009261F8" w:rsidP="000B1E4E">
      <w:pPr>
        <w:pStyle w:val="Heading2"/>
        <w:keepNext w:val="0"/>
        <w:numPr>
          <w:ilvl w:val="0"/>
          <w:numId w:val="20"/>
        </w:numPr>
        <w:spacing w:before="200" w:after="0" w:line="276" w:lineRule="auto"/>
      </w:pPr>
      <w:r>
        <w:t>Budget update (2020-22)</w:t>
      </w:r>
    </w:p>
    <w:p w14:paraId="680B13D7" w14:textId="77777777" w:rsidR="008C2214" w:rsidRDefault="008C2214" w:rsidP="00341922">
      <w:pPr>
        <w:pStyle w:val="ListParagraph"/>
        <w:spacing w:after="120"/>
        <w:ind w:left="765"/>
      </w:pPr>
    </w:p>
    <w:p w14:paraId="519CE1DB" w14:textId="712C8F2C" w:rsidR="007D1FD3" w:rsidRDefault="008C2214" w:rsidP="008C2214">
      <w:pPr>
        <w:pStyle w:val="ListParagraph"/>
        <w:numPr>
          <w:ilvl w:val="1"/>
          <w:numId w:val="3"/>
        </w:numPr>
        <w:spacing w:after="120"/>
      </w:pPr>
      <w:r>
        <w:t xml:space="preserve">Due to the Covid-19 pandemic in 2020-21, the DFE </w:t>
      </w:r>
      <w:r w:rsidR="007D1FD3">
        <w:t xml:space="preserve">required all LAs to change their early education </w:t>
      </w:r>
      <w:r>
        <w:t xml:space="preserve">funding </w:t>
      </w:r>
      <w:r w:rsidR="002D3279">
        <w:t>for the Spring and Autumn terms 2020</w:t>
      </w:r>
      <w:r>
        <w:t xml:space="preserve">.  Instead of “following the child” </w:t>
      </w:r>
      <w:r w:rsidR="00942FFE">
        <w:t>by being based on the censuse</w:t>
      </w:r>
      <w:r w:rsidR="00467F55">
        <w:t xml:space="preserve">s, </w:t>
      </w:r>
      <w:r>
        <w:t xml:space="preserve">the </w:t>
      </w:r>
      <w:r w:rsidR="00FC5F65">
        <w:t xml:space="preserve">DFE advised all LAs to calculate early education </w:t>
      </w:r>
      <w:r>
        <w:t xml:space="preserve">funding </w:t>
      </w:r>
      <w:r w:rsidR="00467F55">
        <w:t xml:space="preserve">based </w:t>
      </w:r>
      <w:r>
        <w:t xml:space="preserve">on the equivalent term in </w:t>
      </w:r>
      <w:r w:rsidR="00467F55">
        <w:t>financial year</w:t>
      </w:r>
      <w:r>
        <w:t xml:space="preserve"> 20</w:t>
      </w:r>
      <w:r w:rsidR="007D1FD3">
        <w:t>19</w:t>
      </w:r>
      <w:r>
        <w:t>-2</w:t>
      </w:r>
      <w:r w:rsidR="007D1FD3">
        <w:t>0</w:t>
      </w:r>
      <w:r>
        <w:t xml:space="preserve"> with funding for places in excess made separately.  </w:t>
      </w:r>
      <w:r w:rsidR="00467F55">
        <w:t>The rationale was to ensure that early education and childcare settings were able to cope with the fluctuations in numbers caused by the pandemic and the national tier system.</w:t>
      </w:r>
    </w:p>
    <w:p w14:paraId="6CE42ABE" w14:textId="77777777" w:rsidR="004D0FAF" w:rsidRDefault="004D0FAF" w:rsidP="00341922">
      <w:pPr>
        <w:pStyle w:val="ListParagraph"/>
        <w:spacing w:after="120"/>
        <w:ind w:left="765"/>
      </w:pPr>
    </w:p>
    <w:p w14:paraId="0D1A6A68" w14:textId="18166B1E" w:rsidR="007D1FD3" w:rsidRDefault="007D1FD3" w:rsidP="008C2214">
      <w:pPr>
        <w:pStyle w:val="ListParagraph"/>
        <w:numPr>
          <w:ilvl w:val="1"/>
          <w:numId w:val="3"/>
        </w:numPr>
        <w:spacing w:after="120"/>
      </w:pPr>
      <w:r>
        <w:t>On December 17</w:t>
      </w:r>
      <w:r w:rsidRPr="00341922">
        <w:rPr>
          <w:vertAlign w:val="superscript"/>
        </w:rPr>
        <w:t>th</w:t>
      </w:r>
      <w:proofErr w:type="gramStart"/>
      <w:r>
        <w:t xml:space="preserve"> 2020</w:t>
      </w:r>
      <w:proofErr w:type="gramEnd"/>
      <w:r>
        <w:t xml:space="preserve"> the DFE informed LAs that from 1</w:t>
      </w:r>
      <w:r w:rsidRPr="00341922">
        <w:rPr>
          <w:vertAlign w:val="superscript"/>
        </w:rPr>
        <w:t>st</w:t>
      </w:r>
      <w:r>
        <w:t xml:space="preserve"> January 2021 early education and care funding would return to being based on the </w:t>
      </w:r>
      <w:r w:rsidR="004D0FAF">
        <w:t xml:space="preserve">January </w:t>
      </w:r>
      <w:r>
        <w:t>census</w:t>
      </w:r>
      <w:r w:rsidR="004D0FAF">
        <w:t>.  All London LAs</w:t>
      </w:r>
      <w:r w:rsidR="00EA70E2">
        <w:t>, including Tower Hamlets,</w:t>
      </w:r>
      <w:r w:rsidR="004D0FAF">
        <w:t xml:space="preserve"> have contacted the DFE in the light of the introduction of tier 4 on 20 December 2020 and of tier 5 on </w:t>
      </w:r>
      <w:r w:rsidR="00EA70E2">
        <w:t>6</w:t>
      </w:r>
      <w:r w:rsidR="004D0FAF">
        <w:t xml:space="preserve"> January 2021</w:t>
      </w:r>
      <w:r w:rsidR="004B19B1">
        <w:t xml:space="preserve"> asking that early education funding follow</w:t>
      </w:r>
      <w:r w:rsidR="00157831">
        <w:t>s</w:t>
      </w:r>
      <w:r w:rsidR="004B19B1">
        <w:t xml:space="preserve"> the model for the Spring and Au</w:t>
      </w:r>
      <w:r w:rsidR="00157831">
        <w:t>tumn</w:t>
      </w:r>
      <w:r w:rsidR="004B19B1">
        <w:t xml:space="preserve"> terms 2020.  If it does not, Heads of Early Years have reported to the DFE that there will be </w:t>
      </w:r>
      <w:r w:rsidR="00F30C26">
        <w:t>severe financial difficulties for</w:t>
      </w:r>
      <w:r w:rsidR="004B19B1">
        <w:t xml:space="preserve"> early education settings</w:t>
      </w:r>
      <w:r w:rsidR="008230E2">
        <w:t xml:space="preserve"> (including schools with nursery provision) in financial year 20</w:t>
      </w:r>
      <w:r w:rsidR="00E708C4">
        <w:t>20-21</w:t>
      </w:r>
      <w:r w:rsidR="004B19B1">
        <w:t xml:space="preserve"> as </w:t>
      </w:r>
      <w:r w:rsidR="0054170C">
        <w:t xml:space="preserve">only vulnerable children and the children of key workers </w:t>
      </w:r>
      <w:r w:rsidR="00E708C4">
        <w:t>may</w:t>
      </w:r>
      <w:r w:rsidR="0054170C">
        <w:t xml:space="preserve"> be attending on </w:t>
      </w:r>
      <w:r w:rsidR="008230E2">
        <w:t xml:space="preserve">EY </w:t>
      </w:r>
      <w:r w:rsidR="0054170C">
        <w:t>census day.</w:t>
      </w:r>
      <w:r w:rsidR="00547F36">
        <w:t xml:space="preserve">  Early education settings (including schools with nursery provision) may wish to make their views known to the relevant Minister, in this case Vicky Ford,</w:t>
      </w:r>
      <w:r w:rsidR="00332F26">
        <w:t xml:space="preserve"> the Minister for Children.</w:t>
      </w:r>
    </w:p>
    <w:p w14:paraId="659B8D9F" w14:textId="77777777" w:rsidR="007D1FD3" w:rsidRDefault="007D1FD3" w:rsidP="00341922">
      <w:pPr>
        <w:pStyle w:val="ListParagraph"/>
        <w:spacing w:after="120"/>
        <w:ind w:left="765"/>
      </w:pPr>
    </w:p>
    <w:p w14:paraId="5132EBFA" w14:textId="0E97D66C" w:rsidR="008C2214" w:rsidRPr="00341922" w:rsidRDefault="00997F21" w:rsidP="00341922">
      <w:pPr>
        <w:pStyle w:val="ListParagraph"/>
        <w:numPr>
          <w:ilvl w:val="1"/>
          <w:numId w:val="3"/>
        </w:numPr>
        <w:spacing w:after="120"/>
      </w:pPr>
      <w:r>
        <w:lastRenderedPageBreak/>
        <w:t xml:space="preserve">Given the </w:t>
      </w:r>
      <w:r w:rsidR="00332F26">
        <w:t xml:space="preserve">current </w:t>
      </w:r>
      <w:r>
        <w:t>un</w:t>
      </w:r>
      <w:r w:rsidR="00332F26">
        <w:t xml:space="preserve">precedented </w:t>
      </w:r>
      <w:r>
        <w:t>financial situation, it is difficult to predict available budgets for the LA and for early years settings (including schools with nursery provision)</w:t>
      </w:r>
      <w:r w:rsidR="00332F26">
        <w:t xml:space="preserve"> for 202</w:t>
      </w:r>
      <w:r w:rsidR="00697114">
        <w:t>1-22.</w:t>
      </w:r>
      <w:r>
        <w:t xml:space="preserve">  We await further guidance from the DFE.</w:t>
      </w:r>
      <w:r w:rsidR="004E5782">
        <w:t xml:space="preserve">  This was originally promised for the 4</w:t>
      </w:r>
      <w:r w:rsidR="004E5782" w:rsidRPr="00341922">
        <w:rPr>
          <w:vertAlign w:val="superscript"/>
        </w:rPr>
        <w:t>th</w:t>
      </w:r>
      <w:r w:rsidR="004E5782">
        <w:t xml:space="preserve"> of January 2021 but due to the Covid-</w:t>
      </w:r>
      <w:r w:rsidR="003E479B">
        <w:t>19 announcement</w:t>
      </w:r>
      <w:r w:rsidR="00A142E2">
        <w:t xml:space="preserve"> on 5</w:t>
      </w:r>
      <w:r w:rsidR="00A142E2" w:rsidRPr="00A142E2">
        <w:rPr>
          <w:vertAlign w:val="superscript"/>
        </w:rPr>
        <w:t>th</w:t>
      </w:r>
      <w:r w:rsidR="00A142E2">
        <w:t xml:space="preserve"> January 2021</w:t>
      </w:r>
      <w:r w:rsidR="003E479B">
        <w:t xml:space="preserve">, </w:t>
      </w:r>
      <w:r w:rsidR="00A142E2">
        <w:t xml:space="preserve">the circulation of this information by the DFE has yet to take place. </w:t>
      </w:r>
    </w:p>
    <w:p w14:paraId="7CABDFE7" w14:textId="2B239777" w:rsidR="000B1E4E" w:rsidRPr="002F653C" w:rsidRDefault="000B1E4E" w:rsidP="000B1E4E">
      <w:pPr>
        <w:pStyle w:val="Heading2"/>
      </w:pPr>
      <w:r w:rsidRPr="002F653C">
        <w:t xml:space="preserve">4.  Items for </w:t>
      </w:r>
      <w:r w:rsidR="00A53D66">
        <w:t xml:space="preserve">Discussion </w:t>
      </w:r>
      <w:r w:rsidRPr="002F653C">
        <w:t>202</w:t>
      </w:r>
      <w:r w:rsidR="007214EB">
        <w:t>1</w:t>
      </w:r>
      <w:r w:rsidRPr="002F653C">
        <w:t>-202</w:t>
      </w:r>
      <w:r w:rsidR="007214EB">
        <w:t>2</w:t>
      </w:r>
    </w:p>
    <w:p w14:paraId="0D93EC65" w14:textId="77777777" w:rsidR="0034098B" w:rsidRDefault="00BA02C4" w:rsidP="000B1E4E">
      <w:pPr>
        <w:spacing w:after="120"/>
      </w:pPr>
      <w:r w:rsidRPr="002F653C">
        <w:t>4.</w:t>
      </w:r>
      <w:r w:rsidR="00A53D66">
        <w:t>1</w:t>
      </w:r>
      <w:r w:rsidRPr="002F653C">
        <w:t xml:space="preserve"> </w:t>
      </w:r>
      <w:r w:rsidR="0034098B">
        <w:t xml:space="preserve">Quality improvement across all early </w:t>
      </w:r>
      <w:proofErr w:type="gramStart"/>
      <w:r w:rsidR="0034098B">
        <w:t>years</w:t>
      </w:r>
      <w:proofErr w:type="gramEnd"/>
      <w:r w:rsidR="0034098B">
        <w:t xml:space="preserve"> provision:</w:t>
      </w:r>
    </w:p>
    <w:p w14:paraId="2F69E9F2" w14:textId="3D2F9D04" w:rsidR="000B1E4E" w:rsidRDefault="000B1E4E" w:rsidP="000B1E4E">
      <w:pPr>
        <w:spacing w:after="120"/>
      </w:pPr>
      <w:r w:rsidRPr="002F653C">
        <w:t>The percentage of childcare settings achieving a “Good” and “Outstanding” rating from Ofsted has increased from 49% in 2013 to 9</w:t>
      </w:r>
      <w:r w:rsidR="0034098B">
        <w:t>9</w:t>
      </w:r>
      <w:r w:rsidRPr="002F653C">
        <w:t>% in 20</w:t>
      </w:r>
      <w:r w:rsidR="00157831">
        <w:t>20</w:t>
      </w:r>
      <w:r w:rsidRPr="002F653C">
        <w:t xml:space="preserve"> as a result of </w:t>
      </w:r>
      <w:r w:rsidR="00900E0D">
        <w:t xml:space="preserve">everyone’s </w:t>
      </w:r>
      <w:r w:rsidRPr="002F653C">
        <w:t xml:space="preserve">work with childcare settings.  </w:t>
      </w:r>
      <w:r w:rsidR="0034098B">
        <w:t>T</w:t>
      </w:r>
      <w:r w:rsidR="00900E0D">
        <w:t xml:space="preserve">his now matches the level of </w:t>
      </w:r>
      <w:r w:rsidR="00900E0D" w:rsidRPr="002F653C">
        <w:t>“Good” and “Outstanding” rating</w:t>
      </w:r>
      <w:r w:rsidR="00900E0D">
        <w:t>s</w:t>
      </w:r>
      <w:r w:rsidR="00900E0D" w:rsidRPr="002F653C">
        <w:t xml:space="preserve"> from Ofsted</w:t>
      </w:r>
      <w:r w:rsidR="00900E0D">
        <w:t xml:space="preserve"> for school nursery provision.   </w:t>
      </w:r>
      <w:r w:rsidRPr="002F653C">
        <w:t>Research indicates that such Ofsted gradings contribute positively to children’s outcomes.</w:t>
      </w:r>
      <w:r w:rsidR="00157831">
        <w:t xml:space="preserve">  One childcare setting has been closed by Ofsted as inadequate.  One has ceased trading due to financial problems.  Four new settings with new management and staff have opened.</w:t>
      </w:r>
    </w:p>
    <w:p w14:paraId="597A8BA1" w14:textId="77777777" w:rsidR="00D252B9" w:rsidRDefault="000524DD" w:rsidP="000B1E4E">
      <w:pPr>
        <w:spacing w:after="120"/>
      </w:pPr>
      <w:r>
        <w:t xml:space="preserve">4.2 </w:t>
      </w:r>
      <w:r w:rsidR="00A47A0D">
        <w:t>Contingency fund</w:t>
      </w:r>
      <w:r w:rsidR="0082783F">
        <w:t xml:space="preserve">:  </w:t>
      </w:r>
    </w:p>
    <w:p w14:paraId="0609D349" w14:textId="2816595D" w:rsidR="000524DD" w:rsidRDefault="008220AB" w:rsidP="000B1E4E">
      <w:pPr>
        <w:spacing w:after="120"/>
      </w:pPr>
      <w:r>
        <w:t>It is good practice for an LA to operate a contingency fund to cover in year movement and</w:t>
      </w:r>
      <w:r w:rsidR="009C4BC9">
        <w:t xml:space="preserve"> </w:t>
      </w:r>
      <w:r w:rsidR="00AA31AA">
        <w:t>place creation.</w:t>
      </w:r>
      <w:r w:rsidR="000524DD">
        <w:t xml:space="preserve">  </w:t>
      </w:r>
      <w:r w:rsidR="00D252B9">
        <w:t>As notified previously, this LA intends to create a contingency fund</w:t>
      </w:r>
      <w:r w:rsidR="00E71852">
        <w:t xml:space="preserve">.  </w:t>
      </w:r>
      <w:r w:rsidR="000524DD">
        <w:t>This will enable the authority to address concerns raised by providers over payment for places created after the EY census date.</w:t>
      </w:r>
      <w:r w:rsidR="00C96AD7">
        <w:t xml:space="preserve">  Forum is asked to note that the creation of this contingency fund is now a priority for both the IEYS and Schools Finance</w:t>
      </w:r>
      <w:r w:rsidR="00D252B9">
        <w:t>.</w:t>
      </w:r>
    </w:p>
    <w:p w14:paraId="4B505051" w14:textId="77777777" w:rsidR="00E71852" w:rsidRDefault="000524DD" w:rsidP="000B1E4E">
      <w:pPr>
        <w:spacing w:after="120"/>
      </w:pPr>
      <w:r>
        <w:t xml:space="preserve">4.3 Deprivation supplement:  </w:t>
      </w:r>
    </w:p>
    <w:p w14:paraId="2E4B3F4B" w14:textId="59079BCC" w:rsidR="00A47A0D" w:rsidRDefault="000524DD" w:rsidP="000B1E4E">
      <w:pPr>
        <w:spacing w:after="120"/>
      </w:pPr>
      <w:r>
        <w:t>It is proposed that the council complies with national financial regulations with reference to the deprivation supplement</w:t>
      </w:r>
      <w:r w:rsidR="0082783F">
        <w:t xml:space="preserve">.  </w:t>
      </w:r>
      <w:proofErr w:type="gramStart"/>
      <w:r w:rsidR="0082783F">
        <w:t xml:space="preserve">The </w:t>
      </w:r>
      <w:r w:rsidR="00E71852">
        <w:t xml:space="preserve"> </w:t>
      </w:r>
      <w:r w:rsidR="00C777AD">
        <w:t>outcome</w:t>
      </w:r>
      <w:proofErr w:type="gramEnd"/>
      <w:r w:rsidR="00C777AD">
        <w:t xml:space="preserve"> of this compliance will be that </w:t>
      </w:r>
      <w:r w:rsidR="0082783F">
        <w:t>provision for pupils in school nursery classes and in maintained nursery schools are supported in the same way as children attending childcare settings.</w:t>
      </w:r>
    </w:p>
    <w:p w14:paraId="0D40B51F" w14:textId="77777777" w:rsidR="00773628" w:rsidRPr="002F653C" w:rsidRDefault="00773628" w:rsidP="00773628">
      <w:pPr>
        <w:pStyle w:val="Heading2"/>
        <w:spacing w:before="0" w:after="120"/>
      </w:pPr>
      <w:r w:rsidRPr="002F653C">
        <w:t xml:space="preserve">Conclusions </w:t>
      </w:r>
    </w:p>
    <w:p w14:paraId="06710F54" w14:textId="4778C152" w:rsidR="00773628" w:rsidRPr="002F653C" w:rsidRDefault="00773628" w:rsidP="00773628">
      <w:pPr>
        <w:spacing w:after="120"/>
      </w:pPr>
      <w:r w:rsidRPr="002F653C">
        <w:t>This paper updates and consults with Schools Forum on the proposed funding arrangements for early years for 202</w:t>
      </w:r>
      <w:r w:rsidR="00157831">
        <w:t>1</w:t>
      </w:r>
      <w:r w:rsidR="00BA02C4" w:rsidRPr="002F653C">
        <w:t>-2</w:t>
      </w:r>
      <w:r w:rsidR="00157831">
        <w:t>2</w:t>
      </w:r>
      <w:r w:rsidRPr="002F653C">
        <w:t xml:space="preserve"> and seeks agreement on the overall central spend</w:t>
      </w:r>
      <w:r w:rsidR="00611DEE">
        <w:t xml:space="preserve">.  When this is known to the LA, information will be circulated to </w:t>
      </w:r>
      <w:proofErr w:type="gramStart"/>
      <w:r w:rsidR="00611DEE">
        <w:t>Forum.</w:t>
      </w:r>
      <w:r w:rsidRPr="002F653C">
        <w:t>.</w:t>
      </w:r>
      <w:proofErr w:type="gramEnd"/>
      <w:r w:rsidRPr="002F653C">
        <w:t xml:space="preserve"> </w:t>
      </w:r>
    </w:p>
    <w:p w14:paraId="083CDB92" w14:textId="77777777" w:rsidR="00773628" w:rsidRPr="002F653C" w:rsidRDefault="00773628" w:rsidP="00BA02C4">
      <w:pPr>
        <w:pStyle w:val="Heading2"/>
        <w:spacing w:before="120" w:after="120"/>
      </w:pPr>
      <w:r w:rsidRPr="002F653C">
        <w:t>Contact Details of Early Years Lead Officer/Author</w:t>
      </w:r>
    </w:p>
    <w:p w14:paraId="21C035A6" w14:textId="77777777" w:rsidR="00773628" w:rsidRPr="002F653C" w:rsidRDefault="00773628" w:rsidP="00773628">
      <w:pPr>
        <w:spacing w:after="120"/>
      </w:pPr>
      <w:r w:rsidRPr="002F653C">
        <w:t xml:space="preserve">If you have any queries or comments in advance of the Schools Forum meeting about this report, please contact: </w:t>
      </w:r>
    </w:p>
    <w:p w14:paraId="65D6F153" w14:textId="77777777" w:rsidR="00773628" w:rsidRPr="002F653C" w:rsidRDefault="00773628" w:rsidP="00773628">
      <w:pPr>
        <w:ind w:left="720"/>
      </w:pPr>
      <w:r w:rsidRPr="002F653C">
        <w:t xml:space="preserve">Name: Pauline Hoare, Head of the Integrated Early Years’ Service </w:t>
      </w:r>
    </w:p>
    <w:p w14:paraId="01F4FD0F" w14:textId="77777777" w:rsidR="00773628" w:rsidRPr="002F653C" w:rsidRDefault="00773628" w:rsidP="00773628">
      <w:pPr>
        <w:ind w:left="720"/>
      </w:pPr>
      <w:r w:rsidRPr="002F653C">
        <w:t>Telephone Number: 0207 364 6023</w:t>
      </w:r>
    </w:p>
    <w:p w14:paraId="2E9CDE40" w14:textId="77777777" w:rsidR="00773628" w:rsidRPr="00CB46AE" w:rsidRDefault="00773628" w:rsidP="00773628">
      <w:pPr>
        <w:ind w:left="720"/>
      </w:pPr>
      <w:r w:rsidRPr="002F653C">
        <w:t xml:space="preserve">Email Address: </w:t>
      </w:r>
      <w:hyperlink r:id="rId8" w:history="1">
        <w:r w:rsidRPr="00CB46AE">
          <w:rPr>
            <w:rStyle w:val="Hyperlink"/>
            <w:rFonts w:cs="Arial"/>
          </w:rPr>
          <w:t>pauline.hoare@towerhamlets.gov.uk</w:t>
        </w:r>
      </w:hyperlink>
      <w:r w:rsidRPr="00CB46AE">
        <w:t xml:space="preserve"> </w:t>
      </w:r>
    </w:p>
    <w:p w14:paraId="530700C3" w14:textId="77777777" w:rsidR="00773628" w:rsidRPr="002F653C" w:rsidRDefault="00773628" w:rsidP="00773628">
      <w:pPr>
        <w:spacing w:before="200"/>
        <w:ind w:left="720"/>
      </w:pPr>
      <w:r w:rsidRPr="002F653C">
        <w:t xml:space="preserve">Name: Abdul Quddus, Early Intervention Manager  </w:t>
      </w:r>
    </w:p>
    <w:p w14:paraId="4EB51C92" w14:textId="77777777" w:rsidR="00773628" w:rsidRPr="002F653C" w:rsidRDefault="00773628" w:rsidP="00773628">
      <w:pPr>
        <w:ind w:left="720"/>
      </w:pPr>
      <w:r w:rsidRPr="002F653C">
        <w:t>Telephone Number: 0207 364 5402</w:t>
      </w:r>
    </w:p>
    <w:p w14:paraId="02EB4710" w14:textId="658A35DB" w:rsidR="002F1379" w:rsidRPr="00611DEE" w:rsidRDefault="00773628" w:rsidP="00611DEE">
      <w:pPr>
        <w:ind w:left="720"/>
      </w:pPr>
      <w:r w:rsidRPr="002F653C">
        <w:t xml:space="preserve">Email Address: </w:t>
      </w:r>
      <w:hyperlink r:id="rId9" w:history="1">
        <w:r w:rsidRPr="00CB46AE">
          <w:rPr>
            <w:rStyle w:val="Hyperlink"/>
            <w:rFonts w:cs="Arial"/>
          </w:rPr>
          <w:t>Abdul.quddus@towerhamlets.gov.uk</w:t>
        </w:r>
      </w:hyperlink>
      <w:r w:rsidRPr="00CB46AE">
        <w:t xml:space="preserve">  </w:t>
      </w:r>
    </w:p>
    <w:sectPr w:rsidR="002F1379" w:rsidRPr="00611DEE" w:rsidSect="001B481B">
      <w:headerReference w:type="default" r:id="rId10"/>
      <w:footerReference w:type="default" r:id="rId11"/>
      <w:pgSz w:w="11906" w:h="16838" w:code="9"/>
      <w:pgMar w:top="1503"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DE3CD" w14:textId="77777777" w:rsidR="00CD7503" w:rsidRDefault="00CD7503">
      <w:r>
        <w:separator/>
      </w:r>
    </w:p>
  </w:endnote>
  <w:endnote w:type="continuationSeparator" w:id="0">
    <w:p w14:paraId="65EE8AD3" w14:textId="77777777" w:rsidR="00CD7503" w:rsidRDefault="00CD7503">
      <w:r>
        <w:continuationSeparator/>
      </w:r>
    </w:p>
  </w:endnote>
  <w:endnote w:type="continuationNotice" w:id="1">
    <w:p w14:paraId="329373C9" w14:textId="77777777" w:rsidR="00CD7503" w:rsidRDefault="00CD75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03222" w14:textId="77777777" w:rsidR="00196A2B" w:rsidRDefault="00196A2B">
    <w:pPr>
      <w:pStyle w:val="Footer"/>
      <w:jc w:val="center"/>
      <w:rPr>
        <w:b/>
      </w:rPr>
    </w:pPr>
    <w:r>
      <w:rPr>
        <w:rStyle w:val="PageNumber"/>
        <w:b/>
      </w:rPr>
      <w:fldChar w:fldCharType="begin"/>
    </w:r>
    <w:r>
      <w:rPr>
        <w:rStyle w:val="PageNumber"/>
        <w:b/>
      </w:rPr>
      <w:instrText xml:space="preserve"> PAGE </w:instrText>
    </w:r>
    <w:r>
      <w:rPr>
        <w:rStyle w:val="PageNumber"/>
        <w:b/>
      </w:rPr>
      <w:fldChar w:fldCharType="separate"/>
    </w:r>
    <w:r w:rsidR="00FD424E">
      <w:rPr>
        <w:rStyle w:val="PageNumber"/>
        <w:b/>
        <w:noProof/>
      </w:rPr>
      <w:t>1</w:t>
    </w:r>
    <w:r>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3F804" w14:textId="77777777" w:rsidR="00CD7503" w:rsidRDefault="00CD7503">
      <w:r>
        <w:separator/>
      </w:r>
    </w:p>
  </w:footnote>
  <w:footnote w:type="continuationSeparator" w:id="0">
    <w:p w14:paraId="6D1935DC" w14:textId="77777777" w:rsidR="00CD7503" w:rsidRDefault="00CD7503">
      <w:r>
        <w:continuationSeparator/>
      </w:r>
    </w:p>
  </w:footnote>
  <w:footnote w:type="continuationNotice" w:id="1">
    <w:p w14:paraId="1D8BD1DB" w14:textId="77777777" w:rsidR="00CD7503" w:rsidRDefault="00CD75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D0C5A" w14:textId="25535501" w:rsidR="00196A2B" w:rsidRDefault="00196A2B">
    <w:pPr>
      <w:pStyle w:val="Header"/>
    </w:pPr>
    <w:r w:rsidRPr="00ED7730">
      <w:ptab w:relativeTo="margin" w:alignment="center" w:leader="none"/>
    </w:r>
    <w:r w:rsidR="007B20BA">
      <w:t xml:space="preserve">Schools Forum – </w:t>
    </w:r>
    <w:r w:rsidR="00450CC0">
      <w:t xml:space="preserve">13 </w:t>
    </w:r>
    <w:r w:rsidR="00E87631">
      <w:t>January 202</w:t>
    </w:r>
    <w:r w:rsidR="00EC1781">
      <w:t>1</w:t>
    </w:r>
  </w:p>
  <w:p w14:paraId="5E5F9C21" w14:textId="77777777" w:rsidR="00196A2B" w:rsidRDefault="00196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75B4"/>
    <w:multiLevelType w:val="hybridMultilevel"/>
    <w:tmpl w:val="F494905C"/>
    <w:lvl w:ilvl="0" w:tplc="08090001">
      <w:start w:val="1"/>
      <w:numFmt w:val="bullet"/>
      <w:lvlText w:val=""/>
      <w:lvlJc w:val="left"/>
      <w:pPr>
        <w:ind w:left="8025" w:hanging="360"/>
      </w:pPr>
      <w:rPr>
        <w:rFonts w:ascii="Symbol" w:hAnsi="Symbol" w:hint="default"/>
      </w:rPr>
    </w:lvl>
    <w:lvl w:ilvl="1" w:tplc="08090003">
      <w:start w:val="1"/>
      <w:numFmt w:val="bullet"/>
      <w:lvlText w:val="o"/>
      <w:lvlJc w:val="left"/>
      <w:pPr>
        <w:ind w:left="8745" w:hanging="360"/>
      </w:pPr>
      <w:rPr>
        <w:rFonts w:ascii="Courier New" w:hAnsi="Courier New" w:cs="Courier New" w:hint="default"/>
      </w:rPr>
    </w:lvl>
    <w:lvl w:ilvl="2" w:tplc="08090005">
      <w:start w:val="1"/>
      <w:numFmt w:val="bullet"/>
      <w:lvlText w:val=""/>
      <w:lvlJc w:val="left"/>
      <w:pPr>
        <w:ind w:left="9465" w:hanging="360"/>
      </w:pPr>
      <w:rPr>
        <w:rFonts w:ascii="Wingdings" w:hAnsi="Wingdings" w:hint="default"/>
      </w:rPr>
    </w:lvl>
    <w:lvl w:ilvl="3" w:tplc="08090001">
      <w:start w:val="1"/>
      <w:numFmt w:val="bullet"/>
      <w:lvlText w:val=""/>
      <w:lvlJc w:val="left"/>
      <w:pPr>
        <w:ind w:left="10185" w:hanging="360"/>
      </w:pPr>
      <w:rPr>
        <w:rFonts w:ascii="Symbol" w:hAnsi="Symbol" w:hint="default"/>
      </w:rPr>
    </w:lvl>
    <w:lvl w:ilvl="4" w:tplc="08090003">
      <w:start w:val="1"/>
      <w:numFmt w:val="bullet"/>
      <w:lvlText w:val="o"/>
      <w:lvlJc w:val="left"/>
      <w:pPr>
        <w:ind w:left="10905" w:hanging="360"/>
      </w:pPr>
      <w:rPr>
        <w:rFonts w:ascii="Courier New" w:hAnsi="Courier New" w:cs="Courier New" w:hint="default"/>
      </w:rPr>
    </w:lvl>
    <w:lvl w:ilvl="5" w:tplc="08090005">
      <w:start w:val="1"/>
      <w:numFmt w:val="bullet"/>
      <w:lvlText w:val=""/>
      <w:lvlJc w:val="left"/>
      <w:pPr>
        <w:ind w:left="11625" w:hanging="360"/>
      </w:pPr>
      <w:rPr>
        <w:rFonts w:ascii="Wingdings" w:hAnsi="Wingdings" w:hint="default"/>
      </w:rPr>
    </w:lvl>
    <w:lvl w:ilvl="6" w:tplc="08090001">
      <w:start w:val="1"/>
      <w:numFmt w:val="bullet"/>
      <w:lvlText w:val=""/>
      <w:lvlJc w:val="left"/>
      <w:pPr>
        <w:ind w:left="12345" w:hanging="360"/>
      </w:pPr>
      <w:rPr>
        <w:rFonts w:ascii="Symbol" w:hAnsi="Symbol" w:hint="default"/>
      </w:rPr>
    </w:lvl>
    <w:lvl w:ilvl="7" w:tplc="08090003">
      <w:start w:val="1"/>
      <w:numFmt w:val="bullet"/>
      <w:lvlText w:val="o"/>
      <w:lvlJc w:val="left"/>
      <w:pPr>
        <w:ind w:left="13065" w:hanging="360"/>
      </w:pPr>
      <w:rPr>
        <w:rFonts w:ascii="Courier New" w:hAnsi="Courier New" w:cs="Courier New" w:hint="default"/>
      </w:rPr>
    </w:lvl>
    <w:lvl w:ilvl="8" w:tplc="08090005">
      <w:start w:val="1"/>
      <w:numFmt w:val="bullet"/>
      <w:lvlText w:val=""/>
      <w:lvlJc w:val="left"/>
      <w:pPr>
        <w:ind w:left="13785" w:hanging="360"/>
      </w:pPr>
      <w:rPr>
        <w:rFonts w:ascii="Wingdings" w:hAnsi="Wingdings" w:hint="default"/>
      </w:rPr>
    </w:lvl>
  </w:abstractNum>
  <w:abstractNum w:abstractNumId="1" w15:restartNumberingAfterBreak="0">
    <w:nsid w:val="08322164"/>
    <w:multiLevelType w:val="hybridMultilevel"/>
    <w:tmpl w:val="28EEA05A"/>
    <w:lvl w:ilvl="0" w:tplc="BE240FA8">
      <w:start w:val="1"/>
      <w:numFmt w:val="decimal"/>
      <w:lvlText w:val="%1."/>
      <w:lvlJc w:val="left"/>
      <w:pPr>
        <w:ind w:left="788" w:hanging="360"/>
      </w:pPr>
      <w:rPr>
        <w:b w:val="0"/>
      </w:rPr>
    </w:lvl>
    <w:lvl w:ilvl="1" w:tplc="282A3826">
      <w:start w:val="1"/>
      <w:numFmt w:val="lowerLetter"/>
      <w:lvlText w:val="%2."/>
      <w:lvlJc w:val="left"/>
      <w:pPr>
        <w:ind w:left="1508" w:hanging="360"/>
      </w:pPr>
      <w:rPr>
        <w:b w:val="0"/>
      </w:r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2" w15:restartNumberingAfterBreak="0">
    <w:nsid w:val="0841575B"/>
    <w:multiLevelType w:val="hybridMultilevel"/>
    <w:tmpl w:val="EDDCB4A8"/>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3" w15:restartNumberingAfterBreak="0">
    <w:nsid w:val="0B672EA2"/>
    <w:multiLevelType w:val="hybridMultilevel"/>
    <w:tmpl w:val="51303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B4BCC"/>
    <w:multiLevelType w:val="hybridMultilevel"/>
    <w:tmpl w:val="0C14AE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741E6"/>
    <w:multiLevelType w:val="multilevel"/>
    <w:tmpl w:val="19A8AED2"/>
    <w:lvl w:ilvl="0">
      <w:start w:val="1"/>
      <w:numFmt w:val="decimal"/>
      <w:lvlText w:val="%1."/>
      <w:lvlJc w:val="left"/>
      <w:pPr>
        <w:ind w:left="720" w:hanging="360"/>
      </w:pPr>
    </w:lvl>
    <w:lvl w:ilvl="1">
      <w:start w:val="1"/>
      <w:numFmt w:val="decimal"/>
      <w:isLgl/>
      <w:lvlText w:val="%1.%2"/>
      <w:lvlJc w:val="left"/>
      <w:pPr>
        <w:ind w:left="765" w:hanging="4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BF2FCC"/>
    <w:multiLevelType w:val="hybridMultilevel"/>
    <w:tmpl w:val="F32EABBA"/>
    <w:lvl w:ilvl="0" w:tplc="A5F0580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C1E4B"/>
    <w:multiLevelType w:val="hybridMultilevel"/>
    <w:tmpl w:val="95D6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214B6FA6"/>
    <w:multiLevelType w:val="hybridMultilevel"/>
    <w:tmpl w:val="1BA03E02"/>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52B2489"/>
    <w:multiLevelType w:val="hybridMultilevel"/>
    <w:tmpl w:val="A3466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69322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77739A"/>
    <w:multiLevelType w:val="hybridMultilevel"/>
    <w:tmpl w:val="4120F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0E1C25"/>
    <w:multiLevelType w:val="hybridMultilevel"/>
    <w:tmpl w:val="ADB47C2C"/>
    <w:lvl w:ilvl="0" w:tplc="260E64CA">
      <w:start w:val="1"/>
      <w:numFmt w:val="bullet"/>
      <w:lvlText w:val=""/>
      <w:lvlJc w:val="left"/>
      <w:pPr>
        <w:ind w:left="360" w:hanging="360"/>
      </w:pPr>
      <w:rPr>
        <w:rFonts w:ascii="Symbol" w:hAnsi="Symbol" w:hint="default"/>
        <w:color w:val="auto"/>
      </w:rPr>
    </w:lvl>
    <w:lvl w:ilvl="1" w:tplc="1A463746">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364360"/>
    <w:multiLevelType w:val="hybridMultilevel"/>
    <w:tmpl w:val="FF783F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011F70"/>
    <w:multiLevelType w:val="multilevel"/>
    <w:tmpl w:val="403ED94C"/>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3D617FA8"/>
    <w:multiLevelType w:val="hybridMultilevel"/>
    <w:tmpl w:val="9212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3935BA"/>
    <w:multiLevelType w:val="hybridMultilevel"/>
    <w:tmpl w:val="C786144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8" w15:restartNumberingAfterBreak="0">
    <w:nsid w:val="4016531D"/>
    <w:multiLevelType w:val="hybridMultilevel"/>
    <w:tmpl w:val="85081AD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9" w15:restartNumberingAfterBreak="0">
    <w:nsid w:val="44856CBD"/>
    <w:multiLevelType w:val="hybridMultilevel"/>
    <w:tmpl w:val="B84CBA7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562EC7"/>
    <w:multiLevelType w:val="hybridMultilevel"/>
    <w:tmpl w:val="A23E9816"/>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21" w15:restartNumberingAfterBreak="0">
    <w:nsid w:val="582F528A"/>
    <w:multiLevelType w:val="hybridMultilevel"/>
    <w:tmpl w:val="A19098D4"/>
    <w:lvl w:ilvl="0" w:tplc="08090019">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2" w15:restartNumberingAfterBreak="0">
    <w:nsid w:val="5BAF00D1"/>
    <w:multiLevelType w:val="multilevel"/>
    <w:tmpl w:val="19A8AED2"/>
    <w:lvl w:ilvl="0">
      <w:start w:val="1"/>
      <w:numFmt w:val="decimal"/>
      <w:lvlText w:val="%1."/>
      <w:lvlJc w:val="left"/>
      <w:pPr>
        <w:ind w:left="720" w:hanging="360"/>
      </w:pPr>
    </w:lvl>
    <w:lvl w:ilvl="1">
      <w:start w:val="1"/>
      <w:numFmt w:val="decimal"/>
      <w:isLgl/>
      <w:lvlText w:val="%1.%2"/>
      <w:lvlJc w:val="left"/>
      <w:pPr>
        <w:ind w:left="765" w:hanging="4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19734AB"/>
    <w:multiLevelType w:val="hybridMultilevel"/>
    <w:tmpl w:val="672A217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4" w15:restartNumberingAfterBreak="0">
    <w:nsid w:val="63770FD1"/>
    <w:multiLevelType w:val="hybridMultilevel"/>
    <w:tmpl w:val="F2AC388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EF55AC"/>
    <w:multiLevelType w:val="hybridMultilevel"/>
    <w:tmpl w:val="CF825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F63770C"/>
    <w:multiLevelType w:val="hybridMultilevel"/>
    <w:tmpl w:val="24F634B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7B082655"/>
    <w:multiLevelType w:val="hybridMultilevel"/>
    <w:tmpl w:val="A6360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4B4F27"/>
    <w:multiLevelType w:val="hybridMultilevel"/>
    <w:tmpl w:val="B582EA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516B4C"/>
    <w:multiLevelType w:val="hybridMultilevel"/>
    <w:tmpl w:val="FF783F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AD2CFC"/>
    <w:multiLevelType w:val="multilevel"/>
    <w:tmpl w:val="637CFC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22"/>
  </w:num>
  <w:num w:numId="4">
    <w:abstractNumId w:val="30"/>
  </w:num>
  <w:num w:numId="5">
    <w:abstractNumId w:val="21"/>
  </w:num>
  <w:num w:numId="6">
    <w:abstractNumId w:val="6"/>
  </w:num>
  <w:num w:numId="7">
    <w:abstractNumId w:val="11"/>
  </w:num>
  <w:num w:numId="8">
    <w:abstractNumId w:val="13"/>
  </w:num>
  <w:num w:numId="9">
    <w:abstractNumId w:val="20"/>
  </w:num>
  <w:num w:numId="10">
    <w:abstractNumId w:val="26"/>
  </w:num>
  <w:num w:numId="11">
    <w:abstractNumId w:val="0"/>
  </w:num>
  <w:num w:numId="12">
    <w:abstractNumId w:val="9"/>
  </w:num>
  <w:num w:numId="13">
    <w:abstractNumId w:val="16"/>
  </w:num>
  <w:num w:numId="14">
    <w:abstractNumId w:val="4"/>
  </w:num>
  <w:num w:numId="15">
    <w:abstractNumId w:val="18"/>
  </w:num>
  <w:num w:numId="16">
    <w:abstractNumId w:val="27"/>
  </w:num>
  <w:num w:numId="17">
    <w:abstractNumId w:val="2"/>
  </w:num>
  <w:num w:numId="18">
    <w:abstractNumId w:val="23"/>
  </w:num>
  <w:num w:numId="19">
    <w:abstractNumId w:val="25"/>
  </w:num>
  <w:num w:numId="20">
    <w:abstractNumId w:val="15"/>
  </w:num>
  <w:num w:numId="21">
    <w:abstractNumId w:val="29"/>
  </w:num>
  <w:num w:numId="22">
    <w:abstractNumId w:val="14"/>
  </w:num>
  <w:num w:numId="23">
    <w:abstractNumId w:val="7"/>
  </w:num>
  <w:num w:numId="24">
    <w:abstractNumId w:val="10"/>
  </w:num>
  <w:num w:numId="25">
    <w:abstractNumId w:val="3"/>
  </w:num>
  <w:num w:numId="26">
    <w:abstractNumId w:val="24"/>
  </w:num>
  <w:num w:numId="27">
    <w:abstractNumId w:val="19"/>
  </w:num>
  <w:num w:numId="28">
    <w:abstractNumId w:val="12"/>
  </w:num>
  <w:num w:numId="29">
    <w:abstractNumId w:val="17"/>
  </w:num>
  <w:num w:numId="30">
    <w:abstractNumId w:val="28"/>
  </w:num>
  <w:num w:numId="3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C3"/>
    <w:rsid w:val="00002531"/>
    <w:rsid w:val="000076C8"/>
    <w:rsid w:val="000079CF"/>
    <w:rsid w:val="00010134"/>
    <w:rsid w:val="000106AF"/>
    <w:rsid w:val="00011A38"/>
    <w:rsid w:val="0001228D"/>
    <w:rsid w:val="00014128"/>
    <w:rsid w:val="0001437F"/>
    <w:rsid w:val="000149FD"/>
    <w:rsid w:val="00023F62"/>
    <w:rsid w:val="00025F55"/>
    <w:rsid w:val="00026A03"/>
    <w:rsid w:val="00026D76"/>
    <w:rsid w:val="00030F6F"/>
    <w:rsid w:val="000339DC"/>
    <w:rsid w:val="00036092"/>
    <w:rsid w:val="00040DD4"/>
    <w:rsid w:val="00041E9D"/>
    <w:rsid w:val="00044BF9"/>
    <w:rsid w:val="00046FCB"/>
    <w:rsid w:val="000524DD"/>
    <w:rsid w:val="0005284B"/>
    <w:rsid w:val="00053B81"/>
    <w:rsid w:val="0006017B"/>
    <w:rsid w:val="00060FED"/>
    <w:rsid w:val="00070933"/>
    <w:rsid w:val="0007256E"/>
    <w:rsid w:val="000733AD"/>
    <w:rsid w:val="00074483"/>
    <w:rsid w:val="00075FCC"/>
    <w:rsid w:val="00077299"/>
    <w:rsid w:val="00080770"/>
    <w:rsid w:val="00082139"/>
    <w:rsid w:val="00083BBE"/>
    <w:rsid w:val="00087E04"/>
    <w:rsid w:val="000906A2"/>
    <w:rsid w:val="00092413"/>
    <w:rsid w:val="00094FB8"/>
    <w:rsid w:val="000A2234"/>
    <w:rsid w:val="000A7872"/>
    <w:rsid w:val="000A78CA"/>
    <w:rsid w:val="000A7A7A"/>
    <w:rsid w:val="000B00E7"/>
    <w:rsid w:val="000B1E4E"/>
    <w:rsid w:val="000C1387"/>
    <w:rsid w:val="000C14FF"/>
    <w:rsid w:val="000C6E50"/>
    <w:rsid w:val="000D0594"/>
    <w:rsid w:val="000D3037"/>
    <w:rsid w:val="000D5510"/>
    <w:rsid w:val="000D6FF5"/>
    <w:rsid w:val="000D7F04"/>
    <w:rsid w:val="000E153F"/>
    <w:rsid w:val="000E7C2D"/>
    <w:rsid w:val="000F0BCB"/>
    <w:rsid w:val="000F1054"/>
    <w:rsid w:val="000F7C03"/>
    <w:rsid w:val="00102CEB"/>
    <w:rsid w:val="00104B75"/>
    <w:rsid w:val="00105935"/>
    <w:rsid w:val="00110AE1"/>
    <w:rsid w:val="00110C08"/>
    <w:rsid w:val="00112247"/>
    <w:rsid w:val="00122461"/>
    <w:rsid w:val="001228A0"/>
    <w:rsid w:val="00125730"/>
    <w:rsid w:val="00126384"/>
    <w:rsid w:val="00127374"/>
    <w:rsid w:val="00131EEB"/>
    <w:rsid w:val="00132316"/>
    <w:rsid w:val="0013261A"/>
    <w:rsid w:val="00133AC3"/>
    <w:rsid w:val="001445AD"/>
    <w:rsid w:val="00146058"/>
    <w:rsid w:val="00151AD1"/>
    <w:rsid w:val="00152F4B"/>
    <w:rsid w:val="001535BF"/>
    <w:rsid w:val="00157831"/>
    <w:rsid w:val="00160047"/>
    <w:rsid w:val="001619A7"/>
    <w:rsid w:val="001637DD"/>
    <w:rsid w:val="001638D3"/>
    <w:rsid w:val="00171274"/>
    <w:rsid w:val="00174CDA"/>
    <w:rsid w:val="00177800"/>
    <w:rsid w:val="00184A94"/>
    <w:rsid w:val="00184DD1"/>
    <w:rsid w:val="0019143A"/>
    <w:rsid w:val="00191AE2"/>
    <w:rsid w:val="00196A2B"/>
    <w:rsid w:val="001A1E64"/>
    <w:rsid w:val="001A2886"/>
    <w:rsid w:val="001A3DE9"/>
    <w:rsid w:val="001A4069"/>
    <w:rsid w:val="001A74CC"/>
    <w:rsid w:val="001B1591"/>
    <w:rsid w:val="001B259F"/>
    <w:rsid w:val="001B44A2"/>
    <w:rsid w:val="001B481B"/>
    <w:rsid w:val="001B66A4"/>
    <w:rsid w:val="001C0093"/>
    <w:rsid w:val="001C1360"/>
    <w:rsid w:val="001C209A"/>
    <w:rsid w:val="001C6F21"/>
    <w:rsid w:val="001D32A0"/>
    <w:rsid w:val="001D4975"/>
    <w:rsid w:val="001D6BA4"/>
    <w:rsid w:val="001E0569"/>
    <w:rsid w:val="001E4116"/>
    <w:rsid w:val="001E472B"/>
    <w:rsid w:val="001E70F6"/>
    <w:rsid w:val="001F3436"/>
    <w:rsid w:val="001F66E2"/>
    <w:rsid w:val="00205496"/>
    <w:rsid w:val="00212E55"/>
    <w:rsid w:val="002204C8"/>
    <w:rsid w:val="00221B84"/>
    <w:rsid w:val="002246CA"/>
    <w:rsid w:val="00227A06"/>
    <w:rsid w:val="00231641"/>
    <w:rsid w:val="002374A3"/>
    <w:rsid w:val="00237990"/>
    <w:rsid w:val="00246254"/>
    <w:rsid w:val="002467C4"/>
    <w:rsid w:val="00247157"/>
    <w:rsid w:val="00253B34"/>
    <w:rsid w:val="00256938"/>
    <w:rsid w:val="002578B4"/>
    <w:rsid w:val="00257D10"/>
    <w:rsid w:val="0026062F"/>
    <w:rsid w:val="0026098B"/>
    <w:rsid w:val="00263590"/>
    <w:rsid w:val="00263DD7"/>
    <w:rsid w:val="002640E1"/>
    <w:rsid w:val="00264249"/>
    <w:rsid w:val="00266DE2"/>
    <w:rsid w:val="00270810"/>
    <w:rsid w:val="0027650C"/>
    <w:rsid w:val="00281FD7"/>
    <w:rsid w:val="00287892"/>
    <w:rsid w:val="00287DBD"/>
    <w:rsid w:val="0029022D"/>
    <w:rsid w:val="00290DA3"/>
    <w:rsid w:val="00291476"/>
    <w:rsid w:val="0029323C"/>
    <w:rsid w:val="002958F1"/>
    <w:rsid w:val="002A097D"/>
    <w:rsid w:val="002A18E2"/>
    <w:rsid w:val="002A69DC"/>
    <w:rsid w:val="002A734B"/>
    <w:rsid w:val="002B4510"/>
    <w:rsid w:val="002B5AFA"/>
    <w:rsid w:val="002B6662"/>
    <w:rsid w:val="002B6E47"/>
    <w:rsid w:val="002C128C"/>
    <w:rsid w:val="002C54E5"/>
    <w:rsid w:val="002C7F70"/>
    <w:rsid w:val="002D3279"/>
    <w:rsid w:val="002D76A6"/>
    <w:rsid w:val="002D7D56"/>
    <w:rsid w:val="002E356B"/>
    <w:rsid w:val="002E4201"/>
    <w:rsid w:val="002E44F4"/>
    <w:rsid w:val="002F1379"/>
    <w:rsid w:val="002F33BA"/>
    <w:rsid w:val="002F4FB8"/>
    <w:rsid w:val="002F55A8"/>
    <w:rsid w:val="002F653C"/>
    <w:rsid w:val="00300352"/>
    <w:rsid w:val="00303E97"/>
    <w:rsid w:val="003044B1"/>
    <w:rsid w:val="0030490E"/>
    <w:rsid w:val="00304E15"/>
    <w:rsid w:val="00314D6B"/>
    <w:rsid w:val="00322E4D"/>
    <w:rsid w:val="00326947"/>
    <w:rsid w:val="003322EA"/>
    <w:rsid w:val="00332F26"/>
    <w:rsid w:val="0034098B"/>
    <w:rsid w:val="00340F9D"/>
    <w:rsid w:val="00341922"/>
    <w:rsid w:val="00351F12"/>
    <w:rsid w:val="003531BB"/>
    <w:rsid w:val="003564B6"/>
    <w:rsid w:val="0036088C"/>
    <w:rsid w:val="00361F94"/>
    <w:rsid w:val="0036522D"/>
    <w:rsid w:val="003716C2"/>
    <w:rsid w:val="003728FD"/>
    <w:rsid w:val="00372FAC"/>
    <w:rsid w:val="00376C69"/>
    <w:rsid w:val="0038092B"/>
    <w:rsid w:val="0038332C"/>
    <w:rsid w:val="003867AC"/>
    <w:rsid w:val="00391317"/>
    <w:rsid w:val="003920CB"/>
    <w:rsid w:val="003925D5"/>
    <w:rsid w:val="00397511"/>
    <w:rsid w:val="003B02E6"/>
    <w:rsid w:val="003B2548"/>
    <w:rsid w:val="003B3B0E"/>
    <w:rsid w:val="003B6B2D"/>
    <w:rsid w:val="003B700C"/>
    <w:rsid w:val="003B7037"/>
    <w:rsid w:val="003B7621"/>
    <w:rsid w:val="003B7A09"/>
    <w:rsid w:val="003C0D3A"/>
    <w:rsid w:val="003C130C"/>
    <w:rsid w:val="003C1B70"/>
    <w:rsid w:val="003C1C0B"/>
    <w:rsid w:val="003C1F00"/>
    <w:rsid w:val="003C4300"/>
    <w:rsid w:val="003C5464"/>
    <w:rsid w:val="003D08B1"/>
    <w:rsid w:val="003D17BC"/>
    <w:rsid w:val="003D20DD"/>
    <w:rsid w:val="003D29D2"/>
    <w:rsid w:val="003D435E"/>
    <w:rsid w:val="003D4611"/>
    <w:rsid w:val="003D73EA"/>
    <w:rsid w:val="003D7518"/>
    <w:rsid w:val="003E00BB"/>
    <w:rsid w:val="003E479B"/>
    <w:rsid w:val="003E784F"/>
    <w:rsid w:val="003F6553"/>
    <w:rsid w:val="003F6C5A"/>
    <w:rsid w:val="004047FF"/>
    <w:rsid w:val="00405862"/>
    <w:rsid w:val="00405B39"/>
    <w:rsid w:val="00407F2D"/>
    <w:rsid w:val="00410D37"/>
    <w:rsid w:val="00410FB8"/>
    <w:rsid w:val="00411EEB"/>
    <w:rsid w:val="00415C71"/>
    <w:rsid w:val="00417466"/>
    <w:rsid w:val="00421266"/>
    <w:rsid w:val="004218FF"/>
    <w:rsid w:val="004256EA"/>
    <w:rsid w:val="00432FE8"/>
    <w:rsid w:val="00434EDA"/>
    <w:rsid w:val="00443F9A"/>
    <w:rsid w:val="00444227"/>
    <w:rsid w:val="00444C0E"/>
    <w:rsid w:val="00446519"/>
    <w:rsid w:val="004478AE"/>
    <w:rsid w:val="00447E7C"/>
    <w:rsid w:val="004503C6"/>
    <w:rsid w:val="0045059B"/>
    <w:rsid w:val="00450CC0"/>
    <w:rsid w:val="00451CF7"/>
    <w:rsid w:val="00451E0F"/>
    <w:rsid w:val="004541FA"/>
    <w:rsid w:val="00456E78"/>
    <w:rsid w:val="00457148"/>
    <w:rsid w:val="00457528"/>
    <w:rsid w:val="0046014D"/>
    <w:rsid w:val="00462520"/>
    <w:rsid w:val="00465312"/>
    <w:rsid w:val="00465C43"/>
    <w:rsid w:val="0046718D"/>
    <w:rsid w:val="00467F55"/>
    <w:rsid w:val="004705A1"/>
    <w:rsid w:val="004706BD"/>
    <w:rsid w:val="00472F71"/>
    <w:rsid w:val="004763CD"/>
    <w:rsid w:val="004801FF"/>
    <w:rsid w:val="00481721"/>
    <w:rsid w:val="00483B59"/>
    <w:rsid w:val="004841F6"/>
    <w:rsid w:val="00484430"/>
    <w:rsid w:val="004862AC"/>
    <w:rsid w:val="004862E0"/>
    <w:rsid w:val="00486492"/>
    <w:rsid w:val="00487DC0"/>
    <w:rsid w:val="0049679A"/>
    <w:rsid w:val="004A0F22"/>
    <w:rsid w:val="004A208D"/>
    <w:rsid w:val="004A2E94"/>
    <w:rsid w:val="004B19B1"/>
    <w:rsid w:val="004B6ED7"/>
    <w:rsid w:val="004C11CF"/>
    <w:rsid w:val="004C34C0"/>
    <w:rsid w:val="004D0FAF"/>
    <w:rsid w:val="004D4FF7"/>
    <w:rsid w:val="004D6011"/>
    <w:rsid w:val="004D7D73"/>
    <w:rsid w:val="004E1577"/>
    <w:rsid w:val="004E4ED2"/>
    <w:rsid w:val="004E5782"/>
    <w:rsid w:val="004F1E38"/>
    <w:rsid w:val="004F67E3"/>
    <w:rsid w:val="00501776"/>
    <w:rsid w:val="00502101"/>
    <w:rsid w:val="00505930"/>
    <w:rsid w:val="0050651C"/>
    <w:rsid w:val="005065B0"/>
    <w:rsid w:val="00507F16"/>
    <w:rsid w:val="00510168"/>
    <w:rsid w:val="005210A6"/>
    <w:rsid w:val="00522D3B"/>
    <w:rsid w:val="00523D7C"/>
    <w:rsid w:val="00534FB2"/>
    <w:rsid w:val="0054015A"/>
    <w:rsid w:val="00540291"/>
    <w:rsid w:val="0054170C"/>
    <w:rsid w:val="00545A21"/>
    <w:rsid w:val="00545F96"/>
    <w:rsid w:val="00547F36"/>
    <w:rsid w:val="00550232"/>
    <w:rsid w:val="00550AD9"/>
    <w:rsid w:val="00550F52"/>
    <w:rsid w:val="00552A9D"/>
    <w:rsid w:val="00552D0C"/>
    <w:rsid w:val="00554009"/>
    <w:rsid w:val="00555D14"/>
    <w:rsid w:val="00555D8D"/>
    <w:rsid w:val="00556BC3"/>
    <w:rsid w:val="00561C65"/>
    <w:rsid w:val="00565A0D"/>
    <w:rsid w:val="00565F48"/>
    <w:rsid w:val="005672AA"/>
    <w:rsid w:val="00570929"/>
    <w:rsid w:val="00571F1C"/>
    <w:rsid w:val="00572E2A"/>
    <w:rsid w:val="00580113"/>
    <w:rsid w:val="00581CFC"/>
    <w:rsid w:val="00582A23"/>
    <w:rsid w:val="005840FC"/>
    <w:rsid w:val="00584A63"/>
    <w:rsid w:val="00586F2C"/>
    <w:rsid w:val="005934AD"/>
    <w:rsid w:val="005A2910"/>
    <w:rsid w:val="005A29F4"/>
    <w:rsid w:val="005A3C4D"/>
    <w:rsid w:val="005C06C6"/>
    <w:rsid w:val="005C226F"/>
    <w:rsid w:val="005C484B"/>
    <w:rsid w:val="005C584D"/>
    <w:rsid w:val="005D0687"/>
    <w:rsid w:val="005D29C0"/>
    <w:rsid w:val="005D46B1"/>
    <w:rsid w:val="005D57DA"/>
    <w:rsid w:val="005D5CDC"/>
    <w:rsid w:val="005E12B9"/>
    <w:rsid w:val="005E269A"/>
    <w:rsid w:val="005E7603"/>
    <w:rsid w:val="005E7859"/>
    <w:rsid w:val="005E7EBC"/>
    <w:rsid w:val="005F0F0E"/>
    <w:rsid w:val="005F1CE0"/>
    <w:rsid w:val="005F1EFF"/>
    <w:rsid w:val="005F399C"/>
    <w:rsid w:val="005F739A"/>
    <w:rsid w:val="005F7713"/>
    <w:rsid w:val="00601345"/>
    <w:rsid w:val="00602FA9"/>
    <w:rsid w:val="00603459"/>
    <w:rsid w:val="00604DF8"/>
    <w:rsid w:val="00607A57"/>
    <w:rsid w:val="00610C3E"/>
    <w:rsid w:val="00610DC3"/>
    <w:rsid w:val="00611B3F"/>
    <w:rsid w:val="00611DEE"/>
    <w:rsid w:val="006134FA"/>
    <w:rsid w:val="00613717"/>
    <w:rsid w:val="00616733"/>
    <w:rsid w:val="006254AF"/>
    <w:rsid w:val="00625C62"/>
    <w:rsid w:val="00626097"/>
    <w:rsid w:val="006303E8"/>
    <w:rsid w:val="00645F8F"/>
    <w:rsid w:val="0064633D"/>
    <w:rsid w:val="0064655C"/>
    <w:rsid w:val="00646D3B"/>
    <w:rsid w:val="006511CC"/>
    <w:rsid w:val="0065202F"/>
    <w:rsid w:val="00655831"/>
    <w:rsid w:val="00660345"/>
    <w:rsid w:val="00664ED4"/>
    <w:rsid w:val="006706BB"/>
    <w:rsid w:val="00671CCB"/>
    <w:rsid w:val="00672FE1"/>
    <w:rsid w:val="0067369D"/>
    <w:rsid w:val="00673A87"/>
    <w:rsid w:val="00673E2E"/>
    <w:rsid w:val="00674AD4"/>
    <w:rsid w:val="00675758"/>
    <w:rsid w:val="00686A7F"/>
    <w:rsid w:val="00690471"/>
    <w:rsid w:val="00695F0A"/>
    <w:rsid w:val="00697114"/>
    <w:rsid w:val="0069748F"/>
    <w:rsid w:val="006A01FE"/>
    <w:rsid w:val="006A0A6A"/>
    <w:rsid w:val="006A1227"/>
    <w:rsid w:val="006A1261"/>
    <w:rsid w:val="006A5F0B"/>
    <w:rsid w:val="006B15C2"/>
    <w:rsid w:val="006B73B9"/>
    <w:rsid w:val="006C3030"/>
    <w:rsid w:val="006C3E43"/>
    <w:rsid w:val="006C4C0F"/>
    <w:rsid w:val="006C5A01"/>
    <w:rsid w:val="006C5DF1"/>
    <w:rsid w:val="006C608F"/>
    <w:rsid w:val="006C63CE"/>
    <w:rsid w:val="006C6470"/>
    <w:rsid w:val="006C75C1"/>
    <w:rsid w:val="006C7A55"/>
    <w:rsid w:val="006D33DC"/>
    <w:rsid w:val="006D455C"/>
    <w:rsid w:val="006D64E4"/>
    <w:rsid w:val="006F119E"/>
    <w:rsid w:val="006F1734"/>
    <w:rsid w:val="006F2AAB"/>
    <w:rsid w:val="006F2E0C"/>
    <w:rsid w:val="006F3529"/>
    <w:rsid w:val="006F3ED5"/>
    <w:rsid w:val="006F7F4E"/>
    <w:rsid w:val="007047E2"/>
    <w:rsid w:val="0070740D"/>
    <w:rsid w:val="0071067E"/>
    <w:rsid w:val="00715428"/>
    <w:rsid w:val="00715552"/>
    <w:rsid w:val="007214EB"/>
    <w:rsid w:val="007303C1"/>
    <w:rsid w:val="00734345"/>
    <w:rsid w:val="00740345"/>
    <w:rsid w:val="007420EE"/>
    <w:rsid w:val="007443D5"/>
    <w:rsid w:val="0075549E"/>
    <w:rsid w:val="00755561"/>
    <w:rsid w:val="00764A57"/>
    <w:rsid w:val="007654C8"/>
    <w:rsid w:val="00773628"/>
    <w:rsid w:val="00775279"/>
    <w:rsid w:val="00775B33"/>
    <w:rsid w:val="00777C75"/>
    <w:rsid w:val="0078151E"/>
    <w:rsid w:val="007819DF"/>
    <w:rsid w:val="007830A0"/>
    <w:rsid w:val="00793F85"/>
    <w:rsid w:val="00796423"/>
    <w:rsid w:val="007976AC"/>
    <w:rsid w:val="00797C2F"/>
    <w:rsid w:val="007B0235"/>
    <w:rsid w:val="007B06B5"/>
    <w:rsid w:val="007B20BA"/>
    <w:rsid w:val="007B267B"/>
    <w:rsid w:val="007B52CA"/>
    <w:rsid w:val="007B6A6E"/>
    <w:rsid w:val="007C0808"/>
    <w:rsid w:val="007C1A9C"/>
    <w:rsid w:val="007C31A3"/>
    <w:rsid w:val="007C5374"/>
    <w:rsid w:val="007D00A9"/>
    <w:rsid w:val="007D04CB"/>
    <w:rsid w:val="007D0E5A"/>
    <w:rsid w:val="007D0F85"/>
    <w:rsid w:val="007D15CC"/>
    <w:rsid w:val="007D1FD3"/>
    <w:rsid w:val="007D3E13"/>
    <w:rsid w:val="007D695C"/>
    <w:rsid w:val="007E0602"/>
    <w:rsid w:val="007E4B79"/>
    <w:rsid w:val="007F442C"/>
    <w:rsid w:val="007F598E"/>
    <w:rsid w:val="007F68E4"/>
    <w:rsid w:val="008016EC"/>
    <w:rsid w:val="008059CF"/>
    <w:rsid w:val="00805A54"/>
    <w:rsid w:val="00805B79"/>
    <w:rsid w:val="008113A1"/>
    <w:rsid w:val="00811614"/>
    <w:rsid w:val="00811C62"/>
    <w:rsid w:val="00813196"/>
    <w:rsid w:val="00816F02"/>
    <w:rsid w:val="008220AB"/>
    <w:rsid w:val="008230E2"/>
    <w:rsid w:val="0082686D"/>
    <w:rsid w:val="008276F5"/>
    <w:rsid w:val="00827831"/>
    <w:rsid w:val="0082783F"/>
    <w:rsid w:val="00830781"/>
    <w:rsid w:val="0083113B"/>
    <w:rsid w:val="008311F6"/>
    <w:rsid w:val="00832541"/>
    <w:rsid w:val="00833A23"/>
    <w:rsid w:val="00840B1F"/>
    <w:rsid w:val="00840D9D"/>
    <w:rsid w:val="0084126C"/>
    <w:rsid w:val="008415CA"/>
    <w:rsid w:val="00842A36"/>
    <w:rsid w:val="00843CA0"/>
    <w:rsid w:val="0084421A"/>
    <w:rsid w:val="00851352"/>
    <w:rsid w:val="00851B78"/>
    <w:rsid w:val="00852AD4"/>
    <w:rsid w:val="00853979"/>
    <w:rsid w:val="008551AC"/>
    <w:rsid w:val="00860514"/>
    <w:rsid w:val="0086243D"/>
    <w:rsid w:val="00862649"/>
    <w:rsid w:val="00875173"/>
    <w:rsid w:val="00876D9E"/>
    <w:rsid w:val="008779FF"/>
    <w:rsid w:val="00884935"/>
    <w:rsid w:val="00887A6A"/>
    <w:rsid w:val="008918D0"/>
    <w:rsid w:val="00892737"/>
    <w:rsid w:val="0089533B"/>
    <w:rsid w:val="00897094"/>
    <w:rsid w:val="008A5AAC"/>
    <w:rsid w:val="008A63F2"/>
    <w:rsid w:val="008B2D9D"/>
    <w:rsid w:val="008B3A21"/>
    <w:rsid w:val="008B4BF9"/>
    <w:rsid w:val="008C0499"/>
    <w:rsid w:val="008C10D0"/>
    <w:rsid w:val="008C1863"/>
    <w:rsid w:val="008C2214"/>
    <w:rsid w:val="008C223D"/>
    <w:rsid w:val="008C3A06"/>
    <w:rsid w:val="008C589A"/>
    <w:rsid w:val="008C6C9C"/>
    <w:rsid w:val="008C709C"/>
    <w:rsid w:val="008D05A5"/>
    <w:rsid w:val="008D3826"/>
    <w:rsid w:val="008D795D"/>
    <w:rsid w:val="008E4D27"/>
    <w:rsid w:val="008E7125"/>
    <w:rsid w:val="008F09FF"/>
    <w:rsid w:val="008F1F04"/>
    <w:rsid w:val="008F308F"/>
    <w:rsid w:val="008F3578"/>
    <w:rsid w:val="008F63B2"/>
    <w:rsid w:val="00900E0D"/>
    <w:rsid w:val="00901311"/>
    <w:rsid w:val="00901921"/>
    <w:rsid w:val="00903441"/>
    <w:rsid w:val="00903D0B"/>
    <w:rsid w:val="00910F12"/>
    <w:rsid w:val="00913C44"/>
    <w:rsid w:val="00913C73"/>
    <w:rsid w:val="00921BF5"/>
    <w:rsid w:val="009239D1"/>
    <w:rsid w:val="009261F8"/>
    <w:rsid w:val="009324CE"/>
    <w:rsid w:val="00933146"/>
    <w:rsid w:val="00935A6D"/>
    <w:rsid w:val="00937126"/>
    <w:rsid w:val="009376B7"/>
    <w:rsid w:val="00942FFE"/>
    <w:rsid w:val="00943E68"/>
    <w:rsid w:val="00951E60"/>
    <w:rsid w:val="0096294A"/>
    <w:rsid w:val="00965C59"/>
    <w:rsid w:val="00967412"/>
    <w:rsid w:val="0097070D"/>
    <w:rsid w:val="00974443"/>
    <w:rsid w:val="009759E5"/>
    <w:rsid w:val="00977FE3"/>
    <w:rsid w:val="00982C1A"/>
    <w:rsid w:val="009836A0"/>
    <w:rsid w:val="00983BE3"/>
    <w:rsid w:val="00984585"/>
    <w:rsid w:val="00986028"/>
    <w:rsid w:val="009874FC"/>
    <w:rsid w:val="00995FE0"/>
    <w:rsid w:val="00997F21"/>
    <w:rsid w:val="009A6B26"/>
    <w:rsid w:val="009B0557"/>
    <w:rsid w:val="009B5F87"/>
    <w:rsid w:val="009C4BC9"/>
    <w:rsid w:val="009C6A63"/>
    <w:rsid w:val="009D02BA"/>
    <w:rsid w:val="009D1EBC"/>
    <w:rsid w:val="009D2763"/>
    <w:rsid w:val="009D3DB9"/>
    <w:rsid w:val="009D654A"/>
    <w:rsid w:val="009D7EF1"/>
    <w:rsid w:val="009E2CE1"/>
    <w:rsid w:val="009F0DD3"/>
    <w:rsid w:val="009F1BE2"/>
    <w:rsid w:val="00A021D0"/>
    <w:rsid w:val="00A0264B"/>
    <w:rsid w:val="00A029DB"/>
    <w:rsid w:val="00A06423"/>
    <w:rsid w:val="00A07CD4"/>
    <w:rsid w:val="00A142E2"/>
    <w:rsid w:val="00A171B3"/>
    <w:rsid w:val="00A270FB"/>
    <w:rsid w:val="00A3092C"/>
    <w:rsid w:val="00A34184"/>
    <w:rsid w:val="00A35101"/>
    <w:rsid w:val="00A37785"/>
    <w:rsid w:val="00A4191B"/>
    <w:rsid w:val="00A41FDD"/>
    <w:rsid w:val="00A423E2"/>
    <w:rsid w:val="00A4607D"/>
    <w:rsid w:val="00A46BC0"/>
    <w:rsid w:val="00A47A0D"/>
    <w:rsid w:val="00A47AD0"/>
    <w:rsid w:val="00A52A1B"/>
    <w:rsid w:val="00A52DCE"/>
    <w:rsid w:val="00A53D66"/>
    <w:rsid w:val="00A60D80"/>
    <w:rsid w:val="00A638EF"/>
    <w:rsid w:val="00A67E07"/>
    <w:rsid w:val="00A7074D"/>
    <w:rsid w:val="00A70D06"/>
    <w:rsid w:val="00A73B6A"/>
    <w:rsid w:val="00A869BA"/>
    <w:rsid w:val="00A90D5D"/>
    <w:rsid w:val="00A90DE9"/>
    <w:rsid w:val="00A91654"/>
    <w:rsid w:val="00A9242E"/>
    <w:rsid w:val="00A95177"/>
    <w:rsid w:val="00A954C5"/>
    <w:rsid w:val="00AA2510"/>
    <w:rsid w:val="00AA31AA"/>
    <w:rsid w:val="00AB1459"/>
    <w:rsid w:val="00AB7124"/>
    <w:rsid w:val="00AC418C"/>
    <w:rsid w:val="00AC481F"/>
    <w:rsid w:val="00AC5046"/>
    <w:rsid w:val="00AC6895"/>
    <w:rsid w:val="00AC6E99"/>
    <w:rsid w:val="00AD07DF"/>
    <w:rsid w:val="00AD467E"/>
    <w:rsid w:val="00AD5D3D"/>
    <w:rsid w:val="00AD6E2C"/>
    <w:rsid w:val="00AE11AF"/>
    <w:rsid w:val="00AE2D02"/>
    <w:rsid w:val="00AF0DEB"/>
    <w:rsid w:val="00AF4000"/>
    <w:rsid w:val="00AF4619"/>
    <w:rsid w:val="00AF6781"/>
    <w:rsid w:val="00AF72A6"/>
    <w:rsid w:val="00B006AA"/>
    <w:rsid w:val="00B00BFF"/>
    <w:rsid w:val="00B14E69"/>
    <w:rsid w:val="00B156F5"/>
    <w:rsid w:val="00B17520"/>
    <w:rsid w:val="00B20B09"/>
    <w:rsid w:val="00B23309"/>
    <w:rsid w:val="00B265D3"/>
    <w:rsid w:val="00B324D8"/>
    <w:rsid w:val="00B35C52"/>
    <w:rsid w:val="00B42738"/>
    <w:rsid w:val="00B42912"/>
    <w:rsid w:val="00B42D06"/>
    <w:rsid w:val="00B42EF0"/>
    <w:rsid w:val="00B4534F"/>
    <w:rsid w:val="00B51BA6"/>
    <w:rsid w:val="00B52078"/>
    <w:rsid w:val="00B57BC9"/>
    <w:rsid w:val="00B57F41"/>
    <w:rsid w:val="00B60546"/>
    <w:rsid w:val="00B61622"/>
    <w:rsid w:val="00B62473"/>
    <w:rsid w:val="00B63F5E"/>
    <w:rsid w:val="00B676D3"/>
    <w:rsid w:val="00B7111E"/>
    <w:rsid w:val="00B72338"/>
    <w:rsid w:val="00B7237F"/>
    <w:rsid w:val="00B72BE2"/>
    <w:rsid w:val="00B756B4"/>
    <w:rsid w:val="00B82BF3"/>
    <w:rsid w:val="00B83052"/>
    <w:rsid w:val="00B8684F"/>
    <w:rsid w:val="00B87DE5"/>
    <w:rsid w:val="00B91F4A"/>
    <w:rsid w:val="00BA02C4"/>
    <w:rsid w:val="00BA4D2F"/>
    <w:rsid w:val="00BA5748"/>
    <w:rsid w:val="00BB00C3"/>
    <w:rsid w:val="00BB0A45"/>
    <w:rsid w:val="00BB2F65"/>
    <w:rsid w:val="00BB4758"/>
    <w:rsid w:val="00BB5F8D"/>
    <w:rsid w:val="00BC510D"/>
    <w:rsid w:val="00BD02A8"/>
    <w:rsid w:val="00BD0C88"/>
    <w:rsid w:val="00BD1077"/>
    <w:rsid w:val="00BD2F97"/>
    <w:rsid w:val="00BD3FCA"/>
    <w:rsid w:val="00BD403B"/>
    <w:rsid w:val="00BD4FD7"/>
    <w:rsid w:val="00BE0855"/>
    <w:rsid w:val="00BE3436"/>
    <w:rsid w:val="00BE77CC"/>
    <w:rsid w:val="00BF0554"/>
    <w:rsid w:val="00BF12DE"/>
    <w:rsid w:val="00BF53AF"/>
    <w:rsid w:val="00BF6E7C"/>
    <w:rsid w:val="00BF73A1"/>
    <w:rsid w:val="00BF75F9"/>
    <w:rsid w:val="00C12ABE"/>
    <w:rsid w:val="00C13A3C"/>
    <w:rsid w:val="00C14058"/>
    <w:rsid w:val="00C20840"/>
    <w:rsid w:val="00C208EC"/>
    <w:rsid w:val="00C21CE7"/>
    <w:rsid w:val="00C237BB"/>
    <w:rsid w:val="00C26020"/>
    <w:rsid w:val="00C26414"/>
    <w:rsid w:val="00C31AF1"/>
    <w:rsid w:val="00C33AB2"/>
    <w:rsid w:val="00C36824"/>
    <w:rsid w:val="00C40D4B"/>
    <w:rsid w:val="00C43608"/>
    <w:rsid w:val="00C44B19"/>
    <w:rsid w:val="00C50111"/>
    <w:rsid w:val="00C51271"/>
    <w:rsid w:val="00C56941"/>
    <w:rsid w:val="00C617F8"/>
    <w:rsid w:val="00C636D1"/>
    <w:rsid w:val="00C66217"/>
    <w:rsid w:val="00C679E6"/>
    <w:rsid w:val="00C67FDD"/>
    <w:rsid w:val="00C72642"/>
    <w:rsid w:val="00C74EA1"/>
    <w:rsid w:val="00C768A7"/>
    <w:rsid w:val="00C777AD"/>
    <w:rsid w:val="00C80C78"/>
    <w:rsid w:val="00C81B0D"/>
    <w:rsid w:val="00C83A68"/>
    <w:rsid w:val="00C85CF0"/>
    <w:rsid w:val="00C90FFA"/>
    <w:rsid w:val="00C95A30"/>
    <w:rsid w:val="00C96AD7"/>
    <w:rsid w:val="00CA100A"/>
    <w:rsid w:val="00CA4964"/>
    <w:rsid w:val="00CA7969"/>
    <w:rsid w:val="00CB1C77"/>
    <w:rsid w:val="00CB440D"/>
    <w:rsid w:val="00CB458A"/>
    <w:rsid w:val="00CB46AE"/>
    <w:rsid w:val="00CB6556"/>
    <w:rsid w:val="00CC3237"/>
    <w:rsid w:val="00CC433E"/>
    <w:rsid w:val="00CC73F0"/>
    <w:rsid w:val="00CD0D8A"/>
    <w:rsid w:val="00CD0DC8"/>
    <w:rsid w:val="00CD1BDC"/>
    <w:rsid w:val="00CD2C9C"/>
    <w:rsid w:val="00CD551C"/>
    <w:rsid w:val="00CD7503"/>
    <w:rsid w:val="00CD764A"/>
    <w:rsid w:val="00CE22AC"/>
    <w:rsid w:val="00CE4ABC"/>
    <w:rsid w:val="00CF1CF1"/>
    <w:rsid w:val="00CF2A2E"/>
    <w:rsid w:val="00CF2E07"/>
    <w:rsid w:val="00CF341E"/>
    <w:rsid w:val="00CF36A1"/>
    <w:rsid w:val="00D00362"/>
    <w:rsid w:val="00D02F19"/>
    <w:rsid w:val="00D116DF"/>
    <w:rsid w:val="00D15641"/>
    <w:rsid w:val="00D16550"/>
    <w:rsid w:val="00D252B9"/>
    <w:rsid w:val="00D25CD7"/>
    <w:rsid w:val="00D2769E"/>
    <w:rsid w:val="00D32FE6"/>
    <w:rsid w:val="00D3423A"/>
    <w:rsid w:val="00D37178"/>
    <w:rsid w:val="00D37CAC"/>
    <w:rsid w:val="00D4115F"/>
    <w:rsid w:val="00D436FE"/>
    <w:rsid w:val="00D46204"/>
    <w:rsid w:val="00D4650C"/>
    <w:rsid w:val="00D50D35"/>
    <w:rsid w:val="00D51535"/>
    <w:rsid w:val="00D57B73"/>
    <w:rsid w:val="00D61F50"/>
    <w:rsid w:val="00D62A1F"/>
    <w:rsid w:val="00D67E99"/>
    <w:rsid w:val="00D702AB"/>
    <w:rsid w:val="00D7115A"/>
    <w:rsid w:val="00D728E7"/>
    <w:rsid w:val="00D74697"/>
    <w:rsid w:val="00D74A37"/>
    <w:rsid w:val="00D76549"/>
    <w:rsid w:val="00D77378"/>
    <w:rsid w:val="00D84641"/>
    <w:rsid w:val="00D86424"/>
    <w:rsid w:val="00D9243F"/>
    <w:rsid w:val="00D957DD"/>
    <w:rsid w:val="00DA22DF"/>
    <w:rsid w:val="00DB3C20"/>
    <w:rsid w:val="00DC2677"/>
    <w:rsid w:val="00DC5FA6"/>
    <w:rsid w:val="00DD39B8"/>
    <w:rsid w:val="00DD6C98"/>
    <w:rsid w:val="00DD6F8E"/>
    <w:rsid w:val="00DE16B5"/>
    <w:rsid w:val="00DE17CC"/>
    <w:rsid w:val="00DE733C"/>
    <w:rsid w:val="00DF4A2D"/>
    <w:rsid w:val="00DF7909"/>
    <w:rsid w:val="00DF7CEF"/>
    <w:rsid w:val="00E00944"/>
    <w:rsid w:val="00E0420C"/>
    <w:rsid w:val="00E0439D"/>
    <w:rsid w:val="00E1326C"/>
    <w:rsid w:val="00E17D09"/>
    <w:rsid w:val="00E21E4C"/>
    <w:rsid w:val="00E221C2"/>
    <w:rsid w:val="00E26D0A"/>
    <w:rsid w:val="00E27D56"/>
    <w:rsid w:val="00E301F8"/>
    <w:rsid w:val="00E313D6"/>
    <w:rsid w:val="00E332A9"/>
    <w:rsid w:val="00E348DF"/>
    <w:rsid w:val="00E36F58"/>
    <w:rsid w:val="00E37077"/>
    <w:rsid w:val="00E42B21"/>
    <w:rsid w:val="00E45A92"/>
    <w:rsid w:val="00E47E99"/>
    <w:rsid w:val="00E50D60"/>
    <w:rsid w:val="00E552A8"/>
    <w:rsid w:val="00E56071"/>
    <w:rsid w:val="00E56F53"/>
    <w:rsid w:val="00E6044F"/>
    <w:rsid w:val="00E6124D"/>
    <w:rsid w:val="00E67ECA"/>
    <w:rsid w:val="00E708C4"/>
    <w:rsid w:val="00E71852"/>
    <w:rsid w:val="00E735AF"/>
    <w:rsid w:val="00E8363A"/>
    <w:rsid w:val="00E87631"/>
    <w:rsid w:val="00E91E00"/>
    <w:rsid w:val="00E93F8D"/>
    <w:rsid w:val="00E95427"/>
    <w:rsid w:val="00E968CD"/>
    <w:rsid w:val="00EA70E2"/>
    <w:rsid w:val="00EA72FD"/>
    <w:rsid w:val="00EB2573"/>
    <w:rsid w:val="00EB7424"/>
    <w:rsid w:val="00EC1781"/>
    <w:rsid w:val="00EC21D9"/>
    <w:rsid w:val="00ED2DA2"/>
    <w:rsid w:val="00ED48E9"/>
    <w:rsid w:val="00ED6471"/>
    <w:rsid w:val="00ED7730"/>
    <w:rsid w:val="00EE2209"/>
    <w:rsid w:val="00EE3C29"/>
    <w:rsid w:val="00EE4660"/>
    <w:rsid w:val="00EE5A0F"/>
    <w:rsid w:val="00EF05F1"/>
    <w:rsid w:val="00EF0FE3"/>
    <w:rsid w:val="00EF144A"/>
    <w:rsid w:val="00EF1BE7"/>
    <w:rsid w:val="00EF2266"/>
    <w:rsid w:val="00EF318C"/>
    <w:rsid w:val="00EF3E73"/>
    <w:rsid w:val="00EF4132"/>
    <w:rsid w:val="00EF44C8"/>
    <w:rsid w:val="00EF78DD"/>
    <w:rsid w:val="00F01125"/>
    <w:rsid w:val="00F013C6"/>
    <w:rsid w:val="00F02156"/>
    <w:rsid w:val="00F05971"/>
    <w:rsid w:val="00F05E02"/>
    <w:rsid w:val="00F12833"/>
    <w:rsid w:val="00F1431A"/>
    <w:rsid w:val="00F2140C"/>
    <w:rsid w:val="00F22F45"/>
    <w:rsid w:val="00F2331E"/>
    <w:rsid w:val="00F24751"/>
    <w:rsid w:val="00F24C42"/>
    <w:rsid w:val="00F25E81"/>
    <w:rsid w:val="00F30356"/>
    <w:rsid w:val="00F30C26"/>
    <w:rsid w:val="00F325BC"/>
    <w:rsid w:val="00F33DE2"/>
    <w:rsid w:val="00F413F5"/>
    <w:rsid w:val="00F4337F"/>
    <w:rsid w:val="00F44713"/>
    <w:rsid w:val="00F474E9"/>
    <w:rsid w:val="00F501DD"/>
    <w:rsid w:val="00F503A4"/>
    <w:rsid w:val="00F50B6B"/>
    <w:rsid w:val="00F51BA2"/>
    <w:rsid w:val="00F51D07"/>
    <w:rsid w:val="00F530A2"/>
    <w:rsid w:val="00F5344E"/>
    <w:rsid w:val="00F601D7"/>
    <w:rsid w:val="00F6086C"/>
    <w:rsid w:val="00F61F89"/>
    <w:rsid w:val="00F66526"/>
    <w:rsid w:val="00F6765F"/>
    <w:rsid w:val="00F67EAC"/>
    <w:rsid w:val="00F7468C"/>
    <w:rsid w:val="00F75550"/>
    <w:rsid w:val="00F8304B"/>
    <w:rsid w:val="00F85518"/>
    <w:rsid w:val="00F91B89"/>
    <w:rsid w:val="00F9418A"/>
    <w:rsid w:val="00F95A14"/>
    <w:rsid w:val="00F97971"/>
    <w:rsid w:val="00FA0601"/>
    <w:rsid w:val="00FA6BBD"/>
    <w:rsid w:val="00FA7D95"/>
    <w:rsid w:val="00FB1C19"/>
    <w:rsid w:val="00FB205E"/>
    <w:rsid w:val="00FC1F05"/>
    <w:rsid w:val="00FC333A"/>
    <w:rsid w:val="00FC5F65"/>
    <w:rsid w:val="00FD149A"/>
    <w:rsid w:val="00FD189B"/>
    <w:rsid w:val="00FD424E"/>
    <w:rsid w:val="00FD622C"/>
    <w:rsid w:val="00FE0176"/>
    <w:rsid w:val="00FE1AA1"/>
    <w:rsid w:val="00FE1E66"/>
    <w:rsid w:val="00FE2524"/>
    <w:rsid w:val="00FE323D"/>
    <w:rsid w:val="00FE7B5E"/>
    <w:rsid w:val="00FF19BC"/>
    <w:rsid w:val="00FF27F5"/>
    <w:rsid w:val="00FF40CA"/>
    <w:rsid w:val="00FF56F2"/>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B5971"/>
  <w15:docId w15:val="{DBF55566-1B1F-453F-BC63-DE51CC2E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aliases w:val="Numbered - 1"/>
    <w:basedOn w:val="Normal"/>
    <w:next w:val="Normal"/>
    <w:qFormat/>
    <w:rsid w:val="003322EA"/>
    <w:pPr>
      <w:keepNext/>
      <w:keepLines/>
      <w:widowControl w:val="0"/>
      <w:spacing w:before="240" w:after="240"/>
      <w:outlineLvl w:val="0"/>
    </w:pPr>
    <w:rPr>
      <w:b/>
      <w:kern w:val="28"/>
      <w:sz w:val="22"/>
      <w:szCs w:val="20"/>
      <w:lang w:eastAsia="en-US"/>
    </w:rPr>
  </w:style>
  <w:style w:type="paragraph" w:styleId="Heading2">
    <w:name w:val="heading 2"/>
    <w:basedOn w:val="Normal"/>
    <w:next w:val="Normal"/>
    <w:qFormat/>
    <w:rsid w:val="00CF2A2E"/>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0B1E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0B1E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B1E4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StyleArial">
    <w:name w:val="Style Arial"/>
    <w:basedOn w:val="Normal"/>
    <w:rsid w:val="002246CA"/>
    <w:pPr>
      <w:spacing w:after="120"/>
    </w:pPr>
    <w:rPr>
      <w:rFonts w:cs="Arial"/>
      <w:sz w:val="28"/>
      <w:szCs w:val="20"/>
      <w:lang w:eastAsia="en-US"/>
    </w:rPr>
  </w:style>
  <w:style w:type="paragraph" w:customStyle="1" w:styleId="Default">
    <w:name w:val="Default"/>
    <w:rsid w:val="00CD0D8A"/>
    <w:pPr>
      <w:autoSpaceDE w:val="0"/>
      <w:autoSpaceDN w:val="0"/>
      <w:adjustRightInd w:val="0"/>
    </w:pPr>
    <w:rPr>
      <w:color w:val="000000"/>
      <w:sz w:val="24"/>
      <w:szCs w:val="24"/>
    </w:rPr>
  </w:style>
  <w:style w:type="paragraph" w:customStyle="1" w:styleId="DfESOutNumbered">
    <w:name w:val="DfESOutNumbered"/>
    <w:basedOn w:val="Normal"/>
    <w:rsid w:val="00FE323D"/>
    <w:pPr>
      <w:widowControl w:val="0"/>
      <w:numPr>
        <w:numId w:val="1"/>
      </w:numPr>
      <w:overflowPunct w:val="0"/>
      <w:autoSpaceDE w:val="0"/>
      <w:autoSpaceDN w:val="0"/>
      <w:adjustRightInd w:val="0"/>
      <w:spacing w:after="240"/>
      <w:textAlignment w:val="baseline"/>
    </w:pPr>
    <w:rPr>
      <w:rFonts w:cs="Arial"/>
      <w:sz w:val="22"/>
      <w:szCs w:val="20"/>
      <w:lang w:eastAsia="en-US"/>
    </w:rPr>
  </w:style>
  <w:style w:type="paragraph" w:styleId="BodyTextIndent">
    <w:name w:val="Body Text Indent"/>
    <w:basedOn w:val="Normal"/>
    <w:rsid w:val="003D08B1"/>
    <w:pPr>
      <w:tabs>
        <w:tab w:val="left" w:pos="360"/>
      </w:tabs>
      <w:spacing w:after="120"/>
      <w:ind w:left="360" w:hanging="360"/>
    </w:pPr>
    <w:rPr>
      <w:sz w:val="22"/>
      <w:szCs w:val="20"/>
      <w:lang w:val="en-US" w:eastAsia="en-US"/>
    </w:rPr>
  </w:style>
  <w:style w:type="character" w:styleId="Strong">
    <w:name w:val="Strong"/>
    <w:qFormat/>
    <w:rsid w:val="00D46204"/>
    <w:rPr>
      <w:b/>
      <w:bCs/>
    </w:rPr>
  </w:style>
  <w:style w:type="paragraph" w:styleId="BodyText">
    <w:name w:val="Body Text"/>
    <w:basedOn w:val="Normal"/>
    <w:rsid w:val="003322EA"/>
    <w:pPr>
      <w:spacing w:after="120"/>
    </w:pPr>
  </w:style>
  <w:style w:type="character" w:customStyle="1" w:styleId="endsenrhsennumparatext">
    <w:name w:val="ends enrhs ennumparatext"/>
    <w:basedOn w:val="DefaultParagraphFont"/>
    <w:rsid w:val="004503C6"/>
  </w:style>
  <w:style w:type="character" w:styleId="Hyperlink">
    <w:name w:val="Hyperlink"/>
    <w:rsid w:val="004503C6"/>
    <w:rPr>
      <w:color w:val="0000FF"/>
      <w:u w:val="single"/>
    </w:rPr>
  </w:style>
  <w:style w:type="paragraph" w:styleId="Revision">
    <w:name w:val="Revision"/>
    <w:hidden/>
    <w:uiPriority w:val="99"/>
    <w:semiHidden/>
    <w:rsid w:val="003044B1"/>
    <w:rPr>
      <w:rFonts w:ascii="Arial" w:hAnsi="Arial"/>
      <w:sz w:val="24"/>
      <w:szCs w:val="24"/>
    </w:rPr>
  </w:style>
  <w:style w:type="character" w:customStyle="1" w:styleId="HeaderChar">
    <w:name w:val="Header Char"/>
    <w:basedOn w:val="DefaultParagraphFont"/>
    <w:link w:val="Header"/>
    <w:uiPriority w:val="99"/>
    <w:rsid w:val="003044B1"/>
    <w:rPr>
      <w:rFonts w:ascii="Arial" w:hAnsi="Arial"/>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link w:val="ListParagraphChar"/>
    <w:uiPriority w:val="34"/>
    <w:qFormat/>
    <w:rsid w:val="00BF75F9"/>
    <w:pPr>
      <w:ind w:left="720"/>
      <w:contextualSpacing/>
    </w:pPr>
  </w:style>
  <w:style w:type="paragraph" w:customStyle="1" w:styleId="N3">
    <w:name w:val="N3"/>
    <w:basedOn w:val="Normal"/>
    <w:rsid w:val="004801FF"/>
    <w:pPr>
      <w:tabs>
        <w:tab w:val="num" w:pos="1440"/>
      </w:tabs>
      <w:spacing w:before="80" w:line="220" w:lineRule="atLeast"/>
      <w:ind w:left="1224" w:hanging="504"/>
      <w:jc w:val="both"/>
    </w:pPr>
    <w:rPr>
      <w:rFonts w:ascii="Times New Roman" w:hAnsi="Times New Roman"/>
      <w:sz w:val="21"/>
      <w:szCs w:val="20"/>
      <w:lang w:eastAsia="en-US"/>
    </w:rPr>
  </w:style>
  <w:style w:type="paragraph" w:styleId="FootnoteText">
    <w:name w:val="footnote text"/>
    <w:basedOn w:val="Normal"/>
    <w:link w:val="FootnoteTextChar"/>
    <w:rsid w:val="00C40D4B"/>
    <w:rPr>
      <w:sz w:val="20"/>
      <w:szCs w:val="20"/>
    </w:rPr>
  </w:style>
  <w:style w:type="character" w:customStyle="1" w:styleId="FootnoteTextChar">
    <w:name w:val="Footnote Text Char"/>
    <w:basedOn w:val="DefaultParagraphFont"/>
    <w:link w:val="FootnoteText"/>
    <w:rsid w:val="00C40D4B"/>
    <w:rPr>
      <w:rFonts w:ascii="Arial" w:hAnsi="Arial"/>
    </w:rPr>
  </w:style>
  <w:style w:type="character" w:styleId="FootnoteReference">
    <w:name w:val="footnote reference"/>
    <w:basedOn w:val="DefaultParagraphFont"/>
    <w:rsid w:val="00C40D4B"/>
    <w:rPr>
      <w:vertAlign w:val="superscript"/>
    </w:rPr>
  </w:style>
  <w:style w:type="table" w:customStyle="1" w:styleId="TableGrid1">
    <w:name w:val="Table Grid1"/>
    <w:basedOn w:val="TableNormal"/>
    <w:next w:val="TableGrid"/>
    <w:uiPriority w:val="59"/>
    <w:rsid w:val="00C264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F5 List Paragraph Char,Bullet Points Char,MAIN CONTENT Char,List Paragraph12 Char,Bullet Style Char"/>
    <w:basedOn w:val="DefaultParagraphFont"/>
    <w:link w:val="ListParagraph"/>
    <w:uiPriority w:val="34"/>
    <w:rsid w:val="00D116DF"/>
    <w:rPr>
      <w:rFonts w:ascii="Arial" w:hAnsi="Arial"/>
      <w:sz w:val="24"/>
      <w:szCs w:val="24"/>
    </w:rPr>
  </w:style>
  <w:style w:type="paragraph" w:styleId="NoSpacing">
    <w:name w:val="No Spacing"/>
    <w:basedOn w:val="Normal"/>
    <w:link w:val="NoSpacingChar"/>
    <w:uiPriority w:val="1"/>
    <w:qFormat/>
    <w:rsid w:val="000B1E4E"/>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0B1E4E"/>
    <w:rPr>
      <w:rFonts w:asciiTheme="minorHAnsi" w:eastAsiaTheme="minorEastAsia" w:hAnsiTheme="minorHAnsi" w:cstheme="minorBidi"/>
      <w:sz w:val="22"/>
      <w:szCs w:val="22"/>
      <w:lang w:eastAsia="en-US"/>
    </w:rPr>
  </w:style>
  <w:style w:type="character" w:customStyle="1" w:styleId="Heading3Char">
    <w:name w:val="Heading 3 Char"/>
    <w:basedOn w:val="DefaultParagraphFont"/>
    <w:link w:val="Heading3"/>
    <w:semiHidden/>
    <w:rsid w:val="000B1E4E"/>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0B1E4E"/>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0B1E4E"/>
    <w:rPr>
      <w:rFonts w:asciiTheme="majorHAnsi" w:eastAsiaTheme="majorEastAsia" w:hAnsiTheme="majorHAnsi" w:cstheme="majorBidi"/>
      <w:color w:val="243F60" w:themeColor="accent1" w:themeShade="7F"/>
      <w:sz w:val="24"/>
      <w:szCs w:val="24"/>
    </w:rPr>
  </w:style>
  <w:style w:type="paragraph" w:styleId="Subtitle">
    <w:name w:val="Subtitle"/>
    <w:basedOn w:val="Normal"/>
    <w:next w:val="Normal"/>
    <w:link w:val="SubtitleChar"/>
    <w:qFormat/>
    <w:rsid w:val="0077362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773628"/>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semiHidden/>
    <w:unhideWhenUsed/>
    <w:rsid w:val="000076C8"/>
    <w:rPr>
      <w:sz w:val="16"/>
      <w:szCs w:val="16"/>
    </w:rPr>
  </w:style>
  <w:style w:type="paragraph" w:styleId="CommentText">
    <w:name w:val="annotation text"/>
    <w:basedOn w:val="Normal"/>
    <w:link w:val="CommentTextChar"/>
    <w:semiHidden/>
    <w:unhideWhenUsed/>
    <w:rsid w:val="000076C8"/>
    <w:rPr>
      <w:sz w:val="20"/>
      <w:szCs w:val="20"/>
    </w:rPr>
  </w:style>
  <w:style w:type="character" w:customStyle="1" w:styleId="CommentTextChar">
    <w:name w:val="Comment Text Char"/>
    <w:basedOn w:val="DefaultParagraphFont"/>
    <w:link w:val="CommentText"/>
    <w:semiHidden/>
    <w:rsid w:val="000076C8"/>
    <w:rPr>
      <w:rFonts w:ascii="Arial" w:hAnsi="Arial"/>
    </w:rPr>
  </w:style>
  <w:style w:type="paragraph" w:styleId="CommentSubject">
    <w:name w:val="annotation subject"/>
    <w:basedOn w:val="CommentText"/>
    <w:next w:val="CommentText"/>
    <w:link w:val="CommentSubjectChar"/>
    <w:semiHidden/>
    <w:unhideWhenUsed/>
    <w:rsid w:val="000076C8"/>
    <w:rPr>
      <w:b/>
      <w:bCs/>
    </w:rPr>
  </w:style>
  <w:style w:type="character" w:customStyle="1" w:styleId="CommentSubjectChar">
    <w:name w:val="Comment Subject Char"/>
    <w:basedOn w:val="CommentTextChar"/>
    <w:link w:val="CommentSubject"/>
    <w:semiHidden/>
    <w:rsid w:val="000076C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7216">
      <w:bodyDiv w:val="1"/>
      <w:marLeft w:val="0"/>
      <w:marRight w:val="0"/>
      <w:marTop w:val="0"/>
      <w:marBottom w:val="0"/>
      <w:divBdr>
        <w:top w:val="none" w:sz="0" w:space="0" w:color="auto"/>
        <w:left w:val="none" w:sz="0" w:space="0" w:color="auto"/>
        <w:bottom w:val="none" w:sz="0" w:space="0" w:color="auto"/>
        <w:right w:val="none" w:sz="0" w:space="0" w:color="auto"/>
      </w:divBdr>
    </w:div>
    <w:div w:id="123545071">
      <w:bodyDiv w:val="1"/>
      <w:marLeft w:val="0"/>
      <w:marRight w:val="0"/>
      <w:marTop w:val="0"/>
      <w:marBottom w:val="0"/>
      <w:divBdr>
        <w:top w:val="none" w:sz="0" w:space="0" w:color="auto"/>
        <w:left w:val="none" w:sz="0" w:space="0" w:color="auto"/>
        <w:bottom w:val="none" w:sz="0" w:space="0" w:color="auto"/>
        <w:right w:val="none" w:sz="0" w:space="0" w:color="auto"/>
      </w:divBdr>
    </w:div>
    <w:div w:id="160433036">
      <w:bodyDiv w:val="1"/>
      <w:marLeft w:val="0"/>
      <w:marRight w:val="0"/>
      <w:marTop w:val="0"/>
      <w:marBottom w:val="0"/>
      <w:divBdr>
        <w:top w:val="none" w:sz="0" w:space="0" w:color="auto"/>
        <w:left w:val="none" w:sz="0" w:space="0" w:color="auto"/>
        <w:bottom w:val="none" w:sz="0" w:space="0" w:color="auto"/>
        <w:right w:val="none" w:sz="0" w:space="0" w:color="auto"/>
      </w:divBdr>
    </w:div>
    <w:div w:id="325137862">
      <w:bodyDiv w:val="1"/>
      <w:marLeft w:val="0"/>
      <w:marRight w:val="0"/>
      <w:marTop w:val="0"/>
      <w:marBottom w:val="0"/>
      <w:divBdr>
        <w:top w:val="none" w:sz="0" w:space="0" w:color="auto"/>
        <w:left w:val="none" w:sz="0" w:space="0" w:color="auto"/>
        <w:bottom w:val="none" w:sz="0" w:space="0" w:color="auto"/>
        <w:right w:val="none" w:sz="0" w:space="0" w:color="auto"/>
      </w:divBdr>
    </w:div>
    <w:div w:id="415053442">
      <w:bodyDiv w:val="1"/>
      <w:marLeft w:val="0"/>
      <w:marRight w:val="0"/>
      <w:marTop w:val="0"/>
      <w:marBottom w:val="0"/>
      <w:divBdr>
        <w:top w:val="none" w:sz="0" w:space="0" w:color="auto"/>
        <w:left w:val="none" w:sz="0" w:space="0" w:color="auto"/>
        <w:bottom w:val="none" w:sz="0" w:space="0" w:color="auto"/>
        <w:right w:val="none" w:sz="0" w:space="0" w:color="auto"/>
      </w:divBdr>
    </w:div>
    <w:div w:id="427700498">
      <w:bodyDiv w:val="1"/>
      <w:marLeft w:val="0"/>
      <w:marRight w:val="0"/>
      <w:marTop w:val="0"/>
      <w:marBottom w:val="0"/>
      <w:divBdr>
        <w:top w:val="none" w:sz="0" w:space="0" w:color="auto"/>
        <w:left w:val="none" w:sz="0" w:space="0" w:color="auto"/>
        <w:bottom w:val="none" w:sz="0" w:space="0" w:color="auto"/>
        <w:right w:val="none" w:sz="0" w:space="0" w:color="auto"/>
      </w:divBdr>
    </w:div>
    <w:div w:id="509226230">
      <w:bodyDiv w:val="1"/>
      <w:marLeft w:val="0"/>
      <w:marRight w:val="0"/>
      <w:marTop w:val="0"/>
      <w:marBottom w:val="0"/>
      <w:divBdr>
        <w:top w:val="none" w:sz="0" w:space="0" w:color="auto"/>
        <w:left w:val="none" w:sz="0" w:space="0" w:color="auto"/>
        <w:bottom w:val="none" w:sz="0" w:space="0" w:color="auto"/>
        <w:right w:val="none" w:sz="0" w:space="0" w:color="auto"/>
      </w:divBdr>
    </w:div>
    <w:div w:id="603533794">
      <w:bodyDiv w:val="1"/>
      <w:marLeft w:val="0"/>
      <w:marRight w:val="0"/>
      <w:marTop w:val="0"/>
      <w:marBottom w:val="0"/>
      <w:divBdr>
        <w:top w:val="none" w:sz="0" w:space="0" w:color="auto"/>
        <w:left w:val="none" w:sz="0" w:space="0" w:color="auto"/>
        <w:bottom w:val="none" w:sz="0" w:space="0" w:color="auto"/>
        <w:right w:val="none" w:sz="0" w:space="0" w:color="auto"/>
      </w:divBdr>
    </w:div>
    <w:div w:id="630719211">
      <w:bodyDiv w:val="1"/>
      <w:marLeft w:val="0"/>
      <w:marRight w:val="0"/>
      <w:marTop w:val="0"/>
      <w:marBottom w:val="0"/>
      <w:divBdr>
        <w:top w:val="none" w:sz="0" w:space="0" w:color="auto"/>
        <w:left w:val="none" w:sz="0" w:space="0" w:color="auto"/>
        <w:bottom w:val="none" w:sz="0" w:space="0" w:color="auto"/>
        <w:right w:val="none" w:sz="0" w:space="0" w:color="auto"/>
      </w:divBdr>
    </w:div>
    <w:div w:id="811874710">
      <w:bodyDiv w:val="1"/>
      <w:marLeft w:val="0"/>
      <w:marRight w:val="0"/>
      <w:marTop w:val="0"/>
      <w:marBottom w:val="0"/>
      <w:divBdr>
        <w:top w:val="none" w:sz="0" w:space="0" w:color="auto"/>
        <w:left w:val="none" w:sz="0" w:space="0" w:color="auto"/>
        <w:bottom w:val="none" w:sz="0" w:space="0" w:color="auto"/>
        <w:right w:val="none" w:sz="0" w:space="0" w:color="auto"/>
      </w:divBdr>
    </w:div>
    <w:div w:id="982854105">
      <w:bodyDiv w:val="1"/>
      <w:marLeft w:val="0"/>
      <w:marRight w:val="0"/>
      <w:marTop w:val="0"/>
      <w:marBottom w:val="0"/>
      <w:divBdr>
        <w:top w:val="none" w:sz="0" w:space="0" w:color="auto"/>
        <w:left w:val="none" w:sz="0" w:space="0" w:color="auto"/>
        <w:bottom w:val="none" w:sz="0" w:space="0" w:color="auto"/>
        <w:right w:val="none" w:sz="0" w:space="0" w:color="auto"/>
      </w:divBdr>
    </w:div>
    <w:div w:id="1121917077">
      <w:bodyDiv w:val="1"/>
      <w:marLeft w:val="0"/>
      <w:marRight w:val="0"/>
      <w:marTop w:val="0"/>
      <w:marBottom w:val="0"/>
      <w:divBdr>
        <w:top w:val="none" w:sz="0" w:space="0" w:color="auto"/>
        <w:left w:val="none" w:sz="0" w:space="0" w:color="auto"/>
        <w:bottom w:val="none" w:sz="0" w:space="0" w:color="auto"/>
        <w:right w:val="none" w:sz="0" w:space="0" w:color="auto"/>
      </w:divBdr>
    </w:div>
    <w:div w:id="1292860967">
      <w:bodyDiv w:val="1"/>
      <w:marLeft w:val="0"/>
      <w:marRight w:val="0"/>
      <w:marTop w:val="0"/>
      <w:marBottom w:val="0"/>
      <w:divBdr>
        <w:top w:val="none" w:sz="0" w:space="0" w:color="auto"/>
        <w:left w:val="none" w:sz="0" w:space="0" w:color="auto"/>
        <w:bottom w:val="none" w:sz="0" w:space="0" w:color="auto"/>
        <w:right w:val="none" w:sz="0" w:space="0" w:color="auto"/>
      </w:divBdr>
    </w:div>
    <w:div w:id="1299458805">
      <w:bodyDiv w:val="1"/>
      <w:marLeft w:val="0"/>
      <w:marRight w:val="0"/>
      <w:marTop w:val="0"/>
      <w:marBottom w:val="0"/>
      <w:divBdr>
        <w:top w:val="none" w:sz="0" w:space="0" w:color="auto"/>
        <w:left w:val="none" w:sz="0" w:space="0" w:color="auto"/>
        <w:bottom w:val="none" w:sz="0" w:space="0" w:color="auto"/>
        <w:right w:val="none" w:sz="0" w:space="0" w:color="auto"/>
      </w:divBdr>
    </w:div>
    <w:div w:id="1360160750">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60841147">
      <w:bodyDiv w:val="1"/>
      <w:marLeft w:val="0"/>
      <w:marRight w:val="0"/>
      <w:marTop w:val="0"/>
      <w:marBottom w:val="0"/>
      <w:divBdr>
        <w:top w:val="none" w:sz="0" w:space="0" w:color="auto"/>
        <w:left w:val="none" w:sz="0" w:space="0" w:color="auto"/>
        <w:bottom w:val="none" w:sz="0" w:space="0" w:color="auto"/>
        <w:right w:val="none" w:sz="0" w:space="0" w:color="auto"/>
      </w:divBdr>
    </w:div>
    <w:div w:id="1687748885">
      <w:bodyDiv w:val="1"/>
      <w:marLeft w:val="0"/>
      <w:marRight w:val="0"/>
      <w:marTop w:val="0"/>
      <w:marBottom w:val="0"/>
      <w:divBdr>
        <w:top w:val="none" w:sz="0" w:space="0" w:color="auto"/>
        <w:left w:val="none" w:sz="0" w:space="0" w:color="auto"/>
        <w:bottom w:val="none" w:sz="0" w:space="0" w:color="auto"/>
        <w:right w:val="none" w:sz="0" w:space="0" w:color="auto"/>
      </w:divBdr>
    </w:div>
    <w:div w:id="1790053945">
      <w:bodyDiv w:val="1"/>
      <w:marLeft w:val="0"/>
      <w:marRight w:val="0"/>
      <w:marTop w:val="0"/>
      <w:marBottom w:val="0"/>
      <w:divBdr>
        <w:top w:val="none" w:sz="0" w:space="0" w:color="auto"/>
        <w:left w:val="none" w:sz="0" w:space="0" w:color="auto"/>
        <w:bottom w:val="none" w:sz="0" w:space="0" w:color="auto"/>
        <w:right w:val="none" w:sz="0" w:space="0" w:color="auto"/>
      </w:divBdr>
    </w:div>
    <w:div w:id="1864784510">
      <w:bodyDiv w:val="1"/>
      <w:marLeft w:val="0"/>
      <w:marRight w:val="0"/>
      <w:marTop w:val="0"/>
      <w:marBottom w:val="0"/>
      <w:divBdr>
        <w:top w:val="none" w:sz="0" w:space="0" w:color="auto"/>
        <w:left w:val="none" w:sz="0" w:space="0" w:color="auto"/>
        <w:bottom w:val="none" w:sz="0" w:space="0" w:color="auto"/>
        <w:right w:val="none" w:sz="0" w:space="0" w:color="auto"/>
      </w:divBdr>
    </w:div>
    <w:div w:id="21211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uline.hoare@towerhamlets.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dul.quddus@towerhamle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6B16C-7B7F-49D8-A45D-E9FDE4B48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1071</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Children Schools and Families CMBM – July 2010</vt:lpstr>
    </vt:vector>
  </TitlesOfParts>
  <Company>London Borough of Tower Hamlets</Company>
  <LinksUpToDate>false</LinksUpToDate>
  <CharactersWithSpaces>6978</CharactersWithSpaces>
  <SharedDoc>false</SharedDoc>
  <HLinks>
    <vt:vector size="12" baseType="variant">
      <vt:variant>
        <vt:i4>5636214</vt:i4>
      </vt:variant>
      <vt:variant>
        <vt:i4>3</vt:i4>
      </vt:variant>
      <vt:variant>
        <vt:i4>0</vt:i4>
      </vt:variant>
      <vt:variant>
        <vt:i4>5</vt:i4>
      </vt:variant>
      <vt:variant>
        <vt:lpwstr>mailto:Abdul.quddus@towerhamlets.gov.uk</vt:lpwstr>
      </vt:variant>
      <vt:variant>
        <vt:lpwstr/>
      </vt:variant>
      <vt:variant>
        <vt:i4>720935</vt:i4>
      </vt:variant>
      <vt:variant>
        <vt:i4>0</vt:i4>
      </vt:variant>
      <vt:variant>
        <vt:i4>0</vt:i4>
      </vt:variant>
      <vt:variant>
        <vt:i4>5</vt:i4>
      </vt:variant>
      <vt:variant>
        <vt:lpwstr>mailto:pauline.hoare@towerhamlets.gov.uk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Block Funding 2021-22</dc:title>
  <dc:subject/>
  <dc:creator>David Tully</dc:creator>
  <cp:keywords/>
  <cp:lastModifiedBy>Phillip Nduoyo</cp:lastModifiedBy>
  <cp:revision>26</cp:revision>
  <cp:lastPrinted>2020-01-07T19:06:00Z</cp:lastPrinted>
  <dcterms:created xsi:type="dcterms:W3CDTF">2021-01-07T16:34:00Z</dcterms:created>
  <dcterms:modified xsi:type="dcterms:W3CDTF">2021-01-13T08:46:00Z</dcterms:modified>
</cp:coreProperties>
</file>