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73695" w14:textId="77777777" w:rsidR="00673A87" w:rsidRDefault="00673A87"/>
    <w:tbl>
      <w:tblPr>
        <w:tblStyle w:val="TableGrid"/>
        <w:tblpPr w:leftFromText="180" w:rightFromText="180" w:vertAnchor="text" w:horzAnchor="margin" w:tblpX="108" w:tblpY="34"/>
        <w:tblW w:w="0" w:type="auto"/>
        <w:tblLook w:val="01E0" w:firstRow="1" w:lastRow="1" w:firstColumn="1" w:lastColumn="1" w:noHBand="0" w:noVBand="0"/>
      </w:tblPr>
      <w:tblGrid>
        <w:gridCol w:w="9108"/>
      </w:tblGrid>
      <w:tr w:rsidR="004C11CF" w:rsidRPr="002374A3" w14:paraId="02D73697" w14:textId="77777777" w:rsidTr="0040368B">
        <w:tc>
          <w:tcPr>
            <w:tcW w:w="9108" w:type="dxa"/>
          </w:tcPr>
          <w:p w14:paraId="02D73696" w14:textId="77777777" w:rsidR="004C11CF" w:rsidRPr="002374A3" w:rsidRDefault="0013261A" w:rsidP="002374A3">
            <w:pPr>
              <w:pStyle w:val="BodyTextInden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AGENDA ITEM</w:t>
            </w:r>
          </w:p>
        </w:tc>
      </w:tr>
    </w:tbl>
    <w:p w14:paraId="02D73698" w14:textId="77777777" w:rsidR="003D08B1" w:rsidRPr="004C11CF" w:rsidRDefault="003D08B1" w:rsidP="004C11CF"/>
    <w:p w14:paraId="02D73699" w14:textId="77777777" w:rsidR="003D08B1" w:rsidRDefault="003D08B1" w:rsidP="003D08B1">
      <w:pPr>
        <w:rPr>
          <w:b/>
        </w:rPr>
      </w:pPr>
    </w:p>
    <w:p w14:paraId="02D7369A" w14:textId="08819B9D" w:rsidR="001E4116" w:rsidRPr="003D08B1" w:rsidRDefault="0013261A" w:rsidP="004C11CF">
      <w:pPr>
        <w:pStyle w:val="BodyTextInde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clear" w:pos="360"/>
        </w:tabs>
        <w:ind w:left="0"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Title of report: </w:t>
      </w:r>
      <w:r w:rsidR="00325633">
        <w:rPr>
          <w:b/>
          <w:sz w:val="32"/>
          <w:szCs w:val="32"/>
        </w:rPr>
        <w:t>Schools Block Budget 2021 to 2022</w:t>
      </w:r>
    </w:p>
    <w:p w14:paraId="02D7369B" w14:textId="77777777" w:rsidR="001E4116" w:rsidRPr="007B0EFA" w:rsidRDefault="001E4116" w:rsidP="001E4116">
      <w:pPr>
        <w:rPr>
          <w:b/>
          <w:sz w:val="22"/>
          <w:szCs w:val="22"/>
          <w:u w:val="single"/>
        </w:rPr>
      </w:pPr>
    </w:p>
    <w:p w14:paraId="02D7369C" w14:textId="1155F819" w:rsidR="001E4116" w:rsidRPr="007B0EFA" w:rsidRDefault="001E4116" w:rsidP="001E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B0EFA">
        <w:rPr>
          <w:b/>
        </w:rPr>
        <w:t xml:space="preserve">Author of the paper: </w:t>
      </w:r>
      <w:r w:rsidR="00862649" w:rsidRPr="007B0EFA">
        <w:rPr>
          <w:b/>
        </w:rPr>
        <w:t xml:space="preserve">  </w:t>
      </w:r>
      <w:r w:rsidR="00D3775D">
        <w:rPr>
          <w:b/>
        </w:rPr>
        <w:t>Kay Goodacre</w:t>
      </w:r>
      <w:r w:rsidR="0032014A" w:rsidRPr="007B0EFA">
        <w:rPr>
          <w:b/>
        </w:rPr>
        <w:t xml:space="preserve"> </w:t>
      </w:r>
      <w:r w:rsidR="00C13245" w:rsidRPr="007B0EFA">
        <w:rPr>
          <w:b/>
        </w:rPr>
        <w:t xml:space="preserve"> </w:t>
      </w:r>
    </w:p>
    <w:p w14:paraId="02D7369D" w14:textId="77777777" w:rsidR="001E4116" w:rsidRPr="007B0EFA" w:rsidRDefault="001E4116" w:rsidP="001E4116"/>
    <w:p w14:paraId="02D7369E" w14:textId="13595954" w:rsidR="001E4116" w:rsidRPr="007B0EFA" w:rsidRDefault="001E4116" w:rsidP="001E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B0EFA">
        <w:rPr>
          <w:b/>
        </w:rPr>
        <w:t xml:space="preserve">Officer to present the paper to </w:t>
      </w:r>
      <w:r w:rsidR="00025F55" w:rsidRPr="007B0EFA">
        <w:rPr>
          <w:b/>
        </w:rPr>
        <w:t>Schools Forum</w:t>
      </w:r>
      <w:r w:rsidRPr="007B0EFA">
        <w:rPr>
          <w:b/>
        </w:rPr>
        <w:t xml:space="preserve">: </w:t>
      </w:r>
      <w:r w:rsidR="00D3775D">
        <w:rPr>
          <w:b/>
        </w:rPr>
        <w:t>Kay Goodacre</w:t>
      </w:r>
    </w:p>
    <w:p w14:paraId="02D7369F" w14:textId="77777777" w:rsidR="001E4116" w:rsidRPr="007B0EFA" w:rsidRDefault="001E4116" w:rsidP="001E4116"/>
    <w:p w14:paraId="02D736A0" w14:textId="5F1193C5" w:rsidR="0063235C" w:rsidRPr="0032745D" w:rsidRDefault="001E4116" w:rsidP="002A0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7B0EFA">
        <w:rPr>
          <w:b/>
        </w:rPr>
        <w:t>Details on who has been consulted on this paper to date:</w:t>
      </w:r>
      <w:r w:rsidR="00F81FB3">
        <w:rPr>
          <w:b/>
        </w:rPr>
        <w:t xml:space="preserve"> </w:t>
      </w:r>
      <w:r w:rsidR="00F81FB3" w:rsidRPr="0032745D">
        <w:rPr>
          <w:bCs/>
        </w:rPr>
        <w:t>Previous Schools Forum discussions</w:t>
      </w:r>
      <w:r w:rsidR="000F377A">
        <w:rPr>
          <w:bCs/>
        </w:rPr>
        <w:t xml:space="preserve"> October 2020 and December 2020</w:t>
      </w:r>
    </w:p>
    <w:p w14:paraId="02D736A1" w14:textId="77777777" w:rsidR="00C13245" w:rsidRPr="007B0EFA" w:rsidRDefault="00C13245" w:rsidP="002A0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2D736A2" w14:textId="77777777" w:rsidR="001E4116" w:rsidRPr="007B0EFA" w:rsidRDefault="001E4116" w:rsidP="001E41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A08A5" w:rsidRPr="007B0EFA" w14:paraId="02D736AA" w14:textId="77777777" w:rsidTr="002A08A5">
        <w:tc>
          <w:tcPr>
            <w:tcW w:w="9286" w:type="dxa"/>
          </w:tcPr>
          <w:p w14:paraId="02D736A3" w14:textId="2BC401CE" w:rsidR="002A08A5" w:rsidRPr="007B0EFA" w:rsidRDefault="002A08A5" w:rsidP="001E4116">
            <w:pPr>
              <w:rPr>
                <w:b/>
              </w:rPr>
            </w:pPr>
            <w:r w:rsidRPr="007B0EFA">
              <w:rPr>
                <w:b/>
              </w:rPr>
              <w:t>Executive Summary</w:t>
            </w:r>
          </w:p>
          <w:p w14:paraId="02D736A4" w14:textId="77777777" w:rsidR="00D20C22" w:rsidRDefault="0079745A" w:rsidP="001E4116">
            <w:r w:rsidRPr="007B0EFA">
              <w:t>The report:</w:t>
            </w:r>
          </w:p>
          <w:p w14:paraId="02D736A5" w14:textId="77777777" w:rsidR="00676A40" w:rsidRPr="007B0EFA" w:rsidRDefault="00676A40" w:rsidP="001E4116"/>
          <w:p w14:paraId="02D736A6" w14:textId="694A0E10" w:rsidR="00D20C22" w:rsidRPr="00676A40" w:rsidRDefault="00D20C22" w:rsidP="009C56C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7B0EFA">
              <w:t>Sets</w:t>
            </w:r>
            <w:r w:rsidR="00C77B09">
              <w:t xml:space="preserve"> out the funding settlement for 2021 to 2022 </w:t>
            </w:r>
          </w:p>
          <w:p w14:paraId="02D736A7" w14:textId="673BD12D" w:rsidR="00676A40" w:rsidRPr="007B0EFA" w:rsidRDefault="00571B18" w:rsidP="009C56C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 xml:space="preserve">Confirms the Funding Factors </w:t>
            </w:r>
            <w:r w:rsidR="0034378A">
              <w:t xml:space="preserve">used for the Schools </w:t>
            </w:r>
            <w:r w:rsidR="00DE5026">
              <w:t>budget allocation and the minimum funding guarantee</w:t>
            </w:r>
            <w:r w:rsidR="00676A40">
              <w:t xml:space="preserve">. </w:t>
            </w:r>
          </w:p>
          <w:p w14:paraId="537F8A1A" w14:textId="77777777" w:rsidR="002F6516" w:rsidRDefault="00676A40" w:rsidP="009C56C2">
            <w:pPr>
              <w:pStyle w:val="ListParagraph"/>
              <w:numPr>
                <w:ilvl w:val="0"/>
                <w:numId w:val="3"/>
              </w:numPr>
            </w:pPr>
            <w:r>
              <w:t xml:space="preserve">Sets out the </w:t>
            </w:r>
            <w:r w:rsidR="00BB506E">
              <w:t xml:space="preserve">changes and adjustments that have been made to </w:t>
            </w:r>
            <w:r w:rsidR="00B534F5">
              <w:t>individual school</w:t>
            </w:r>
            <w:r w:rsidR="0032745D">
              <w:t xml:space="preserve"> budget calculations</w:t>
            </w:r>
          </w:p>
          <w:p w14:paraId="02D736A8" w14:textId="56773F40" w:rsidR="00B06B29" w:rsidRPr="007B0EFA" w:rsidRDefault="002F6516" w:rsidP="009C56C2">
            <w:pPr>
              <w:pStyle w:val="ListParagraph"/>
              <w:numPr>
                <w:ilvl w:val="0"/>
                <w:numId w:val="3"/>
              </w:numPr>
            </w:pPr>
            <w:r>
              <w:t xml:space="preserve">Confirms </w:t>
            </w:r>
            <w:r w:rsidR="000F377A">
              <w:t xml:space="preserve">recommended </w:t>
            </w:r>
            <w:r>
              <w:t>De-delegation rates</w:t>
            </w:r>
            <w:r w:rsidR="00676A40">
              <w:t>.</w:t>
            </w:r>
          </w:p>
          <w:p w14:paraId="02D736A9" w14:textId="77777777" w:rsidR="002A08A5" w:rsidRPr="007B0EFA" w:rsidRDefault="002A08A5" w:rsidP="001E4116"/>
        </w:tc>
      </w:tr>
    </w:tbl>
    <w:p w14:paraId="02D736AB" w14:textId="77777777" w:rsidR="002A08A5" w:rsidRPr="007B0EFA" w:rsidRDefault="002A08A5" w:rsidP="002A08A5">
      <w:pPr>
        <w:pStyle w:val="Header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A08A5" w:rsidRPr="007B0EFA" w14:paraId="02D736B4" w14:textId="77777777" w:rsidTr="002A08A5">
        <w:tc>
          <w:tcPr>
            <w:tcW w:w="9286" w:type="dxa"/>
          </w:tcPr>
          <w:p w14:paraId="02D736AC" w14:textId="77777777" w:rsidR="002A08A5" w:rsidRPr="007B0EFA" w:rsidRDefault="002A08A5" w:rsidP="002A08A5">
            <w:pPr>
              <w:pStyle w:val="Header"/>
              <w:rPr>
                <w:b/>
              </w:rPr>
            </w:pPr>
            <w:r w:rsidRPr="007B0EFA">
              <w:rPr>
                <w:b/>
              </w:rPr>
              <w:t xml:space="preserve">Details of recommendations and timescales for decisions: </w:t>
            </w:r>
          </w:p>
          <w:p w14:paraId="02D736AD" w14:textId="77777777" w:rsidR="003C7DF4" w:rsidRPr="007B0EFA" w:rsidRDefault="003C7DF4" w:rsidP="002A08A5">
            <w:pPr>
              <w:pStyle w:val="Header"/>
              <w:rPr>
                <w:b/>
              </w:rPr>
            </w:pPr>
          </w:p>
          <w:p w14:paraId="02D736AE" w14:textId="77777777" w:rsidR="002A08A5" w:rsidRPr="007B0EFA" w:rsidRDefault="002A08A5" w:rsidP="002A08A5">
            <w:pPr>
              <w:pStyle w:val="Header"/>
              <w:rPr>
                <w:b/>
              </w:rPr>
            </w:pPr>
            <w:r w:rsidRPr="007B0EFA">
              <w:rPr>
                <w:b/>
              </w:rPr>
              <w:t>Schools Forum is asked to:</w:t>
            </w:r>
          </w:p>
          <w:p w14:paraId="02D736AF" w14:textId="77777777" w:rsidR="00B06B29" w:rsidRPr="007B0EFA" w:rsidRDefault="00B06B29" w:rsidP="002A08A5">
            <w:pPr>
              <w:pStyle w:val="Header"/>
              <w:rPr>
                <w:b/>
              </w:rPr>
            </w:pPr>
          </w:p>
          <w:p w14:paraId="02D736B0" w14:textId="3170C5E3" w:rsidR="0079745A" w:rsidRDefault="00524459" w:rsidP="000D5CCD">
            <w:pPr>
              <w:pStyle w:val="Header"/>
              <w:ind w:left="360"/>
              <w:rPr>
                <w:b/>
              </w:rPr>
            </w:pPr>
            <w:r>
              <w:rPr>
                <w:b/>
              </w:rPr>
              <w:t xml:space="preserve">Review and comment on the </w:t>
            </w:r>
            <w:r w:rsidR="00E1541B">
              <w:rPr>
                <w:b/>
              </w:rPr>
              <w:t>Formula and modelling of the Schools budgets for 2021/22</w:t>
            </w:r>
            <w:r w:rsidR="00C005B2">
              <w:rPr>
                <w:b/>
              </w:rPr>
              <w:t>.</w:t>
            </w:r>
            <w:r w:rsidR="00E1541B">
              <w:rPr>
                <w:b/>
              </w:rPr>
              <w:t xml:space="preserve"> </w:t>
            </w:r>
          </w:p>
          <w:p w14:paraId="02CA1941" w14:textId="629B63F0" w:rsidR="00BB506E" w:rsidRPr="007B0EFA" w:rsidRDefault="002F6516" w:rsidP="000D5CCD">
            <w:pPr>
              <w:pStyle w:val="Header"/>
              <w:ind w:left="360"/>
              <w:rPr>
                <w:b/>
              </w:rPr>
            </w:pPr>
            <w:r>
              <w:rPr>
                <w:b/>
              </w:rPr>
              <w:t>Approve</w:t>
            </w:r>
            <w:r w:rsidR="00524459">
              <w:rPr>
                <w:b/>
              </w:rPr>
              <w:t xml:space="preserve"> de-delegation</w:t>
            </w:r>
            <w:r w:rsidR="000F377A">
              <w:rPr>
                <w:b/>
              </w:rPr>
              <w:t xml:space="preserve"> rates.</w:t>
            </w:r>
          </w:p>
          <w:p w14:paraId="02D736B2" w14:textId="09860DC6" w:rsidR="002A08A5" w:rsidRPr="007B0EFA" w:rsidRDefault="002A08A5" w:rsidP="000D5CCD">
            <w:pPr>
              <w:pStyle w:val="Header"/>
              <w:ind w:left="720"/>
              <w:rPr>
                <w:b/>
              </w:rPr>
            </w:pPr>
          </w:p>
          <w:p w14:paraId="02D736B3" w14:textId="77777777" w:rsidR="002A08A5" w:rsidRPr="007B0EFA" w:rsidRDefault="002A08A5" w:rsidP="002A08A5">
            <w:pPr>
              <w:pStyle w:val="Header"/>
              <w:rPr>
                <w:b/>
              </w:rPr>
            </w:pPr>
          </w:p>
        </w:tc>
      </w:tr>
    </w:tbl>
    <w:p w14:paraId="02D736B5" w14:textId="77777777" w:rsidR="002A08A5" w:rsidRPr="007B0EFA" w:rsidRDefault="002A08A5" w:rsidP="002A08A5">
      <w:pPr>
        <w:pStyle w:val="Header"/>
        <w:jc w:val="center"/>
        <w:rPr>
          <w:b/>
        </w:rPr>
      </w:pPr>
    </w:p>
    <w:p w14:paraId="02D736B6" w14:textId="77777777" w:rsidR="002A08A5" w:rsidRPr="007B0EFA" w:rsidRDefault="002A08A5" w:rsidP="002A08A5">
      <w:pPr>
        <w:pStyle w:val="Header"/>
        <w:jc w:val="center"/>
        <w:rPr>
          <w:b/>
        </w:rPr>
      </w:pPr>
    </w:p>
    <w:p w14:paraId="02D736B7" w14:textId="77777777" w:rsidR="00BB4758" w:rsidRPr="007B0EFA" w:rsidRDefault="001E4116" w:rsidP="002A08A5">
      <w:pPr>
        <w:pStyle w:val="Header"/>
        <w:jc w:val="center"/>
        <w:rPr>
          <w:b/>
        </w:rPr>
      </w:pPr>
      <w:r w:rsidRPr="007B0EFA">
        <w:rPr>
          <w:b/>
        </w:rPr>
        <w:br w:type="page"/>
      </w:r>
    </w:p>
    <w:p w14:paraId="02D736B8" w14:textId="49C6F4B2" w:rsidR="00974C85" w:rsidRPr="007B0EFA" w:rsidRDefault="00181AEC" w:rsidP="009C56C2">
      <w:pPr>
        <w:numPr>
          <w:ilvl w:val="0"/>
          <w:numId w:val="2"/>
        </w:numPr>
        <w:spacing w:after="160" w:line="259" w:lineRule="auto"/>
        <w:contextualSpacing/>
        <w:rPr>
          <w:b/>
        </w:rPr>
      </w:pPr>
      <w:r>
        <w:rPr>
          <w:b/>
        </w:rPr>
        <w:lastRenderedPageBreak/>
        <w:t>Schools Block Headlines</w:t>
      </w:r>
    </w:p>
    <w:p w14:paraId="02D736B9" w14:textId="77777777" w:rsidR="00974C85" w:rsidRPr="007B0EFA" w:rsidRDefault="00974C85" w:rsidP="00974C85">
      <w:pPr>
        <w:spacing w:after="160" w:line="259" w:lineRule="auto"/>
        <w:ind w:left="360"/>
        <w:contextualSpacing/>
        <w:rPr>
          <w:b/>
        </w:rPr>
      </w:pPr>
    </w:p>
    <w:p w14:paraId="02D736BA" w14:textId="0DE65FC1" w:rsidR="008A589D" w:rsidRDefault="00AA7E35" w:rsidP="008A589D">
      <w:pPr>
        <w:numPr>
          <w:ilvl w:val="1"/>
          <w:numId w:val="2"/>
        </w:numPr>
        <w:spacing w:after="160" w:line="259" w:lineRule="auto"/>
        <w:ind w:left="567" w:hanging="567"/>
        <w:contextualSpacing/>
      </w:pPr>
      <w:r>
        <w:t xml:space="preserve">The Schools Block allocation for 2021/22 was finalised </w:t>
      </w:r>
      <w:r w:rsidR="00450E9A">
        <w:t xml:space="preserve">on December </w:t>
      </w:r>
      <w:proofErr w:type="gramStart"/>
      <w:r w:rsidR="00450E9A">
        <w:t>17</w:t>
      </w:r>
      <w:proofErr w:type="gramEnd"/>
      <w:r w:rsidR="00686B1B">
        <w:t xml:space="preserve"> 2020</w:t>
      </w:r>
      <w:r w:rsidR="00450E9A">
        <w:t xml:space="preserve"> giving </w:t>
      </w:r>
      <w:r w:rsidR="00CD3FF0">
        <w:t>a gross allocation to Tower Hamlets of £</w:t>
      </w:r>
      <w:r w:rsidR="00856911">
        <w:t>278,633,467</w:t>
      </w:r>
    </w:p>
    <w:p w14:paraId="394792BA" w14:textId="77777777" w:rsidR="00856911" w:rsidRPr="007B0EFA" w:rsidRDefault="00856911" w:rsidP="00856911">
      <w:pPr>
        <w:spacing w:after="160" w:line="259" w:lineRule="auto"/>
        <w:ind w:left="567"/>
        <w:contextualSpacing/>
      </w:pPr>
    </w:p>
    <w:p w14:paraId="301A0072" w14:textId="1E5DFD3D" w:rsidR="00CD3FF0" w:rsidRPr="00CD3FF0" w:rsidRDefault="00CD3FF0" w:rsidP="00CD3FF0">
      <w:pPr>
        <w:pStyle w:val="ListParagraph"/>
        <w:ind w:left="360"/>
        <w:rPr>
          <w:rFonts w:cs="Arial"/>
          <w:b/>
        </w:rPr>
      </w:pPr>
      <w:r w:rsidRPr="00CD3FF0">
        <w:rPr>
          <w:rFonts w:cs="Arial"/>
          <w:b/>
        </w:rPr>
        <w:t xml:space="preserve">Table 1: </w:t>
      </w:r>
      <w:r w:rsidR="00856911">
        <w:rPr>
          <w:rFonts w:cs="Arial"/>
          <w:b/>
        </w:rPr>
        <w:t>Schools Block Allocation</w:t>
      </w:r>
    </w:p>
    <w:p w14:paraId="708FF120" w14:textId="77777777" w:rsidR="00CD3FF0" w:rsidRPr="00CD3FF0" w:rsidRDefault="00CD3FF0" w:rsidP="00CD3FF0">
      <w:pPr>
        <w:pStyle w:val="ListParagraph"/>
        <w:ind w:left="360"/>
        <w:rPr>
          <w:rFonts w:cs="Arial"/>
          <w:sz w:val="22"/>
          <w:szCs w:val="22"/>
        </w:rPr>
      </w:pPr>
    </w:p>
    <w:tbl>
      <w:tblPr>
        <w:tblStyle w:val="TableGrid"/>
        <w:tblW w:w="7229" w:type="dxa"/>
        <w:tblLayout w:type="fixed"/>
        <w:tblLook w:val="01E0" w:firstRow="1" w:lastRow="1" w:firstColumn="1" w:lastColumn="1" w:noHBand="0" w:noVBand="0"/>
      </w:tblPr>
      <w:tblGrid>
        <w:gridCol w:w="5528"/>
        <w:gridCol w:w="1701"/>
      </w:tblGrid>
      <w:tr w:rsidR="006F5C2F" w:rsidRPr="007B0EFA" w14:paraId="13322547" w14:textId="77777777" w:rsidTr="0040368B">
        <w:trPr>
          <w:trHeight w:hRule="exact" w:val="694"/>
        </w:trPr>
        <w:tc>
          <w:tcPr>
            <w:tcW w:w="5528" w:type="dxa"/>
          </w:tcPr>
          <w:p w14:paraId="5D223F0D" w14:textId="77777777" w:rsidR="006F5C2F" w:rsidRPr="007B0EFA" w:rsidRDefault="006F5C2F" w:rsidP="00BB0B93">
            <w:pPr>
              <w:widowControl w:val="0"/>
              <w:spacing w:before="54"/>
              <w:ind w:left="102"/>
              <w:rPr>
                <w:rFonts w:eastAsia="Arial" w:cs="Arial"/>
                <w:b/>
                <w:color w:val="221F1F"/>
                <w:sz w:val="22"/>
                <w:szCs w:val="22"/>
                <w:lang w:val="en-US" w:eastAsia="en-US"/>
              </w:rPr>
            </w:pPr>
            <w:r>
              <w:rPr>
                <w:rFonts w:eastAsia="Arial" w:cs="Arial"/>
                <w:b/>
                <w:color w:val="221F1F"/>
                <w:sz w:val="22"/>
                <w:szCs w:val="22"/>
                <w:lang w:val="en-US" w:eastAsia="en-US"/>
              </w:rPr>
              <w:t>Service.</w:t>
            </w:r>
          </w:p>
          <w:p w14:paraId="05D9BB41" w14:textId="77777777" w:rsidR="006F5C2F" w:rsidRPr="007B0EFA" w:rsidRDefault="006F5C2F" w:rsidP="00BB0B93">
            <w:pPr>
              <w:widowControl w:val="0"/>
              <w:spacing w:before="54"/>
              <w:ind w:left="102"/>
              <w:rPr>
                <w:rFonts w:eastAsia="Arial" w:cs="Arial"/>
                <w:b/>
                <w:color w:val="221F1F"/>
                <w:sz w:val="22"/>
                <w:szCs w:val="22"/>
                <w:lang w:val="en-US" w:eastAsia="en-US"/>
              </w:rPr>
            </w:pPr>
          </w:p>
          <w:p w14:paraId="0CF164D0" w14:textId="77777777" w:rsidR="006F5C2F" w:rsidRPr="007B0EFA" w:rsidRDefault="006F5C2F" w:rsidP="00BB0B93">
            <w:pPr>
              <w:widowControl w:val="0"/>
              <w:spacing w:before="54"/>
              <w:ind w:left="102"/>
              <w:rPr>
                <w:rFonts w:eastAsia="Arial" w:cs="Arial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</w:tcPr>
          <w:p w14:paraId="23B53BE2" w14:textId="77777777" w:rsidR="006F5C2F" w:rsidRPr="007B0EFA" w:rsidRDefault="006F5C2F" w:rsidP="00BB0B93">
            <w:pPr>
              <w:widowControl w:val="0"/>
              <w:spacing w:before="54"/>
              <w:jc w:val="center"/>
              <w:rPr>
                <w:rFonts w:eastAsia="Arial" w:cs="Arial"/>
                <w:b/>
                <w:color w:val="221F1F"/>
                <w:sz w:val="22"/>
                <w:szCs w:val="22"/>
                <w:lang w:val="en-US" w:eastAsia="en-US"/>
              </w:rPr>
            </w:pPr>
            <w:r w:rsidRPr="007B0EFA">
              <w:rPr>
                <w:rFonts w:eastAsia="Arial" w:cs="Arial"/>
                <w:b/>
                <w:color w:val="221F1F"/>
                <w:sz w:val="22"/>
                <w:szCs w:val="22"/>
                <w:lang w:val="en-US" w:eastAsia="en-US"/>
              </w:rPr>
              <w:t>20</w:t>
            </w:r>
            <w:r>
              <w:rPr>
                <w:rFonts w:eastAsia="Arial" w:cs="Arial"/>
                <w:b/>
                <w:color w:val="221F1F"/>
                <w:sz w:val="22"/>
                <w:szCs w:val="22"/>
                <w:lang w:val="en-US" w:eastAsia="en-US"/>
              </w:rPr>
              <w:t>20</w:t>
            </w:r>
            <w:r w:rsidRPr="007B0EFA">
              <w:rPr>
                <w:rFonts w:eastAsia="Arial" w:cs="Arial"/>
                <w:b/>
                <w:color w:val="221F1F"/>
                <w:sz w:val="22"/>
                <w:szCs w:val="22"/>
                <w:lang w:val="en-US" w:eastAsia="en-US"/>
              </w:rPr>
              <w:t>-2</w:t>
            </w:r>
            <w:r>
              <w:rPr>
                <w:rFonts w:eastAsia="Arial" w:cs="Arial"/>
                <w:b/>
                <w:color w:val="221F1F"/>
                <w:sz w:val="22"/>
                <w:szCs w:val="22"/>
                <w:lang w:val="en-US" w:eastAsia="en-US"/>
              </w:rPr>
              <w:t>1</w:t>
            </w:r>
          </w:p>
          <w:p w14:paraId="7AC7090A" w14:textId="77777777" w:rsidR="006F5C2F" w:rsidRPr="007B0EFA" w:rsidRDefault="006F5C2F" w:rsidP="00BB0B93">
            <w:pPr>
              <w:widowControl w:val="0"/>
              <w:spacing w:before="54"/>
              <w:jc w:val="center"/>
              <w:rPr>
                <w:rFonts w:eastAsia="Arial" w:cs="Arial"/>
                <w:b/>
                <w:sz w:val="22"/>
                <w:szCs w:val="22"/>
                <w:lang w:val="en-US" w:eastAsia="en-US"/>
              </w:rPr>
            </w:pPr>
            <w:r w:rsidRPr="007B0EFA">
              <w:rPr>
                <w:rFonts w:eastAsia="Arial" w:cs="Arial"/>
                <w:b/>
                <w:color w:val="221F1F"/>
                <w:sz w:val="22"/>
                <w:szCs w:val="22"/>
                <w:lang w:val="en-US" w:eastAsia="en-US"/>
              </w:rPr>
              <w:t>£000</w:t>
            </w:r>
          </w:p>
        </w:tc>
      </w:tr>
      <w:tr w:rsidR="006F5C2F" w:rsidRPr="007B0EFA" w14:paraId="693930F6" w14:textId="77777777" w:rsidTr="0040368B">
        <w:trPr>
          <w:trHeight w:hRule="exact" w:val="321"/>
        </w:trPr>
        <w:tc>
          <w:tcPr>
            <w:tcW w:w="5528" w:type="dxa"/>
          </w:tcPr>
          <w:p w14:paraId="05CCCE1E" w14:textId="2B6FE0D9" w:rsidR="006F5C2F" w:rsidRPr="007B0EFA" w:rsidRDefault="006F5C2F" w:rsidP="00BB0B93">
            <w:pPr>
              <w:widowControl w:val="0"/>
              <w:spacing w:before="54"/>
              <w:rPr>
                <w:rFonts w:eastAsia="Arial" w:cs="Arial"/>
                <w:sz w:val="22"/>
                <w:szCs w:val="22"/>
                <w:lang w:val="en-US" w:eastAsia="en-US"/>
              </w:rPr>
            </w:pPr>
            <w:r>
              <w:rPr>
                <w:rFonts w:eastAsia="Arial" w:cs="Arial"/>
                <w:color w:val="221F1F"/>
                <w:spacing w:val="-1"/>
                <w:sz w:val="22"/>
                <w:szCs w:val="22"/>
                <w:lang w:val="en-US" w:eastAsia="en-US"/>
              </w:rPr>
              <w:t xml:space="preserve">Base Schools Block </w:t>
            </w:r>
          </w:p>
        </w:tc>
        <w:tc>
          <w:tcPr>
            <w:tcW w:w="1701" w:type="dxa"/>
          </w:tcPr>
          <w:p w14:paraId="7167FF85" w14:textId="6B55571F" w:rsidR="006F5C2F" w:rsidRPr="008A3319" w:rsidRDefault="00CC3048" w:rsidP="00BB0B93">
            <w:pPr>
              <w:widowControl w:val="0"/>
              <w:spacing w:before="54"/>
              <w:ind w:left="102"/>
              <w:jc w:val="right"/>
              <w:rPr>
                <w:rFonts w:eastAsia="Arial" w:cs="Arial"/>
                <w:color w:val="221F1F"/>
                <w:spacing w:val="-1"/>
                <w:sz w:val="22"/>
                <w:szCs w:val="22"/>
                <w:lang w:val="en-US" w:eastAsia="en-US"/>
              </w:rPr>
            </w:pPr>
            <w:r>
              <w:rPr>
                <w:rFonts w:eastAsia="Arial" w:cs="Arial"/>
                <w:color w:val="221F1F"/>
                <w:spacing w:val="-1"/>
                <w:sz w:val="22"/>
                <w:szCs w:val="22"/>
                <w:lang w:val="en-US" w:eastAsia="en-US"/>
              </w:rPr>
              <w:t>26</w:t>
            </w:r>
            <w:r w:rsidR="00AB507C">
              <w:rPr>
                <w:rFonts w:eastAsia="Arial" w:cs="Arial"/>
                <w:color w:val="221F1F"/>
                <w:spacing w:val="-1"/>
                <w:sz w:val="22"/>
                <w:szCs w:val="22"/>
                <w:lang w:val="en-US" w:eastAsia="en-US"/>
              </w:rPr>
              <w:t>8,869,705</w:t>
            </w:r>
          </w:p>
        </w:tc>
      </w:tr>
      <w:tr w:rsidR="006F5C2F" w:rsidRPr="007B0EFA" w14:paraId="515BA2C9" w14:textId="77777777" w:rsidTr="0040368B">
        <w:trPr>
          <w:trHeight w:hRule="exact" w:val="319"/>
        </w:trPr>
        <w:tc>
          <w:tcPr>
            <w:tcW w:w="5528" w:type="dxa"/>
          </w:tcPr>
          <w:p w14:paraId="7FB6ED4D" w14:textId="2746F614" w:rsidR="00CC3048" w:rsidRPr="008A3319" w:rsidRDefault="00167CD7" w:rsidP="00CC3048">
            <w:pPr>
              <w:widowControl w:val="0"/>
              <w:spacing w:before="54"/>
              <w:rPr>
                <w:rFonts w:eastAsia="Arial" w:cs="Arial"/>
                <w:color w:val="221F1F"/>
                <w:spacing w:val="-1"/>
                <w:sz w:val="22"/>
                <w:szCs w:val="22"/>
                <w:lang w:val="en-US" w:eastAsia="en-US"/>
              </w:rPr>
            </w:pPr>
            <w:r>
              <w:rPr>
                <w:rFonts w:eastAsia="Arial" w:cs="Arial"/>
                <w:sz w:val="22"/>
                <w:szCs w:val="22"/>
                <w:lang w:val="en-US" w:eastAsia="en-US"/>
              </w:rPr>
              <w:t>Of wh</w:t>
            </w:r>
            <w:r w:rsidR="00CC3048">
              <w:rPr>
                <w:rFonts w:eastAsia="Arial" w:cs="Arial"/>
                <w:sz w:val="22"/>
                <w:szCs w:val="22"/>
                <w:lang w:val="en-US" w:eastAsia="en-US"/>
              </w:rPr>
              <w:t>ich growth is:</w:t>
            </w:r>
            <w:r w:rsidR="00CC3048" w:rsidRPr="008A3319">
              <w:rPr>
                <w:rFonts w:eastAsia="Arial" w:cs="Arial"/>
                <w:iCs/>
                <w:color w:val="221F1F"/>
                <w:spacing w:val="-1"/>
                <w:sz w:val="22"/>
                <w:szCs w:val="22"/>
                <w:lang w:val="en-US" w:eastAsia="en-US"/>
              </w:rPr>
              <w:t xml:space="preserve"> </w:t>
            </w:r>
          </w:p>
          <w:p w14:paraId="52182B54" w14:textId="27BA9338" w:rsidR="006F5C2F" w:rsidRPr="007B0EFA" w:rsidRDefault="006F5C2F" w:rsidP="00BB0B93">
            <w:pPr>
              <w:widowControl w:val="0"/>
              <w:spacing w:before="51"/>
              <w:rPr>
                <w:rFonts w:eastAsia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</w:tcPr>
          <w:p w14:paraId="044306D1" w14:textId="685B32FB" w:rsidR="006F5C2F" w:rsidRPr="00CC3048" w:rsidRDefault="00CC3048" w:rsidP="00CC3048">
            <w:pPr>
              <w:widowControl w:val="0"/>
              <w:spacing w:before="54"/>
              <w:ind w:left="102"/>
              <w:jc w:val="right"/>
              <w:rPr>
                <w:rFonts w:eastAsia="Arial" w:cs="Arial"/>
                <w:i/>
                <w:color w:val="221F1F"/>
                <w:spacing w:val="-1"/>
                <w:sz w:val="22"/>
                <w:szCs w:val="22"/>
                <w:lang w:val="en-US" w:eastAsia="en-US"/>
              </w:rPr>
            </w:pPr>
            <w:r w:rsidRPr="00CC3048">
              <w:rPr>
                <w:rFonts w:eastAsia="Arial" w:cs="Arial"/>
                <w:i/>
                <w:color w:val="221F1F"/>
                <w:spacing w:val="-1"/>
                <w:sz w:val="22"/>
                <w:szCs w:val="22"/>
                <w:lang w:val="en-US" w:eastAsia="en-US"/>
              </w:rPr>
              <w:t>972,981</w:t>
            </w:r>
          </w:p>
        </w:tc>
      </w:tr>
      <w:tr w:rsidR="00167CD7" w:rsidRPr="007B0EFA" w14:paraId="41E2E686" w14:textId="77777777" w:rsidTr="0040368B">
        <w:trPr>
          <w:trHeight w:hRule="exact" w:val="319"/>
        </w:trPr>
        <w:tc>
          <w:tcPr>
            <w:tcW w:w="5528" w:type="dxa"/>
          </w:tcPr>
          <w:p w14:paraId="4380E943" w14:textId="336A2782" w:rsidR="00167CD7" w:rsidRPr="007B0EFA" w:rsidRDefault="007432DA" w:rsidP="00167CD7">
            <w:pPr>
              <w:widowControl w:val="0"/>
              <w:spacing w:before="54"/>
              <w:rPr>
                <w:rFonts w:eastAsia="Arial" w:cs="Arial"/>
                <w:sz w:val="22"/>
                <w:szCs w:val="22"/>
                <w:lang w:val="en-US" w:eastAsia="en-US"/>
              </w:rPr>
            </w:pPr>
            <w:r>
              <w:rPr>
                <w:rFonts w:eastAsia="Arial" w:cs="Arial"/>
                <w:color w:val="221F1F"/>
                <w:spacing w:val="-1"/>
                <w:sz w:val="22"/>
                <w:szCs w:val="22"/>
                <w:lang w:val="en-US" w:eastAsia="en-US"/>
              </w:rPr>
              <w:t>P</w:t>
            </w:r>
            <w:r w:rsidR="00167CD7">
              <w:rPr>
                <w:rFonts w:eastAsia="Arial" w:cs="Arial"/>
                <w:color w:val="221F1F"/>
                <w:spacing w:val="-1"/>
                <w:sz w:val="22"/>
                <w:szCs w:val="22"/>
                <w:lang w:val="en-US" w:eastAsia="en-US"/>
              </w:rPr>
              <w:t xml:space="preserve">ay and </w:t>
            </w:r>
            <w:r>
              <w:rPr>
                <w:rFonts w:eastAsia="Arial" w:cs="Arial"/>
                <w:color w:val="221F1F"/>
                <w:spacing w:val="-1"/>
                <w:sz w:val="22"/>
                <w:szCs w:val="22"/>
                <w:lang w:val="en-US" w:eastAsia="en-US"/>
              </w:rPr>
              <w:t>P</w:t>
            </w:r>
            <w:r w:rsidR="00167CD7">
              <w:rPr>
                <w:rFonts w:eastAsia="Arial" w:cs="Arial"/>
                <w:color w:val="221F1F"/>
                <w:spacing w:val="-1"/>
                <w:sz w:val="22"/>
                <w:szCs w:val="22"/>
                <w:lang w:val="en-US" w:eastAsia="en-US"/>
              </w:rPr>
              <w:t>ension</w:t>
            </w:r>
            <w:r>
              <w:rPr>
                <w:rFonts w:eastAsia="Arial" w:cs="Arial"/>
                <w:color w:val="221F1F"/>
                <w:spacing w:val="-1"/>
                <w:sz w:val="22"/>
                <w:szCs w:val="22"/>
                <w:lang w:val="en-US" w:eastAsia="en-US"/>
              </w:rPr>
              <w:t xml:space="preserve"> funding (previously separate grants)</w:t>
            </w:r>
          </w:p>
        </w:tc>
        <w:tc>
          <w:tcPr>
            <w:tcW w:w="1701" w:type="dxa"/>
          </w:tcPr>
          <w:p w14:paraId="43818CED" w14:textId="4AE83EB9" w:rsidR="00167CD7" w:rsidRPr="008A3319" w:rsidRDefault="00167CD7" w:rsidP="00167CD7">
            <w:pPr>
              <w:widowControl w:val="0"/>
              <w:spacing w:before="54"/>
              <w:ind w:left="102"/>
              <w:jc w:val="right"/>
              <w:rPr>
                <w:rFonts w:eastAsia="Arial" w:cs="Arial"/>
                <w:iCs/>
                <w:color w:val="221F1F"/>
                <w:spacing w:val="-1"/>
                <w:sz w:val="22"/>
                <w:szCs w:val="22"/>
                <w:lang w:val="en-US" w:eastAsia="en-US"/>
              </w:rPr>
            </w:pPr>
            <w:r w:rsidRPr="008A3319">
              <w:rPr>
                <w:rFonts w:eastAsia="Arial" w:cs="Arial"/>
                <w:color w:val="221F1F"/>
                <w:spacing w:val="-1"/>
                <w:sz w:val="22"/>
                <w:szCs w:val="22"/>
                <w:lang w:val="en-US" w:eastAsia="en-US"/>
              </w:rPr>
              <w:t>9,763,762</w:t>
            </w:r>
          </w:p>
        </w:tc>
      </w:tr>
      <w:tr w:rsidR="00167CD7" w:rsidRPr="007B0EFA" w14:paraId="7AF56655" w14:textId="77777777" w:rsidTr="0040368B">
        <w:trPr>
          <w:trHeight w:hRule="exact" w:val="321"/>
        </w:trPr>
        <w:tc>
          <w:tcPr>
            <w:tcW w:w="5528" w:type="dxa"/>
          </w:tcPr>
          <w:p w14:paraId="38B283A3" w14:textId="37A76D26" w:rsidR="00167CD7" w:rsidRDefault="00167CD7" w:rsidP="00167CD7">
            <w:pPr>
              <w:widowControl w:val="0"/>
              <w:spacing w:before="54"/>
              <w:rPr>
                <w:rFonts w:eastAsia="Arial" w:cs="Arial"/>
                <w:color w:val="221F1F"/>
                <w:sz w:val="22"/>
                <w:szCs w:val="22"/>
                <w:lang w:val="en-US" w:eastAsia="en-US"/>
              </w:rPr>
            </w:pPr>
            <w:r>
              <w:rPr>
                <w:rFonts w:eastAsia="Arial" w:cs="Arial"/>
                <w:color w:val="221F1F"/>
                <w:spacing w:val="-2"/>
                <w:sz w:val="22"/>
                <w:szCs w:val="22"/>
                <w:lang w:val="en-US" w:eastAsia="en-US"/>
              </w:rPr>
              <w:t>Total</w:t>
            </w:r>
          </w:p>
          <w:p w14:paraId="3370DFB4" w14:textId="77777777" w:rsidR="00167CD7" w:rsidRPr="007B0EFA" w:rsidRDefault="00167CD7" w:rsidP="00167CD7">
            <w:pPr>
              <w:widowControl w:val="0"/>
              <w:spacing w:before="54"/>
              <w:rPr>
                <w:rFonts w:eastAsia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</w:tcPr>
          <w:p w14:paraId="0C42CDEB" w14:textId="0824E335" w:rsidR="00167CD7" w:rsidRPr="008A3319" w:rsidRDefault="00AB507C" w:rsidP="00167CD7">
            <w:pPr>
              <w:widowControl w:val="0"/>
              <w:spacing w:before="54"/>
              <w:ind w:left="102"/>
              <w:jc w:val="right"/>
              <w:rPr>
                <w:rFonts w:eastAsia="Arial" w:cs="Arial"/>
                <w:color w:val="221F1F"/>
                <w:spacing w:val="-1"/>
                <w:sz w:val="22"/>
                <w:szCs w:val="22"/>
                <w:lang w:val="en-US" w:eastAsia="en-US"/>
              </w:rPr>
            </w:pPr>
            <w:r>
              <w:rPr>
                <w:rFonts w:eastAsia="Arial" w:cs="Arial"/>
                <w:color w:val="221F1F"/>
                <w:spacing w:val="-1"/>
                <w:sz w:val="22"/>
                <w:szCs w:val="22"/>
                <w:lang w:val="en-US" w:eastAsia="en-US"/>
              </w:rPr>
              <w:t>278,</w:t>
            </w:r>
            <w:r w:rsidR="007432DA">
              <w:rPr>
                <w:rFonts w:eastAsia="Arial" w:cs="Arial"/>
                <w:color w:val="221F1F"/>
                <w:spacing w:val="-1"/>
                <w:sz w:val="22"/>
                <w:szCs w:val="22"/>
                <w:lang w:val="en-US" w:eastAsia="en-US"/>
              </w:rPr>
              <w:t>633,467</w:t>
            </w:r>
          </w:p>
        </w:tc>
      </w:tr>
    </w:tbl>
    <w:p w14:paraId="02D736BB" w14:textId="77777777" w:rsidR="008A589D" w:rsidRPr="007B0EFA" w:rsidRDefault="008A589D" w:rsidP="008A589D">
      <w:pPr>
        <w:tabs>
          <w:tab w:val="left" w:pos="709"/>
        </w:tabs>
        <w:spacing w:after="160" w:line="259" w:lineRule="auto"/>
        <w:ind w:left="360"/>
        <w:contextualSpacing/>
      </w:pPr>
    </w:p>
    <w:p w14:paraId="02D736BD" w14:textId="6927C40A" w:rsidR="00974C85" w:rsidRDefault="00B03491" w:rsidP="00BB0B93">
      <w:pPr>
        <w:numPr>
          <w:ilvl w:val="1"/>
          <w:numId w:val="2"/>
        </w:numPr>
        <w:spacing w:after="160" w:line="259" w:lineRule="auto"/>
        <w:ind w:left="567" w:hanging="567"/>
        <w:contextualSpacing/>
      </w:pPr>
      <w:r>
        <w:t xml:space="preserve">Schools Forum have previously agreed that </w:t>
      </w:r>
      <w:r w:rsidR="002260D5">
        <w:t xml:space="preserve">Budgets should be run using the </w:t>
      </w:r>
      <w:r w:rsidR="00384474">
        <w:t>N</w:t>
      </w:r>
      <w:r w:rsidR="002260D5">
        <w:t>ational Funding Formula</w:t>
      </w:r>
      <w:r w:rsidR="10176D51">
        <w:t xml:space="preserve">. </w:t>
      </w:r>
      <w:proofErr w:type="gramStart"/>
      <w:r w:rsidR="10176D51">
        <w:t>T</w:t>
      </w:r>
      <w:r w:rsidR="002260D5">
        <w:t>herefore</w:t>
      </w:r>
      <w:proofErr w:type="gramEnd"/>
      <w:r w:rsidR="002260D5">
        <w:t xml:space="preserve"> all the rates used are those </w:t>
      </w:r>
      <w:r w:rsidR="00FE0D6F">
        <w:t>based on the National funding Formula</w:t>
      </w:r>
      <w:r w:rsidR="0C5906DA">
        <w:t>,</w:t>
      </w:r>
      <w:r w:rsidR="00FE0D6F">
        <w:t xml:space="preserve"> adjusted for the area cost adjustment for Towe</w:t>
      </w:r>
      <w:r w:rsidR="005704D0">
        <w:t>r</w:t>
      </w:r>
      <w:r w:rsidR="00FE0D6F">
        <w:t xml:space="preserve"> Hamlets</w:t>
      </w:r>
      <w:r w:rsidR="005704D0">
        <w:t>.</w:t>
      </w:r>
    </w:p>
    <w:p w14:paraId="1E03C850" w14:textId="12285CF6" w:rsidR="005704D0" w:rsidRDefault="005704D0" w:rsidP="005704D0">
      <w:pPr>
        <w:spacing w:after="160" w:line="259" w:lineRule="auto"/>
        <w:ind w:left="567"/>
        <w:contextualSpacing/>
      </w:pPr>
    </w:p>
    <w:p w14:paraId="3183102D" w14:textId="1B7C686E" w:rsidR="005704D0" w:rsidRDefault="005704D0" w:rsidP="005704D0">
      <w:pPr>
        <w:spacing w:after="160" w:line="259" w:lineRule="auto"/>
        <w:ind w:left="567"/>
        <w:contextualSpacing/>
      </w:pPr>
      <w:r>
        <w:t xml:space="preserve">These rates </w:t>
      </w:r>
      <w:r w:rsidR="00313485">
        <w:t xml:space="preserve">were presented at the October </w:t>
      </w:r>
      <w:r w:rsidR="5CEB7450">
        <w:t xml:space="preserve">2020 </w:t>
      </w:r>
      <w:r w:rsidR="00313485">
        <w:t xml:space="preserve">Forum meeting and are included </w:t>
      </w:r>
      <w:r w:rsidR="000726F5">
        <w:t>as an Annex to this report.</w:t>
      </w:r>
    </w:p>
    <w:p w14:paraId="6C9F2A9E" w14:textId="77777777" w:rsidR="00313485" w:rsidRDefault="00313485" w:rsidP="005704D0">
      <w:pPr>
        <w:spacing w:after="160" w:line="259" w:lineRule="auto"/>
        <w:ind w:left="567"/>
        <w:contextualSpacing/>
      </w:pPr>
    </w:p>
    <w:p w14:paraId="2027591A" w14:textId="1F621167" w:rsidR="002A7977" w:rsidRDefault="00BD6BC3" w:rsidP="002A7977">
      <w:pPr>
        <w:numPr>
          <w:ilvl w:val="1"/>
          <w:numId w:val="2"/>
        </w:numPr>
        <w:spacing w:after="160" w:line="259" w:lineRule="auto"/>
        <w:ind w:left="567" w:hanging="567"/>
        <w:contextualSpacing/>
      </w:pPr>
      <w:r>
        <w:t>The DfE guidance for the minimum</w:t>
      </w:r>
      <w:r w:rsidR="008C0581">
        <w:t xml:space="preserve"> per pupil</w:t>
      </w:r>
      <w:r>
        <w:t xml:space="preserve"> funding guarantee allows local authorities to </w:t>
      </w:r>
      <w:r w:rsidR="00DD5C9E">
        <w:t xml:space="preserve">run this at a level </w:t>
      </w:r>
      <w:r w:rsidR="00944D16">
        <w:t xml:space="preserve">between +0.5% and +2%. We have run the budgets with the maximum </w:t>
      </w:r>
      <w:r w:rsidR="008C0581">
        <w:t xml:space="preserve">MFG of 2%, meaning every school would see a 2% increase </w:t>
      </w:r>
      <w:r w:rsidR="00111803">
        <w:t>per pupil on the rate that was received in 2020-2</w:t>
      </w:r>
      <w:r w:rsidR="00A54377">
        <w:t>1</w:t>
      </w:r>
    </w:p>
    <w:p w14:paraId="10426E95" w14:textId="77777777" w:rsidR="006E10B5" w:rsidRDefault="006E10B5" w:rsidP="006E10B5">
      <w:pPr>
        <w:spacing w:after="160" w:line="259" w:lineRule="auto"/>
        <w:ind w:left="567"/>
        <w:contextualSpacing/>
      </w:pPr>
    </w:p>
    <w:p w14:paraId="592AEAD6" w14:textId="1B7E3591" w:rsidR="00135D23" w:rsidRDefault="00135D23" w:rsidP="002A7977">
      <w:pPr>
        <w:numPr>
          <w:ilvl w:val="1"/>
          <w:numId w:val="2"/>
        </w:numPr>
        <w:spacing w:after="160" w:line="259" w:lineRule="auto"/>
        <w:ind w:left="567" w:hanging="567"/>
        <w:contextualSpacing/>
      </w:pPr>
      <w:r>
        <w:t>The Schools Block DSG now includes an allocation of £9,7</w:t>
      </w:r>
      <w:r w:rsidR="00DC3797">
        <w:t>63,762 which is the equivalent amount schools received in</w:t>
      </w:r>
      <w:r w:rsidR="00A54377">
        <w:t xml:space="preserve"> 2020-21 as separate grant payments</w:t>
      </w:r>
      <w:r w:rsidR="49005EF5">
        <w:t xml:space="preserve"> for teachers pay and pensions</w:t>
      </w:r>
      <w:r w:rsidR="00A54377">
        <w:t>.</w:t>
      </w:r>
    </w:p>
    <w:p w14:paraId="43D4C003" w14:textId="77777777" w:rsidR="002A7977" w:rsidRDefault="002A7977" w:rsidP="002A7977">
      <w:pPr>
        <w:spacing w:after="160" w:line="259" w:lineRule="auto"/>
        <w:ind w:left="567"/>
        <w:contextualSpacing/>
      </w:pPr>
    </w:p>
    <w:p w14:paraId="7BE6B22D" w14:textId="1D9E7CD4" w:rsidR="002A7977" w:rsidRPr="00D50461" w:rsidRDefault="00D50461" w:rsidP="00D50461">
      <w:pPr>
        <w:numPr>
          <w:ilvl w:val="0"/>
          <w:numId w:val="2"/>
        </w:numPr>
        <w:spacing w:after="160" w:line="259" w:lineRule="auto"/>
        <w:contextualSpacing/>
        <w:rPr>
          <w:b/>
          <w:bCs/>
        </w:rPr>
      </w:pPr>
      <w:r w:rsidRPr="00D50461">
        <w:rPr>
          <w:b/>
          <w:bCs/>
        </w:rPr>
        <w:t xml:space="preserve">    </w:t>
      </w:r>
      <w:r w:rsidR="002A7977" w:rsidRPr="00D50461">
        <w:rPr>
          <w:b/>
          <w:bCs/>
        </w:rPr>
        <w:t xml:space="preserve">Formula </w:t>
      </w:r>
      <w:r w:rsidR="00686B1B" w:rsidRPr="00D50461">
        <w:rPr>
          <w:b/>
          <w:bCs/>
        </w:rPr>
        <w:t>amendments</w:t>
      </w:r>
    </w:p>
    <w:p w14:paraId="508AF6EA" w14:textId="77777777" w:rsidR="002A7977" w:rsidRDefault="002A7977" w:rsidP="002A7977">
      <w:pPr>
        <w:spacing w:after="160" w:line="259" w:lineRule="auto"/>
        <w:ind w:left="360"/>
        <w:contextualSpacing/>
      </w:pPr>
    </w:p>
    <w:p w14:paraId="43C37B4B" w14:textId="0F21AADC" w:rsidR="002A7977" w:rsidRDefault="00E542AD" w:rsidP="002A7977">
      <w:pPr>
        <w:numPr>
          <w:ilvl w:val="1"/>
          <w:numId w:val="2"/>
        </w:numPr>
        <w:spacing w:after="160" w:line="259" w:lineRule="auto"/>
        <w:contextualSpacing/>
      </w:pPr>
      <w:r>
        <w:t>Change in the Split Site funding</w:t>
      </w:r>
      <w:r w:rsidR="00DB2CB3">
        <w:t xml:space="preserve">- In previous years split site funding was allocated </w:t>
      </w:r>
      <w:r w:rsidR="00325633">
        <w:t>based on</w:t>
      </w:r>
      <w:r w:rsidR="00DB2CB3">
        <w:t xml:space="preserve"> </w:t>
      </w:r>
      <w:r w:rsidR="00505F67">
        <w:t xml:space="preserve">a per pupil rate for the number of pupils </w:t>
      </w:r>
      <w:r w:rsidR="00416632">
        <w:t xml:space="preserve">based on the second site. This methodology </w:t>
      </w:r>
      <w:r w:rsidR="00DF697F">
        <w:t xml:space="preserve">meant that in some cases </w:t>
      </w:r>
      <w:r w:rsidR="2265B890">
        <w:t xml:space="preserve">a </w:t>
      </w:r>
      <w:r w:rsidR="00DF697F">
        <w:t xml:space="preserve">school could get </w:t>
      </w:r>
      <w:r w:rsidR="00455F9B">
        <w:t>an allocation that was greater than a single school lump sum</w:t>
      </w:r>
      <w:r w:rsidR="2DF15A90">
        <w:t>.  W</w:t>
      </w:r>
      <w:r w:rsidR="00A75026">
        <w:t>e have therefore adjust</w:t>
      </w:r>
      <w:r w:rsidR="756F3082">
        <w:t>ed</w:t>
      </w:r>
      <w:r w:rsidR="00A75026">
        <w:t xml:space="preserve"> the methodology for this</w:t>
      </w:r>
      <w:r w:rsidR="0B130A33">
        <w:t>,</w:t>
      </w:r>
      <w:r w:rsidR="00A75026">
        <w:t xml:space="preserve"> to be an allocation</w:t>
      </w:r>
      <w:r w:rsidR="004A39A8">
        <w:t xml:space="preserve"> equivalent</w:t>
      </w:r>
      <w:r w:rsidR="00A75026">
        <w:t xml:space="preserve"> of an additional lump sum. The cash allocation has remained similar and the criteria of being </w:t>
      </w:r>
      <w:r w:rsidR="00E675D1">
        <w:t xml:space="preserve">two </w:t>
      </w:r>
      <w:r w:rsidR="00325633">
        <w:t>distinctive</w:t>
      </w:r>
      <w:r w:rsidR="00E675D1">
        <w:t xml:space="preserve"> sites separated by a main tho</w:t>
      </w:r>
      <w:r w:rsidR="00160313">
        <w:t>ro</w:t>
      </w:r>
      <w:r w:rsidR="00E675D1">
        <w:t>ughfare and at least 200 met</w:t>
      </w:r>
      <w:r w:rsidR="007A70D7">
        <w:t>res apart has remained</w:t>
      </w:r>
      <w:r w:rsidR="6C963FC1">
        <w:t>.</w:t>
      </w:r>
    </w:p>
    <w:p w14:paraId="761952FB" w14:textId="77777777" w:rsidR="00934D32" w:rsidRDefault="00934D32" w:rsidP="00934D32">
      <w:pPr>
        <w:spacing w:after="160" w:line="259" w:lineRule="auto"/>
        <w:ind w:left="573"/>
        <w:contextualSpacing/>
      </w:pPr>
    </w:p>
    <w:p w14:paraId="2EBDA416" w14:textId="6B67381B" w:rsidR="00CD3FF0" w:rsidRDefault="00C55A33" w:rsidP="009C56C2">
      <w:pPr>
        <w:numPr>
          <w:ilvl w:val="1"/>
          <w:numId w:val="2"/>
        </w:numPr>
        <w:tabs>
          <w:tab w:val="left" w:pos="709"/>
        </w:tabs>
        <w:spacing w:after="160" w:line="259" w:lineRule="auto"/>
        <w:ind w:left="709" w:hanging="709"/>
        <w:contextualSpacing/>
      </w:pPr>
      <w:r>
        <w:t xml:space="preserve">We have made an application to the </w:t>
      </w:r>
      <w:r w:rsidR="00771BCE">
        <w:t>D</w:t>
      </w:r>
      <w:r>
        <w:t xml:space="preserve">epartment </w:t>
      </w:r>
      <w:r w:rsidR="00771BCE">
        <w:t xml:space="preserve">for </w:t>
      </w:r>
      <w:r>
        <w:t>Education to make an adjustment in the number of students for 8 schools</w:t>
      </w:r>
      <w:r w:rsidR="67713425">
        <w:t>,</w:t>
      </w:r>
      <w:r>
        <w:t xml:space="preserve"> </w:t>
      </w:r>
      <w:r w:rsidR="00771BCE">
        <w:t>where those schools received 5 or more pupils after the census date</w:t>
      </w:r>
      <w:r w:rsidR="64F4250C">
        <w:t xml:space="preserve"> and</w:t>
      </w:r>
      <w:r w:rsidR="00771BCE">
        <w:t xml:space="preserve"> </w:t>
      </w:r>
      <w:r w:rsidR="001C55CC">
        <w:t>where those pupils</w:t>
      </w:r>
      <w:r w:rsidR="00771BCE">
        <w:t xml:space="preserve"> had </w:t>
      </w:r>
      <w:r w:rsidR="00771BCE">
        <w:lastRenderedPageBreak/>
        <w:t>previously been out of school</w:t>
      </w:r>
      <w:r w:rsidR="0B4AF032">
        <w:t>.  W</w:t>
      </w:r>
      <w:r w:rsidR="00E57D3E">
        <w:t xml:space="preserve">hilst we have not had final confirmation that this </w:t>
      </w:r>
      <w:r w:rsidR="009452AF">
        <w:t>will be agreed</w:t>
      </w:r>
      <w:r w:rsidR="2C71FAFF">
        <w:t>,</w:t>
      </w:r>
      <w:r w:rsidR="009452AF">
        <w:t xml:space="preserve"> we have met with a DfE representative </w:t>
      </w:r>
      <w:r w:rsidR="009721DA">
        <w:t xml:space="preserve">who felt the application was likely to be successful </w:t>
      </w:r>
      <w:r w:rsidR="005B1C3A">
        <w:t>if Schools Forum were in support.</w:t>
      </w:r>
    </w:p>
    <w:p w14:paraId="0351C3AA" w14:textId="77777777" w:rsidR="005B1C3A" w:rsidRDefault="005B1C3A" w:rsidP="005B1C3A">
      <w:pPr>
        <w:pStyle w:val="ListParagraph"/>
      </w:pPr>
    </w:p>
    <w:p w14:paraId="715C7718" w14:textId="662AE10C" w:rsidR="005B1C3A" w:rsidRDefault="005B1C3A" w:rsidP="009C56C2">
      <w:pPr>
        <w:numPr>
          <w:ilvl w:val="1"/>
          <w:numId w:val="2"/>
        </w:numPr>
        <w:tabs>
          <w:tab w:val="left" w:pos="709"/>
        </w:tabs>
        <w:spacing w:after="160" w:line="259" w:lineRule="auto"/>
        <w:ind w:left="709" w:hanging="709"/>
        <w:contextualSpacing/>
      </w:pPr>
      <w:r>
        <w:t>A further disapplication was made to the DfE to consider a</w:t>
      </w:r>
      <w:r w:rsidR="00674841">
        <w:t xml:space="preserve">n additional allocation of funding to support exceptional costs for the </w:t>
      </w:r>
      <w:r w:rsidR="008E3EA6">
        <w:t>filtration system at Bow school. We have been informed that this is unlikely to be approved.</w:t>
      </w:r>
    </w:p>
    <w:p w14:paraId="5D593019" w14:textId="77777777" w:rsidR="008E3EA6" w:rsidRDefault="008E3EA6" w:rsidP="008E3EA6">
      <w:pPr>
        <w:pStyle w:val="ListParagraph"/>
      </w:pPr>
    </w:p>
    <w:p w14:paraId="1608740F" w14:textId="7AC0DAC3" w:rsidR="008E3EA6" w:rsidRDefault="008E3EA6" w:rsidP="009C56C2">
      <w:pPr>
        <w:numPr>
          <w:ilvl w:val="1"/>
          <w:numId w:val="2"/>
        </w:numPr>
        <w:tabs>
          <w:tab w:val="left" w:pos="709"/>
        </w:tabs>
        <w:spacing w:after="160" w:line="259" w:lineRule="auto"/>
        <w:ind w:left="709" w:hanging="709"/>
        <w:contextualSpacing/>
      </w:pPr>
      <w:r>
        <w:t>On inspection of the budget modelling tool</w:t>
      </w:r>
      <w:r w:rsidR="001F2B63">
        <w:t xml:space="preserve"> output </w:t>
      </w:r>
      <w:r w:rsidR="00656AC5">
        <w:t>it was</w:t>
      </w:r>
      <w:r w:rsidR="001F2B63">
        <w:t xml:space="preserve"> found that this was producing an error in the calculation for Mulberr</w:t>
      </w:r>
      <w:r w:rsidR="009E18A4">
        <w:t>y</w:t>
      </w:r>
      <w:r w:rsidR="001F2B63">
        <w:t xml:space="preserve"> UTC </w:t>
      </w:r>
      <w:r w:rsidR="009E18A4">
        <w:t xml:space="preserve">which gave a higher budget than the school </w:t>
      </w:r>
      <w:r w:rsidR="00047B91">
        <w:t xml:space="preserve">were </w:t>
      </w:r>
      <w:r w:rsidR="00325633">
        <w:t>receiving</w:t>
      </w:r>
      <w:r w:rsidR="00047B91">
        <w:t xml:space="preserve"> because of a historic baseline problem. This has been corrected with no cost to the school, however it has returned </w:t>
      </w:r>
      <w:r w:rsidR="00EC6B44" w:rsidRPr="67C8A74A">
        <w:t xml:space="preserve">£260k to the </w:t>
      </w:r>
      <w:r w:rsidR="00325633" w:rsidRPr="67C8A74A">
        <w:t>school’s</w:t>
      </w:r>
      <w:r w:rsidR="00EC6B44" w:rsidRPr="67C8A74A">
        <w:t xml:space="preserve"> b</w:t>
      </w:r>
      <w:r w:rsidR="00EC6B44">
        <w:t xml:space="preserve">lock for redistribution and supported our ability to </w:t>
      </w:r>
      <w:r w:rsidR="00453C46">
        <w:t>maximise MFG and retain some headroom.</w:t>
      </w:r>
    </w:p>
    <w:p w14:paraId="24DDC117" w14:textId="77777777" w:rsidR="00453C46" w:rsidRDefault="00453C46" w:rsidP="00453C46">
      <w:pPr>
        <w:pStyle w:val="ListParagraph"/>
      </w:pPr>
    </w:p>
    <w:p w14:paraId="3AA346BE" w14:textId="0B002397" w:rsidR="00453C46" w:rsidRDefault="00453C46" w:rsidP="009C56C2">
      <w:pPr>
        <w:numPr>
          <w:ilvl w:val="1"/>
          <w:numId w:val="2"/>
        </w:numPr>
        <w:tabs>
          <w:tab w:val="left" w:pos="709"/>
        </w:tabs>
        <w:spacing w:after="160" w:line="259" w:lineRule="auto"/>
        <w:ind w:left="709" w:hanging="709"/>
        <w:contextualSpacing/>
      </w:pPr>
      <w:r>
        <w:t>We have included an additional prorated a</w:t>
      </w:r>
      <w:r w:rsidR="00F0285A">
        <w:t>llocation of 60 (</w:t>
      </w:r>
      <w:r w:rsidR="006965C3">
        <w:t>equivalent</w:t>
      </w:r>
      <w:r w:rsidR="00F0285A">
        <w:t xml:space="preserve"> 35 pupils) pupils for Oaklands where they have increased their PAN to </w:t>
      </w:r>
      <w:r w:rsidR="006965C3">
        <w:t>accommodate</w:t>
      </w:r>
      <w:r w:rsidR="00844804">
        <w:t xml:space="preserve"> pupils that would have previously been </w:t>
      </w:r>
      <w:r w:rsidR="00D50461">
        <w:t>attending Raines.</w:t>
      </w:r>
      <w:r w:rsidR="001A579D">
        <w:t xml:space="preserve"> This is line with the growth policy discussed at December</w:t>
      </w:r>
      <w:r w:rsidR="006E10B5">
        <w:t>’</w:t>
      </w:r>
      <w:r w:rsidR="0011455F">
        <w:t>s forum meeting</w:t>
      </w:r>
    </w:p>
    <w:p w14:paraId="3FE3E2DA" w14:textId="77777777" w:rsidR="007B7E35" w:rsidRDefault="007B7E35" w:rsidP="007B7E35">
      <w:pPr>
        <w:pStyle w:val="ListParagraph"/>
      </w:pPr>
    </w:p>
    <w:p w14:paraId="4A79DB6E" w14:textId="679C1109" w:rsidR="007B7E35" w:rsidRDefault="007B7E35" w:rsidP="009C56C2">
      <w:pPr>
        <w:numPr>
          <w:ilvl w:val="1"/>
          <w:numId w:val="2"/>
        </w:numPr>
        <w:tabs>
          <w:tab w:val="left" w:pos="709"/>
        </w:tabs>
        <w:spacing w:after="160" w:line="259" w:lineRule="auto"/>
        <w:ind w:left="709" w:hanging="709"/>
        <w:contextualSpacing/>
      </w:pPr>
      <w:r>
        <w:t xml:space="preserve">Where we have been notified </w:t>
      </w:r>
      <w:r w:rsidR="00B97767">
        <w:t>of changes to NNDR</w:t>
      </w:r>
      <w:r>
        <w:t xml:space="preserve"> </w:t>
      </w:r>
      <w:r w:rsidR="001A0B30">
        <w:t>rates this year</w:t>
      </w:r>
      <w:r w:rsidR="00B97767">
        <w:t>,</w:t>
      </w:r>
      <w:r w:rsidR="001A0B30">
        <w:t xml:space="preserve"> allocations have been made </w:t>
      </w:r>
      <w:r w:rsidR="00B97767">
        <w:t>to reimburse those schools</w:t>
      </w:r>
      <w:r w:rsidR="00F26978">
        <w:t>. Rates costs have also been reviewed in year and revised allocations made.</w:t>
      </w:r>
    </w:p>
    <w:p w14:paraId="2AF5B074" w14:textId="77777777" w:rsidR="00F26978" w:rsidRDefault="00F26978" w:rsidP="00F26978">
      <w:pPr>
        <w:pStyle w:val="ListParagraph"/>
      </w:pPr>
    </w:p>
    <w:p w14:paraId="2343B5DD" w14:textId="08FD59B7" w:rsidR="00D50461" w:rsidRDefault="00F26978" w:rsidP="00BB0B93">
      <w:pPr>
        <w:numPr>
          <w:ilvl w:val="1"/>
          <w:numId w:val="2"/>
        </w:numPr>
        <w:tabs>
          <w:tab w:val="left" w:pos="709"/>
        </w:tabs>
        <w:spacing w:after="160" w:line="259" w:lineRule="auto"/>
        <w:ind w:left="709" w:hanging="709"/>
        <w:contextualSpacing/>
      </w:pPr>
      <w:r>
        <w:t xml:space="preserve">Growth Fund </w:t>
      </w:r>
      <w:r w:rsidR="00280A84">
        <w:t xml:space="preserve">has been set at £1m which </w:t>
      </w:r>
      <w:r w:rsidR="00FF57CC">
        <w:t xml:space="preserve">is in line </w:t>
      </w:r>
      <w:r w:rsidR="00280A84">
        <w:t>with the allocation made through the formula (rounded up)</w:t>
      </w:r>
      <w:r w:rsidR="006B5C9D">
        <w:t xml:space="preserve">. Use of this funding will be reported to Forum </w:t>
      </w:r>
      <w:r w:rsidR="00F43071">
        <w:t>over the Financial year</w:t>
      </w:r>
      <w:r w:rsidR="0011455F">
        <w:t>.</w:t>
      </w:r>
    </w:p>
    <w:p w14:paraId="07780AD1" w14:textId="77777777" w:rsidR="00D50461" w:rsidRDefault="00D50461" w:rsidP="00D50461">
      <w:pPr>
        <w:tabs>
          <w:tab w:val="left" w:pos="709"/>
        </w:tabs>
        <w:spacing w:after="160" w:line="259" w:lineRule="auto"/>
        <w:ind w:left="709"/>
        <w:contextualSpacing/>
      </w:pPr>
    </w:p>
    <w:p w14:paraId="02D736C4" w14:textId="0582A66B" w:rsidR="00AD6680" w:rsidRDefault="001E7F2E" w:rsidP="009C56C2">
      <w:pPr>
        <w:numPr>
          <w:ilvl w:val="1"/>
          <w:numId w:val="2"/>
        </w:numPr>
        <w:tabs>
          <w:tab w:val="left" w:pos="709"/>
        </w:tabs>
        <w:spacing w:after="160" w:line="259" w:lineRule="auto"/>
        <w:ind w:left="709" w:hanging="709"/>
        <w:contextualSpacing/>
      </w:pPr>
      <w:r>
        <w:t>Available Head</w:t>
      </w:r>
      <w:r w:rsidR="006E606A">
        <w:t>room has not yet been fina</w:t>
      </w:r>
      <w:r w:rsidR="0071599B">
        <w:t xml:space="preserve">lised as adjustments </w:t>
      </w:r>
      <w:r w:rsidR="00FC230A">
        <w:t>will continue to be</w:t>
      </w:r>
      <w:r w:rsidR="0071599B">
        <w:t xml:space="preserve"> made before the final submission to the </w:t>
      </w:r>
      <w:r w:rsidR="001B374A">
        <w:t>DfE due by the 2</w:t>
      </w:r>
      <w:r w:rsidR="03D76EE7">
        <w:t>1</w:t>
      </w:r>
      <w:r w:rsidR="03D76EE7" w:rsidRPr="67C8A74A">
        <w:rPr>
          <w:vertAlign w:val="superscript"/>
        </w:rPr>
        <w:t>st</w:t>
      </w:r>
      <w:r w:rsidR="03D76EE7">
        <w:t xml:space="preserve"> </w:t>
      </w:r>
      <w:r w:rsidR="001B374A">
        <w:t>January</w:t>
      </w:r>
      <w:r w:rsidR="562A96EF">
        <w:t>.</w:t>
      </w:r>
      <w:r w:rsidR="001B374A">
        <w:t xml:space="preserve"> </w:t>
      </w:r>
      <w:r w:rsidR="6DFF3395">
        <w:t xml:space="preserve"> C</w:t>
      </w:r>
      <w:r w:rsidR="001B374A">
        <w:t xml:space="preserve">urrent estimates are </w:t>
      </w:r>
      <w:r w:rsidR="00B24314">
        <w:t xml:space="preserve">that this will be in the region of 0.4% and within the parameters that are </w:t>
      </w:r>
      <w:r w:rsidR="00CA4277">
        <w:t>agreed to be transferred to support exceptional high needs at Decembers Schools Forum</w:t>
      </w:r>
      <w:r w:rsidR="00FC230A">
        <w:t>. The final amount will be presented at the March meeting along with allocation proposals.</w:t>
      </w:r>
      <w:r w:rsidR="00CA4277">
        <w:t xml:space="preserve"> </w:t>
      </w:r>
    </w:p>
    <w:p w14:paraId="58964B82" w14:textId="3D1DD117" w:rsidR="00FC230A" w:rsidRDefault="00FC230A" w:rsidP="00AA297F">
      <w:pPr>
        <w:tabs>
          <w:tab w:val="left" w:pos="709"/>
        </w:tabs>
        <w:spacing w:after="160" w:line="259" w:lineRule="auto"/>
        <w:contextualSpacing/>
      </w:pPr>
    </w:p>
    <w:p w14:paraId="3BEB250A" w14:textId="67BC442D" w:rsidR="00AA297F" w:rsidRDefault="00AA297F" w:rsidP="00AA297F">
      <w:pPr>
        <w:pStyle w:val="ListParagraph"/>
        <w:numPr>
          <w:ilvl w:val="0"/>
          <w:numId w:val="2"/>
        </w:numPr>
        <w:tabs>
          <w:tab w:val="left" w:pos="709"/>
        </w:tabs>
        <w:spacing w:after="160" w:line="259" w:lineRule="auto"/>
        <w:rPr>
          <w:b/>
          <w:bCs/>
        </w:rPr>
      </w:pPr>
      <w:r w:rsidRPr="00AA297F">
        <w:rPr>
          <w:b/>
          <w:bCs/>
        </w:rPr>
        <w:t>De-delegations</w:t>
      </w:r>
    </w:p>
    <w:p w14:paraId="3C90588D" w14:textId="77777777" w:rsidR="00AA297F" w:rsidRDefault="00AA297F" w:rsidP="00AA297F">
      <w:pPr>
        <w:pStyle w:val="ListParagraph"/>
        <w:tabs>
          <w:tab w:val="left" w:pos="709"/>
        </w:tabs>
        <w:spacing w:after="160" w:line="259" w:lineRule="auto"/>
        <w:ind w:left="360"/>
        <w:rPr>
          <w:b/>
          <w:bCs/>
        </w:rPr>
      </w:pPr>
    </w:p>
    <w:p w14:paraId="05D5F535" w14:textId="794C722D" w:rsidR="00EB006F" w:rsidRDefault="00AA297F" w:rsidP="00AA297F">
      <w:pPr>
        <w:pStyle w:val="ListParagraph"/>
        <w:numPr>
          <w:ilvl w:val="1"/>
          <w:numId w:val="2"/>
        </w:numPr>
        <w:tabs>
          <w:tab w:val="left" w:pos="709"/>
        </w:tabs>
        <w:spacing w:after="160" w:line="259" w:lineRule="auto"/>
      </w:pPr>
      <w:r>
        <w:t>Delegations were discussed in detail at previous forum meetings</w:t>
      </w:r>
      <w:r w:rsidR="0012136C">
        <w:t>. Budgets</w:t>
      </w:r>
      <w:r w:rsidR="00F43EB3">
        <w:t xml:space="preserve"> have </w:t>
      </w:r>
      <w:r w:rsidR="0012136C">
        <w:t xml:space="preserve">been </w:t>
      </w:r>
      <w:r w:rsidR="00F43EB3">
        <w:t xml:space="preserve">modelled based on the rates </w:t>
      </w:r>
      <w:r w:rsidR="00382399">
        <w:t>adjusted for inflation discussed at the December meeting</w:t>
      </w:r>
      <w:r w:rsidR="4D51A62E">
        <w:t xml:space="preserve"> and are</w:t>
      </w:r>
      <w:r w:rsidR="00ED3B63">
        <w:t xml:space="preserve"> detailed in the table below. </w:t>
      </w:r>
      <w:r w:rsidR="00FD54D9">
        <w:t>I</w:t>
      </w:r>
      <w:r w:rsidR="00AD42B0">
        <w:t xml:space="preserve">ncluded </w:t>
      </w:r>
      <w:r w:rsidR="00FD54D9">
        <w:t xml:space="preserve">are </w:t>
      </w:r>
      <w:r w:rsidR="423F8194">
        <w:t>all</w:t>
      </w:r>
      <w:r w:rsidR="00AD42B0">
        <w:t xml:space="preserve"> the </w:t>
      </w:r>
      <w:r w:rsidR="00D34F36">
        <w:t xml:space="preserve">allocations with a total </w:t>
      </w:r>
      <w:r w:rsidR="00FD54D9">
        <w:t xml:space="preserve">and </w:t>
      </w:r>
      <w:r w:rsidR="00D34F36">
        <w:t>an average percentage that this represents for a</w:t>
      </w:r>
      <w:r w:rsidR="00450DA8">
        <w:t xml:space="preserve">n individual </w:t>
      </w:r>
      <w:r w:rsidR="00C825EC">
        <w:t>S</w:t>
      </w:r>
      <w:r w:rsidR="00450DA8">
        <w:t xml:space="preserve">chools budget. For all schools the percentage would be less than </w:t>
      </w:r>
      <w:r w:rsidR="00450DA8">
        <w:lastRenderedPageBreak/>
        <w:t xml:space="preserve">1% </w:t>
      </w:r>
      <w:r w:rsidR="00E148DE">
        <w:t xml:space="preserve">with an average percentage of 0.86% </w:t>
      </w:r>
      <w:r w:rsidR="007B0E4E">
        <w:t>for a Primary School and 0.</w:t>
      </w:r>
      <w:r w:rsidR="00F56D18">
        <w:t xml:space="preserve">71% for a Secondary school. </w:t>
      </w:r>
    </w:p>
    <w:p w14:paraId="7C2C93BE" w14:textId="77777777" w:rsidR="00EB006F" w:rsidRPr="007E3ECB" w:rsidRDefault="00F43EB3" w:rsidP="00EB006F">
      <w:pPr>
        <w:pStyle w:val="ListParagraph"/>
        <w:keepNext/>
        <w:rPr>
          <w:rFonts w:cs="Arial"/>
        </w:rPr>
      </w:pPr>
      <w:r>
        <w:t xml:space="preserve"> </w:t>
      </w:r>
      <w:r w:rsidR="00EB006F" w:rsidRPr="007E3ECB">
        <w:rPr>
          <w:rFonts w:cs="Arial"/>
          <w:b/>
        </w:rPr>
        <w:t>Table 2:  Proposed Indicative De-Delegation 2021-22.</w:t>
      </w:r>
    </w:p>
    <w:p w14:paraId="552CE7A5" w14:textId="77777777" w:rsidR="00EB006F" w:rsidRPr="009840D0" w:rsidRDefault="00EB006F" w:rsidP="00EB006F">
      <w:pPr>
        <w:pStyle w:val="ListParagraph"/>
        <w:keepNext/>
        <w:rPr>
          <w:rFonts w:cs="Arial"/>
        </w:rPr>
      </w:pPr>
    </w:p>
    <w:tbl>
      <w:tblPr>
        <w:tblStyle w:val="TableGrid"/>
        <w:tblW w:w="6051" w:type="dxa"/>
        <w:tblLook w:val="04A0" w:firstRow="1" w:lastRow="0" w:firstColumn="1" w:lastColumn="0" w:noHBand="0" w:noVBand="1"/>
      </w:tblPr>
      <w:tblGrid>
        <w:gridCol w:w="3497"/>
        <w:gridCol w:w="1110"/>
        <w:gridCol w:w="1444"/>
      </w:tblGrid>
      <w:tr w:rsidR="004368AC" w:rsidRPr="00695283" w14:paraId="1409D7DD" w14:textId="77777777" w:rsidTr="0040368B">
        <w:trPr>
          <w:trHeight w:val="988"/>
        </w:trPr>
        <w:tc>
          <w:tcPr>
            <w:tcW w:w="3929" w:type="dxa"/>
            <w:hideMark/>
          </w:tcPr>
          <w:p w14:paraId="36BF7617" w14:textId="77777777" w:rsidR="004368AC" w:rsidRPr="00695283" w:rsidRDefault="004368AC" w:rsidP="00BB0B93">
            <w:pPr>
              <w:keepNext/>
              <w:spacing w:after="160" w:line="252" w:lineRule="auto"/>
              <w:contextualSpacing/>
              <w:rPr>
                <w:rFonts w:cs="Arial"/>
                <w:b/>
                <w:bCs/>
              </w:rPr>
            </w:pPr>
            <w:r w:rsidRPr="00695283">
              <w:rPr>
                <w:rFonts w:cs="Arial"/>
                <w:b/>
                <w:bCs/>
              </w:rPr>
              <w:t>Compon</w:t>
            </w:r>
            <w:r>
              <w:rPr>
                <w:rFonts w:cs="Arial"/>
                <w:b/>
                <w:bCs/>
              </w:rPr>
              <w:t>ent</w:t>
            </w:r>
          </w:p>
        </w:tc>
        <w:tc>
          <w:tcPr>
            <w:tcW w:w="1003" w:type="dxa"/>
            <w:hideMark/>
          </w:tcPr>
          <w:p w14:paraId="6A221F54" w14:textId="0BE6043D" w:rsidR="004368AC" w:rsidRPr="00695283" w:rsidRDefault="004368AC" w:rsidP="00BB0B93">
            <w:pPr>
              <w:keepNext/>
              <w:spacing w:after="160" w:line="252" w:lineRule="auto"/>
              <w:contextualSpacing/>
              <w:jc w:val="center"/>
              <w:rPr>
                <w:rFonts w:cs="Arial"/>
                <w:b/>
                <w:bCs/>
              </w:rPr>
            </w:pPr>
            <w:r w:rsidRPr="00695283">
              <w:rPr>
                <w:rFonts w:cs="Arial"/>
                <w:b/>
                <w:bCs/>
              </w:rPr>
              <w:t>£/Pupil Pri</w:t>
            </w:r>
            <w:r w:rsidR="00AD42B0">
              <w:rPr>
                <w:rFonts w:cs="Arial"/>
                <w:b/>
                <w:bCs/>
              </w:rPr>
              <w:t>mary</w:t>
            </w:r>
          </w:p>
        </w:tc>
        <w:tc>
          <w:tcPr>
            <w:tcW w:w="1119" w:type="dxa"/>
            <w:hideMark/>
          </w:tcPr>
          <w:p w14:paraId="3A18C497" w14:textId="585A64EC" w:rsidR="004368AC" w:rsidRPr="00695283" w:rsidRDefault="004368AC" w:rsidP="00BB0B93">
            <w:pPr>
              <w:keepNext/>
              <w:spacing w:after="160" w:line="252" w:lineRule="auto"/>
              <w:contextualSpacing/>
              <w:jc w:val="center"/>
              <w:rPr>
                <w:rFonts w:cs="Arial"/>
                <w:b/>
                <w:bCs/>
              </w:rPr>
            </w:pPr>
            <w:r w:rsidRPr="00695283">
              <w:rPr>
                <w:rFonts w:cs="Arial"/>
                <w:b/>
                <w:bCs/>
              </w:rPr>
              <w:t>£/Pupil Sec</w:t>
            </w:r>
            <w:r w:rsidR="00AD42B0">
              <w:rPr>
                <w:rFonts w:cs="Arial"/>
                <w:b/>
                <w:bCs/>
              </w:rPr>
              <w:t>ondary</w:t>
            </w:r>
          </w:p>
        </w:tc>
      </w:tr>
      <w:tr w:rsidR="004368AC" w:rsidRPr="00695283" w14:paraId="5A57D979" w14:textId="77777777" w:rsidTr="0040368B">
        <w:trPr>
          <w:trHeight w:val="548"/>
        </w:trPr>
        <w:tc>
          <w:tcPr>
            <w:tcW w:w="3929" w:type="dxa"/>
            <w:hideMark/>
          </w:tcPr>
          <w:p w14:paraId="29827C13" w14:textId="77777777" w:rsidR="004368AC" w:rsidRPr="00695283" w:rsidRDefault="004368AC" w:rsidP="00BB0B93">
            <w:pPr>
              <w:keepNext/>
              <w:spacing w:after="160" w:line="252" w:lineRule="auto"/>
              <w:contextualSpacing/>
              <w:rPr>
                <w:rFonts w:cs="Arial"/>
              </w:rPr>
            </w:pPr>
            <w:r w:rsidRPr="00695283">
              <w:rPr>
                <w:rFonts w:cs="Arial"/>
              </w:rPr>
              <w:t>Contingencies (not growth).</w:t>
            </w:r>
          </w:p>
        </w:tc>
        <w:tc>
          <w:tcPr>
            <w:tcW w:w="1003" w:type="dxa"/>
            <w:hideMark/>
          </w:tcPr>
          <w:p w14:paraId="0DDEA977" w14:textId="77777777" w:rsidR="004368AC" w:rsidRPr="00695283" w:rsidRDefault="004368AC" w:rsidP="00BB0B9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15.</w:t>
            </w:r>
            <w:r>
              <w:rPr>
                <w:rFonts w:cs="Arial"/>
              </w:rPr>
              <w:t>50</w:t>
            </w:r>
          </w:p>
        </w:tc>
        <w:tc>
          <w:tcPr>
            <w:tcW w:w="1119" w:type="dxa"/>
            <w:hideMark/>
          </w:tcPr>
          <w:p w14:paraId="3217F56D" w14:textId="77777777" w:rsidR="004368AC" w:rsidRPr="00695283" w:rsidRDefault="004368AC" w:rsidP="00BB0B9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15.</w:t>
            </w:r>
            <w:r>
              <w:rPr>
                <w:rFonts w:cs="Arial"/>
              </w:rPr>
              <w:t>50</w:t>
            </w:r>
          </w:p>
        </w:tc>
      </w:tr>
      <w:tr w:rsidR="004368AC" w:rsidRPr="00695283" w14:paraId="47BBA50F" w14:textId="77777777" w:rsidTr="0040368B">
        <w:trPr>
          <w:trHeight w:val="523"/>
        </w:trPr>
        <w:tc>
          <w:tcPr>
            <w:tcW w:w="3929" w:type="dxa"/>
            <w:hideMark/>
          </w:tcPr>
          <w:p w14:paraId="773EDCEE" w14:textId="77777777" w:rsidR="004368AC" w:rsidRPr="00695283" w:rsidRDefault="004368AC" w:rsidP="00BB0B93">
            <w:pPr>
              <w:keepNext/>
              <w:spacing w:after="160" w:line="252" w:lineRule="auto"/>
              <w:contextualSpacing/>
              <w:rPr>
                <w:rFonts w:cs="Arial"/>
              </w:rPr>
            </w:pPr>
            <w:r w:rsidRPr="00695283">
              <w:rPr>
                <w:rFonts w:cs="Arial"/>
              </w:rPr>
              <w:t>Free school meal eligibility</w:t>
            </w:r>
          </w:p>
        </w:tc>
        <w:tc>
          <w:tcPr>
            <w:tcW w:w="1003" w:type="dxa"/>
            <w:hideMark/>
          </w:tcPr>
          <w:p w14:paraId="41AE9ED5" w14:textId="77777777" w:rsidR="004368AC" w:rsidRPr="00695283" w:rsidRDefault="004368AC" w:rsidP="00BB0B9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>
              <w:rPr>
                <w:rFonts w:cs="Arial"/>
              </w:rPr>
              <w:t>4.00</w:t>
            </w:r>
          </w:p>
        </w:tc>
        <w:tc>
          <w:tcPr>
            <w:tcW w:w="1119" w:type="dxa"/>
            <w:hideMark/>
          </w:tcPr>
          <w:p w14:paraId="63101B55" w14:textId="77777777" w:rsidR="004368AC" w:rsidRPr="00695283" w:rsidRDefault="004368AC" w:rsidP="00BB0B9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>
              <w:rPr>
                <w:rFonts w:cs="Arial"/>
              </w:rPr>
              <w:t>4.00</w:t>
            </w:r>
          </w:p>
        </w:tc>
      </w:tr>
      <w:tr w:rsidR="00F62163" w:rsidRPr="00695283" w14:paraId="14A817B0" w14:textId="77777777" w:rsidTr="0040368B">
        <w:trPr>
          <w:trHeight w:val="486"/>
        </w:trPr>
        <w:tc>
          <w:tcPr>
            <w:tcW w:w="3929" w:type="dxa"/>
          </w:tcPr>
          <w:p w14:paraId="1ED36524" w14:textId="1A5A628D" w:rsidR="00F62163" w:rsidRPr="00695283" w:rsidRDefault="00F62163" w:rsidP="00F62163">
            <w:pPr>
              <w:keepNext/>
              <w:spacing w:after="160" w:line="252" w:lineRule="auto"/>
              <w:contextualSpacing/>
              <w:rPr>
                <w:rFonts w:cs="Arial"/>
              </w:rPr>
            </w:pPr>
            <w:r w:rsidRPr="00695283">
              <w:rPr>
                <w:rFonts w:cs="Arial"/>
              </w:rPr>
              <w:t>Trade Union Facilities</w:t>
            </w:r>
          </w:p>
        </w:tc>
        <w:tc>
          <w:tcPr>
            <w:tcW w:w="1003" w:type="dxa"/>
          </w:tcPr>
          <w:p w14:paraId="2EDBD70B" w14:textId="18837286" w:rsidR="00F62163" w:rsidRPr="00695283" w:rsidRDefault="00F62163" w:rsidP="00F6216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5.</w:t>
            </w:r>
            <w:r>
              <w:rPr>
                <w:rFonts w:cs="Arial"/>
              </w:rPr>
              <w:t>1</w:t>
            </w:r>
            <w:r w:rsidRPr="00695283">
              <w:rPr>
                <w:rFonts w:cs="Arial"/>
              </w:rPr>
              <w:t>0</w:t>
            </w:r>
          </w:p>
        </w:tc>
        <w:tc>
          <w:tcPr>
            <w:tcW w:w="1119" w:type="dxa"/>
          </w:tcPr>
          <w:p w14:paraId="42D586FB" w14:textId="05CD341C" w:rsidR="00F62163" w:rsidRPr="00695283" w:rsidRDefault="00F62163" w:rsidP="00F6216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5.</w:t>
            </w:r>
            <w:r>
              <w:rPr>
                <w:rFonts w:cs="Arial"/>
              </w:rPr>
              <w:t>1</w:t>
            </w:r>
            <w:r w:rsidRPr="00695283">
              <w:rPr>
                <w:rFonts w:cs="Arial"/>
              </w:rPr>
              <w:t>0</w:t>
            </w:r>
          </w:p>
        </w:tc>
      </w:tr>
      <w:tr w:rsidR="00033D9B" w:rsidRPr="00695283" w14:paraId="52F598D1" w14:textId="77777777" w:rsidTr="0040368B">
        <w:trPr>
          <w:trHeight w:val="333"/>
        </w:trPr>
        <w:tc>
          <w:tcPr>
            <w:tcW w:w="3929" w:type="dxa"/>
          </w:tcPr>
          <w:p w14:paraId="55D64A5B" w14:textId="224830B5" w:rsidR="00033D9B" w:rsidRPr="00695283" w:rsidRDefault="00033D9B" w:rsidP="00033D9B">
            <w:pPr>
              <w:keepNext/>
              <w:spacing w:after="160" w:line="252" w:lineRule="auto"/>
              <w:contextualSpacing/>
              <w:rPr>
                <w:rFonts w:cs="Arial"/>
              </w:rPr>
            </w:pPr>
            <w:r w:rsidRPr="00695283">
              <w:rPr>
                <w:rFonts w:cs="Arial"/>
              </w:rPr>
              <w:t>Behaviour Support /anti-bullying</w:t>
            </w:r>
          </w:p>
        </w:tc>
        <w:tc>
          <w:tcPr>
            <w:tcW w:w="1003" w:type="dxa"/>
          </w:tcPr>
          <w:p w14:paraId="18EF5B3B" w14:textId="468165D9" w:rsidR="00033D9B" w:rsidRPr="00695283" w:rsidRDefault="00033D9B" w:rsidP="00033D9B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4.2</w:t>
            </w:r>
            <w:r>
              <w:rPr>
                <w:rFonts w:cs="Arial"/>
              </w:rPr>
              <w:t>9</w:t>
            </w:r>
          </w:p>
        </w:tc>
        <w:tc>
          <w:tcPr>
            <w:tcW w:w="1119" w:type="dxa"/>
          </w:tcPr>
          <w:p w14:paraId="6D2D045B" w14:textId="77777777" w:rsidR="00033D9B" w:rsidRPr="00695283" w:rsidRDefault="00033D9B" w:rsidP="00033D9B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7.</w:t>
            </w:r>
            <w:r>
              <w:rPr>
                <w:rFonts w:cs="Arial"/>
              </w:rPr>
              <w:t>38</w:t>
            </w:r>
          </w:p>
          <w:p w14:paraId="318B9591" w14:textId="77777777" w:rsidR="00033D9B" w:rsidRPr="00695283" w:rsidRDefault="00033D9B" w:rsidP="00033D9B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</w:p>
        </w:tc>
      </w:tr>
      <w:tr w:rsidR="00033D9B" w:rsidRPr="00695283" w14:paraId="4272ABCB" w14:textId="77777777" w:rsidTr="0040368B">
        <w:trPr>
          <w:trHeight w:val="144"/>
        </w:trPr>
        <w:tc>
          <w:tcPr>
            <w:tcW w:w="3929" w:type="dxa"/>
          </w:tcPr>
          <w:p w14:paraId="57B3A7CA" w14:textId="730CFEAE" w:rsidR="00033D9B" w:rsidRPr="00695283" w:rsidRDefault="00033D9B" w:rsidP="00033D9B">
            <w:pPr>
              <w:keepNext/>
              <w:spacing w:after="160" w:line="252" w:lineRule="auto"/>
              <w:contextualSpacing/>
              <w:rPr>
                <w:rFonts w:cs="Arial"/>
                <w:vertAlign w:val="superscript"/>
              </w:rPr>
            </w:pPr>
            <w:r>
              <w:rPr>
                <w:rFonts w:cs="Arial"/>
              </w:rPr>
              <w:t xml:space="preserve">Statutory Duties for maintained Schools </w:t>
            </w:r>
          </w:p>
        </w:tc>
        <w:tc>
          <w:tcPr>
            <w:tcW w:w="1003" w:type="dxa"/>
          </w:tcPr>
          <w:p w14:paraId="2238CBB9" w14:textId="54936181" w:rsidR="00033D9B" w:rsidRPr="00695283" w:rsidRDefault="00033D9B" w:rsidP="00033D9B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>
              <w:rPr>
                <w:rFonts w:cs="Arial"/>
              </w:rPr>
              <w:t>28.05</w:t>
            </w:r>
          </w:p>
        </w:tc>
        <w:tc>
          <w:tcPr>
            <w:tcW w:w="1119" w:type="dxa"/>
          </w:tcPr>
          <w:p w14:paraId="77EC3BCA" w14:textId="35107B4A" w:rsidR="00033D9B" w:rsidRPr="00695283" w:rsidRDefault="00033D9B" w:rsidP="00033D9B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>
              <w:rPr>
                <w:rFonts w:cs="Arial"/>
              </w:rPr>
              <w:t>28.05</w:t>
            </w:r>
          </w:p>
        </w:tc>
      </w:tr>
      <w:tr w:rsidR="00AD42B0" w:rsidRPr="00695283" w14:paraId="1E3011C9" w14:textId="77777777" w:rsidTr="0040368B">
        <w:tc>
          <w:tcPr>
            <w:tcW w:w="3929" w:type="dxa"/>
            <w:hideMark/>
          </w:tcPr>
          <w:p w14:paraId="2F0F1531" w14:textId="77777777" w:rsidR="00033D9B" w:rsidRPr="00695283" w:rsidRDefault="00033D9B" w:rsidP="00BB0B93">
            <w:pPr>
              <w:keepNext/>
              <w:spacing w:after="160" w:line="252" w:lineRule="auto"/>
              <w:contextualSpacing/>
              <w:rPr>
                <w:rFonts w:cs="Arial"/>
                <w:b/>
                <w:bCs/>
              </w:rPr>
            </w:pPr>
            <w:r w:rsidRPr="00695283">
              <w:rPr>
                <w:rFonts w:cs="Arial"/>
                <w:b/>
                <w:bCs/>
              </w:rPr>
              <w:t>Total</w:t>
            </w:r>
          </w:p>
        </w:tc>
        <w:tc>
          <w:tcPr>
            <w:tcW w:w="1003" w:type="dxa"/>
            <w:hideMark/>
          </w:tcPr>
          <w:p w14:paraId="70ACC90C" w14:textId="1752BEEC" w:rsidR="00033D9B" w:rsidRPr="00695283" w:rsidRDefault="000D5B5E" w:rsidP="00BB0B9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5D2DC4">
              <w:rPr>
                <w:rFonts w:cs="Arial"/>
              </w:rPr>
              <w:t>6.94</w:t>
            </w:r>
          </w:p>
        </w:tc>
        <w:tc>
          <w:tcPr>
            <w:tcW w:w="1119" w:type="dxa"/>
            <w:hideMark/>
          </w:tcPr>
          <w:p w14:paraId="2FA9BFCE" w14:textId="0BF08DCB" w:rsidR="00033D9B" w:rsidRPr="00695283" w:rsidRDefault="005D2DC4" w:rsidP="00BB0B9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>
              <w:rPr>
                <w:rFonts w:cs="Arial"/>
              </w:rPr>
              <w:t>60.03</w:t>
            </w:r>
          </w:p>
        </w:tc>
      </w:tr>
      <w:tr w:rsidR="00033D9B" w:rsidRPr="00695283" w14:paraId="091B7997" w14:textId="77777777" w:rsidTr="0040368B">
        <w:trPr>
          <w:trHeight w:val="80"/>
        </w:trPr>
        <w:tc>
          <w:tcPr>
            <w:tcW w:w="3929" w:type="dxa"/>
          </w:tcPr>
          <w:p w14:paraId="73ACB1B8" w14:textId="182C8C80" w:rsidR="00033D9B" w:rsidRPr="00695283" w:rsidRDefault="00033D9B" w:rsidP="00033D9B">
            <w:pPr>
              <w:keepNext/>
              <w:spacing w:after="160" w:line="252" w:lineRule="auto"/>
              <w:contextualSpacing/>
              <w:rPr>
                <w:rFonts w:cs="Arial"/>
              </w:rPr>
            </w:pPr>
          </w:p>
        </w:tc>
        <w:tc>
          <w:tcPr>
            <w:tcW w:w="1003" w:type="dxa"/>
          </w:tcPr>
          <w:p w14:paraId="432AE478" w14:textId="115C2CBA" w:rsidR="00033D9B" w:rsidRPr="00695283" w:rsidRDefault="00033D9B" w:rsidP="00033D9B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</w:p>
        </w:tc>
        <w:tc>
          <w:tcPr>
            <w:tcW w:w="1119" w:type="dxa"/>
          </w:tcPr>
          <w:p w14:paraId="5F8B968D" w14:textId="2063024E" w:rsidR="00033D9B" w:rsidRPr="00695283" w:rsidRDefault="00033D9B" w:rsidP="00033D9B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</w:p>
        </w:tc>
      </w:tr>
      <w:tr w:rsidR="00033D9B" w:rsidRPr="00695283" w14:paraId="0DF3FCA7" w14:textId="77777777" w:rsidTr="0040368B">
        <w:tc>
          <w:tcPr>
            <w:tcW w:w="3929" w:type="dxa"/>
          </w:tcPr>
          <w:p w14:paraId="26861AB7" w14:textId="0C3BFCE5" w:rsidR="00033D9B" w:rsidRPr="00695283" w:rsidRDefault="00033D9B" w:rsidP="00033D9B">
            <w:pPr>
              <w:keepNext/>
              <w:spacing w:after="160" w:line="252" w:lineRule="auto"/>
              <w:contextualSpacing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Average % of budget</w:t>
            </w:r>
          </w:p>
        </w:tc>
        <w:tc>
          <w:tcPr>
            <w:tcW w:w="1003" w:type="dxa"/>
          </w:tcPr>
          <w:p w14:paraId="01BBB600" w14:textId="35FD1A69" w:rsidR="00033D9B" w:rsidRPr="00695283" w:rsidRDefault="00B10FE7" w:rsidP="00033D9B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>
              <w:rPr>
                <w:rFonts w:cs="Arial"/>
              </w:rPr>
              <w:t>0.86%</w:t>
            </w:r>
          </w:p>
        </w:tc>
        <w:tc>
          <w:tcPr>
            <w:tcW w:w="1119" w:type="dxa"/>
          </w:tcPr>
          <w:p w14:paraId="1941D779" w14:textId="2A2AA8C2" w:rsidR="00033D9B" w:rsidRPr="00695283" w:rsidRDefault="00B10FE7" w:rsidP="00033D9B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>
              <w:rPr>
                <w:rFonts w:cs="Arial"/>
              </w:rPr>
              <w:t>0.71%</w:t>
            </w:r>
          </w:p>
        </w:tc>
      </w:tr>
    </w:tbl>
    <w:p w14:paraId="4D26E216" w14:textId="57C82DAB" w:rsidR="00AA297F" w:rsidRPr="00AA297F" w:rsidRDefault="00AA297F" w:rsidP="00AD42B0">
      <w:pPr>
        <w:tabs>
          <w:tab w:val="left" w:pos="709"/>
        </w:tabs>
        <w:spacing w:after="160" w:line="259" w:lineRule="auto"/>
        <w:ind w:left="141"/>
      </w:pPr>
    </w:p>
    <w:p w14:paraId="7461E6A1" w14:textId="77777777" w:rsidR="002B5908" w:rsidRDefault="002B5908" w:rsidP="00B42EA3">
      <w:pPr>
        <w:pStyle w:val="Heading2"/>
        <w:spacing w:before="120" w:after="120"/>
        <w:rPr>
          <w:i w:val="0"/>
          <w:iCs w:val="0"/>
        </w:rPr>
      </w:pPr>
    </w:p>
    <w:p w14:paraId="69F1D965" w14:textId="6C5783A3" w:rsidR="00B42EA3" w:rsidRDefault="00B42EA3" w:rsidP="00B42EA3">
      <w:pPr>
        <w:pStyle w:val="Heading2"/>
        <w:spacing w:before="120" w:after="120"/>
        <w:rPr>
          <w:i w:val="0"/>
          <w:iCs w:val="0"/>
        </w:rPr>
      </w:pPr>
      <w:r w:rsidRPr="002B5908">
        <w:rPr>
          <w:i w:val="0"/>
          <w:iCs w:val="0"/>
        </w:rPr>
        <w:t xml:space="preserve">Contact Details </w:t>
      </w:r>
    </w:p>
    <w:p w14:paraId="00637322" w14:textId="77777777" w:rsidR="002B5908" w:rsidRPr="002B5908" w:rsidRDefault="002B5908" w:rsidP="002B5908"/>
    <w:p w14:paraId="7E2DE682" w14:textId="77777777" w:rsidR="00B42EA3" w:rsidRPr="002F653C" w:rsidRDefault="00B42EA3" w:rsidP="00B42EA3">
      <w:pPr>
        <w:spacing w:after="120"/>
      </w:pPr>
      <w:r w:rsidRPr="002F653C">
        <w:t xml:space="preserve">If you have any queries or comments in advance of the Schools Forum meeting about this report, please contact: </w:t>
      </w:r>
    </w:p>
    <w:p w14:paraId="41F0FBDE" w14:textId="35FE0735" w:rsidR="00B42EA3" w:rsidRPr="002F653C" w:rsidRDefault="00B42EA3" w:rsidP="00B42EA3">
      <w:pPr>
        <w:ind w:left="720"/>
      </w:pPr>
      <w:r w:rsidRPr="002F653C">
        <w:t xml:space="preserve">Name: </w:t>
      </w:r>
      <w:r w:rsidR="00237AD6">
        <w:t xml:space="preserve">Kay Goodacre – </w:t>
      </w:r>
      <w:r w:rsidR="002B5908">
        <w:t xml:space="preserve">Head of </w:t>
      </w:r>
      <w:r w:rsidR="00237AD6">
        <w:t>Strategic Finance Children and Culture</w:t>
      </w:r>
      <w:r w:rsidRPr="002F653C">
        <w:t xml:space="preserve"> </w:t>
      </w:r>
    </w:p>
    <w:p w14:paraId="54FB4A31" w14:textId="4E2E0122" w:rsidR="00B42EA3" w:rsidRPr="002F653C" w:rsidRDefault="00B42EA3" w:rsidP="00B42EA3">
      <w:pPr>
        <w:ind w:left="720"/>
      </w:pPr>
      <w:r w:rsidRPr="002F653C">
        <w:t xml:space="preserve">Telephone Number: 0207 364 </w:t>
      </w:r>
      <w:r w:rsidR="002B5908">
        <w:t>0672</w:t>
      </w:r>
    </w:p>
    <w:p w14:paraId="475A0BC6" w14:textId="04D6FE1C" w:rsidR="00B42EA3" w:rsidRPr="00CB46AE" w:rsidRDefault="00B42EA3" w:rsidP="00B42EA3">
      <w:pPr>
        <w:ind w:left="720"/>
      </w:pPr>
      <w:r w:rsidRPr="002F653C">
        <w:t xml:space="preserve">Email Address: </w:t>
      </w:r>
      <w:hyperlink r:id="rId11" w:history="1">
        <w:r w:rsidR="002B5908">
          <w:rPr>
            <w:rStyle w:val="Hyperlink"/>
            <w:rFonts w:cs="Arial"/>
          </w:rPr>
          <w:t>kay.goodacre@towerhamlets.gov.uk</w:t>
        </w:r>
      </w:hyperlink>
      <w:r w:rsidRPr="00CB46AE">
        <w:t xml:space="preserve"> </w:t>
      </w:r>
    </w:p>
    <w:p w14:paraId="02D736C7" w14:textId="6C1E70B1" w:rsidR="007B0EFA" w:rsidRPr="007B0EFA" w:rsidRDefault="00130ED8" w:rsidP="007B0EFA">
      <w:pPr>
        <w:pStyle w:val="ListParagraph"/>
        <w:ind w:left="792"/>
        <w:rPr>
          <w:rFonts w:cs="Arial"/>
        </w:rPr>
      </w:pPr>
      <w:bookmarkStart w:id="0" w:name="_GoBack"/>
      <w:r w:rsidRPr="00A63069">
        <w:rPr>
          <w:rFonts w:eastAsia="Calibri"/>
          <w:noProof/>
        </w:rPr>
        <w:lastRenderedPageBreak/>
        <w:drawing>
          <wp:inline distT="0" distB="0" distL="0" distR="0" wp14:anchorId="6867887C" wp14:editId="1B2A19BB">
            <wp:extent cx="5759450" cy="7727158"/>
            <wp:effectExtent l="0" t="0" r="0" b="762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72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B0EFA" w:rsidRPr="007B0EFA" w:rsidSect="00B55E8C">
      <w:headerReference w:type="default" r:id="rId13"/>
      <w:footerReference w:type="default" r:id="rId14"/>
      <w:pgSz w:w="11906" w:h="16838" w:code="9"/>
      <w:pgMar w:top="1503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6B091" w14:textId="77777777" w:rsidR="003A6EA2" w:rsidRDefault="003A6EA2">
      <w:r>
        <w:separator/>
      </w:r>
    </w:p>
  </w:endnote>
  <w:endnote w:type="continuationSeparator" w:id="0">
    <w:p w14:paraId="7F3B2D2D" w14:textId="77777777" w:rsidR="003A6EA2" w:rsidRDefault="003A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737BF" w14:textId="77777777" w:rsidR="0096294A" w:rsidRPr="000C38B1" w:rsidRDefault="0096294A">
    <w:pPr>
      <w:pStyle w:val="Footer"/>
      <w:jc w:val="center"/>
    </w:pPr>
    <w:r w:rsidRPr="000C38B1">
      <w:rPr>
        <w:rStyle w:val="PageNumber"/>
      </w:rPr>
      <w:fldChar w:fldCharType="begin"/>
    </w:r>
    <w:r w:rsidRPr="000C38B1">
      <w:rPr>
        <w:rStyle w:val="PageNumber"/>
      </w:rPr>
      <w:instrText xml:space="preserve"> PAGE </w:instrText>
    </w:r>
    <w:r w:rsidRPr="000C38B1">
      <w:rPr>
        <w:rStyle w:val="PageNumber"/>
      </w:rPr>
      <w:fldChar w:fldCharType="separate"/>
    </w:r>
    <w:r w:rsidR="000C38B1">
      <w:rPr>
        <w:rStyle w:val="PageNumber"/>
        <w:noProof/>
      </w:rPr>
      <w:t>1</w:t>
    </w:r>
    <w:r w:rsidRPr="000C38B1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FF966" w14:textId="77777777" w:rsidR="003A6EA2" w:rsidRDefault="003A6EA2">
      <w:r>
        <w:separator/>
      </w:r>
    </w:p>
  </w:footnote>
  <w:footnote w:type="continuationSeparator" w:id="0">
    <w:p w14:paraId="4050C1A1" w14:textId="77777777" w:rsidR="003A6EA2" w:rsidRDefault="003A6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737BD" w14:textId="79DCEE14" w:rsidR="0096294A" w:rsidRDefault="0096294A">
    <w:pPr>
      <w:pStyle w:val="Header"/>
    </w:pPr>
    <w:r w:rsidRPr="00ED7730">
      <w:ptab w:relativeTo="margin" w:alignment="center" w:leader="none"/>
    </w:r>
    <w:r w:rsidR="00FF7453">
      <w:t>Schools Forum</w:t>
    </w:r>
    <w:r w:rsidR="00B42306">
      <w:t xml:space="preserve"> </w:t>
    </w:r>
    <w:r w:rsidR="00494BDD">
      <w:t>13 January</w:t>
    </w:r>
    <w:r w:rsidR="00B42306">
      <w:t xml:space="preserve"> 20</w:t>
    </w:r>
    <w:r w:rsidR="00494BDD">
      <w:t>21</w:t>
    </w:r>
  </w:p>
  <w:p w14:paraId="02D737BE" w14:textId="77777777" w:rsidR="0096294A" w:rsidRDefault="009629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3562"/>
    <w:multiLevelType w:val="hybridMultilevel"/>
    <w:tmpl w:val="717E5876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17F729C"/>
    <w:multiLevelType w:val="multilevel"/>
    <w:tmpl w:val="7676F6F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1C64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5601150"/>
    <w:multiLevelType w:val="hybridMultilevel"/>
    <w:tmpl w:val="C6B6CF20"/>
    <w:lvl w:ilvl="0" w:tplc="D4B6CB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500F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0288D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6D656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0E90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5250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CE01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B6E3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F8C6E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93229"/>
    <w:multiLevelType w:val="multilevel"/>
    <w:tmpl w:val="2DFC6F0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0C8159F"/>
    <w:multiLevelType w:val="hybridMultilevel"/>
    <w:tmpl w:val="05443E00"/>
    <w:lvl w:ilvl="0" w:tplc="9FE81B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16BF1"/>
    <w:multiLevelType w:val="hybridMultilevel"/>
    <w:tmpl w:val="72F465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B1496"/>
    <w:multiLevelType w:val="hybridMultilevel"/>
    <w:tmpl w:val="7FEC00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F6C76"/>
    <w:multiLevelType w:val="hybridMultilevel"/>
    <w:tmpl w:val="9274F028"/>
    <w:lvl w:ilvl="0" w:tplc="3F669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13444"/>
    <w:multiLevelType w:val="hybridMultilevel"/>
    <w:tmpl w:val="F6B66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16B57"/>
    <w:multiLevelType w:val="multilevel"/>
    <w:tmpl w:val="B15EE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CFF3395"/>
    <w:multiLevelType w:val="hybridMultilevel"/>
    <w:tmpl w:val="3516F0D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ED65CBC"/>
    <w:multiLevelType w:val="hybridMultilevel"/>
    <w:tmpl w:val="B38A4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3770C"/>
    <w:multiLevelType w:val="hybridMultilevel"/>
    <w:tmpl w:val="24F634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A00A43"/>
    <w:multiLevelType w:val="hybridMultilevel"/>
    <w:tmpl w:val="A58ED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70115"/>
    <w:multiLevelType w:val="hybridMultilevel"/>
    <w:tmpl w:val="CF547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5"/>
  </w:num>
  <w:num w:numId="5">
    <w:abstractNumId w:val="10"/>
  </w:num>
  <w:num w:numId="6">
    <w:abstractNumId w:val="13"/>
  </w:num>
  <w:num w:numId="7">
    <w:abstractNumId w:val="16"/>
  </w:num>
  <w:num w:numId="8">
    <w:abstractNumId w:val="0"/>
  </w:num>
  <w:num w:numId="9">
    <w:abstractNumId w:val="7"/>
  </w:num>
  <w:num w:numId="10">
    <w:abstractNumId w:val="8"/>
  </w:num>
  <w:num w:numId="11">
    <w:abstractNumId w:val="1"/>
  </w:num>
  <w:num w:numId="12">
    <w:abstractNumId w:val="5"/>
  </w:num>
  <w:num w:numId="13">
    <w:abstractNumId w:val="9"/>
  </w:num>
  <w:num w:numId="14">
    <w:abstractNumId w:val="14"/>
  </w:num>
  <w:num w:numId="15">
    <w:abstractNumId w:val="4"/>
  </w:num>
  <w:num w:numId="16">
    <w:abstractNumId w:val="12"/>
  </w:num>
  <w:num w:numId="1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AC3"/>
    <w:rsid w:val="000007DD"/>
    <w:rsid w:val="000079CF"/>
    <w:rsid w:val="000106AF"/>
    <w:rsid w:val="00011A38"/>
    <w:rsid w:val="0001228D"/>
    <w:rsid w:val="00014128"/>
    <w:rsid w:val="000149FD"/>
    <w:rsid w:val="00025F55"/>
    <w:rsid w:val="00026A03"/>
    <w:rsid w:val="00026AE4"/>
    <w:rsid w:val="00030F6F"/>
    <w:rsid w:val="00031A20"/>
    <w:rsid w:val="000339DC"/>
    <w:rsid w:val="00033D9B"/>
    <w:rsid w:val="00041E9D"/>
    <w:rsid w:val="00044881"/>
    <w:rsid w:val="00046FCB"/>
    <w:rsid w:val="00047B91"/>
    <w:rsid w:val="0005284B"/>
    <w:rsid w:val="00053B81"/>
    <w:rsid w:val="00060FED"/>
    <w:rsid w:val="000701F1"/>
    <w:rsid w:val="0007256E"/>
    <w:rsid w:val="000726F5"/>
    <w:rsid w:val="00075B81"/>
    <w:rsid w:val="00077299"/>
    <w:rsid w:val="00083BBE"/>
    <w:rsid w:val="00087E04"/>
    <w:rsid w:val="000A2234"/>
    <w:rsid w:val="000A7872"/>
    <w:rsid w:val="000A78CA"/>
    <w:rsid w:val="000B01EC"/>
    <w:rsid w:val="000C08C0"/>
    <w:rsid w:val="000C0AC7"/>
    <w:rsid w:val="000C1387"/>
    <w:rsid w:val="000C38B1"/>
    <w:rsid w:val="000C709D"/>
    <w:rsid w:val="000D3037"/>
    <w:rsid w:val="000D4839"/>
    <w:rsid w:val="000D5510"/>
    <w:rsid w:val="000D5B5E"/>
    <w:rsid w:val="000D5CCD"/>
    <w:rsid w:val="000D6FF5"/>
    <w:rsid w:val="000E153F"/>
    <w:rsid w:val="000E4EE8"/>
    <w:rsid w:val="000E7C2D"/>
    <w:rsid w:val="000F0BCB"/>
    <w:rsid w:val="000F1054"/>
    <w:rsid w:val="000F16FE"/>
    <w:rsid w:val="000F377A"/>
    <w:rsid w:val="00102CEB"/>
    <w:rsid w:val="00110AE1"/>
    <w:rsid w:val="00111803"/>
    <w:rsid w:val="0011455F"/>
    <w:rsid w:val="0012136C"/>
    <w:rsid w:val="00125730"/>
    <w:rsid w:val="00126384"/>
    <w:rsid w:val="00127374"/>
    <w:rsid w:val="00130ED8"/>
    <w:rsid w:val="00131EEB"/>
    <w:rsid w:val="0013261A"/>
    <w:rsid w:val="00132774"/>
    <w:rsid w:val="00133AC3"/>
    <w:rsid w:val="00135D23"/>
    <w:rsid w:val="00141246"/>
    <w:rsid w:val="001429D8"/>
    <w:rsid w:val="001445AD"/>
    <w:rsid w:val="00151AD1"/>
    <w:rsid w:val="00152F4B"/>
    <w:rsid w:val="00160313"/>
    <w:rsid w:val="001619A7"/>
    <w:rsid w:val="001637DD"/>
    <w:rsid w:val="001638D3"/>
    <w:rsid w:val="00167CD7"/>
    <w:rsid w:val="00170E12"/>
    <w:rsid w:val="00171274"/>
    <w:rsid w:val="00171A9E"/>
    <w:rsid w:val="00177800"/>
    <w:rsid w:val="00181AEC"/>
    <w:rsid w:val="00184A94"/>
    <w:rsid w:val="001901D4"/>
    <w:rsid w:val="0019143A"/>
    <w:rsid w:val="00191C1C"/>
    <w:rsid w:val="00193E69"/>
    <w:rsid w:val="001A0B30"/>
    <w:rsid w:val="001A2886"/>
    <w:rsid w:val="001A3D30"/>
    <w:rsid w:val="001A579D"/>
    <w:rsid w:val="001A74CC"/>
    <w:rsid w:val="001B1591"/>
    <w:rsid w:val="001B259F"/>
    <w:rsid w:val="001B374A"/>
    <w:rsid w:val="001C209A"/>
    <w:rsid w:val="001C55CC"/>
    <w:rsid w:val="001C6F21"/>
    <w:rsid w:val="001D32A0"/>
    <w:rsid w:val="001D4975"/>
    <w:rsid w:val="001D6A6A"/>
    <w:rsid w:val="001D6BA4"/>
    <w:rsid w:val="001E19C2"/>
    <w:rsid w:val="001E4116"/>
    <w:rsid w:val="001E472B"/>
    <w:rsid w:val="001E70F6"/>
    <w:rsid w:val="001E7F2E"/>
    <w:rsid w:val="001F2B63"/>
    <w:rsid w:val="00205496"/>
    <w:rsid w:val="002139AB"/>
    <w:rsid w:val="002211B9"/>
    <w:rsid w:val="00221B84"/>
    <w:rsid w:val="002246CA"/>
    <w:rsid w:val="002260D5"/>
    <w:rsid w:val="00231641"/>
    <w:rsid w:val="002374A3"/>
    <w:rsid w:val="00237AD6"/>
    <w:rsid w:val="00246254"/>
    <w:rsid w:val="002467C4"/>
    <w:rsid w:val="00250AE8"/>
    <w:rsid w:val="00253B34"/>
    <w:rsid w:val="00253B59"/>
    <w:rsid w:val="00256938"/>
    <w:rsid w:val="00257D10"/>
    <w:rsid w:val="0026062F"/>
    <w:rsid w:val="0026098B"/>
    <w:rsid w:val="002640E1"/>
    <w:rsid w:val="00264249"/>
    <w:rsid w:val="00266DE2"/>
    <w:rsid w:val="00280A84"/>
    <w:rsid w:val="00287DBD"/>
    <w:rsid w:val="0029022D"/>
    <w:rsid w:val="00291476"/>
    <w:rsid w:val="0029323C"/>
    <w:rsid w:val="002958F1"/>
    <w:rsid w:val="002A08A5"/>
    <w:rsid w:val="002A69DC"/>
    <w:rsid w:val="002A734B"/>
    <w:rsid w:val="002A7977"/>
    <w:rsid w:val="002B5908"/>
    <w:rsid w:val="002E1F74"/>
    <w:rsid w:val="002F4FB8"/>
    <w:rsid w:val="002F55A8"/>
    <w:rsid w:val="002F6516"/>
    <w:rsid w:val="003044B1"/>
    <w:rsid w:val="0030490E"/>
    <w:rsid w:val="00304E15"/>
    <w:rsid w:val="00313485"/>
    <w:rsid w:val="0032014A"/>
    <w:rsid w:val="00321273"/>
    <w:rsid w:val="00322E4D"/>
    <w:rsid w:val="00325633"/>
    <w:rsid w:val="0032745D"/>
    <w:rsid w:val="003322EA"/>
    <w:rsid w:val="00336681"/>
    <w:rsid w:val="00336FD4"/>
    <w:rsid w:val="0034378A"/>
    <w:rsid w:val="00344086"/>
    <w:rsid w:val="00351F12"/>
    <w:rsid w:val="003531BB"/>
    <w:rsid w:val="003564B6"/>
    <w:rsid w:val="00361F94"/>
    <w:rsid w:val="00373AD2"/>
    <w:rsid w:val="00382399"/>
    <w:rsid w:val="0038332C"/>
    <w:rsid w:val="00384474"/>
    <w:rsid w:val="003853DD"/>
    <w:rsid w:val="003867AC"/>
    <w:rsid w:val="00386A86"/>
    <w:rsid w:val="003920CB"/>
    <w:rsid w:val="003925D5"/>
    <w:rsid w:val="00397511"/>
    <w:rsid w:val="003A6EA2"/>
    <w:rsid w:val="003B2548"/>
    <w:rsid w:val="003B3B0E"/>
    <w:rsid w:val="003B700C"/>
    <w:rsid w:val="003B7621"/>
    <w:rsid w:val="003C014F"/>
    <w:rsid w:val="003C4300"/>
    <w:rsid w:val="003C7DF4"/>
    <w:rsid w:val="003D08B1"/>
    <w:rsid w:val="003D29D2"/>
    <w:rsid w:val="003D435E"/>
    <w:rsid w:val="003D4611"/>
    <w:rsid w:val="003E00BB"/>
    <w:rsid w:val="0040368B"/>
    <w:rsid w:val="00405B39"/>
    <w:rsid w:val="00407F2D"/>
    <w:rsid w:val="00410D37"/>
    <w:rsid w:val="00411EEB"/>
    <w:rsid w:val="00413785"/>
    <w:rsid w:val="00416632"/>
    <w:rsid w:val="00421266"/>
    <w:rsid w:val="004256EA"/>
    <w:rsid w:val="00434AC8"/>
    <w:rsid w:val="00434EDA"/>
    <w:rsid w:val="004368AC"/>
    <w:rsid w:val="00444C0E"/>
    <w:rsid w:val="00446519"/>
    <w:rsid w:val="004478AE"/>
    <w:rsid w:val="00447E7C"/>
    <w:rsid w:val="004503C6"/>
    <w:rsid w:val="0045059B"/>
    <w:rsid w:val="00450DA8"/>
    <w:rsid w:val="00450E9A"/>
    <w:rsid w:val="00451CF7"/>
    <w:rsid w:val="00453C46"/>
    <w:rsid w:val="00455F9B"/>
    <w:rsid w:val="00457528"/>
    <w:rsid w:val="004635C3"/>
    <w:rsid w:val="00465312"/>
    <w:rsid w:val="0046718D"/>
    <w:rsid w:val="004705A1"/>
    <w:rsid w:val="004775A8"/>
    <w:rsid w:val="004862AC"/>
    <w:rsid w:val="004862E0"/>
    <w:rsid w:val="00486492"/>
    <w:rsid w:val="004901CB"/>
    <w:rsid w:val="00494BDD"/>
    <w:rsid w:val="004A0F22"/>
    <w:rsid w:val="004A2E94"/>
    <w:rsid w:val="004A39A8"/>
    <w:rsid w:val="004B3834"/>
    <w:rsid w:val="004B4056"/>
    <w:rsid w:val="004B55EC"/>
    <w:rsid w:val="004B6ED7"/>
    <w:rsid w:val="004C04E8"/>
    <w:rsid w:val="004C11CF"/>
    <w:rsid w:val="004D2F39"/>
    <w:rsid w:val="004D3440"/>
    <w:rsid w:val="004D4FF7"/>
    <w:rsid w:val="004D7D73"/>
    <w:rsid w:val="004F13F3"/>
    <w:rsid w:val="004F3685"/>
    <w:rsid w:val="004F67E3"/>
    <w:rsid w:val="004F7D5E"/>
    <w:rsid w:val="00501776"/>
    <w:rsid w:val="00505F67"/>
    <w:rsid w:val="0050651C"/>
    <w:rsid w:val="005065B0"/>
    <w:rsid w:val="00510168"/>
    <w:rsid w:val="005116F8"/>
    <w:rsid w:val="00513440"/>
    <w:rsid w:val="00513AE8"/>
    <w:rsid w:val="005210A6"/>
    <w:rsid w:val="00524459"/>
    <w:rsid w:val="0054015A"/>
    <w:rsid w:val="00540291"/>
    <w:rsid w:val="005427F7"/>
    <w:rsid w:val="00545A21"/>
    <w:rsid w:val="00547A33"/>
    <w:rsid w:val="00550AD9"/>
    <w:rsid w:val="00552A9D"/>
    <w:rsid w:val="00565D57"/>
    <w:rsid w:val="00565F48"/>
    <w:rsid w:val="005704D0"/>
    <w:rsid w:val="00571B18"/>
    <w:rsid w:val="00572E2A"/>
    <w:rsid w:val="00580113"/>
    <w:rsid w:val="00581CFC"/>
    <w:rsid w:val="00582A23"/>
    <w:rsid w:val="005840FC"/>
    <w:rsid w:val="00584A63"/>
    <w:rsid w:val="005934AD"/>
    <w:rsid w:val="00593813"/>
    <w:rsid w:val="005A2910"/>
    <w:rsid w:val="005A29F4"/>
    <w:rsid w:val="005A3C4D"/>
    <w:rsid w:val="005B1C3A"/>
    <w:rsid w:val="005C4497"/>
    <w:rsid w:val="005D2DC4"/>
    <w:rsid w:val="005D57DA"/>
    <w:rsid w:val="005E12B9"/>
    <w:rsid w:val="005E47DF"/>
    <w:rsid w:val="005E7EBC"/>
    <w:rsid w:val="005F1CE0"/>
    <w:rsid w:val="005F399C"/>
    <w:rsid w:val="00603459"/>
    <w:rsid w:val="00604DF8"/>
    <w:rsid w:val="0060579D"/>
    <w:rsid w:val="006119E8"/>
    <w:rsid w:val="00611B3F"/>
    <w:rsid w:val="006134FA"/>
    <w:rsid w:val="00613717"/>
    <w:rsid w:val="00613D0C"/>
    <w:rsid w:val="00627D76"/>
    <w:rsid w:val="0063235C"/>
    <w:rsid w:val="006335B5"/>
    <w:rsid w:val="0064655C"/>
    <w:rsid w:val="00646D3B"/>
    <w:rsid w:val="00647B84"/>
    <w:rsid w:val="0065202F"/>
    <w:rsid w:val="00654E1E"/>
    <w:rsid w:val="00656AC5"/>
    <w:rsid w:val="0066120B"/>
    <w:rsid w:val="00664ED4"/>
    <w:rsid w:val="006669D3"/>
    <w:rsid w:val="006706BB"/>
    <w:rsid w:val="00671CCB"/>
    <w:rsid w:val="0067369D"/>
    <w:rsid w:val="00673A87"/>
    <w:rsid w:val="00674841"/>
    <w:rsid w:val="00674AD4"/>
    <w:rsid w:val="00676A40"/>
    <w:rsid w:val="006814BF"/>
    <w:rsid w:val="00681FC9"/>
    <w:rsid w:val="00686B1B"/>
    <w:rsid w:val="00690471"/>
    <w:rsid w:val="00694EE9"/>
    <w:rsid w:val="00695F0A"/>
    <w:rsid w:val="006965C3"/>
    <w:rsid w:val="0069748F"/>
    <w:rsid w:val="006A1261"/>
    <w:rsid w:val="006B15C2"/>
    <w:rsid w:val="006B5C9D"/>
    <w:rsid w:val="006C3030"/>
    <w:rsid w:val="006C3E43"/>
    <w:rsid w:val="006C5DF1"/>
    <w:rsid w:val="006C6348"/>
    <w:rsid w:val="006C63CE"/>
    <w:rsid w:val="006C6470"/>
    <w:rsid w:val="006C75C1"/>
    <w:rsid w:val="006C7A55"/>
    <w:rsid w:val="006D64E4"/>
    <w:rsid w:val="006D7474"/>
    <w:rsid w:val="006E10B5"/>
    <w:rsid w:val="006E606A"/>
    <w:rsid w:val="006F119E"/>
    <w:rsid w:val="006F1734"/>
    <w:rsid w:val="006F2AAB"/>
    <w:rsid w:val="006F2E0C"/>
    <w:rsid w:val="006F5C2F"/>
    <w:rsid w:val="00700948"/>
    <w:rsid w:val="007020CA"/>
    <w:rsid w:val="007047E2"/>
    <w:rsid w:val="0070740D"/>
    <w:rsid w:val="0071067E"/>
    <w:rsid w:val="00715428"/>
    <w:rsid w:val="00715552"/>
    <w:rsid w:val="0071599B"/>
    <w:rsid w:val="007303C1"/>
    <w:rsid w:val="00733123"/>
    <w:rsid w:val="00734345"/>
    <w:rsid w:val="007420EE"/>
    <w:rsid w:val="007432DA"/>
    <w:rsid w:val="007443D5"/>
    <w:rsid w:val="00747E1A"/>
    <w:rsid w:val="00755030"/>
    <w:rsid w:val="00755561"/>
    <w:rsid w:val="00763D19"/>
    <w:rsid w:val="00764A57"/>
    <w:rsid w:val="007654C8"/>
    <w:rsid w:val="00771BCE"/>
    <w:rsid w:val="00775279"/>
    <w:rsid w:val="00777C75"/>
    <w:rsid w:val="0078151E"/>
    <w:rsid w:val="007830A0"/>
    <w:rsid w:val="007870EE"/>
    <w:rsid w:val="007917BF"/>
    <w:rsid w:val="00793390"/>
    <w:rsid w:val="00793F85"/>
    <w:rsid w:val="0079745A"/>
    <w:rsid w:val="007976AC"/>
    <w:rsid w:val="00797C2F"/>
    <w:rsid w:val="007A4B91"/>
    <w:rsid w:val="007A70D7"/>
    <w:rsid w:val="007B0E4E"/>
    <w:rsid w:val="007B0EFA"/>
    <w:rsid w:val="007B267B"/>
    <w:rsid w:val="007B77DE"/>
    <w:rsid w:val="007B7E35"/>
    <w:rsid w:val="007C0808"/>
    <w:rsid w:val="007C5374"/>
    <w:rsid w:val="007D15CC"/>
    <w:rsid w:val="007D1C37"/>
    <w:rsid w:val="007D3E13"/>
    <w:rsid w:val="007D695C"/>
    <w:rsid w:val="007E2837"/>
    <w:rsid w:val="007E4B79"/>
    <w:rsid w:val="007F31DA"/>
    <w:rsid w:val="007F442C"/>
    <w:rsid w:val="007F598E"/>
    <w:rsid w:val="007F68E4"/>
    <w:rsid w:val="007F6BDB"/>
    <w:rsid w:val="008016EC"/>
    <w:rsid w:val="008059CF"/>
    <w:rsid w:val="008076B4"/>
    <w:rsid w:val="008113A1"/>
    <w:rsid w:val="00811614"/>
    <w:rsid w:val="00812466"/>
    <w:rsid w:val="00816F02"/>
    <w:rsid w:val="0082686D"/>
    <w:rsid w:val="008276F5"/>
    <w:rsid w:val="00827831"/>
    <w:rsid w:val="00830781"/>
    <w:rsid w:val="0083113B"/>
    <w:rsid w:val="008311F6"/>
    <w:rsid w:val="00833A23"/>
    <w:rsid w:val="008341F3"/>
    <w:rsid w:val="008346DA"/>
    <w:rsid w:val="008415CA"/>
    <w:rsid w:val="00842A36"/>
    <w:rsid w:val="00843CA0"/>
    <w:rsid w:val="00844804"/>
    <w:rsid w:val="00847989"/>
    <w:rsid w:val="00851B78"/>
    <w:rsid w:val="00853979"/>
    <w:rsid w:val="008551AC"/>
    <w:rsid w:val="00855721"/>
    <w:rsid w:val="00856911"/>
    <w:rsid w:val="00862649"/>
    <w:rsid w:val="0087358A"/>
    <w:rsid w:val="00875173"/>
    <w:rsid w:val="00876D9E"/>
    <w:rsid w:val="008779FF"/>
    <w:rsid w:val="00884935"/>
    <w:rsid w:val="00887A6A"/>
    <w:rsid w:val="008918D0"/>
    <w:rsid w:val="0089533B"/>
    <w:rsid w:val="00897094"/>
    <w:rsid w:val="008A3319"/>
    <w:rsid w:val="008A589D"/>
    <w:rsid w:val="008B3A21"/>
    <w:rsid w:val="008B4A3F"/>
    <w:rsid w:val="008C0499"/>
    <w:rsid w:val="008C0581"/>
    <w:rsid w:val="008C10D0"/>
    <w:rsid w:val="008C1863"/>
    <w:rsid w:val="008C557A"/>
    <w:rsid w:val="008C709C"/>
    <w:rsid w:val="008D3826"/>
    <w:rsid w:val="008D78E1"/>
    <w:rsid w:val="008E3EA6"/>
    <w:rsid w:val="008E4D27"/>
    <w:rsid w:val="008E7125"/>
    <w:rsid w:val="008F1F04"/>
    <w:rsid w:val="008F308F"/>
    <w:rsid w:val="00901921"/>
    <w:rsid w:val="00903441"/>
    <w:rsid w:val="00910F12"/>
    <w:rsid w:val="00921F38"/>
    <w:rsid w:val="00925BA9"/>
    <w:rsid w:val="009324CE"/>
    <w:rsid w:val="00934D32"/>
    <w:rsid w:val="00937126"/>
    <w:rsid w:val="00937421"/>
    <w:rsid w:val="009376B7"/>
    <w:rsid w:val="00944D16"/>
    <w:rsid w:val="009452AF"/>
    <w:rsid w:val="00950365"/>
    <w:rsid w:val="009626E3"/>
    <w:rsid w:val="0096294A"/>
    <w:rsid w:val="00964AB0"/>
    <w:rsid w:val="00967412"/>
    <w:rsid w:val="0097070D"/>
    <w:rsid w:val="009721DA"/>
    <w:rsid w:val="00974008"/>
    <w:rsid w:val="00974443"/>
    <w:rsid w:val="00974C85"/>
    <w:rsid w:val="00977FE3"/>
    <w:rsid w:val="00982C1A"/>
    <w:rsid w:val="00983BE3"/>
    <w:rsid w:val="00987AEC"/>
    <w:rsid w:val="009A4DDB"/>
    <w:rsid w:val="009A6B26"/>
    <w:rsid w:val="009A6CCD"/>
    <w:rsid w:val="009B5285"/>
    <w:rsid w:val="009B5F87"/>
    <w:rsid w:val="009C0B87"/>
    <w:rsid w:val="009C56C2"/>
    <w:rsid w:val="009C6A63"/>
    <w:rsid w:val="009D02BA"/>
    <w:rsid w:val="009D7EF1"/>
    <w:rsid w:val="009E18A4"/>
    <w:rsid w:val="009E2CE1"/>
    <w:rsid w:val="009F0DD3"/>
    <w:rsid w:val="009F2DB4"/>
    <w:rsid w:val="009F71FE"/>
    <w:rsid w:val="00A021D0"/>
    <w:rsid w:val="00A0264B"/>
    <w:rsid w:val="00A02B12"/>
    <w:rsid w:val="00A26626"/>
    <w:rsid w:val="00A26908"/>
    <w:rsid w:val="00A270FB"/>
    <w:rsid w:val="00A3092C"/>
    <w:rsid w:val="00A35101"/>
    <w:rsid w:val="00A35583"/>
    <w:rsid w:val="00A37785"/>
    <w:rsid w:val="00A4190F"/>
    <w:rsid w:val="00A4191B"/>
    <w:rsid w:val="00A41FDD"/>
    <w:rsid w:val="00A4698D"/>
    <w:rsid w:val="00A46BC0"/>
    <w:rsid w:val="00A47AD0"/>
    <w:rsid w:val="00A54377"/>
    <w:rsid w:val="00A7074D"/>
    <w:rsid w:val="00A70D06"/>
    <w:rsid w:val="00A75026"/>
    <w:rsid w:val="00A82157"/>
    <w:rsid w:val="00A869BA"/>
    <w:rsid w:val="00A90D5D"/>
    <w:rsid w:val="00A90DE9"/>
    <w:rsid w:val="00A9242E"/>
    <w:rsid w:val="00A96F8C"/>
    <w:rsid w:val="00AA0AB5"/>
    <w:rsid w:val="00AA297F"/>
    <w:rsid w:val="00AA7E35"/>
    <w:rsid w:val="00AB1798"/>
    <w:rsid w:val="00AB507C"/>
    <w:rsid w:val="00AB6287"/>
    <w:rsid w:val="00AB7124"/>
    <w:rsid w:val="00AC3973"/>
    <w:rsid w:val="00AC481F"/>
    <w:rsid w:val="00AC6895"/>
    <w:rsid w:val="00AD2187"/>
    <w:rsid w:val="00AD42B0"/>
    <w:rsid w:val="00AD467E"/>
    <w:rsid w:val="00AD6680"/>
    <w:rsid w:val="00AE0E75"/>
    <w:rsid w:val="00AE2D02"/>
    <w:rsid w:val="00AF4619"/>
    <w:rsid w:val="00AF72A6"/>
    <w:rsid w:val="00AF7B22"/>
    <w:rsid w:val="00B006AA"/>
    <w:rsid w:val="00B00BFF"/>
    <w:rsid w:val="00B03491"/>
    <w:rsid w:val="00B06B29"/>
    <w:rsid w:val="00B10FE7"/>
    <w:rsid w:val="00B1392C"/>
    <w:rsid w:val="00B156F5"/>
    <w:rsid w:val="00B159F3"/>
    <w:rsid w:val="00B23309"/>
    <w:rsid w:val="00B24314"/>
    <w:rsid w:val="00B265D3"/>
    <w:rsid w:val="00B32E5B"/>
    <w:rsid w:val="00B35C52"/>
    <w:rsid w:val="00B42306"/>
    <w:rsid w:val="00B42738"/>
    <w:rsid w:val="00B42912"/>
    <w:rsid w:val="00B42EA3"/>
    <w:rsid w:val="00B43D3B"/>
    <w:rsid w:val="00B51BA6"/>
    <w:rsid w:val="00B52078"/>
    <w:rsid w:val="00B534F5"/>
    <w:rsid w:val="00B55E8C"/>
    <w:rsid w:val="00B57BC9"/>
    <w:rsid w:val="00B57F41"/>
    <w:rsid w:val="00B60546"/>
    <w:rsid w:val="00B61622"/>
    <w:rsid w:val="00B62473"/>
    <w:rsid w:val="00B63F5E"/>
    <w:rsid w:val="00B676D3"/>
    <w:rsid w:val="00B7111E"/>
    <w:rsid w:val="00B722B9"/>
    <w:rsid w:val="00B72BE2"/>
    <w:rsid w:val="00B83052"/>
    <w:rsid w:val="00B8684F"/>
    <w:rsid w:val="00B87DE5"/>
    <w:rsid w:val="00B91616"/>
    <w:rsid w:val="00B91F4A"/>
    <w:rsid w:val="00B94F92"/>
    <w:rsid w:val="00B97767"/>
    <w:rsid w:val="00BB00C3"/>
    <w:rsid w:val="00BB0A45"/>
    <w:rsid w:val="00BB0B93"/>
    <w:rsid w:val="00BB2F65"/>
    <w:rsid w:val="00BB4758"/>
    <w:rsid w:val="00BB506E"/>
    <w:rsid w:val="00BC407D"/>
    <w:rsid w:val="00BC510D"/>
    <w:rsid w:val="00BC7077"/>
    <w:rsid w:val="00BD0C88"/>
    <w:rsid w:val="00BD1077"/>
    <w:rsid w:val="00BD2F97"/>
    <w:rsid w:val="00BD403B"/>
    <w:rsid w:val="00BD6BC3"/>
    <w:rsid w:val="00BE3436"/>
    <w:rsid w:val="00BF027B"/>
    <w:rsid w:val="00BF12DE"/>
    <w:rsid w:val="00BF6E7C"/>
    <w:rsid w:val="00BF75F9"/>
    <w:rsid w:val="00C005B2"/>
    <w:rsid w:val="00C1160D"/>
    <w:rsid w:val="00C12ABE"/>
    <w:rsid w:val="00C13245"/>
    <w:rsid w:val="00C21CE7"/>
    <w:rsid w:val="00C26020"/>
    <w:rsid w:val="00C33AB2"/>
    <w:rsid w:val="00C36824"/>
    <w:rsid w:val="00C4575C"/>
    <w:rsid w:val="00C51271"/>
    <w:rsid w:val="00C529B7"/>
    <w:rsid w:val="00C55A33"/>
    <w:rsid w:val="00C56941"/>
    <w:rsid w:val="00C617F8"/>
    <w:rsid w:val="00C63B9E"/>
    <w:rsid w:val="00C679E6"/>
    <w:rsid w:val="00C67FDD"/>
    <w:rsid w:val="00C72642"/>
    <w:rsid w:val="00C77B09"/>
    <w:rsid w:val="00C81B0D"/>
    <w:rsid w:val="00C825EC"/>
    <w:rsid w:val="00C85CF0"/>
    <w:rsid w:val="00C90FFA"/>
    <w:rsid w:val="00CA2E80"/>
    <w:rsid w:val="00CA4277"/>
    <w:rsid w:val="00CA4964"/>
    <w:rsid w:val="00CB08F3"/>
    <w:rsid w:val="00CB440D"/>
    <w:rsid w:val="00CB458A"/>
    <w:rsid w:val="00CC3048"/>
    <w:rsid w:val="00CC3237"/>
    <w:rsid w:val="00CC73F0"/>
    <w:rsid w:val="00CD0D8A"/>
    <w:rsid w:val="00CD1162"/>
    <w:rsid w:val="00CD2C9C"/>
    <w:rsid w:val="00CD3FF0"/>
    <w:rsid w:val="00CD5584"/>
    <w:rsid w:val="00CD764A"/>
    <w:rsid w:val="00CF1CF1"/>
    <w:rsid w:val="00CF2A2E"/>
    <w:rsid w:val="00CF341E"/>
    <w:rsid w:val="00CF36A1"/>
    <w:rsid w:val="00CF42F9"/>
    <w:rsid w:val="00D05C39"/>
    <w:rsid w:val="00D20C22"/>
    <w:rsid w:val="00D22AB1"/>
    <w:rsid w:val="00D25CD7"/>
    <w:rsid w:val="00D2769E"/>
    <w:rsid w:val="00D34F36"/>
    <w:rsid w:val="00D3775D"/>
    <w:rsid w:val="00D37AAB"/>
    <w:rsid w:val="00D37CAC"/>
    <w:rsid w:val="00D4115F"/>
    <w:rsid w:val="00D46204"/>
    <w:rsid w:val="00D50461"/>
    <w:rsid w:val="00D62A1F"/>
    <w:rsid w:val="00D702AB"/>
    <w:rsid w:val="00D70B14"/>
    <w:rsid w:val="00D728E7"/>
    <w:rsid w:val="00D74697"/>
    <w:rsid w:val="00D7596C"/>
    <w:rsid w:val="00D76549"/>
    <w:rsid w:val="00D86424"/>
    <w:rsid w:val="00D957DD"/>
    <w:rsid w:val="00DA22DF"/>
    <w:rsid w:val="00DA4883"/>
    <w:rsid w:val="00DB2CB3"/>
    <w:rsid w:val="00DB3C20"/>
    <w:rsid w:val="00DC3797"/>
    <w:rsid w:val="00DC5FA6"/>
    <w:rsid w:val="00DD39B8"/>
    <w:rsid w:val="00DD5C9E"/>
    <w:rsid w:val="00DD7733"/>
    <w:rsid w:val="00DE5026"/>
    <w:rsid w:val="00DF21FF"/>
    <w:rsid w:val="00DF365E"/>
    <w:rsid w:val="00DF5D5B"/>
    <w:rsid w:val="00DF697F"/>
    <w:rsid w:val="00DF7CEF"/>
    <w:rsid w:val="00E13568"/>
    <w:rsid w:val="00E148DE"/>
    <w:rsid w:val="00E1541B"/>
    <w:rsid w:val="00E21E4C"/>
    <w:rsid w:val="00E221C2"/>
    <w:rsid w:val="00E23B8E"/>
    <w:rsid w:val="00E301F8"/>
    <w:rsid w:val="00E324DB"/>
    <w:rsid w:val="00E332A9"/>
    <w:rsid w:val="00E36F58"/>
    <w:rsid w:val="00E541F0"/>
    <w:rsid w:val="00E542AD"/>
    <w:rsid w:val="00E56071"/>
    <w:rsid w:val="00E57D3E"/>
    <w:rsid w:val="00E6124D"/>
    <w:rsid w:val="00E675D1"/>
    <w:rsid w:val="00E67ECA"/>
    <w:rsid w:val="00E93F8D"/>
    <w:rsid w:val="00E954C0"/>
    <w:rsid w:val="00E968CD"/>
    <w:rsid w:val="00EB006F"/>
    <w:rsid w:val="00EB1673"/>
    <w:rsid w:val="00EB2573"/>
    <w:rsid w:val="00EB5C01"/>
    <w:rsid w:val="00EB7424"/>
    <w:rsid w:val="00EC21D9"/>
    <w:rsid w:val="00EC3CD0"/>
    <w:rsid w:val="00EC50B6"/>
    <w:rsid w:val="00EC6B44"/>
    <w:rsid w:val="00EC7376"/>
    <w:rsid w:val="00ED3B63"/>
    <w:rsid w:val="00ED7730"/>
    <w:rsid w:val="00EE5A0F"/>
    <w:rsid w:val="00EE7DAF"/>
    <w:rsid w:val="00EF05F1"/>
    <w:rsid w:val="00EF0FE3"/>
    <w:rsid w:val="00EF144A"/>
    <w:rsid w:val="00EF2266"/>
    <w:rsid w:val="00EF2588"/>
    <w:rsid w:val="00EF318C"/>
    <w:rsid w:val="00EF3F99"/>
    <w:rsid w:val="00EF4132"/>
    <w:rsid w:val="00EF533D"/>
    <w:rsid w:val="00EF60AC"/>
    <w:rsid w:val="00F01125"/>
    <w:rsid w:val="00F013C6"/>
    <w:rsid w:val="00F01F6A"/>
    <w:rsid w:val="00F0285A"/>
    <w:rsid w:val="00F05E02"/>
    <w:rsid w:val="00F1431A"/>
    <w:rsid w:val="00F14B5B"/>
    <w:rsid w:val="00F2140C"/>
    <w:rsid w:val="00F22F45"/>
    <w:rsid w:val="00F2331E"/>
    <w:rsid w:val="00F24751"/>
    <w:rsid w:val="00F25E81"/>
    <w:rsid w:val="00F26978"/>
    <w:rsid w:val="00F30356"/>
    <w:rsid w:val="00F325BC"/>
    <w:rsid w:val="00F32EA6"/>
    <w:rsid w:val="00F33B76"/>
    <w:rsid w:val="00F33DE2"/>
    <w:rsid w:val="00F413F5"/>
    <w:rsid w:val="00F43071"/>
    <w:rsid w:val="00F43EB3"/>
    <w:rsid w:val="00F44713"/>
    <w:rsid w:val="00F46219"/>
    <w:rsid w:val="00F474E9"/>
    <w:rsid w:val="00F503A4"/>
    <w:rsid w:val="00F50B6B"/>
    <w:rsid w:val="00F51BA2"/>
    <w:rsid w:val="00F530A2"/>
    <w:rsid w:val="00F56A92"/>
    <w:rsid w:val="00F56D18"/>
    <w:rsid w:val="00F601D7"/>
    <w:rsid w:val="00F6086C"/>
    <w:rsid w:val="00F61F89"/>
    <w:rsid w:val="00F62163"/>
    <w:rsid w:val="00F6765F"/>
    <w:rsid w:val="00F67EAC"/>
    <w:rsid w:val="00F73818"/>
    <w:rsid w:val="00F74CFC"/>
    <w:rsid w:val="00F75550"/>
    <w:rsid w:val="00F76FA2"/>
    <w:rsid w:val="00F81FB3"/>
    <w:rsid w:val="00F826C1"/>
    <w:rsid w:val="00F8304B"/>
    <w:rsid w:val="00F87B6C"/>
    <w:rsid w:val="00F95A14"/>
    <w:rsid w:val="00FA7D95"/>
    <w:rsid w:val="00FB1382"/>
    <w:rsid w:val="00FB1C19"/>
    <w:rsid w:val="00FC1F05"/>
    <w:rsid w:val="00FC230A"/>
    <w:rsid w:val="00FC333A"/>
    <w:rsid w:val="00FC438D"/>
    <w:rsid w:val="00FD189B"/>
    <w:rsid w:val="00FD4C22"/>
    <w:rsid w:val="00FD54D9"/>
    <w:rsid w:val="00FE0176"/>
    <w:rsid w:val="00FE0D6F"/>
    <w:rsid w:val="00FE1AA1"/>
    <w:rsid w:val="00FE1E66"/>
    <w:rsid w:val="00FE248C"/>
    <w:rsid w:val="00FE323D"/>
    <w:rsid w:val="00FE6916"/>
    <w:rsid w:val="00FE7B5E"/>
    <w:rsid w:val="00FF19BC"/>
    <w:rsid w:val="00FF57CC"/>
    <w:rsid w:val="00FF7453"/>
    <w:rsid w:val="03D76EE7"/>
    <w:rsid w:val="0B130A33"/>
    <w:rsid w:val="0B4AF032"/>
    <w:rsid w:val="0BF4F341"/>
    <w:rsid w:val="0C5906DA"/>
    <w:rsid w:val="10176D51"/>
    <w:rsid w:val="1A1C3C12"/>
    <w:rsid w:val="1DEAAF6B"/>
    <w:rsid w:val="1F43B3EC"/>
    <w:rsid w:val="22375AD9"/>
    <w:rsid w:val="2265B890"/>
    <w:rsid w:val="26F1A39F"/>
    <w:rsid w:val="28D85F3C"/>
    <w:rsid w:val="2C5BE759"/>
    <w:rsid w:val="2C71FAFF"/>
    <w:rsid w:val="2DF15A90"/>
    <w:rsid w:val="33171038"/>
    <w:rsid w:val="34CD0515"/>
    <w:rsid w:val="3CB5D322"/>
    <w:rsid w:val="3FAAA804"/>
    <w:rsid w:val="423F8194"/>
    <w:rsid w:val="449D5A44"/>
    <w:rsid w:val="44D0F1E9"/>
    <w:rsid w:val="49005EF5"/>
    <w:rsid w:val="4D51A62E"/>
    <w:rsid w:val="4F0EA6C6"/>
    <w:rsid w:val="562A96EF"/>
    <w:rsid w:val="5A84186B"/>
    <w:rsid w:val="5C30F1CD"/>
    <w:rsid w:val="5C5335A5"/>
    <w:rsid w:val="5CD63CB4"/>
    <w:rsid w:val="5CEB7450"/>
    <w:rsid w:val="5D35EF97"/>
    <w:rsid w:val="639C15A0"/>
    <w:rsid w:val="64F4250C"/>
    <w:rsid w:val="65BEABB6"/>
    <w:rsid w:val="65E0EF8E"/>
    <w:rsid w:val="66D3B662"/>
    <w:rsid w:val="67713425"/>
    <w:rsid w:val="67C8A74A"/>
    <w:rsid w:val="6C963FC1"/>
    <w:rsid w:val="6DFF3395"/>
    <w:rsid w:val="756F3082"/>
    <w:rsid w:val="7580C8C9"/>
    <w:rsid w:val="766CE00A"/>
    <w:rsid w:val="7AF10534"/>
    <w:rsid w:val="7D37D3F7"/>
    <w:rsid w:val="7D9CE3AF"/>
    <w:rsid w:val="7F38B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D73695"/>
  <w15:docId w15:val="{49F4E80D-80DE-4B8F-BCB1-30BDD718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aliases w:val="Numbered - 1"/>
    <w:basedOn w:val="Normal"/>
    <w:next w:val="Normal"/>
    <w:qFormat/>
    <w:rsid w:val="003322EA"/>
    <w:pPr>
      <w:keepNext/>
      <w:keepLines/>
      <w:widowControl w:val="0"/>
      <w:spacing w:before="240" w:after="240"/>
      <w:outlineLvl w:val="0"/>
    </w:pPr>
    <w:rPr>
      <w:b/>
      <w:kern w:val="28"/>
      <w:sz w:val="22"/>
      <w:szCs w:val="20"/>
      <w:lang w:eastAsia="en-US"/>
    </w:rPr>
  </w:style>
  <w:style w:type="paragraph" w:styleId="Heading2">
    <w:name w:val="heading 2"/>
    <w:basedOn w:val="Normal"/>
    <w:next w:val="Normal"/>
    <w:qFormat/>
    <w:rsid w:val="00CF2A2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Arial">
    <w:name w:val="Style Arial"/>
    <w:basedOn w:val="Normal"/>
    <w:rsid w:val="002246CA"/>
    <w:pPr>
      <w:spacing w:after="120"/>
    </w:pPr>
    <w:rPr>
      <w:rFonts w:cs="Arial"/>
      <w:sz w:val="28"/>
      <w:szCs w:val="20"/>
      <w:lang w:eastAsia="en-US"/>
    </w:rPr>
  </w:style>
  <w:style w:type="paragraph" w:customStyle="1" w:styleId="Default">
    <w:name w:val="Default"/>
    <w:rsid w:val="00CD0D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fESOutNumbered">
    <w:name w:val="DfESOutNumbered"/>
    <w:basedOn w:val="Normal"/>
    <w:rsid w:val="00FE323D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rFonts w:cs="Arial"/>
      <w:sz w:val="22"/>
      <w:szCs w:val="20"/>
      <w:lang w:eastAsia="en-US"/>
    </w:rPr>
  </w:style>
  <w:style w:type="paragraph" w:styleId="BodyTextIndent">
    <w:name w:val="Body Text Indent"/>
    <w:basedOn w:val="Normal"/>
    <w:rsid w:val="003D08B1"/>
    <w:pPr>
      <w:tabs>
        <w:tab w:val="left" w:pos="360"/>
      </w:tabs>
      <w:spacing w:after="120"/>
      <w:ind w:left="360" w:hanging="360"/>
    </w:pPr>
    <w:rPr>
      <w:sz w:val="22"/>
      <w:szCs w:val="20"/>
      <w:lang w:val="en-US" w:eastAsia="en-US"/>
    </w:rPr>
  </w:style>
  <w:style w:type="character" w:styleId="Strong">
    <w:name w:val="Strong"/>
    <w:qFormat/>
    <w:rsid w:val="00D46204"/>
    <w:rPr>
      <w:b/>
      <w:bCs/>
    </w:rPr>
  </w:style>
  <w:style w:type="paragraph" w:styleId="BodyText">
    <w:name w:val="Body Text"/>
    <w:basedOn w:val="Normal"/>
    <w:rsid w:val="003322EA"/>
    <w:pPr>
      <w:spacing w:after="120"/>
    </w:pPr>
  </w:style>
  <w:style w:type="character" w:customStyle="1" w:styleId="endsenrhsennumparatext">
    <w:name w:val="ends enrhs ennumparatext"/>
    <w:basedOn w:val="DefaultParagraphFont"/>
    <w:rsid w:val="004503C6"/>
  </w:style>
  <w:style w:type="character" w:styleId="Hyperlink">
    <w:name w:val="Hyperlink"/>
    <w:rsid w:val="004503C6"/>
    <w:rPr>
      <w:color w:val="0000FF"/>
      <w:u w:val="single"/>
    </w:rPr>
  </w:style>
  <w:style w:type="paragraph" w:styleId="Revision">
    <w:name w:val="Revision"/>
    <w:hidden/>
    <w:uiPriority w:val="99"/>
    <w:semiHidden/>
    <w:rsid w:val="003044B1"/>
    <w:rPr>
      <w:rFonts w:ascii="Arial" w:hAnsi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044B1"/>
    <w:rPr>
      <w:rFonts w:ascii="Arial" w:hAnsi="Arial"/>
      <w:sz w:val="24"/>
      <w:szCs w:val="24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uiPriority w:val="34"/>
    <w:qFormat/>
    <w:rsid w:val="00BF7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uline.hoare@towerhamlets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4718A1CDEFF48B7ADB1A2E67F9D12" ma:contentTypeVersion="9" ma:contentTypeDescription="Create a new document." ma:contentTypeScope="" ma:versionID="1e8961fd5fe916ec6dddfeafb984cbc2">
  <xsd:schema xmlns:xsd="http://www.w3.org/2001/XMLSchema" xmlns:xs="http://www.w3.org/2001/XMLSchema" xmlns:p="http://schemas.microsoft.com/office/2006/metadata/properties" xmlns:ns3="c02c181e-bc3c-486b-ad13-c9c8d82d57e0" targetNamespace="http://schemas.microsoft.com/office/2006/metadata/properties" ma:root="true" ma:fieldsID="48719581934d2e1a313f0baed684537a" ns3:_="">
    <xsd:import namespace="c02c181e-bc3c-486b-ad13-c9c8d82d57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c181e-bc3c-486b-ad13-c9c8d82d5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64AED-EC9D-47B7-A76C-69CE1F7DB4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64CA01-70ED-42C8-BDD5-2AB6B93C5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A64E0-CE38-4AFB-A038-540708E54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c181e-bc3c-486b-ad13-c9c8d82d57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68BE6B-A121-490C-88AA-5089FFE4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Schools and Families CMBM – July 2010</vt:lpstr>
    </vt:vector>
  </TitlesOfParts>
  <Company>London Borough of Tower Hamlets</Company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 Block Budget 2021 to 2022</dc:title>
  <dc:subject/>
  <dc:creator>David Tully</dc:creator>
  <cp:keywords/>
  <cp:lastModifiedBy>Phillip Nduoyo</cp:lastModifiedBy>
  <cp:revision>136</cp:revision>
  <cp:lastPrinted>2019-11-28T13:11:00Z</cp:lastPrinted>
  <dcterms:created xsi:type="dcterms:W3CDTF">2021-01-08T14:45:00Z</dcterms:created>
  <dcterms:modified xsi:type="dcterms:W3CDTF">2021-01-13T08:44:00Z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0x010100C7F4718A1CDEFF48B7ADB1A2E67F9D12</vt:lpwstr>
  </property>
  <property fmtid="{D5CDD505-2E9C-101B-9397-08002B2CF9AE}" pid="3" name="Order">
    <vt:r8>6036800</vt:r8>
  </property>
</Properties>
</file>