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10E5724E" w:rsidR="00AA79F3" w:rsidRPr="007C4F08" w:rsidRDefault="00053357"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615D1D">
            <w:t>DSG Funding Settlement 2022-23</w:t>
          </w:r>
        </w:sdtContent>
      </w:sdt>
    </w:p>
    <w:p w14:paraId="2AC24CBA" w14:textId="6E597CD0" w:rsidR="001D5881" w:rsidRPr="00BE6FB3" w:rsidRDefault="00475045" w:rsidP="001D5881">
      <w:pPr>
        <w:pStyle w:val="Heading1"/>
      </w:pPr>
      <w:r>
        <w:t xml:space="preserve">Title of Report: </w:t>
      </w:r>
      <w:r w:rsidR="004C371E">
        <w:t xml:space="preserve">DSG Funding Settlement </w:t>
      </w:r>
      <w:r w:rsidR="004C371E" w:rsidRPr="00300352">
        <w:t>202</w:t>
      </w:r>
      <w:r w:rsidR="004C371E">
        <w:t>2</w:t>
      </w:r>
      <w:r w:rsidR="004C371E" w:rsidRPr="00300352">
        <w:t>-2</w:t>
      </w:r>
      <w:r w:rsidR="004C371E">
        <w:t>3</w:t>
      </w:r>
    </w:p>
    <w:p w14:paraId="7B063AA8" w14:textId="77777777" w:rsidR="001D5881" w:rsidRDefault="001D5881" w:rsidP="001D5881">
      <w:pPr>
        <w:pStyle w:val="Heading2"/>
      </w:pPr>
    </w:p>
    <w:p w14:paraId="1CA893E1" w14:textId="5DB5ECB2" w:rsidR="00475045" w:rsidRDefault="004C371E" w:rsidP="00947F14">
      <w:pPr>
        <w:pStyle w:val="Headersfooters"/>
        <w:rPr>
          <w:b/>
          <w:bCs w:val="0"/>
        </w:rPr>
      </w:pPr>
      <w:r>
        <w:rPr>
          <w:b/>
          <w:bCs w:val="0"/>
        </w:rPr>
        <w:t xml:space="preserve">  </w:t>
      </w:r>
      <w:r w:rsidR="007A1F89" w:rsidRPr="00947F14">
        <w:rPr>
          <w:b/>
          <w:bCs w:val="0"/>
        </w:rPr>
        <w:t>AUTHOR OF THE PAPER: KAY GOODACRE</w:t>
      </w:r>
    </w:p>
    <w:p w14:paraId="27464BB9" w14:textId="4ED3B0A1" w:rsidR="004C371E" w:rsidRDefault="004C371E" w:rsidP="00947F14">
      <w:pPr>
        <w:pStyle w:val="Headersfooters"/>
        <w:rPr>
          <w:b/>
          <w:bCs w:val="0"/>
          <w:caps/>
          <w:color w:val="319B31"/>
        </w:rPr>
      </w:pPr>
    </w:p>
    <w:p w14:paraId="2A2BE1B6" w14:textId="027FE6EF" w:rsidR="004C371E" w:rsidRPr="00947F14" w:rsidRDefault="004C371E" w:rsidP="00947F14">
      <w:pPr>
        <w:pStyle w:val="Headersfooters"/>
        <w:rPr>
          <w:b/>
          <w:bCs w:val="0"/>
          <w:caps/>
          <w:color w:val="319B31"/>
        </w:rPr>
      </w:pPr>
      <w:r>
        <w:rPr>
          <w:b/>
        </w:rPr>
        <w:t xml:space="preserve">  </w:t>
      </w:r>
      <w:r w:rsidRPr="00300352">
        <w:rPr>
          <w:b/>
        </w:rPr>
        <w:t>OFFICER TO PRESENT THE PAPER TO SCHOOLS FORUM</w:t>
      </w:r>
      <w:r>
        <w:rPr>
          <w:b/>
        </w:rPr>
        <w:t xml:space="preserve">: </w:t>
      </w:r>
      <w:r w:rsidRPr="004C371E">
        <w:rPr>
          <w:bCs w:val="0"/>
        </w:rPr>
        <w:t>KAY GOODACRE</w:t>
      </w:r>
    </w:p>
    <w:tbl>
      <w:tblPr>
        <w:tblStyle w:val="PlainTable3"/>
        <w:tblW w:w="0" w:type="auto"/>
        <w:tblLook w:val="04A0" w:firstRow="1" w:lastRow="0" w:firstColumn="1" w:lastColumn="0" w:noHBand="0" w:noVBand="1"/>
      </w:tblPr>
      <w:tblGrid>
        <w:gridCol w:w="8998"/>
      </w:tblGrid>
      <w:tr w:rsidR="00475045" w:rsidRPr="00475045" w14:paraId="270EEB57" w14:textId="77777777" w:rsidTr="00615D1D">
        <w:trPr>
          <w:cnfStyle w:val="100000000000" w:firstRow="1" w:lastRow="0" w:firstColumn="0" w:lastColumn="0" w:oddVBand="0" w:evenVBand="0" w:oddHBand="0" w:evenHBand="0" w:firstRowFirstColumn="0" w:firstRowLastColumn="0" w:lastRowFirstColumn="0" w:lastRowLastColumn="0"/>
          <w:trHeight w:val="1780"/>
        </w:trPr>
        <w:tc>
          <w:tcPr>
            <w:cnfStyle w:val="001000000100" w:firstRow="0" w:lastRow="0" w:firstColumn="1" w:lastColumn="0" w:oddVBand="0" w:evenVBand="0" w:oddHBand="0" w:evenHBand="0" w:firstRowFirstColumn="1" w:firstRowLastColumn="0" w:lastRowFirstColumn="0" w:lastRowLastColumn="0"/>
            <w:tcW w:w="8998" w:type="dxa"/>
            <w:tcBorders>
              <w:bottom w:val="none" w:sz="0" w:space="0" w:color="auto"/>
              <w:right w:val="none" w:sz="0" w:space="0" w:color="auto"/>
            </w:tcBorders>
          </w:tcPr>
          <w:p w14:paraId="53723A4D" w14:textId="77777777" w:rsidR="004C371E" w:rsidRDefault="004C371E" w:rsidP="00947F14">
            <w:pPr>
              <w:pStyle w:val="Headersfooters"/>
              <w:rPr>
                <w:b w:val="0"/>
                <w:bCs/>
                <w:caps w:val="0"/>
              </w:rPr>
            </w:pPr>
          </w:p>
          <w:p w14:paraId="430F0428" w14:textId="7FCB05EF" w:rsidR="00475045" w:rsidRDefault="00475045" w:rsidP="00947F14">
            <w:pPr>
              <w:pStyle w:val="Headersfooters"/>
              <w:rPr>
                <w:b w:val="0"/>
                <w:bCs/>
                <w:caps w:val="0"/>
              </w:rPr>
            </w:pPr>
            <w:r w:rsidRPr="00475045">
              <w:t xml:space="preserve">Details on who has been consulted with on this paper to date: </w:t>
            </w:r>
            <w:r w:rsidRPr="004C371E">
              <w:rPr>
                <w:b w:val="0"/>
                <w:bCs/>
              </w:rPr>
              <w:t>n/a</w:t>
            </w:r>
          </w:p>
          <w:p w14:paraId="2AAF9AFD" w14:textId="77777777" w:rsidR="004C371E" w:rsidRPr="00475045" w:rsidRDefault="004C371E" w:rsidP="00947F14">
            <w:pPr>
              <w:pStyle w:val="Headersfooters"/>
            </w:pPr>
          </w:p>
          <w:p w14:paraId="321F469B" w14:textId="77777777" w:rsidR="00475045" w:rsidRPr="00475045" w:rsidRDefault="00475045" w:rsidP="00475045"/>
          <w:p w14:paraId="74E46B24" w14:textId="33C74F1E" w:rsidR="00475045" w:rsidRDefault="00475045" w:rsidP="00947F14">
            <w:pPr>
              <w:pStyle w:val="Headersfooters"/>
              <w:rPr>
                <w:b w:val="0"/>
                <w:bCs/>
                <w:caps w:val="0"/>
                <w:u w:val="single"/>
              </w:rPr>
            </w:pPr>
            <w:r w:rsidRPr="00947F14">
              <w:rPr>
                <w:u w:val="single"/>
              </w:rPr>
              <w:t>Executive Summary</w:t>
            </w:r>
          </w:p>
          <w:p w14:paraId="0032FACF" w14:textId="77777777" w:rsidR="00947F14" w:rsidRPr="00947F14" w:rsidRDefault="00947F14" w:rsidP="00947F14">
            <w:pPr>
              <w:pStyle w:val="Headersfooters"/>
              <w:rPr>
                <w:u w:val="single"/>
              </w:rPr>
            </w:pPr>
          </w:p>
          <w:p w14:paraId="1F43B7E0" w14:textId="3D93F746" w:rsidR="00475045" w:rsidRPr="004C371E" w:rsidRDefault="004C371E" w:rsidP="00947F14">
            <w:pPr>
              <w:spacing w:after="120"/>
              <w:jc w:val="both"/>
              <w:rPr>
                <w:b w:val="0"/>
                <w:bCs w:val="0"/>
                <w:caps w:val="0"/>
              </w:rPr>
            </w:pPr>
            <w:r w:rsidRPr="004C371E">
              <w:rPr>
                <w:b w:val="0"/>
                <w:bCs w:val="0"/>
                <w:caps w:val="0"/>
              </w:rPr>
              <w:t xml:space="preserve">This report updates </w:t>
            </w:r>
            <w:r>
              <w:rPr>
                <w:b w:val="0"/>
                <w:bCs w:val="0"/>
                <w:caps w:val="0"/>
              </w:rPr>
              <w:t>S</w:t>
            </w:r>
            <w:r w:rsidRPr="004C371E">
              <w:rPr>
                <w:b w:val="0"/>
                <w:bCs w:val="0"/>
                <w:caps w:val="0"/>
              </w:rPr>
              <w:t xml:space="preserve">chools </w:t>
            </w:r>
            <w:r>
              <w:rPr>
                <w:b w:val="0"/>
                <w:bCs w:val="0"/>
                <w:caps w:val="0"/>
              </w:rPr>
              <w:t>F</w:t>
            </w:r>
            <w:r w:rsidRPr="004C371E">
              <w:rPr>
                <w:b w:val="0"/>
                <w:bCs w:val="0"/>
                <w:caps w:val="0"/>
              </w:rPr>
              <w:t xml:space="preserve">orum on the indicative position of the </w:t>
            </w:r>
            <w:r>
              <w:rPr>
                <w:b w:val="0"/>
                <w:bCs w:val="0"/>
                <w:caps w:val="0"/>
              </w:rPr>
              <w:t>D</w:t>
            </w:r>
            <w:r w:rsidRPr="004C371E">
              <w:rPr>
                <w:b w:val="0"/>
                <w:bCs w:val="0"/>
                <w:caps w:val="0"/>
              </w:rPr>
              <w:t xml:space="preserve">edicated </w:t>
            </w:r>
            <w:r>
              <w:rPr>
                <w:b w:val="0"/>
                <w:bCs w:val="0"/>
                <w:caps w:val="0"/>
              </w:rPr>
              <w:t>S</w:t>
            </w:r>
            <w:r w:rsidRPr="004C371E">
              <w:rPr>
                <w:b w:val="0"/>
                <w:bCs w:val="0"/>
                <w:caps w:val="0"/>
              </w:rPr>
              <w:t xml:space="preserve">chools </w:t>
            </w:r>
            <w:r>
              <w:rPr>
                <w:b w:val="0"/>
                <w:bCs w:val="0"/>
                <w:caps w:val="0"/>
              </w:rPr>
              <w:t>G</w:t>
            </w:r>
            <w:r w:rsidRPr="004C371E">
              <w:rPr>
                <w:b w:val="0"/>
                <w:bCs w:val="0"/>
                <w:caps w:val="0"/>
              </w:rPr>
              <w:t>rant (</w:t>
            </w:r>
            <w:r>
              <w:rPr>
                <w:b w:val="0"/>
                <w:bCs w:val="0"/>
                <w:caps w:val="0"/>
              </w:rPr>
              <w:t>DSG</w:t>
            </w:r>
            <w:r w:rsidRPr="004C371E">
              <w:rPr>
                <w:b w:val="0"/>
                <w:bCs w:val="0"/>
                <w:caps w:val="0"/>
              </w:rPr>
              <w:t>) settlement for the year</w:t>
            </w:r>
            <w:r w:rsidRPr="004C371E">
              <w:rPr>
                <w:b w:val="0"/>
                <w:bCs w:val="0"/>
              </w:rPr>
              <w:t xml:space="preserve"> 2022-23 </w:t>
            </w:r>
            <w:r w:rsidRPr="004C371E">
              <w:rPr>
                <w:b w:val="0"/>
                <w:bCs w:val="0"/>
                <w:caps w:val="0"/>
              </w:rPr>
              <w:t xml:space="preserve">as announced in </w:t>
            </w:r>
            <w:r>
              <w:rPr>
                <w:b w:val="0"/>
                <w:bCs w:val="0"/>
                <w:caps w:val="0"/>
              </w:rPr>
              <w:t>J</w:t>
            </w:r>
            <w:r w:rsidRPr="004C371E">
              <w:rPr>
                <w:b w:val="0"/>
                <w:bCs w:val="0"/>
                <w:caps w:val="0"/>
              </w:rPr>
              <w:t>uly.</w:t>
            </w:r>
          </w:p>
          <w:p w14:paraId="39F991A1" w14:textId="77777777" w:rsidR="004C371E" w:rsidRPr="00475045" w:rsidRDefault="004C371E" w:rsidP="00947F14">
            <w:pPr>
              <w:spacing w:after="120"/>
              <w:jc w:val="both"/>
            </w:pPr>
          </w:p>
          <w:p w14:paraId="628C5FCA" w14:textId="77777777" w:rsidR="004C371E" w:rsidRPr="004C371E" w:rsidRDefault="004C371E" w:rsidP="004C371E">
            <w:pPr>
              <w:tabs>
                <w:tab w:val="center" w:pos="4153"/>
                <w:tab w:val="right" w:pos="8306"/>
              </w:tabs>
              <w:rPr>
                <w:rFonts w:eastAsia="Times New Roman"/>
              </w:rPr>
            </w:pPr>
            <w:r w:rsidRPr="004C371E">
              <w:rPr>
                <w:rFonts w:eastAsia="Times New Roman"/>
              </w:rPr>
              <w:t>Recommendations.</w:t>
            </w:r>
          </w:p>
          <w:p w14:paraId="3E43B747" w14:textId="287FBBF3" w:rsidR="004C371E" w:rsidRPr="004C371E" w:rsidRDefault="004C371E" w:rsidP="004C371E">
            <w:pPr>
              <w:tabs>
                <w:tab w:val="center" w:pos="4153"/>
                <w:tab w:val="right" w:pos="8306"/>
              </w:tabs>
              <w:rPr>
                <w:rFonts w:eastAsia="Times New Roman" w:cs="Times New Roman"/>
                <w:b w:val="0"/>
                <w:bCs w:val="0"/>
              </w:rPr>
            </w:pPr>
            <w:r w:rsidRPr="004C371E">
              <w:rPr>
                <w:rFonts w:eastAsia="Times New Roman" w:cs="Times New Roman"/>
                <w:b w:val="0"/>
                <w:bCs w:val="0"/>
                <w:caps w:val="0"/>
              </w:rPr>
              <w:t>Forum is asked to:</w:t>
            </w:r>
          </w:p>
          <w:p w14:paraId="2B7AF4D2" w14:textId="49209395" w:rsidR="00475045" w:rsidRPr="00475045" w:rsidRDefault="004C371E" w:rsidP="00615D1D">
            <w:pPr>
              <w:numPr>
                <w:ilvl w:val="0"/>
                <w:numId w:val="5"/>
              </w:numPr>
              <w:tabs>
                <w:tab w:val="center" w:pos="4153"/>
                <w:tab w:val="right" w:pos="8306"/>
              </w:tabs>
            </w:pPr>
            <w:r w:rsidRPr="00615D1D">
              <w:rPr>
                <w:rFonts w:eastAsia="Times New Roman" w:cs="Times New Roman"/>
                <w:b w:val="0"/>
                <w:bCs w:val="0"/>
              </w:rPr>
              <w:t>N</w:t>
            </w:r>
            <w:r w:rsidRPr="00615D1D">
              <w:rPr>
                <w:rFonts w:eastAsia="Times New Roman" w:cs="Times New Roman"/>
                <w:b w:val="0"/>
                <w:bCs w:val="0"/>
                <w:caps w:val="0"/>
              </w:rPr>
              <w:t>ote the contents of the report</w:t>
            </w:r>
            <w:r w:rsidRPr="00615D1D">
              <w:rPr>
                <w:rFonts w:eastAsia="Times New Roman" w:cs="Times New Roman"/>
                <w:b w:val="0"/>
                <w:bCs w:val="0"/>
              </w:rPr>
              <w:t>.</w:t>
            </w:r>
          </w:p>
        </w:tc>
      </w:tr>
    </w:tbl>
    <w:p w14:paraId="118980CE" w14:textId="40104325" w:rsidR="004C371E" w:rsidRDefault="004C371E" w:rsidP="00615D1D">
      <w:pPr>
        <w:pStyle w:val="Heading2"/>
        <w:numPr>
          <w:ilvl w:val="0"/>
          <w:numId w:val="6"/>
        </w:numPr>
        <w:ind w:left="142" w:hanging="284"/>
        <w:rPr>
          <w:rFonts w:eastAsia="Times New Roman"/>
        </w:rPr>
      </w:pPr>
      <w:r w:rsidRPr="004C371E">
        <w:rPr>
          <w:rFonts w:eastAsia="Times New Roman"/>
        </w:rPr>
        <w:t>Background</w:t>
      </w:r>
    </w:p>
    <w:p w14:paraId="2568C7C9" w14:textId="77777777" w:rsidR="004C371E" w:rsidRPr="004C371E" w:rsidRDefault="004C371E" w:rsidP="004C371E"/>
    <w:p w14:paraId="631F1036" w14:textId="77777777" w:rsidR="004C371E" w:rsidRPr="004C371E" w:rsidRDefault="004C371E" w:rsidP="004C371E">
      <w:pPr>
        <w:numPr>
          <w:ilvl w:val="1"/>
          <w:numId w:val="6"/>
        </w:numPr>
        <w:spacing w:after="0"/>
        <w:ind w:left="709" w:hanging="709"/>
        <w:contextualSpacing/>
        <w:rPr>
          <w:rFonts w:eastAsia="Times New Roman"/>
          <w:bCs/>
        </w:rPr>
      </w:pPr>
      <w:r w:rsidRPr="004C371E">
        <w:rPr>
          <w:rFonts w:eastAsia="Times New Roman"/>
          <w:bCs/>
        </w:rPr>
        <w:t xml:space="preserve">For budget setting purposes, the DSG announced in July of each year will be the starting point for planning the budget. </w:t>
      </w:r>
    </w:p>
    <w:p w14:paraId="39BDDC5B" w14:textId="77777777" w:rsidR="004C371E" w:rsidRPr="004C371E" w:rsidRDefault="004C371E" w:rsidP="004C371E">
      <w:pPr>
        <w:spacing w:after="0"/>
        <w:ind w:left="709"/>
        <w:contextualSpacing/>
        <w:rPr>
          <w:rFonts w:eastAsia="Times New Roman"/>
          <w:bCs/>
        </w:rPr>
      </w:pPr>
    </w:p>
    <w:p w14:paraId="43BB68BF" w14:textId="77777777" w:rsidR="004C371E" w:rsidRPr="004C371E" w:rsidRDefault="004C371E" w:rsidP="004C371E">
      <w:pPr>
        <w:numPr>
          <w:ilvl w:val="1"/>
          <w:numId w:val="6"/>
        </w:numPr>
        <w:spacing w:after="0"/>
        <w:ind w:left="709" w:hanging="709"/>
        <w:contextualSpacing/>
        <w:rPr>
          <w:rFonts w:eastAsia="Times New Roman"/>
          <w:bCs/>
        </w:rPr>
      </w:pPr>
      <w:r w:rsidRPr="004C371E">
        <w:rPr>
          <w:rFonts w:eastAsia="Times New Roman"/>
          <w:bCs/>
        </w:rPr>
        <w:t xml:space="preserve">The </w:t>
      </w:r>
      <w:proofErr w:type="gramStart"/>
      <w:r w:rsidRPr="004C371E">
        <w:rPr>
          <w:rFonts w:eastAsia="Times New Roman"/>
          <w:bCs/>
        </w:rPr>
        <w:t>Schools</w:t>
      </w:r>
      <w:proofErr w:type="gramEnd"/>
      <w:r w:rsidRPr="004C371E">
        <w:rPr>
          <w:rFonts w:eastAsia="Times New Roman"/>
          <w:bCs/>
        </w:rPr>
        <w:t xml:space="preserve"> block and CSSB will be updated for actual pupil numbers and growth allocations calculated comparing the two years census points which is allocated in December.  </w:t>
      </w:r>
    </w:p>
    <w:p w14:paraId="07AE517D" w14:textId="77777777" w:rsidR="004C371E" w:rsidRPr="004C371E" w:rsidRDefault="004C371E" w:rsidP="004C371E">
      <w:pPr>
        <w:spacing w:after="0"/>
        <w:ind w:left="720"/>
        <w:contextualSpacing/>
        <w:rPr>
          <w:rFonts w:eastAsia="Times New Roman"/>
          <w:bCs/>
        </w:rPr>
      </w:pPr>
    </w:p>
    <w:p w14:paraId="4578E3AE" w14:textId="77777777" w:rsidR="004C371E" w:rsidRPr="004C371E" w:rsidRDefault="004C371E" w:rsidP="004C371E">
      <w:pPr>
        <w:numPr>
          <w:ilvl w:val="1"/>
          <w:numId w:val="6"/>
        </w:numPr>
        <w:spacing w:after="0"/>
        <w:ind w:left="709" w:hanging="709"/>
        <w:contextualSpacing/>
        <w:rPr>
          <w:rFonts w:eastAsia="Times New Roman"/>
          <w:bCs/>
        </w:rPr>
      </w:pPr>
      <w:r w:rsidRPr="004C371E">
        <w:rPr>
          <w:rFonts w:eastAsia="Times New Roman"/>
          <w:bCs/>
        </w:rPr>
        <w:t>The High Needs Block will be updated for place numbers and recoupment for post 16 places later in the year</w:t>
      </w:r>
    </w:p>
    <w:p w14:paraId="49C357B0" w14:textId="77777777" w:rsidR="004C371E" w:rsidRPr="004C371E" w:rsidRDefault="004C371E" w:rsidP="004C371E">
      <w:pPr>
        <w:spacing w:after="0"/>
        <w:ind w:left="720"/>
        <w:contextualSpacing/>
        <w:rPr>
          <w:rFonts w:eastAsia="Times New Roman"/>
          <w:bCs/>
        </w:rPr>
      </w:pPr>
    </w:p>
    <w:p w14:paraId="6607CDBB" w14:textId="77777777" w:rsidR="004C371E" w:rsidRPr="004C371E" w:rsidRDefault="004C371E" w:rsidP="004C371E">
      <w:pPr>
        <w:numPr>
          <w:ilvl w:val="1"/>
          <w:numId w:val="6"/>
        </w:numPr>
        <w:spacing w:after="0"/>
        <w:ind w:left="709" w:hanging="709"/>
        <w:contextualSpacing/>
        <w:rPr>
          <w:rFonts w:eastAsia="Times New Roman"/>
          <w:bCs/>
        </w:rPr>
      </w:pPr>
      <w:r w:rsidRPr="004C371E">
        <w:rPr>
          <w:rFonts w:eastAsia="Times New Roman"/>
          <w:bCs/>
        </w:rPr>
        <w:t>Indicative Early years allocations have yet to be made but would be expected in December.</w:t>
      </w:r>
    </w:p>
    <w:p w14:paraId="546C741F" w14:textId="77777777" w:rsidR="004C371E" w:rsidRPr="004C371E" w:rsidRDefault="004C371E" w:rsidP="004C371E">
      <w:pPr>
        <w:spacing w:after="0"/>
        <w:ind w:left="709"/>
        <w:contextualSpacing/>
        <w:rPr>
          <w:rFonts w:eastAsia="Times New Roman"/>
          <w:bCs/>
        </w:rPr>
      </w:pPr>
    </w:p>
    <w:p w14:paraId="5FAFA665" w14:textId="77777777" w:rsidR="004C371E" w:rsidRPr="004C371E" w:rsidRDefault="004C371E" w:rsidP="004C371E">
      <w:pPr>
        <w:spacing w:after="0"/>
        <w:rPr>
          <w:rFonts w:eastAsia="Times New Roman"/>
          <w:bCs/>
        </w:rPr>
      </w:pPr>
    </w:p>
    <w:p w14:paraId="708F686D" w14:textId="77777777" w:rsidR="004C371E" w:rsidRPr="004C371E" w:rsidRDefault="004C371E" w:rsidP="004C371E">
      <w:pPr>
        <w:spacing w:after="0"/>
        <w:ind w:left="709"/>
        <w:contextualSpacing/>
        <w:rPr>
          <w:rFonts w:eastAsia="Times New Roman"/>
          <w:b/>
        </w:rPr>
      </w:pPr>
    </w:p>
    <w:p w14:paraId="48A6017A" w14:textId="0CE7FAA2" w:rsidR="004C371E" w:rsidRPr="004C371E" w:rsidRDefault="004C371E" w:rsidP="00615D1D">
      <w:pPr>
        <w:pStyle w:val="Heading2"/>
        <w:numPr>
          <w:ilvl w:val="0"/>
          <w:numId w:val="6"/>
        </w:numPr>
        <w:ind w:left="284" w:hanging="361"/>
        <w:rPr>
          <w:rFonts w:eastAsia="Times New Roman"/>
        </w:rPr>
      </w:pPr>
      <w:r w:rsidRPr="004C371E">
        <w:rPr>
          <w:rFonts w:eastAsia="Times New Roman"/>
        </w:rPr>
        <w:t xml:space="preserve">DSG indicative allocations 2022-23 </w:t>
      </w:r>
    </w:p>
    <w:p w14:paraId="2393841B" w14:textId="77777777" w:rsidR="004C371E" w:rsidRPr="004C371E" w:rsidRDefault="004C371E" w:rsidP="004C371E">
      <w:pPr>
        <w:spacing w:after="0"/>
        <w:ind w:left="709"/>
        <w:contextualSpacing/>
        <w:rPr>
          <w:rFonts w:eastAsia="Times New Roman"/>
          <w:b/>
        </w:rPr>
      </w:pPr>
    </w:p>
    <w:p w14:paraId="0B030466" w14:textId="3027632E" w:rsidR="004C371E" w:rsidRPr="004C371E" w:rsidRDefault="004C371E" w:rsidP="004C371E">
      <w:pPr>
        <w:numPr>
          <w:ilvl w:val="1"/>
          <w:numId w:val="6"/>
        </w:numPr>
        <w:spacing w:after="0"/>
        <w:ind w:left="709" w:hanging="709"/>
        <w:contextualSpacing/>
        <w:rPr>
          <w:rFonts w:eastAsia="Times New Roman"/>
          <w:bCs/>
        </w:rPr>
      </w:pPr>
      <w:r w:rsidRPr="004C371E">
        <w:rPr>
          <w:rFonts w:eastAsia="Times New Roman"/>
          <w:bCs/>
        </w:rPr>
        <w:t>The table lists the allocations announced in July 2021 for 2022/23 compared with the final allocations for 2021/2</w:t>
      </w:r>
      <w:r>
        <w:rPr>
          <w:rFonts w:eastAsia="Times New Roman"/>
          <w:bCs/>
        </w:rPr>
        <w:t>2.</w:t>
      </w:r>
    </w:p>
    <w:p w14:paraId="0DCC73AE" w14:textId="77777777" w:rsidR="004C371E" w:rsidRPr="004C371E" w:rsidRDefault="004C371E" w:rsidP="004C371E">
      <w:pPr>
        <w:spacing w:after="0"/>
        <w:contextualSpacing/>
        <w:rPr>
          <w:rFonts w:eastAsia="Times New Roman"/>
          <w:b/>
          <w:bCs/>
        </w:rPr>
      </w:pPr>
    </w:p>
    <w:tbl>
      <w:tblPr>
        <w:tblStyle w:val="TableGridLight"/>
        <w:tblpPr w:leftFromText="180" w:rightFromText="180" w:vertAnchor="page" w:horzAnchor="margin" w:tblpXSpec="center" w:tblpY="1461"/>
        <w:tblW w:w="7767" w:type="dxa"/>
        <w:tblLook w:val="04A0" w:firstRow="1" w:lastRow="0" w:firstColumn="1" w:lastColumn="0" w:noHBand="0" w:noVBand="1"/>
      </w:tblPr>
      <w:tblGrid>
        <w:gridCol w:w="2835"/>
        <w:gridCol w:w="1560"/>
        <w:gridCol w:w="1417"/>
        <w:gridCol w:w="1955"/>
      </w:tblGrid>
      <w:tr w:rsidR="004C371E" w:rsidRPr="004C371E" w14:paraId="727907AE" w14:textId="77777777" w:rsidTr="004C371E">
        <w:trPr>
          <w:trHeight w:val="870"/>
        </w:trPr>
        <w:tc>
          <w:tcPr>
            <w:tcW w:w="2835" w:type="dxa"/>
            <w:noWrap/>
            <w:hideMark/>
          </w:tcPr>
          <w:p w14:paraId="2020D8ED" w14:textId="77777777" w:rsidR="004C371E" w:rsidRPr="004C371E" w:rsidRDefault="004C371E" w:rsidP="004C371E">
            <w:pP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lastRenderedPageBreak/>
              <w:t xml:space="preserve">DSG Blocks </w:t>
            </w:r>
          </w:p>
          <w:p w14:paraId="272EC587" w14:textId="77777777" w:rsidR="004C371E" w:rsidRPr="004C371E" w:rsidRDefault="004C371E" w:rsidP="004C371E">
            <w:pPr>
              <w:rPr>
                <w:rFonts w:ascii="Calibri" w:eastAsia="Times New Roman" w:hAnsi="Calibri" w:cs="Calibri"/>
                <w:b/>
                <w:bCs/>
                <w:color w:val="000000"/>
                <w:sz w:val="22"/>
                <w:szCs w:val="22"/>
              </w:rPr>
            </w:pPr>
          </w:p>
          <w:p w14:paraId="485CA62E" w14:textId="77777777" w:rsidR="004C371E" w:rsidRPr="004C371E" w:rsidRDefault="004C371E" w:rsidP="004C371E">
            <w:pPr>
              <w:rPr>
                <w:rFonts w:ascii="Calibri" w:eastAsia="Times New Roman" w:hAnsi="Calibri" w:cs="Calibri"/>
                <w:b/>
                <w:bCs/>
                <w:color w:val="000000"/>
                <w:sz w:val="22"/>
                <w:szCs w:val="22"/>
              </w:rPr>
            </w:pPr>
          </w:p>
        </w:tc>
        <w:tc>
          <w:tcPr>
            <w:tcW w:w="1560" w:type="dxa"/>
            <w:hideMark/>
          </w:tcPr>
          <w:p w14:paraId="25602042" w14:textId="77777777" w:rsidR="004C371E" w:rsidRPr="004C371E" w:rsidRDefault="004C371E" w:rsidP="004C371E">
            <w:pPr>
              <w:jc w:val="center"/>
              <w:rPr>
                <w:rFonts w:eastAsia="Times New Roman"/>
                <w:b/>
                <w:bCs/>
                <w:color w:val="000000"/>
                <w:sz w:val="20"/>
                <w:szCs w:val="20"/>
              </w:rPr>
            </w:pPr>
            <w:r w:rsidRPr="004C371E">
              <w:rPr>
                <w:rFonts w:eastAsia="Times New Roman"/>
                <w:b/>
                <w:bCs/>
                <w:color w:val="000000"/>
                <w:sz w:val="20"/>
                <w:szCs w:val="20"/>
              </w:rPr>
              <w:t>2021-2022 allocation</w:t>
            </w:r>
          </w:p>
        </w:tc>
        <w:tc>
          <w:tcPr>
            <w:tcW w:w="1417" w:type="dxa"/>
          </w:tcPr>
          <w:p w14:paraId="73C24CE1" w14:textId="77777777" w:rsidR="004C371E" w:rsidRPr="004C371E" w:rsidRDefault="004C371E" w:rsidP="004C371E">
            <w:pPr>
              <w:jc w:val="center"/>
              <w:rPr>
                <w:rFonts w:ascii="Calibri" w:eastAsia="Times New Roman" w:hAnsi="Calibri" w:cs="Calibri"/>
                <w:color w:val="000000"/>
                <w:sz w:val="22"/>
                <w:szCs w:val="22"/>
              </w:rPr>
            </w:pPr>
            <w:r w:rsidRPr="004C371E">
              <w:rPr>
                <w:rFonts w:ascii="Calibri" w:eastAsia="Times New Roman" w:hAnsi="Calibri" w:cs="Calibri"/>
                <w:color w:val="000000"/>
                <w:sz w:val="22"/>
                <w:szCs w:val="22"/>
              </w:rPr>
              <w:t>movement</w:t>
            </w:r>
          </w:p>
        </w:tc>
        <w:tc>
          <w:tcPr>
            <w:tcW w:w="1955" w:type="dxa"/>
            <w:hideMark/>
          </w:tcPr>
          <w:p w14:paraId="000C49D4"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2022-23 Budget</w:t>
            </w:r>
            <w:r w:rsidRPr="004C371E">
              <w:rPr>
                <w:rFonts w:ascii="Calibri" w:eastAsia="Times New Roman" w:hAnsi="Calibri" w:cs="Calibri"/>
                <w:b/>
                <w:bCs/>
                <w:color w:val="000000"/>
                <w:sz w:val="22"/>
                <w:szCs w:val="22"/>
              </w:rPr>
              <w:br/>
              <w:t xml:space="preserve"> (July 2021)</w:t>
            </w:r>
          </w:p>
        </w:tc>
      </w:tr>
      <w:tr w:rsidR="004C371E" w:rsidRPr="004C371E" w14:paraId="50585B3D" w14:textId="77777777" w:rsidTr="004C371E">
        <w:trPr>
          <w:trHeight w:val="530"/>
        </w:trPr>
        <w:tc>
          <w:tcPr>
            <w:tcW w:w="2835" w:type="dxa"/>
            <w:hideMark/>
          </w:tcPr>
          <w:p w14:paraId="28288ADC" w14:textId="77777777" w:rsidR="004C371E" w:rsidRPr="004C371E" w:rsidRDefault="004C371E" w:rsidP="004C371E">
            <w:pPr>
              <w:rPr>
                <w:rFonts w:eastAsia="Times New Roman"/>
                <w:color w:val="000000"/>
                <w:sz w:val="20"/>
                <w:szCs w:val="20"/>
              </w:rPr>
            </w:pPr>
            <w:r w:rsidRPr="004C371E">
              <w:rPr>
                <w:rFonts w:eastAsia="Times New Roman"/>
                <w:color w:val="000000"/>
                <w:sz w:val="20"/>
                <w:szCs w:val="20"/>
              </w:rPr>
              <w:t>Gross School’s block (£s)</w:t>
            </w:r>
          </w:p>
        </w:tc>
        <w:tc>
          <w:tcPr>
            <w:tcW w:w="1560" w:type="dxa"/>
            <w:noWrap/>
          </w:tcPr>
          <w:p w14:paraId="3663E9B9"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278,633,467</w:t>
            </w:r>
          </w:p>
        </w:tc>
        <w:tc>
          <w:tcPr>
            <w:tcW w:w="1417" w:type="dxa"/>
            <w:noWrap/>
          </w:tcPr>
          <w:p w14:paraId="320A22D8" w14:textId="77777777" w:rsidR="004C371E" w:rsidRPr="004C371E" w:rsidRDefault="004C371E" w:rsidP="004C371E">
            <w:pPr>
              <w:jc w:val="center"/>
              <w:rPr>
                <w:rFonts w:ascii="Calibri" w:eastAsia="Times New Roman" w:hAnsi="Calibri" w:cs="Calibri"/>
                <w:color w:val="000000"/>
                <w:sz w:val="22"/>
                <w:szCs w:val="22"/>
              </w:rPr>
            </w:pPr>
            <w:r w:rsidRPr="004C371E">
              <w:rPr>
                <w:rFonts w:ascii="Calibri" w:eastAsia="Times New Roman" w:hAnsi="Calibri" w:cs="Calibri"/>
                <w:color w:val="000000"/>
                <w:sz w:val="22"/>
                <w:szCs w:val="22"/>
              </w:rPr>
              <w:t xml:space="preserve">4,932,980 </w:t>
            </w:r>
          </w:p>
        </w:tc>
        <w:tc>
          <w:tcPr>
            <w:tcW w:w="1955" w:type="dxa"/>
            <w:noWrap/>
            <w:hideMark/>
          </w:tcPr>
          <w:p w14:paraId="49E77AA1"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283,566,447</w:t>
            </w:r>
          </w:p>
        </w:tc>
      </w:tr>
      <w:tr w:rsidR="004C371E" w:rsidRPr="004C371E" w14:paraId="13C13107" w14:textId="77777777" w:rsidTr="004C371E">
        <w:trPr>
          <w:trHeight w:val="530"/>
        </w:trPr>
        <w:tc>
          <w:tcPr>
            <w:tcW w:w="2835" w:type="dxa"/>
            <w:hideMark/>
          </w:tcPr>
          <w:p w14:paraId="68B10A73" w14:textId="77777777" w:rsidR="004C371E" w:rsidRPr="004C371E" w:rsidRDefault="004C371E" w:rsidP="004C371E">
            <w:pPr>
              <w:rPr>
                <w:rFonts w:eastAsia="Times New Roman"/>
                <w:color w:val="000000"/>
                <w:sz w:val="20"/>
                <w:szCs w:val="20"/>
              </w:rPr>
            </w:pPr>
            <w:r w:rsidRPr="004C371E">
              <w:rPr>
                <w:rFonts w:eastAsia="Times New Roman"/>
                <w:color w:val="000000"/>
                <w:sz w:val="20"/>
                <w:szCs w:val="20"/>
              </w:rPr>
              <w:t>Central school services block (£s)</w:t>
            </w:r>
          </w:p>
        </w:tc>
        <w:tc>
          <w:tcPr>
            <w:tcW w:w="1560" w:type="dxa"/>
            <w:noWrap/>
          </w:tcPr>
          <w:p w14:paraId="6AEACF11"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3,887,172</w:t>
            </w:r>
          </w:p>
        </w:tc>
        <w:tc>
          <w:tcPr>
            <w:tcW w:w="1417" w:type="dxa"/>
            <w:noWrap/>
          </w:tcPr>
          <w:p w14:paraId="4D16B197" w14:textId="77777777" w:rsidR="004C371E" w:rsidRPr="004C371E" w:rsidRDefault="004C371E" w:rsidP="004C371E">
            <w:pPr>
              <w:jc w:val="center"/>
              <w:rPr>
                <w:rFonts w:ascii="Calibri" w:eastAsia="Times New Roman" w:hAnsi="Calibri" w:cs="Calibri"/>
                <w:color w:val="000000"/>
                <w:sz w:val="22"/>
                <w:szCs w:val="22"/>
              </w:rPr>
            </w:pPr>
            <w:r w:rsidRPr="004C371E">
              <w:rPr>
                <w:rFonts w:ascii="Calibri" w:eastAsia="Times New Roman" w:hAnsi="Calibri" w:cs="Calibri"/>
                <w:color w:val="000000"/>
                <w:sz w:val="22"/>
                <w:szCs w:val="22"/>
              </w:rPr>
              <w:t xml:space="preserve">-408,763 </w:t>
            </w:r>
          </w:p>
        </w:tc>
        <w:tc>
          <w:tcPr>
            <w:tcW w:w="1955" w:type="dxa"/>
            <w:noWrap/>
            <w:hideMark/>
          </w:tcPr>
          <w:p w14:paraId="7AA7D5C7"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3,478,409</w:t>
            </w:r>
          </w:p>
        </w:tc>
      </w:tr>
      <w:tr w:rsidR="004C371E" w:rsidRPr="004C371E" w14:paraId="5CFBC856" w14:textId="77777777" w:rsidTr="004C371E">
        <w:trPr>
          <w:trHeight w:val="530"/>
        </w:trPr>
        <w:tc>
          <w:tcPr>
            <w:tcW w:w="2835" w:type="dxa"/>
            <w:hideMark/>
          </w:tcPr>
          <w:p w14:paraId="75828539" w14:textId="77777777" w:rsidR="004C371E" w:rsidRPr="004C371E" w:rsidRDefault="004C371E" w:rsidP="004C371E">
            <w:pPr>
              <w:rPr>
                <w:rFonts w:eastAsia="Times New Roman"/>
                <w:color w:val="000000"/>
                <w:sz w:val="20"/>
                <w:szCs w:val="20"/>
              </w:rPr>
            </w:pPr>
            <w:r w:rsidRPr="004C371E">
              <w:rPr>
                <w:rFonts w:eastAsia="Times New Roman"/>
                <w:color w:val="000000"/>
                <w:sz w:val="20"/>
                <w:szCs w:val="20"/>
              </w:rPr>
              <w:t>Gross High needs block (£s)</w:t>
            </w:r>
          </w:p>
        </w:tc>
        <w:tc>
          <w:tcPr>
            <w:tcW w:w="1560" w:type="dxa"/>
            <w:noWrap/>
          </w:tcPr>
          <w:p w14:paraId="2B3DD7F1"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65,820,299</w:t>
            </w:r>
          </w:p>
        </w:tc>
        <w:tc>
          <w:tcPr>
            <w:tcW w:w="1417" w:type="dxa"/>
            <w:noWrap/>
          </w:tcPr>
          <w:p w14:paraId="7E91F251" w14:textId="77777777" w:rsidR="004C371E" w:rsidRPr="004C371E" w:rsidRDefault="004C371E" w:rsidP="004C371E">
            <w:pPr>
              <w:jc w:val="center"/>
              <w:rPr>
                <w:rFonts w:ascii="Calibri" w:eastAsia="Times New Roman" w:hAnsi="Calibri" w:cs="Calibri"/>
                <w:color w:val="000000"/>
                <w:sz w:val="22"/>
                <w:szCs w:val="22"/>
              </w:rPr>
            </w:pPr>
            <w:r w:rsidRPr="004C371E">
              <w:rPr>
                <w:rFonts w:ascii="Calibri" w:eastAsia="Times New Roman" w:hAnsi="Calibri" w:cs="Calibri"/>
                <w:color w:val="000000"/>
                <w:sz w:val="22"/>
                <w:szCs w:val="22"/>
              </w:rPr>
              <w:t xml:space="preserve">5,733,335 </w:t>
            </w:r>
          </w:p>
        </w:tc>
        <w:tc>
          <w:tcPr>
            <w:tcW w:w="1955" w:type="dxa"/>
            <w:noWrap/>
            <w:hideMark/>
          </w:tcPr>
          <w:p w14:paraId="400A0F5A"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71,553,634</w:t>
            </w:r>
          </w:p>
        </w:tc>
      </w:tr>
      <w:tr w:rsidR="004C371E" w:rsidRPr="004C371E" w14:paraId="182FF656" w14:textId="77777777" w:rsidTr="004C371E">
        <w:trPr>
          <w:trHeight w:val="530"/>
        </w:trPr>
        <w:tc>
          <w:tcPr>
            <w:tcW w:w="2835" w:type="dxa"/>
            <w:hideMark/>
          </w:tcPr>
          <w:p w14:paraId="42416083" w14:textId="77777777" w:rsidR="004C371E" w:rsidRPr="004C371E" w:rsidRDefault="004C371E" w:rsidP="004C371E">
            <w:pPr>
              <w:rPr>
                <w:rFonts w:eastAsia="Times New Roman"/>
                <w:color w:val="000000"/>
                <w:sz w:val="20"/>
                <w:szCs w:val="20"/>
              </w:rPr>
            </w:pPr>
            <w:r w:rsidRPr="004C371E">
              <w:rPr>
                <w:rFonts w:eastAsia="Times New Roman"/>
                <w:color w:val="000000"/>
                <w:sz w:val="20"/>
                <w:szCs w:val="20"/>
              </w:rPr>
              <w:t>Early years block (£s)</w:t>
            </w:r>
          </w:p>
        </w:tc>
        <w:tc>
          <w:tcPr>
            <w:tcW w:w="1560" w:type="dxa"/>
            <w:noWrap/>
          </w:tcPr>
          <w:p w14:paraId="61205030"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31,138,903</w:t>
            </w:r>
          </w:p>
        </w:tc>
        <w:tc>
          <w:tcPr>
            <w:tcW w:w="1417" w:type="dxa"/>
            <w:noWrap/>
          </w:tcPr>
          <w:p w14:paraId="2FB13008" w14:textId="77777777" w:rsidR="004C371E" w:rsidRPr="004C371E" w:rsidRDefault="004C371E" w:rsidP="004C371E">
            <w:pPr>
              <w:jc w:val="center"/>
              <w:rPr>
                <w:rFonts w:ascii="Calibri" w:eastAsia="Times New Roman" w:hAnsi="Calibri" w:cs="Calibri"/>
                <w:color w:val="000000"/>
                <w:sz w:val="22"/>
                <w:szCs w:val="22"/>
              </w:rPr>
            </w:pPr>
            <w:r w:rsidRPr="004C371E">
              <w:rPr>
                <w:rFonts w:ascii="Calibri" w:eastAsia="Times New Roman" w:hAnsi="Calibri" w:cs="Calibri"/>
                <w:color w:val="000000"/>
                <w:sz w:val="22"/>
                <w:szCs w:val="22"/>
              </w:rPr>
              <w:t xml:space="preserve">- </w:t>
            </w:r>
          </w:p>
        </w:tc>
        <w:tc>
          <w:tcPr>
            <w:tcW w:w="1955" w:type="dxa"/>
            <w:noWrap/>
            <w:hideMark/>
          </w:tcPr>
          <w:p w14:paraId="3B8C80A4"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31,138,903</w:t>
            </w:r>
          </w:p>
        </w:tc>
      </w:tr>
      <w:tr w:rsidR="004C371E" w:rsidRPr="004C371E" w14:paraId="28CAE74E" w14:textId="77777777" w:rsidTr="004C371E">
        <w:trPr>
          <w:trHeight w:val="530"/>
        </w:trPr>
        <w:tc>
          <w:tcPr>
            <w:tcW w:w="2835" w:type="dxa"/>
            <w:hideMark/>
          </w:tcPr>
          <w:p w14:paraId="030A0428" w14:textId="77777777" w:rsidR="004C371E" w:rsidRPr="004C371E" w:rsidRDefault="004C371E" w:rsidP="004C371E">
            <w:pPr>
              <w:rPr>
                <w:rFonts w:eastAsia="Times New Roman"/>
                <w:color w:val="000000"/>
                <w:sz w:val="20"/>
                <w:szCs w:val="20"/>
              </w:rPr>
            </w:pPr>
            <w:r w:rsidRPr="004C371E">
              <w:rPr>
                <w:rFonts w:eastAsia="Times New Roman"/>
                <w:color w:val="000000"/>
                <w:sz w:val="20"/>
                <w:szCs w:val="20"/>
              </w:rPr>
              <w:t>Total DSG allocation (£s)</w:t>
            </w:r>
          </w:p>
        </w:tc>
        <w:tc>
          <w:tcPr>
            <w:tcW w:w="1560" w:type="dxa"/>
            <w:noWrap/>
          </w:tcPr>
          <w:p w14:paraId="324E2DE0"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 xml:space="preserve">379,479,841 </w:t>
            </w:r>
          </w:p>
        </w:tc>
        <w:tc>
          <w:tcPr>
            <w:tcW w:w="1417" w:type="dxa"/>
            <w:noWrap/>
          </w:tcPr>
          <w:p w14:paraId="7C42BED1"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 xml:space="preserve">10,257,552 </w:t>
            </w:r>
          </w:p>
        </w:tc>
        <w:tc>
          <w:tcPr>
            <w:tcW w:w="1955" w:type="dxa"/>
            <w:noWrap/>
            <w:hideMark/>
          </w:tcPr>
          <w:p w14:paraId="279F63F8" w14:textId="77777777" w:rsidR="004C371E" w:rsidRPr="004C371E" w:rsidRDefault="004C371E" w:rsidP="004C371E">
            <w:pPr>
              <w:jc w:val="center"/>
              <w:rPr>
                <w:rFonts w:ascii="Calibri" w:eastAsia="Times New Roman" w:hAnsi="Calibri" w:cs="Calibri"/>
                <w:b/>
                <w:bCs/>
                <w:color w:val="000000"/>
                <w:sz w:val="22"/>
                <w:szCs w:val="22"/>
              </w:rPr>
            </w:pPr>
            <w:r w:rsidRPr="004C371E">
              <w:rPr>
                <w:rFonts w:ascii="Calibri" w:eastAsia="Times New Roman" w:hAnsi="Calibri" w:cs="Calibri"/>
                <w:b/>
                <w:bCs/>
                <w:color w:val="000000"/>
                <w:sz w:val="22"/>
                <w:szCs w:val="22"/>
              </w:rPr>
              <w:t>389,737,393</w:t>
            </w:r>
          </w:p>
        </w:tc>
      </w:tr>
    </w:tbl>
    <w:p w14:paraId="45A51560" w14:textId="77777777" w:rsidR="004C371E" w:rsidRPr="004C371E" w:rsidRDefault="004C371E" w:rsidP="004C371E">
      <w:pPr>
        <w:spacing w:after="0"/>
        <w:ind w:left="709"/>
        <w:contextualSpacing/>
        <w:rPr>
          <w:rFonts w:eastAsia="Times New Roman"/>
          <w:bCs/>
        </w:rPr>
      </w:pPr>
    </w:p>
    <w:p w14:paraId="6931DA91" w14:textId="6B9D6E49" w:rsidR="004C371E" w:rsidRDefault="004C371E" w:rsidP="004C371E">
      <w:pPr>
        <w:spacing w:after="0"/>
        <w:ind w:left="709"/>
        <w:contextualSpacing/>
        <w:rPr>
          <w:rFonts w:eastAsia="Times New Roman"/>
          <w:bCs/>
        </w:rPr>
      </w:pPr>
    </w:p>
    <w:p w14:paraId="119CC8FA" w14:textId="46D6EC5F" w:rsidR="004C371E" w:rsidRDefault="004C371E" w:rsidP="004C371E">
      <w:pPr>
        <w:spacing w:after="0"/>
        <w:ind w:left="709"/>
        <w:contextualSpacing/>
        <w:rPr>
          <w:rFonts w:eastAsia="Times New Roman"/>
          <w:bCs/>
        </w:rPr>
      </w:pPr>
    </w:p>
    <w:p w14:paraId="3E36D247" w14:textId="582DB87F" w:rsidR="004C371E" w:rsidRDefault="004C371E" w:rsidP="004C371E">
      <w:pPr>
        <w:spacing w:after="0"/>
        <w:ind w:left="709"/>
        <w:contextualSpacing/>
        <w:rPr>
          <w:rFonts w:eastAsia="Times New Roman"/>
          <w:bCs/>
        </w:rPr>
      </w:pPr>
    </w:p>
    <w:p w14:paraId="6D0BBDA5" w14:textId="76775727" w:rsidR="004C371E" w:rsidRDefault="004C371E" w:rsidP="004C371E">
      <w:pPr>
        <w:spacing w:after="0"/>
        <w:ind w:left="709"/>
        <w:contextualSpacing/>
        <w:rPr>
          <w:rFonts w:eastAsia="Times New Roman"/>
          <w:bCs/>
        </w:rPr>
      </w:pPr>
    </w:p>
    <w:p w14:paraId="5B5768E1" w14:textId="435F675D" w:rsidR="004C371E" w:rsidRDefault="004C371E" w:rsidP="004C371E">
      <w:pPr>
        <w:spacing w:after="0"/>
        <w:ind w:left="709"/>
        <w:contextualSpacing/>
        <w:rPr>
          <w:rFonts w:eastAsia="Times New Roman"/>
          <w:bCs/>
        </w:rPr>
      </w:pPr>
    </w:p>
    <w:p w14:paraId="3E0D3CA4" w14:textId="1CDC41F6" w:rsidR="004C371E" w:rsidRDefault="004C371E" w:rsidP="004C371E">
      <w:pPr>
        <w:spacing w:after="0"/>
        <w:ind w:left="709"/>
        <w:contextualSpacing/>
        <w:rPr>
          <w:rFonts w:eastAsia="Times New Roman"/>
          <w:bCs/>
        </w:rPr>
      </w:pPr>
    </w:p>
    <w:p w14:paraId="48DB40CD" w14:textId="1E51C86C" w:rsidR="004C371E" w:rsidRDefault="004C371E" w:rsidP="004C371E">
      <w:pPr>
        <w:spacing w:after="0"/>
        <w:ind w:left="709"/>
        <w:contextualSpacing/>
        <w:rPr>
          <w:rFonts w:eastAsia="Times New Roman"/>
          <w:bCs/>
        </w:rPr>
      </w:pPr>
    </w:p>
    <w:p w14:paraId="4282A9CE" w14:textId="29B9241F" w:rsidR="004C371E" w:rsidRDefault="004C371E" w:rsidP="004C371E">
      <w:pPr>
        <w:spacing w:after="0"/>
        <w:ind w:left="709"/>
        <w:contextualSpacing/>
        <w:rPr>
          <w:rFonts w:eastAsia="Times New Roman"/>
          <w:bCs/>
        </w:rPr>
      </w:pPr>
    </w:p>
    <w:p w14:paraId="3EAB7C66" w14:textId="53D0254D" w:rsidR="004C371E" w:rsidRDefault="004C371E" w:rsidP="004C371E">
      <w:pPr>
        <w:spacing w:after="0"/>
        <w:ind w:left="709"/>
        <w:contextualSpacing/>
        <w:rPr>
          <w:rFonts w:eastAsia="Times New Roman"/>
          <w:bCs/>
        </w:rPr>
      </w:pPr>
    </w:p>
    <w:p w14:paraId="7333E96A" w14:textId="298E7DAC" w:rsidR="004C371E" w:rsidRDefault="004C371E" w:rsidP="004C371E">
      <w:pPr>
        <w:spacing w:after="0"/>
        <w:ind w:left="709"/>
        <w:contextualSpacing/>
        <w:rPr>
          <w:rFonts w:eastAsia="Times New Roman"/>
          <w:bCs/>
        </w:rPr>
      </w:pPr>
    </w:p>
    <w:p w14:paraId="175280E1" w14:textId="77777777" w:rsidR="004C371E" w:rsidRPr="004C371E" w:rsidRDefault="004C371E" w:rsidP="004C371E">
      <w:pPr>
        <w:spacing w:after="0"/>
        <w:ind w:left="709"/>
        <w:contextualSpacing/>
        <w:rPr>
          <w:rFonts w:eastAsia="Times New Roman"/>
          <w:bCs/>
        </w:rPr>
      </w:pPr>
    </w:p>
    <w:p w14:paraId="389ACC96" w14:textId="7214A776" w:rsidR="004C371E" w:rsidRDefault="004C371E" w:rsidP="004C371E">
      <w:pPr>
        <w:numPr>
          <w:ilvl w:val="1"/>
          <w:numId w:val="6"/>
        </w:numPr>
        <w:spacing w:after="0"/>
        <w:ind w:left="709" w:hanging="709"/>
        <w:contextualSpacing/>
        <w:rPr>
          <w:rFonts w:eastAsia="Times New Roman"/>
          <w:bCs/>
        </w:rPr>
      </w:pPr>
      <w:r w:rsidRPr="004C371E">
        <w:rPr>
          <w:rFonts w:eastAsia="Times New Roman"/>
          <w:bCs/>
        </w:rPr>
        <w:t>Movement between 2022-23 and 2021-22</w:t>
      </w:r>
    </w:p>
    <w:p w14:paraId="25A75D27" w14:textId="77777777" w:rsidR="004C371E" w:rsidRPr="004C371E" w:rsidRDefault="004C371E" w:rsidP="004C371E">
      <w:pPr>
        <w:spacing w:after="0"/>
        <w:ind w:left="709"/>
        <w:contextualSpacing/>
        <w:rPr>
          <w:rFonts w:eastAsia="Times New Roman"/>
          <w:bCs/>
        </w:rPr>
      </w:pPr>
    </w:p>
    <w:p w14:paraId="20AD5FA9" w14:textId="77777777" w:rsidR="004C371E" w:rsidRPr="004C371E" w:rsidRDefault="004C371E" w:rsidP="004C371E">
      <w:pPr>
        <w:numPr>
          <w:ilvl w:val="0"/>
          <w:numId w:val="7"/>
        </w:numPr>
        <w:spacing w:after="0"/>
        <w:ind w:left="723"/>
        <w:contextualSpacing/>
        <w:rPr>
          <w:rFonts w:eastAsia="Times New Roman"/>
          <w:bCs/>
        </w:rPr>
      </w:pPr>
      <w:r w:rsidRPr="004C371E">
        <w:rPr>
          <w:rFonts w:eastAsia="Times New Roman"/>
          <w:bCs/>
        </w:rPr>
        <w:t xml:space="preserve">Schools Block, overall increase of £4,933k (1.8%), this is before the growth fund which will be allocated in the December. Funding indicates a 2.18% increase in our </w:t>
      </w:r>
      <w:proofErr w:type="gramStart"/>
      <w:r w:rsidRPr="004C371E">
        <w:rPr>
          <w:rFonts w:eastAsia="Times New Roman"/>
          <w:bCs/>
        </w:rPr>
        <w:t>schools</w:t>
      </w:r>
      <w:proofErr w:type="gramEnd"/>
      <w:r w:rsidRPr="004C371E">
        <w:rPr>
          <w:rFonts w:eastAsia="Times New Roman"/>
          <w:bCs/>
        </w:rPr>
        <w:t xml:space="preserve"> baseline against a national average of 2.81% so a far tighter distribution than in the last two years  </w:t>
      </w:r>
    </w:p>
    <w:p w14:paraId="363B9C9A" w14:textId="77777777" w:rsidR="004C371E" w:rsidRPr="004C371E" w:rsidRDefault="004C371E" w:rsidP="004C371E">
      <w:pPr>
        <w:spacing w:after="0"/>
        <w:ind w:left="1134"/>
        <w:contextualSpacing/>
        <w:rPr>
          <w:rFonts w:eastAsia="Times New Roman"/>
          <w:bCs/>
        </w:rPr>
      </w:pPr>
    </w:p>
    <w:p w14:paraId="4881D8A1" w14:textId="4661CDAE" w:rsidR="004C371E" w:rsidRPr="004C371E" w:rsidRDefault="004C371E" w:rsidP="004C371E">
      <w:pPr>
        <w:numPr>
          <w:ilvl w:val="0"/>
          <w:numId w:val="7"/>
        </w:numPr>
        <w:spacing w:after="0"/>
        <w:ind w:left="723"/>
        <w:contextualSpacing/>
        <w:rPr>
          <w:rFonts w:eastAsia="Times New Roman"/>
          <w:bCs/>
        </w:rPr>
      </w:pPr>
      <w:r w:rsidRPr="004C371E">
        <w:rPr>
          <w:rFonts w:eastAsia="Times New Roman"/>
          <w:bCs/>
        </w:rPr>
        <w:t xml:space="preserve">The Central Schools Services Block reduction (-10.1%) is due to an ongoing policy or reducing historic commitments by 20% each year. The use of this funding and the support available to Schools will need to be continually reviewed. </w:t>
      </w:r>
    </w:p>
    <w:p w14:paraId="386077A6" w14:textId="77777777" w:rsidR="004C371E" w:rsidRPr="004C371E" w:rsidRDefault="004C371E" w:rsidP="004C371E">
      <w:pPr>
        <w:spacing w:after="0"/>
        <w:ind w:left="720"/>
        <w:contextualSpacing/>
        <w:rPr>
          <w:rFonts w:eastAsia="Times New Roman"/>
          <w:bCs/>
        </w:rPr>
      </w:pPr>
    </w:p>
    <w:p w14:paraId="67DAE901" w14:textId="77777777" w:rsidR="004C371E" w:rsidRPr="004C371E" w:rsidRDefault="004C371E" w:rsidP="004C371E">
      <w:pPr>
        <w:numPr>
          <w:ilvl w:val="0"/>
          <w:numId w:val="7"/>
        </w:numPr>
        <w:spacing w:after="0"/>
        <w:ind w:left="723"/>
        <w:contextualSpacing/>
        <w:rPr>
          <w:rFonts w:eastAsia="Times New Roman"/>
          <w:bCs/>
        </w:rPr>
      </w:pPr>
      <w:r w:rsidRPr="004C371E">
        <w:rPr>
          <w:rFonts w:eastAsia="Times New Roman"/>
          <w:bCs/>
        </w:rPr>
        <w:t>The High Needs Block will continue with an overall 8% increase on the baseline in allocation for the third year. With a national spread between 8 and 11%.  This is to bring the allocations in line with Local Authority actual spending as well as to address the historic deficits that have accrued.</w:t>
      </w:r>
    </w:p>
    <w:p w14:paraId="5429B310" w14:textId="77777777" w:rsidR="004C371E" w:rsidRPr="004C371E" w:rsidRDefault="004C371E" w:rsidP="004C371E">
      <w:pPr>
        <w:spacing w:after="0"/>
        <w:ind w:left="1134"/>
        <w:contextualSpacing/>
        <w:rPr>
          <w:rFonts w:eastAsia="Times New Roman"/>
          <w:bCs/>
        </w:rPr>
      </w:pPr>
    </w:p>
    <w:p w14:paraId="5EC755A3" w14:textId="77777777" w:rsidR="004C371E" w:rsidRPr="004C371E" w:rsidRDefault="004C371E" w:rsidP="004C371E">
      <w:pPr>
        <w:numPr>
          <w:ilvl w:val="0"/>
          <w:numId w:val="7"/>
        </w:numPr>
        <w:spacing w:after="0"/>
        <w:ind w:left="723"/>
        <w:contextualSpacing/>
        <w:rPr>
          <w:rFonts w:eastAsia="Times New Roman"/>
          <w:bCs/>
        </w:rPr>
      </w:pPr>
      <w:r w:rsidRPr="004C371E">
        <w:rPr>
          <w:rFonts w:eastAsia="Times New Roman"/>
          <w:bCs/>
        </w:rPr>
        <w:t>The Early Years Block has yet to be announced.</w:t>
      </w:r>
    </w:p>
    <w:p w14:paraId="202D2C7A" w14:textId="77777777" w:rsidR="004C371E" w:rsidRPr="004C371E" w:rsidRDefault="004C371E" w:rsidP="004C371E">
      <w:pPr>
        <w:spacing w:after="0"/>
        <w:ind w:left="720"/>
        <w:contextualSpacing/>
        <w:rPr>
          <w:rFonts w:eastAsia="Times New Roman"/>
          <w:bCs/>
        </w:rPr>
      </w:pPr>
    </w:p>
    <w:p w14:paraId="00100B22" w14:textId="77777777" w:rsidR="004C371E" w:rsidRPr="004C371E" w:rsidRDefault="004C371E" w:rsidP="004C371E">
      <w:pPr>
        <w:spacing w:after="0"/>
        <w:ind w:left="1134"/>
        <w:contextualSpacing/>
        <w:rPr>
          <w:rFonts w:eastAsia="Times New Roman"/>
          <w:bCs/>
        </w:rPr>
      </w:pPr>
    </w:p>
    <w:p w14:paraId="0287BD6B" w14:textId="47CAE936" w:rsidR="004C371E" w:rsidRPr="004C371E" w:rsidRDefault="004C371E" w:rsidP="00615D1D">
      <w:pPr>
        <w:pStyle w:val="Heading2"/>
        <w:numPr>
          <w:ilvl w:val="0"/>
          <w:numId w:val="6"/>
        </w:numPr>
        <w:ind w:left="284" w:hanging="284"/>
        <w:rPr>
          <w:rFonts w:eastAsia="Times New Roman" w:cs="Times New Roman"/>
        </w:rPr>
      </w:pPr>
      <w:r w:rsidRPr="004C371E">
        <w:rPr>
          <w:rFonts w:eastAsia="Times New Roman"/>
        </w:rPr>
        <w:t>Conclusions</w:t>
      </w:r>
      <w:r w:rsidRPr="004C371E">
        <w:rPr>
          <w:rFonts w:eastAsia="Times New Roman" w:cs="Times New Roman"/>
        </w:rPr>
        <w:t xml:space="preserve"> </w:t>
      </w:r>
    </w:p>
    <w:p w14:paraId="2C7A6FD7" w14:textId="77777777" w:rsidR="004C371E" w:rsidRPr="004C371E" w:rsidRDefault="004C371E" w:rsidP="004C371E">
      <w:pPr>
        <w:spacing w:after="0"/>
        <w:ind w:left="709"/>
        <w:contextualSpacing/>
        <w:rPr>
          <w:rFonts w:eastAsia="Times New Roman" w:cs="Times New Roman"/>
        </w:rPr>
      </w:pPr>
    </w:p>
    <w:p w14:paraId="7021548D" w14:textId="77777777" w:rsidR="004C371E" w:rsidRPr="004C371E" w:rsidRDefault="004C371E" w:rsidP="004C371E">
      <w:pPr>
        <w:spacing w:after="0"/>
        <w:contextualSpacing/>
        <w:rPr>
          <w:rFonts w:eastAsia="Times New Roman" w:cs="Times New Roman"/>
        </w:rPr>
      </w:pPr>
      <w:r w:rsidRPr="004C371E">
        <w:rPr>
          <w:rFonts w:eastAsia="Times New Roman" w:cs="Times New Roman"/>
        </w:rPr>
        <w:t xml:space="preserve">The School Minimum Funding Guarantee (MFG) continues to be set at between 0.5% and 2%. The expectation is that with the Local agreement to continue to fully mirror the national funding formula this will allow budget allocations to schools to be at the higher end of the guarantee. </w:t>
      </w:r>
    </w:p>
    <w:p w14:paraId="49B59DDB" w14:textId="77777777" w:rsidR="004C371E" w:rsidRPr="004C371E" w:rsidRDefault="004C371E" w:rsidP="004C371E">
      <w:pPr>
        <w:spacing w:after="0"/>
        <w:ind w:left="709"/>
        <w:contextualSpacing/>
        <w:rPr>
          <w:rFonts w:eastAsia="Times New Roman" w:cs="Times New Roman"/>
        </w:rPr>
      </w:pPr>
    </w:p>
    <w:p w14:paraId="5775C57B" w14:textId="77777777" w:rsidR="004C371E" w:rsidRPr="004C371E" w:rsidRDefault="004C371E" w:rsidP="004C371E">
      <w:pPr>
        <w:spacing w:after="0"/>
        <w:contextualSpacing/>
        <w:rPr>
          <w:rFonts w:eastAsia="Times New Roman" w:cs="Times New Roman"/>
        </w:rPr>
      </w:pPr>
      <w:r w:rsidRPr="004C371E">
        <w:rPr>
          <w:rFonts w:eastAsia="Times New Roman" w:cs="Times New Roman"/>
        </w:rPr>
        <w:t>The increase in the high needs block is welcome but like the majority of other Local Authorities the pressure continues to be high with the need to address both the ongoing pressure and the repayment of the accrued deficit.</w:t>
      </w:r>
    </w:p>
    <w:p w14:paraId="5C25E13D" w14:textId="77777777" w:rsidR="004C371E" w:rsidRPr="004C371E" w:rsidRDefault="004C371E" w:rsidP="004C371E">
      <w:pPr>
        <w:spacing w:after="0"/>
        <w:ind w:left="709"/>
        <w:contextualSpacing/>
        <w:rPr>
          <w:rFonts w:eastAsia="Times New Roman" w:cs="Times New Roman"/>
        </w:rPr>
      </w:pPr>
    </w:p>
    <w:p w14:paraId="343ECE08" w14:textId="77777777" w:rsidR="004C371E" w:rsidRPr="004C371E" w:rsidRDefault="004C371E" w:rsidP="004C371E">
      <w:pPr>
        <w:spacing w:after="0"/>
        <w:contextualSpacing/>
        <w:rPr>
          <w:rFonts w:eastAsia="Times New Roman" w:cs="Times New Roman"/>
        </w:rPr>
      </w:pPr>
      <w:r w:rsidRPr="004C371E">
        <w:rPr>
          <w:rFonts w:eastAsia="Times New Roman" w:cs="Times New Roman"/>
        </w:rPr>
        <w:t>The CSSB reduction will cause considerable pressure on central services and pressure of the central budget.</w:t>
      </w:r>
    </w:p>
    <w:p w14:paraId="4C4D9987" w14:textId="77777777" w:rsidR="00475045" w:rsidRPr="00475045" w:rsidRDefault="00475045" w:rsidP="00475045">
      <w:pPr>
        <w:spacing w:line="259" w:lineRule="auto"/>
      </w:pPr>
    </w:p>
    <w:sectPr w:rsidR="00475045" w:rsidRPr="00475045" w:rsidSect="004C371E">
      <w:headerReference w:type="defaul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4B72" w14:textId="77777777" w:rsidR="00053357" w:rsidRDefault="00053357" w:rsidP="00101F8B">
      <w:r>
        <w:separator/>
      </w:r>
    </w:p>
    <w:p w14:paraId="42F31839" w14:textId="77777777" w:rsidR="00053357" w:rsidRDefault="00053357" w:rsidP="00101F8B"/>
    <w:p w14:paraId="02F52B50" w14:textId="77777777" w:rsidR="00053357" w:rsidRDefault="00053357" w:rsidP="00101F8B"/>
    <w:p w14:paraId="128B3F0F" w14:textId="77777777" w:rsidR="00053357" w:rsidRDefault="00053357" w:rsidP="00101F8B"/>
    <w:p w14:paraId="02FECF43" w14:textId="77777777" w:rsidR="00053357" w:rsidRDefault="00053357" w:rsidP="00101F8B"/>
    <w:p w14:paraId="0461F949" w14:textId="77777777" w:rsidR="00053357" w:rsidRDefault="00053357" w:rsidP="00101F8B"/>
  </w:endnote>
  <w:endnote w:type="continuationSeparator" w:id="0">
    <w:p w14:paraId="0388C29D" w14:textId="77777777" w:rsidR="00053357" w:rsidRDefault="00053357" w:rsidP="00101F8B">
      <w:r>
        <w:continuationSeparator/>
      </w:r>
    </w:p>
    <w:p w14:paraId="309EBAE2" w14:textId="77777777" w:rsidR="00053357" w:rsidRDefault="00053357" w:rsidP="00101F8B"/>
    <w:p w14:paraId="54742C45" w14:textId="77777777" w:rsidR="00053357" w:rsidRDefault="00053357" w:rsidP="00101F8B"/>
    <w:p w14:paraId="07D32770" w14:textId="77777777" w:rsidR="00053357" w:rsidRDefault="00053357" w:rsidP="00101F8B"/>
    <w:p w14:paraId="4A9CBB65" w14:textId="77777777" w:rsidR="00053357" w:rsidRDefault="00053357" w:rsidP="00101F8B"/>
    <w:p w14:paraId="79CDE502" w14:textId="77777777" w:rsidR="00053357" w:rsidRDefault="0005335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7E71" w14:textId="77777777" w:rsidR="00053357" w:rsidRDefault="00053357" w:rsidP="00101F8B">
      <w:r>
        <w:separator/>
      </w:r>
    </w:p>
    <w:p w14:paraId="00AD9018" w14:textId="77777777" w:rsidR="00053357" w:rsidRDefault="00053357" w:rsidP="00101F8B"/>
    <w:p w14:paraId="1D7D906F" w14:textId="77777777" w:rsidR="00053357" w:rsidRDefault="00053357" w:rsidP="00101F8B"/>
    <w:p w14:paraId="751AB023" w14:textId="77777777" w:rsidR="00053357" w:rsidRDefault="00053357" w:rsidP="00101F8B"/>
    <w:p w14:paraId="1BE434CD" w14:textId="77777777" w:rsidR="00053357" w:rsidRDefault="00053357" w:rsidP="00101F8B"/>
    <w:p w14:paraId="1CCA64EE" w14:textId="77777777" w:rsidR="00053357" w:rsidRDefault="00053357" w:rsidP="00101F8B"/>
  </w:footnote>
  <w:footnote w:type="continuationSeparator" w:id="0">
    <w:p w14:paraId="50048B0D" w14:textId="77777777" w:rsidR="00053357" w:rsidRDefault="00053357" w:rsidP="00101F8B">
      <w:r>
        <w:continuationSeparator/>
      </w:r>
    </w:p>
    <w:p w14:paraId="59575C1F" w14:textId="77777777" w:rsidR="00053357" w:rsidRDefault="00053357" w:rsidP="00101F8B"/>
    <w:p w14:paraId="0775E868" w14:textId="77777777" w:rsidR="00053357" w:rsidRDefault="00053357" w:rsidP="00101F8B"/>
    <w:p w14:paraId="51619AC6" w14:textId="77777777" w:rsidR="00053357" w:rsidRDefault="00053357" w:rsidP="00101F8B"/>
    <w:p w14:paraId="287B723A" w14:textId="77777777" w:rsidR="00053357" w:rsidRDefault="00053357" w:rsidP="00101F8B"/>
    <w:p w14:paraId="22D9DBCF" w14:textId="77777777" w:rsidR="00053357" w:rsidRDefault="0005335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1B8DE87A" w:rsidR="00F05C51" w:rsidRDefault="00615D1D">
        <w:pPr>
          <w:pStyle w:val="Header"/>
        </w:pPr>
        <w:r>
          <w:t>DSG Funding Settlement 2022-23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057F"/>
    <w:multiLevelType w:val="hybridMultilevel"/>
    <w:tmpl w:val="ED78CF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AF00D1"/>
    <w:multiLevelType w:val="multilevel"/>
    <w:tmpl w:val="19A8AED2"/>
    <w:lvl w:ilvl="0">
      <w:start w:val="1"/>
      <w:numFmt w:val="decimal"/>
      <w:lvlText w:val="%1."/>
      <w:lvlJc w:val="left"/>
      <w:pPr>
        <w:ind w:left="720" w:hanging="360"/>
      </w:p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786647"/>
    <w:multiLevelType w:val="multilevel"/>
    <w:tmpl w:val="F0F222E4"/>
    <w:lvl w:ilvl="0">
      <w:start w:val="1"/>
      <w:numFmt w:val="decimal"/>
      <w:lvlText w:val="%1."/>
      <w:lvlJc w:val="left"/>
      <w:pPr>
        <w:ind w:left="1353" w:hanging="360"/>
      </w:pPr>
      <w:rPr>
        <w:rFonts w:hint="default"/>
        <w:b/>
        <w:bCs/>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53357"/>
    <w:rsid w:val="00070438"/>
    <w:rsid w:val="00080CA2"/>
    <w:rsid w:val="000A6597"/>
    <w:rsid w:val="00101F8B"/>
    <w:rsid w:val="00114878"/>
    <w:rsid w:val="001357FA"/>
    <w:rsid w:val="001702A6"/>
    <w:rsid w:val="00173D7C"/>
    <w:rsid w:val="001D5881"/>
    <w:rsid w:val="002609D8"/>
    <w:rsid w:val="00284556"/>
    <w:rsid w:val="00297396"/>
    <w:rsid w:val="00363A4D"/>
    <w:rsid w:val="004362E7"/>
    <w:rsid w:val="004369A3"/>
    <w:rsid w:val="00475045"/>
    <w:rsid w:val="004C371E"/>
    <w:rsid w:val="00534043"/>
    <w:rsid w:val="005E57A5"/>
    <w:rsid w:val="005F24B4"/>
    <w:rsid w:val="00615D1D"/>
    <w:rsid w:val="006A6700"/>
    <w:rsid w:val="00706F60"/>
    <w:rsid w:val="007604B3"/>
    <w:rsid w:val="00774185"/>
    <w:rsid w:val="007A1F89"/>
    <w:rsid w:val="007B40D8"/>
    <w:rsid w:val="007C4F08"/>
    <w:rsid w:val="007C7CCE"/>
    <w:rsid w:val="007E1728"/>
    <w:rsid w:val="008158A3"/>
    <w:rsid w:val="00880FFC"/>
    <w:rsid w:val="008B42DB"/>
    <w:rsid w:val="008B70E7"/>
    <w:rsid w:val="008D6F80"/>
    <w:rsid w:val="0093644A"/>
    <w:rsid w:val="00947F14"/>
    <w:rsid w:val="009E4C47"/>
    <w:rsid w:val="00AA79F3"/>
    <w:rsid w:val="00BA0597"/>
    <w:rsid w:val="00BA63ED"/>
    <w:rsid w:val="00BE6FB3"/>
    <w:rsid w:val="00C967EF"/>
    <w:rsid w:val="00CC4CE1"/>
    <w:rsid w:val="00D82CA3"/>
    <w:rsid w:val="00D93DEF"/>
    <w:rsid w:val="00D9499F"/>
    <w:rsid w:val="00DC0596"/>
    <w:rsid w:val="00DF3C2C"/>
    <w:rsid w:val="00E056E4"/>
    <w:rsid w:val="00F05C51"/>
    <w:rsid w:val="00F27FAC"/>
    <w:rsid w:val="00F5083F"/>
    <w:rsid w:val="00F81947"/>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59"/>
    <w:rsid w:val="0047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0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750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830089"/>
    <w:rsid w:val="00944B7C"/>
    <w:rsid w:val="00CE5774"/>
    <w:rsid w:val="00D107AD"/>
    <w:rsid w:val="00D667EF"/>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Agenda Item 4</vt:lpstr>
    </vt:vector>
  </TitlesOfParts>
  <Company>Tower Hamlets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Funding Settlement 2022-23</dc:title>
  <dc:subject>
  </dc:subject>
  <dc:creator>Mike Pickin</dc:creator>
  <cp:keywords>
  </cp:keywords>
  <dc:description>
  </dc:description>
  <cp:lastModifiedBy>Phillip Nduoyo</cp:lastModifiedBy>
  <cp:revision>3</cp:revision>
  <dcterms:created xsi:type="dcterms:W3CDTF">2022-02-21T13:05:00Z</dcterms:created>
  <dcterms:modified xsi:type="dcterms:W3CDTF">2022-02-21T16:12:00Z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