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0A48C998" w:rsidR="00AA79F3" w:rsidRPr="007C4F08" w:rsidRDefault="00BB0908" w:rsidP="0093644A">
      <w:pPr>
        <w:pStyle w:val="Title"/>
        <w:jc w:val="center"/>
      </w:pPr>
      <w:r>
        <w:drawing>
          <wp:anchor distT="0" distB="0" distL="114300" distR="114300" simplePos="0" relativeHeight="251659264" behindDoc="1" locked="0" layoutInCell="1" allowOverlap="1" wp14:anchorId="75269BB1" wp14:editId="71CFD477">
            <wp:simplePos x="0" y="0"/>
            <wp:positionH relativeFrom="page">
              <wp:align>right</wp:align>
            </wp:positionH>
            <wp:positionV relativeFrom="paragraph">
              <wp:posOffset>-1521460</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935515">
            <w:t>School forum NFF direction</w:t>
          </w:r>
        </w:sdtContent>
      </w:sdt>
    </w:p>
    <w:p w14:paraId="2AC24CBA" w14:textId="34FD8229" w:rsidR="001D5881" w:rsidRPr="00BE6FB3" w:rsidRDefault="00475045" w:rsidP="001D5881">
      <w:pPr>
        <w:pStyle w:val="Heading1"/>
      </w:pPr>
      <w:r>
        <w:t xml:space="preserve">Title of Report: </w:t>
      </w:r>
      <w:r w:rsidR="0094276D">
        <w:t xml:space="preserve">SCHOOLS BALANCES </w:t>
      </w:r>
      <w:r w:rsidR="00EE6A7B">
        <w:t>2020-21</w:t>
      </w:r>
    </w:p>
    <w:p w14:paraId="7B063AA8" w14:textId="77777777" w:rsidR="001D5881" w:rsidRDefault="001D5881" w:rsidP="001D5881">
      <w:pPr>
        <w:pStyle w:val="Heading2"/>
      </w:pPr>
    </w:p>
    <w:p w14:paraId="1CA893E1" w14:textId="71BC73B5" w:rsidR="00475045" w:rsidRDefault="004C371E" w:rsidP="00947F14">
      <w:pPr>
        <w:pStyle w:val="Headersfooters"/>
        <w:rPr>
          <w:b/>
          <w:bCs w:val="0"/>
        </w:rPr>
      </w:pPr>
      <w:r>
        <w:rPr>
          <w:b/>
          <w:bCs w:val="0"/>
        </w:rPr>
        <w:t xml:space="preserve">  </w:t>
      </w:r>
      <w:r w:rsidR="007A1F89" w:rsidRPr="00947F14">
        <w:rPr>
          <w:b/>
          <w:bCs w:val="0"/>
        </w:rPr>
        <w:t>AUTHOR OF THE PAPER:</w:t>
      </w:r>
      <w:r w:rsidR="000341CF">
        <w:rPr>
          <w:b/>
          <w:bCs w:val="0"/>
        </w:rPr>
        <w:t xml:space="preserve"> S Walsingham</w:t>
      </w:r>
      <w:r w:rsidR="007A1F89" w:rsidRPr="00947F14">
        <w:rPr>
          <w:b/>
          <w:bCs w:val="0"/>
        </w:rPr>
        <w:t xml:space="preserve"> </w:t>
      </w:r>
    </w:p>
    <w:p w14:paraId="27464BB9" w14:textId="4ED3B0A1" w:rsidR="004C371E" w:rsidRDefault="004C371E" w:rsidP="00947F14">
      <w:pPr>
        <w:pStyle w:val="Headersfooters"/>
        <w:rPr>
          <w:b/>
          <w:bCs w:val="0"/>
          <w:caps/>
          <w:color w:val="319B31"/>
        </w:rPr>
      </w:pPr>
    </w:p>
    <w:p w14:paraId="2A2BE1B6" w14:textId="027FE6EF" w:rsidR="004C371E" w:rsidRPr="00947F14" w:rsidRDefault="004C371E" w:rsidP="00947F14">
      <w:pPr>
        <w:pStyle w:val="Headersfooters"/>
        <w:rPr>
          <w:b/>
          <w:bCs w:val="0"/>
          <w:caps/>
          <w:color w:val="319B31"/>
        </w:rPr>
      </w:pPr>
      <w:r>
        <w:rPr>
          <w:b/>
        </w:rPr>
        <w:t xml:space="preserve">  </w:t>
      </w:r>
      <w:r w:rsidRPr="00300352">
        <w:rPr>
          <w:b/>
        </w:rPr>
        <w:t>OFFICER TO PRESENT THE PAPER TO SCHOOLS FORUM</w:t>
      </w:r>
      <w:r>
        <w:rPr>
          <w:b/>
        </w:rPr>
        <w:t xml:space="preserve">: </w:t>
      </w:r>
      <w:r w:rsidRPr="004C371E">
        <w:rPr>
          <w:bCs w:val="0"/>
        </w:rPr>
        <w:t>KAY GOODACRE</w:t>
      </w:r>
    </w:p>
    <w:tbl>
      <w:tblPr>
        <w:tblStyle w:val="PlainTable3"/>
        <w:tblW w:w="0" w:type="auto"/>
        <w:tblLook w:val="04A0" w:firstRow="1" w:lastRow="0" w:firstColumn="1" w:lastColumn="0" w:noHBand="0" w:noVBand="1"/>
      </w:tblPr>
      <w:tblGrid>
        <w:gridCol w:w="9010"/>
      </w:tblGrid>
      <w:tr w:rsidR="00475045" w:rsidRPr="00475045" w14:paraId="270EEB57" w14:textId="77777777" w:rsidTr="00947F14">
        <w:trPr>
          <w:cnfStyle w:val="100000000000" w:firstRow="1" w:lastRow="0" w:firstColumn="0" w:lastColumn="0" w:oddVBand="0" w:evenVBand="0" w:oddHBand="0" w:evenHBand="0" w:firstRowFirstColumn="0" w:firstRowLastColumn="0" w:lastRowFirstColumn="0" w:lastRowLastColumn="0"/>
          <w:trHeight w:val="1920"/>
        </w:trPr>
        <w:tc>
          <w:tcPr>
            <w:cnfStyle w:val="001000000100" w:firstRow="0" w:lastRow="0" w:firstColumn="1" w:lastColumn="0" w:oddVBand="0" w:evenVBand="0" w:oddHBand="0" w:evenHBand="0" w:firstRowFirstColumn="1" w:firstRowLastColumn="0" w:lastRowFirstColumn="0" w:lastRowLastColumn="0"/>
            <w:tcW w:w="9010" w:type="dxa"/>
            <w:tcBorders>
              <w:bottom w:val="none" w:sz="0" w:space="0" w:color="auto"/>
              <w:right w:val="none" w:sz="0" w:space="0" w:color="auto"/>
            </w:tcBorders>
          </w:tcPr>
          <w:p w14:paraId="53723A4D" w14:textId="77777777" w:rsidR="004C371E" w:rsidRDefault="004C371E" w:rsidP="00947F14">
            <w:pPr>
              <w:pStyle w:val="Headersfooters"/>
              <w:rPr>
                <w:b w:val="0"/>
                <w:bCs/>
                <w:caps w:val="0"/>
              </w:rPr>
            </w:pPr>
          </w:p>
          <w:p w14:paraId="15B41293" w14:textId="72CC5835" w:rsidR="001565BA" w:rsidRPr="001829E9" w:rsidRDefault="001565BA" w:rsidP="001565BA">
            <w:pPr>
              <w:rPr>
                <w:rFonts w:eastAsia="Times New Roman"/>
                <w:b w:val="0"/>
                <w:bCs w:val="0"/>
              </w:rPr>
            </w:pPr>
            <w:r w:rsidRPr="001829E9">
              <w:rPr>
                <w:caps w:val="0"/>
                <w:sz w:val="20"/>
                <w:szCs w:val="20"/>
              </w:rPr>
              <w:t>DETAILS ON WHO HAS BEEN CONSULTED WITH ON THIS PAPER TO DATE</w:t>
            </w:r>
            <w:r w:rsidRPr="00475045">
              <w:rPr>
                <w:caps w:val="0"/>
              </w:rPr>
              <w:t>:</w:t>
            </w:r>
            <w:r>
              <w:t xml:space="preserve"> </w:t>
            </w:r>
            <w:r w:rsidR="001829E9" w:rsidRPr="001829E9">
              <w:rPr>
                <w:b w:val="0"/>
                <w:bCs w:val="0"/>
              </w:rPr>
              <w:t>K</w:t>
            </w:r>
            <w:r w:rsidRPr="001829E9">
              <w:rPr>
                <w:rFonts w:eastAsia="Times New Roman"/>
                <w:b w:val="0"/>
                <w:bCs w:val="0"/>
                <w:caps w:val="0"/>
                <w:lang w:val="en-US"/>
              </w:rPr>
              <w:t xml:space="preserve">ay </w:t>
            </w:r>
            <w:r w:rsidR="001829E9" w:rsidRPr="001829E9">
              <w:rPr>
                <w:rFonts w:eastAsia="Times New Roman"/>
                <w:b w:val="0"/>
                <w:bCs w:val="0"/>
                <w:caps w:val="0"/>
                <w:lang w:val="en-US"/>
              </w:rPr>
              <w:t>G</w:t>
            </w:r>
            <w:r w:rsidRPr="001829E9">
              <w:rPr>
                <w:rFonts w:eastAsia="Times New Roman"/>
                <w:b w:val="0"/>
                <w:bCs w:val="0"/>
                <w:caps w:val="0"/>
                <w:lang w:val="en-US"/>
              </w:rPr>
              <w:t xml:space="preserve">oodacre, </w:t>
            </w:r>
            <w:r w:rsidR="001829E9" w:rsidRPr="001829E9">
              <w:rPr>
                <w:rFonts w:eastAsia="Times New Roman"/>
                <w:b w:val="0"/>
                <w:bCs w:val="0"/>
                <w:caps w:val="0"/>
                <w:lang w:val="en-US"/>
              </w:rPr>
              <w:t>N</w:t>
            </w:r>
            <w:r w:rsidRPr="001829E9">
              <w:rPr>
                <w:rFonts w:eastAsia="Times New Roman"/>
                <w:b w:val="0"/>
                <w:bCs w:val="0"/>
                <w:caps w:val="0"/>
                <w:lang w:val="en-US"/>
              </w:rPr>
              <w:t xml:space="preserve">ikki </w:t>
            </w:r>
            <w:r w:rsidR="001829E9" w:rsidRPr="001829E9">
              <w:rPr>
                <w:rFonts w:eastAsia="Times New Roman"/>
                <w:b w:val="0"/>
                <w:bCs w:val="0"/>
                <w:caps w:val="0"/>
                <w:lang w:val="en-US"/>
              </w:rPr>
              <w:t>P</w:t>
            </w:r>
            <w:r w:rsidRPr="001829E9">
              <w:rPr>
                <w:rFonts w:eastAsia="Times New Roman"/>
                <w:b w:val="0"/>
                <w:bCs w:val="0"/>
                <w:caps w:val="0"/>
                <w:lang w:val="en-US"/>
              </w:rPr>
              <w:t>arsons</w:t>
            </w:r>
          </w:p>
          <w:p w14:paraId="430F0428" w14:textId="38395477" w:rsidR="00475045" w:rsidRDefault="00475045" w:rsidP="00947F14">
            <w:pPr>
              <w:pStyle w:val="Headersfooters"/>
              <w:rPr>
                <w:b w:val="0"/>
                <w:bCs/>
                <w:caps w:val="0"/>
              </w:rPr>
            </w:pPr>
          </w:p>
          <w:p w14:paraId="2AAF9AFD" w14:textId="77777777" w:rsidR="004C371E" w:rsidRPr="00475045" w:rsidRDefault="004C371E" w:rsidP="00947F14">
            <w:pPr>
              <w:pStyle w:val="Headersfooters"/>
            </w:pPr>
          </w:p>
          <w:p w14:paraId="321F469B" w14:textId="77777777" w:rsidR="00475045" w:rsidRPr="00475045" w:rsidRDefault="00475045" w:rsidP="00475045"/>
          <w:p w14:paraId="74E46B24" w14:textId="33C74F1E" w:rsidR="00475045" w:rsidRDefault="00475045" w:rsidP="00947F14">
            <w:pPr>
              <w:pStyle w:val="Headersfooters"/>
              <w:rPr>
                <w:b w:val="0"/>
                <w:bCs/>
                <w:caps w:val="0"/>
                <w:u w:val="single"/>
              </w:rPr>
            </w:pPr>
            <w:r w:rsidRPr="00947F14">
              <w:rPr>
                <w:u w:val="single"/>
              </w:rPr>
              <w:t>Executive Summary</w:t>
            </w:r>
          </w:p>
          <w:p w14:paraId="0032FACF" w14:textId="77777777" w:rsidR="00947F14" w:rsidRPr="0094156F" w:rsidRDefault="00947F14" w:rsidP="00947F14">
            <w:pPr>
              <w:pStyle w:val="Headersfooters"/>
              <w:rPr>
                <w:b w:val="0"/>
                <w:u w:val="single"/>
              </w:rPr>
            </w:pPr>
          </w:p>
          <w:p w14:paraId="5FD7DB07" w14:textId="707701FC" w:rsidR="008B7FF4" w:rsidRPr="008B7FF4" w:rsidRDefault="008B7FF4" w:rsidP="008B7FF4">
            <w:pPr>
              <w:rPr>
                <w:rFonts w:eastAsia="Times New Roman" w:cs="Times New Roman"/>
                <w:b w:val="0"/>
                <w:bCs w:val="0"/>
              </w:rPr>
            </w:pPr>
            <w:r w:rsidRPr="008B7FF4">
              <w:rPr>
                <w:rFonts w:eastAsia="Times New Roman" w:cs="Times New Roman"/>
                <w:b w:val="0"/>
                <w:bCs w:val="0"/>
                <w:caps w:val="0"/>
              </w:rPr>
              <w:t xml:space="preserve">The purpose of this report is to brief </w:t>
            </w:r>
            <w:r>
              <w:rPr>
                <w:rFonts w:eastAsia="Times New Roman" w:cs="Times New Roman"/>
                <w:b w:val="0"/>
                <w:bCs w:val="0"/>
                <w:caps w:val="0"/>
              </w:rPr>
              <w:t>S</w:t>
            </w:r>
            <w:r w:rsidRPr="008B7FF4">
              <w:rPr>
                <w:rFonts w:eastAsia="Times New Roman" w:cs="Times New Roman"/>
                <w:b w:val="0"/>
                <w:bCs w:val="0"/>
                <w:caps w:val="0"/>
              </w:rPr>
              <w:t xml:space="preserve">chools </w:t>
            </w:r>
            <w:r>
              <w:rPr>
                <w:rFonts w:eastAsia="Times New Roman" w:cs="Times New Roman"/>
                <w:b w:val="0"/>
                <w:bCs w:val="0"/>
                <w:caps w:val="0"/>
              </w:rPr>
              <w:t>F</w:t>
            </w:r>
            <w:r w:rsidRPr="008B7FF4">
              <w:rPr>
                <w:rFonts w:eastAsia="Times New Roman" w:cs="Times New Roman"/>
                <w:b w:val="0"/>
                <w:bCs w:val="0"/>
                <w:caps w:val="0"/>
              </w:rPr>
              <w:t>orum on the future direction of travel</w:t>
            </w:r>
            <w:r w:rsidRPr="008B7FF4">
              <w:rPr>
                <w:rFonts w:eastAsia="Times New Roman" w:cs="Times New Roman"/>
                <w:b w:val="0"/>
                <w:bCs w:val="0"/>
              </w:rPr>
              <w:t xml:space="preserve"> </w:t>
            </w:r>
            <w:r w:rsidRPr="008B7FF4">
              <w:rPr>
                <w:rFonts w:eastAsia="Times New Roman" w:cs="Times New Roman"/>
                <w:b w:val="0"/>
                <w:bCs w:val="0"/>
                <w:caps w:val="0"/>
              </w:rPr>
              <w:t>being consulted upon by the department for education regarding the national funding formula</w:t>
            </w:r>
            <w:r w:rsidRPr="008B7FF4">
              <w:rPr>
                <w:rFonts w:eastAsia="Times New Roman" w:cs="Times New Roman"/>
                <w:b w:val="0"/>
                <w:bCs w:val="0"/>
              </w:rPr>
              <w:t xml:space="preserve">. </w:t>
            </w:r>
          </w:p>
          <w:p w14:paraId="76FA7E4C" w14:textId="77777777" w:rsidR="008B7FF4" w:rsidRPr="008B7FF4" w:rsidRDefault="008B7FF4" w:rsidP="008B7FF4">
            <w:pPr>
              <w:rPr>
                <w:rFonts w:eastAsia="Times New Roman" w:cs="Times New Roman"/>
                <w:b w:val="0"/>
                <w:bCs w:val="0"/>
              </w:rPr>
            </w:pPr>
          </w:p>
          <w:p w14:paraId="02CC29E4" w14:textId="77777777" w:rsidR="008B7FF4" w:rsidRPr="008B7FF4" w:rsidRDefault="008B7FF4" w:rsidP="008B7FF4">
            <w:pPr>
              <w:rPr>
                <w:rFonts w:eastAsia="Times New Roman" w:cs="Times New Roman"/>
                <w:b w:val="0"/>
                <w:bCs w:val="0"/>
              </w:rPr>
            </w:pPr>
          </w:p>
          <w:p w14:paraId="6D6FC21A" w14:textId="38390608" w:rsidR="008B7FF4" w:rsidRPr="008B7FF4" w:rsidRDefault="008B7FF4" w:rsidP="008B7FF4">
            <w:pPr>
              <w:tabs>
                <w:tab w:val="center" w:pos="4153"/>
                <w:tab w:val="right" w:pos="8306"/>
              </w:tabs>
              <w:rPr>
                <w:rFonts w:eastAsia="Times New Roman"/>
                <w:b w:val="0"/>
                <w:bCs w:val="0"/>
              </w:rPr>
            </w:pPr>
            <w:r w:rsidRPr="008B7FF4">
              <w:rPr>
                <w:rFonts w:eastAsia="Times New Roman"/>
                <w:b w:val="0"/>
                <w:bCs w:val="0"/>
                <w:caps w:val="0"/>
              </w:rPr>
              <w:t>Recommendations.</w:t>
            </w:r>
          </w:p>
          <w:p w14:paraId="73765B14" w14:textId="613CBD72" w:rsidR="008B7FF4" w:rsidRPr="008B7FF4" w:rsidRDefault="008B7FF4" w:rsidP="008B7FF4">
            <w:pPr>
              <w:tabs>
                <w:tab w:val="center" w:pos="4153"/>
                <w:tab w:val="right" w:pos="8306"/>
              </w:tabs>
              <w:rPr>
                <w:rFonts w:eastAsia="Times New Roman" w:cs="Times New Roman"/>
                <w:b w:val="0"/>
                <w:bCs w:val="0"/>
              </w:rPr>
            </w:pPr>
            <w:r w:rsidRPr="008B7FF4">
              <w:rPr>
                <w:rFonts w:eastAsia="Times New Roman" w:cs="Times New Roman"/>
                <w:b w:val="0"/>
                <w:bCs w:val="0"/>
                <w:caps w:val="0"/>
              </w:rPr>
              <w:t>Forum is asked to note the contents of the report</w:t>
            </w:r>
            <w:r w:rsidRPr="008B7FF4">
              <w:rPr>
                <w:rFonts w:eastAsia="Times New Roman" w:cs="Times New Roman"/>
                <w:b w:val="0"/>
                <w:bCs w:val="0"/>
              </w:rPr>
              <w:t>.</w:t>
            </w:r>
          </w:p>
          <w:p w14:paraId="69FB7A5A" w14:textId="77777777" w:rsidR="00475045" w:rsidRDefault="00475045" w:rsidP="00481799">
            <w:pPr>
              <w:tabs>
                <w:tab w:val="center" w:pos="4153"/>
                <w:tab w:val="right" w:pos="8306"/>
              </w:tabs>
              <w:rPr>
                <w:rFonts w:eastAsia="Times New Roman" w:cs="Times New Roman"/>
              </w:rPr>
            </w:pPr>
          </w:p>
          <w:p w14:paraId="2B7AF4D2" w14:textId="5BC6857A" w:rsidR="00481799" w:rsidRPr="00475045" w:rsidRDefault="00481799" w:rsidP="00481799">
            <w:pPr>
              <w:tabs>
                <w:tab w:val="center" w:pos="4153"/>
                <w:tab w:val="right" w:pos="8306"/>
              </w:tabs>
            </w:pPr>
          </w:p>
        </w:tc>
      </w:tr>
    </w:tbl>
    <w:p w14:paraId="453A5BF1" w14:textId="28CD64B9" w:rsidR="00352505" w:rsidRPr="00352505" w:rsidRDefault="00935515" w:rsidP="00935515">
      <w:pPr>
        <w:pStyle w:val="Heading2"/>
        <w:rPr>
          <w:rFonts w:eastAsiaTheme="majorEastAsia"/>
        </w:rPr>
      </w:pPr>
      <w:r>
        <w:rPr>
          <w:rFonts w:eastAsiaTheme="majorEastAsia"/>
        </w:rPr>
        <w:br/>
        <w:t xml:space="preserve">1. </w:t>
      </w:r>
      <w:r w:rsidR="00352505" w:rsidRPr="00352505">
        <w:rPr>
          <w:rFonts w:eastAsiaTheme="majorEastAsia"/>
        </w:rPr>
        <w:t>Background</w:t>
      </w:r>
    </w:p>
    <w:p w14:paraId="6AE606D6" w14:textId="77777777" w:rsidR="00352505" w:rsidRPr="00352505" w:rsidRDefault="00352505" w:rsidP="00352505">
      <w:pPr>
        <w:spacing w:after="0"/>
        <w:ind w:left="709"/>
        <w:contextualSpacing/>
        <w:rPr>
          <w:rFonts w:eastAsia="Times New Roman"/>
          <w:b/>
        </w:rPr>
      </w:pPr>
    </w:p>
    <w:p w14:paraId="15A13B3A" w14:textId="77777777" w:rsidR="00352505" w:rsidRPr="00352505" w:rsidRDefault="00352505" w:rsidP="00352505">
      <w:pPr>
        <w:numPr>
          <w:ilvl w:val="1"/>
          <w:numId w:val="6"/>
        </w:numPr>
        <w:spacing w:after="0"/>
        <w:ind w:left="709" w:hanging="709"/>
        <w:contextualSpacing/>
        <w:rPr>
          <w:rFonts w:eastAsia="Times New Roman"/>
          <w:bCs/>
        </w:rPr>
      </w:pPr>
      <w:r w:rsidRPr="00352505">
        <w:rPr>
          <w:rFonts w:eastAsia="Times New Roman"/>
          <w:bCs/>
        </w:rPr>
        <w:t xml:space="preserve">The National Funding Formula (NFF) was first introduced in 2018-19, as a means of implementing an equitable funding system across all local authorities and removing historical funding discrepancies that are no longer relevant or “fair”.  </w:t>
      </w:r>
    </w:p>
    <w:p w14:paraId="6569E0BB" w14:textId="77777777" w:rsidR="00352505" w:rsidRPr="00352505" w:rsidRDefault="00352505" w:rsidP="00352505">
      <w:pPr>
        <w:spacing w:after="0"/>
        <w:ind w:left="709"/>
        <w:contextualSpacing/>
        <w:rPr>
          <w:rFonts w:eastAsia="Times New Roman"/>
          <w:bCs/>
        </w:rPr>
      </w:pPr>
    </w:p>
    <w:p w14:paraId="29DF5CC6" w14:textId="77777777" w:rsidR="00352505" w:rsidRPr="00352505" w:rsidRDefault="00352505" w:rsidP="00352505">
      <w:pPr>
        <w:numPr>
          <w:ilvl w:val="1"/>
          <w:numId w:val="6"/>
        </w:numPr>
        <w:spacing w:after="0"/>
        <w:ind w:left="709" w:hanging="709"/>
        <w:contextualSpacing/>
        <w:rPr>
          <w:rFonts w:eastAsia="Times New Roman"/>
          <w:bCs/>
        </w:rPr>
      </w:pPr>
      <w:r w:rsidRPr="00352505">
        <w:rPr>
          <w:rFonts w:eastAsia="Times New Roman"/>
          <w:bCs/>
        </w:rPr>
        <w:t xml:space="preserve">In July the </w:t>
      </w:r>
      <w:r w:rsidRPr="00352505">
        <w:rPr>
          <w:rFonts w:eastAsia="Times New Roman" w:cs="Times New Roman"/>
        </w:rPr>
        <w:t>Department for Education (</w:t>
      </w:r>
      <w:r w:rsidRPr="00352505">
        <w:rPr>
          <w:rFonts w:eastAsia="Times New Roman"/>
          <w:bCs/>
        </w:rPr>
        <w:t>DFE) published a consultation document on plans for future development, which gives an indication of how they see mainstream school funding developing.</w:t>
      </w:r>
    </w:p>
    <w:p w14:paraId="78F6CE8D" w14:textId="77777777" w:rsidR="00352505" w:rsidRPr="00352505" w:rsidRDefault="00352505" w:rsidP="00352505">
      <w:pPr>
        <w:spacing w:after="0"/>
        <w:rPr>
          <w:rFonts w:eastAsia="Times New Roman"/>
          <w:bCs/>
        </w:rPr>
      </w:pPr>
    </w:p>
    <w:p w14:paraId="2F5EE106" w14:textId="77777777" w:rsidR="00352505" w:rsidRPr="00352505" w:rsidRDefault="00352505" w:rsidP="00352505">
      <w:pPr>
        <w:numPr>
          <w:ilvl w:val="1"/>
          <w:numId w:val="6"/>
        </w:numPr>
        <w:spacing w:after="0"/>
        <w:ind w:left="709" w:hanging="709"/>
        <w:contextualSpacing/>
        <w:rPr>
          <w:rFonts w:eastAsia="Times New Roman"/>
          <w:bCs/>
        </w:rPr>
      </w:pPr>
      <w:r w:rsidRPr="00352505">
        <w:rPr>
          <w:rFonts w:eastAsia="Times New Roman"/>
          <w:bCs/>
        </w:rPr>
        <w:t xml:space="preserve">The consultation sets no deadline for full NFF, as recovery from the pandemic is thought to have long reaching impact.  Choice of factors is not part of the consultation, nor is the Early Years or High Needs Blocks included at this stage.  </w:t>
      </w:r>
    </w:p>
    <w:p w14:paraId="65EB68F0" w14:textId="77777777" w:rsidR="00352505" w:rsidRPr="00352505" w:rsidRDefault="00352505" w:rsidP="00352505">
      <w:pPr>
        <w:spacing w:after="0"/>
        <w:ind w:left="720"/>
        <w:contextualSpacing/>
        <w:rPr>
          <w:rFonts w:eastAsia="Times New Roman"/>
          <w:bCs/>
        </w:rPr>
      </w:pPr>
    </w:p>
    <w:p w14:paraId="13259D27" w14:textId="12720E4E" w:rsidR="00352505" w:rsidRPr="00352505" w:rsidRDefault="00352505" w:rsidP="00352505">
      <w:pPr>
        <w:numPr>
          <w:ilvl w:val="1"/>
          <w:numId w:val="6"/>
        </w:numPr>
        <w:spacing w:after="0"/>
        <w:ind w:left="709" w:hanging="709"/>
        <w:contextualSpacing/>
        <w:rPr>
          <w:rFonts w:eastAsia="Times New Roman"/>
          <w:bCs/>
        </w:rPr>
      </w:pPr>
      <w:r w:rsidRPr="00352505">
        <w:rPr>
          <w:rFonts w:eastAsia="Times New Roman"/>
          <w:bCs/>
        </w:rPr>
        <w:t>The 2021-22 London Borough of Tower Hamlets (LBTH) schools budget uses all NFF factors at the NFF values except for mobility.</w:t>
      </w:r>
      <w:r w:rsidR="00935515">
        <w:rPr>
          <w:rFonts w:eastAsia="Times New Roman"/>
          <w:bCs/>
        </w:rPr>
        <w:br/>
      </w:r>
      <w:r w:rsidR="00935515">
        <w:rPr>
          <w:rFonts w:eastAsia="Times New Roman"/>
          <w:bCs/>
        </w:rPr>
        <w:br/>
      </w:r>
    </w:p>
    <w:p w14:paraId="250A8C1B" w14:textId="77777777" w:rsidR="00352505" w:rsidRPr="00352505" w:rsidRDefault="00352505" w:rsidP="00352505">
      <w:pPr>
        <w:spacing w:after="0"/>
        <w:rPr>
          <w:rFonts w:eastAsia="Times New Roman"/>
          <w:bCs/>
        </w:rPr>
      </w:pPr>
    </w:p>
    <w:p w14:paraId="20AD9E5C" w14:textId="78BF0FD7" w:rsidR="00352505" w:rsidRPr="00352505" w:rsidRDefault="00352505" w:rsidP="00935515">
      <w:pPr>
        <w:pStyle w:val="Heading2"/>
        <w:numPr>
          <w:ilvl w:val="0"/>
          <w:numId w:val="6"/>
        </w:numPr>
        <w:ind w:left="426" w:hanging="426"/>
        <w:rPr>
          <w:rFonts w:eastAsiaTheme="majorEastAsia"/>
        </w:rPr>
      </w:pPr>
      <w:r w:rsidRPr="00352505">
        <w:rPr>
          <w:rFonts w:eastAsiaTheme="majorEastAsia"/>
        </w:rPr>
        <w:lastRenderedPageBreak/>
        <w:t>Main aims and direction of travel Schools Budget</w:t>
      </w:r>
    </w:p>
    <w:p w14:paraId="3FA0EBE4" w14:textId="77777777" w:rsidR="00352505" w:rsidRPr="00352505" w:rsidRDefault="00352505" w:rsidP="00352505">
      <w:pPr>
        <w:spacing w:after="0"/>
        <w:ind w:left="709"/>
        <w:contextualSpacing/>
        <w:rPr>
          <w:rFonts w:eastAsia="Times New Roman"/>
          <w:bCs/>
        </w:rPr>
      </w:pPr>
    </w:p>
    <w:p w14:paraId="1B8653B6" w14:textId="77777777" w:rsidR="00352505" w:rsidRPr="00352505" w:rsidRDefault="00352505" w:rsidP="00352505">
      <w:pPr>
        <w:numPr>
          <w:ilvl w:val="1"/>
          <w:numId w:val="6"/>
        </w:numPr>
        <w:spacing w:after="0"/>
        <w:ind w:left="709" w:hanging="709"/>
        <w:contextualSpacing/>
        <w:rPr>
          <w:rFonts w:eastAsia="Times New Roman"/>
          <w:bCs/>
        </w:rPr>
      </w:pPr>
      <w:r w:rsidRPr="00352505">
        <w:rPr>
          <w:rFonts w:eastAsia="Times New Roman"/>
          <w:bCs/>
        </w:rPr>
        <w:t xml:space="preserve">One overarching proposal is to apply NFF factors to all school funding, transitioning away from allowing locally determined adjustments.  This is very similar to the LBTH position. Mobility is the one factor not included in our local formula, </w:t>
      </w:r>
      <w:proofErr w:type="gramStart"/>
      <w:r w:rsidRPr="00352505">
        <w:rPr>
          <w:rFonts w:eastAsia="Times New Roman"/>
          <w:bCs/>
        </w:rPr>
        <w:t>however</w:t>
      </w:r>
      <w:proofErr w:type="gramEnd"/>
      <w:r w:rsidRPr="00352505">
        <w:rPr>
          <w:rFonts w:eastAsia="Times New Roman"/>
          <w:bCs/>
        </w:rPr>
        <w:t xml:space="preserve"> will be included for 2022/23.  In 2021-22 introducing this would have allocated £137k over 22 schools. </w:t>
      </w:r>
    </w:p>
    <w:p w14:paraId="0B462458" w14:textId="77777777" w:rsidR="00352505" w:rsidRPr="00352505" w:rsidRDefault="00352505" w:rsidP="00352505">
      <w:pPr>
        <w:spacing w:after="0"/>
        <w:ind w:left="709"/>
        <w:contextualSpacing/>
        <w:rPr>
          <w:rFonts w:eastAsia="Times New Roman"/>
          <w:bCs/>
        </w:rPr>
      </w:pPr>
    </w:p>
    <w:p w14:paraId="1CECF26D" w14:textId="77777777" w:rsidR="00352505" w:rsidRPr="00352505" w:rsidRDefault="00352505" w:rsidP="00352505">
      <w:pPr>
        <w:numPr>
          <w:ilvl w:val="1"/>
          <w:numId w:val="6"/>
        </w:numPr>
        <w:spacing w:after="0"/>
        <w:ind w:left="709" w:hanging="709"/>
        <w:contextualSpacing/>
        <w:rPr>
          <w:rFonts w:eastAsia="Times New Roman"/>
          <w:bCs/>
        </w:rPr>
      </w:pPr>
      <w:r w:rsidRPr="00352505">
        <w:rPr>
          <w:rFonts w:eastAsia="Times New Roman"/>
          <w:bCs/>
        </w:rPr>
        <w:t>Guarantees for higher funded authorities:</w:t>
      </w:r>
    </w:p>
    <w:p w14:paraId="491D0AC0" w14:textId="77777777" w:rsidR="00352505" w:rsidRPr="00352505" w:rsidRDefault="00352505" w:rsidP="00352505">
      <w:pPr>
        <w:spacing w:after="0"/>
        <w:ind w:left="720"/>
        <w:contextualSpacing/>
        <w:rPr>
          <w:rFonts w:eastAsia="Times New Roman"/>
          <w:bCs/>
        </w:rPr>
      </w:pPr>
    </w:p>
    <w:p w14:paraId="7A3248B4" w14:textId="77777777" w:rsidR="00352505" w:rsidRPr="00352505" w:rsidRDefault="00352505" w:rsidP="00352505">
      <w:pPr>
        <w:numPr>
          <w:ilvl w:val="0"/>
          <w:numId w:val="10"/>
        </w:numPr>
        <w:spacing w:after="0"/>
        <w:contextualSpacing/>
        <w:rPr>
          <w:rFonts w:eastAsia="Times New Roman"/>
          <w:bCs/>
        </w:rPr>
      </w:pPr>
      <w:r w:rsidRPr="00352505">
        <w:rPr>
          <w:rFonts w:eastAsia="Times New Roman"/>
          <w:bCs/>
        </w:rPr>
        <w:t xml:space="preserve">“Levelling up” rather that reducing higher funding levels.  Some higher funded LA’s have increased the funding rates on existing NFF factors, to ensure the total available is allocated to schools.  Others (including LBTH) apply the NFF rates, with all additional funding allocated via the Minimum Funding Guarantee (MFG) mechanism.  This will extend the historic position per pupil, and suits schools with a reducing proportion </w:t>
      </w:r>
      <w:proofErr w:type="gramStart"/>
      <w:r w:rsidRPr="00352505">
        <w:rPr>
          <w:rFonts w:eastAsia="Times New Roman"/>
          <w:bCs/>
        </w:rPr>
        <w:t>additional needs</w:t>
      </w:r>
      <w:proofErr w:type="gramEnd"/>
      <w:r w:rsidRPr="00352505">
        <w:rPr>
          <w:rFonts w:eastAsia="Times New Roman"/>
          <w:bCs/>
        </w:rPr>
        <w:t>.  It does not protect against a falling roll.</w:t>
      </w:r>
    </w:p>
    <w:p w14:paraId="761C233D" w14:textId="77777777" w:rsidR="00352505" w:rsidRPr="00352505" w:rsidRDefault="00352505" w:rsidP="00352505">
      <w:pPr>
        <w:spacing w:after="0"/>
        <w:ind w:left="720"/>
        <w:contextualSpacing/>
        <w:rPr>
          <w:rFonts w:eastAsia="Times New Roman"/>
          <w:bCs/>
        </w:rPr>
      </w:pPr>
    </w:p>
    <w:p w14:paraId="3080D31F" w14:textId="77777777" w:rsidR="00352505" w:rsidRPr="00352505" w:rsidRDefault="00352505" w:rsidP="00352505">
      <w:pPr>
        <w:numPr>
          <w:ilvl w:val="0"/>
          <w:numId w:val="10"/>
        </w:numPr>
        <w:spacing w:after="0"/>
        <w:contextualSpacing/>
        <w:rPr>
          <w:rFonts w:eastAsia="Times New Roman"/>
          <w:bCs/>
        </w:rPr>
      </w:pPr>
      <w:r w:rsidRPr="00352505">
        <w:rPr>
          <w:rFonts w:eastAsia="Times New Roman"/>
          <w:bCs/>
        </w:rPr>
        <w:t xml:space="preserve">The Area Cost Adjustments will continue, recognising higher costs in London &amp; other metropolitan areas.  </w:t>
      </w:r>
    </w:p>
    <w:p w14:paraId="59301EC2" w14:textId="77777777" w:rsidR="00352505" w:rsidRPr="00352505" w:rsidRDefault="00352505" w:rsidP="00352505">
      <w:pPr>
        <w:spacing w:after="0"/>
        <w:ind w:left="720"/>
        <w:contextualSpacing/>
        <w:rPr>
          <w:rFonts w:eastAsia="Times New Roman"/>
          <w:bCs/>
        </w:rPr>
      </w:pPr>
    </w:p>
    <w:p w14:paraId="2618D1CB" w14:textId="77777777" w:rsidR="00352505" w:rsidRPr="00352505" w:rsidRDefault="00352505" w:rsidP="00352505">
      <w:pPr>
        <w:numPr>
          <w:ilvl w:val="1"/>
          <w:numId w:val="6"/>
        </w:numPr>
        <w:spacing w:after="0"/>
        <w:ind w:left="709" w:hanging="709"/>
        <w:contextualSpacing/>
        <w:rPr>
          <w:rFonts w:eastAsia="Times New Roman"/>
          <w:bCs/>
        </w:rPr>
      </w:pPr>
      <w:r w:rsidRPr="00352505">
        <w:rPr>
          <w:rFonts w:eastAsia="Times New Roman"/>
          <w:bCs/>
        </w:rPr>
        <w:t>Review of factors based on historic spending, specifically additional funding for:</w:t>
      </w:r>
    </w:p>
    <w:p w14:paraId="21352001" w14:textId="77777777" w:rsidR="00352505" w:rsidRPr="00352505" w:rsidRDefault="00352505" w:rsidP="00352505">
      <w:pPr>
        <w:numPr>
          <w:ilvl w:val="2"/>
          <w:numId w:val="6"/>
        </w:numPr>
        <w:spacing w:after="0"/>
        <w:contextualSpacing/>
        <w:rPr>
          <w:rFonts w:eastAsia="Times New Roman"/>
          <w:bCs/>
        </w:rPr>
      </w:pPr>
      <w:r w:rsidRPr="00352505">
        <w:rPr>
          <w:rFonts w:eastAsia="Times New Roman"/>
          <w:bCs/>
        </w:rPr>
        <w:t>PFI schools, (19 schools)</w:t>
      </w:r>
    </w:p>
    <w:p w14:paraId="0E19963D" w14:textId="77777777" w:rsidR="00352505" w:rsidRPr="00352505" w:rsidRDefault="00352505" w:rsidP="00352505">
      <w:pPr>
        <w:numPr>
          <w:ilvl w:val="2"/>
          <w:numId w:val="6"/>
        </w:numPr>
        <w:spacing w:after="0"/>
        <w:contextualSpacing/>
        <w:rPr>
          <w:rFonts w:eastAsia="Times New Roman"/>
          <w:bCs/>
        </w:rPr>
      </w:pPr>
      <w:r w:rsidRPr="00352505">
        <w:rPr>
          <w:rFonts w:eastAsia="Times New Roman"/>
          <w:bCs/>
        </w:rPr>
        <w:t xml:space="preserve">split site schools (3 schools), and </w:t>
      </w:r>
    </w:p>
    <w:p w14:paraId="06A56DC4" w14:textId="77777777" w:rsidR="00352505" w:rsidRPr="00352505" w:rsidRDefault="00352505" w:rsidP="00352505">
      <w:pPr>
        <w:numPr>
          <w:ilvl w:val="2"/>
          <w:numId w:val="6"/>
        </w:numPr>
        <w:spacing w:after="0"/>
        <w:contextualSpacing/>
        <w:rPr>
          <w:rFonts w:eastAsia="Times New Roman"/>
          <w:bCs/>
        </w:rPr>
      </w:pPr>
      <w:r w:rsidRPr="00352505">
        <w:rPr>
          <w:rFonts w:eastAsia="Times New Roman"/>
          <w:bCs/>
        </w:rPr>
        <w:t xml:space="preserve">costs relating to ‘exceptional circumstances’ (4 schools) </w:t>
      </w:r>
    </w:p>
    <w:p w14:paraId="1370B63F" w14:textId="77777777" w:rsidR="00352505" w:rsidRPr="00352505" w:rsidRDefault="00352505" w:rsidP="00352505">
      <w:pPr>
        <w:spacing w:after="0"/>
        <w:ind w:left="709"/>
        <w:contextualSpacing/>
        <w:rPr>
          <w:rFonts w:eastAsia="Times New Roman"/>
          <w:bCs/>
        </w:rPr>
      </w:pPr>
    </w:p>
    <w:p w14:paraId="660C51A5" w14:textId="77777777" w:rsidR="00352505" w:rsidRPr="00352505" w:rsidRDefault="00352505" w:rsidP="00352505">
      <w:pPr>
        <w:spacing w:after="0"/>
        <w:ind w:left="709"/>
        <w:contextualSpacing/>
        <w:rPr>
          <w:rFonts w:eastAsia="Times New Roman"/>
          <w:bCs/>
        </w:rPr>
      </w:pPr>
      <w:r w:rsidRPr="00352505">
        <w:rPr>
          <w:rFonts w:eastAsia="Times New Roman"/>
          <w:bCs/>
        </w:rPr>
        <w:t>LBTH allocated £3.3mill to these categories in 2021-22,</w:t>
      </w:r>
    </w:p>
    <w:p w14:paraId="01A52114" w14:textId="77777777" w:rsidR="00352505" w:rsidRPr="00352505" w:rsidRDefault="00352505" w:rsidP="00352505">
      <w:pPr>
        <w:spacing w:after="0"/>
        <w:ind w:left="709"/>
        <w:contextualSpacing/>
        <w:rPr>
          <w:rFonts w:eastAsia="Times New Roman"/>
          <w:bCs/>
        </w:rPr>
      </w:pPr>
    </w:p>
    <w:p w14:paraId="36F2B297" w14:textId="77777777" w:rsidR="00352505" w:rsidRPr="00352505" w:rsidRDefault="00352505" w:rsidP="00352505">
      <w:pPr>
        <w:numPr>
          <w:ilvl w:val="1"/>
          <w:numId w:val="6"/>
        </w:numPr>
        <w:spacing w:after="0"/>
        <w:ind w:left="709" w:hanging="709"/>
        <w:contextualSpacing/>
        <w:rPr>
          <w:rFonts w:eastAsia="Times New Roman"/>
          <w:bCs/>
        </w:rPr>
      </w:pPr>
      <w:r w:rsidRPr="00352505">
        <w:rPr>
          <w:rFonts w:eastAsia="Times New Roman"/>
          <w:bCs/>
        </w:rPr>
        <w:t xml:space="preserve">Growth and Falling roll funding will be standardised, with the DFE collecting local consistent forecasts from </w:t>
      </w:r>
      <w:proofErr w:type="gramStart"/>
      <w:r w:rsidRPr="00352505">
        <w:rPr>
          <w:rFonts w:eastAsia="Times New Roman"/>
          <w:bCs/>
        </w:rPr>
        <w:t>LA’s</w:t>
      </w:r>
      <w:proofErr w:type="gramEnd"/>
      <w:r w:rsidRPr="00352505">
        <w:rPr>
          <w:rFonts w:eastAsia="Times New Roman"/>
          <w:bCs/>
        </w:rPr>
        <w:t xml:space="preserve"> of increased basic need, new and growing schools.  A </w:t>
      </w:r>
      <w:proofErr w:type="gramStart"/>
      <w:r w:rsidRPr="00352505">
        <w:rPr>
          <w:rFonts w:eastAsia="Times New Roman"/>
          <w:bCs/>
        </w:rPr>
        <w:t>national criteria</w:t>
      </w:r>
      <w:proofErr w:type="gramEnd"/>
      <w:r w:rsidRPr="00352505">
        <w:rPr>
          <w:rFonts w:eastAsia="Times New Roman"/>
          <w:bCs/>
        </w:rPr>
        <w:t xml:space="preserve"> would be established applying to all LA’s.  For schools with a falling roll (using the current criteria), a similar data collection process would take place.  </w:t>
      </w:r>
    </w:p>
    <w:p w14:paraId="17BA18C9" w14:textId="77777777" w:rsidR="00352505" w:rsidRPr="00352505" w:rsidRDefault="00352505" w:rsidP="00352505">
      <w:pPr>
        <w:spacing w:after="0"/>
        <w:ind w:left="709"/>
        <w:contextualSpacing/>
        <w:rPr>
          <w:rFonts w:eastAsia="Times New Roman"/>
          <w:bCs/>
        </w:rPr>
      </w:pPr>
    </w:p>
    <w:p w14:paraId="5955925D" w14:textId="77777777" w:rsidR="00352505" w:rsidRPr="00352505" w:rsidRDefault="00352505" w:rsidP="00352505">
      <w:pPr>
        <w:numPr>
          <w:ilvl w:val="1"/>
          <w:numId w:val="6"/>
        </w:numPr>
        <w:spacing w:after="0"/>
        <w:ind w:left="709" w:hanging="709"/>
        <w:contextualSpacing/>
        <w:rPr>
          <w:rFonts w:eastAsia="Times New Roman"/>
          <w:bCs/>
        </w:rPr>
      </w:pPr>
      <w:r w:rsidRPr="00352505">
        <w:rPr>
          <w:rFonts w:eastAsia="Times New Roman"/>
          <w:bCs/>
        </w:rPr>
        <w:t xml:space="preserve">The timetable for implementation will be gradual, commencing in 2023-24.  However, </w:t>
      </w:r>
      <w:r w:rsidRPr="00352505">
        <w:rPr>
          <w:rFonts w:eastAsia="Times New Roman" w:cs="Times New Roman"/>
          <w:sz w:val="23"/>
          <w:szCs w:val="23"/>
        </w:rPr>
        <w:t>LAs will be required to bring their local formula factor values 10% closer to the NFF from 2023-24.</w:t>
      </w:r>
    </w:p>
    <w:p w14:paraId="42DCCE3B" w14:textId="77777777" w:rsidR="00352505" w:rsidRPr="00352505" w:rsidRDefault="00352505" w:rsidP="00352505">
      <w:pPr>
        <w:spacing w:after="0"/>
        <w:ind w:left="720"/>
        <w:contextualSpacing/>
        <w:rPr>
          <w:rFonts w:eastAsia="Times New Roman"/>
          <w:bCs/>
        </w:rPr>
      </w:pPr>
    </w:p>
    <w:p w14:paraId="2BE07C1C" w14:textId="77777777" w:rsidR="00352505" w:rsidRPr="00352505" w:rsidRDefault="00352505" w:rsidP="00352505">
      <w:pPr>
        <w:numPr>
          <w:ilvl w:val="1"/>
          <w:numId w:val="6"/>
        </w:numPr>
        <w:spacing w:after="0"/>
        <w:ind w:left="709" w:hanging="709"/>
        <w:contextualSpacing/>
        <w:rPr>
          <w:rFonts w:eastAsia="Times New Roman"/>
          <w:bCs/>
        </w:rPr>
      </w:pPr>
      <w:r w:rsidRPr="00352505">
        <w:rPr>
          <w:rFonts w:eastAsia="Times New Roman"/>
          <w:bCs/>
        </w:rPr>
        <w:t>The current additional flexibility for LAs in the EAL factor, relating to how many years a pupil has been in the school system, could be removed from 2023-24.</w:t>
      </w:r>
    </w:p>
    <w:p w14:paraId="5E060D5F" w14:textId="77777777" w:rsidR="00352505" w:rsidRPr="00352505" w:rsidRDefault="00352505" w:rsidP="00352505">
      <w:pPr>
        <w:spacing w:after="0"/>
        <w:ind w:left="720"/>
        <w:contextualSpacing/>
        <w:rPr>
          <w:rFonts w:eastAsia="Times New Roman"/>
          <w:bCs/>
        </w:rPr>
      </w:pPr>
    </w:p>
    <w:p w14:paraId="7685E1C1" w14:textId="58E8F4AF" w:rsidR="00352505" w:rsidRPr="00352505" w:rsidRDefault="00352505" w:rsidP="00352505">
      <w:pPr>
        <w:numPr>
          <w:ilvl w:val="1"/>
          <w:numId w:val="6"/>
        </w:numPr>
        <w:spacing w:after="0"/>
        <w:ind w:left="709" w:hanging="709"/>
        <w:contextualSpacing/>
        <w:rPr>
          <w:rFonts w:eastAsia="Times New Roman"/>
          <w:bCs/>
        </w:rPr>
      </w:pPr>
      <w:r w:rsidRPr="00352505">
        <w:rPr>
          <w:rFonts w:eastAsia="Times New Roman"/>
          <w:bCs/>
        </w:rPr>
        <w:t>Consideration of the Multi Academy Trust’s (MAT) pooling of funding arrangement extending to the maintained sector will not be implemented.  This is consistent with the long-term aim for all schools to part of a strong MAT</w:t>
      </w:r>
      <w:r>
        <w:rPr>
          <w:rFonts w:eastAsia="Times New Roman"/>
          <w:bCs/>
        </w:rPr>
        <w:t>.</w:t>
      </w:r>
    </w:p>
    <w:p w14:paraId="09328EDF" w14:textId="0E0BFEC1" w:rsidR="00352505" w:rsidRPr="00352505" w:rsidRDefault="00352505" w:rsidP="00935515">
      <w:pPr>
        <w:pStyle w:val="Heading2"/>
        <w:numPr>
          <w:ilvl w:val="0"/>
          <w:numId w:val="6"/>
        </w:numPr>
        <w:ind w:left="284" w:hanging="284"/>
        <w:rPr>
          <w:rFonts w:eastAsiaTheme="majorEastAsia"/>
        </w:rPr>
      </w:pPr>
      <w:r w:rsidRPr="00352505">
        <w:rPr>
          <w:rFonts w:eastAsiaTheme="majorEastAsia"/>
        </w:rPr>
        <w:lastRenderedPageBreak/>
        <w:t>Main aims Central Schools Services Budget (CSSB)</w:t>
      </w:r>
    </w:p>
    <w:p w14:paraId="739FA7E6" w14:textId="77777777" w:rsidR="00352505" w:rsidRPr="00352505" w:rsidRDefault="00352505" w:rsidP="00352505">
      <w:pPr>
        <w:autoSpaceDE w:val="0"/>
        <w:autoSpaceDN w:val="0"/>
        <w:adjustRightInd w:val="0"/>
        <w:spacing w:after="0"/>
        <w:rPr>
          <w:rFonts w:eastAsiaTheme="minorHAnsi"/>
          <w:color w:val="000000"/>
          <w:lang w:eastAsia="en-US"/>
        </w:rPr>
      </w:pPr>
    </w:p>
    <w:tbl>
      <w:tblPr>
        <w:tblStyle w:val="TableGrid1"/>
        <w:tblW w:w="9259" w:type="dxa"/>
        <w:tblLook w:val="04A0" w:firstRow="1" w:lastRow="0" w:firstColumn="1" w:lastColumn="0" w:noHBand="0" w:noVBand="1"/>
      </w:tblPr>
      <w:tblGrid>
        <w:gridCol w:w="5359"/>
        <w:gridCol w:w="2007"/>
        <w:gridCol w:w="1886"/>
        <w:gridCol w:w="7"/>
      </w:tblGrid>
      <w:tr w:rsidR="00352505" w:rsidRPr="00352505" w14:paraId="5074718A" w14:textId="77777777" w:rsidTr="00EE55EB">
        <w:tc>
          <w:tcPr>
            <w:tcW w:w="5359" w:type="dxa"/>
          </w:tcPr>
          <w:p w14:paraId="4EF906CF" w14:textId="77777777" w:rsidR="00352505" w:rsidRPr="00352505" w:rsidRDefault="00352505" w:rsidP="00352505">
            <w:pPr>
              <w:autoSpaceDE w:val="0"/>
              <w:autoSpaceDN w:val="0"/>
              <w:adjustRightInd w:val="0"/>
              <w:rPr>
                <w:rFonts w:eastAsia="Times New Roman"/>
                <w:b/>
                <w:bCs/>
                <w:color w:val="000000"/>
                <w:sz w:val="23"/>
                <w:szCs w:val="23"/>
              </w:rPr>
            </w:pPr>
            <w:r w:rsidRPr="00352505">
              <w:rPr>
                <w:rFonts w:eastAsia="Times New Roman"/>
                <w:b/>
                <w:bCs/>
                <w:color w:val="000000"/>
                <w:sz w:val="23"/>
                <w:szCs w:val="23"/>
              </w:rPr>
              <w:t>Budget categories</w:t>
            </w:r>
          </w:p>
        </w:tc>
        <w:tc>
          <w:tcPr>
            <w:tcW w:w="2007" w:type="dxa"/>
          </w:tcPr>
          <w:p w14:paraId="42870E89" w14:textId="77777777" w:rsidR="00352505" w:rsidRPr="00352505" w:rsidRDefault="00352505" w:rsidP="00352505">
            <w:pPr>
              <w:autoSpaceDE w:val="0"/>
              <w:autoSpaceDN w:val="0"/>
              <w:adjustRightInd w:val="0"/>
              <w:jc w:val="center"/>
              <w:rPr>
                <w:rFonts w:eastAsia="Times New Roman"/>
                <w:b/>
                <w:bCs/>
                <w:color w:val="000000"/>
                <w:sz w:val="23"/>
                <w:szCs w:val="23"/>
              </w:rPr>
            </w:pPr>
            <w:r w:rsidRPr="00352505">
              <w:rPr>
                <w:rFonts w:eastAsia="Times New Roman"/>
                <w:b/>
                <w:bCs/>
                <w:color w:val="000000"/>
                <w:sz w:val="23"/>
                <w:szCs w:val="23"/>
              </w:rPr>
              <w:t>Maintained schools</w:t>
            </w:r>
          </w:p>
        </w:tc>
        <w:tc>
          <w:tcPr>
            <w:tcW w:w="1893" w:type="dxa"/>
            <w:gridSpan w:val="2"/>
          </w:tcPr>
          <w:p w14:paraId="524587B8" w14:textId="77777777" w:rsidR="00352505" w:rsidRPr="00352505" w:rsidRDefault="00352505" w:rsidP="00352505">
            <w:pPr>
              <w:autoSpaceDE w:val="0"/>
              <w:autoSpaceDN w:val="0"/>
              <w:adjustRightInd w:val="0"/>
              <w:jc w:val="center"/>
              <w:rPr>
                <w:rFonts w:eastAsia="Times New Roman"/>
                <w:b/>
                <w:bCs/>
                <w:color w:val="000000"/>
                <w:sz w:val="23"/>
                <w:szCs w:val="23"/>
              </w:rPr>
            </w:pPr>
            <w:r w:rsidRPr="00352505">
              <w:rPr>
                <w:rFonts w:eastAsia="Times New Roman"/>
                <w:b/>
                <w:bCs/>
                <w:color w:val="000000"/>
                <w:sz w:val="23"/>
                <w:szCs w:val="23"/>
              </w:rPr>
              <w:t>Academy / Free school</w:t>
            </w:r>
          </w:p>
        </w:tc>
      </w:tr>
      <w:tr w:rsidR="00352505" w:rsidRPr="00352505" w14:paraId="416C7150" w14:textId="77777777" w:rsidTr="00EE55EB">
        <w:tc>
          <w:tcPr>
            <w:tcW w:w="5359" w:type="dxa"/>
            <w:vAlign w:val="center"/>
          </w:tcPr>
          <w:p w14:paraId="1E3490DA" w14:textId="77777777" w:rsidR="00352505" w:rsidRPr="00352505" w:rsidRDefault="00352505" w:rsidP="00352505">
            <w:pPr>
              <w:numPr>
                <w:ilvl w:val="1"/>
                <w:numId w:val="10"/>
              </w:numPr>
              <w:autoSpaceDE w:val="0"/>
              <w:autoSpaceDN w:val="0"/>
              <w:adjustRightInd w:val="0"/>
              <w:ind w:left="316"/>
              <w:rPr>
                <w:rFonts w:eastAsia="Times New Roman"/>
                <w:color w:val="000000"/>
                <w:sz w:val="23"/>
                <w:szCs w:val="23"/>
              </w:rPr>
            </w:pPr>
            <w:r w:rsidRPr="00352505">
              <w:rPr>
                <w:rFonts w:eastAsia="Times New Roman"/>
                <w:color w:val="000000"/>
                <w:sz w:val="23"/>
                <w:szCs w:val="23"/>
              </w:rPr>
              <w:t>Ongoing responsibilities</w:t>
            </w:r>
          </w:p>
        </w:tc>
        <w:tc>
          <w:tcPr>
            <w:tcW w:w="2007" w:type="dxa"/>
            <w:vAlign w:val="center"/>
          </w:tcPr>
          <w:p w14:paraId="61A5CD3D" w14:textId="77777777" w:rsidR="00352505" w:rsidRPr="00352505" w:rsidRDefault="00352505" w:rsidP="00352505">
            <w:pPr>
              <w:jc w:val="center"/>
              <w:rPr>
                <w:rFonts w:ascii="Webdings" w:eastAsia="Times New Roman" w:hAnsi="Webdings" w:cs="Times New Roman"/>
              </w:rPr>
            </w:pPr>
            <w:r w:rsidRPr="00352505">
              <w:rPr>
                <w:rFonts w:ascii="Webdings" w:eastAsia="Times New Roman" w:hAnsi="Webdings" w:cs="Times New Roman"/>
              </w:rPr>
              <w:t>a</w:t>
            </w:r>
          </w:p>
        </w:tc>
        <w:tc>
          <w:tcPr>
            <w:tcW w:w="1893" w:type="dxa"/>
            <w:gridSpan w:val="2"/>
            <w:vAlign w:val="center"/>
          </w:tcPr>
          <w:p w14:paraId="30BF9964" w14:textId="77777777" w:rsidR="00352505" w:rsidRPr="00352505" w:rsidRDefault="00352505" w:rsidP="00352505">
            <w:pPr>
              <w:jc w:val="center"/>
              <w:rPr>
                <w:rFonts w:ascii="Webdings" w:eastAsia="Times New Roman" w:hAnsi="Webdings" w:cs="Times New Roman"/>
              </w:rPr>
            </w:pPr>
            <w:r w:rsidRPr="00352505">
              <w:rPr>
                <w:rFonts w:ascii="Webdings" w:eastAsia="Times New Roman" w:hAnsi="Webdings" w:cs="Times New Roman"/>
              </w:rPr>
              <w:t>a</w:t>
            </w:r>
          </w:p>
        </w:tc>
      </w:tr>
      <w:tr w:rsidR="00352505" w:rsidRPr="00352505" w14:paraId="4B5DF5EE" w14:textId="77777777" w:rsidTr="00EE55EB">
        <w:tc>
          <w:tcPr>
            <w:tcW w:w="5359" w:type="dxa"/>
          </w:tcPr>
          <w:p w14:paraId="7843D7AF" w14:textId="77777777" w:rsidR="00352505" w:rsidRPr="00352505" w:rsidRDefault="00352505" w:rsidP="00352505">
            <w:pPr>
              <w:numPr>
                <w:ilvl w:val="1"/>
                <w:numId w:val="10"/>
              </w:numPr>
              <w:autoSpaceDE w:val="0"/>
              <w:autoSpaceDN w:val="0"/>
              <w:adjustRightInd w:val="0"/>
              <w:ind w:left="316"/>
              <w:rPr>
                <w:rFonts w:eastAsia="Times New Roman"/>
                <w:color w:val="000000"/>
                <w:sz w:val="23"/>
                <w:szCs w:val="23"/>
              </w:rPr>
            </w:pPr>
            <w:r w:rsidRPr="00352505">
              <w:rPr>
                <w:rFonts w:eastAsia="Times New Roman"/>
                <w:color w:val="000000"/>
                <w:sz w:val="23"/>
                <w:szCs w:val="23"/>
              </w:rPr>
              <w:t>De-delegated central functions</w:t>
            </w:r>
          </w:p>
        </w:tc>
        <w:tc>
          <w:tcPr>
            <w:tcW w:w="2007" w:type="dxa"/>
            <w:vAlign w:val="center"/>
          </w:tcPr>
          <w:p w14:paraId="5DB65BAB" w14:textId="77777777" w:rsidR="00352505" w:rsidRPr="00352505" w:rsidRDefault="00352505" w:rsidP="00352505">
            <w:pPr>
              <w:autoSpaceDE w:val="0"/>
              <w:autoSpaceDN w:val="0"/>
              <w:adjustRightInd w:val="0"/>
              <w:jc w:val="center"/>
              <w:rPr>
                <w:rFonts w:eastAsia="Times New Roman"/>
                <w:b/>
                <w:bCs/>
                <w:color w:val="000000"/>
                <w:sz w:val="23"/>
                <w:szCs w:val="23"/>
              </w:rPr>
            </w:pPr>
            <w:r w:rsidRPr="00352505">
              <w:rPr>
                <w:rFonts w:ascii="Webdings" w:eastAsia="Times New Roman" w:hAnsi="Webdings"/>
                <w:color w:val="000000"/>
              </w:rPr>
              <w:t>a</w:t>
            </w:r>
          </w:p>
        </w:tc>
        <w:tc>
          <w:tcPr>
            <w:tcW w:w="1893" w:type="dxa"/>
            <w:gridSpan w:val="2"/>
            <w:vAlign w:val="center"/>
          </w:tcPr>
          <w:p w14:paraId="37E79C24" w14:textId="32AEF469" w:rsidR="00352505" w:rsidRPr="00352505" w:rsidRDefault="00E36D81" w:rsidP="00352505">
            <w:pPr>
              <w:autoSpaceDE w:val="0"/>
              <w:autoSpaceDN w:val="0"/>
              <w:adjustRightInd w:val="0"/>
              <w:jc w:val="center"/>
              <w:rPr>
                <w:rFonts w:eastAsia="Times New Roman"/>
                <w:b/>
                <w:bCs/>
                <w:color w:val="000000"/>
                <w:sz w:val="23"/>
                <w:szCs w:val="23"/>
              </w:rPr>
            </w:pPr>
            <w:r>
              <w:rPr>
                <w:rFonts w:eastAsia="Times New Roman"/>
                <w:b/>
                <w:bCs/>
                <w:color w:val="000000"/>
                <w:sz w:val="23"/>
                <w:szCs w:val="23"/>
              </w:rPr>
              <w:t>N/A</w:t>
            </w:r>
          </w:p>
        </w:tc>
      </w:tr>
      <w:tr w:rsidR="00352505" w:rsidRPr="00352505" w14:paraId="1AC150CC" w14:textId="77777777" w:rsidTr="00EE55EB">
        <w:tc>
          <w:tcPr>
            <w:tcW w:w="5359" w:type="dxa"/>
          </w:tcPr>
          <w:p w14:paraId="6EB09808" w14:textId="77777777" w:rsidR="00352505" w:rsidRPr="00352505" w:rsidRDefault="00352505" w:rsidP="00352505">
            <w:pPr>
              <w:numPr>
                <w:ilvl w:val="0"/>
                <w:numId w:val="10"/>
              </w:numPr>
              <w:autoSpaceDE w:val="0"/>
              <w:autoSpaceDN w:val="0"/>
              <w:adjustRightInd w:val="0"/>
              <w:ind w:left="316"/>
              <w:rPr>
                <w:rFonts w:eastAsia="Times New Roman"/>
                <w:color w:val="000000"/>
                <w:sz w:val="23"/>
                <w:szCs w:val="23"/>
              </w:rPr>
            </w:pPr>
            <w:r w:rsidRPr="00352505">
              <w:rPr>
                <w:rFonts w:eastAsia="Times New Roman"/>
                <w:color w:val="000000"/>
                <w:sz w:val="23"/>
                <w:szCs w:val="23"/>
              </w:rPr>
              <w:t>Optional traded services</w:t>
            </w:r>
          </w:p>
        </w:tc>
        <w:tc>
          <w:tcPr>
            <w:tcW w:w="2007" w:type="dxa"/>
            <w:vAlign w:val="center"/>
          </w:tcPr>
          <w:p w14:paraId="07C54C51" w14:textId="77777777" w:rsidR="00352505" w:rsidRPr="00352505" w:rsidRDefault="00352505" w:rsidP="00352505">
            <w:pPr>
              <w:autoSpaceDE w:val="0"/>
              <w:autoSpaceDN w:val="0"/>
              <w:adjustRightInd w:val="0"/>
              <w:jc w:val="center"/>
              <w:rPr>
                <w:rFonts w:ascii="Webdings" w:eastAsia="Times New Roman" w:hAnsi="Webdings"/>
                <w:color w:val="000000"/>
              </w:rPr>
            </w:pPr>
            <w:r w:rsidRPr="00352505">
              <w:rPr>
                <w:rFonts w:ascii="Webdings" w:eastAsia="Times New Roman" w:hAnsi="Webdings"/>
                <w:color w:val="000000"/>
              </w:rPr>
              <w:t>a</w:t>
            </w:r>
          </w:p>
        </w:tc>
        <w:tc>
          <w:tcPr>
            <w:tcW w:w="1893" w:type="dxa"/>
            <w:gridSpan w:val="2"/>
            <w:vAlign w:val="center"/>
          </w:tcPr>
          <w:p w14:paraId="370D77FF" w14:textId="77777777" w:rsidR="00352505" w:rsidRPr="00352505" w:rsidRDefault="00352505" w:rsidP="00352505">
            <w:pPr>
              <w:jc w:val="center"/>
              <w:rPr>
                <w:rFonts w:ascii="Webdings" w:eastAsia="Times New Roman" w:hAnsi="Webdings" w:cs="Times New Roman"/>
              </w:rPr>
            </w:pPr>
            <w:r w:rsidRPr="00352505">
              <w:rPr>
                <w:rFonts w:ascii="Webdings" w:eastAsia="Times New Roman" w:hAnsi="Webdings" w:cs="Times New Roman"/>
              </w:rPr>
              <w:t>a</w:t>
            </w:r>
          </w:p>
        </w:tc>
      </w:tr>
      <w:tr w:rsidR="00352505" w:rsidRPr="00352505" w14:paraId="305CBE80" w14:textId="77777777" w:rsidTr="00EE55EB">
        <w:trPr>
          <w:gridAfter w:val="1"/>
          <w:wAfter w:w="7" w:type="dxa"/>
        </w:trPr>
        <w:tc>
          <w:tcPr>
            <w:tcW w:w="5359" w:type="dxa"/>
          </w:tcPr>
          <w:p w14:paraId="05456FD0" w14:textId="77777777" w:rsidR="00352505" w:rsidRPr="00352505" w:rsidRDefault="00352505" w:rsidP="00352505">
            <w:pPr>
              <w:numPr>
                <w:ilvl w:val="0"/>
                <w:numId w:val="10"/>
              </w:numPr>
              <w:autoSpaceDE w:val="0"/>
              <w:autoSpaceDN w:val="0"/>
              <w:adjustRightInd w:val="0"/>
              <w:ind w:left="316"/>
              <w:rPr>
                <w:rFonts w:eastAsia="Times New Roman"/>
                <w:color w:val="000000"/>
                <w:sz w:val="23"/>
                <w:szCs w:val="23"/>
              </w:rPr>
            </w:pPr>
            <w:r w:rsidRPr="00352505">
              <w:rPr>
                <w:rFonts w:eastAsia="Times New Roman"/>
                <w:color w:val="000000"/>
                <w:sz w:val="23"/>
                <w:szCs w:val="23"/>
              </w:rPr>
              <w:t>Historic commitments</w:t>
            </w:r>
          </w:p>
        </w:tc>
        <w:tc>
          <w:tcPr>
            <w:tcW w:w="2007" w:type="dxa"/>
            <w:vAlign w:val="center"/>
          </w:tcPr>
          <w:p w14:paraId="53DF3FE6" w14:textId="77777777" w:rsidR="00352505" w:rsidRPr="00352505" w:rsidRDefault="00352505" w:rsidP="00352505">
            <w:pPr>
              <w:jc w:val="center"/>
              <w:rPr>
                <w:rFonts w:eastAsia="Times New Roman"/>
              </w:rPr>
            </w:pPr>
            <w:r w:rsidRPr="00352505">
              <w:rPr>
                <w:rFonts w:eastAsia="Times New Roman"/>
              </w:rPr>
              <w:t>to be fully removed</w:t>
            </w:r>
          </w:p>
        </w:tc>
        <w:tc>
          <w:tcPr>
            <w:tcW w:w="1886" w:type="dxa"/>
            <w:vAlign w:val="center"/>
          </w:tcPr>
          <w:p w14:paraId="36A34361" w14:textId="77777777" w:rsidR="00352505" w:rsidRPr="00352505" w:rsidRDefault="00352505" w:rsidP="00352505">
            <w:pPr>
              <w:jc w:val="center"/>
              <w:rPr>
                <w:rFonts w:eastAsia="Times New Roman"/>
              </w:rPr>
            </w:pPr>
            <w:r w:rsidRPr="00352505">
              <w:rPr>
                <w:rFonts w:eastAsia="Times New Roman"/>
              </w:rPr>
              <w:t>To be fully removed</w:t>
            </w:r>
          </w:p>
        </w:tc>
      </w:tr>
    </w:tbl>
    <w:p w14:paraId="7104FB4E" w14:textId="77777777" w:rsidR="00352505" w:rsidRPr="00352505" w:rsidRDefault="00352505" w:rsidP="00352505">
      <w:pPr>
        <w:spacing w:after="0"/>
        <w:ind w:left="709"/>
        <w:contextualSpacing/>
        <w:rPr>
          <w:rFonts w:eastAsia="Times New Roman" w:cs="Times New Roman"/>
        </w:rPr>
      </w:pPr>
    </w:p>
    <w:p w14:paraId="6729D220" w14:textId="77777777" w:rsidR="00352505" w:rsidRPr="00352505" w:rsidRDefault="00352505" w:rsidP="00352505">
      <w:pPr>
        <w:numPr>
          <w:ilvl w:val="1"/>
          <w:numId w:val="6"/>
        </w:numPr>
        <w:spacing w:after="0"/>
        <w:ind w:left="709" w:hanging="709"/>
        <w:contextualSpacing/>
        <w:rPr>
          <w:rFonts w:eastAsia="Times New Roman"/>
          <w:bCs/>
        </w:rPr>
      </w:pPr>
      <w:r w:rsidRPr="00352505">
        <w:rPr>
          <w:rFonts w:eastAsia="Times New Roman"/>
          <w:bCs/>
        </w:rPr>
        <w:t>The above categories will be reviewed aiming for clarity, possible additional delegation with extending the capacity to de-delegate or trade services.  Statutory duties on behalf of schools (</w:t>
      </w:r>
      <w:proofErr w:type="gramStart"/>
      <w:r w:rsidRPr="00352505">
        <w:rPr>
          <w:rFonts w:eastAsia="Times New Roman"/>
          <w:bCs/>
        </w:rPr>
        <w:t>i.e.</w:t>
      </w:r>
      <w:proofErr w:type="gramEnd"/>
      <w:r w:rsidRPr="00352505">
        <w:rPr>
          <w:rFonts w:eastAsia="Times New Roman"/>
          <w:bCs/>
        </w:rPr>
        <w:t xml:space="preserve"> admissions), and the centralised copyright license scheme will remain. </w:t>
      </w:r>
    </w:p>
    <w:p w14:paraId="4A6EF9F4" w14:textId="77777777" w:rsidR="00352505" w:rsidRPr="00352505" w:rsidRDefault="00352505" w:rsidP="00352505">
      <w:pPr>
        <w:spacing w:after="0"/>
        <w:ind w:left="720"/>
        <w:contextualSpacing/>
        <w:rPr>
          <w:rFonts w:eastAsia="Times New Roman"/>
          <w:bCs/>
        </w:rPr>
      </w:pPr>
    </w:p>
    <w:p w14:paraId="1E77E7CD" w14:textId="77777777" w:rsidR="00352505" w:rsidRPr="00352505" w:rsidRDefault="00352505" w:rsidP="00352505">
      <w:pPr>
        <w:numPr>
          <w:ilvl w:val="1"/>
          <w:numId w:val="6"/>
        </w:numPr>
        <w:spacing w:after="0"/>
        <w:ind w:left="709" w:hanging="709"/>
        <w:contextualSpacing/>
        <w:rPr>
          <w:rFonts w:eastAsia="Times New Roman"/>
          <w:bCs/>
        </w:rPr>
      </w:pPr>
      <w:r w:rsidRPr="00352505">
        <w:rPr>
          <w:rFonts w:eastAsia="Times New Roman"/>
          <w:bCs/>
        </w:rPr>
        <w:t>A legacy grant will be considered for unavoidable historic commitments.</w:t>
      </w:r>
    </w:p>
    <w:p w14:paraId="790454FF" w14:textId="77777777" w:rsidR="00352505" w:rsidRPr="00352505" w:rsidRDefault="00352505" w:rsidP="00352505">
      <w:pPr>
        <w:spacing w:after="0"/>
        <w:ind w:left="720"/>
        <w:contextualSpacing/>
        <w:rPr>
          <w:rFonts w:eastAsia="Times New Roman"/>
          <w:bCs/>
        </w:rPr>
      </w:pPr>
    </w:p>
    <w:p w14:paraId="363DBD50" w14:textId="1107FDB2" w:rsidR="00352505" w:rsidRPr="00352505" w:rsidRDefault="00352505" w:rsidP="00935515">
      <w:pPr>
        <w:pStyle w:val="Heading2"/>
        <w:numPr>
          <w:ilvl w:val="0"/>
          <w:numId w:val="6"/>
        </w:numPr>
        <w:ind w:left="142" w:hanging="284"/>
        <w:rPr>
          <w:rFonts w:eastAsiaTheme="majorEastAsia"/>
        </w:rPr>
      </w:pPr>
      <w:r w:rsidRPr="00352505">
        <w:rPr>
          <w:rFonts w:eastAsiaTheme="majorEastAsia"/>
        </w:rPr>
        <w:t>Supporting effective SEND provision</w:t>
      </w:r>
    </w:p>
    <w:p w14:paraId="79947782" w14:textId="77777777" w:rsidR="00352505" w:rsidRPr="00352505" w:rsidRDefault="00352505" w:rsidP="00352505">
      <w:pPr>
        <w:spacing w:after="0"/>
        <w:ind w:left="709"/>
        <w:contextualSpacing/>
        <w:rPr>
          <w:rFonts w:eastAsia="Times New Roman" w:cs="Times New Roman"/>
        </w:rPr>
      </w:pPr>
    </w:p>
    <w:p w14:paraId="4FB9A113" w14:textId="77777777" w:rsidR="00352505" w:rsidRPr="00352505" w:rsidRDefault="00352505" w:rsidP="00352505">
      <w:pPr>
        <w:numPr>
          <w:ilvl w:val="1"/>
          <w:numId w:val="6"/>
        </w:numPr>
        <w:spacing w:after="0"/>
        <w:ind w:left="709" w:hanging="709"/>
        <w:contextualSpacing/>
        <w:rPr>
          <w:rFonts w:eastAsia="Times New Roman"/>
          <w:bCs/>
        </w:rPr>
      </w:pPr>
      <w:r w:rsidRPr="00352505">
        <w:rPr>
          <w:rFonts w:eastAsia="Times New Roman"/>
          <w:bCs/>
        </w:rPr>
        <w:t xml:space="preserve">The DfE are to publish a SEND Review, considering improvements to make sure that the SEND system is consistent, high quality, and integrated across education, </w:t>
      </w:r>
      <w:proofErr w:type="gramStart"/>
      <w:r w:rsidRPr="00352505">
        <w:rPr>
          <w:rFonts w:eastAsia="Times New Roman"/>
          <w:bCs/>
        </w:rPr>
        <w:t>health</w:t>
      </w:r>
      <w:proofErr w:type="gramEnd"/>
      <w:r w:rsidRPr="00352505">
        <w:rPr>
          <w:rFonts w:eastAsia="Times New Roman"/>
          <w:bCs/>
        </w:rPr>
        <w:t xml:space="preserve"> and care, and to make it financially sustainable.  The </w:t>
      </w:r>
      <w:proofErr w:type="gramStart"/>
      <w:r w:rsidRPr="00352505">
        <w:rPr>
          <w:rFonts w:eastAsia="Times New Roman"/>
          <w:bCs/>
        </w:rPr>
        <w:t>schools</w:t>
      </w:r>
      <w:proofErr w:type="gramEnd"/>
      <w:r w:rsidRPr="00352505">
        <w:rPr>
          <w:rFonts w:eastAsia="Times New Roman"/>
          <w:bCs/>
        </w:rPr>
        <w:t xml:space="preserve"> budget will retain the proxy indicators to support these aims, and further consideration will be given to DSG block transfers.</w:t>
      </w:r>
    </w:p>
    <w:p w14:paraId="1F6530A5" w14:textId="77777777" w:rsidR="00352505" w:rsidRPr="00352505" w:rsidRDefault="00352505" w:rsidP="00352505">
      <w:pPr>
        <w:spacing w:after="0"/>
        <w:ind w:left="709"/>
        <w:contextualSpacing/>
        <w:rPr>
          <w:rFonts w:eastAsia="Times New Roman"/>
          <w:bCs/>
        </w:rPr>
      </w:pPr>
    </w:p>
    <w:p w14:paraId="0807DC26" w14:textId="613FCA10" w:rsidR="00352505" w:rsidRPr="00352505" w:rsidRDefault="00352505" w:rsidP="00935515">
      <w:pPr>
        <w:pStyle w:val="Heading2"/>
        <w:numPr>
          <w:ilvl w:val="0"/>
          <w:numId w:val="6"/>
        </w:numPr>
        <w:ind w:left="142" w:hanging="284"/>
        <w:rPr>
          <w:rFonts w:eastAsiaTheme="majorEastAsia"/>
        </w:rPr>
      </w:pPr>
      <w:r w:rsidRPr="00352505">
        <w:rPr>
          <w:rFonts w:eastAsiaTheme="majorEastAsia"/>
        </w:rPr>
        <w:t>Schools Forum</w:t>
      </w:r>
    </w:p>
    <w:p w14:paraId="309545BE" w14:textId="77777777" w:rsidR="00352505" w:rsidRPr="00352505" w:rsidRDefault="00352505" w:rsidP="00352505">
      <w:pPr>
        <w:spacing w:after="0"/>
        <w:ind w:left="709"/>
        <w:contextualSpacing/>
        <w:rPr>
          <w:rFonts w:eastAsia="Times New Roman"/>
          <w:bCs/>
        </w:rPr>
      </w:pPr>
    </w:p>
    <w:p w14:paraId="69A15CBE" w14:textId="77777777" w:rsidR="00352505" w:rsidRPr="00352505" w:rsidRDefault="00352505" w:rsidP="00352505">
      <w:pPr>
        <w:numPr>
          <w:ilvl w:val="1"/>
          <w:numId w:val="6"/>
        </w:numPr>
        <w:spacing w:after="0"/>
        <w:ind w:left="709" w:hanging="709"/>
        <w:contextualSpacing/>
        <w:rPr>
          <w:rFonts w:eastAsia="Times New Roman"/>
          <w:bCs/>
        </w:rPr>
      </w:pPr>
      <w:r w:rsidRPr="00352505">
        <w:rPr>
          <w:rFonts w:eastAsia="Times New Roman" w:cs="Times New Roman"/>
          <w:sz w:val="23"/>
          <w:szCs w:val="23"/>
        </w:rPr>
        <w:t xml:space="preserve">The DfE plan to conduct review of the role of </w:t>
      </w:r>
      <w:proofErr w:type="gramStart"/>
      <w:r w:rsidRPr="00352505">
        <w:rPr>
          <w:rFonts w:eastAsia="Times New Roman" w:cs="Times New Roman"/>
          <w:sz w:val="23"/>
          <w:szCs w:val="23"/>
        </w:rPr>
        <w:t>schools</w:t>
      </w:r>
      <w:proofErr w:type="gramEnd"/>
      <w:r w:rsidRPr="00352505">
        <w:rPr>
          <w:rFonts w:eastAsia="Times New Roman" w:cs="Times New Roman"/>
          <w:sz w:val="23"/>
          <w:szCs w:val="23"/>
        </w:rPr>
        <w:t xml:space="preserve"> forums and the impact on a hard NFF</w:t>
      </w:r>
      <w:r w:rsidRPr="00352505">
        <w:rPr>
          <w:rFonts w:eastAsia="Times New Roman"/>
          <w:bCs/>
        </w:rPr>
        <w:t xml:space="preserve"> on their powers and responsibilities.  Some will no longer </w:t>
      </w:r>
      <w:proofErr w:type="gramStart"/>
      <w:r w:rsidRPr="00352505">
        <w:rPr>
          <w:rFonts w:eastAsia="Times New Roman"/>
          <w:bCs/>
        </w:rPr>
        <w:t>apply:</w:t>
      </w:r>
      <w:proofErr w:type="gramEnd"/>
      <w:r w:rsidRPr="00352505">
        <w:rPr>
          <w:rFonts w:eastAsia="Times New Roman"/>
          <w:bCs/>
        </w:rPr>
        <w:t xml:space="preserve"> consultation on the formula; setting a growth fund; and transfers from the schools block to other funding blocks will no longer be possible.  </w:t>
      </w:r>
      <w:r w:rsidRPr="00352505">
        <w:rPr>
          <w:rFonts w:eastAsia="Times New Roman" w:cs="Times New Roman"/>
          <w:sz w:val="23"/>
          <w:szCs w:val="23"/>
        </w:rPr>
        <w:t xml:space="preserve">Current responsibilities may change </w:t>
      </w:r>
      <w:proofErr w:type="gramStart"/>
      <w:r w:rsidRPr="00352505">
        <w:rPr>
          <w:rFonts w:eastAsia="Times New Roman" w:cs="Times New Roman"/>
          <w:sz w:val="23"/>
          <w:szCs w:val="23"/>
        </w:rPr>
        <w:t>as a result of</w:t>
      </w:r>
      <w:proofErr w:type="gramEnd"/>
      <w:r w:rsidRPr="00352505">
        <w:rPr>
          <w:rFonts w:eastAsia="Times New Roman" w:cs="Times New Roman"/>
          <w:sz w:val="23"/>
          <w:szCs w:val="23"/>
        </w:rPr>
        <w:t xml:space="preserve"> future policy developments, particularly related to SEND, and </w:t>
      </w:r>
      <w:r w:rsidRPr="00352505">
        <w:rPr>
          <w:rFonts w:eastAsia="Times New Roman"/>
          <w:bCs/>
        </w:rPr>
        <w:t>as a consultative/stakeholder group the DFE feel the forum has an important role.</w:t>
      </w:r>
    </w:p>
    <w:p w14:paraId="6E6FD33E" w14:textId="77777777" w:rsidR="00352505" w:rsidRPr="00352505" w:rsidRDefault="00352505" w:rsidP="00352505">
      <w:pPr>
        <w:spacing w:after="0"/>
        <w:ind w:left="709"/>
        <w:contextualSpacing/>
        <w:rPr>
          <w:rFonts w:eastAsia="Times New Roman"/>
          <w:bCs/>
        </w:rPr>
      </w:pPr>
    </w:p>
    <w:p w14:paraId="5307D2C8" w14:textId="24BE79C3" w:rsidR="00352505" w:rsidRPr="00352505" w:rsidRDefault="00352505" w:rsidP="00935515">
      <w:pPr>
        <w:pStyle w:val="Heading2"/>
        <w:numPr>
          <w:ilvl w:val="0"/>
          <w:numId w:val="6"/>
        </w:numPr>
        <w:ind w:left="426" w:hanging="361"/>
        <w:rPr>
          <w:rFonts w:eastAsiaTheme="majorEastAsia"/>
        </w:rPr>
      </w:pPr>
      <w:r w:rsidRPr="00352505">
        <w:rPr>
          <w:rFonts w:eastAsiaTheme="majorEastAsia"/>
        </w:rPr>
        <w:t xml:space="preserve">A consistent funding year </w:t>
      </w:r>
    </w:p>
    <w:p w14:paraId="6E2E13CD" w14:textId="77777777" w:rsidR="00352505" w:rsidRPr="00352505" w:rsidRDefault="00352505" w:rsidP="00352505">
      <w:pPr>
        <w:spacing w:after="0"/>
        <w:ind w:left="709"/>
        <w:contextualSpacing/>
        <w:rPr>
          <w:rFonts w:eastAsia="Times New Roman"/>
          <w:b/>
        </w:rPr>
      </w:pPr>
    </w:p>
    <w:p w14:paraId="78BA94CF" w14:textId="77777777" w:rsidR="00352505" w:rsidRPr="00352505" w:rsidRDefault="00352505" w:rsidP="00352505">
      <w:pPr>
        <w:numPr>
          <w:ilvl w:val="1"/>
          <w:numId w:val="6"/>
        </w:numPr>
        <w:spacing w:after="0"/>
        <w:ind w:left="716" w:hanging="716"/>
        <w:contextualSpacing/>
        <w:rPr>
          <w:rFonts w:eastAsia="Times New Roman"/>
          <w:b/>
        </w:rPr>
      </w:pPr>
      <w:r w:rsidRPr="00352505">
        <w:rPr>
          <w:rFonts w:eastAsia="Times New Roman" w:cs="Times New Roman"/>
          <w:sz w:val="23"/>
          <w:szCs w:val="23"/>
        </w:rPr>
        <w:t xml:space="preserve">Further consideration will explore the possibility of setting funding allocations for both academy and maintained schools, on a consistent academic year basis. Maintained schools would be expected to account for their funding on </w:t>
      </w:r>
      <w:proofErr w:type="spellStart"/>
      <w:proofErr w:type="gramStart"/>
      <w:r w:rsidRPr="00352505">
        <w:rPr>
          <w:rFonts w:eastAsia="Times New Roman" w:cs="Times New Roman"/>
          <w:sz w:val="23"/>
          <w:szCs w:val="23"/>
        </w:rPr>
        <w:t>a</w:t>
      </w:r>
      <w:proofErr w:type="spellEnd"/>
      <w:proofErr w:type="gramEnd"/>
      <w:r w:rsidRPr="00352505">
        <w:rPr>
          <w:rFonts w:eastAsia="Times New Roman" w:cs="Times New Roman"/>
          <w:sz w:val="23"/>
          <w:szCs w:val="23"/>
        </w:rPr>
        <w:t xml:space="preserve"> academic year basis.</w:t>
      </w:r>
    </w:p>
    <w:p w14:paraId="28EBB46C" w14:textId="77777777" w:rsidR="00352505" w:rsidRPr="00352505" w:rsidRDefault="00352505" w:rsidP="00352505">
      <w:pPr>
        <w:spacing w:after="0"/>
        <w:rPr>
          <w:rFonts w:eastAsia="Times New Roman" w:cs="Times New Roman"/>
        </w:rPr>
      </w:pPr>
    </w:p>
    <w:p w14:paraId="75756A5F" w14:textId="77777777" w:rsidR="00352505" w:rsidRPr="00352505" w:rsidRDefault="00352505" w:rsidP="00352505">
      <w:pPr>
        <w:spacing w:after="0"/>
        <w:rPr>
          <w:rFonts w:eastAsia="Times New Roman" w:cs="Times New Roman"/>
        </w:rPr>
      </w:pPr>
      <w:r w:rsidRPr="00352505">
        <w:rPr>
          <w:rFonts w:eastAsia="Times New Roman" w:cs="Times New Roman"/>
        </w:rPr>
        <w:t>The full consultation document can be found at this link:</w:t>
      </w:r>
    </w:p>
    <w:p w14:paraId="347EC83B" w14:textId="77777777" w:rsidR="00352505" w:rsidRPr="00352505" w:rsidRDefault="00352505" w:rsidP="00352505">
      <w:pPr>
        <w:spacing w:after="0"/>
        <w:rPr>
          <w:rFonts w:eastAsia="Times New Roman" w:cs="Times New Roman"/>
        </w:rPr>
      </w:pPr>
    </w:p>
    <w:p w14:paraId="4C4D9987" w14:textId="7217B055" w:rsidR="00475045" w:rsidRPr="00475045" w:rsidRDefault="006C68C3" w:rsidP="00935515">
      <w:pPr>
        <w:spacing w:after="0"/>
      </w:pPr>
      <w:hyperlink r:id="rId13" w:history="1">
        <w:r w:rsidR="00352505" w:rsidRPr="00352505">
          <w:rPr>
            <w:rFonts w:eastAsia="Times New Roman" w:cs="Times New Roman"/>
            <w:color w:val="0000FF"/>
            <w:u w:val="single"/>
          </w:rPr>
          <w:t>Fair school funding for all: completing our reforms to the National Funding Formula (education.gov.uk)</w:t>
        </w:r>
      </w:hyperlink>
    </w:p>
    <w:sectPr w:rsidR="00475045" w:rsidRPr="00475045" w:rsidSect="004C371E">
      <w:headerReference w:type="default" r:id="rId14"/>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C770" w14:textId="77777777" w:rsidR="006C68C3" w:rsidRDefault="006C68C3" w:rsidP="00101F8B">
      <w:r>
        <w:separator/>
      </w:r>
    </w:p>
    <w:p w14:paraId="636EE56F" w14:textId="77777777" w:rsidR="006C68C3" w:rsidRDefault="006C68C3" w:rsidP="00101F8B"/>
    <w:p w14:paraId="3064B3AF" w14:textId="77777777" w:rsidR="006C68C3" w:rsidRDefault="006C68C3" w:rsidP="00101F8B"/>
    <w:p w14:paraId="224E0AAE" w14:textId="77777777" w:rsidR="006C68C3" w:rsidRDefault="006C68C3" w:rsidP="00101F8B"/>
    <w:p w14:paraId="26FC8157" w14:textId="77777777" w:rsidR="006C68C3" w:rsidRDefault="006C68C3" w:rsidP="00101F8B"/>
    <w:p w14:paraId="3FFAAF10" w14:textId="77777777" w:rsidR="006C68C3" w:rsidRDefault="006C68C3" w:rsidP="00101F8B"/>
  </w:endnote>
  <w:endnote w:type="continuationSeparator" w:id="0">
    <w:p w14:paraId="1107D9C0" w14:textId="77777777" w:rsidR="006C68C3" w:rsidRDefault="006C68C3" w:rsidP="00101F8B">
      <w:r>
        <w:continuationSeparator/>
      </w:r>
    </w:p>
    <w:p w14:paraId="75395EC8" w14:textId="77777777" w:rsidR="006C68C3" w:rsidRDefault="006C68C3" w:rsidP="00101F8B"/>
    <w:p w14:paraId="34F61C2A" w14:textId="77777777" w:rsidR="006C68C3" w:rsidRDefault="006C68C3" w:rsidP="00101F8B"/>
    <w:p w14:paraId="60A33453" w14:textId="77777777" w:rsidR="006C68C3" w:rsidRDefault="006C68C3" w:rsidP="00101F8B"/>
    <w:p w14:paraId="701B2F6A" w14:textId="77777777" w:rsidR="006C68C3" w:rsidRDefault="006C68C3" w:rsidP="00101F8B"/>
    <w:p w14:paraId="5DF6D87D" w14:textId="77777777" w:rsidR="006C68C3" w:rsidRDefault="006C68C3"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0ACB" w14:textId="77777777" w:rsidR="006C68C3" w:rsidRDefault="006C68C3" w:rsidP="00101F8B">
      <w:r>
        <w:separator/>
      </w:r>
    </w:p>
    <w:p w14:paraId="2FCBFD04" w14:textId="77777777" w:rsidR="006C68C3" w:rsidRDefault="006C68C3" w:rsidP="00101F8B"/>
    <w:p w14:paraId="3FB6522D" w14:textId="77777777" w:rsidR="006C68C3" w:rsidRDefault="006C68C3" w:rsidP="00101F8B"/>
    <w:p w14:paraId="507B6C60" w14:textId="77777777" w:rsidR="006C68C3" w:rsidRDefault="006C68C3" w:rsidP="00101F8B"/>
    <w:p w14:paraId="29F98B86" w14:textId="77777777" w:rsidR="006C68C3" w:rsidRDefault="006C68C3" w:rsidP="00101F8B"/>
    <w:p w14:paraId="656A55B1" w14:textId="77777777" w:rsidR="006C68C3" w:rsidRDefault="006C68C3" w:rsidP="00101F8B"/>
  </w:footnote>
  <w:footnote w:type="continuationSeparator" w:id="0">
    <w:p w14:paraId="5D033211" w14:textId="77777777" w:rsidR="006C68C3" w:rsidRDefault="006C68C3" w:rsidP="00101F8B">
      <w:r>
        <w:continuationSeparator/>
      </w:r>
    </w:p>
    <w:p w14:paraId="5EA4A6B7" w14:textId="77777777" w:rsidR="006C68C3" w:rsidRDefault="006C68C3" w:rsidP="00101F8B"/>
    <w:p w14:paraId="6D9CB3F0" w14:textId="77777777" w:rsidR="006C68C3" w:rsidRDefault="006C68C3" w:rsidP="00101F8B"/>
    <w:p w14:paraId="2FAFE8E3" w14:textId="77777777" w:rsidR="006C68C3" w:rsidRDefault="006C68C3" w:rsidP="00101F8B"/>
    <w:p w14:paraId="0A86191F" w14:textId="77777777" w:rsidR="006C68C3" w:rsidRDefault="006C68C3" w:rsidP="00101F8B"/>
    <w:p w14:paraId="557E66C5" w14:textId="77777777" w:rsidR="006C68C3" w:rsidRDefault="006C68C3"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p w14:paraId="650719DE" w14:textId="24EFE82C" w:rsidR="00F05C51" w:rsidRDefault="00935515">
        <w:pPr>
          <w:pStyle w:val="Header"/>
        </w:pPr>
        <w:r>
          <w:t>School forum NFF direction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057F"/>
    <w:multiLevelType w:val="hybridMultilevel"/>
    <w:tmpl w:val="ED78CF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577ADB"/>
    <w:multiLevelType w:val="multilevel"/>
    <w:tmpl w:val="E8746B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350FD5"/>
    <w:multiLevelType w:val="multilevel"/>
    <w:tmpl w:val="35A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B02D42"/>
    <w:multiLevelType w:val="hybridMultilevel"/>
    <w:tmpl w:val="3F4A7E4E"/>
    <w:lvl w:ilvl="0" w:tplc="51F497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B041A00"/>
    <w:multiLevelType w:val="hybridMultilevel"/>
    <w:tmpl w:val="3C644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BD073D"/>
    <w:multiLevelType w:val="hybridMultilevel"/>
    <w:tmpl w:val="68D8993C"/>
    <w:lvl w:ilvl="0" w:tplc="CDE8F71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896410D"/>
    <w:multiLevelType w:val="hybridMultilevel"/>
    <w:tmpl w:val="B3F66B5C"/>
    <w:lvl w:ilvl="0" w:tplc="DEEEE87A">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F00D1"/>
    <w:multiLevelType w:val="multilevel"/>
    <w:tmpl w:val="19A8AED2"/>
    <w:lvl w:ilvl="0">
      <w:start w:val="1"/>
      <w:numFmt w:val="decimal"/>
      <w:lvlText w:val="%1."/>
      <w:lvlJc w:val="left"/>
      <w:pPr>
        <w:ind w:left="720" w:hanging="360"/>
      </w:p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5786647"/>
    <w:multiLevelType w:val="multilevel"/>
    <w:tmpl w:val="F0F222E4"/>
    <w:lvl w:ilvl="0">
      <w:start w:val="1"/>
      <w:numFmt w:val="decimal"/>
      <w:lvlText w:val="%1."/>
      <w:lvlJc w:val="left"/>
      <w:pPr>
        <w:ind w:left="1353" w:hanging="360"/>
      </w:pPr>
      <w:rPr>
        <w:rFonts w:hint="default"/>
        <w:b/>
        <w:bCs/>
      </w:rPr>
    </w:lvl>
    <w:lvl w:ilvl="1">
      <w:start w:val="1"/>
      <w:numFmt w:val="decimal"/>
      <w:lvlText w:val="%1.%2."/>
      <w:lvlJc w:val="left"/>
      <w:pPr>
        <w:ind w:left="574"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3"/>
  </w:num>
  <w:num w:numId="4">
    <w:abstractNumId w:val="2"/>
  </w:num>
  <w:num w:numId="5">
    <w:abstractNumId w:val="8"/>
  </w:num>
  <w:num w:numId="6">
    <w:abstractNumId w:val="9"/>
  </w:num>
  <w:num w:numId="7">
    <w:abstractNumId w:val="0"/>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341CF"/>
    <w:rsid w:val="00070438"/>
    <w:rsid w:val="00080CA2"/>
    <w:rsid w:val="000A6597"/>
    <w:rsid w:val="000E5232"/>
    <w:rsid w:val="00101F8B"/>
    <w:rsid w:val="00114878"/>
    <w:rsid w:val="001357FA"/>
    <w:rsid w:val="001565BA"/>
    <w:rsid w:val="001702A6"/>
    <w:rsid w:val="00173D7C"/>
    <w:rsid w:val="001829E9"/>
    <w:rsid w:val="001D5881"/>
    <w:rsid w:val="00244D68"/>
    <w:rsid w:val="002609D8"/>
    <w:rsid w:val="002616ED"/>
    <w:rsid w:val="00284556"/>
    <w:rsid w:val="00297396"/>
    <w:rsid w:val="002E55E3"/>
    <w:rsid w:val="002F2313"/>
    <w:rsid w:val="00352505"/>
    <w:rsid w:val="00363A4D"/>
    <w:rsid w:val="004362E7"/>
    <w:rsid w:val="004369A3"/>
    <w:rsid w:val="004415D4"/>
    <w:rsid w:val="00475045"/>
    <w:rsid w:val="00481799"/>
    <w:rsid w:val="004C371E"/>
    <w:rsid w:val="00534043"/>
    <w:rsid w:val="005E57A5"/>
    <w:rsid w:val="005F01B5"/>
    <w:rsid w:val="005F24B4"/>
    <w:rsid w:val="006A6700"/>
    <w:rsid w:val="006C68C3"/>
    <w:rsid w:val="00706F60"/>
    <w:rsid w:val="007604B3"/>
    <w:rsid w:val="00774185"/>
    <w:rsid w:val="007A1F89"/>
    <w:rsid w:val="007B40D8"/>
    <w:rsid w:val="007B7EF2"/>
    <w:rsid w:val="007C4F08"/>
    <w:rsid w:val="007C7CCE"/>
    <w:rsid w:val="007E1728"/>
    <w:rsid w:val="008158A3"/>
    <w:rsid w:val="00880FFC"/>
    <w:rsid w:val="008B42DB"/>
    <w:rsid w:val="008B70E7"/>
    <w:rsid w:val="008B7FF4"/>
    <w:rsid w:val="008D6F80"/>
    <w:rsid w:val="00935515"/>
    <w:rsid w:val="0093644A"/>
    <w:rsid w:val="0094156F"/>
    <w:rsid w:val="0094276D"/>
    <w:rsid w:val="00947F14"/>
    <w:rsid w:val="009E4C47"/>
    <w:rsid w:val="00AA22B2"/>
    <w:rsid w:val="00AA79F3"/>
    <w:rsid w:val="00BA0597"/>
    <w:rsid w:val="00BA63ED"/>
    <w:rsid w:val="00BB0908"/>
    <w:rsid w:val="00BE6FB3"/>
    <w:rsid w:val="00C82090"/>
    <w:rsid w:val="00C967EF"/>
    <w:rsid w:val="00CC4CE1"/>
    <w:rsid w:val="00D82CA3"/>
    <w:rsid w:val="00D93DEF"/>
    <w:rsid w:val="00D9499F"/>
    <w:rsid w:val="00DB2BAC"/>
    <w:rsid w:val="00DC0596"/>
    <w:rsid w:val="00DF3C2C"/>
    <w:rsid w:val="00E056E4"/>
    <w:rsid w:val="00E36D81"/>
    <w:rsid w:val="00ED520A"/>
    <w:rsid w:val="00EE6A7B"/>
    <w:rsid w:val="00F05C51"/>
    <w:rsid w:val="00F27624"/>
    <w:rsid w:val="00F27FAC"/>
    <w:rsid w:val="00F5083F"/>
    <w:rsid w:val="00F81947"/>
    <w:rsid w:val="00FD735E"/>
    <w:rsid w:val="00FE6B6D"/>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table" w:styleId="TableGrid">
    <w:name w:val="Table Grid"/>
    <w:basedOn w:val="TableNormal"/>
    <w:uiPriority w:val="59"/>
    <w:rsid w:val="0047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750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750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E55E3"/>
    <w:pPr>
      <w:spacing w:after="0"/>
      <w:ind w:left="720"/>
      <w:contextualSpacing/>
    </w:pPr>
    <w:rPr>
      <w:rFonts w:eastAsia="Times New Roman" w:cs="Times New Roman"/>
    </w:rPr>
  </w:style>
  <w:style w:type="table" w:styleId="PlainTable1">
    <w:name w:val="Plain Table 1"/>
    <w:basedOn w:val="TableNormal"/>
    <w:uiPriority w:val="41"/>
    <w:rsid w:val="004415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rsid w:val="0035250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sult.education.gov.uk/funding-policy-unit/completing-our-reforms-to-the-nff/supporting_documents/Fair%20Funding%20For%20All%20Consultatio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3873F8"/>
    <w:rsid w:val="00417A06"/>
    <w:rsid w:val="00830089"/>
    <w:rsid w:val="008622C2"/>
    <w:rsid w:val="00944B7C"/>
    <w:rsid w:val="00CE5774"/>
    <w:rsid w:val="00D107AD"/>
    <w:rsid w:val="00D216F1"/>
    <w:rsid w:val="00DB51A9"/>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Agenda Item 7</vt:lpstr>
    </vt:vector>
  </TitlesOfParts>
  <Company>Tower Hamlets</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forum NFF direction</dc:title>
  <dc:subject>
  </dc:subject>
  <dc:creator>Mike Pickin</dc:creator>
  <cp:keywords>
  </cp:keywords>
  <dc:description>
  </dc:description>
  <cp:lastModifiedBy>Phillip Nduoyo</cp:lastModifiedBy>
  <cp:revision>8</cp:revision>
  <dcterms:created xsi:type="dcterms:W3CDTF">2022-02-21T14:21:00Z</dcterms:created>
  <dcterms:modified xsi:type="dcterms:W3CDTF">2022-02-21T16:06:00Z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