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195B87CE" w:rsidR="00AA79F3" w:rsidRPr="007C4F08" w:rsidRDefault="00BB0908" w:rsidP="0093644A">
      <w:pPr>
        <w:pStyle w:val="Title"/>
        <w:jc w:val="center"/>
      </w:pPr>
      <w:r>
        <w:drawing>
          <wp:anchor distT="0" distB="0" distL="114300" distR="114300" simplePos="0" relativeHeight="251659264" behindDoc="1" locked="0" layoutInCell="1" allowOverlap="1" wp14:anchorId="75269BB1" wp14:editId="71CFD477">
            <wp:simplePos x="0" y="0"/>
            <wp:positionH relativeFrom="page">
              <wp:align>right</wp:align>
            </wp:positionH>
            <wp:positionV relativeFrom="paragraph">
              <wp:posOffset>-1521460</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074773">
            <w:t>School balances</w:t>
          </w:r>
        </w:sdtContent>
      </w:sdt>
    </w:p>
    <w:p w14:paraId="2AC24CBA" w14:textId="34FD8229" w:rsidR="001D5881" w:rsidRPr="00BE6FB3" w:rsidRDefault="00475045" w:rsidP="001D5881">
      <w:pPr>
        <w:pStyle w:val="Heading1"/>
      </w:pPr>
      <w:r>
        <w:t xml:space="preserve">Title of Report: </w:t>
      </w:r>
      <w:r w:rsidR="0094276D">
        <w:t xml:space="preserve">SCHOOLS BALANCES </w:t>
      </w:r>
      <w:r w:rsidR="00EE6A7B">
        <w:t>2020-21</w:t>
      </w:r>
    </w:p>
    <w:p w14:paraId="7B063AA8" w14:textId="77777777" w:rsidR="001D5881" w:rsidRDefault="001D5881" w:rsidP="001D5881">
      <w:pPr>
        <w:pStyle w:val="Heading2"/>
      </w:pPr>
    </w:p>
    <w:p w14:paraId="1CA893E1" w14:textId="71BC73B5" w:rsidR="00475045" w:rsidRDefault="004C371E" w:rsidP="00947F14">
      <w:pPr>
        <w:pStyle w:val="Headersfooters"/>
        <w:rPr>
          <w:b/>
          <w:bCs w:val="0"/>
        </w:rPr>
      </w:pPr>
      <w:r>
        <w:rPr>
          <w:b/>
          <w:bCs w:val="0"/>
        </w:rPr>
        <w:t xml:space="preserve">  </w:t>
      </w:r>
      <w:r w:rsidR="007A1F89" w:rsidRPr="00947F14">
        <w:rPr>
          <w:b/>
          <w:bCs w:val="0"/>
        </w:rPr>
        <w:t>AUTHOR OF THE PAPER:</w:t>
      </w:r>
      <w:r w:rsidR="000341CF">
        <w:rPr>
          <w:b/>
          <w:bCs w:val="0"/>
        </w:rPr>
        <w:t xml:space="preserve"> S Walsingham</w:t>
      </w:r>
      <w:r w:rsidR="007A1F89" w:rsidRPr="00947F14">
        <w:rPr>
          <w:b/>
          <w:bCs w:val="0"/>
        </w:rPr>
        <w:t xml:space="preserve"> </w:t>
      </w:r>
    </w:p>
    <w:p w14:paraId="27464BB9" w14:textId="4ED3B0A1" w:rsidR="004C371E" w:rsidRDefault="004C371E" w:rsidP="00947F14">
      <w:pPr>
        <w:pStyle w:val="Headersfooters"/>
        <w:rPr>
          <w:b/>
          <w:bCs w:val="0"/>
          <w:caps/>
          <w:color w:val="319B31"/>
        </w:rPr>
      </w:pPr>
    </w:p>
    <w:p w14:paraId="2A2BE1B6" w14:textId="027FE6EF" w:rsidR="004C371E" w:rsidRPr="00947F14" w:rsidRDefault="004C371E" w:rsidP="00947F14">
      <w:pPr>
        <w:pStyle w:val="Headersfooters"/>
        <w:rPr>
          <w:b/>
          <w:bCs w:val="0"/>
          <w:caps/>
          <w:color w:val="319B31"/>
        </w:rPr>
      </w:pPr>
      <w:r>
        <w:rPr>
          <w:b/>
        </w:rPr>
        <w:t xml:space="preserve">  </w:t>
      </w:r>
      <w:r w:rsidRPr="00300352">
        <w:rPr>
          <w:b/>
        </w:rPr>
        <w:t>OFFICER TO PRESENT THE PAPER TO SCHOOLS FORUM</w:t>
      </w:r>
      <w:r>
        <w:rPr>
          <w:b/>
        </w:rPr>
        <w:t xml:space="preserve">: </w:t>
      </w:r>
      <w:r w:rsidRPr="004C371E">
        <w:rPr>
          <w:bCs w:val="0"/>
        </w:rPr>
        <w:t>KAY GOODACRE</w:t>
      </w:r>
    </w:p>
    <w:tbl>
      <w:tblPr>
        <w:tblStyle w:val="PlainTable3"/>
        <w:tblW w:w="0" w:type="auto"/>
        <w:tblLook w:val="04A0" w:firstRow="1" w:lastRow="0" w:firstColumn="1" w:lastColumn="0" w:noHBand="0" w:noVBand="1"/>
      </w:tblPr>
      <w:tblGrid>
        <w:gridCol w:w="9010"/>
      </w:tblGrid>
      <w:tr w:rsidR="00475045" w:rsidRPr="00475045" w14:paraId="270EEB57" w14:textId="77777777" w:rsidTr="00947F14">
        <w:trPr>
          <w:cnfStyle w:val="100000000000" w:firstRow="1" w:lastRow="0" w:firstColumn="0" w:lastColumn="0" w:oddVBand="0" w:evenVBand="0" w:oddHBand="0" w:evenHBand="0" w:firstRowFirstColumn="0" w:firstRowLastColumn="0" w:lastRowFirstColumn="0" w:lastRowLastColumn="0"/>
          <w:trHeight w:val="1920"/>
        </w:trPr>
        <w:tc>
          <w:tcPr>
            <w:cnfStyle w:val="001000000100" w:firstRow="0" w:lastRow="0" w:firstColumn="1" w:lastColumn="0" w:oddVBand="0" w:evenVBand="0" w:oddHBand="0" w:evenHBand="0" w:firstRowFirstColumn="1" w:firstRowLastColumn="0" w:lastRowFirstColumn="0" w:lastRowLastColumn="0"/>
            <w:tcW w:w="9010" w:type="dxa"/>
            <w:tcBorders>
              <w:bottom w:val="none" w:sz="0" w:space="0" w:color="auto"/>
              <w:right w:val="none" w:sz="0" w:space="0" w:color="auto"/>
            </w:tcBorders>
          </w:tcPr>
          <w:p w14:paraId="53723A4D" w14:textId="77777777" w:rsidR="004C371E" w:rsidRDefault="004C371E" w:rsidP="00947F14">
            <w:pPr>
              <w:pStyle w:val="Headersfooters"/>
              <w:rPr>
                <w:b w:val="0"/>
                <w:bCs/>
                <w:caps w:val="0"/>
              </w:rPr>
            </w:pPr>
          </w:p>
          <w:p w14:paraId="430F0428" w14:textId="7FCB05EF" w:rsidR="00475045" w:rsidRDefault="00475045" w:rsidP="00947F14">
            <w:pPr>
              <w:pStyle w:val="Headersfooters"/>
              <w:rPr>
                <w:b w:val="0"/>
                <w:bCs/>
                <w:caps w:val="0"/>
              </w:rPr>
            </w:pPr>
            <w:r w:rsidRPr="00475045">
              <w:t xml:space="preserve">Details on who has been consulted with on this paper to date: </w:t>
            </w:r>
            <w:r w:rsidRPr="004C371E">
              <w:rPr>
                <w:b w:val="0"/>
                <w:bCs/>
              </w:rPr>
              <w:t>n/a</w:t>
            </w:r>
          </w:p>
          <w:p w14:paraId="2AAF9AFD" w14:textId="77777777" w:rsidR="004C371E" w:rsidRPr="00475045" w:rsidRDefault="004C371E" w:rsidP="00947F14">
            <w:pPr>
              <w:pStyle w:val="Headersfooters"/>
            </w:pPr>
          </w:p>
          <w:p w14:paraId="321F469B" w14:textId="77777777" w:rsidR="00475045" w:rsidRPr="00475045" w:rsidRDefault="00475045" w:rsidP="00475045"/>
          <w:p w14:paraId="74E46B24" w14:textId="33C74F1E" w:rsidR="00475045" w:rsidRDefault="00475045" w:rsidP="00947F14">
            <w:pPr>
              <w:pStyle w:val="Headersfooters"/>
              <w:rPr>
                <w:b w:val="0"/>
                <w:bCs/>
                <w:caps w:val="0"/>
                <w:u w:val="single"/>
              </w:rPr>
            </w:pPr>
            <w:r w:rsidRPr="00947F14">
              <w:rPr>
                <w:u w:val="single"/>
              </w:rPr>
              <w:t>Executive Summary</w:t>
            </w:r>
          </w:p>
          <w:p w14:paraId="0032FACF" w14:textId="77777777" w:rsidR="00947F14" w:rsidRPr="0094156F" w:rsidRDefault="00947F14" w:rsidP="00947F14">
            <w:pPr>
              <w:pStyle w:val="Headersfooters"/>
              <w:rPr>
                <w:b w:val="0"/>
                <w:u w:val="single"/>
              </w:rPr>
            </w:pPr>
          </w:p>
          <w:p w14:paraId="32AE97D3" w14:textId="61169C3B" w:rsidR="002F2313" w:rsidRPr="0094156F" w:rsidRDefault="0094156F" w:rsidP="002F2313">
            <w:pPr>
              <w:rPr>
                <w:b w:val="0"/>
                <w:bCs w:val="0"/>
              </w:rPr>
            </w:pPr>
            <w:r w:rsidRPr="0094156F">
              <w:rPr>
                <w:b w:val="0"/>
                <w:bCs w:val="0"/>
                <w:caps w:val="0"/>
              </w:rPr>
              <w:t xml:space="preserve">This report informs schools forum of maintained school provisional balances as at 31st </w:t>
            </w:r>
            <w:r w:rsidR="007B7EF2">
              <w:rPr>
                <w:b w:val="0"/>
                <w:bCs w:val="0"/>
                <w:caps w:val="0"/>
              </w:rPr>
              <w:t>M</w:t>
            </w:r>
            <w:r w:rsidRPr="0094156F">
              <w:rPr>
                <w:b w:val="0"/>
                <w:bCs w:val="0"/>
                <w:caps w:val="0"/>
              </w:rPr>
              <w:t>arch 2021. It outlines the proposed review process for</w:t>
            </w:r>
          </w:p>
          <w:p w14:paraId="6F03428E" w14:textId="70554931" w:rsidR="002F2313" w:rsidRPr="0094156F" w:rsidRDefault="0094156F" w:rsidP="002F2313">
            <w:pPr>
              <w:rPr>
                <w:b w:val="0"/>
                <w:bCs w:val="0"/>
              </w:rPr>
            </w:pPr>
            <w:r w:rsidRPr="0094156F">
              <w:rPr>
                <w:b w:val="0"/>
                <w:bCs w:val="0"/>
                <w:caps w:val="0"/>
              </w:rPr>
              <w:t>Schools with surpluses above the recommended limits. It proposes a further</w:t>
            </w:r>
          </w:p>
          <w:p w14:paraId="6B1D37AC" w14:textId="6F3BB972" w:rsidR="002F2313" w:rsidRPr="0094156F" w:rsidRDefault="0094156F" w:rsidP="002F2313">
            <w:pPr>
              <w:rPr>
                <w:b w:val="0"/>
                <w:bCs w:val="0"/>
              </w:rPr>
            </w:pPr>
            <w:r w:rsidRPr="0094156F">
              <w:rPr>
                <w:b w:val="0"/>
                <w:bCs w:val="0"/>
                <w:caps w:val="0"/>
              </w:rPr>
              <w:t xml:space="preserve">Report to forum in </w:t>
            </w:r>
            <w:r w:rsidR="007B7EF2" w:rsidRPr="0094156F">
              <w:rPr>
                <w:b w:val="0"/>
                <w:bCs w:val="0"/>
                <w:caps w:val="0"/>
              </w:rPr>
              <w:t>December</w:t>
            </w:r>
            <w:r w:rsidRPr="0094156F">
              <w:rPr>
                <w:b w:val="0"/>
                <w:bCs w:val="0"/>
                <w:caps w:val="0"/>
              </w:rPr>
              <w:t xml:space="preserve"> after schools have been challenged to submit details of their planned use of the balances</w:t>
            </w:r>
            <w:r w:rsidR="007B7EF2">
              <w:rPr>
                <w:b w:val="0"/>
                <w:bCs w:val="0"/>
                <w:caps w:val="0"/>
              </w:rPr>
              <w:t>.</w:t>
            </w:r>
          </w:p>
          <w:p w14:paraId="39F991A1" w14:textId="77777777" w:rsidR="004C371E" w:rsidRPr="00475045" w:rsidRDefault="004C371E" w:rsidP="00947F14">
            <w:pPr>
              <w:spacing w:after="120"/>
              <w:jc w:val="both"/>
            </w:pPr>
          </w:p>
          <w:p w14:paraId="628C5FCA" w14:textId="5ABEDDC1" w:rsidR="004C371E" w:rsidRPr="000E5232" w:rsidRDefault="00481799" w:rsidP="004C371E">
            <w:pPr>
              <w:tabs>
                <w:tab w:val="center" w:pos="4153"/>
                <w:tab w:val="right" w:pos="8306"/>
              </w:tabs>
              <w:rPr>
                <w:rFonts w:eastAsia="Times New Roman"/>
                <w:b w:val="0"/>
                <w:bCs w:val="0"/>
                <w:caps w:val="0"/>
                <w:sz w:val="20"/>
                <w:szCs w:val="20"/>
                <w:u w:val="single"/>
              </w:rPr>
            </w:pPr>
            <w:r w:rsidRPr="000E5232">
              <w:rPr>
                <w:rFonts w:eastAsia="Times New Roman"/>
                <w:sz w:val="20"/>
                <w:szCs w:val="20"/>
                <w:u w:val="single"/>
              </w:rPr>
              <w:t>ACTION REQUIRED</w:t>
            </w:r>
          </w:p>
          <w:p w14:paraId="674E0DAD" w14:textId="77777777" w:rsidR="000E5232" w:rsidRPr="004C371E" w:rsidRDefault="000E5232" w:rsidP="004C371E">
            <w:pPr>
              <w:tabs>
                <w:tab w:val="center" w:pos="4153"/>
                <w:tab w:val="right" w:pos="8306"/>
              </w:tabs>
              <w:rPr>
                <w:rFonts w:eastAsia="Times New Roman"/>
              </w:rPr>
            </w:pPr>
          </w:p>
          <w:p w14:paraId="6F91B126" w14:textId="75A9F726" w:rsidR="00481799" w:rsidRPr="000E5232" w:rsidRDefault="000E5232" w:rsidP="000E5232">
            <w:pPr>
              <w:rPr>
                <w:b w:val="0"/>
                <w:bCs w:val="0"/>
              </w:rPr>
            </w:pPr>
            <w:r w:rsidRPr="000E5232">
              <w:rPr>
                <w:b w:val="0"/>
                <w:bCs w:val="0"/>
                <w:caps w:val="0"/>
              </w:rPr>
              <w:t>Schools Forum is invited to discuss and comment on any of the issues raised in the report.</w:t>
            </w:r>
          </w:p>
          <w:p w14:paraId="69FB7A5A" w14:textId="77777777" w:rsidR="00475045" w:rsidRDefault="00475045" w:rsidP="00481799">
            <w:pPr>
              <w:tabs>
                <w:tab w:val="center" w:pos="4153"/>
                <w:tab w:val="right" w:pos="8306"/>
              </w:tabs>
              <w:rPr>
                <w:rFonts w:eastAsia="Times New Roman" w:cs="Times New Roman"/>
              </w:rPr>
            </w:pPr>
          </w:p>
          <w:p w14:paraId="2B7AF4D2" w14:textId="5BC6857A" w:rsidR="00481799" w:rsidRPr="00475045" w:rsidRDefault="00481799" w:rsidP="00481799">
            <w:pPr>
              <w:tabs>
                <w:tab w:val="center" w:pos="4153"/>
                <w:tab w:val="right" w:pos="8306"/>
              </w:tabs>
            </w:pPr>
          </w:p>
        </w:tc>
      </w:tr>
    </w:tbl>
    <w:p w14:paraId="5C75D39A" w14:textId="77777777" w:rsidR="002E55E3" w:rsidRDefault="002E55E3" w:rsidP="002E55E3">
      <w:pPr>
        <w:spacing w:after="120"/>
        <w:rPr>
          <w:b/>
        </w:rPr>
      </w:pPr>
      <w:r>
        <w:rPr>
          <w:b/>
        </w:rPr>
        <w:t>Appendices to this report:</w:t>
      </w:r>
    </w:p>
    <w:p w14:paraId="2F43AD10" w14:textId="77777777" w:rsidR="002E55E3" w:rsidRDefault="002E55E3" w:rsidP="002E55E3">
      <w:pPr>
        <w:spacing w:after="120"/>
        <w:rPr>
          <w:b/>
        </w:rPr>
      </w:pPr>
    </w:p>
    <w:p w14:paraId="52530ACA" w14:textId="77777777" w:rsidR="002E55E3" w:rsidRPr="00095149" w:rsidRDefault="002E55E3" w:rsidP="002E55E3">
      <w:pPr>
        <w:spacing w:after="120"/>
        <w:ind w:left="1418" w:hanging="1418"/>
      </w:pPr>
      <w:r w:rsidRPr="00095149">
        <w:t>Appendix 1</w:t>
      </w:r>
      <w:r w:rsidRPr="00095149">
        <w:tab/>
      </w:r>
      <w:r>
        <w:t xml:space="preserve">Individual school balances for 2019-20 and 2020-21, with in-year </w:t>
      </w:r>
      <w:r>
        <w:rPr>
          <w:iCs/>
        </w:rPr>
        <w:t>movement if value and as a percentage</w:t>
      </w:r>
    </w:p>
    <w:p w14:paraId="56D1C844" w14:textId="77777777" w:rsidR="002E55E3" w:rsidRDefault="002E55E3" w:rsidP="002E55E3">
      <w:pPr>
        <w:spacing w:after="120"/>
        <w:ind w:left="1418" w:hanging="1418"/>
      </w:pPr>
      <w:r w:rsidRPr="00F618E2">
        <w:t>Appendix 2</w:t>
      </w:r>
      <w:r>
        <w:t>.</w:t>
      </w:r>
      <w:r>
        <w:tab/>
      </w:r>
      <w:r w:rsidRPr="00F618E2">
        <w:t xml:space="preserve">provides some guidance on the appropriate use of </w:t>
      </w:r>
      <w:r>
        <w:t xml:space="preserve">revenue </w:t>
      </w:r>
      <w:r w:rsidRPr="00F618E2">
        <w:t>surplus balances</w:t>
      </w:r>
    </w:p>
    <w:p w14:paraId="48FCAD39" w14:textId="77777777" w:rsidR="002E55E3" w:rsidRDefault="002E55E3" w:rsidP="002E55E3">
      <w:pPr>
        <w:spacing w:after="120"/>
        <w:ind w:left="1418" w:hanging="1418"/>
        <w:rPr>
          <w:b/>
        </w:rPr>
      </w:pPr>
      <w:r>
        <w:t xml:space="preserve">Appendix 3 </w:t>
      </w:r>
      <w:r>
        <w:tab/>
        <w:t>Individual school balances as a percentage of the schools budget, highlighting those with a revenue surplus over the 5% and 8% thresholds</w:t>
      </w:r>
    </w:p>
    <w:p w14:paraId="208E395A" w14:textId="77777777" w:rsidR="002E55E3" w:rsidRDefault="002E55E3" w:rsidP="002E55E3">
      <w:pPr>
        <w:spacing w:after="120"/>
        <w:rPr>
          <w:b/>
        </w:rPr>
      </w:pPr>
      <w:r>
        <w:rPr>
          <w:b/>
        </w:rPr>
        <w:br w:type="page"/>
      </w:r>
    </w:p>
    <w:p w14:paraId="0B3AFCC7" w14:textId="77777777" w:rsidR="002E55E3" w:rsidRPr="004401D0" w:rsidRDefault="002E55E3" w:rsidP="00074773">
      <w:pPr>
        <w:pStyle w:val="Heading2"/>
      </w:pPr>
      <w:r>
        <w:lastRenderedPageBreak/>
        <w:t>1.</w:t>
      </w:r>
      <w:r>
        <w:tab/>
        <w:t xml:space="preserve">Purpose of Report </w:t>
      </w:r>
    </w:p>
    <w:p w14:paraId="710011EA" w14:textId="77777777" w:rsidR="002E55E3" w:rsidRDefault="002E55E3" w:rsidP="002E55E3">
      <w:pPr>
        <w:spacing w:after="120"/>
        <w:ind w:left="720" w:hanging="720"/>
        <w:jc w:val="both"/>
      </w:pPr>
      <w:r>
        <w:t xml:space="preserve">1.1    </w:t>
      </w:r>
      <w:r>
        <w:tab/>
        <w:t>To provide School Forum members with the provisional school balances position recorded as at 31</w:t>
      </w:r>
      <w:r w:rsidRPr="00F54C81">
        <w:rPr>
          <w:vertAlign w:val="superscript"/>
        </w:rPr>
        <w:t>st</w:t>
      </w:r>
      <w:r>
        <w:t xml:space="preserve"> March 2021.</w:t>
      </w:r>
    </w:p>
    <w:p w14:paraId="2ABC43FB" w14:textId="77777777" w:rsidR="002E55E3" w:rsidRDefault="002E55E3" w:rsidP="002E55E3">
      <w:pPr>
        <w:spacing w:after="120"/>
        <w:ind w:left="720" w:hanging="720"/>
        <w:jc w:val="both"/>
      </w:pPr>
    </w:p>
    <w:p w14:paraId="1388C555" w14:textId="77777777" w:rsidR="002E55E3" w:rsidRPr="004607A5" w:rsidRDefault="002E55E3" w:rsidP="00074773">
      <w:pPr>
        <w:pStyle w:val="Heading2"/>
      </w:pPr>
      <w:r w:rsidRPr="0088574F">
        <w:t>2.</w:t>
      </w:r>
      <w:r>
        <w:t xml:space="preserve"> </w:t>
      </w:r>
      <w:r>
        <w:tab/>
      </w:r>
      <w:r w:rsidRPr="004607A5">
        <w:t>B</w:t>
      </w:r>
      <w:r>
        <w:t>ackground</w:t>
      </w:r>
    </w:p>
    <w:p w14:paraId="01071CDC" w14:textId="77777777" w:rsidR="002E55E3" w:rsidRDefault="002E55E3" w:rsidP="002E55E3">
      <w:pPr>
        <w:spacing w:after="120"/>
        <w:ind w:left="720" w:hanging="720"/>
        <w:jc w:val="both"/>
      </w:pPr>
      <w:r>
        <w:t xml:space="preserve">2.1. </w:t>
      </w:r>
      <w:r>
        <w:tab/>
        <w:t>Schools receive their delegated budget share based upon the formula factors and components agreed in the Tower Hamlets Schools Funding Formula.</w:t>
      </w:r>
    </w:p>
    <w:p w14:paraId="08EAC246" w14:textId="77777777" w:rsidR="002E55E3" w:rsidRDefault="002E55E3" w:rsidP="002E55E3">
      <w:pPr>
        <w:spacing w:after="120"/>
        <w:ind w:left="720" w:hanging="720"/>
        <w:jc w:val="both"/>
      </w:pPr>
      <w:r>
        <w:t xml:space="preserve">2.2. </w:t>
      </w:r>
      <w:r>
        <w:tab/>
        <w:t>All schools via their governing body have delegated powers and responsibilities to manage and deploy their financial resources at a local level in accordance with the locally agreed aims and objectives as outlined in the School Improvement Plan (SIP), aimed at achieving the best outcomes for pupils.</w:t>
      </w:r>
    </w:p>
    <w:p w14:paraId="312B9A33" w14:textId="77777777" w:rsidR="002E55E3" w:rsidRDefault="002E55E3" w:rsidP="002E55E3">
      <w:pPr>
        <w:spacing w:after="120"/>
        <w:ind w:left="720" w:hanging="720"/>
        <w:jc w:val="both"/>
      </w:pPr>
      <w:r>
        <w:t xml:space="preserve">2.3. </w:t>
      </w:r>
      <w:r>
        <w:tab/>
        <w:t>Within the framework of Tower Hamlets’ Scheme for Financing Schools (see Section 5), schools are permitted to carry-forward any year-end surplus/deficit recorded at 31</w:t>
      </w:r>
      <w:r w:rsidRPr="00C92C36">
        <w:rPr>
          <w:vertAlign w:val="superscript"/>
        </w:rPr>
        <w:t>st</w:t>
      </w:r>
      <w:r>
        <w:t xml:space="preserve"> March, to the following financial year.</w:t>
      </w:r>
    </w:p>
    <w:p w14:paraId="70C7604B" w14:textId="77777777" w:rsidR="002E55E3" w:rsidRDefault="002E55E3" w:rsidP="002E55E3">
      <w:pPr>
        <w:spacing w:after="120"/>
        <w:ind w:left="720" w:hanging="720"/>
        <w:jc w:val="both"/>
      </w:pPr>
    </w:p>
    <w:p w14:paraId="2BC60390" w14:textId="77777777" w:rsidR="002E55E3" w:rsidRPr="00423D02" w:rsidRDefault="002E55E3" w:rsidP="00074773">
      <w:pPr>
        <w:pStyle w:val="Heading2"/>
        <w:rPr>
          <w:i/>
        </w:rPr>
      </w:pPr>
      <w:r>
        <w:t>3.</w:t>
      </w:r>
      <w:r>
        <w:rPr>
          <w:i/>
        </w:rPr>
        <w:t xml:space="preserve">  </w:t>
      </w:r>
      <w:r>
        <w:rPr>
          <w:i/>
        </w:rPr>
        <w:tab/>
      </w:r>
      <w:r w:rsidRPr="00423D02">
        <w:t>Schools Position</w:t>
      </w:r>
      <w:r w:rsidRPr="00423D02">
        <w:rPr>
          <w:i/>
        </w:rPr>
        <w:t xml:space="preserve"> </w:t>
      </w:r>
    </w:p>
    <w:p w14:paraId="6683732B" w14:textId="77777777" w:rsidR="002E55E3" w:rsidRDefault="002E55E3" w:rsidP="002E55E3">
      <w:pPr>
        <w:spacing w:after="120"/>
        <w:ind w:left="720" w:hanging="720"/>
        <w:jc w:val="both"/>
        <w:rPr>
          <w:iCs/>
        </w:rPr>
      </w:pPr>
      <w:r w:rsidRPr="00423D02">
        <w:rPr>
          <w:iCs/>
        </w:rPr>
        <w:t xml:space="preserve">3.1 </w:t>
      </w:r>
      <w:r>
        <w:rPr>
          <w:iCs/>
        </w:rPr>
        <w:tab/>
        <w:t>Overall the s</w:t>
      </w:r>
      <w:r w:rsidRPr="00423D02">
        <w:rPr>
          <w:iCs/>
        </w:rPr>
        <w:t>chool balances at the end of the 20</w:t>
      </w:r>
      <w:r>
        <w:rPr>
          <w:iCs/>
        </w:rPr>
        <w:t>20/21</w:t>
      </w:r>
      <w:r w:rsidRPr="00423D02">
        <w:rPr>
          <w:iCs/>
        </w:rPr>
        <w:t xml:space="preserve"> financial year </w:t>
      </w:r>
      <w:r w:rsidRPr="00F618E2">
        <w:rPr>
          <w:iCs/>
        </w:rPr>
        <w:t>ha</w:t>
      </w:r>
      <w:r>
        <w:rPr>
          <w:iCs/>
        </w:rPr>
        <w:t>ve</w:t>
      </w:r>
      <w:r w:rsidRPr="00F618E2">
        <w:rPr>
          <w:iCs/>
        </w:rPr>
        <w:t xml:space="preserve"> </w:t>
      </w:r>
      <w:r>
        <w:rPr>
          <w:b/>
          <w:i/>
        </w:rPr>
        <w:t>increas</w:t>
      </w:r>
      <w:r w:rsidRPr="00F618E2">
        <w:rPr>
          <w:b/>
          <w:i/>
        </w:rPr>
        <w:t>ed</w:t>
      </w:r>
      <w:r w:rsidRPr="00F618E2">
        <w:rPr>
          <w:iCs/>
        </w:rPr>
        <w:t xml:space="preserve"> by </w:t>
      </w:r>
      <w:r w:rsidRPr="00F618E2">
        <w:rPr>
          <w:b/>
          <w:iCs/>
        </w:rPr>
        <w:t>£</w:t>
      </w:r>
      <w:r>
        <w:rPr>
          <w:b/>
          <w:iCs/>
        </w:rPr>
        <w:t>7</w:t>
      </w:r>
      <w:r w:rsidRPr="00F618E2">
        <w:rPr>
          <w:b/>
          <w:iCs/>
        </w:rPr>
        <w:t>.</w:t>
      </w:r>
      <w:r>
        <w:rPr>
          <w:b/>
          <w:iCs/>
        </w:rPr>
        <w:t>69</w:t>
      </w:r>
      <w:r w:rsidRPr="00F618E2">
        <w:rPr>
          <w:b/>
          <w:iCs/>
        </w:rPr>
        <w:t>m</w:t>
      </w:r>
      <w:r w:rsidRPr="00F618E2">
        <w:rPr>
          <w:iCs/>
        </w:rPr>
        <w:t xml:space="preserve"> (£</w:t>
      </w:r>
      <w:r>
        <w:rPr>
          <w:iCs/>
        </w:rPr>
        <w:t>7.41</w:t>
      </w:r>
      <w:r w:rsidRPr="00F618E2">
        <w:rPr>
          <w:iCs/>
        </w:rPr>
        <w:t xml:space="preserve"> revenue and £0.</w:t>
      </w:r>
      <w:r>
        <w:rPr>
          <w:iCs/>
        </w:rPr>
        <w:t>28</w:t>
      </w:r>
      <w:r w:rsidRPr="00F618E2">
        <w:rPr>
          <w:iCs/>
        </w:rPr>
        <w:t>m capital) to</w:t>
      </w:r>
      <w:r w:rsidRPr="00423D02">
        <w:rPr>
          <w:iCs/>
        </w:rPr>
        <w:t xml:space="preserve"> </w:t>
      </w:r>
      <w:r w:rsidRPr="005438B2">
        <w:rPr>
          <w:b/>
          <w:iCs/>
        </w:rPr>
        <w:t>£</w:t>
      </w:r>
      <w:r>
        <w:rPr>
          <w:b/>
          <w:iCs/>
        </w:rPr>
        <w:t>34.68</w:t>
      </w:r>
      <w:r w:rsidRPr="005438B2">
        <w:rPr>
          <w:b/>
          <w:iCs/>
        </w:rPr>
        <w:t>m</w:t>
      </w:r>
      <w:r>
        <w:rPr>
          <w:b/>
          <w:iCs/>
        </w:rPr>
        <w:t xml:space="preserve"> </w:t>
      </w:r>
      <w:r w:rsidRPr="00480C42">
        <w:rPr>
          <w:iCs/>
        </w:rPr>
        <w:t>(£</w:t>
      </w:r>
      <w:r>
        <w:rPr>
          <w:iCs/>
        </w:rPr>
        <w:t>31.44</w:t>
      </w:r>
      <w:r w:rsidRPr="00480C42">
        <w:rPr>
          <w:iCs/>
        </w:rPr>
        <w:t>m revenue and £</w:t>
      </w:r>
      <w:r>
        <w:rPr>
          <w:iCs/>
        </w:rPr>
        <w:t>3.24</w:t>
      </w:r>
      <w:r w:rsidRPr="00480C42">
        <w:rPr>
          <w:iCs/>
        </w:rPr>
        <w:t>m capital).</w:t>
      </w:r>
      <w:r>
        <w:rPr>
          <w:iCs/>
        </w:rPr>
        <w:t xml:space="preserve"> </w:t>
      </w:r>
      <w:r w:rsidRPr="00423D02">
        <w:rPr>
          <w:iCs/>
        </w:rPr>
        <w:t>The year-e</w:t>
      </w:r>
      <w:r>
        <w:rPr>
          <w:iCs/>
        </w:rPr>
        <w:t>nd position illustrated school by school, is shown in Appendix 1 and the position by</w:t>
      </w:r>
      <w:r w:rsidRPr="00423D02">
        <w:rPr>
          <w:iCs/>
        </w:rPr>
        <w:t xml:space="preserve"> school sector</w:t>
      </w:r>
      <w:r>
        <w:rPr>
          <w:iCs/>
        </w:rPr>
        <w:t xml:space="preserve"> in Table 1</w:t>
      </w:r>
      <w:r w:rsidRPr="00423D02">
        <w:rPr>
          <w:iCs/>
        </w:rPr>
        <w:t>.</w:t>
      </w:r>
      <w:r>
        <w:rPr>
          <w:iCs/>
        </w:rPr>
        <w:t xml:space="preserve"> </w:t>
      </w:r>
    </w:p>
    <w:p w14:paraId="5BE619E0" w14:textId="77777777" w:rsidR="002E55E3" w:rsidRDefault="002E55E3" w:rsidP="002E55E3">
      <w:pPr>
        <w:spacing w:after="120"/>
        <w:ind w:left="720" w:hanging="720"/>
        <w:jc w:val="both"/>
        <w:rPr>
          <w:iCs/>
        </w:rPr>
      </w:pPr>
    </w:p>
    <w:p w14:paraId="257B9DBD" w14:textId="77777777" w:rsidR="002E55E3" w:rsidRDefault="002E55E3" w:rsidP="002E55E3">
      <w:pPr>
        <w:spacing w:after="120"/>
        <w:ind w:left="720" w:hanging="720"/>
        <w:jc w:val="center"/>
        <w:rPr>
          <w:b/>
          <w:iCs/>
          <w:sz w:val="20"/>
          <w:szCs w:val="20"/>
        </w:rPr>
      </w:pPr>
      <w:r>
        <w:rPr>
          <w:b/>
          <w:iCs/>
          <w:sz w:val="20"/>
          <w:szCs w:val="20"/>
        </w:rPr>
        <w:t>Table1. Provisional Balances carried forward by sector: 2019-20 and 2020-21.</w:t>
      </w:r>
    </w:p>
    <w:tbl>
      <w:tblPr>
        <w:tblStyle w:val="PlainTable1"/>
        <w:tblW w:w="8446" w:type="dxa"/>
        <w:tblLook w:val="04A0" w:firstRow="1" w:lastRow="0" w:firstColumn="1" w:lastColumn="0" w:noHBand="0" w:noVBand="1"/>
      </w:tblPr>
      <w:tblGrid>
        <w:gridCol w:w="1194"/>
        <w:gridCol w:w="1358"/>
        <w:gridCol w:w="1276"/>
        <w:gridCol w:w="1417"/>
        <w:gridCol w:w="1276"/>
        <w:gridCol w:w="1217"/>
        <w:gridCol w:w="708"/>
      </w:tblGrid>
      <w:tr w:rsidR="004415D4" w:rsidRPr="004F1DD2" w14:paraId="7A42CE9E" w14:textId="77777777" w:rsidTr="00ED7BAA">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194" w:type="dxa"/>
            <w:noWrap/>
            <w:hideMark/>
          </w:tcPr>
          <w:p w14:paraId="125F1CB3" w14:textId="5BF7D4F6" w:rsidR="004415D4" w:rsidRPr="004F1DD2" w:rsidRDefault="004415D4" w:rsidP="00EE55EB">
            <w:pPr>
              <w:rPr>
                <w:rFonts w:ascii="Calibri" w:hAnsi="Calibri" w:cs="Calibri"/>
                <w:color w:val="000000"/>
                <w:sz w:val="22"/>
                <w:szCs w:val="22"/>
              </w:rPr>
            </w:pPr>
            <w:r w:rsidRPr="004F1DD2">
              <w:rPr>
                <w:rFonts w:ascii="Calibri" w:hAnsi="Calibri" w:cs="Calibri"/>
                <w:color w:val="000000"/>
                <w:sz w:val="22"/>
                <w:szCs w:val="22"/>
              </w:rPr>
              <w:t> </w:t>
            </w:r>
            <w:r w:rsidR="005F01B5">
              <w:rPr>
                <w:rFonts w:ascii="Calibri" w:hAnsi="Calibri" w:cs="Calibri"/>
                <w:color w:val="000000"/>
                <w:sz w:val="22"/>
                <w:szCs w:val="22"/>
              </w:rPr>
              <w:t>Type</w:t>
            </w:r>
          </w:p>
        </w:tc>
        <w:tc>
          <w:tcPr>
            <w:tcW w:w="1358" w:type="dxa"/>
            <w:hideMark/>
          </w:tcPr>
          <w:p w14:paraId="65DCCBFA" w14:textId="77777777" w:rsidR="004415D4" w:rsidRPr="004F1DD2" w:rsidRDefault="004415D4" w:rsidP="00EE55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4F1DD2">
              <w:rPr>
                <w:rFonts w:ascii="Calibri" w:hAnsi="Calibri" w:cs="Calibri"/>
                <w:color w:val="000000"/>
                <w:sz w:val="22"/>
                <w:szCs w:val="22"/>
              </w:rPr>
              <w:t>2020/21  Revenue</w:t>
            </w:r>
          </w:p>
        </w:tc>
        <w:tc>
          <w:tcPr>
            <w:tcW w:w="1276" w:type="dxa"/>
            <w:hideMark/>
          </w:tcPr>
          <w:p w14:paraId="628A2490" w14:textId="77777777" w:rsidR="004415D4" w:rsidRPr="004F1DD2" w:rsidRDefault="004415D4" w:rsidP="00EE55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4F1DD2">
              <w:rPr>
                <w:rFonts w:ascii="Calibri" w:hAnsi="Calibri" w:cs="Calibri"/>
                <w:color w:val="000000"/>
                <w:sz w:val="22"/>
                <w:szCs w:val="22"/>
              </w:rPr>
              <w:t>2020/21 Capital</w:t>
            </w:r>
          </w:p>
        </w:tc>
        <w:tc>
          <w:tcPr>
            <w:tcW w:w="1417" w:type="dxa"/>
            <w:hideMark/>
          </w:tcPr>
          <w:p w14:paraId="68A993FB" w14:textId="77777777" w:rsidR="004415D4" w:rsidRPr="004F1DD2" w:rsidRDefault="004415D4" w:rsidP="00EE55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4F1DD2">
              <w:rPr>
                <w:rFonts w:ascii="Calibri" w:hAnsi="Calibri" w:cs="Calibri"/>
                <w:color w:val="000000"/>
                <w:sz w:val="22"/>
                <w:szCs w:val="22"/>
              </w:rPr>
              <w:t>2019/20  Revenue</w:t>
            </w:r>
          </w:p>
        </w:tc>
        <w:tc>
          <w:tcPr>
            <w:tcW w:w="1276" w:type="dxa"/>
            <w:hideMark/>
          </w:tcPr>
          <w:p w14:paraId="4C9F050F" w14:textId="77777777" w:rsidR="004415D4" w:rsidRPr="004F1DD2" w:rsidRDefault="004415D4" w:rsidP="00EE55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sidRPr="004F1DD2">
              <w:rPr>
                <w:rFonts w:ascii="Calibri" w:hAnsi="Calibri" w:cs="Calibri"/>
                <w:color w:val="000000"/>
                <w:sz w:val="22"/>
                <w:szCs w:val="22"/>
              </w:rPr>
              <w:t>2019/20  Capital</w:t>
            </w:r>
          </w:p>
        </w:tc>
        <w:tc>
          <w:tcPr>
            <w:tcW w:w="962" w:type="dxa"/>
            <w:hideMark/>
          </w:tcPr>
          <w:p w14:paraId="456234E9" w14:textId="77777777" w:rsidR="004415D4" w:rsidRPr="004F1DD2" w:rsidRDefault="004415D4" w:rsidP="00EE55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 xml:space="preserve">Revenue movement </w:t>
            </w:r>
          </w:p>
        </w:tc>
        <w:tc>
          <w:tcPr>
            <w:tcW w:w="963" w:type="dxa"/>
          </w:tcPr>
          <w:p w14:paraId="0B91FA7A" w14:textId="1FAA19BB" w:rsidR="004415D4" w:rsidRPr="004F1DD2" w:rsidRDefault="005F01B5" w:rsidP="00EE55E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b w:val="0"/>
                <w:bCs w:val="0"/>
                <w:color w:val="000000"/>
                <w:sz w:val="22"/>
                <w:szCs w:val="22"/>
              </w:rPr>
              <w:t>%</w:t>
            </w:r>
          </w:p>
        </w:tc>
      </w:tr>
      <w:tr w:rsidR="002E55E3" w:rsidRPr="004F1DD2" w14:paraId="3F17348F" w14:textId="77777777" w:rsidTr="004415D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94" w:type="dxa"/>
            <w:noWrap/>
            <w:hideMark/>
          </w:tcPr>
          <w:p w14:paraId="6FFD7B5B" w14:textId="5BA9EE2D" w:rsidR="002E55E3" w:rsidRPr="004F1DD2" w:rsidRDefault="002E55E3" w:rsidP="00EE55EB">
            <w:pPr>
              <w:rPr>
                <w:rFonts w:ascii="Calibri" w:hAnsi="Calibri" w:cs="Calibri"/>
                <w:b w:val="0"/>
                <w:bCs w:val="0"/>
                <w:color w:val="000000"/>
                <w:sz w:val="22"/>
                <w:szCs w:val="22"/>
              </w:rPr>
            </w:pPr>
            <w:r w:rsidRPr="004F1DD2">
              <w:rPr>
                <w:rFonts w:ascii="Calibri" w:hAnsi="Calibri" w:cs="Calibri"/>
                <w:color w:val="000000"/>
                <w:sz w:val="22"/>
                <w:szCs w:val="22"/>
              </w:rPr>
              <w:t> </w:t>
            </w:r>
            <w:r w:rsidR="005F01B5">
              <w:rPr>
                <w:rFonts w:ascii="Calibri" w:hAnsi="Calibri" w:cs="Calibri"/>
                <w:color w:val="000000"/>
                <w:sz w:val="22"/>
                <w:szCs w:val="22"/>
              </w:rPr>
              <w:t>£</w:t>
            </w:r>
          </w:p>
        </w:tc>
        <w:tc>
          <w:tcPr>
            <w:tcW w:w="1358" w:type="dxa"/>
            <w:noWrap/>
            <w:hideMark/>
          </w:tcPr>
          <w:p w14:paraId="6A724AEA"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w:t>
            </w:r>
          </w:p>
        </w:tc>
        <w:tc>
          <w:tcPr>
            <w:tcW w:w="1276" w:type="dxa"/>
            <w:noWrap/>
            <w:hideMark/>
          </w:tcPr>
          <w:p w14:paraId="3DB0F2C3"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w:t>
            </w:r>
          </w:p>
        </w:tc>
        <w:tc>
          <w:tcPr>
            <w:tcW w:w="1417" w:type="dxa"/>
            <w:noWrap/>
            <w:hideMark/>
          </w:tcPr>
          <w:p w14:paraId="485DF111"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w:t>
            </w:r>
          </w:p>
        </w:tc>
        <w:tc>
          <w:tcPr>
            <w:tcW w:w="1276" w:type="dxa"/>
            <w:noWrap/>
            <w:hideMark/>
          </w:tcPr>
          <w:p w14:paraId="56F5E4ED"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w:t>
            </w:r>
          </w:p>
        </w:tc>
        <w:tc>
          <w:tcPr>
            <w:tcW w:w="1217" w:type="dxa"/>
            <w:noWrap/>
            <w:hideMark/>
          </w:tcPr>
          <w:p w14:paraId="325C4A70"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w:t>
            </w:r>
          </w:p>
        </w:tc>
        <w:tc>
          <w:tcPr>
            <w:tcW w:w="708" w:type="dxa"/>
            <w:noWrap/>
            <w:hideMark/>
          </w:tcPr>
          <w:p w14:paraId="19A08B93"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w:t>
            </w:r>
          </w:p>
        </w:tc>
      </w:tr>
      <w:tr w:rsidR="002E55E3" w:rsidRPr="004F1DD2" w14:paraId="5C7E09C2" w14:textId="77777777" w:rsidTr="004415D4">
        <w:trPr>
          <w:trHeight w:val="290"/>
        </w:trPr>
        <w:tc>
          <w:tcPr>
            <w:cnfStyle w:val="001000000000" w:firstRow="0" w:lastRow="0" w:firstColumn="1" w:lastColumn="0" w:oddVBand="0" w:evenVBand="0" w:oddHBand="0" w:evenHBand="0" w:firstRowFirstColumn="0" w:firstRowLastColumn="0" w:lastRowFirstColumn="0" w:lastRowLastColumn="0"/>
            <w:tcW w:w="1194" w:type="dxa"/>
            <w:noWrap/>
            <w:hideMark/>
          </w:tcPr>
          <w:p w14:paraId="78482797" w14:textId="77777777" w:rsidR="002E55E3" w:rsidRPr="004F1DD2" w:rsidRDefault="002E55E3" w:rsidP="00EE55EB">
            <w:pPr>
              <w:rPr>
                <w:rFonts w:ascii="Calibri" w:hAnsi="Calibri" w:cs="Calibri"/>
                <w:color w:val="000000"/>
                <w:sz w:val="22"/>
                <w:szCs w:val="22"/>
              </w:rPr>
            </w:pPr>
            <w:r w:rsidRPr="004F1DD2">
              <w:rPr>
                <w:rFonts w:ascii="Calibri" w:hAnsi="Calibri" w:cs="Calibri"/>
                <w:color w:val="000000"/>
                <w:sz w:val="22"/>
                <w:szCs w:val="22"/>
              </w:rPr>
              <w:t>Nursery</w:t>
            </w:r>
          </w:p>
        </w:tc>
        <w:tc>
          <w:tcPr>
            <w:tcW w:w="1358" w:type="dxa"/>
            <w:noWrap/>
            <w:hideMark/>
          </w:tcPr>
          <w:p w14:paraId="0323BD4D"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676,137</w:t>
            </w:r>
          </w:p>
        </w:tc>
        <w:tc>
          <w:tcPr>
            <w:tcW w:w="1276" w:type="dxa"/>
            <w:noWrap/>
            <w:hideMark/>
          </w:tcPr>
          <w:p w14:paraId="0D21E6C0"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136,545</w:t>
            </w:r>
          </w:p>
        </w:tc>
        <w:tc>
          <w:tcPr>
            <w:tcW w:w="1417" w:type="dxa"/>
            <w:noWrap/>
            <w:hideMark/>
          </w:tcPr>
          <w:p w14:paraId="689E1AEF"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616,234</w:t>
            </w:r>
          </w:p>
        </w:tc>
        <w:tc>
          <w:tcPr>
            <w:tcW w:w="1276" w:type="dxa"/>
            <w:noWrap/>
            <w:hideMark/>
          </w:tcPr>
          <w:p w14:paraId="147C22BA"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122,373</w:t>
            </w:r>
          </w:p>
        </w:tc>
        <w:tc>
          <w:tcPr>
            <w:tcW w:w="1217" w:type="dxa"/>
            <w:noWrap/>
            <w:hideMark/>
          </w:tcPr>
          <w:p w14:paraId="794CF0F0"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59,904</w:t>
            </w:r>
          </w:p>
        </w:tc>
        <w:tc>
          <w:tcPr>
            <w:tcW w:w="708" w:type="dxa"/>
            <w:noWrap/>
            <w:hideMark/>
          </w:tcPr>
          <w:p w14:paraId="17C4304F"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10%</w:t>
            </w:r>
          </w:p>
        </w:tc>
      </w:tr>
      <w:tr w:rsidR="002E55E3" w:rsidRPr="004F1DD2" w14:paraId="1C7AC8AD" w14:textId="77777777" w:rsidTr="004415D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94" w:type="dxa"/>
            <w:noWrap/>
            <w:hideMark/>
          </w:tcPr>
          <w:p w14:paraId="6A49471E" w14:textId="77777777" w:rsidR="002E55E3" w:rsidRPr="004F1DD2" w:rsidRDefault="002E55E3" w:rsidP="00EE55EB">
            <w:pPr>
              <w:rPr>
                <w:rFonts w:ascii="Calibri" w:hAnsi="Calibri" w:cs="Calibri"/>
                <w:color w:val="000000"/>
                <w:sz w:val="22"/>
                <w:szCs w:val="22"/>
              </w:rPr>
            </w:pPr>
            <w:r w:rsidRPr="004F1DD2">
              <w:rPr>
                <w:rFonts w:ascii="Calibri" w:hAnsi="Calibri" w:cs="Calibri"/>
                <w:color w:val="000000"/>
                <w:sz w:val="22"/>
                <w:szCs w:val="22"/>
              </w:rPr>
              <w:t xml:space="preserve">Primary </w:t>
            </w:r>
          </w:p>
        </w:tc>
        <w:tc>
          <w:tcPr>
            <w:tcW w:w="1358" w:type="dxa"/>
            <w:noWrap/>
            <w:hideMark/>
          </w:tcPr>
          <w:p w14:paraId="183A3C77"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16,284,001</w:t>
            </w:r>
          </w:p>
        </w:tc>
        <w:tc>
          <w:tcPr>
            <w:tcW w:w="1276" w:type="dxa"/>
            <w:noWrap/>
            <w:hideMark/>
          </w:tcPr>
          <w:p w14:paraId="0D2E70A8"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1,398,561</w:t>
            </w:r>
          </w:p>
        </w:tc>
        <w:tc>
          <w:tcPr>
            <w:tcW w:w="1417" w:type="dxa"/>
            <w:noWrap/>
            <w:hideMark/>
          </w:tcPr>
          <w:p w14:paraId="49A4A530"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11,700,180</w:t>
            </w:r>
          </w:p>
        </w:tc>
        <w:tc>
          <w:tcPr>
            <w:tcW w:w="1276" w:type="dxa"/>
            <w:noWrap/>
            <w:hideMark/>
          </w:tcPr>
          <w:p w14:paraId="4C61F934"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1,475,611</w:t>
            </w:r>
          </w:p>
        </w:tc>
        <w:tc>
          <w:tcPr>
            <w:tcW w:w="1217" w:type="dxa"/>
            <w:noWrap/>
            <w:hideMark/>
          </w:tcPr>
          <w:p w14:paraId="65A226C4"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4,583,821</w:t>
            </w:r>
          </w:p>
        </w:tc>
        <w:tc>
          <w:tcPr>
            <w:tcW w:w="708" w:type="dxa"/>
            <w:noWrap/>
            <w:hideMark/>
          </w:tcPr>
          <w:p w14:paraId="18B6161B"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39%</w:t>
            </w:r>
          </w:p>
        </w:tc>
      </w:tr>
      <w:tr w:rsidR="002E55E3" w:rsidRPr="004F1DD2" w14:paraId="037AD89C" w14:textId="77777777" w:rsidTr="004415D4">
        <w:trPr>
          <w:trHeight w:val="290"/>
        </w:trPr>
        <w:tc>
          <w:tcPr>
            <w:cnfStyle w:val="001000000000" w:firstRow="0" w:lastRow="0" w:firstColumn="1" w:lastColumn="0" w:oddVBand="0" w:evenVBand="0" w:oddHBand="0" w:evenHBand="0" w:firstRowFirstColumn="0" w:firstRowLastColumn="0" w:lastRowFirstColumn="0" w:lastRowLastColumn="0"/>
            <w:tcW w:w="1194" w:type="dxa"/>
            <w:noWrap/>
            <w:hideMark/>
          </w:tcPr>
          <w:p w14:paraId="2D715789" w14:textId="77777777" w:rsidR="002E55E3" w:rsidRPr="004F1DD2" w:rsidRDefault="002E55E3" w:rsidP="00EE55EB">
            <w:pPr>
              <w:rPr>
                <w:rFonts w:ascii="Calibri" w:hAnsi="Calibri" w:cs="Calibri"/>
                <w:color w:val="000000"/>
                <w:sz w:val="22"/>
                <w:szCs w:val="22"/>
              </w:rPr>
            </w:pPr>
            <w:r w:rsidRPr="004F1DD2">
              <w:rPr>
                <w:rFonts w:ascii="Calibri" w:hAnsi="Calibri" w:cs="Calibri"/>
                <w:color w:val="000000"/>
                <w:sz w:val="22"/>
                <w:szCs w:val="22"/>
              </w:rPr>
              <w:t>Secondary</w:t>
            </w:r>
          </w:p>
        </w:tc>
        <w:tc>
          <w:tcPr>
            <w:tcW w:w="1358" w:type="dxa"/>
            <w:noWrap/>
            <w:hideMark/>
          </w:tcPr>
          <w:p w14:paraId="7037EF92"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9,462,857</w:t>
            </w:r>
          </w:p>
        </w:tc>
        <w:tc>
          <w:tcPr>
            <w:tcW w:w="1276" w:type="dxa"/>
            <w:noWrap/>
            <w:hideMark/>
          </w:tcPr>
          <w:p w14:paraId="2CEE94D9"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533,579</w:t>
            </w:r>
          </w:p>
        </w:tc>
        <w:tc>
          <w:tcPr>
            <w:tcW w:w="1417" w:type="dxa"/>
            <w:noWrap/>
            <w:hideMark/>
          </w:tcPr>
          <w:p w14:paraId="57D11662"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7,265,390</w:t>
            </w:r>
          </w:p>
        </w:tc>
        <w:tc>
          <w:tcPr>
            <w:tcW w:w="1276" w:type="dxa"/>
            <w:noWrap/>
            <w:hideMark/>
          </w:tcPr>
          <w:p w14:paraId="0B54875F"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525,814</w:t>
            </w:r>
          </w:p>
        </w:tc>
        <w:tc>
          <w:tcPr>
            <w:tcW w:w="1217" w:type="dxa"/>
            <w:noWrap/>
            <w:hideMark/>
          </w:tcPr>
          <w:p w14:paraId="44D9EBDA"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2,197,467</w:t>
            </w:r>
          </w:p>
        </w:tc>
        <w:tc>
          <w:tcPr>
            <w:tcW w:w="708" w:type="dxa"/>
            <w:noWrap/>
            <w:hideMark/>
          </w:tcPr>
          <w:p w14:paraId="7739E7B4"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30%</w:t>
            </w:r>
          </w:p>
        </w:tc>
      </w:tr>
      <w:tr w:rsidR="002E55E3" w:rsidRPr="004F1DD2" w14:paraId="410CD54A" w14:textId="77777777" w:rsidTr="004415D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94" w:type="dxa"/>
            <w:noWrap/>
            <w:hideMark/>
          </w:tcPr>
          <w:p w14:paraId="1AD481A9" w14:textId="77777777" w:rsidR="002E55E3" w:rsidRPr="004F1DD2" w:rsidRDefault="002E55E3" w:rsidP="00EE55EB">
            <w:pPr>
              <w:rPr>
                <w:rFonts w:ascii="Calibri" w:hAnsi="Calibri" w:cs="Calibri"/>
                <w:color w:val="000000"/>
                <w:sz w:val="22"/>
                <w:szCs w:val="22"/>
              </w:rPr>
            </w:pPr>
            <w:r w:rsidRPr="004F1DD2">
              <w:rPr>
                <w:rFonts w:ascii="Calibri" w:hAnsi="Calibri" w:cs="Calibri"/>
                <w:color w:val="000000"/>
                <w:sz w:val="22"/>
                <w:szCs w:val="22"/>
              </w:rPr>
              <w:t>Special</w:t>
            </w:r>
          </w:p>
        </w:tc>
        <w:tc>
          <w:tcPr>
            <w:tcW w:w="1358" w:type="dxa"/>
            <w:noWrap/>
            <w:hideMark/>
          </w:tcPr>
          <w:p w14:paraId="657EF195"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5,018,583</w:t>
            </w:r>
          </w:p>
        </w:tc>
        <w:tc>
          <w:tcPr>
            <w:tcW w:w="1276" w:type="dxa"/>
            <w:noWrap/>
            <w:hideMark/>
          </w:tcPr>
          <w:p w14:paraId="5206BC04"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1,174,814</w:t>
            </w:r>
          </w:p>
        </w:tc>
        <w:tc>
          <w:tcPr>
            <w:tcW w:w="1417" w:type="dxa"/>
            <w:noWrap/>
            <w:hideMark/>
          </w:tcPr>
          <w:p w14:paraId="6767CBF4"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4,452,713</w:t>
            </w:r>
          </w:p>
        </w:tc>
        <w:tc>
          <w:tcPr>
            <w:tcW w:w="1276" w:type="dxa"/>
            <w:noWrap/>
            <w:hideMark/>
          </w:tcPr>
          <w:p w14:paraId="14083C11"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839,575</w:t>
            </w:r>
          </w:p>
        </w:tc>
        <w:tc>
          <w:tcPr>
            <w:tcW w:w="1217" w:type="dxa"/>
            <w:noWrap/>
            <w:hideMark/>
          </w:tcPr>
          <w:p w14:paraId="1AF50549"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565,870</w:t>
            </w:r>
          </w:p>
        </w:tc>
        <w:tc>
          <w:tcPr>
            <w:tcW w:w="708" w:type="dxa"/>
            <w:noWrap/>
            <w:hideMark/>
          </w:tcPr>
          <w:p w14:paraId="44D88255" w14:textId="77777777" w:rsidR="002E55E3" w:rsidRPr="004F1DD2" w:rsidRDefault="002E55E3" w:rsidP="00EE55E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F1DD2">
              <w:rPr>
                <w:rFonts w:ascii="Calibri" w:hAnsi="Calibri" w:cs="Calibri"/>
                <w:color w:val="000000"/>
                <w:sz w:val="22"/>
                <w:szCs w:val="22"/>
              </w:rPr>
              <w:t>13%</w:t>
            </w:r>
          </w:p>
        </w:tc>
      </w:tr>
      <w:tr w:rsidR="002E55E3" w:rsidRPr="004F1DD2" w14:paraId="53F0E12E" w14:textId="77777777" w:rsidTr="004415D4">
        <w:trPr>
          <w:trHeight w:val="290"/>
        </w:trPr>
        <w:tc>
          <w:tcPr>
            <w:cnfStyle w:val="001000000000" w:firstRow="0" w:lastRow="0" w:firstColumn="1" w:lastColumn="0" w:oddVBand="0" w:evenVBand="0" w:oddHBand="0" w:evenHBand="0" w:firstRowFirstColumn="0" w:firstRowLastColumn="0" w:lastRowFirstColumn="0" w:lastRowLastColumn="0"/>
            <w:tcW w:w="1194" w:type="dxa"/>
            <w:noWrap/>
            <w:hideMark/>
          </w:tcPr>
          <w:p w14:paraId="245F4CA1" w14:textId="77777777" w:rsidR="002E55E3" w:rsidRPr="004F1DD2" w:rsidRDefault="002E55E3" w:rsidP="00EE55EB">
            <w:pPr>
              <w:rPr>
                <w:rFonts w:ascii="Calibri" w:hAnsi="Calibri" w:cs="Calibri"/>
                <w:color w:val="000000"/>
                <w:sz w:val="22"/>
                <w:szCs w:val="22"/>
              </w:rPr>
            </w:pPr>
            <w:r w:rsidRPr="004F1DD2">
              <w:rPr>
                <w:rFonts w:ascii="Calibri" w:hAnsi="Calibri" w:cs="Calibri"/>
                <w:color w:val="000000"/>
                <w:sz w:val="22"/>
                <w:szCs w:val="22"/>
              </w:rPr>
              <w:t> </w:t>
            </w:r>
          </w:p>
        </w:tc>
        <w:tc>
          <w:tcPr>
            <w:tcW w:w="1358" w:type="dxa"/>
            <w:noWrap/>
            <w:hideMark/>
          </w:tcPr>
          <w:p w14:paraId="770B80AC"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4F1DD2">
              <w:rPr>
                <w:rFonts w:ascii="Calibri" w:hAnsi="Calibri" w:cs="Calibri"/>
                <w:b/>
                <w:bCs/>
                <w:color w:val="000000"/>
                <w:sz w:val="22"/>
                <w:szCs w:val="22"/>
              </w:rPr>
              <w:t>31,441,579</w:t>
            </w:r>
          </w:p>
        </w:tc>
        <w:tc>
          <w:tcPr>
            <w:tcW w:w="1276" w:type="dxa"/>
            <w:noWrap/>
            <w:hideMark/>
          </w:tcPr>
          <w:p w14:paraId="0F542B91"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4F1DD2">
              <w:rPr>
                <w:rFonts w:ascii="Calibri" w:hAnsi="Calibri" w:cs="Calibri"/>
                <w:b/>
                <w:bCs/>
                <w:color w:val="000000"/>
                <w:sz w:val="22"/>
                <w:szCs w:val="22"/>
              </w:rPr>
              <w:t>3,243,498</w:t>
            </w:r>
          </w:p>
        </w:tc>
        <w:tc>
          <w:tcPr>
            <w:tcW w:w="1417" w:type="dxa"/>
            <w:noWrap/>
            <w:hideMark/>
          </w:tcPr>
          <w:p w14:paraId="2B180E80"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4F1DD2">
              <w:rPr>
                <w:rFonts w:ascii="Calibri" w:hAnsi="Calibri" w:cs="Calibri"/>
                <w:b/>
                <w:bCs/>
                <w:color w:val="000000"/>
                <w:sz w:val="22"/>
                <w:szCs w:val="22"/>
              </w:rPr>
              <w:t>24,034,517</w:t>
            </w:r>
          </w:p>
        </w:tc>
        <w:tc>
          <w:tcPr>
            <w:tcW w:w="1276" w:type="dxa"/>
            <w:noWrap/>
            <w:hideMark/>
          </w:tcPr>
          <w:p w14:paraId="54F12083"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4F1DD2">
              <w:rPr>
                <w:rFonts w:ascii="Calibri" w:hAnsi="Calibri" w:cs="Calibri"/>
                <w:b/>
                <w:bCs/>
                <w:color w:val="000000"/>
                <w:sz w:val="22"/>
                <w:szCs w:val="22"/>
              </w:rPr>
              <w:t>2,963,372</w:t>
            </w:r>
          </w:p>
        </w:tc>
        <w:tc>
          <w:tcPr>
            <w:tcW w:w="1217" w:type="dxa"/>
            <w:noWrap/>
            <w:hideMark/>
          </w:tcPr>
          <w:p w14:paraId="41791D87"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4F1DD2">
              <w:rPr>
                <w:rFonts w:ascii="Calibri" w:hAnsi="Calibri" w:cs="Calibri"/>
                <w:b/>
                <w:bCs/>
                <w:color w:val="000000"/>
                <w:sz w:val="22"/>
                <w:szCs w:val="22"/>
              </w:rPr>
              <w:t>7,407,061</w:t>
            </w:r>
          </w:p>
        </w:tc>
        <w:tc>
          <w:tcPr>
            <w:tcW w:w="708" w:type="dxa"/>
            <w:noWrap/>
            <w:hideMark/>
          </w:tcPr>
          <w:p w14:paraId="5E6E9903" w14:textId="77777777" w:rsidR="002E55E3" w:rsidRPr="004F1DD2" w:rsidRDefault="002E55E3" w:rsidP="00EE55E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4F1DD2">
              <w:rPr>
                <w:rFonts w:ascii="Calibri" w:hAnsi="Calibri" w:cs="Calibri"/>
                <w:b/>
                <w:bCs/>
                <w:color w:val="000000"/>
                <w:sz w:val="22"/>
                <w:szCs w:val="22"/>
              </w:rPr>
              <w:t>31%</w:t>
            </w:r>
          </w:p>
        </w:tc>
      </w:tr>
    </w:tbl>
    <w:p w14:paraId="5AFB7A6D" w14:textId="77777777" w:rsidR="002E55E3" w:rsidRPr="0088574F" w:rsidRDefault="002E55E3" w:rsidP="002E55E3">
      <w:pPr>
        <w:spacing w:after="120"/>
        <w:ind w:left="720" w:hanging="720"/>
        <w:jc w:val="center"/>
        <w:rPr>
          <w:b/>
          <w:noProof/>
          <w:sz w:val="20"/>
          <w:szCs w:val="20"/>
        </w:rPr>
      </w:pPr>
    </w:p>
    <w:p w14:paraId="7C9483D5" w14:textId="77777777" w:rsidR="002E55E3" w:rsidRPr="00074773" w:rsidRDefault="002E55E3" w:rsidP="00074773">
      <w:pPr>
        <w:rPr>
          <w:b/>
          <w:bCs/>
        </w:rPr>
      </w:pPr>
      <w:r w:rsidRPr="00074773">
        <w:rPr>
          <w:b/>
          <w:bCs/>
        </w:rPr>
        <w:tab/>
        <w:t>School Revenue Deficits</w:t>
      </w:r>
    </w:p>
    <w:p w14:paraId="68927338" w14:textId="77777777" w:rsidR="002E55E3" w:rsidRDefault="002E55E3" w:rsidP="002E55E3">
      <w:pPr>
        <w:spacing w:after="120"/>
        <w:ind w:left="720" w:hanging="720"/>
        <w:jc w:val="both"/>
        <w:rPr>
          <w:iCs/>
        </w:rPr>
      </w:pPr>
      <w:r>
        <w:rPr>
          <w:iCs/>
        </w:rPr>
        <w:t>3.2</w:t>
      </w:r>
      <w:r>
        <w:rPr>
          <w:iCs/>
        </w:rPr>
        <w:tab/>
        <w:t>The final year end position at the end of 2019-20 included</w:t>
      </w:r>
      <w:r w:rsidRPr="006318C7">
        <w:rPr>
          <w:b/>
          <w:bCs/>
          <w:i/>
        </w:rPr>
        <w:t xml:space="preserve"> </w:t>
      </w:r>
      <w:r>
        <w:rPr>
          <w:b/>
          <w:bCs/>
          <w:i/>
        </w:rPr>
        <w:t>seven</w:t>
      </w:r>
      <w:r w:rsidRPr="00ED6650">
        <w:rPr>
          <w:iCs/>
        </w:rPr>
        <w:t xml:space="preserve"> schools</w:t>
      </w:r>
      <w:r w:rsidRPr="00D37F1B">
        <w:rPr>
          <w:iCs/>
        </w:rPr>
        <w:t xml:space="preserve"> </w:t>
      </w:r>
      <w:r>
        <w:rPr>
          <w:iCs/>
        </w:rPr>
        <w:t xml:space="preserve">with a revenue deficit, which has increased to </w:t>
      </w:r>
      <w:r w:rsidRPr="00062F2A">
        <w:rPr>
          <w:b/>
          <w:bCs/>
          <w:i/>
        </w:rPr>
        <w:t>nine</w:t>
      </w:r>
      <w:r>
        <w:rPr>
          <w:iCs/>
        </w:rPr>
        <w:t xml:space="preserve"> at the end of 2020-21.  Overall, the total value of deficit schools increased from -£1,62m to -£3.06m.</w:t>
      </w:r>
      <w:r w:rsidRPr="00A416E0">
        <w:rPr>
          <w:iCs/>
        </w:rPr>
        <w:t xml:space="preserve"> </w:t>
      </w:r>
      <w:r>
        <w:rPr>
          <w:iCs/>
        </w:rPr>
        <w:t xml:space="preserve"> One school came out of a deficit position, and 3 more entered into a deficit</w:t>
      </w:r>
    </w:p>
    <w:p w14:paraId="555B1A76" w14:textId="1E06A4DF" w:rsidR="002E55E3" w:rsidRPr="006318C7" w:rsidRDefault="002E55E3" w:rsidP="002E55E3">
      <w:pPr>
        <w:spacing w:after="120"/>
        <w:ind w:left="720" w:hanging="720"/>
        <w:jc w:val="both"/>
        <w:rPr>
          <w:b/>
          <w:bCs/>
          <w:i/>
        </w:rPr>
      </w:pPr>
      <w:r>
        <w:rPr>
          <w:iCs/>
        </w:rPr>
        <w:t>3.3.</w:t>
      </w:r>
      <w:r>
        <w:rPr>
          <w:iCs/>
        </w:rPr>
        <w:tab/>
        <w:t xml:space="preserve">Four of these deficit schools were undergoing planned closures, since completed; one school has successfully amalgamated; and another is seeking a partner in a bid to become sustainable for the future. </w:t>
      </w:r>
      <w:r w:rsidR="00074773">
        <w:rPr>
          <w:iCs/>
        </w:rPr>
        <w:br/>
      </w:r>
    </w:p>
    <w:p w14:paraId="23130905" w14:textId="77777777" w:rsidR="002E55E3" w:rsidRPr="00074773" w:rsidRDefault="002E55E3" w:rsidP="00074773">
      <w:pPr>
        <w:pStyle w:val="Heading2"/>
      </w:pPr>
      <w:r w:rsidRPr="00074773">
        <w:lastRenderedPageBreak/>
        <w:t>4.</w:t>
      </w:r>
      <w:r w:rsidRPr="00074773">
        <w:tab/>
      </w:r>
      <w:r w:rsidRPr="00074773">
        <w:rPr>
          <w:rStyle w:val="Heading1Char"/>
          <w:b/>
          <w:bCs/>
          <w:color w:val="319B31"/>
          <w:sz w:val="28"/>
          <w:szCs w:val="28"/>
        </w:rPr>
        <w:t>Scrutiny / Challenge</w:t>
      </w:r>
    </w:p>
    <w:p w14:paraId="2C4DCABA" w14:textId="77777777" w:rsidR="002E55E3" w:rsidRDefault="002E55E3" w:rsidP="002E55E3">
      <w:pPr>
        <w:keepNext/>
        <w:spacing w:after="120"/>
        <w:ind w:left="720" w:hanging="720"/>
        <w:jc w:val="both"/>
        <w:rPr>
          <w:iCs/>
        </w:rPr>
      </w:pPr>
      <w:r w:rsidRPr="00B74BDC">
        <w:rPr>
          <w:iCs/>
        </w:rPr>
        <w:t xml:space="preserve">4.1 </w:t>
      </w:r>
      <w:r>
        <w:rPr>
          <w:iCs/>
        </w:rPr>
        <w:tab/>
      </w:r>
      <w:bookmarkStart w:id="0" w:name="_Hlk42672798"/>
      <w:r>
        <w:rPr>
          <w:iCs/>
        </w:rPr>
        <w:t>The following sets out the desired position on challenging surplus balances. In the current pandemic this might not be feasible given the other pressures on schools and council officers.</w:t>
      </w:r>
    </w:p>
    <w:bookmarkEnd w:id="0"/>
    <w:p w14:paraId="3F67071B" w14:textId="77777777" w:rsidR="002E55E3" w:rsidRPr="00B74BDC" w:rsidRDefault="002E55E3" w:rsidP="002E55E3">
      <w:pPr>
        <w:keepNext/>
        <w:spacing w:after="120"/>
        <w:ind w:left="720" w:hanging="720"/>
        <w:jc w:val="both"/>
        <w:rPr>
          <w:iCs/>
        </w:rPr>
      </w:pPr>
      <w:r>
        <w:rPr>
          <w:iCs/>
        </w:rPr>
        <w:t>4.2</w:t>
      </w:r>
      <w:r>
        <w:rPr>
          <w:iCs/>
        </w:rPr>
        <w:tab/>
      </w:r>
      <w:r w:rsidRPr="00B74BDC">
        <w:rPr>
          <w:iCs/>
        </w:rPr>
        <w:t>The Department for Education (DfE) published Financial Management Framework document outlin</w:t>
      </w:r>
      <w:r>
        <w:rPr>
          <w:iCs/>
        </w:rPr>
        <w:t>es</w:t>
      </w:r>
      <w:r w:rsidRPr="00B74BDC">
        <w:rPr>
          <w:iCs/>
        </w:rPr>
        <w:t xml:space="preserve"> how the DfE </w:t>
      </w:r>
      <w:r>
        <w:rPr>
          <w:iCs/>
        </w:rPr>
        <w:t>intend</w:t>
      </w:r>
      <w:r w:rsidRPr="00B74BDC">
        <w:rPr>
          <w:iCs/>
        </w:rPr>
        <w:t xml:space="preserve"> to challenge and</w:t>
      </w:r>
      <w:r>
        <w:rPr>
          <w:iCs/>
        </w:rPr>
        <w:t xml:space="preserve"> </w:t>
      </w:r>
      <w:r w:rsidRPr="00B74BDC">
        <w:rPr>
          <w:iCs/>
        </w:rPr>
        <w:t>scrutinise local authorities and schools in certain areas. The framework focuses on</w:t>
      </w:r>
      <w:r>
        <w:rPr>
          <w:iCs/>
        </w:rPr>
        <w:t xml:space="preserve"> </w:t>
      </w:r>
      <w:r w:rsidRPr="00B74BDC">
        <w:rPr>
          <w:iCs/>
        </w:rPr>
        <w:t>three key aspects:</w:t>
      </w:r>
    </w:p>
    <w:p w14:paraId="6E885FDC" w14:textId="77777777" w:rsidR="002E55E3" w:rsidRPr="004401D0" w:rsidRDefault="002E55E3" w:rsidP="002E55E3">
      <w:pPr>
        <w:pStyle w:val="ListParagraph"/>
        <w:numPr>
          <w:ilvl w:val="0"/>
          <w:numId w:val="8"/>
        </w:numPr>
        <w:spacing w:after="120"/>
        <w:jc w:val="both"/>
        <w:rPr>
          <w:iCs/>
        </w:rPr>
      </w:pPr>
      <w:r w:rsidRPr="004401D0">
        <w:rPr>
          <w:iCs/>
        </w:rPr>
        <w:t>The reported year-end position of the total Dedicated Schools Grant (DSG);</w:t>
      </w:r>
    </w:p>
    <w:p w14:paraId="00D27EF3" w14:textId="77777777" w:rsidR="002E55E3" w:rsidRPr="004401D0" w:rsidRDefault="002E55E3" w:rsidP="002E55E3">
      <w:pPr>
        <w:pStyle w:val="ListParagraph"/>
        <w:numPr>
          <w:ilvl w:val="0"/>
          <w:numId w:val="8"/>
        </w:numPr>
        <w:spacing w:after="120"/>
        <w:jc w:val="both"/>
        <w:rPr>
          <w:iCs/>
        </w:rPr>
      </w:pPr>
      <w:r w:rsidRPr="004401D0">
        <w:rPr>
          <w:iCs/>
        </w:rPr>
        <w:t>The reported position of schools completing the Schools Financial Value Standard (SFVS); and</w:t>
      </w:r>
    </w:p>
    <w:p w14:paraId="265CE5DA" w14:textId="77777777" w:rsidR="002E55E3" w:rsidRPr="004401D0" w:rsidRDefault="002E55E3" w:rsidP="002E55E3">
      <w:pPr>
        <w:pStyle w:val="ListParagraph"/>
        <w:numPr>
          <w:ilvl w:val="0"/>
          <w:numId w:val="8"/>
        </w:numPr>
        <w:spacing w:after="120"/>
        <w:jc w:val="both"/>
        <w:rPr>
          <w:iCs/>
        </w:rPr>
      </w:pPr>
      <w:r w:rsidRPr="004401D0">
        <w:rPr>
          <w:iCs/>
        </w:rPr>
        <w:t>The reported position of surplus school balances held.</w:t>
      </w:r>
    </w:p>
    <w:p w14:paraId="54EAB12A" w14:textId="77777777" w:rsidR="002E55E3" w:rsidRDefault="002E55E3" w:rsidP="002E55E3">
      <w:pPr>
        <w:spacing w:after="120"/>
        <w:ind w:left="720" w:hanging="720"/>
        <w:jc w:val="both"/>
        <w:rPr>
          <w:iCs/>
        </w:rPr>
      </w:pPr>
      <w:r w:rsidRPr="00B74BDC">
        <w:rPr>
          <w:iCs/>
        </w:rPr>
        <w:t>4.</w:t>
      </w:r>
      <w:r>
        <w:rPr>
          <w:iCs/>
        </w:rPr>
        <w:t>3</w:t>
      </w:r>
      <w:r w:rsidRPr="00B74BDC">
        <w:rPr>
          <w:iCs/>
        </w:rPr>
        <w:t xml:space="preserve">. </w:t>
      </w:r>
      <w:r>
        <w:rPr>
          <w:iCs/>
        </w:rPr>
        <w:tab/>
      </w:r>
      <w:r w:rsidRPr="00B74BDC">
        <w:rPr>
          <w:iCs/>
        </w:rPr>
        <w:t>The latter aspect specifically will result in the DfE challenging</w:t>
      </w:r>
      <w:r>
        <w:rPr>
          <w:iCs/>
        </w:rPr>
        <w:t>,</w:t>
      </w:r>
      <w:r w:rsidRPr="00B74BDC">
        <w:rPr>
          <w:iCs/>
        </w:rPr>
        <w:t xml:space="preserve"> via the Local</w:t>
      </w:r>
      <w:r>
        <w:rPr>
          <w:iCs/>
        </w:rPr>
        <w:t xml:space="preserve"> </w:t>
      </w:r>
      <w:r w:rsidRPr="00B74BDC">
        <w:rPr>
          <w:iCs/>
        </w:rPr>
        <w:t>Authority (LA)</w:t>
      </w:r>
      <w:r>
        <w:rPr>
          <w:iCs/>
        </w:rPr>
        <w:t>,</w:t>
      </w:r>
      <w:r w:rsidRPr="00B74BDC">
        <w:rPr>
          <w:iCs/>
        </w:rPr>
        <w:t xml:space="preserve"> schools that repeatedly hold a surplus balance at year-end at 15% or</w:t>
      </w:r>
      <w:r>
        <w:rPr>
          <w:iCs/>
        </w:rPr>
        <w:t xml:space="preserve"> </w:t>
      </w:r>
      <w:r w:rsidRPr="00B74BDC">
        <w:rPr>
          <w:iCs/>
        </w:rPr>
        <w:t>above of their delegated budget share. Those schools with a surplus balance at or</w:t>
      </w:r>
      <w:r>
        <w:rPr>
          <w:iCs/>
        </w:rPr>
        <w:t xml:space="preserve"> </w:t>
      </w:r>
      <w:r w:rsidRPr="00B74BDC">
        <w:rPr>
          <w:iCs/>
        </w:rPr>
        <w:t>above 15% will be required to demonstrate that the surplus balance reported is</w:t>
      </w:r>
      <w:r>
        <w:rPr>
          <w:iCs/>
        </w:rPr>
        <w:t xml:space="preserve"> </w:t>
      </w:r>
      <w:r w:rsidRPr="00B74BDC">
        <w:rPr>
          <w:iCs/>
        </w:rPr>
        <w:t>held for assigned purpose(s) and has been reported to and agreed with the</w:t>
      </w:r>
      <w:r>
        <w:rPr>
          <w:iCs/>
        </w:rPr>
        <w:t xml:space="preserve"> </w:t>
      </w:r>
      <w:r w:rsidRPr="00B74BDC">
        <w:rPr>
          <w:iCs/>
        </w:rPr>
        <w:t>governing body</w:t>
      </w:r>
      <w:r>
        <w:rPr>
          <w:iCs/>
        </w:rPr>
        <w:t>.</w:t>
      </w:r>
    </w:p>
    <w:p w14:paraId="4A9B7CD9" w14:textId="77777777" w:rsidR="002E55E3" w:rsidRPr="00A7377D" w:rsidRDefault="002E55E3" w:rsidP="002E55E3">
      <w:pPr>
        <w:spacing w:after="120"/>
        <w:ind w:left="720" w:hanging="720"/>
        <w:jc w:val="both"/>
        <w:rPr>
          <w:iCs/>
        </w:rPr>
      </w:pPr>
    </w:p>
    <w:p w14:paraId="4A11783C" w14:textId="77777777" w:rsidR="002E55E3" w:rsidRPr="00074773" w:rsidRDefault="002E55E3" w:rsidP="00074773">
      <w:pPr>
        <w:pStyle w:val="Heading2"/>
      </w:pPr>
      <w:r w:rsidRPr="00074773">
        <w:t xml:space="preserve">5. </w:t>
      </w:r>
      <w:r w:rsidRPr="00074773">
        <w:tab/>
      </w:r>
      <w:r w:rsidRPr="00074773">
        <w:rPr>
          <w:rStyle w:val="Heading1Char"/>
          <w:b/>
          <w:bCs/>
          <w:color w:val="319B31"/>
          <w:sz w:val="28"/>
          <w:szCs w:val="28"/>
        </w:rPr>
        <w:t>Surplus Balance Control Mechanism</w:t>
      </w:r>
    </w:p>
    <w:p w14:paraId="1B3E62C0" w14:textId="77777777" w:rsidR="002E55E3" w:rsidRDefault="002E55E3" w:rsidP="002E55E3">
      <w:pPr>
        <w:pStyle w:val="Footer"/>
        <w:ind w:left="709" w:hanging="709"/>
      </w:pPr>
      <w:r w:rsidRPr="00D46E3E">
        <w:rPr>
          <w:iCs/>
        </w:rPr>
        <w:t>5.1</w:t>
      </w:r>
      <w:r>
        <w:rPr>
          <w:i/>
          <w:iCs/>
        </w:rPr>
        <w:tab/>
      </w:r>
      <w:r>
        <w:rPr>
          <w:iCs/>
        </w:rPr>
        <w:t>Tower Hamlets Scheme for Financing Schools imposes a threshold on uncommitted surpluses of 5% for secondary schools and 8% for other schools. Above this threshold, a school must demonstrate that there is either a prior year commitment or that</w:t>
      </w:r>
      <w:r>
        <w:t xml:space="preserve"> its</w:t>
      </w:r>
      <w:r w:rsidRPr="00197E96">
        <w:t xml:space="preserve"> gov</w:t>
      </w:r>
      <w:r>
        <w:t xml:space="preserve">erning body </w:t>
      </w:r>
      <w:r w:rsidRPr="00197E96">
        <w:t xml:space="preserve">has </w:t>
      </w:r>
      <w:r>
        <w:t xml:space="preserve">agreed to set aside funds </w:t>
      </w:r>
      <w:r w:rsidRPr="00197E96">
        <w:t>for specific purp</w:t>
      </w:r>
      <w:r>
        <w:t xml:space="preserve">oses permitted by the authority. </w:t>
      </w:r>
      <w:r w:rsidRPr="00197E96">
        <w:t>To count as properly assigned, amounts must not be retained beyond the period stipulated for the purpose in question, without the consent of the LA. In considering whether any sums are properly assigned the LA may also take into account any previously declared assignment of such sums but may not</w:t>
      </w:r>
      <w:r w:rsidRPr="00197E96">
        <w:rPr>
          <w:i/>
          <w:iCs/>
        </w:rPr>
        <w:t xml:space="preserve"> </w:t>
      </w:r>
      <w:r w:rsidRPr="00197E96">
        <w:t>take any change in planned assignments to be the sole reason for considering that a sum is not properly assigned.</w:t>
      </w:r>
    </w:p>
    <w:p w14:paraId="435F2821" w14:textId="77777777" w:rsidR="002E55E3" w:rsidRPr="00197E96" w:rsidRDefault="002E55E3" w:rsidP="002E55E3">
      <w:pPr>
        <w:pStyle w:val="Footer"/>
        <w:ind w:left="709" w:hanging="709"/>
      </w:pPr>
    </w:p>
    <w:p w14:paraId="349365A9" w14:textId="77777777" w:rsidR="002E55E3" w:rsidRDefault="002E55E3" w:rsidP="002E55E3">
      <w:pPr>
        <w:spacing w:after="120"/>
        <w:ind w:left="720" w:hanging="720"/>
        <w:jc w:val="both"/>
        <w:rPr>
          <w:iCs/>
        </w:rPr>
      </w:pPr>
      <w:r>
        <w:rPr>
          <w:iCs/>
        </w:rPr>
        <w:t>5.2</w:t>
      </w:r>
      <w:r>
        <w:rPr>
          <w:iCs/>
        </w:rPr>
        <w:tab/>
        <w:t>The Schools Finance Team have requested all schools to confirm the balances reported and requesting the completion of the surplus plan proformas.  This information is analysed and</w:t>
      </w:r>
      <w:r w:rsidRPr="00D273FE">
        <w:rPr>
          <w:iCs/>
        </w:rPr>
        <w:t xml:space="preserve"> discussions </w:t>
      </w:r>
      <w:r>
        <w:rPr>
          <w:iCs/>
        </w:rPr>
        <w:t>h</w:t>
      </w:r>
      <w:r w:rsidRPr="00D273FE">
        <w:rPr>
          <w:iCs/>
        </w:rPr>
        <w:t>eld between finance staff and other</w:t>
      </w:r>
      <w:r>
        <w:rPr>
          <w:iCs/>
        </w:rPr>
        <w:t xml:space="preserve"> </w:t>
      </w:r>
      <w:r w:rsidRPr="00D273FE">
        <w:rPr>
          <w:iCs/>
        </w:rPr>
        <w:t xml:space="preserve">officers, including school development officers, </w:t>
      </w:r>
      <w:r>
        <w:rPr>
          <w:iCs/>
        </w:rPr>
        <w:t xml:space="preserve">to arrive at a </w:t>
      </w:r>
      <w:r w:rsidRPr="00D273FE">
        <w:rPr>
          <w:iCs/>
        </w:rPr>
        <w:t>decision as to whether or not the</w:t>
      </w:r>
      <w:r>
        <w:rPr>
          <w:iCs/>
        </w:rPr>
        <w:t xml:space="preserve"> </w:t>
      </w:r>
      <w:r w:rsidRPr="00D273FE">
        <w:rPr>
          <w:iCs/>
        </w:rPr>
        <w:t>proposals are acceptable. Further information may be required from schools to support their</w:t>
      </w:r>
      <w:r>
        <w:rPr>
          <w:iCs/>
        </w:rPr>
        <w:t xml:space="preserve"> </w:t>
      </w:r>
      <w:r w:rsidRPr="00D273FE">
        <w:rPr>
          <w:iCs/>
        </w:rPr>
        <w:t>proposals. Schools should involve Governing bodies in this process.</w:t>
      </w:r>
    </w:p>
    <w:p w14:paraId="15AFDEE9" w14:textId="77777777" w:rsidR="002E55E3" w:rsidRPr="00D273FE" w:rsidRDefault="002E55E3" w:rsidP="002E55E3">
      <w:pPr>
        <w:spacing w:after="120"/>
        <w:ind w:left="720" w:hanging="720"/>
        <w:jc w:val="both"/>
        <w:rPr>
          <w:iCs/>
        </w:rPr>
      </w:pPr>
      <w:r>
        <w:rPr>
          <w:iCs/>
        </w:rPr>
        <w:t>5.3</w:t>
      </w:r>
      <w:r>
        <w:rPr>
          <w:iCs/>
        </w:rPr>
        <w:tab/>
        <w:t xml:space="preserve">Schools are also required to submit quarterly monitoring information, which includes a projection of the year end position, and should evidence progress or potential further financial risk is assessed. </w:t>
      </w:r>
      <w:r w:rsidRPr="00D273FE">
        <w:rPr>
          <w:iCs/>
        </w:rPr>
        <w:t xml:space="preserve"> Where proposals are accepted, </w:t>
      </w:r>
      <w:r w:rsidRPr="00D273FE">
        <w:rPr>
          <w:iCs/>
        </w:rPr>
        <w:lastRenderedPageBreak/>
        <w:t xml:space="preserve">schools will </w:t>
      </w:r>
      <w:r>
        <w:rPr>
          <w:iCs/>
        </w:rPr>
        <w:t xml:space="preserve">continue to </w:t>
      </w:r>
      <w:r w:rsidRPr="00D273FE">
        <w:rPr>
          <w:iCs/>
        </w:rPr>
        <w:t xml:space="preserve">be </w:t>
      </w:r>
      <w:r>
        <w:rPr>
          <w:iCs/>
        </w:rPr>
        <w:t xml:space="preserve">supported and </w:t>
      </w:r>
      <w:r w:rsidRPr="00D273FE">
        <w:rPr>
          <w:iCs/>
        </w:rPr>
        <w:t>monitored to ensure the plans are put into practice</w:t>
      </w:r>
      <w:r>
        <w:rPr>
          <w:iCs/>
        </w:rPr>
        <w:t xml:space="preserve"> and are sustainable. </w:t>
      </w:r>
    </w:p>
    <w:p w14:paraId="1707544F" w14:textId="77777777" w:rsidR="002E55E3" w:rsidRDefault="002E55E3" w:rsidP="002E55E3">
      <w:pPr>
        <w:spacing w:after="120"/>
        <w:ind w:left="720" w:hanging="720"/>
        <w:jc w:val="both"/>
        <w:rPr>
          <w:iCs/>
        </w:rPr>
      </w:pPr>
      <w:r>
        <w:rPr>
          <w:iCs/>
        </w:rPr>
        <w:t>5.4</w:t>
      </w:r>
      <w:r>
        <w:rPr>
          <w:iCs/>
        </w:rPr>
        <w:tab/>
      </w:r>
      <w:r w:rsidRPr="00D273FE">
        <w:rPr>
          <w:iCs/>
        </w:rPr>
        <w:t xml:space="preserve">Where proposals are not accepted, the surplus funding </w:t>
      </w:r>
      <w:r>
        <w:rPr>
          <w:iCs/>
        </w:rPr>
        <w:t xml:space="preserve">(in excess of the 5% and 8%) can </w:t>
      </w:r>
      <w:r w:rsidRPr="00D273FE">
        <w:rPr>
          <w:iCs/>
        </w:rPr>
        <w:t>be clawed back and directed to the</w:t>
      </w:r>
      <w:r>
        <w:rPr>
          <w:iCs/>
        </w:rPr>
        <w:t xml:space="preserve"> </w:t>
      </w:r>
      <w:r w:rsidRPr="00D273FE">
        <w:rPr>
          <w:iCs/>
        </w:rPr>
        <w:t>Schools Budget overall, to benefit pupils in general.</w:t>
      </w:r>
    </w:p>
    <w:p w14:paraId="0F3A0F01" w14:textId="77777777" w:rsidR="002E55E3" w:rsidRPr="00AA22B2" w:rsidRDefault="002E55E3" w:rsidP="00074773">
      <w:pPr>
        <w:pStyle w:val="Heading2"/>
      </w:pPr>
      <w:r w:rsidRPr="00AA22B2">
        <w:t>Appendix 2</w:t>
      </w:r>
    </w:p>
    <w:p w14:paraId="415E4499" w14:textId="77777777" w:rsidR="002E55E3" w:rsidRDefault="002E55E3" w:rsidP="002E55E3">
      <w:pPr>
        <w:autoSpaceDE w:val="0"/>
        <w:autoSpaceDN w:val="0"/>
        <w:adjustRightInd w:val="0"/>
        <w:rPr>
          <w:b/>
        </w:rPr>
      </w:pPr>
    </w:p>
    <w:p w14:paraId="587A7401" w14:textId="77777777" w:rsidR="002E55E3" w:rsidRPr="00746D53" w:rsidRDefault="002E55E3" w:rsidP="002E55E3">
      <w:pPr>
        <w:autoSpaceDE w:val="0"/>
        <w:autoSpaceDN w:val="0"/>
        <w:adjustRightInd w:val="0"/>
        <w:rPr>
          <w:b/>
          <w:bCs/>
          <w:sz w:val="20"/>
          <w:szCs w:val="20"/>
        </w:rPr>
      </w:pPr>
      <w:r w:rsidRPr="00746D53">
        <w:rPr>
          <w:b/>
          <w:bCs/>
          <w:sz w:val="20"/>
          <w:szCs w:val="20"/>
        </w:rPr>
        <w:t>Defining a “committed” balance</w:t>
      </w:r>
      <w:r>
        <w:rPr>
          <w:b/>
          <w:bCs/>
          <w:sz w:val="20"/>
          <w:szCs w:val="20"/>
        </w:rPr>
        <w:tab/>
      </w:r>
      <w:r>
        <w:rPr>
          <w:b/>
          <w:bCs/>
          <w:sz w:val="20"/>
          <w:szCs w:val="20"/>
        </w:rPr>
        <w:tab/>
      </w:r>
      <w:r>
        <w:rPr>
          <w:b/>
          <w:bCs/>
          <w:sz w:val="20"/>
          <w:szCs w:val="20"/>
        </w:rPr>
        <w:tab/>
      </w:r>
      <w:r>
        <w:rPr>
          <w:b/>
          <w:bCs/>
          <w:sz w:val="20"/>
          <w:szCs w:val="20"/>
        </w:rPr>
        <w:tab/>
      </w:r>
    </w:p>
    <w:p w14:paraId="6CC11CB5" w14:textId="77777777" w:rsidR="002E55E3" w:rsidRPr="00746D53" w:rsidRDefault="002E55E3" w:rsidP="002E55E3">
      <w:pPr>
        <w:autoSpaceDE w:val="0"/>
        <w:autoSpaceDN w:val="0"/>
        <w:adjustRightInd w:val="0"/>
        <w:rPr>
          <w:sz w:val="20"/>
          <w:szCs w:val="20"/>
        </w:rPr>
      </w:pPr>
      <w:r w:rsidRPr="00746D53">
        <w:rPr>
          <w:sz w:val="20"/>
          <w:szCs w:val="20"/>
        </w:rPr>
        <w:t xml:space="preserve">• Schools with an excess surplus balance must be able to justify their plans for their whole balance, not just the amount they are over the threshold, or they could be </w:t>
      </w:r>
      <w:r>
        <w:rPr>
          <w:sz w:val="20"/>
          <w:szCs w:val="20"/>
        </w:rPr>
        <w:t xml:space="preserve">subject to </w:t>
      </w:r>
      <w:r w:rsidRPr="00746D53">
        <w:rPr>
          <w:sz w:val="20"/>
          <w:szCs w:val="20"/>
        </w:rPr>
        <w:t>clawback.</w:t>
      </w:r>
    </w:p>
    <w:p w14:paraId="47773D7F" w14:textId="77777777" w:rsidR="002E55E3" w:rsidRPr="00746D53" w:rsidRDefault="002E55E3" w:rsidP="002E55E3">
      <w:pPr>
        <w:autoSpaceDE w:val="0"/>
        <w:autoSpaceDN w:val="0"/>
        <w:adjustRightInd w:val="0"/>
        <w:rPr>
          <w:sz w:val="20"/>
          <w:szCs w:val="20"/>
        </w:rPr>
      </w:pPr>
      <w:r w:rsidRPr="00746D53">
        <w:rPr>
          <w:sz w:val="20"/>
          <w:szCs w:val="20"/>
        </w:rPr>
        <w:t>• However, the local authority recognises the need for schools to hold a reasonable ongoing contingency balance.</w:t>
      </w:r>
    </w:p>
    <w:p w14:paraId="447F00C9" w14:textId="77777777" w:rsidR="002E55E3" w:rsidRPr="00746D53" w:rsidRDefault="002E55E3" w:rsidP="002E55E3">
      <w:pPr>
        <w:autoSpaceDE w:val="0"/>
        <w:autoSpaceDN w:val="0"/>
        <w:adjustRightInd w:val="0"/>
        <w:rPr>
          <w:sz w:val="20"/>
          <w:szCs w:val="20"/>
        </w:rPr>
      </w:pPr>
      <w:r w:rsidRPr="00746D53">
        <w:rPr>
          <w:sz w:val="20"/>
          <w:szCs w:val="20"/>
        </w:rPr>
        <w:t>• Monies will only be classed as committed if the school can provide evidence to show that they</w:t>
      </w:r>
    </w:p>
    <w:p w14:paraId="574DFC14" w14:textId="77777777" w:rsidR="002E55E3" w:rsidRPr="00746D53" w:rsidRDefault="002E55E3" w:rsidP="002E55E3">
      <w:pPr>
        <w:autoSpaceDE w:val="0"/>
        <w:autoSpaceDN w:val="0"/>
        <w:adjustRightInd w:val="0"/>
        <w:rPr>
          <w:sz w:val="20"/>
          <w:szCs w:val="20"/>
        </w:rPr>
      </w:pPr>
    </w:p>
    <w:p w14:paraId="65CC7C08" w14:textId="77777777" w:rsidR="002E55E3" w:rsidRPr="00746D53" w:rsidRDefault="002E55E3" w:rsidP="002E55E3">
      <w:pPr>
        <w:pStyle w:val="ListParagraph"/>
        <w:numPr>
          <w:ilvl w:val="0"/>
          <w:numId w:val="9"/>
        </w:numPr>
        <w:autoSpaceDE w:val="0"/>
        <w:autoSpaceDN w:val="0"/>
        <w:adjustRightInd w:val="0"/>
        <w:rPr>
          <w:rFonts w:cs="Arial"/>
          <w:sz w:val="20"/>
          <w:szCs w:val="20"/>
        </w:rPr>
      </w:pPr>
      <w:r w:rsidRPr="00746D53">
        <w:rPr>
          <w:rFonts w:cs="Arial"/>
          <w:sz w:val="20"/>
          <w:szCs w:val="20"/>
        </w:rPr>
        <w:t xml:space="preserve">have been set aside for a </w:t>
      </w:r>
      <w:r w:rsidRPr="00746D53">
        <w:rPr>
          <w:rFonts w:cs="Arial"/>
          <w:b/>
          <w:bCs/>
          <w:sz w:val="20"/>
          <w:szCs w:val="20"/>
        </w:rPr>
        <w:t>specific purpose</w:t>
      </w:r>
      <w:r w:rsidRPr="00746D53">
        <w:rPr>
          <w:rFonts w:cs="Arial"/>
          <w:sz w:val="20"/>
          <w:szCs w:val="20"/>
        </w:rPr>
        <w:t>;</w:t>
      </w:r>
    </w:p>
    <w:p w14:paraId="70BF26E7" w14:textId="77777777" w:rsidR="002E55E3" w:rsidRPr="00746D53" w:rsidRDefault="002E55E3" w:rsidP="002E55E3">
      <w:pPr>
        <w:pStyle w:val="ListParagraph"/>
        <w:numPr>
          <w:ilvl w:val="0"/>
          <w:numId w:val="9"/>
        </w:numPr>
        <w:autoSpaceDE w:val="0"/>
        <w:autoSpaceDN w:val="0"/>
        <w:adjustRightInd w:val="0"/>
        <w:rPr>
          <w:rFonts w:cs="Arial"/>
          <w:sz w:val="20"/>
          <w:szCs w:val="20"/>
        </w:rPr>
      </w:pPr>
      <w:r w:rsidRPr="00746D53">
        <w:rPr>
          <w:rFonts w:cs="Arial"/>
          <w:sz w:val="20"/>
          <w:szCs w:val="20"/>
        </w:rPr>
        <w:t xml:space="preserve">will be spent within a </w:t>
      </w:r>
      <w:r w:rsidRPr="00746D53">
        <w:rPr>
          <w:rFonts w:cs="Arial"/>
          <w:b/>
          <w:bCs/>
          <w:sz w:val="20"/>
          <w:szCs w:val="20"/>
        </w:rPr>
        <w:t xml:space="preserve">defined timescale </w:t>
      </w:r>
      <w:r w:rsidRPr="00746D53">
        <w:rPr>
          <w:rFonts w:cs="Arial"/>
          <w:sz w:val="20"/>
          <w:szCs w:val="20"/>
        </w:rPr>
        <w:t>with a fixed end point; and</w:t>
      </w:r>
    </w:p>
    <w:p w14:paraId="7044709D" w14:textId="77777777" w:rsidR="002E55E3" w:rsidRPr="00746D53" w:rsidRDefault="002E55E3" w:rsidP="002E55E3">
      <w:pPr>
        <w:pStyle w:val="ListParagraph"/>
        <w:numPr>
          <w:ilvl w:val="0"/>
          <w:numId w:val="9"/>
        </w:numPr>
        <w:autoSpaceDE w:val="0"/>
        <w:autoSpaceDN w:val="0"/>
        <w:adjustRightInd w:val="0"/>
        <w:rPr>
          <w:rFonts w:cs="Arial"/>
          <w:sz w:val="20"/>
          <w:szCs w:val="20"/>
        </w:rPr>
      </w:pPr>
      <w:r w:rsidRPr="00746D53">
        <w:rPr>
          <w:rFonts w:cs="Arial"/>
          <w:sz w:val="20"/>
          <w:szCs w:val="20"/>
        </w:rPr>
        <w:t xml:space="preserve">have been </w:t>
      </w:r>
      <w:r w:rsidRPr="00746D53">
        <w:rPr>
          <w:rFonts w:cs="Arial"/>
          <w:b/>
          <w:bCs/>
          <w:sz w:val="20"/>
          <w:szCs w:val="20"/>
        </w:rPr>
        <w:t xml:space="preserve">properly approved </w:t>
      </w:r>
      <w:r w:rsidRPr="00746D53">
        <w:rPr>
          <w:rFonts w:cs="Arial"/>
          <w:sz w:val="20"/>
          <w:szCs w:val="20"/>
        </w:rPr>
        <w:t>by governors.</w:t>
      </w:r>
    </w:p>
    <w:p w14:paraId="0CA12B41" w14:textId="77777777" w:rsidR="002E55E3" w:rsidRPr="00746D53" w:rsidRDefault="002E55E3" w:rsidP="002E55E3">
      <w:pPr>
        <w:pStyle w:val="ListParagraph"/>
        <w:autoSpaceDE w:val="0"/>
        <w:autoSpaceDN w:val="0"/>
        <w:adjustRightInd w:val="0"/>
        <w:rPr>
          <w:rFonts w:cs="Arial"/>
          <w:sz w:val="20"/>
          <w:szCs w:val="20"/>
        </w:rPr>
      </w:pPr>
    </w:p>
    <w:p w14:paraId="1E05059A" w14:textId="77777777" w:rsidR="002E55E3" w:rsidRPr="00746D53" w:rsidRDefault="002E55E3" w:rsidP="002E55E3">
      <w:pPr>
        <w:autoSpaceDE w:val="0"/>
        <w:autoSpaceDN w:val="0"/>
        <w:adjustRightInd w:val="0"/>
        <w:rPr>
          <w:sz w:val="20"/>
          <w:szCs w:val="20"/>
        </w:rPr>
      </w:pPr>
      <w:r w:rsidRPr="00746D53">
        <w:rPr>
          <w:sz w:val="20"/>
          <w:szCs w:val="20"/>
        </w:rPr>
        <w:t>• All schools should be planning to spend the great majority of their money on children in schools now, rather than planning reasons to hold on to it. Committed sums should be planned for, and should not simply be used as an explanation for a large balance. Schools will need to provide evidence of planning, such as details of projects in the school’s Asset Management Plan or School Development Plan, along with minutes of governors’ meetings.</w:t>
      </w:r>
    </w:p>
    <w:p w14:paraId="41B4A622" w14:textId="77777777" w:rsidR="002E55E3" w:rsidRPr="00746D53" w:rsidRDefault="002E55E3" w:rsidP="002E55E3">
      <w:pPr>
        <w:autoSpaceDE w:val="0"/>
        <w:autoSpaceDN w:val="0"/>
        <w:adjustRightInd w:val="0"/>
        <w:rPr>
          <w:sz w:val="20"/>
          <w:szCs w:val="20"/>
        </w:rPr>
      </w:pPr>
    </w:p>
    <w:p w14:paraId="4A56413D" w14:textId="77777777" w:rsidR="002E55E3" w:rsidRPr="00746D53" w:rsidRDefault="002E55E3" w:rsidP="002E55E3">
      <w:pPr>
        <w:autoSpaceDE w:val="0"/>
        <w:autoSpaceDN w:val="0"/>
        <w:adjustRightInd w:val="0"/>
        <w:rPr>
          <w:sz w:val="20"/>
          <w:szCs w:val="20"/>
        </w:rPr>
      </w:pPr>
      <w:r w:rsidRPr="00746D53">
        <w:rPr>
          <w:sz w:val="20"/>
          <w:szCs w:val="20"/>
        </w:rPr>
        <w:t>• The local authority will monitor whether the school has subsequently implemented the agreed plans, and will be prepared to claw back funds if there are not good reasons for these failing to progress.</w:t>
      </w:r>
    </w:p>
    <w:p w14:paraId="6A11A7A9" w14:textId="77777777" w:rsidR="002E55E3" w:rsidRPr="00746D53" w:rsidRDefault="002E55E3" w:rsidP="002E55E3">
      <w:pPr>
        <w:autoSpaceDE w:val="0"/>
        <w:autoSpaceDN w:val="0"/>
        <w:adjustRightInd w:val="0"/>
        <w:rPr>
          <w:sz w:val="20"/>
          <w:szCs w:val="20"/>
        </w:rPr>
      </w:pPr>
    </w:p>
    <w:p w14:paraId="4259EAD1" w14:textId="77777777" w:rsidR="002E55E3" w:rsidRPr="00746D53" w:rsidRDefault="002E55E3" w:rsidP="002E55E3">
      <w:pPr>
        <w:autoSpaceDE w:val="0"/>
        <w:autoSpaceDN w:val="0"/>
        <w:adjustRightInd w:val="0"/>
        <w:rPr>
          <w:b/>
          <w:bCs/>
          <w:i/>
          <w:iCs/>
          <w:sz w:val="20"/>
          <w:szCs w:val="20"/>
        </w:rPr>
      </w:pPr>
      <w:r w:rsidRPr="00746D53">
        <w:rPr>
          <w:b/>
          <w:bCs/>
          <w:i/>
          <w:iCs/>
          <w:sz w:val="20"/>
          <w:szCs w:val="20"/>
        </w:rPr>
        <w:t>Planning for uncertainty over future rolls, staffing, or funding</w:t>
      </w:r>
    </w:p>
    <w:p w14:paraId="0E922766" w14:textId="77777777" w:rsidR="002E55E3" w:rsidRPr="00746D53" w:rsidRDefault="002E55E3" w:rsidP="002E55E3">
      <w:pPr>
        <w:autoSpaceDE w:val="0"/>
        <w:autoSpaceDN w:val="0"/>
        <w:adjustRightInd w:val="0"/>
        <w:rPr>
          <w:b/>
          <w:bCs/>
          <w:sz w:val="20"/>
          <w:szCs w:val="20"/>
        </w:rPr>
      </w:pPr>
      <w:r w:rsidRPr="00746D53">
        <w:rPr>
          <w:b/>
          <w:bCs/>
          <w:sz w:val="20"/>
          <w:szCs w:val="20"/>
        </w:rPr>
        <w:t>Schools should provide calculations, plans, or projections to show expected changes in rolls or staffing.</w:t>
      </w:r>
    </w:p>
    <w:p w14:paraId="17FE34DF" w14:textId="77777777" w:rsidR="002E55E3" w:rsidRPr="00746D53" w:rsidRDefault="002E55E3" w:rsidP="002E55E3">
      <w:pPr>
        <w:autoSpaceDE w:val="0"/>
        <w:autoSpaceDN w:val="0"/>
        <w:adjustRightInd w:val="0"/>
        <w:rPr>
          <w:sz w:val="20"/>
          <w:szCs w:val="20"/>
        </w:rPr>
      </w:pPr>
      <w:r w:rsidRPr="00746D53">
        <w:rPr>
          <w:sz w:val="20"/>
          <w:szCs w:val="20"/>
        </w:rPr>
        <w:t>If a school is projecting a fall in pupil numbers, then it needs to move towards a budget and staffing structure which is sustainable on a long-term basis. Surplus balances should not be used to defer difficult decisions, though it could be legitimate for a school to cushion a temporary dip in pupil numbers or to fund the part-year costs of not implementing staffing reductions until the autumn term.</w:t>
      </w:r>
    </w:p>
    <w:p w14:paraId="0E3F0710" w14:textId="77777777" w:rsidR="002E55E3" w:rsidRPr="00746D53" w:rsidRDefault="002E55E3" w:rsidP="002E55E3">
      <w:pPr>
        <w:autoSpaceDE w:val="0"/>
        <w:autoSpaceDN w:val="0"/>
        <w:adjustRightInd w:val="0"/>
        <w:rPr>
          <w:sz w:val="20"/>
          <w:szCs w:val="20"/>
        </w:rPr>
      </w:pPr>
    </w:p>
    <w:p w14:paraId="22FE9F32" w14:textId="77777777" w:rsidR="002E55E3" w:rsidRPr="00746D53" w:rsidRDefault="002E55E3" w:rsidP="002E55E3">
      <w:pPr>
        <w:autoSpaceDE w:val="0"/>
        <w:autoSpaceDN w:val="0"/>
        <w:adjustRightInd w:val="0"/>
        <w:rPr>
          <w:b/>
          <w:bCs/>
          <w:sz w:val="20"/>
          <w:szCs w:val="20"/>
        </w:rPr>
      </w:pPr>
      <w:r w:rsidRPr="00746D53">
        <w:rPr>
          <w:b/>
          <w:bCs/>
          <w:sz w:val="20"/>
          <w:szCs w:val="20"/>
        </w:rPr>
        <w:t>It is prudent to keep some money aside for contingencies.</w:t>
      </w:r>
    </w:p>
    <w:p w14:paraId="1D2E055A" w14:textId="77777777" w:rsidR="002E55E3" w:rsidRPr="00746D53" w:rsidRDefault="002E55E3" w:rsidP="002E55E3">
      <w:pPr>
        <w:autoSpaceDE w:val="0"/>
        <w:autoSpaceDN w:val="0"/>
        <w:adjustRightInd w:val="0"/>
        <w:rPr>
          <w:sz w:val="20"/>
          <w:szCs w:val="20"/>
        </w:rPr>
      </w:pPr>
      <w:r w:rsidRPr="00746D53">
        <w:rPr>
          <w:sz w:val="20"/>
          <w:szCs w:val="20"/>
        </w:rPr>
        <w:t>However, this amount should be reasonable, based on the size of the school and its history of</w:t>
      </w:r>
    </w:p>
    <w:p w14:paraId="09900C6A" w14:textId="77777777" w:rsidR="002E55E3" w:rsidRPr="00746D53" w:rsidRDefault="002E55E3" w:rsidP="002E55E3">
      <w:pPr>
        <w:autoSpaceDE w:val="0"/>
        <w:autoSpaceDN w:val="0"/>
        <w:adjustRightInd w:val="0"/>
        <w:rPr>
          <w:sz w:val="20"/>
          <w:szCs w:val="20"/>
        </w:rPr>
      </w:pPr>
      <w:r>
        <w:rPr>
          <w:sz w:val="20"/>
          <w:szCs w:val="20"/>
        </w:rPr>
        <w:t>b</w:t>
      </w:r>
      <w:r w:rsidRPr="00746D53">
        <w:rPr>
          <w:sz w:val="20"/>
          <w:szCs w:val="20"/>
        </w:rPr>
        <w:t>alances.</w:t>
      </w:r>
      <w:r>
        <w:rPr>
          <w:sz w:val="20"/>
          <w:szCs w:val="20"/>
        </w:rPr>
        <w:t xml:space="preserve"> It is expected that contingencies would be within the 5% and 8% limits.</w:t>
      </w:r>
    </w:p>
    <w:p w14:paraId="7638F341" w14:textId="77777777" w:rsidR="002E55E3" w:rsidRPr="00746D53" w:rsidRDefault="002E55E3" w:rsidP="002E55E3">
      <w:pPr>
        <w:autoSpaceDE w:val="0"/>
        <w:autoSpaceDN w:val="0"/>
        <w:adjustRightInd w:val="0"/>
        <w:rPr>
          <w:sz w:val="20"/>
          <w:szCs w:val="20"/>
        </w:rPr>
      </w:pPr>
    </w:p>
    <w:p w14:paraId="01D90006" w14:textId="77777777" w:rsidR="002E55E3" w:rsidRPr="00746D53" w:rsidRDefault="002E55E3" w:rsidP="002E55E3">
      <w:pPr>
        <w:autoSpaceDE w:val="0"/>
        <w:autoSpaceDN w:val="0"/>
        <w:adjustRightInd w:val="0"/>
        <w:rPr>
          <w:b/>
          <w:bCs/>
          <w:i/>
          <w:iCs/>
          <w:sz w:val="20"/>
          <w:szCs w:val="20"/>
        </w:rPr>
      </w:pPr>
      <w:r w:rsidRPr="00746D53">
        <w:rPr>
          <w:b/>
          <w:bCs/>
          <w:i/>
          <w:iCs/>
          <w:sz w:val="20"/>
          <w:szCs w:val="20"/>
        </w:rPr>
        <w:t>Prior year payments, accruals, and committed orders</w:t>
      </w:r>
    </w:p>
    <w:p w14:paraId="7CE29FF2" w14:textId="77777777" w:rsidR="002E55E3" w:rsidRPr="00746D53" w:rsidRDefault="002E55E3" w:rsidP="002E55E3">
      <w:pPr>
        <w:autoSpaceDE w:val="0"/>
        <w:autoSpaceDN w:val="0"/>
        <w:adjustRightInd w:val="0"/>
        <w:rPr>
          <w:sz w:val="20"/>
          <w:szCs w:val="20"/>
        </w:rPr>
      </w:pPr>
      <w:r w:rsidRPr="00746D53">
        <w:rPr>
          <w:sz w:val="20"/>
          <w:szCs w:val="20"/>
        </w:rPr>
        <w:lastRenderedPageBreak/>
        <w:t>Where a school is awaiting charges for services or goods, it should be able to produce evidence such as copies of orders, quotes, delivery notes, or invoices. Reported accruals or commitments should reconcile to what is recorded on the school’s financial system.</w:t>
      </w:r>
    </w:p>
    <w:p w14:paraId="1D1F08D8" w14:textId="77777777" w:rsidR="002E55E3" w:rsidRPr="00746D53" w:rsidRDefault="002E55E3" w:rsidP="002E55E3">
      <w:pPr>
        <w:autoSpaceDE w:val="0"/>
        <w:autoSpaceDN w:val="0"/>
        <w:adjustRightInd w:val="0"/>
        <w:rPr>
          <w:sz w:val="20"/>
          <w:szCs w:val="20"/>
        </w:rPr>
      </w:pPr>
    </w:p>
    <w:p w14:paraId="4AA30FAC" w14:textId="77777777" w:rsidR="002E55E3" w:rsidRPr="00746D53" w:rsidRDefault="002E55E3" w:rsidP="002E55E3">
      <w:pPr>
        <w:autoSpaceDE w:val="0"/>
        <w:autoSpaceDN w:val="0"/>
        <w:adjustRightInd w:val="0"/>
        <w:rPr>
          <w:b/>
          <w:bCs/>
          <w:sz w:val="20"/>
          <w:szCs w:val="20"/>
        </w:rPr>
      </w:pPr>
      <w:r w:rsidRPr="00746D53">
        <w:rPr>
          <w:b/>
          <w:bCs/>
          <w:sz w:val="20"/>
          <w:szCs w:val="20"/>
        </w:rPr>
        <w:t>Use of clawed back funds</w:t>
      </w:r>
    </w:p>
    <w:p w14:paraId="6C9D2514" w14:textId="77777777" w:rsidR="002E55E3" w:rsidRPr="00746D53" w:rsidRDefault="002E55E3" w:rsidP="002E55E3">
      <w:pPr>
        <w:autoSpaceDE w:val="0"/>
        <w:autoSpaceDN w:val="0"/>
        <w:adjustRightInd w:val="0"/>
        <w:rPr>
          <w:sz w:val="20"/>
          <w:szCs w:val="20"/>
        </w:rPr>
      </w:pPr>
      <w:r w:rsidRPr="00746D53">
        <w:rPr>
          <w:sz w:val="20"/>
          <w:szCs w:val="20"/>
        </w:rPr>
        <w:t xml:space="preserve">The regulations state that the Local Authority can use any funding clawed back to be: </w:t>
      </w:r>
      <w:r w:rsidRPr="00746D53">
        <w:rPr>
          <w:i/>
          <w:iCs/>
          <w:sz w:val="20"/>
          <w:szCs w:val="20"/>
        </w:rPr>
        <w:t>“applied as part of their schools’ budget for the funding period in question”</w:t>
      </w:r>
    </w:p>
    <w:p w14:paraId="63A46A2C" w14:textId="77777777" w:rsidR="002E55E3" w:rsidRPr="00746D53" w:rsidRDefault="002E55E3" w:rsidP="002E55E3">
      <w:pPr>
        <w:autoSpaceDE w:val="0"/>
        <w:autoSpaceDN w:val="0"/>
        <w:adjustRightInd w:val="0"/>
        <w:rPr>
          <w:sz w:val="20"/>
          <w:szCs w:val="20"/>
        </w:rPr>
      </w:pPr>
      <w:r w:rsidRPr="00746D53">
        <w:rPr>
          <w:sz w:val="20"/>
          <w:szCs w:val="20"/>
        </w:rPr>
        <w:t>Funding will normally be clawed back in the financial year following that in which the balance arose. Any funding clawed back will be re-invested in that same financial year.</w:t>
      </w:r>
    </w:p>
    <w:p w14:paraId="358A0834" w14:textId="77777777" w:rsidR="002E55E3" w:rsidRPr="00746D53" w:rsidRDefault="002E55E3" w:rsidP="002E55E3">
      <w:pPr>
        <w:autoSpaceDE w:val="0"/>
        <w:autoSpaceDN w:val="0"/>
        <w:adjustRightInd w:val="0"/>
        <w:rPr>
          <w:sz w:val="20"/>
          <w:szCs w:val="20"/>
        </w:rPr>
      </w:pPr>
      <w:r w:rsidRPr="00746D53">
        <w:rPr>
          <w:sz w:val="20"/>
          <w:szCs w:val="20"/>
        </w:rPr>
        <w:t>The Local authority, in consultation with the School Budget Forum if the sum is significant, will ensure that any funds clawed back are spent productively so that local and national priorities either benefit directly or by reallocation of resources through supporting efficiency measures elsewhere in the budget. Simply redistributing relatively small sums to all other schools will be of little benefit.</w:t>
      </w:r>
    </w:p>
    <w:p w14:paraId="0B699427" w14:textId="77777777" w:rsidR="002E55E3" w:rsidRPr="00746D53" w:rsidRDefault="002E55E3" w:rsidP="002E55E3">
      <w:pPr>
        <w:autoSpaceDE w:val="0"/>
        <w:autoSpaceDN w:val="0"/>
        <w:adjustRightInd w:val="0"/>
        <w:rPr>
          <w:sz w:val="20"/>
          <w:szCs w:val="20"/>
        </w:rPr>
      </w:pPr>
      <w:r w:rsidRPr="00746D53">
        <w:rPr>
          <w:sz w:val="20"/>
          <w:szCs w:val="20"/>
        </w:rPr>
        <w:t>Clawed back funds may be used to fund invest-to-save priorities which can lead to greater efficiency savings and value for money in schools’ spending. Examples of invest to save schemes include:</w:t>
      </w:r>
    </w:p>
    <w:p w14:paraId="6C6546CD" w14:textId="77777777" w:rsidR="002E55E3" w:rsidRPr="00746D53" w:rsidRDefault="002E55E3" w:rsidP="002E55E3">
      <w:pPr>
        <w:autoSpaceDE w:val="0"/>
        <w:autoSpaceDN w:val="0"/>
        <w:adjustRightInd w:val="0"/>
        <w:rPr>
          <w:sz w:val="20"/>
          <w:szCs w:val="20"/>
        </w:rPr>
      </w:pPr>
      <w:r w:rsidRPr="00746D53">
        <w:rPr>
          <w:sz w:val="20"/>
          <w:szCs w:val="20"/>
        </w:rPr>
        <w:t>• Energy efficiency measures;</w:t>
      </w:r>
    </w:p>
    <w:p w14:paraId="045A0DE1" w14:textId="77777777" w:rsidR="002E55E3" w:rsidRPr="00746D53" w:rsidRDefault="002E55E3" w:rsidP="002E55E3">
      <w:pPr>
        <w:autoSpaceDE w:val="0"/>
        <w:autoSpaceDN w:val="0"/>
        <w:adjustRightInd w:val="0"/>
        <w:rPr>
          <w:sz w:val="20"/>
          <w:szCs w:val="20"/>
        </w:rPr>
      </w:pPr>
      <w:r w:rsidRPr="00746D53">
        <w:rPr>
          <w:sz w:val="20"/>
          <w:szCs w:val="20"/>
        </w:rPr>
        <w:t>• Supporting training initiatives;</w:t>
      </w:r>
    </w:p>
    <w:p w14:paraId="0DD31754" w14:textId="77777777" w:rsidR="002E55E3" w:rsidRPr="00746D53" w:rsidRDefault="002E55E3" w:rsidP="002E55E3">
      <w:pPr>
        <w:autoSpaceDE w:val="0"/>
        <w:autoSpaceDN w:val="0"/>
        <w:adjustRightInd w:val="0"/>
        <w:rPr>
          <w:sz w:val="20"/>
          <w:szCs w:val="20"/>
        </w:rPr>
      </w:pPr>
      <w:r w:rsidRPr="00746D53">
        <w:rPr>
          <w:sz w:val="20"/>
          <w:szCs w:val="20"/>
        </w:rPr>
        <w:t>• Pump priming partnership arrangements;</w:t>
      </w:r>
    </w:p>
    <w:p w14:paraId="7632B9E5" w14:textId="77777777" w:rsidR="002E55E3" w:rsidRPr="00746D53" w:rsidRDefault="002E55E3" w:rsidP="002E55E3">
      <w:pPr>
        <w:autoSpaceDE w:val="0"/>
        <w:autoSpaceDN w:val="0"/>
        <w:adjustRightInd w:val="0"/>
        <w:rPr>
          <w:sz w:val="20"/>
          <w:szCs w:val="20"/>
        </w:rPr>
      </w:pPr>
      <w:r w:rsidRPr="00746D53">
        <w:rPr>
          <w:sz w:val="20"/>
          <w:szCs w:val="20"/>
        </w:rPr>
        <w:t>• Adaptations to schools enabling them to admit more pupils with special educational needs, avoiding expensive out of authority placements.</w:t>
      </w:r>
    </w:p>
    <w:p w14:paraId="131271DE" w14:textId="77777777" w:rsidR="002E55E3" w:rsidRDefault="002E55E3" w:rsidP="002E55E3">
      <w:pPr>
        <w:rPr>
          <w:b/>
        </w:rPr>
      </w:pPr>
    </w:p>
    <w:p w14:paraId="4C4D9987" w14:textId="77777777" w:rsidR="00475045" w:rsidRPr="00475045" w:rsidRDefault="00475045" w:rsidP="002E55E3">
      <w:pPr>
        <w:pStyle w:val="Heading1"/>
        <w:ind w:left="360"/>
      </w:pPr>
    </w:p>
    <w:sectPr w:rsidR="00475045" w:rsidRPr="00475045" w:rsidSect="004C371E">
      <w:headerReference w:type="default" r:id="rId13"/>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97A9" w14:textId="77777777" w:rsidR="00173BC4" w:rsidRDefault="00173BC4" w:rsidP="00101F8B">
      <w:r>
        <w:separator/>
      </w:r>
    </w:p>
    <w:p w14:paraId="2040E0F9" w14:textId="77777777" w:rsidR="00173BC4" w:rsidRDefault="00173BC4" w:rsidP="00101F8B"/>
    <w:p w14:paraId="74037B3C" w14:textId="77777777" w:rsidR="00173BC4" w:rsidRDefault="00173BC4" w:rsidP="00101F8B"/>
    <w:p w14:paraId="449B9147" w14:textId="77777777" w:rsidR="00173BC4" w:rsidRDefault="00173BC4" w:rsidP="00101F8B"/>
    <w:p w14:paraId="1F211A9A" w14:textId="77777777" w:rsidR="00173BC4" w:rsidRDefault="00173BC4" w:rsidP="00101F8B"/>
    <w:p w14:paraId="54063633" w14:textId="77777777" w:rsidR="00173BC4" w:rsidRDefault="00173BC4" w:rsidP="00101F8B"/>
  </w:endnote>
  <w:endnote w:type="continuationSeparator" w:id="0">
    <w:p w14:paraId="54DC955F" w14:textId="77777777" w:rsidR="00173BC4" w:rsidRDefault="00173BC4" w:rsidP="00101F8B">
      <w:r>
        <w:continuationSeparator/>
      </w:r>
    </w:p>
    <w:p w14:paraId="2D5B41FE" w14:textId="77777777" w:rsidR="00173BC4" w:rsidRDefault="00173BC4" w:rsidP="00101F8B"/>
    <w:p w14:paraId="20FF7701" w14:textId="77777777" w:rsidR="00173BC4" w:rsidRDefault="00173BC4" w:rsidP="00101F8B"/>
    <w:p w14:paraId="03853104" w14:textId="77777777" w:rsidR="00173BC4" w:rsidRDefault="00173BC4" w:rsidP="00101F8B"/>
    <w:p w14:paraId="27B61D27" w14:textId="77777777" w:rsidR="00173BC4" w:rsidRDefault="00173BC4" w:rsidP="00101F8B"/>
    <w:p w14:paraId="10892B93" w14:textId="77777777" w:rsidR="00173BC4" w:rsidRDefault="00173BC4"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D792" w14:textId="77777777" w:rsidR="00173BC4" w:rsidRDefault="00173BC4" w:rsidP="00101F8B">
      <w:r>
        <w:separator/>
      </w:r>
    </w:p>
    <w:p w14:paraId="7B27A6D2" w14:textId="77777777" w:rsidR="00173BC4" w:rsidRDefault="00173BC4" w:rsidP="00101F8B"/>
    <w:p w14:paraId="3B37BBA1" w14:textId="77777777" w:rsidR="00173BC4" w:rsidRDefault="00173BC4" w:rsidP="00101F8B"/>
    <w:p w14:paraId="6425D458" w14:textId="77777777" w:rsidR="00173BC4" w:rsidRDefault="00173BC4" w:rsidP="00101F8B"/>
    <w:p w14:paraId="1A503167" w14:textId="77777777" w:rsidR="00173BC4" w:rsidRDefault="00173BC4" w:rsidP="00101F8B"/>
    <w:p w14:paraId="1183F272" w14:textId="77777777" w:rsidR="00173BC4" w:rsidRDefault="00173BC4" w:rsidP="00101F8B"/>
  </w:footnote>
  <w:footnote w:type="continuationSeparator" w:id="0">
    <w:p w14:paraId="18BD08F6" w14:textId="77777777" w:rsidR="00173BC4" w:rsidRDefault="00173BC4" w:rsidP="00101F8B">
      <w:r>
        <w:continuationSeparator/>
      </w:r>
    </w:p>
    <w:p w14:paraId="270D79F8" w14:textId="77777777" w:rsidR="00173BC4" w:rsidRDefault="00173BC4" w:rsidP="00101F8B"/>
    <w:p w14:paraId="4B0CE633" w14:textId="77777777" w:rsidR="00173BC4" w:rsidRDefault="00173BC4" w:rsidP="00101F8B"/>
    <w:p w14:paraId="48E81AD4" w14:textId="77777777" w:rsidR="00173BC4" w:rsidRDefault="00173BC4" w:rsidP="00101F8B"/>
    <w:p w14:paraId="0B5A0ADD" w14:textId="77777777" w:rsidR="00173BC4" w:rsidRDefault="00173BC4" w:rsidP="00101F8B"/>
    <w:p w14:paraId="185F7D94" w14:textId="77777777" w:rsidR="00173BC4" w:rsidRDefault="00173BC4"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5155800C" w:rsidR="00F05C51" w:rsidRDefault="00074773">
        <w:pPr>
          <w:pStyle w:val="Header"/>
        </w:pPr>
        <w:r>
          <w:t>School balances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057F"/>
    <w:multiLevelType w:val="hybridMultilevel"/>
    <w:tmpl w:val="ED78CF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B041A00"/>
    <w:multiLevelType w:val="hybridMultilevel"/>
    <w:tmpl w:val="3C644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96410D"/>
    <w:multiLevelType w:val="hybridMultilevel"/>
    <w:tmpl w:val="B3F66B5C"/>
    <w:lvl w:ilvl="0" w:tplc="DEEEE87A">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F00D1"/>
    <w:multiLevelType w:val="multilevel"/>
    <w:tmpl w:val="19A8AED2"/>
    <w:lvl w:ilvl="0">
      <w:start w:val="1"/>
      <w:numFmt w:val="decimal"/>
      <w:lvlText w:val="%1."/>
      <w:lvlJc w:val="left"/>
      <w:pPr>
        <w:ind w:left="720" w:hanging="360"/>
      </w:p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5786647"/>
    <w:multiLevelType w:val="multilevel"/>
    <w:tmpl w:val="F0F222E4"/>
    <w:lvl w:ilvl="0">
      <w:start w:val="1"/>
      <w:numFmt w:val="decimal"/>
      <w:lvlText w:val="%1."/>
      <w:lvlJc w:val="left"/>
      <w:pPr>
        <w:ind w:left="1353" w:hanging="360"/>
      </w:pPr>
      <w:rPr>
        <w:rFonts w:hint="default"/>
        <w:b/>
        <w:bCs/>
      </w:rPr>
    </w:lvl>
    <w:lvl w:ilvl="1">
      <w:start w:val="1"/>
      <w:numFmt w:val="decimal"/>
      <w:lvlText w:val="%1.%2."/>
      <w:lvlJc w:val="left"/>
      <w:pPr>
        <w:ind w:left="57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3"/>
  </w:num>
  <w:num w:numId="4">
    <w:abstractNumId w:val="2"/>
  </w:num>
  <w:num w:numId="5">
    <w:abstractNumId w:val="7"/>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341CF"/>
    <w:rsid w:val="00070438"/>
    <w:rsid w:val="00074773"/>
    <w:rsid w:val="00080CA2"/>
    <w:rsid w:val="000A6597"/>
    <w:rsid w:val="000E5232"/>
    <w:rsid w:val="00101F8B"/>
    <w:rsid w:val="00114878"/>
    <w:rsid w:val="001357FA"/>
    <w:rsid w:val="001702A6"/>
    <w:rsid w:val="00173BC4"/>
    <w:rsid w:val="00173D7C"/>
    <w:rsid w:val="001D5881"/>
    <w:rsid w:val="00244D68"/>
    <w:rsid w:val="002609D8"/>
    <w:rsid w:val="002616ED"/>
    <w:rsid w:val="00284556"/>
    <w:rsid w:val="00297396"/>
    <w:rsid w:val="002E55E3"/>
    <w:rsid w:val="002F2313"/>
    <w:rsid w:val="00363A4D"/>
    <w:rsid w:val="004362E7"/>
    <w:rsid w:val="004369A3"/>
    <w:rsid w:val="004415D4"/>
    <w:rsid w:val="00475045"/>
    <w:rsid w:val="00481799"/>
    <w:rsid w:val="004C371E"/>
    <w:rsid w:val="00534043"/>
    <w:rsid w:val="005E57A5"/>
    <w:rsid w:val="005F01B5"/>
    <w:rsid w:val="005F24B4"/>
    <w:rsid w:val="006A6700"/>
    <w:rsid w:val="00706F60"/>
    <w:rsid w:val="007604B3"/>
    <w:rsid w:val="00774185"/>
    <w:rsid w:val="007A1F89"/>
    <w:rsid w:val="007B40D8"/>
    <w:rsid w:val="007B7EF2"/>
    <w:rsid w:val="007C4F08"/>
    <w:rsid w:val="007C7CCE"/>
    <w:rsid w:val="007E1728"/>
    <w:rsid w:val="008158A3"/>
    <w:rsid w:val="00880FFC"/>
    <w:rsid w:val="008B42DB"/>
    <w:rsid w:val="008B70E7"/>
    <w:rsid w:val="008D6F80"/>
    <w:rsid w:val="0093644A"/>
    <w:rsid w:val="0094156F"/>
    <w:rsid w:val="0094276D"/>
    <w:rsid w:val="00947F14"/>
    <w:rsid w:val="009E4C47"/>
    <w:rsid w:val="00AA22B2"/>
    <w:rsid w:val="00AA79F3"/>
    <w:rsid w:val="00BA0597"/>
    <w:rsid w:val="00BA63ED"/>
    <w:rsid w:val="00BB0908"/>
    <w:rsid w:val="00BE6FB3"/>
    <w:rsid w:val="00C967EF"/>
    <w:rsid w:val="00CC4CE1"/>
    <w:rsid w:val="00D82CA3"/>
    <w:rsid w:val="00D93DEF"/>
    <w:rsid w:val="00D9499F"/>
    <w:rsid w:val="00DC0596"/>
    <w:rsid w:val="00DF3C2C"/>
    <w:rsid w:val="00E056E4"/>
    <w:rsid w:val="00ED520A"/>
    <w:rsid w:val="00EE6A7B"/>
    <w:rsid w:val="00F05C51"/>
    <w:rsid w:val="00F27624"/>
    <w:rsid w:val="00F27FAC"/>
    <w:rsid w:val="00F5083F"/>
    <w:rsid w:val="00F81947"/>
    <w:rsid w:val="00FD735E"/>
    <w:rsid w:val="00FE6B6D"/>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table" w:styleId="TableGrid">
    <w:name w:val="Table Grid"/>
    <w:basedOn w:val="TableNormal"/>
    <w:uiPriority w:val="59"/>
    <w:rsid w:val="0047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0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750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E55E3"/>
    <w:pPr>
      <w:spacing w:after="0"/>
      <w:ind w:left="720"/>
      <w:contextualSpacing/>
    </w:pPr>
    <w:rPr>
      <w:rFonts w:eastAsia="Times New Roman" w:cs="Times New Roman"/>
    </w:rPr>
  </w:style>
  <w:style w:type="table" w:styleId="PlainTable1">
    <w:name w:val="Plain Table 1"/>
    <w:basedOn w:val="TableNormal"/>
    <w:uiPriority w:val="41"/>
    <w:rsid w:val="004415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5875F8"/>
    <w:rsid w:val="00830089"/>
    <w:rsid w:val="00944B7C"/>
    <w:rsid w:val="00CE5774"/>
    <w:rsid w:val="00D107AD"/>
    <w:rsid w:val="00D216F1"/>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3.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Agenda Item 7</vt:lpstr>
    </vt:vector>
  </TitlesOfParts>
  <Company>Tower Hamlets</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balances</dc:title>
  <dc:subject>
  </dc:subject>
  <dc:creator>Mike Pickin</dc:creator>
  <cp:keywords>
  </cp:keywords>
  <dc:description>
  </dc:description>
  <cp:lastModifiedBy>Phillip Nduoyo</cp:lastModifiedBy>
  <cp:revision>19</cp:revision>
  <dcterms:created xsi:type="dcterms:W3CDTF">2022-02-21T13:30:00Z</dcterms:created>
  <dcterms:modified xsi:type="dcterms:W3CDTF">2022-02-21T16:09:00Z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