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7471" w14:textId="13692C8D" w:rsidR="00155F17" w:rsidRPr="008745BE" w:rsidRDefault="00EC6F29" w:rsidP="008745BE">
      <w:pPr>
        <w:pStyle w:val="Heading1"/>
      </w:pPr>
      <w:r w:rsidRPr="008745BE">
        <w:t>De-delegation of Behaviour Support Services 20</w:t>
      </w:r>
      <w:r w:rsidR="00D8256D" w:rsidRPr="008745BE">
        <w:t>26-27</w:t>
      </w:r>
    </w:p>
    <w:p w14:paraId="3CC05374" w14:textId="1267EF21" w:rsidR="00155F17" w:rsidRPr="00155F17" w:rsidRDefault="00155F17" w:rsidP="00EB5ADA">
      <w:pPr>
        <w:jc w:val="both"/>
      </w:pPr>
      <w:r>
        <w:t>This paper is to provide further information on the above two options as requested by Schools Forum</w:t>
      </w:r>
    </w:p>
    <w:p w14:paraId="54D45957" w14:textId="372E9DC9" w:rsidR="00EC6F29" w:rsidRPr="00700912" w:rsidRDefault="00155F17" w:rsidP="00EB5ADA">
      <w:pPr>
        <w:jc w:val="both"/>
      </w:pPr>
      <w:r w:rsidRPr="00700912">
        <w:t>Extract from de-delegated Services papers for Schools Forum</w:t>
      </w:r>
    </w:p>
    <w:p w14:paraId="2C6E6B61" w14:textId="65E4B5A4" w:rsidR="00EC6F29" w:rsidRPr="00700912" w:rsidRDefault="008745BE" w:rsidP="008745BE">
      <w:pPr>
        <w:pStyle w:val="Heading2"/>
      </w:pPr>
      <w:r>
        <w:t xml:space="preserve">1 </w:t>
      </w:r>
      <w:r w:rsidR="00EC6F29" w:rsidRPr="00700912">
        <w:t>Options for 202</w:t>
      </w:r>
      <w:r w:rsidR="00D8256D" w:rsidRPr="00700912">
        <w:t>6</w:t>
      </w:r>
      <w:r w:rsidR="00EC6F29" w:rsidRPr="00700912">
        <w:t>-2</w:t>
      </w:r>
      <w:r w:rsidR="00D8256D" w:rsidRPr="00700912">
        <w:t>7</w:t>
      </w:r>
      <w:r w:rsidR="00EC6F29" w:rsidRPr="00700912">
        <w:t xml:space="preserve"> – Behaviour Support Services</w:t>
      </w:r>
    </w:p>
    <w:p w14:paraId="231A2C93" w14:textId="77777777" w:rsidR="00EC6F29" w:rsidRPr="00700912" w:rsidRDefault="00EC6F29" w:rsidP="00EB5ADA">
      <w:pPr>
        <w:pStyle w:val="NoSpacing"/>
        <w:ind w:left="567" w:hanging="567"/>
        <w:jc w:val="both"/>
        <w:rPr>
          <w:rFonts w:asciiTheme="minorHAnsi" w:hAnsiTheme="minorHAnsi"/>
          <w:sz w:val="22"/>
          <w:szCs w:val="22"/>
        </w:rPr>
      </w:pPr>
    </w:p>
    <w:p w14:paraId="7BE0FEB6" w14:textId="591AD466" w:rsidR="001E3D0D" w:rsidRPr="00700912" w:rsidRDefault="00EC6F29" w:rsidP="00EB5ADA">
      <w:pPr>
        <w:pStyle w:val="ListParagraph"/>
        <w:numPr>
          <w:ilvl w:val="0"/>
          <w:numId w:val="2"/>
        </w:numPr>
        <w:jc w:val="both"/>
        <w:rPr>
          <w:rFonts w:cs="Arial"/>
        </w:rPr>
      </w:pPr>
      <w:r w:rsidRPr="00700912">
        <w:rPr>
          <w:rFonts w:cs="Arial"/>
          <w:color w:val="000000"/>
        </w:rPr>
        <w:t xml:space="preserve">Behaviour support </w:t>
      </w:r>
      <w:r w:rsidR="00F50ABA" w:rsidRPr="00700912">
        <w:rPr>
          <w:rFonts w:cs="Arial"/>
          <w:color w:val="000000"/>
        </w:rPr>
        <w:t>specialist adv</w:t>
      </w:r>
      <w:r w:rsidR="00595D29" w:rsidRPr="00700912">
        <w:rPr>
          <w:rFonts w:cs="Arial"/>
          <w:color w:val="000000"/>
        </w:rPr>
        <w:t xml:space="preserve">isory </w:t>
      </w:r>
      <w:r w:rsidRPr="00700912">
        <w:rPr>
          <w:rFonts w:cs="Arial"/>
          <w:color w:val="000000"/>
        </w:rPr>
        <w:t>services are offered to</w:t>
      </w:r>
      <w:r w:rsidR="00D8256D" w:rsidRPr="00700912">
        <w:rPr>
          <w:rFonts w:cs="Arial"/>
          <w:color w:val="000000"/>
        </w:rPr>
        <w:t xml:space="preserve"> maintained</w:t>
      </w:r>
      <w:r w:rsidRPr="00700912">
        <w:rPr>
          <w:rFonts w:cs="Arial"/>
          <w:color w:val="000000"/>
        </w:rPr>
        <w:t xml:space="preserve"> schools dealing with</w:t>
      </w:r>
      <w:r w:rsidR="00595D29" w:rsidRPr="00700912">
        <w:rPr>
          <w:rFonts w:cs="Arial"/>
          <w:color w:val="000000"/>
        </w:rPr>
        <w:t xml:space="preserve"> emerging</w:t>
      </w:r>
      <w:r w:rsidRPr="00700912">
        <w:rPr>
          <w:rFonts w:cs="Arial"/>
          <w:color w:val="000000"/>
        </w:rPr>
        <w:t xml:space="preserve"> challenging </w:t>
      </w:r>
      <w:r w:rsidRPr="00700912">
        <w:rPr>
          <w:rFonts w:cs="Arial"/>
        </w:rPr>
        <w:t>behaviour; mental health</w:t>
      </w:r>
      <w:r w:rsidR="00595D29" w:rsidRPr="00700912">
        <w:rPr>
          <w:rFonts w:cs="Arial"/>
        </w:rPr>
        <w:t xml:space="preserve"> difficulties</w:t>
      </w:r>
      <w:r w:rsidRPr="00700912">
        <w:rPr>
          <w:rFonts w:cs="Arial"/>
        </w:rPr>
        <w:t xml:space="preserve"> and </w:t>
      </w:r>
      <w:r w:rsidR="00F50ABA" w:rsidRPr="00700912">
        <w:rPr>
          <w:rFonts w:cs="Arial"/>
        </w:rPr>
        <w:t>escalating</w:t>
      </w:r>
      <w:r w:rsidRPr="00700912">
        <w:rPr>
          <w:rFonts w:cs="Arial"/>
        </w:rPr>
        <w:t xml:space="preserve"> </w:t>
      </w:r>
      <w:r w:rsidR="000F3E34" w:rsidRPr="00700912">
        <w:rPr>
          <w:rFonts w:cs="Arial"/>
        </w:rPr>
        <w:t>complexity of</w:t>
      </w:r>
      <w:r w:rsidR="00F50ABA" w:rsidRPr="00700912">
        <w:rPr>
          <w:rFonts w:cs="Arial"/>
        </w:rPr>
        <w:t xml:space="preserve"> need</w:t>
      </w:r>
      <w:r w:rsidR="00595D29" w:rsidRPr="00700912">
        <w:rPr>
          <w:rFonts w:cs="Arial"/>
        </w:rPr>
        <w:t xml:space="preserve"> for children on SEN Support or with an EHCP.</w:t>
      </w:r>
      <w:r w:rsidRPr="00700912">
        <w:rPr>
          <w:rFonts w:cs="Arial"/>
        </w:rPr>
        <w:t xml:space="preserve">  The team also provid</w:t>
      </w:r>
      <w:r w:rsidR="00595D29" w:rsidRPr="00700912">
        <w:rPr>
          <w:rFonts w:cs="Arial"/>
        </w:rPr>
        <w:t>es central and bespoke</w:t>
      </w:r>
      <w:r w:rsidRPr="00700912">
        <w:rPr>
          <w:rFonts w:cs="Arial"/>
        </w:rPr>
        <w:t xml:space="preserve"> training and support </w:t>
      </w:r>
      <w:r w:rsidR="004866B3" w:rsidRPr="00700912">
        <w:rPr>
          <w:rFonts w:cs="Arial"/>
        </w:rPr>
        <w:t>on positive behaviour management approaches and SEMH</w:t>
      </w:r>
      <w:r w:rsidRPr="00700912">
        <w:rPr>
          <w:rFonts w:cs="Arial"/>
        </w:rPr>
        <w:t xml:space="preserve">.  The funding </w:t>
      </w:r>
      <w:r w:rsidR="00495BD9" w:rsidRPr="00700912">
        <w:rPr>
          <w:rFonts w:cs="Arial"/>
        </w:rPr>
        <w:t>ensures schools can ensure</w:t>
      </w:r>
      <w:r w:rsidRPr="00700912">
        <w:rPr>
          <w:rFonts w:cs="Arial"/>
        </w:rPr>
        <w:t xml:space="preserve"> statutory</w:t>
      </w:r>
      <w:r w:rsidR="00495BD9" w:rsidRPr="00700912">
        <w:rPr>
          <w:rFonts w:cs="Arial"/>
        </w:rPr>
        <w:t xml:space="preserve"> compliance</w:t>
      </w:r>
      <w:r w:rsidR="00362313" w:rsidRPr="00700912">
        <w:rPr>
          <w:rFonts w:cs="Arial"/>
        </w:rPr>
        <w:t xml:space="preserve"> and proactive, preventative work</w:t>
      </w:r>
      <w:r w:rsidR="00D0737A" w:rsidRPr="00700912">
        <w:rPr>
          <w:rFonts w:cs="Arial"/>
        </w:rPr>
        <w:t xml:space="preserve"> via</w:t>
      </w:r>
      <w:r w:rsidRPr="00700912">
        <w:rPr>
          <w:rFonts w:cs="Arial"/>
        </w:rPr>
        <w:t xml:space="preserve"> the de-delegated budget supporting the provision.</w:t>
      </w:r>
      <w:r w:rsidR="00DC60CF" w:rsidRPr="00700912">
        <w:rPr>
          <w:rFonts w:cs="Arial"/>
        </w:rPr>
        <w:t xml:space="preserve"> Against a context of </w:t>
      </w:r>
      <w:r w:rsidR="00502573" w:rsidRPr="00700912">
        <w:rPr>
          <w:rFonts w:cs="Arial"/>
        </w:rPr>
        <w:t xml:space="preserve">increasing suspensions in both Tower Hamlets and nationally, we have seen an increase of 7.3% in referrals and a marked </w:t>
      </w:r>
      <w:r w:rsidR="000F3E34" w:rsidRPr="00700912">
        <w:rPr>
          <w:rFonts w:cs="Arial"/>
        </w:rPr>
        <w:t>increase</w:t>
      </w:r>
      <w:r w:rsidR="00502573" w:rsidRPr="00700912">
        <w:rPr>
          <w:rFonts w:cs="Arial"/>
        </w:rPr>
        <w:t xml:space="preserve"> in requests for </w:t>
      </w:r>
      <w:r w:rsidR="00703DF2" w:rsidRPr="00700912">
        <w:rPr>
          <w:rFonts w:cs="Arial"/>
        </w:rPr>
        <w:t xml:space="preserve">consultation or advice. The increase in Permanent exclusions over the past 3 years from </w:t>
      </w:r>
      <w:r w:rsidR="0044698F" w:rsidRPr="00700912">
        <w:rPr>
          <w:rFonts w:cs="Arial"/>
        </w:rPr>
        <w:t>14 to 22 has also placed additional demands on the team to support schools and attend hearings etc.</w:t>
      </w:r>
    </w:p>
    <w:p w14:paraId="3E2CD00E" w14:textId="7AF3257D" w:rsidR="00EC6F29" w:rsidRPr="00700912" w:rsidRDefault="00EC6F29" w:rsidP="00EB5ADA">
      <w:pPr>
        <w:pStyle w:val="ListParagraph"/>
        <w:numPr>
          <w:ilvl w:val="0"/>
          <w:numId w:val="2"/>
        </w:numPr>
        <w:jc w:val="both"/>
        <w:rPr>
          <w:rFonts w:cs="Arial"/>
          <w:color w:val="000000"/>
        </w:rPr>
      </w:pPr>
      <w:r w:rsidRPr="00700912">
        <w:rPr>
          <w:rFonts w:cs="Arial"/>
          <w:color w:val="000000"/>
        </w:rPr>
        <w:t>The de</w:t>
      </w:r>
      <w:r w:rsidR="00012015" w:rsidRPr="00700912">
        <w:rPr>
          <w:rFonts w:cs="Arial"/>
          <w:color w:val="000000"/>
        </w:rPr>
        <w:t>-</w:t>
      </w:r>
      <w:r w:rsidRPr="00700912">
        <w:rPr>
          <w:rFonts w:cs="Arial"/>
          <w:color w:val="000000"/>
        </w:rPr>
        <w:t>delegation</w:t>
      </w:r>
      <w:r w:rsidR="00CB038F" w:rsidRPr="00700912">
        <w:rPr>
          <w:rFonts w:cs="Arial"/>
          <w:color w:val="000000"/>
        </w:rPr>
        <w:t>, Option 2</w:t>
      </w:r>
      <w:r w:rsidRPr="00700912">
        <w:rPr>
          <w:rFonts w:cs="Arial"/>
          <w:color w:val="000000"/>
        </w:rPr>
        <w:t xml:space="preserve"> will meet the cost of</w:t>
      </w:r>
      <w:r w:rsidR="00D0737A" w:rsidRPr="00700912">
        <w:rPr>
          <w:rFonts w:cs="Arial"/>
          <w:color w:val="000000"/>
        </w:rPr>
        <w:t xml:space="preserve"> </w:t>
      </w:r>
      <w:r w:rsidR="00CB038F" w:rsidRPr="00700912">
        <w:rPr>
          <w:rFonts w:cs="Arial"/>
          <w:color w:val="000000"/>
        </w:rPr>
        <w:t xml:space="preserve">2fte specialist teachers. Academies and free schools can </w:t>
      </w:r>
      <w:r w:rsidR="00AB0701" w:rsidRPr="00700912">
        <w:rPr>
          <w:rFonts w:cs="Arial"/>
          <w:color w:val="000000"/>
        </w:rPr>
        <w:t xml:space="preserve">buy in support through a subscription on the same per pupil rate as maintained schools or </w:t>
      </w:r>
      <w:proofErr w:type="gramStart"/>
      <w:r w:rsidR="00AB0701" w:rsidRPr="00700912">
        <w:rPr>
          <w:rFonts w:cs="Arial"/>
          <w:color w:val="000000"/>
        </w:rPr>
        <w:t>a</w:t>
      </w:r>
      <w:proofErr w:type="gramEnd"/>
      <w:r w:rsidR="00AB0701" w:rsidRPr="00700912">
        <w:rPr>
          <w:rFonts w:cs="Arial"/>
          <w:color w:val="000000"/>
        </w:rPr>
        <w:t xml:space="preserve"> SLA package. </w:t>
      </w:r>
      <w:r w:rsidR="00AC4960" w:rsidRPr="00700912">
        <w:rPr>
          <w:rFonts w:cs="Arial"/>
          <w:color w:val="000000"/>
        </w:rPr>
        <w:t xml:space="preserve">Academies and free schools are entitled to statutory guidance and advice but </w:t>
      </w:r>
      <w:r w:rsidR="005427D5" w:rsidRPr="00700912">
        <w:rPr>
          <w:rFonts w:cs="Arial"/>
          <w:color w:val="000000"/>
        </w:rPr>
        <w:t xml:space="preserve">not the detailed advice and personalised support that maintained schools access through the core offer, although, as academies increase </w:t>
      </w:r>
      <w:r w:rsidR="00C30F6D" w:rsidRPr="00700912">
        <w:rPr>
          <w:rFonts w:cs="Arial"/>
          <w:color w:val="000000"/>
        </w:rPr>
        <w:t xml:space="preserve">in number </w:t>
      </w:r>
      <w:r w:rsidR="005427D5" w:rsidRPr="00700912">
        <w:rPr>
          <w:rFonts w:cs="Arial"/>
          <w:color w:val="000000"/>
        </w:rPr>
        <w:t xml:space="preserve">this </w:t>
      </w:r>
      <w:r w:rsidR="00C30F6D" w:rsidRPr="00700912">
        <w:rPr>
          <w:rFonts w:cs="Arial"/>
          <w:color w:val="000000"/>
        </w:rPr>
        <w:t xml:space="preserve">can be a more difficult line to draw when considering </w:t>
      </w:r>
      <w:r w:rsidR="00D914C1" w:rsidRPr="00700912">
        <w:rPr>
          <w:rFonts w:cs="Arial"/>
          <w:color w:val="000000"/>
        </w:rPr>
        <w:t>the collective responsibility approach adopted by the Behaviour and Attendance Partnership.</w:t>
      </w:r>
    </w:p>
    <w:p w14:paraId="58367BF5" w14:textId="1CE3FFF6" w:rsidR="00EC6F29" w:rsidRPr="00700912" w:rsidRDefault="00EC6F29" w:rsidP="00EB5ADA">
      <w:pPr>
        <w:pStyle w:val="NoSpacing"/>
        <w:numPr>
          <w:ilvl w:val="0"/>
          <w:numId w:val="2"/>
        </w:numPr>
        <w:jc w:val="both"/>
        <w:rPr>
          <w:rFonts w:asciiTheme="minorHAnsi" w:hAnsiTheme="minorHAnsi"/>
          <w:sz w:val="22"/>
          <w:szCs w:val="22"/>
        </w:rPr>
      </w:pPr>
      <w:r w:rsidRPr="00700912">
        <w:rPr>
          <w:rFonts w:asciiTheme="minorHAnsi" w:hAnsiTheme="minorHAnsi"/>
          <w:sz w:val="22"/>
          <w:szCs w:val="22"/>
        </w:rPr>
        <w:t>There are two options that the local authority is asking Schools Forum to vote upon:</w:t>
      </w:r>
    </w:p>
    <w:p w14:paraId="3D3E3BCC" w14:textId="77777777" w:rsidR="00EC6F29" w:rsidRPr="00AF6C30" w:rsidRDefault="00EC6F29" w:rsidP="00EB5ADA">
      <w:pPr>
        <w:pStyle w:val="NoSpacing"/>
        <w:ind w:left="567" w:hanging="567"/>
        <w:jc w:val="both"/>
      </w:pPr>
    </w:p>
    <w:p w14:paraId="768F88E7" w14:textId="77777777" w:rsidR="008745BE" w:rsidRDefault="00EC6F29" w:rsidP="008745BE">
      <w:pPr>
        <w:pStyle w:val="Heading3"/>
      </w:pPr>
      <w:r w:rsidRPr="00EB5ADA">
        <w:t>Option 1</w:t>
      </w:r>
    </w:p>
    <w:p w14:paraId="466120F3" w14:textId="77777777" w:rsidR="008745BE" w:rsidRDefault="008745BE" w:rsidP="00EB5ADA">
      <w:pPr>
        <w:pStyle w:val="NoSpacing"/>
        <w:jc w:val="both"/>
        <w:rPr>
          <w:rFonts w:asciiTheme="minorHAnsi" w:hAnsiTheme="minorHAnsi"/>
        </w:rPr>
      </w:pPr>
    </w:p>
    <w:p w14:paraId="1788DA21" w14:textId="2AEFA386" w:rsidR="00EC6F29" w:rsidRPr="00EB5ADA" w:rsidRDefault="008745BE" w:rsidP="00EB5ADA">
      <w:pPr>
        <w:pStyle w:val="NoSpacing"/>
        <w:jc w:val="both"/>
        <w:rPr>
          <w:rFonts w:asciiTheme="minorHAnsi" w:hAnsiTheme="minorHAnsi"/>
        </w:rPr>
      </w:pPr>
      <w:r w:rsidRPr="008745BE">
        <w:rPr>
          <w:rFonts w:asciiTheme="minorHAnsi" w:hAnsiTheme="minorHAnsi"/>
        </w:rPr>
        <w:t>T</w:t>
      </w:r>
      <w:r w:rsidR="00EC6F29" w:rsidRPr="00EB5ADA">
        <w:rPr>
          <w:rFonts w:asciiTheme="minorHAnsi" w:hAnsiTheme="minorHAnsi"/>
        </w:rPr>
        <w:t>o uplift the 202</w:t>
      </w:r>
      <w:r w:rsidR="00D914C1" w:rsidRPr="00EB5ADA">
        <w:rPr>
          <w:rFonts w:asciiTheme="minorHAnsi" w:hAnsiTheme="minorHAnsi"/>
        </w:rPr>
        <w:t>6</w:t>
      </w:r>
      <w:r w:rsidR="00EC6F29" w:rsidRPr="00EB5ADA">
        <w:rPr>
          <w:rFonts w:asciiTheme="minorHAnsi" w:hAnsiTheme="minorHAnsi"/>
        </w:rPr>
        <w:t>-202</w:t>
      </w:r>
      <w:r w:rsidR="00823703" w:rsidRPr="00EB5ADA">
        <w:rPr>
          <w:rFonts w:asciiTheme="minorHAnsi" w:hAnsiTheme="minorHAnsi"/>
        </w:rPr>
        <w:t>7</w:t>
      </w:r>
      <w:r w:rsidR="00EC6F29" w:rsidRPr="00EB5ADA">
        <w:rPr>
          <w:rFonts w:asciiTheme="minorHAnsi" w:hAnsiTheme="minorHAnsi"/>
        </w:rPr>
        <w:t xml:space="preserve"> per pupil rate by the current Consumer Prices Index (CPI) inflation rate of </w:t>
      </w:r>
      <w:r w:rsidR="00AF6C30" w:rsidRPr="00EB5ADA">
        <w:rPr>
          <w:rFonts w:asciiTheme="minorHAnsi" w:hAnsiTheme="minorHAnsi"/>
        </w:rPr>
        <w:t>3.8</w:t>
      </w:r>
      <w:r w:rsidR="00EC6F29" w:rsidRPr="00EB5ADA">
        <w:rPr>
          <w:rFonts w:asciiTheme="minorHAnsi" w:hAnsiTheme="minorHAnsi"/>
        </w:rPr>
        <w:t xml:space="preserve">%. </w:t>
      </w:r>
      <w:r w:rsidR="006E03EF" w:rsidRPr="00EB5ADA">
        <w:rPr>
          <w:rFonts w:asciiTheme="minorHAnsi" w:hAnsiTheme="minorHAnsi"/>
        </w:rPr>
        <w:t xml:space="preserve"> This would not cover the actual cost of </w:t>
      </w:r>
      <w:r w:rsidR="00DC60CF" w:rsidRPr="00EB5ADA">
        <w:rPr>
          <w:rFonts w:asciiTheme="minorHAnsi" w:hAnsiTheme="minorHAnsi"/>
        </w:rPr>
        <w:t>2 fulltime members of staff</w:t>
      </w:r>
      <w:r w:rsidR="00C071C3">
        <w:rPr>
          <w:rFonts w:asciiTheme="minorHAnsi" w:hAnsiTheme="minorHAnsi"/>
        </w:rPr>
        <w:t xml:space="preserve"> </w:t>
      </w:r>
      <w:proofErr w:type="gramStart"/>
      <w:r w:rsidR="00C071C3">
        <w:rPr>
          <w:rFonts w:asciiTheme="minorHAnsi" w:hAnsiTheme="minorHAnsi"/>
        </w:rPr>
        <w:t>an</w:t>
      </w:r>
      <w:proofErr w:type="gramEnd"/>
      <w:r w:rsidR="00C071C3">
        <w:rPr>
          <w:rFonts w:asciiTheme="minorHAnsi" w:hAnsiTheme="minorHAnsi"/>
        </w:rPr>
        <w:t xml:space="preserve"> leave the service shortfall in budget</w:t>
      </w:r>
      <w:r w:rsidR="005B100A">
        <w:rPr>
          <w:rFonts w:asciiTheme="minorHAnsi" w:hAnsiTheme="minorHAnsi"/>
        </w:rPr>
        <w:t xml:space="preserve"> of £44K</w:t>
      </w:r>
      <w:r w:rsidR="00C071C3">
        <w:rPr>
          <w:rFonts w:asciiTheme="minorHAnsi" w:hAnsiTheme="minorHAnsi"/>
        </w:rPr>
        <w:t>.</w:t>
      </w:r>
      <w:r w:rsidR="00EC6F29" w:rsidRPr="00EB5ADA">
        <w:rPr>
          <w:rFonts w:asciiTheme="minorHAnsi" w:hAnsiTheme="minorHAnsi"/>
        </w:rPr>
        <w:t xml:space="preserve"> This would increase the per pupil rate as shown in the table below:</w:t>
      </w:r>
    </w:p>
    <w:p w14:paraId="324DD1FE" w14:textId="77777777" w:rsidR="00DE765C" w:rsidRDefault="00DE765C" w:rsidP="00EC6F29">
      <w:pPr>
        <w:pStyle w:val="NoSpacing"/>
        <w:ind w:left="567"/>
        <w:rPr>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3"/>
        <w:gridCol w:w="1342"/>
        <w:gridCol w:w="1342"/>
        <w:gridCol w:w="1174"/>
        <w:gridCol w:w="1342"/>
        <w:gridCol w:w="1396"/>
        <w:gridCol w:w="1197"/>
      </w:tblGrid>
      <w:tr w:rsidR="000F3E34" w:rsidRPr="009574C3" w14:paraId="01A95421" w14:textId="77777777" w:rsidTr="006E41B9">
        <w:trPr>
          <w:trHeight w:val="1786"/>
        </w:trPr>
        <w:tc>
          <w:tcPr>
            <w:tcW w:w="673" w:type="pct"/>
            <w:vAlign w:val="center"/>
            <w:hideMark/>
          </w:tcPr>
          <w:p w14:paraId="50270C6D" w14:textId="77777777" w:rsidR="000F3E34" w:rsidRPr="009574C3" w:rsidRDefault="000F3E34" w:rsidP="000E1CC2">
            <w:pPr>
              <w:spacing w:after="0"/>
              <w:rPr>
                <w:rFonts w:eastAsia="Times New Roman"/>
                <w:b/>
                <w:bCs/>
                <w:color w:val="000000"/>
              </w:rPr>
            </w:pPr>
            <w:r w:rsidRPr="009574C3">
              <w:rPr>
                <w:rFonts w:eastAsia="Times New Roman"/>
                <w:b/>
                <w:bCs/>
                <w:color w:val="000000"/>
              </w:rPr>
              <w:t>De-delegated Item</w:t>
            </w:r>
          </w:p>
        </w:tc>
        <w:tc>
          <w:tcPr>
            <w:tcW w:w="745" w:type="pct"/>
            <w:tcBorders>
              <w:bottom w:val="single" w:sz="8" w:space="0" w:color="auto"/>
            </w:tcBorders>
            <w:vAlign w:val="center"/>
            <w:hideMark/>
          </w:tcPr>
          <w:p w14:paraId="05148FDD" w14:textId="77777777" w:rsidR="000F3E34" w:rsidRPr="009574C3" w:rsidRDefault="000F3E34" w:rsidP="000E1CC2">
            <w:pPr>
              <w:spacing w:after="0"/>
              <w:jc w:val="center"/>
              <w:rPr>
                <w:rFonts w:eastAsia="Times New Roman"/>
                <w:b/>
                <w:bCs/>
                <w:color w:val="000000"/>
              </w:rPr>
            </w:pPr>
            <w:r w:rsidRPr="009574C3">
              <w:rPr>
                <w:rFonts w:eastAsia="Times New Roman"/>
                <w:b/>
                <w:bCs/>
                <w:color w:val="000000"/>
              </w:rPr>
              <w:t>2025</w:t>
            </w:r>
            <w:r>
              <w:rPr>
                <w:rFonts w:eastAsia="Times New Roman"/>
                <w:b/>
                <w:bCs/>
                <w:color w:val="000000"/>
              </w:rPr>
              <w:t>-26</w:t>
            </w:r>
            <w:r w:rsidRPr="009574C3">
              <w:rPr>
                <w:rFonts w:eastAsia="Times New Roman"/>
                <w:b/>
                <w:bCs/>
                <w:color w:val="000000"/>
              </w:rPr>
              <w:t xml:space="preserve"> Per Pupil Rate Maintained Primary Schools</w:t>
            </w:r>
          </w:p>
        </w:tc>
        <w:tc>
          <w:tcPr>
            <w:tcW w:w="745" w:type="pct"/>
            <w:tcBorders>
              <w:bottom w:val="single" w:sz="8" w:space="0" w:color="auto"/>
            </w:tcBorders>
            <w:vAlign w:val="center"/>
            <w:hideMark/>
          </w:tcPr>
          <w:p w14:paraId="00DFB1BC" w14:textId="77777777" w:rsidR="000F3E34" w:rsidRPr="009574C3" w:rsidRDefault="000F3E34" w:rsidP="000E1CC2">
            <w:pPr>
              <w:spacing w:after="0"/>
              <w:jc w:val="center"/>
              <w:rPr>
                <w:rFonts w:eastAsia="Times New Roman"/>
                <w:b/>
                <w:bCs/>
                <w:color w:val="000000"/>
              </w:rPr>
            </w:pPr>
            <w:r w:rsidRPr="009574C3">
              <w:rPr>
                <w:rFonts w:eastAsia="Times New Roman"/>
                <w:b/>
                <w:bCs/>
                <w:color w:val="000000"/>
              </w:rPr>
              <w:t>2025</w:t>
            </w:r>
            <w:r>
              <w:rPr>
                <w:rFonts w:eastAsia="Times New Roman"/>
                <w:b/>
                <w:bCs/>
                <w:color w:val="000000"/>
              </w:rPr>
              <w:t>-26</w:t>
            </w:r>
            <w:r w:rsidRPr="009574C3">
              <w:rPr>
                <w:rFonts w:eastAsia="Times New Roman"/>
                <w:b/>
                <w:bCs/>
                <w:color w:val="000000"/>
              </w:rPr>
              <w:t xml:space="preserve"> Per Pupil Rate Maintained Secondary Schools</w:t>
            </w:r>
          </w:p>
        </w:tc>
        <w:tc>
          <w:tcPr>
            <w:tcW w:w="664" w:type="pct"/>
            <w:tcBorders>
              <w:bottom w:val="single" w:sz="8" w:space="0" w:color="auto"/>
            </w:tcBorders>
            <w:vAlign w:val="center"/>
            <w:hideMark/>
          </w:tcPr>
          <w:p w14:paraId="20B21F5D" w14:textId="77777777" w:rsidR="000F3E34" w:rsidRPr="009574C3" w:rsidRDefault="000F3E34" w:rsidP="000E1CC2">
            <w:pPr>
              <w:spacing w:after="0"/>
              <w:jc w:val="center"/>
              <w:rPr>
                <w:rFonts w:eastAsia="Times New Roman"/>
                <w:b/>
                <w:bCs/>
                <w:color w:val="000000"/>
              </w:rPr>
            </w:pPr>
            <w:r w:rsidRPr="009574C3">
              <w:rPr>
                <w:rFonts w:eastAsia="Times New Roman"/>
                <w:b/>
                <w:bCs/>
                <w:color w:val="000000"/>
              </w:rPr>
              <w:t>2025</w:t>
            </w:r>
            <w:r>
              <w:rPr>
                <w:rFonts w:eastAsia="Times New Roman"/>
                <w:b/>
                <w:bCs/>
                <w:color w:val="000000"/>
              </w:rPr>
              <w:t>-26</w:t>
            </w:r>
          </w:p>
          <w:p w14:paraId="6C69F0C0" w14:textId="77777777" w:rsidR="000F3E34" w:rsidRPr="009574C3" w:rsidRDefault="000F3E34" w:rsidP="000E1CC2">
            <w:pPr>
              <w:spacing w:after="0"/>
              <w:jc w:val="center"/>
              <w:rPr>
                <w:rFonts w:eastAsia="Times New Roman"/>
                <w:b/>
                <w:bCs/>
                <w:color w:val="000000"/>
              </w:rPr>
            </w:pPr>
            <w:r w:rsidRPr="009574C3">
              <w:rPr>
                <w:rFonts w:eastAsia="Times New Roman"/>
                <w:b/>
                <w:bCs/>
                <w:color w:val="000000"/>
              </w:rPr>
              <w:t>Per Pupil Rate Special Schools</w:t>
            </w:r>
          </w:p>
        </w:tc>
        <w:tc>
          <w:tcPr>
            <w:tcW w:w="708" w:type="pct"/>
            <w:tcBorders>
              <w:bottom w:val="single" w:sz="8" w:space="0" w:color="auto"/>
            </w:tcBorders>
            <w:vAlign w:val="center"/>
            <w:hideMark/>
          </w:tcPr>
          <w:p w14:paraId="3745E369" w14:textId="77777777" w:rsidR="000F3E34" w:rsidRPr="009574C3" w:rsidRDefault="000F3E34" w:rsidP="000E1CC2">
            <w:pPr>
              <w:spacing w:after="0"/>
              <w:jc w:val="center"/>
              <w:rPr>
                <w:rFonts w:eastAsia="Times New Roman"/>
                <w:b/>
                <w:bCs/>
                <w:color w:val="000000"/>
              </w:rPr>
            </w:pPr>
            <w:r w:rsidRPr="009574C3">
              <w:rPr>
                <w:rFonts w:eastAsia="Times New Roman"/>
                <w:b/>
                <w:bCs/>
                <w:color w:val="000000"/>
              </w:rPr>
              <w:t>2026</w:t>
            </w:r>
            <w:r>
              <w:rPr>
                <w:rFonts w:eastAsia="Times New Roman"/>
                <w:b/>
                <w:bCs/>
                <w:color w:val="000000"/>
              </w:rPr>
              <w:t>-27</w:t>
            </w:r>
            <w:r w:rsidRPr="009574C3">
              <w:rPr>
                <w:rFonts w:eastAsia="Times New Roman"/>
                <w:b/>
                <w:bCs/>
                <w:color w:val="000000"/>
              </w:rPr>
              <w:t xml:space="preserve"> Per Pupil Rate Maintained Primary Schools</w:t>
            </w:r>
          </w:p>
        </w:tc>
        <w:tc>
          <w:tcPr>
            <w:tcW w:w="787" w:type="pct"/>
            <w:tcBorders>
              <w:bottom w:val="single" w:sz="8" w:space="0" w:color="auto"/>
            </w:tcBorders>
            <w:vAlign w:val="center"/>
            <w:hideMark/>
          </w:tcPr>
          <w:p w14:paraId="0F31F35D" w14:textId="77777777" w:rsidR="000F3E34" w:rsidRPr="009574C3" w:rsidRDefault="000F3E34" w:rsidP="000E1CC2">
            <w:pPr>
              <w:spacing w:after="0"/>
              <w:jc w:val="center"/>
              <w:rPr>
                <w:rFonts w:eastAsia="Times New Roman"/>
                <w:b/>
                <w:bCs/>
                <w:color w:val="000000"/>
              </w:rPr>
            </w:pPr>
            <w:r w:rsidRPr="3A2248ED">
              <w:rPr>
                <w:rFonts w:eastAsia="Times New Roman"/>
                <w:b/>
                <w:bCs/>
                <w:color w:val="000000" w:themeColor="text1"/>
              </w:rPr>
              <w:t>2026-27 Per Pupil Rate Maintained Secondary Schools</w:t>
            </w:r>
          </w:p>
        </w:tc>
        <w:tc>
          <w:tcPr>
            <w:tcW w:w="677" w:type="pct"/>
            <w:tcBorders>
              <w:bottom w:val="single" w:sz="8" w:space="0" w:color="auto"/>
            </w:tcBorders>
            <w:vAlign w:val="center"/>
            <w:hideMark/>
          </w:tcPr>
          <w:p w14:paraId="0A51DD74" w14:textId="77777777" w:rsidR="000F3E34" w:rsidRPr="009574C3" w:rsidRDefault="000F3E34" w:rsidP="000E1CC2">
            <w:pPr>
              <w:spacing w:after="0"/>
              <w:jc w:val="center"/>
              <w:rPr>
                <w:rFonts w:eastAsia="Times New Roman"/>
                <w:b/>
                <w:bCs/>
                <w:color w:val="000000"/>
              </w:rPr>
            </w:pPr>
            <w:r w:rsidRPr="009574C3">
              <w:rPr>
                <w:rFonts w:eastAsia="Times New Roman"/>
                <w:b/>
                <w:bCs/>
                <w:color w:val="000000"/>
              </w:rPr>
              <w:t>2026</w:t>
            </w:r>
            <w:r>
              <w:rPr>
                <w:rFonts w:eastAsia="Times New Roman"/>
                <w:b/>
                <w:bCs/>
                <w:color w:val="000000"/>
              </w:rPr>
              <w:t>-27</w:t>
            </w:r>
            <w:r w:rsidRPr="009574C3">
              <w:rPr>
                <w:rFonts w:eastAsia="Times New Roman"/>
                <w:b/>
                <w:bCs/>
                <w:color w:val="000000"/>
              </w:rPr>
              <w:t xml:space="preserve"> Per Pupil Rate Special Schools</w:t>
            </w:r>
          </w:p>
        </w:tc>
      </w:tr>
      <w:tr w:rsidR="000F3E34" w:rsidRPr="009574C3" w14:paraId="48E950AC" w14:textId="77777777" w:rsidTr="006E41B9">
        <w:trPr>
          <w:trHeight w:val="450"/>
        </w:trPr>
        <w:tc>
          <w:tcPr>
            <w:tcW w:w="673" w:type="pct"/>
            <w:vMerge w:val="restart"/>
            <w:vAlign w:val="center"/>
            <w:hideMark/>
          </w:tcPr>
          <w:p w14:paraId="580D372D" w14:textId="77777777" w:rsidR="000F3E34" w:rsidRPr="009574C3" w:rsidRDefault="000F3E34" w:rsidP="000E1CC2">
            <w:pPr>
              <w:spacing w:after="0"/>
              <w:rPr>
                <w:rFonts w:eastAsia="Times New Roman"/>
                <w:color w:val="000000"/>
              </w:rPr>
            </w:pPr>
            <w:r w:rsidRPr="009574C3">
              <w:rPr>
                <w:rFonts w:eastAsia="Times New Roman"/>
                <w:color w:val="000000"/>
              </w:rPr>
              <w:t>Behaviour Support Services</w:t>
            </w:r>
          </w:p>
        </w:tc>
        <w:tc>
          <w:tcPr>
            <w:tcW w:w="745" w:type="pct"/>
            <w:tcBorders>
              <w:bottom w:val="nil"/>
              <w:right w:val="single" w:sz="8" w:space="0" w:color="auto"/>
            </w:tcBorders>
            <w:vAlign w:val="center"/>
            <w:hideMark/>
          </w:tcPr>
          <w:p w14:paraId="0E0A943D" w14:textId="43892ABA" w:rsidR="000F3E34" w:rsidRPr="009574C3" w:rsidRDefault="00562394" w:rsidP="000E1CC2">
            <w:pPr>
              <w:spacing w:after="0"/>
              <w:jc w:val="right"/>
              <w:rPr>
                <w:rFonts w:eastAsia="Times New Roman"/>
                <w:color w:val="000000"/>
              </w:rPr>
            </w:pPr>
            <w:r>
              <w:rPr>
                <w:rFonts w:eastAsia="Times New Roman"/>
                <w:color w:val="000000"/>
              </w:rPr>
              <w:t>£</w:t>
            </w:r>
            <w:r w:rsidR="000F3E34">
              <w:rPr>
                <w:rFonts w:eastAsia="Times New Roman"/>
                <w:color w:val="000000"/>
              </w:rPr>
              <w:t>5.4</w:t>
            </w:r>
            <w:r w:rsidR="001B350B">
              <w:rPr>
                <w:rFonts w:eastAsia="Times New Roman"/>
                <w:color w:val="000000"/>
              </w:rPr>
              <w:t>2</w:t>
            </w:r>
          </w:p>
        </w:tc>
        <w:tc>
          <w:tcPr>
            <w:tcW w:w="745" w:type="pct"/>
            <w:tcBorders>
              <w:left w:val="single" w:sz="8" w:space="0" w:color="auto"/>
              <w:bottom w:val="nil"/>
              <w:right w:val="single" w:sz="8" w:space="0" w:color="auto"/>
            </w:tcBorders>
            <w:vAlign w:val="center"/>
            <w:hideMark/>
          </w:tcPr>
          <w:p w14:paraId="46E5B3C3" w14:textId="0DCB2A86" w:rsidR="000F3E34" w:rsidRPr="009574C3" w:rsidRDefault="000F3E34" w:rsidP="000E1CC2">
            <w:pPr>
              <w:spacing w:after="0"/>
              <w:jc w:val="right"/>
              <w:rPr>
                <w:rFonts w:eastAsia="Times New Roman"/>
                <w:color w:val="000000"/>
              </w:rPr>
            </w:pPr>
            <w:r w:rsidRPr="009574C3">
              <w:rPr>
                <w:rFonts w:eastAsia="Times New Roman"/>
                <w:color w:val="000000"/>
              </w:rPr>
              <w:t>£</w:t>
            </w:r>
            <w:r>
              <w:rPr>
                <w:rFonts w:eastAsia="Times New Roman"/>
                <w:color w:val="000000"/>
              </w:rPr>
              <w:t>9.3</w:t>
            </w:r>
            <w:r w:rsidR="00E70550">
              <w:rPr>
                <w:rFonts w:eastAsia="Times New Roman"/>
                <w:color w:val="000000"/>
              </w:rPr>
              <w:t>3</w:t>
            </w:r>
          </w:p>
        </w:tc>
        <w:tc>
          <w:tcPr>
            <w:tcW w:w="664" w:type="pct"/>
            <w:tcBorders>
              <w:left w:val="single" w:sz="8" w:space="0" w:color="auto"/>
              <w:bottom w:val="nil"/>
              <w:right w:val="single" w:sz="8" w:space="0" w:color="auto"/>
            </w:tcBorders>
            <w:vAlign w:val="center"/>
            <w:hideMark/>
          </w:tcPr>
          <w:p w14:paraId="752E243E" w14:textId="77777777" w:rsidR="000F3E34" w:rsidRPr="009574C3" w:rsidRDefault="000F3E34" w:rsidP="000E1CC2">
            <w:pPr>
              <w:spacing w:after="0"/>
              <w:jc w:val="right"/>
              <w:rPr>
                <w:rFonts w:eastAsia="Times New Roman"/>
                <w:color w:val="000000"/>
              </w:rPr>
            </w:pPr>
            <w:r w:rsidRPr="009574C3">
              <w:rPr>
                <w:rFonts w:eastAsia="Times New Roman"/>
                <w:color w:val="000000"/>
              </w:rPr>
              <w:t>£0.00</w:t>
            </w:r>
          </w:p>
        </w:tc>
        <w:tc>
          <w:tcPr>
            <w:tcW w:w="708" w:type="pct"/>
            <w:tcBorders>
              <w:left w:val="single" w:sz="8" w:space="0" w:color="auto"/>
              <w:bottom w:val="nil"/>
              <w:right w:val="single" w:sz="8" w:space="0" w:color="auto"/>
            </w:tcBorders>
            <w:vAlign w:val="center"/>
            <w:hideMark/>
          </w:tcPr>
          <w:p w14:paraId="063147A7" w14:textId="77777777" w:rsidR="000F3E34" w:rsidRPr="009574C3" w:rsidRDefault="000F3E34" w:rsidP="000E1CC2">
            <w:pPr>
              <w:spacing w:after="0"/>
              <w:jc w:val="right"/>
              <w:rPr>
                <w:rFonts w:eastAsia="Times New Roman"/>
                <w:color w:val="000000"/>
              </w:rPr>
            </w:pPr>
            <w:r w:rsidRPr="006E41B9">
              <w:rPr>
                <w:rFonts w:eastAsia="Times New Roman"/>
                <w:color w:val="000000"/>
                <w:highlight w:val="yellow"/>
              </w:rPr>
              <w:t>£5.64</w:t>
            </w:r>
            <w:r>
              <w:rPr>
                <w:rFonts w:eastAsia="Times New Roman"/>
                <w:color w:val="000000"/>
              </w:rPr>
              <w:t xml:space="preserve"> </w:t>
            </w:r>
          </w:p>
        </w:tc>
        <w:tc>
          <w:tcPr>
            <w:tcW w:w="787" w:type="pct"/>
            <w:tcBorders>
              <w:left w:val="single" w:sz="8" w:space="0" w:color="auto"/>
              <w:bottom w:val="nil"/>
              <w:right w:val="single" w:sz="8" w:space="0" w:color="auto"/>
            </w:tcBorders>
            <w:vAlign w:val="center"/>
            <w:hideMark/>
          </w:tcPr>
          <w:p w14:paraId="2B967F27" w14:textId="77C2AA22" w:rsidR="000F3E34" w:rsidRPr="009574C3" w:rsidRDefault="000F3E34" w:rsidP="000E1CC2">
            <w:pPr>
              <w:spacing w:after="0"/>
              <w:jc w:val="right"/>
              <w:rPr>
                <w:rFonts w:eastAsia="Times New Roman"/>
                <w:color w:val="000000"/>
              </w:rPr>
            </w:pPr>
            <w:r w:rsidRPr="006E41B9">
              <w:rPr>
                <w:rFonts w:eastAsia="Times New Roman"/>
                <w:color w:val="000000"/>
                <w:highlight w:val="yellow"/>
              </w:rPr>
              <w:t>£9.</w:t>
            </w:r>
            <w:r w:rsidR="00436591">
              <w:rPr>
                <w:rFonts w:eastAsia="Times New Roman"/>
                <w:color w:val="000000"/>
                <w:highlight w:val="yellow"/>
              </w:rPr>
              <w:t>71</w:t>
            </w:r>
            <w:r w:rsidRPr="006E41B9">
              <w:rPr>
                <w:rFonts w:eastAsia="Times New Roman"/>
                <w:color w:val="000000"/>
                <w:highlight w:val="yellow"/>
              </w:rPr>
              <w:t xml:space="preserve"> </w:t>
            </w:r>
          </w:p>
        </w:tc>
        <w:tc>
          <w:tcPr>
            <w:tcW w:w="677" w:type="pct"/>
            <w:tcBorders>
              <w:left w:val="single" w:sz="8" w:space="0" w:color="auto"/>
              <w:bottom w:val="nil"/>
            </w:tcBorders>
            <w:vAlign w:val="center"/>
            <w:hideMark/>
          </w:tcPr>
          <w:p w14:paraId="4798B876" w14:textId="77777777" w:rsidR="000F3E34" w:rsidRPr="009574C3" w:rsidRDefault="000F3E34" w:rsidP="000E1CC2">
            <w:pPr>
              <w:spacing w:after="0"/>
              <w:jc w:val="right"/>
              <w:rPr>
                <w:rFonts w:eastAsia="Times New Roman"/>
                <w:color w:val="000000"/>
              </w:rPr>
            </w:pPr>
            <w:r w:rsidRPr="009574C3">
              <w:rPr>
                <w:rFonts w:eastAsia="Times New Roman"/>
                <w:color w:val="000000"/>
              </w:rPr>
              <w:t>£0.00</w:t>
            </w:r>
          </w:p>
        </w:tc>
      </w:tr>
      <w:tr w:rsidR="000F3E34" w:rsidRPr="009574C3" w14:paraId="5EB11577" w14:textId="77777777" w:rsidTr="006E41B9">
        <w:trPr>
          <w:trHeight w:val="527"/>
        </w:trPr>
        <w:tc>
          <w:tcPr>
            <w:tcW w:w="673" w:type="pct"/>
            <w:vMerge/>
            <w:vAlign w:val="center"/>
            <w:hideMark/>
          </w:tcPr>
          <w:p w14:paraId="39C8AD1A" w14:textId="77777777" w:rsidR="000F3E34" w:rsidRPr="009574C3" w:rsidRDefault="000F3E34" w:rsidP="000E1CC2">
            <w:pPr>
              <w:spacing w:after="0"/>
              <w:rPr>
                <w:rFonts w:eastAsia="Times New Roman"/>
                <w:color w:val="000000"/>
              </w:rPr>
            </w:pPr>
          </w:p>
        </w:tc>
        <w:tc>
          <w:tcPr>
            <w:tcW w:w="745" w:type="pct"/>
            <w:tcBorders>
              <w:top w:val="nil"/>
              <w:right w:val="single" w:sz="8" w:space="0" w:color="auto"/>
            </w:tcBorders>
            <w:vAlign w:val="center"/>
          </w:tcPr>
          <w:p w14:paraId="62A59762" w14:textId="77777777" w:rsidR="000F3E34" w:rsidRPr="009574C3" w:rsidRDefault="000F3E34" w:rsidP="000E1CC2">
            <w:pPr>
              <w:spacing w:after="0"/>
              <w:jc w:val="right"/>
              <w:rPr>
                <w:rFonts w:eastAsia="Times New Roman"/>
                <w:color w:val="000000"/>
              </w:rPr>
            </w:pPr>
          </w:p>
        </w:tc>
        <w:tc>
          <w:tcPr>
            <w:tcW w:w="745" w:type="pct"/>
            <w:tcBorders>
              <w:top w:val="nil"/>
              <w:left w:val="single" w:sz="8" w:space="0" w:color="auto"/>
              <w:right w:val="single" w:sz="8" w:space="0" w:color="auto"/>
            </w:tcBorders>
            <w:vAlign w:val="center"/>
          </w:tcPr>
          <w:p w14:paraId="05AD7BBF" w14:textId="77777777" w:rsidR="000F3E34" w:rsidRPr="009574C3" w:rsidRDefault="000F3E34" w:rsidP="000E1CC2">
            <w:pPr>
              <w:spacing w:after="0"/>
              <w:jc w:val="right"/>
              <w:rPr>
                <w:rFonts w:eastAsia="Times New Roman"/>
                <w:color w:val="000000"/>
              </w:rPr>
            </w:pPr>
          </w:p>
        </w:tc>
        <w:tc>
          <w:tcPr>
            <w:tcW w:w="664" w:type="pct"/>
            <w:tcBorders>
              <w:top w:val="nil"/>
              <w:left w:val="single" w:sz="8" w:space="0" w:color="auto"/>
              <w:right w:val="single" w:sz="8" w:space="0" w:color="auto"/>
            </w:tcBorders>
            <w:vAlign w:val="center"/>
          </w:tcPr>
          <w:p w14:paraId="6B710C80" w14:textId="77777777" w:rsidR="000F3E34" w:rsidRPr="009574C3" w:rsidRDefault="000F3E34" w:rsidP="000E1CC2">
            <w:pPr>
              <w:spacing w:after="0"/>
              <w:jc w:val="right"/>
              <w:rPr>
                <w:rFonts w:eastAsia="Times New Roman"/>
                <w:color w:val="000000"/>
              </w:rPr>
            </w:pPr>
          </w:p>
        </w:tc>
        <w:tc>
          <w:tcPr>
            <w:tcW w:w="708" w:type="pct"/>
            <w:tcBorders>
              <w:top w:val="nil"/>
              <w:left w:val="single" w:sz="8" w:space="0" w:color="auto"/>
              <w:right w:val="single" w:sz="8" w:space="0" w:color="auto"/>
            </w:tcBorders>
            <w:vAlign w:val="center"/>
          </w:tcPr>
          <w:p w14:paraId="6AF97A97" w14:textId="77777777" w:rsidR="000F3E34" w:rsidRPr="009574C3" w:rsidRDefault="000F3E34" w:rsidP="000E1CC2">
            <w:pPr>
              <w:spacing w:after="0"/>
              <w:jc w:val="right"/>
              <w:rPr>
                <w:rFonts w:eastAsia="Times New Roman"/>
                <w:color w:val="000000"/>
              </w:rPr>
            </w:pPr>
          </w:p>
        </w:tc>
        <w:tc>
          <w:tcPr>
            <w:tcW w:w="787" w:type="pct"/>
            <w:tcBorders>
              <w:top w:val="nil"/>
              <w:left w:val="single" w:sz="8" w:space="0" w:color="auto"/>
              <w:right w:val="single" w:sz="8" w:space="0" w:color="auto"/>
            </w:tcBorders>
            <w:vAlign w:val="center"/>
          </w:tcPr>
          <w:p w14:paraId="7FE0E8DD" w14:textId="77777777" w:rsidR="000F3E34" w:rsidRPr="009574C3" w:rsidRDefault="000F3E34" w:rsidP="000E1CC2">
            <w:pPr>
              <w:spacing w:after="0"/>
              <w:jc w:val="right"/>
              <w:rPr>
                <w:rFonts w:eastAsia="Times New Roman"/>
                <w:color w:val="000000"/>
              </w:rPr>
            </w:pPr>
          </w:p>
        </w:tc>
        <w:tc>
          <w:tcPr>
            <w:tcW w:w="677" w:type="pct"/>
            <w:tcBorders>
              <w:top w:val="nil"/>
              <w:left w:val="single" w:sz="8" w:space="0" w:color="auto"/>
            </w:tcBorders>
            <w:vAlign w:val="center"/>
          </w:tcPr>
          <w:p w14:paraId="725269C8" w14:textId="77777777" w:rsidR="000F3E34" w:rsidRPr="009574C3" w:rsidRDefault="000F3E34" w:rsidP="000E1CC2">
            <w:pPr>
              <w:spacing w:after="0"/>
              <w:jc w:val="right"/>
              <w:rPr>
                <w:rFonts w:eastAsia="Times New Roman"/>
                <w:color w:val="000000"/>
              </w:rPr>
            </w:pPr>
          </w:p>
        </w:tc>
      </w:tr>
    </w:tbl>
    <w:p w14:paraId="7824CF5E" w14:textId="77777777" w:rsidR="00EC6F29" w:rsidRPr="00D041C0" w:rsidRDefault="00EC6F29" w:rsidP="00EC6F29">
      <w:pPr>
        <w:pStyle w:val="NoSpacing"/>
        <w:ind w:left="567" w:hanging="567"/>
        <w:rPr>
          <w:sz w:val="22"/>
          <w:szCs w:val="22"/>
        </w:rPr>
      </w:pPr>
    </w:p>
    <w:p w14:paraId="760189F2" w14:textId="77777777" w:rsidR="00FC1F37" w:rsidRDefault="00FC1F37" w:rsidP="00EC6F29">
      <w:pPr>
        <w:pStyle w:val="NoSpacing"/>
        <w:ind w:left="567"/>
        <w:rPr>
          <w:sz w:val="22"/>
          <w:szCs w:val="22"/>
        </w:rPr>
      </w:pPr>
    </w:p>
    <w:p w14:paraId="67EB9A35" w14:textId="77777777" w:rsidR="000F3E34" w:rsidRPr="009A5B52" w:rsidRDefault="000F3E34" w:rsidP="00AD694F">
      <w:pPr>
        <w:pStyle w:val="NoSpacing"/>
        <w:jc w:val="both"/>
        <w:rPr>
          <w:rFonts w:asciiTheme="minorHAnsi" w:hAnsiTheme="minorHAnsi"/>
          <w:sz w:val="22"/>
          <w:szCs w:val="22"/>
        </w:rPr>
      </w:pPr>
      <w:r w:rsidRPr="009A5B52">
        <w:rPr>
          <w:rFonts w:asciiTheme="minorHAnsi" w:hAnsiTheme="minorHAnsi"/>
          <w:b/>
          <w:bCs/>
          <w:sz w:val="22"/>
          <w:szCs w:val="22"/>
        </w:rPr>
        <w:t>Option 2</w:t>
      </w:r>
      <w:r w:rsidRPr="009A5B52">
        <w:rPr>
          <w:rFonts w:asciiTheme="minorHAnsi" w:hAnsiTheme="minorHAnsi"/>
          <w:sz w:val="22"/>
          <w:szCs w:val="22"/>
        </w:rPr>
        <w:t xml:space="preserve"> - to uplift the 2025-26 per pupil rate by an exceptional increase to cover the increase in the salaries and on-costs of the two Inclusion Support Teachers.  This would increase the per pupil rate as shown in the table below, also factoring the fall in pupil numbers.</w:t>
      </w:r>
    </w:p>
    <w:p w14:paraId="5F87242A" w14:textId="77777777" w:rsidR="002D011D" w:rsidRPr="00D041C0" w:rsidRDefault="002D011D" w:rsidP="00AD694F">
      <w:pPr>
        <w:pStyle w:val="NoSpacing"/>
        <w:ind w:left="567"/>
        <w:jc w:val="both"/>
        <w:rPr>
          <w:sz w:val="22"/>
          <w:szCs w:val="22"/>
        </w:rPr>
      </w:pPr>
    </w:p>
    <w:tbl>
      <w:tblPr>
        <w:tblStyle w:val="TableGrid"/>
        <w:tblW w:w="8784" w:type="dxa"/>
        <w:tblLook w:val="04A0" w:firstRow="1" w:lastRow="0" w:firstColumn="1" w:lastColumn="0" w:noHBand="0" w:noVBand="1"/>
      </w:tblPr>
      <w:tblGrid>
        <w:gridCol w:w="1311"/>
        <w:gridCol w:w="1342"/>
        <w:gridCol w:w="1342"/>
        <w:gridCol w:w="1057"/>
        <w:gridCol w:w="1342"/>
        <w:gridCol w:w="1342"/>
        <w:gridCol w:w="1048"/>
      </w:tblGrid>
      <w:tr w:rsidR="000F3E34" w:rsidRPr="00D041C0" w14:paraId="6C7F4066" w14:textId="77777777" w:rsidTr="000E1CC2">
        <w:tc>
          <w:tcPr>
            <w:tcW w:w="1496" w:type="dxa"/>
          </w:tcPr>
          <w:p w14:paraId="1E4D61AF" w14:textId="77777777" w:rsidR="000F3E34" w:rsidRPr="00562394" w:rsidRDefault="000F3E34" w:rsidP="000E1CC2">
            <w:pPr>
              <w:pStyle w:val="NoSpacing"/>
              <w:rPr>
                <w:rFonts w:asciiTheme="minorHAnsi" w:hAnsiTheme="minorHAnsi"/>
                <w:b/>
                <w:bCs/>
                <w:sz w:val="22"/>
                <w:szCs w:val="22"/>
              </w:rPr>
            </w:pPr>
            <w:r w:rsidRPr="00562394">
              <w:rPr>
                <w:rFonts w:asciiTheme="minorHAnsi" w:hAnsiTheme="minorHAnsi"/>
                <w:b/>
                <w:bCs/>
                <w:sz w:val="22"/>
                <w:szCs w:val="22"/>
              </w:rPr>
              <w:t>De-delegated Item</w:t>
            </w:r>
          </w:p>
        </w:tc>
        <w:tc>
          <w:tcPr>
            <w:tcW w:w="1261" w:type="dxa"/>
          </w:tcPr>
          <w:p w14:paraId="19A937C4" w14:textId="77777777" w:rsidR="000F3E34" w:rsidRPr="00562394" w:rsidRDefault="000F3E34" w:rsidP="000E1CC2">
            <w:pPr>
              <w:pStyle w:val="NoSpacing"/>
              <w:jc w:val="center"/>
              <w:rPr>
                <w:rFonts w:asciiTheme="minorHAnsi" w:hAnsiTheme="minorHAnsi"/>
                <w:b/>
                <w:bCs/>
                <w:sz w:val="22"/>
                <w:szCs w:val="22"/>
              </w:rPr>
            </w:pPr>
            <w:r w:rsidRPr="00562394">
              <w:rPr>
                <w:rFonts w:asciiTheme="minorHAnsi" w:hAnsiTheme="minorHAnsi"/>
                <w:b/>
                <w:bCs/>
                <w:sz w:val="22"/>
                <w:szCs w:val="22"/>
              </w:rPr>
              <w:t>2025-26 Per Pupil Rate Maintained Primary Schools</w:t>
            </w:r>
          </w:p>
        </w:tc>
        <w:tc>
          <w:tcPr>
            <w:tcW w:w="1268" w:type="dxa"/>
          </w:tcPr>
          <w:p w14:paraId="0BCD0EBB" w14:textId="77777777" w:rsidR="000F3E34" w:rsidRPr="00562394" w:rsidRDefault="000F3E34" w:rsidP="000E1CC2">
            <w:pPr>
              <w:pStyle w:val="NoSpacing"/>
              <w:jc w:val="center"/>
              <w:rPr>
                <w:rFonts w:asciiTheme="minorHAnsi" w:hAnsiTheme="minorHAnsi"/>
                <w:b/>
                <w:bCs/>
                <w:sz w:val="22"/>
                <w:szCs w:val="22"/>
              </w:rPr>
            </w:pPr>
            <w:r w:rsidRPr="00562394">
              <w:rPr>
                <w:rFonts w:asciiTheme="minorHAnsi" w:hAnsiTheme="minorHAnsi"/>
                <w:b/>
                <w:bCs/>
                <w:sz w:val="22"/>
                <w:szCs w:val="22"/>
              </w:rPr>
              <w:t>2025-26 Per Pupil Rate Maintained Secondary Schools</w:t>
            </w:r>
          </w:p>
        </w:tc>
        <w:tc>
          <w:tcPr>
            <w:tcW w:w="1118" w:type="dxa"/>
          </w:tcPr>
          <w:p w14:paraId="54BADC12" w14:textId="77777777" w:rsidR="000F3E34" w:rsidRPr="00562394" w:rsidRDefault="000F3E34" w:rsidP="000E1CC2">
            <w:pPr>
              <w:pStyle w:val="NoSpacing"/>
              <w:jc w:val="center"/>
              <w:rPr>
                <w:rFonts w:asciiTheme="minorHAnsi" w:hAnsiTheme="minorHAnsi"/>
                <w:b/>
                <w:bCs/>
                <w:sz w:val="22"/>
                <w:szCs w:val="22"/>
              </w:rPr>
            </w:pPr>
            <w:r w:rsidRPr="00562394">
              <w:rPr>
                <w:rFonts w:asciiTheme="minorHAnsi" w:hAnsiTheme="minorHAnsi"/>
                <w:b/>
                <w:bCs/>
                <w:sz w:val="22"/>
                <w:szCs w:val="22"/>
              </w:rPr>
              <w:t>2025-26</w:t>
            </w:r>
          </w:p>
          <w:p w14:paraId="1F998AF6" w14:textId="77777777" w:rsidR="000F3E34" w:rsidRPr="00562394" w:rsidRDefault="000F3E34" w:rsidP="000E1CC2">
            <w:pPr>
              <w:pStyle w:val="NoSpacing"/>
              <w:jc w:val="center"/>
              <w:rPr>
                <w:rFonts w:asciiTheme="minorHAnsi" w:hAnsiTheme="minorHAnsi"/>
                <w:b/>
                <w:bCs/>
                <w:sz w:val="22"/>
                <w:szCs w:val="22"/>
              </w:rPr>
            </w:pPr>
            <w:r w:rsidRPr="00562394">
              <w:rPr>
                <w:rFonts w:asciiTheme="minorHAnsi" w:hAnsiTheme="minorHAnsi"/>
                <w:b/>
                <w:bCs/>
                <w:sz w:val="22"/>
                <w:szCs w:val="22"/>
              </w:rPr>
              <w:t>Per Pupil Rate Special Schools</w:t>
            </w:r>
          </w:p>
        </w:tc>
        <w:tc>
          <w:tcPr>
            <w:tcW w:w="1276" w:type="dxa"/>
          </w:tcPr>
          <w:p w14:paraId="6074D2D6" w14:textId="77777777" w:rsidR="000F3E34" w:rsidRPr="00562394" w:rsidRDefault="000F3E34" w:rsidP="000E1CC2">
            <w:pPr>
              <w:pStyle w:val="NoSpacing"/>
              <w:jc w:val="center"/>
              <w:rPr>
                <w:rFonts w:asciiTheme="minorHAnsi" w:hAnsiTheme="minorHAnsi"/>
                <w:b/>
                <w:bCs/>
                <w:sz w:val="22"/>
                <w:szCs w:val="22"/>
              </w:rPr>
            </w:pPr>
            <w:r w:rsidRPr="00562394">
              <w:rPr>
                <w:rFonts w:asciiTheme="minorHAnsi" w:hAnsiTheme="minorHAnsi"/>
                <w:b/>
                <w:bCs/>
                <w:sz w:val="22"/>
                <w:szCs w:val="22"/>
              </w:rPr>
              <w:t>2026-27 Per Pupil Rate Maintained Primary Schools</w:t>
            </w:r>
          </w:p>
        </w:tc>
        <w:tc>
          <w:tcPr>
            <w:tcW w:w="1276" w:type="dxa"/>
          </w:tcPr>
          <w:p w14:paraId="7CC942EA" w14:textId="77777777" w:rsidR="000F3E34" w:rsidRPr="00562394" w:rsidRDefault="000F3E34" w:rsidP="000E1CC2">
            <w:pPr>
              <w:pStyle w:val="NoSpacing"/>
              <w:jc w:val="center"/>
              <w:rPr>
                <w:rFonts w:asciiTheme="minorHAnsi" w:hAnsiTheme="minorHAnsi"/>
                <w:b/>
                <w:bCs/>
                <w:sz w:val="22"/>
                <w:szCs w:val="22"/>
              </w:rPr>
            </w:pPr>
            <w:r w:rsidRPr="00562394">
              <w:rPr>
                <w:rFonts w:asciiTheme="minorHAnsi" w:hAnsiTheme="minorHAnsi"/>
                <w:b/>
                <w:bCs/>
                <w:sz w:val="22"/>
                <w:szCs w:val="22"/>
              </w:rPr>
              <w:t>2026-27 Per Pupil Rate Maintained Secondary Schools</w:t>
            </w:r>
          </w:p>
        </w:tc>
        <w:tc>
          <w:tcPr>
            <w:tcW w:w="1089" w:type="dxa"/>
          </w:tcPr>
          <w:p w14:paraId="50190FC8" w14:textId="77777777" w:rsidR="000F3E34" w:rsidRPr="00562394" w:rsidRDefault="000F3E34" w:rsidP="000E1CC2">
            <w:pPr>
              <w:pStyle w:val="NoSpacing"/>
              <w:jc w:val="center"/>
              <w:rPr>
                <w:rFonts w:asciiTheme="minorHAnsi" w:hAnsiTheme="minorHAnsi"/>
                <w:b/>
                <w:bCs/>
                <w:sz w:val="22"/>
                <w:szCs w:val="22"/>
              </w:rPr>
            </w:pPr>
            <w:r w:rsidRPr="00562394">
              <w:rPr>
                <w:rFonts w:asciiTheme="minorHAnsi" w:hAnsiTheme="minorHAnsi"/>
                <w:b/>
                <w:bCs/>
                <w:sz w:val="22"/>
                <w:szCs w:val="22"/>
              </w:rPr>
              <w:t>2026-27 Per Pupil Rate Special Schools</w:t>
            </w:r>
          </w:p>
        </w:tc>
      </w:tr>
      <w:tr w:rsidR="000F3E34" w:rsidRPr="00D041C0" w14:paraId="61368F08" w14:textId="77777777" w:rsidTr="000E1CC2">
        <w:tc>
          <w:tcPr>
            <w:tcW w:w="1496" w:type="dxa"/>
          </w:tcPr>
          <w:p w14:paraId="68D6739A" w14:textId="77777777" w:rsidR="000F3E34" w:rsidRPr="00562394" w:rsidRDefault="000F3E34" w:rsidP="000E1CC2">
            <w:pPr>
              <w:pStyle w:val="NoSpacing"/>
              <w:rPr>
                <w:rFonts w:asciiTheme="minorHAnsi" w:hAnsiTheme="minorHAnsi"/>
                <w:sz w:val="22"/>
                <w:szCs w:val="22"/>
              </w:rPr>
            </w:pPr>
            <w:r w:rsidRPr="00562394">
              <w:rPr>
                <w:rFonts w:asciiTheme="minorHAnsi" w:hAnsiTheme="minorHAnsi"/>
                <w:sz w:val="22"/>
                <w:szCs w:val="22"/>
              </w:rPr>
              <w:t>Behaviour Support Services</w:t>
            </w:r>
          </w:p>
        </w:tc>
        <w:tc>
          <w:tcPr>
            <w:tcW w:w="1261" w:type="dxa"/>
          </w:tcPr>
          <w:p w14:paraId="061DC02D" w14:textId="77777777" w:rsidR="000F3E34" w:rsidRPr="00562394" w:rsidRDefault="000F3E34" w:rsidP="000E1CC2">
            <w:pPr>
              <w:pStyle w:val="NoSpacing"/>
              <w:jc w:val="right"/>
              <w:rPr>
                <w:rFonts w:asciiTheme="minorHAnsi" w:hAnsiTheme="minorHAnsi"/>
                <w:sz w:val="22"/>
                <w:szCs w:val="22"/>
              </w:rPr>
            </w:pPr>
          </w:p>
          <w:p w14:paraId="3E624109" w14:textId="2EA44B03" w:rsidR="000F3E34" w:rsidRPr="00562394" w:rsidRDefault="000F3E34" w:rsidP="000E1CC2">
            <w:pPr>
              <w:pStyle w:val="NoSpacing"/>
              <w:jc w:val="right"/>
              <w:rPr>
                <w:rFonts w:asciiTheme="minorHAnsi" w:hAnsiTheme="minorHAnsi"/>
                <w:sz w:val="22"/>
                <w:szCs w:val="22"/>
              </w:rPr>
            </w:pPr>
            <w:r w:rsidRPr="00562394">
              <w:rPr>
                <w:rFonts w:asciiTheme="minorHAnsi" w:hAnsiTheme="minorHAnsi"/>
                <w:sz w:val="22"/>
                <w:szCs w:val="22"/>
              </w:rPr>
              <w:t>£5.4</w:t>
            </w:r>
            <w:r w:rsidR="001B350B">
              <w:rPr>
                <w:rFonts w:asciiTheme="minorHAnsi" w:hAnsiTheme="minorHAnsi"/>
                <w:sz w:val="22"/>
                <w:szCs w:val="22"/>
              </w:rPr>
              <w:t>2</w:t>
            </w:r>
          </w:p>
        </w:tc>
        <w:tc>
          <w:tcPr>
            <w:tcW w:w="1268" w:type="dxa"/>
          </w:tcPr>
          <w:p w14:paraId="5A65C312" w14:textId="77777777" w:rsidR="000F3E34" w:rsidRPr="00562394" w:rsidRDefault="000F3E34" w:rsidP="000E1CC2">
            <w:pPr>
              <w:pStyle w:val="NoSpacing"/>
              <w:jc w:val="right"/>
              <w:rPr>
                <w:rFonts w:asciiTheme="minorHAnsi" w:hAnsiTheme="minorHAnsi"/>
                <w:sz w:val="22"/>
                <w:szCs w:val="22"/>
              </w:rPr>
            </w:pPr>
          </w:p>
          <w:p w14:paraId="0CF96A5A" w14:textId="0775B3A9" w:rsidR="000F3E34" w:rsidRPr="00562394" w:rsidRDefault="000F3E34" w:rsidP="000E1CC2">
            <w:pPr>
              <w:pStyle w:val="NoSpacing"/>
              <w:jc w:val="right"/>
              <w:rPr>
                <w:rFonts w:asciiTheme="minorHAnsi" w:hAnsiTheme="minorHAnsi"/>
                <w:sz w:val="22"/>
                <w:szCs w:val="22"/>
              </w:rPr>
            </w:pPr>
            <w:r w:rsidRPr="00562394">
              <w:rPr>
                <w:rFonts w:asciiTheme="minorHAnsi" w:hAnsiTheme="minorHAnsi"/>
                <w:sz w:val="22"/>
                <w:szCs w:val="22"/>
              </w:rPr>
              <w:t>£9.3</w:t>
            </w:r>
            <w:r w:rsidR="00BD089E">
              <w:rPr>
                <w:rFonts w:asciiTheme="minorHAnsi" w:hAnsiTheme="minorHAnsi"/>
                <w:sz w:val="22"/>
                <w:szCs w:val="22"/>
              </w:rPr>
              <w:t>3</w:t>
            </w:r>
          </w:p>
        </w:tc>
        <w:tc>
          <w:tcPr>
            <w:tcW w:w="1118" w:type="dxa"/>
          </w:tcPr>
          <w:p w14:paraId="5771A5E2" w14:textId="77777777" w:rsidR="000F3E34" w:rsidRPr="00562394" w:rsidRDefault="000F3E34" w:rsidP="000E1CC2">
            <w:pPr>
              <w:pStyle w:val="NoSpacing"/>
              <w:jc w:val="right"/>
              <w:rPr>
                <w:rFonts w:asciiTheme="minorHAnsi" w:hAnsiTheme="minorHAnsi"/>
                <w:sz w:val="22"/>
                <w:szCs w:val="22"/>
              </w:rPr>
            </w:pPr>
          </w:p>
          <w:p w14:paraId="3DF5A8DE" w14:textId="77777777" w:rsidR="000F3E34" w:rsidRPr="00562394" w:rsidRDefault="000F3E34" w:rsidP="000E1CC2">
            <w:pPr>
              <w:pStyle w:val="NoSpacing"/>
              <w:jc w:val="right"/>
              <w:rPr>
                <w:rFonts w:asciiTheme="minorHAnsi" w:hAnsiTheme="minorHAnsi"/>
                <w:sz w:val="22"/>
                <w:szCs w:val="22"/>
              </w:rPr>
            </w:pPr>
            <w:r w:rsidRPr="00562394">
              <w:rPr>
                <w:rFonts w:asciiTheme="minorHAnsi" w:hAnsiTheme="minorHAnsi"/>
                <w:sz w:val="22"/>
                <w:szCs w:val="22"/>
              </w:rPr>
              <w:t>£0.00</w:t>
            </w:r>
          </w:p>
        </w:tc>
        <w:tc>
          <w:tcPr>
            <w:tcW w:w="1276" w:type="dxa"/>
          </w:tcPr>
          <w:p w14:paraId="145C175B" w14:textId="77777777" w:rsidR="000F3E34" w:rsidRPr="00562394" w:rsidRDefault="000F3E34" w:rsidP="000E1CC2">
            <w:pPr>
              <w:pStyle w:val="NoSpacing"/>
              <w:jc w:val="right"/>
              <w:rPr>
                <w:rFonts w:asciiTheme="minorHAnsi" w:hAnsiTheme="minorHAnsi"/>
                <w:sz w:val="22"/>
                <w:szCs w:val="22"/>
              </w:rPr>
            </w:pPr>
          </w:p>
          <w:p w14:paraId="2BF8B535" w14:textId="77777777" w:rsidR="000F3E34" w:rsidRPr="00562394" w:rsidRDefault="000F3E34" w:rsidP="000E1CC2">
            <w:pPr>
              <w:pStyle w:val="NoSpacing"/>
              <w:jc w:val="right"/>
              <w:rPr>
                <w:rFonts w:asciiTheme="minorHAnsi" w:hAnsiTheme="minorHAnsi"/>
                <w:sz w:val="22"/>
                <w:szCs w:val="22"/>
              </w:rPr>
            </w:pPr>
            <w:r w:rsidRPr="00562394">
              <w:rPr>
                <w:rFonts w:asciiTheme="minorHAnsi" w:hAnsiTheme="minorHAnsi"/>
                <w:sz w:val="22"/>
                <w:szCs w:val="22"/>
                <w:highlight w:val="yellow"/>
              </w:rPr>
              <w:t xml:space="preserve">£7.50 </w:t>
            </w:r>
          </w:p>
        </w:tc>
        <w:tc>
          <w:tcPr>
            <w:tcW w:w="1276" w:type="dxa"/>
          </w:tcPr>
          <w:p w14:paraId="7F4C801A" w14:textId="77777777" w:rsidR="000F3E34" w:rsidRPr="00562394" w:rsidRDefault="000F3E34" w:rsidP="000E1CC2">
            <w:pPr>
              <w:pStyle w:val="NoSpacing"/>
              <w:jc w:val="right"/>
              <w:rPr>
                <w:rFonts w:asciiTheme="minorHAnsi" w:hAnsiTheme="minorHAnsi"/>
                <w:sz w:val="22"/>
                <w:szCs w:val="22"/>
              </w:rPr>
            </w:pPr>
          </w:p>
          <w:p w14:paraId="34DB5B15" w14:textId="77777777" w:rsidR="000F3E34" w:rsidRPr="00562394" w:rsidRDefault="000F3E34" w:rsidP="000E1CC2">
            <w:pPr>
              <w:pStyle w:val="NoSpacing"/>
              <w:jc w:val="right"/>
              <w:rPr>
                <w:rFonts w:asciiTheme="minorHAnsi" w:hAnsiTheme="minorHAnsi"/>
                <w:sz w:val="22"/>
                <w:szCs w:val="22"/>
              </w:rPr>
            </w:pPr>
            <w:r w:rsidRPr="00562394">
              <w:rPr>
                <w:rFonts w:asciiTheme="minorHAnsi" w:hAnsiTheme="minorHAnsi"/>
                <w:sz w:val="22"/>
                <w:szCs w:val="22"/>
                <w:highlight w:val="yellow"/>
              </w:rPr>
              <w:t xml:space="preserve">£11.80 </w:t>
            </w:r>
          </w:p>
        </w:tc>
        <w:tc>
          <w:tcPr>
            <w:tcW w:w="1089" w:type="dxa"/>
          </w:tcPr>
          <w:p w14:paraId="5E42155C" w14:textId="77777777" w:rsidR="000F3E34" w:rsidRPr="00562394" w:rsidRDefault="000F3E34" w:rsidP="000E1CC2">
            <w:pPr>
              <w:pStyle w:val="NoSpacing"/>
              <w:jc w:val="right"/>
              <w:rPr>
                <w:rFonts w:asciiTheme="minorHAnsi" w:hAnsiTheme="minorHAnsi"/>
                <w:sz w:val="22"/>
                <w:szCs w:val="22"/>
              </w:rPr>
            </w:pPr>
          </w:p>
          <w:p w14:paraId="283A575F" w14:textId="77777777" w:rsidR="000F3E34" w:rsidRPr="00562394" w:rsidRDefault="000F3E34" w:rsidP="000E1CC2">
            <w:pPr>
              <w:pStyle w:val="NoSpacing"/>
              <w:jc w:val="right"/>
              <w:rPr>
                <w:rFonts w:asciiTheme="minorHAnsi" w:hAnsiTheme="minorHAnsi"/>
                <w:sz w:val="22"/>
                <w:szCs w:val="22"/>
              </w:rPr>
            </w:pPr>
            <w:r w:rsidRPr="00562394">
              <w:rPr>
                <w:rFonts w:asciiTheme="minorHAnsi" w:hAnsiTheme="minorHAnsi"/>
                <w:sz w:val="22"/>
                <w:szCs w:val="22"/>
              </w:rPr>
              <w:t>£0.00</w:t>
            </w:r>
          </w:p>
        </w:tc>
      </w:tr>
    </w:tbl>
    <w:p w14:paraId="47408A64" w14:textId="77777777" w:rsidR="00EC6F29" w:rsidRPr="00D041C0" w:rsidRDefault="00EC6F29" w:rsidP="00EC6F29">
      <w:pPr>
        <w:pStyle w:val="NoSpacing"/>
        <w:rPr>
          <w:sz w:val="22"/>
          <w:szCs w:val="22"/>
        </w:rPr>
      </w:pPr>
    </w:p>
    <w:p w14:paraId="113E05F2" w14:textId="73243877" w:rsidR="00155F17" w:rsidRDefault="00EC6F29" w:rsidP="00FA1517">
      <w:pPr>
        <w:pStyle w:val="NoSpacing"/>
        <w:ind w:left="567"/>
        <w:rPr>
          <w:rFonts w:asciiTheme="minorHAnsi" w:hAnsiTheme="minorHAnsi"/>
          <w:sz w:val="22"/>
          <w:szCs w:val="22"/>
        </w:rPr>
      </w:pPr>
      <w:r w:rsidRPr="009A5B52">
        <w:rPr>
          <w:rFonts w:asciiTheme="minorHAnsi" w:hAnsiTheme="minorHAnsi"/>
          <w:sz w:val="22"/>
          <w:szCs w:val="22"/>
        </w:rPr>
        <w:t>The de-delegated services for Behaviour Support Services are applicable to maintained primary and secondary schools only as this service is not accessed by special schools.</w:t>
      </w:r>
    </w:p>
    <w:p w14:paraId="75F60A39" w14:textId="77777777" w:rsidR="00FA1517" w:rsidRPr="00FA1517" w:rsidRDefault="00FA1517" w:rsidP="00FA1517">
      <w:pPr>
        <w:pStyle w:val="NoSpacing"/>
        <w:ind w:left="567"/>
        <w:rPr>
          <w:rFonts w:asciiTheme="minorHAnsi" w:hAnsiTheme="minorHAnsi"/>
          <w:sz w:val="22"/>
          <w:szCs w:val="22"/>
        </w:rPr>
      </w:pPr>
    </w:p>
    <w:p w14:paraId="3B10E762" w14:textId="09FA87A0" w:rsidR="00EC6F29" w:rsidRPr="00155F17" w:rsidRDefault="00EC6F29" w:rsidP="008745BE">
      <w:pPr>
        <w:pStyle w:val="Heading3"/>
      </w:pPr>
      <w:r w:rsidRPr="00155F17">
        <w:t xml:space="preserve">Option 1: If the level of de-delegation of Behaviour Support is limited to the CPI inflation rate of </w:t>
      </w:r>
      <w:r w:rsidR="000F3E34">
        <w:t>3</w:t>
      </w:r>
      <w:r w:rsidRPr="00155F17">
        <w:t>.</w:t>
      </w:r>
      <w:r w:rsidR="000F3E34">
        <w:t>8</w:t>
      </w:r>
      <w:r w:rsidRPr="00155F17">
        <w:t>%</w:t>
      </w:r>
    </w:p>
    <w:p w14:paraId="600E8AE9" w14:textId="721BDC20" w:rsidR="00EC6F29" w:rsidRDefault="00EC6F29" w:rsidP="00EB5ADA">
      <w:pPr>
        <w:jc w:val="both"/>
      </w:pPr>
      <w:r>
        <w:t xml:space="preserve">Teacher’s salaries have increased significantly over the past 2 years and currently the de-delegation amount, which historically covered 2fte specialist teacher posts, now only covers the equivalent of 1.2fte (with on-costs) </w:t>
      </w:r>
      <w:r w:rsidR="001E3D0D">
        <w:t xml:space="preserve">Last year the Forum agreed to </w:t>
      </w:r>
      <w:r w:rsidR="008A0432">
        <w:t xml:space="preserve">increase funding to cover the uplift in salaries and allowed for the recruitment of an experienced teacher to replace a member of staff who left. This </w:t>
      </w:r>
      <w:r w:rsidR="00E2104A">
        <w:t>is a fixed term contract at present.</w:t>
      </w:r>
    </w:p>
    <w:p w14:paraId="5A253838" w14:textId="44D3B48E" w:rsidR="00EC6F29" w:rsidRDefault="00EC6F29" w:rsidP="00EB5ADA">
      <w:pPr>
        <w:jc w:val="both"/>
      </w:pPr>
      <w:r>
        <w:t xml:space="preserve">If this level of de-delegation were </w:t>
      </w:r>
      <w:r w:rsidR="00E2104A">
        <w:t xml:space="preserve">not to continue to meet the true cost of </w:t>
      </w:r>
      <w:r w:rsidR="00FA33DD">
        <w:t>staffing,</w:t>
      </w:r>
      <w:r>
        <w:t xml:space="preserve"> then the </w:t>
      </w:r>
      <w:r w:rsidR="00753EAD">
        <w:t>consequence of that would be</w:t>
      </w:r>
      <w:r w:rsidR="0064524B">
        <w:t xml:space="preserve"> to drastically reduce the number of referrals that the team can manage, bearing in mind that referrals have risen by </w:t>
      </w:r>
      <w:r w:rsidR="00FA33DD">
        <w:t xml:space="preserve">a further </w:t>
      </w:r>
      <w:r w:rsidR="00D63D49">
        <w:t>7.2</w:t>
      </w:r>
      <w:r w:rsidR="0064524B">
        <w:t>%</w:t>
      </w:r>
      <w:r w:rsidR="00D63D49">
        <w:t xml:space="preserve"> in addition to the 25% the previous year. The Forum’s agreement to increase funding last year allowed the waiting list to remain stable at 2 weeks on average with consultation available immediately.</w:t>
      </w:r>
    </w:p>
    <w:p w14:paraId="40E12E96" w14:textId="77777777" w:rsidR="009618B0" w:rsidRDefault="000905F2" w:rsidP="00EB5ADA">
      <w:pPr>
        <w:jc w:val="both"/>
      </w:pPr>
      <w:r>
        <w:t>The revised</w:t>
      </w:r>
      <w:r w:rsidR="0064524B">
        <w:t xml:space="preserve"> Transition programme from Year 6-7 </w:t>
      </w:r>
      <w:r>
        <w:t>would not be sustainable on Option 1</w:t>
      </w:r>
      <w:r w:rsidR="00213209">
        <w:t>.</w:t>
      </w:r>
    </w:p>
    <w:p w14:paraId="3B9B02C8" w14:textId="0C234A2C" w:rsidR="00495BD9" w:rsidRDefault="00495BD9" w:rsidP="00EB5ADA">
      <w:pPr>
        <w:jc w:val="both"/>
      </w:pPr>
      <w:r>
        <w:t>The Restorative Justice offe</w:t>
      </w:r>
      <w:r w:rsidR="00213209">
        <w:t xml:space="preserve">r </w:t>
      </w:r>
      <w:r w:rsidR="00EA01AC">
        <w:t>has been restored on a limited basis but would be at risk again.</w:t>
      </w:r>
    </w:p>
    <w:p w14:paraId="3D09F472" w14:textId="095F2443" w:rsidR="00495BD9" w:rsidRPr="00155F17" w:rsidRDefault="0064524B" w:rsidP="008745BE">
      <w:pPr>
        <w:pStyle w:val="Heading3"/>
      </w:pPr>
      <w:r w:rsidRPr="00155F17">
        <w:t>Option 2: Increase the level of de-delegation to reflect</w:t>
      </w:r>
      <w:r w:rsidR="00CC6FF5">
        <w:t xml:space="preserve"> the true cost of Service</w:t>
      </w:r>
      <w:r w:rsidR="00581B1A">
        <w:t xml:space="preserve"> </w:t>
      </w:r>
      <w:r w:rsidR="00934572">
        <w:t xml:space="preserve">factoring in </w:t>
      </w:r>
      <w:r w:rsidR="00934572" w:rsidRPr="00155F17">
        <w:t>rise</w:t>
      </w:r>
      <w:r w:rsidRPr="00155F17">
        <w:t xml:space="preserve"> of teachers’ salaries</w:t>
      </w:r>
      <w:r w:rsidR="00495BD9" w:rsidRPr="00155F17">
        <w:t xml:space="preserve"> increase of </w:t>
      </w:r>
      <w:r w:rsidR="00934572">
        <w:t xml:space="preserve">further </w:t>
      </w:r>
      <w:r w:rsidR="00EA01AC">
        <w:t>4</w:t>
      </w:r>
      <w:r w:rsidR="00495BD9" w:rsidRPr="00155F17">
        <w:t xml:space="preserve">% </w:t>
      </w:r>
      <w:r w:rsidR="001B350B">
        <w:t>and drop in maintained school’s pupil numbers</w:t>
      </w:r>
    </w:p>
    <w:p w14:paraId="3C646E65" w14:textId="2BC8BA0E" w:rsidR="00495BD9" w:rsidRDefault="00613AFF" w:rsidP="008644C4">
      <w:pPr>
        <w:jc w:val="both"/>
      </w:pPr>
      <w:r>
        <w:t>Maintain current</w:t>
      </w:r>
      <w:r w:rsidR="00495BD9">
        <w:t xml:space="preserve"> levels of capacity to assess, provide targeted intervention and advice and consultatio</w:t>
      </w:r>
      <w:r w:rsidR="00FF068A">
        <w:t>n</w:t>
      </w:r>
      <w:r w:rsidR="00495BD9">
        <w:t>, if referral levels remain constant.</w:t>
      </w:r>
    </w:p>
    <w:p w14:paraId="1C41B39E" w14:textId="04E6580F" w:rsidR="00495BD9" w:rsidRDefault="00FF068A" w:rsidP="008644C4">
      <w:pPr>
        <w:jc w:val="both"/>
      </w:pPr>
      <w:r>
        <w:t>Maintain</w:t>
      </w:r>
      <w:r w:rsidR="00495BD9">
        <w:t xml:space="preserve"> the Transition programme to encompass pupils who have had a lower level of suspension, include a triage of Year 5 pupils who may already be vulnerable</w:t>
      </w:r>
      <w:r>
        <w:t xml:space="preserve"> and continue development work on a </w:t>
      </w:r>
      <w:r w:rsidR="00C6587F">
        <w:t>cross-LA common transition form.</w:t>
      </w:r>
    </w:p>
    <w:p w14:paraId="40CBFC4D" w14:textId="2D3E2527" w:rsidR="00495BD9" w:rsidRDefault="00C6587F" w:rsidP="008644C4">
      <w:pPr>
        <w:jc w:val="both"/>
      </w:pPr>
      <w:r>
        <w:t>Continue to provide</w:t>
      </w:r>
      <w:r w:rsidR="00495BD9">
        <w:t xml:space="preserve"> specifically Early Years and therapeutic expertise </w:t>
      </w:r>
      <w:r>
        <w:t xml:space="preserve">which </w:t>
      </w:r>
      <w:r w:rsidR="00E325B8">
        <w:t>we were able to recruit to last year.</w:t>
      </w:r>
    </w:p>
    <w:p w14:paraId="4D1C3920" w14:textId="77777777" w:rsidR="009664CD" w:rsidRDefault="00495BD9" w:rsidP="008644C4">
      <w:pPr>
        <w:jc w:val="both"/>
      </w:pPr>
      <w:r>
        <w:lastRenderedPageBreak/>
        <w:t>Maintain an Education presence on the Social Inclusion Panel, Safeguarding Board and other preventative networks.</w:t>
      </w:r>
    </w:p>
    <w:p w14:paraId="3CDD98E8" w14:textId="112091FB" w:rsidR="00495BD9" w:rsidRDefault="00495BD9" w:rsidP="008644C4">
      <w:pPr>
        <w:jc w:val="both"/>
      </w:pPr>
      <w:r>
        <w:t xml:space="preserve">Invest in more preventative and early intervention work through a thematic analysis and response to emerging issues, </w:t>
      </w:r>
      <w:r w:rsidR="009664CD">
        <w:t>e.g.</w:t>
      </w:r>
      <w:r>
        <w:t xml:space="preserve"> Early Years and the rise of extremely challenging physical behaviours.</w:t>
      </w:r>
    </w:p>
    <w:p w14:paraId="3156905F" w14:textId="2EE0CF31" w:rsidR="00155F17" w:rsidRDefault="00495BD9" w:rsidP="008644C4">
      <w:pPr>
        <w:jc w:val="both"/>
      </w:pPr>
      <w:r>
        <w:t>Continue to facilitate peer networks for secondary Behaviour Leads and expand into primary.</w:t>
      </w:r>
    </w:p>
    <w:p w14:paraId="4250AC2B" w14:textId="3D4B45E5" w:rsidR="008E5961" w:rsidRPr="008E5961" w:rsidRDefault="008E5961" w:rsidP="008745BE">
      <w:pPr>
        <w:pStyle w:val="Heading2"/>
      </w:pPr>
      <w:r w:rsidRPr="008E5961">
        <w:t xml:space="preserve">Additional queries from Heads and answers </w:t>
      </w:r>
    </w:p>
    <w:p w14:paraId="45086F59" w14:textId="2B219AF0" w:rsidR="008E5961" w:rsidRPr="008745BE" w:rsidRDefault="008745BE" w:rsidP="008745BE">
      <w:pPr>
        <w:spacing w:before="100" w:beforeAutospacing="1" w:after="100" w:afterAutospacing="1" w:line="300" w:lineRule="atLeast"/>
        <w:rPr>
          <w:color w:val="000000"/>
        </w:rPr>
      </w:pPr>
      <w:r>
        <w:rPr>
          <w:b/>
          <w:bCs/>
          <w:color w:val="000000"/>
        </w:rPr>
        <w:t>1 L</w:t>
      </w:r>
      <w:r w:rsidR="008E5961" w:rsidRPr="008E5961">
        <w:rPr>
          <w:b/>
          <w:bCs/>
          <w:color w:val="000000"/>
        </w:rPr>
        <w:t xml:space="preserve">ink to Teacher Costs - </w:t>
      </w:r>
      <w:r w:rsidR="008E5961" w:rsidRPr="008E5961">
        <w:rPr>
          <w:color w:val="000000"/>
        </w:rPr>
        <w:t>The papers suggest the increase is primarily driven by rising teacher salaries. However, the scale of the proposed uplift appears to outstrip real</w:t>
      </w:r>
      <w:r w:rsidR="008E5961">
        <w:rPr>
          <w:color w:val="000000"/>
        </w:rPr>
        <w:t xml:space="preserve"> </w:t>
      </w:r>
      <w:r w:rsidR="008E5961" w:rsidRPr="008E5961">
        <w:rPr>
          <w:color w:val="000000"/>
        </w:rPr>
        <w:t>terms pay increases. Greater clarity on how these figures have been calculated would be helpful.</w:t>
      </w:r>
    </w:p>
    <w:p w14:paraId="6BFF57FE" w14:textId="22E18FA7" w:rsidR="001B350B" w:rsidRPr="008E5961" w:rsidRDefault="001B350B" w:rsidP="008644C4">
      <w:pPr>
        <w:jc w:val="both"/>
      </w:pPr>
      <w:r w:rsidRPr="008E5961">
        <w:t>We understand the was an exceptional increase in behaviour support rates in 25/26, however along with the further increase in Teachers’ Salaries the drop in pupil numbers for whom we can apply the de</w:t>
      </w:r>
      <w:r w:rsidR="00552F36" w:rsidRPr="008E5961">
        <w:t>-</w:t>
      </w:r>
      <w:r w:rsidRPr="008E5961">
        <w:t>delegated element has direct impact on the service budget:</w:t>
      </w:r>
    </w:p>
    <w:p w14:paraId="1BC09F6A" w14:textId="118B8D4B" w:rsidR="001B350B" w:rsidRPr="008E5961" w:rsidRDefault="001B350B" w:rsidP="008644C4">
      <w:pPr>
        <w:jc w:val="both"/>
      </w:pPr>
      <w:r w:rsidRPr="008E5961">
        <w:t>Table below illustrates the changes to NOR, approximately the drop has been 18% overall and similar is expected in 26/27. Number of factors can influence these, one of which is that Maintained School Converting to Academies.</w:t>
      </w:r>
    </w:p>
    <w:tbl>
      <w:tblPr>
        <w:tblStyle w:val="TableGrid"/>
        <w:tblW w:w="0" w:type="auto"/>
        <w:tblLook w:val="04A0" w:firstRow="1" w:lastRow="0" w:firstColumn="1" w:lastColumn="0" w:noHBand="0" w:noVBand="1"/>
      </w:tblPr>
      <w:tblGrid>
        <w:gridCol w:w="1951"/>
        <w:gridCol w:w="2236"/>
        <w:gridCol w:w="2471"/>
        <w:gridCol w:w="2326"/>
      </w:tblGrid>
      <w:tr w:rsidR="001B350B" w:rsidRPr="008E5961" w14:paraId="700728B5" w14:textId="77777777" w:rsidTr="001B350B">
        <w:trPr>
          <w:trHeight w:val="345"/>
        </w:trPr>
        <w:tc>
          <w:tcPr>
            <w:tcW w:w="1951" w:type="dxa"/>
            <w:hideMark/>
          </w:tcPr>
          <w:p w14:paraId="359FC516" w14:textId="77777777" w:rsidR="001B350B" w:rsidRPr="008E5961" w:rsidRDefault="001B350B" w:rsidP="001B350B">
            <w:pPr>
              <w:jc w:val="center"/>
              <w:rPr>
                <w:b/>
                <w:bCs/>
              </w:rPr>
            </w:pPr>
            <w:r w:rsidRPr="008E5961">
              <w:rPr>
                <w:b/>
                <w:bCs/>
              </w:rPr>
              <w:t>NOR</w:t>
            </w:r>
          </w:p>
        </w:tc>
        <w:tc>
          <w:tcPr>
            <w:tcW w:w="2236" w:type="dxa"/>
            <w:hideMark/>
          </w:tcPr>
          <w:p w14:paraId="4D589A5C" w14:textId="77777777" w:rsidR="001B350B" w:rsidRPr="008E5961" w:rsidRDefault="001B350B" w:rsidP="001B350B">
            <w:pPr>
              <w:jc w:val="center"/>
              <w:rPr>
                <w:b/>
                <w:bCs/>
              </w:rPr>
            </w:pPr>
            <w:r w:rsidRPr="008E5961">
              <w:rPr>
                <w:b/>
                <w:bCs/>
              </w:rPr>
              <w:t>24/25</w:t>
            </w:r>
          </w:p>
        </w:tc>
        <w:tc>
          <w:tcPr>
            <w:tcW w:w="2471" w:type="dxa"/>
            <w:hideMark/>
          </w:tcPr>
          <w:p w14:paraId="5B268C31" w14:textId="77777777" w:rsidR="001B350B" w:rsidRPr="008E5961" w:rsidRDefault="001B350B" w:rsidP="001B350B">
            <w:pPr>
              <w:jc w:val="center"/>
              <w:rPr>
                <w:b/>
                <w:bCs/>
              </w:rPr>
            </w:pPr>
            <w:r w:rsidRPr="008E5961">
              <w:rPr>
                <w:b/>
                <w:bCs/>
              </w:rPr>
              <w:t>25/26</w:t>
            </w:r>
          </w:p>
        </w:tc>
        <w:tc>
          <w:tcPr>
            <w:tcW w:w="2326" w:type="dxa"/>
            <w:hideMark/>
          </w:tcPr>
          <w:p w14:paraId="70DD2CA8" w14:textId="77777777" w:rsidR="001B350B" w:rsidRPr="008E5961" w:rsidRDefault="001B350B" w:rsidP="001B350B">
            <w:pPr>
              <w:jc w:val="center"/>
              <w:rPr>
                <w:b/>
                <w:bCs/>
              </w:rPr>
            </w:pPr>
            <w:r w:rsidRPr="008E5961">
              <w:rPr>
                <w:b/>
                <w:bCs/>
              </w:rPr>
              <w:t>Estimated 26/27</w:t>
            </w:r>
          </w:p>
        </w:tc>
      </w:tr>
      <w:tr w:rsidR="001B350B" w:rsidRPr="008E5961" w14:paraId="218DB8E0" w14:textId="77777777" w:rsidTr="001B350B">
        <w:trPr>
          <w:trHeight w:val="339"/>
        </w:trPr>
        <w:tc>
          <w:tcPr>
            <w:tcW w:w="1951" w:type="dxa"/>
            <w:noWrap/>
            <w:hideMark/>
          </w:tcPr>
          <w:p w14:paraId="5DB1955F" w14:textId="77777777" w:rsidR="001B350B" w:rsidRPr="008E5961" w:rsidRDefault="001B350B" w:rsidP="001B350B">
            <w:pPr>
              <w:jc w:val="both"/>
            </w:pPr>
            <w:r w:rsidRPr="008E5961">
              <w:t>Pri</w:t>
            </w:r>
          </w:p>
        </w:tc>
        <w:tc>
          <w:tcPr>
            <w:tcW w:w="2236" w:type="dxa"/>
            <w:noWrap/>
            <w:hideMark/>
          </w:tcPr>
          <w:p w14:paraId="00BC53D4" w14:textId="77777777" w:rsidR="001B350B" w:rsidRPr="008E5961" w:rsidRDefault="001B350B" w:rsidP="001B350B">
            <w:pPr>
              <w:jc w:val="both"/>
            </w:pPr>
            <w:r w:rsidRPr="008E5961">
              <w:t xml:space="preserve">     17,879.0 </w:t>
            </w:r>
          </w:p>
        </w:tc>
        <w:tc>
          <w:tcPr>
            <w:tcW w:w="2471" w:type="dxa"/>
            <w:noWrap/>
            <w:hideMark/>
          </w:tcPr>
          <w:p w14:paraId="53E89839" w14:textId="77777777" w:rsidR="001B350B" w:rsidRPr="008E5961" w:rsidRDefault="001B350B" w:rsidP="001B350B">
            <w:pPr>
              <w:jc w:val="both"/>
            </w:pPr>
            <w:r w:rsidRPr="008E5961">
              <w:t xml:space="preserve">     16,718.0 </w:t>
            </w:r>
          </w:p>
        </w:tc>
        <w:tc>
          <w:tcPr>
            <w:tcW w:w="2326" w:type="dxa"/>
            <w:noWrap/>
            <w:hideMark/>
          </w:tcPr>
          <w:p w14:paraId="1D24A2FE" w14:textId="77777777" w:rsidR="001B350B" w:rsidRPr="008E5961" w:rsidRDefault="001B350B" w:rsidP="001B350B">
            <w:pPr>
              <w:jc w:val="both"/>
            </w:pPr>
            <w:r w:rsidRPr="008E5961">
              <w:t xml:space="preserve">       15,632.4 </w:t>
            </w:r>
          </w:p>
        </w:tc>
      </w:tr>
      <w:tr w:rsidR="001B350B" w:rsidRPr="008E5961" w14:paraId="466A9BE3" w14:textId="77777777" w:rsidTr="001B350B">
        <w:trPr>
          <w:trHeight w:val="339"/>
        </w:trPr>
        <w:tc>
          <w:tcPr>
            <w:tcW w:w="1951" w:type="dxa"/>
            <w:noWrap/>
            <w:hideMark/>
          </w:tcPr>
          <w:p w14:paraId="54FA319B" w14:textId="77777777" w:rsidR="001B350B" w:rsidRPr="008E5961" w:rsidRDefault="001B350B" w:rsidP="001B350B">
            <w:pPr>
              <w:jc w:val="both"/>
            </w:pPr>
            <w:r w:rsidRPr="008E5961">
              <w:t>Sec</w:t>
            </w:r>
          </w:p>
        </w:tc>
        <w:tc>
          <w:tcPr>
            <w:tcW w:w="2236" w:type="dxa"/>
            <w:noWrap/>
            <w:hideMark/>
          </w:tcPr>
          <w:p w14:paraId="1D4DE50C" w14:textId="77777777" w:rsidR="001B350B" w:rsidRPr="008E5961" w:rsidRDefault="001B350B" w:rsidP="001B350B">
            <w:pPr>
              <w:jc w:val="both"/>
            </w:pPr>
            <w:r w:rsidRPr="008E5961">
              <w:t xml:space="preserve">       9,274.0 </w:t>
            </w:r>
          </w:p>
        </w:tc>
        <w:tc>
          <w:tcPr>
            <w:tcW w:w="2471" w:type="dxa"/>
            <w:noWrap/>
            <w:hideMark/>
          </w:tcPr>
          <w:p w14:paraId="5058B9C0" w14:textId="77777777" w:rsidR="001B350B" w:rsidRPr="008E5961" w:rsidRDefault="001B350B" w:rsidP="001B350B">
            <w:pPr>
              <w:jc w:val="both"/>
            </w:pPr>
            <w:r w:rsidRPr="008E5961">
              <w:t xml:space="preserve">       8,115.0 </w:t>
            </w:r>
          </w:p>
        </w:tc>
        <w:tc>
          <w:tcPr>
            <w:tcW w:w="2326" w:type="dxa"/>
            <w:noWrap/>
            <w:hideMark/>
          </w:tcPr>
          <w:p w14:paraId="76DAE405" w14:textId="77777777" w:rsidR="001B350B" w:rsidRPr="008E5961" w:rsidRDefault="001B350B" w:rsidP="001B350B">
            <w:pPr>
              <w:jc w:val="both"/>
            </w:pPr>
            <w:r w:rsidRPr="008E5961">
              <w:t xml:space="preserve">         7,100.8 </w:t>
            </w:r>
          </w:p>
        </w:tc>
      </w:tr>
    </w:tbl>
    <w:p w14:paraId="49A3B248" w14:textId="77777777" w:rsidR="008E5961" w:rsidRDefault="001B350B" w:rsidP="008E5961">
      <w:pPr>
        <w:jc w:val="both"/>
      </w:pPr>
      <w:r w:rsidRPr="008E5961">
        <w:t xml:space="preserve"> </w:t>
      </w:r>
    </w:p>
    <w:p w14:paraId="586B5A5E" w14:textId="77777777" w:rsidR="008E5961" w:rsidRDefault="008E5961" w:rsidP="008E5961">
      <w:pPr>
        <w:spacing w:before="100" w:beforeAutospacing="1" w:after="100" w:afterAutospacing="1" w:line="300" w:lineRule="atLeast"/>
      </w:pPr>
      <w:r w:rsidRPr="008E5961">
        <w:t>The increase for 26/27 is calculated to include both the rise of teacher’s salaries by a further 4% and the decrease in pupil numbers due to increased levels of academisation, making the de-delegated ‘pool’ smaller and drop in pupil numbers overall in the LA.</w:t>
      </w:r>
    </w:p>
    <w:p w14:paraId="26859B54" w14:textId="74650B93" w:rsidR="008E5961" w:rsidRPr="008745BE" w:rsidRDefault="008745BE" w:rsidP="008745BE">
      <w:pPr>
        <w:spacing w:before="100" w:beforeAutospacing="1" w:after="100" w:afterAutospacing="1" w:line="300" w:lineRule="atLeast"/>
        <w:rPr>
          <w:color w:val="000000"/>
          <w:sz w:val="24"/>
          <w:szCs w:val="24"/>
        </w:rPr>
      </w:pPr>
      <w:r>
        <w:rPr>
          <w:b/>
          <w:bCs/>
          <w:color w:val="000000"/>
        </w:rPr>
        <w:t>1.</w:t>
      </w:r>
      <w:r w:rsidR="008E5961" w:rsidRPr="008745BE">
        <w:rPr>
          <w:b/>
          <w:bCs/>
          <w:color w:val="000000"/>
        </w:rPr>
        <w:t xml:space="preserve">Impact of Rising Referrals - </w:t>
      </w:r>
      <w:r w:rsidR="008E5961" w:rsidRPr="008745BE">
        <w:rPr>
          <w:color w:val="000000"/>
        </w:rPr>
        <w:t>Both the original paper, and your subsequent clarification, reference significant increases in referrals and complexity of need. Further detail about the rate of increase in referrals, other than permanent exclusions, would be helpful to set context. However, even with this detail, as we understand the paper there is no proposal to increase staffing beyond the current two specialist teachers. We struggle therefore, to see how simply increasing the de-delegated amount expands capacity, which seems at odds with the stated demand pressures.</w:t>
      </w:r>
    </w:p>
    <w:p w14:paraId="4A3642AE" w14:textId="77777777" w:rsidR="008745BE" w:rsidRDefault="008E5961" w:rsidP="008745BE">
      <w:pPr>
        <w:spacing w:before="100" w:beforeAutospacing="1" w:after="100" w:afterAutospacing="1" w:line="300" w:lineRule="atLeast"/>
      </w:pPr>
      <w:r w:rsidRPr="008E5961">
        <w:t xml:space="preserve">The increase will allow capacity to be </w:t>
      </w:r>
      <w:r w:rsidRPr="008E5961">
        <w:rPr>
          <w:u w:val="single"/>
        </w:rPr>
        <w:t>maintained</w:t>
      </w:r>
      <w:r w:rsidRPr="008E5961">
        <w:t xml:space="preserve">, not increased. Increasing capacity would require a further uplift or significant additional central/academy input. Currently the funding will only meet the salary cost for 1.2 </w:t>
      </w:r>
      <w:proofErr w:type="spellStart"/>
      <w:r w:rsidRPr="008E5961">
        <w:t>fte</w:t>
      </w:r>
      <w:proofErr w:type="spellEnd"/>
      <w:r w:rsidRPr="008E5961">
        <w:t xml:space="preserve"> if the increase is not applied. The rise in permanent exclusions does place a considerable additional pressure on the team in order to provide detailed advice, attend meetings with parents and other agencies, provide guidance on reports and procedure, attend PEX hearings as well as IRPs and do follow up work in onward placement. Additionally, the rise in complexity of cases now has extended </w:t>
      </w:r>
      <w:proofErr w:type="gramStart"/>
      <w:r w:rsidRPr="008E5961">
        <w:t>the majority of</w:t>
      </w:r>
      <w:proofErr w:type="gramEnd"/>
      <w:r w:rsidRPr="008E5961">
        <w:t xml:space="preserve"> referrals over </w:t>
      </w:r>
      <w:proofErr w:type="gramStart"/>
      <w:r w:rsidRPr="008E5961">
        <w:t>the  from</w:t>
      </w:r>
      <w:proofErr w:type="gramEnd"/>
      <w:r w:rsidRPr="008E5961">
        <w:t xml:space="preserve"> 8 visits (half a day each) to 11.</w:t>
      </w:r>
    </w:p>
    <w:p w14:paraId="3BB37844" w14:textId="6379F093" w:rsidR="008E5961" w:rsidRPr="008745BE" w:rsidRDefault="008745BE" w:rsidP="008745BE">
      <w:pPr>
        <w:spacing w:before="100" w:beforeAutospacing="1" w:after="100" w:afterAutospacing="1" w:line="300" w:lineRule="atLeast"/>
      </w:pPr>
      <w:r>
        <w:rPr>
          <w:b/>
          <w:bCs/>
          <w:color w:val="000000"/>
        </w:rPr>
        <w:lastRenderedPageBreak/>
        <w:t>2.</w:t>
      </w:r>
      <w:r w:rsidR="008E5961" w:rsidRPr="008745BE">
        <w:rPr>
          <w:b/>
          <w:bCs/>
          <w:color w:val="000000"/>
        </w:rPr>
        <w:t xml:space="preserve">Effect of Falling Pupil Numbers - </w:t>
      </w:r>
      <w:r w:rsidR="008E5961" w:rsidRPr="008745BE">
        <w:rPr>
          <w:color w:val="000000"/>
        </w:rPr>
        <w:t xml:space="preserve">The rationale that falling rolls necessitate higher per-pupil charges is problematic. While it may be clear that there are increasing complex needs emerging, it must also be true that fewer pupils all </w:t>
      </w:r>
      <w:proofErr w:type="gramStart"/>
      <w:r w:rsidR="008E5961" w:rsidRPr="008745BE">
        <w:rPr>
          <w:color w:val="000000"/>
        </w:rPr>
        <w:t>round</w:t>
      </w:r>
      <w:proofErr w:type="gramEnd"/>
      <w:r w:rsidR="008E5961" w:rsidRPr="008745BE">
        <w:rPr>
          <w:color w:val="000000"/>
        </w:rPr>
        <w:t xml:space="preserve"> may lead to a decrease in overall referrals. Furthermore, Schools are also experiencing reduced income </w:t>
      </w:r>
      <w:proofErr w:type="gramStart"/>
      <w:r w:rsidR="008E5961" w:rsidRPr="008745BE">
        <w:rPr>
          <w:color w:val="000000"/>
        </w:rPr>
        <w:t>as a result of</w:t>
      </w:r>
      <w:proofErr w:type="gramEnd"/>
      <w:r w:rsidR="008E5961" w:rsidRPr="008745BE">
        <w:rPr>
          <w:color w:val="000000"/>
        </w:rPr>
        <w:t xml:space="preserve"> falling pupil numbers and, in many cases, adjusting staffing levels accordingly. As you know, the problem of falling pupil numbers is not impacting on all schools equally. Asking schools to allocate a larger proportion of their shrinking budgets to maintain staffing, when they are making cuts, in other teams feels inequitable.</w:t>
      </w:r>
    </w:p>
    <w:p w14:paraId="6F1992F4" w14:textId="77777777" w:rsidR="008E5961" w:rsidRPr="008E5961" w:rsidRDefault="008E5961" w:rsidP="008E5961">
      <w:pPr>
        <w:spacing w:before="100" w:beforeAutospacing="1" w:after="100" w:afterAutospacing="1" w:line="300" w:lineRule="atLeast"/>
      </w:pPr>
      <w:r w:rsidRPr="008E5961">
        <w:t xml:space="preserve">This is a real dilemma for schools and it is understood that all schools are under immense pressure financially. However, the fact that referrals have risen, rather than fallen is potentially due to the number of cuts that have been made in school staffing that would normally support children with these needs at an early stage and delay/reduce the need for onward referral to a specialist team. Learning mentors, Teaching Assistants and family liaison workers as well as other staff such a deputy heads of year, deputy SENCo etc have become an increasingly rare option in most </w:t>
      </w:r>
      <w:proofErr w:type="gramStart"/>
      <w:r w:rsidRPr="008E5961">
        <w:t>schools  therefore</w:t>
      </w:r>
      <w:proofErr w:type="gramEnd"/>
      <w:r w:rsidRPr="008E5961">
        <w:t xml:space="preserve"> SEMH needs may be going unaddressed for some time, escalating in severity and therefore creating more complex referrals to the Behaviour Support Team and requiring more ongoing support. A referral to a specialist service, funded through de-delegation, also does not have the same ongoing costs as a member of staff. The fact that High Needs funding is not permitted to be used for Early Help Behaviour Support makes it impossible for these funds to be allocated centrally.</w:t>
      </w:r>
    </w:p>
    <w:p w14:paraId="43279B11" w14:textId="76D3D66B" w:rsidR="008E5961" w:rsidRPr="008745BE" w:rsidRDefault="008745BE" w:rsidP="008745BE">
      <w:pPr>
        <w:spacing w:before="100" w:beforeAutospacing="1" w:after="100" w:afterAutospacing="1" w:line="300" w:lineRule="atLeast"/>
        <w:rPr>
          <w:color w:val="000000"/>
          <w:sz w:val="24"/>
          <w:szCs w:val="24"/>
        </w:rPr>
      </w:pPr>
      <w:r>
        <w:rPr>
          <w:b/>
          <w:bCs/>
          <w:color w:val="000000"/>
        </w:rPr>
        <w:t>3.</w:t>
      </w:r>
      <w:r w:rsidR="008E5961" w:rsidRPr="008745BE">
        <w:rPr>
          <w:b/>
          <w:bCs/>
          <w:color w:val="000000"/>
        </w:rPr>
        <w:t>The service offered to schools and actual uptake -</w:t>
      </w:r>
      <w:r w:rsidR="008E5961" w:rsidRPr="008745BE">
        <w:rPr>
          <w:color w:val="000000"/>
        </w:rPr>
        <w:t> Headteachers have previously asked for clarity on the range of services provided by the Behaviour Support team and the level of uptake across schools. Currently, insight into this varies widely among colleagues, making it difficult to form a collective, informed judgment on which of the two proposed funding options to support. We also note that some elements of the offer appear to have changed—for example, BASS Transition Reports seem to have ceased, and attendance responsibilities may now sit within the Youth Service. On this basis, it would be extremely helpful to receive a clear and up-to-date summary of:</w:t>
      </w:r>
      <w:r w:rsidR="008E5961" w:rsidRPr="008E5961">
        <w:t xml:space="preserve"> BASS Transition reports are still provided and the offer includes unlimited link teacher support for a term to look at the needs of the whole cohort</w:t>
      </w:r>
    </w:p>
    <w:p w14:paraId="6174C1E7" w14:textId="77777777" w:rsidR="008E5961" w:rsidRPr="008E5961" w:rsidRDefault="008E5961" w:rsidP="008E5961">
      <w:pPr>
        <w:numPr>
          <w:ilvl w:val="1"/>
          <w:numId w:val="3"/>
        </w:numPr>
        <w:spacing w:before="100" w:beforeAutospacing="1" w:after="100" w:afterAutospacing="1" w:line="300" w:lineRule="atLeast"/>
        <w:ind w:firstLine="0"/>
        <w:rPr>
          <w:color w:val="000000"/>
        </w:rPr>
      </w:pPr>
      <w:r w:rsidRPr="008E5961">
        <w:rPr>
          <w:color w:val="000000"/>
        </w:rPr>
        <w:t>The full range of services currently provided by the team.</w:t>
      </w:r>
    </w:p>
    <w:tbl>
      <w:tblPr>
        <w:tblW w:w="9126" w:type="dxa"/>
        <w:tblLayout w:type="fixed"/>
        <w:tblCellMar>
          <w:left w:w="0" w:type="dxa"/>
          <w:right w:w="0" w:type="dxa"/>
        </w:tblCellMar>
        <w:tblLook w:val="04A0" w:firstRow="1" w:lastRow="0" w:firstColumn="1" w:lastColumn="0" w:noHBand="0" w:noVBand="1"/>
      </w:tblPr>
      <w:tblGrid>
        <w:gridCol w:w="1340"/>
        <w:gridCol w:w="2008"/>
        <w:gridCol w:w="2889"/>
        <w:gridCol w:w="2889"/>
      </w:tblGrid>
      <w:tr w:rsidR="008E5961" w:rsidRPr="008E5961" w14:paraId="7CC36D9D" w14:textId="77777777" w:rsidTr="008E5961">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3F95E1" w14:textId="77777777" w:rsidR="008E5961" w:rsidRPr="008E5961" w:rsidRDefault="008E5961">
            <w:pPr>
              <w:spacing w:before="100" w:beforeAutospacing="1" w:after="100" w:afterAutospacing="1" w:line="300" w:lineRule="atLeast"/>
              <w:rPr>
                <w:b/>
                <w:bCs/>
              </w:rPr>
            </w:pPr>
            <w:r w:rsidRPr="008E5961">
              <w:rPr>
                <w:b/>
                <w:bCs/>
              </w:rPr>
              <w:t>Behaviour Support Service</w:t>
            </w:r>
          </w:p>
        </w:tc>
        <w:tc>
          <w:tcPr>
            <w:tcW w:w="2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5C636" w14:textId="77777777" w:rsidR="008E5961" w:rsidRPr="008E5961" w:rsidRDefault="008E5961">
            <w:pPr>
              <w:spacing w:before="100" w:beforeAutospacing="1" w:after="100" w:afterAutospacing="1" w:line="300" w:lineRule="atLeast"/>
              <w:rPr>
                <w:b/>
                <w:bCs/>
              </w:rPr>
            </w:pPr>
            <w:r w:rsidRPr="008E5961">
              <w:rPr>
                <w:b/>
                <w:bCs/>
              </w:rPr>
              <w:t>Statutory</w:t>
            </w:r>
          </w:p>
        </w:tc>
        <w:tc>
          <w:tcPr>
            <w:tcW w:w="2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1C78F" w14:textId="77777777" w:rsidR="008E5961" w:rsidRPr="008E5961" w:rsidRDefault="008E5961">
            <w:pPr>
              <w:spacing w:before="100" w:beforeAutospacing="1" w:after="100" w:afterAutospacing="1" w:line="300" w:lineRule="atLeast"/>
              <w:rPr>
                <w:b/>
                <w:bCs/>
              </w:rPr>
            </w:pPr>
            <w:r w:rsidRPr="008E5961">
              <w:rPr>
                <w:b/>
                <w:bCs/>
              </w:rPr>
              <w:t>Core through de-delegation</w:t>
            </w:r>
          </w:p>
        </w:tc>
        <w:tc>
          <w:tcPr>
            <w:tcW w:w="2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1666F" w14:textId="77777777" w:rsidR="008E5961" w:rsidRPr="008E5961" w:rsidRDefault="008E5961">
            <w:pPr>
              <w:spacing w:before="100" w:beforeAutospacing="1" w:after="100" w:afterAutospacing="1" w:line="300" w:lineRule="atLeast"/>
              <w:rPr>
                <w:b/>
                <w:bCs/>
              </w:rPr>
            </w:pPr>
            <w:r w:rsidRPr="008E5961">
              <w:rPr>
                <w:b/>
                <w:bCs/>
              </w:rPr>
              <w:t xml:space="preserve">Available through SLA/paid for </w:t>
            </w:r>
            <w:proofErr w:type="spellStart"/>
            <w:r w:rsidRPr="008E5961">
              <w:rPr>
                <w:b/>
                <w:bCs/>
              </w:rPr>
              <w:t>for</w:t>
            </w:r>
            <w:proofErr w:type="spellEnd"/>
            <w:r w:rsidRPr="008E5961">
              <w:rPr>
                <w:b/>
                <w:bCs/>
              </w:rPr>
              <w:t xml:space="preserve"> non-maintained schools </w:t>
            </w:r>
          </w:p>
        </w:tc>
      </w:tr>
      <w:tr w:rsidR="008E5961" w:rsidRPr="008E5961" w14:paraId="3BC9BC93" w14:textId="77777777" w:rsidTr="008E5961">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11033" w14:textId="77777777" w:rsidR="008E5961" w:rsidRPr="008E5961" w:rsidRDefault="008E5961">
            <w:pPr>
              <w:spacing w:before="100" w:beforeAutospacing="1" w:after="100" w:afterAutospacing="1" w:line="300" w:lineRule="atLeast"/>
              <w:rPr>
                <w:b/>
                <w:bCs/>
              </w:rPr>
            </w:pPr>
            <w:r w:rsidRPr="008E5961">
              <w:rPr>
                <w:b/>
                <w:bCs/>
              </w:rPr>
              <w:t>Exclusions and suspensions</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70E77194" w14:textId="77777777" w:rsidR="008E5961" w:rsidRPr="008E5961" w:rsidRDefault="008E5961">
            <w:pPr>
              <w:spacing w:before="100" w:beforeAutospacing="1" w:after="100" w:afterAutospacing="1" w:line="300" w:lineRule="atLeast"/>
            </w:pPr>
            <w:r w:rsidRPr="008E5961">
              <w:t>Guidance/central training/monitoring</w:t>
            </w: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79FD411C" w14:textId="77777777" w:rsidR="008E5961" w:rsidRPr="008E5961" w:rsidRDefault="008E5961">
            <w:pPr>
              <w:spacing w:before="100" w:beforeAutospacing="1" w:after="100" w:afterAutospacing="1" w:line="300" w:lineRule="atLeast"/>
            </w:pPr>
            <w:r w:rsidRPr="008E5961">
              <w:t>Enhanced support, step by step guidance, attendance at meetings, review of key reports, attendance at hearings and IRPs</w:t>
            </w: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03B7C33D" w14:textId="77777777" w:rsidR="008E5961" w:rsidRPr="008E5961" w:rsidRDefault="008E5961">
            <w:pPr>
              <w:spacing w:before="100" w:beforeAutospacing="1" w:after="100" w:afterAutospacing="1" w:line="300" w:lineRule="atLeast"/>
            </w:pPr>
            <w:r w:rsidRPr="008E5961">
              <w:t>Enhanced support/attendance at meetings</w:t>
            </w:r>
          </w:p>
        </w:tc>
      </w:tr>
      <w:tr w:rsidR="008E5961" w:rsidRPr="008E5961" w14:paraId="33EE6CA6" w14:textId="77777777" w:rsidTr="008E5961">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41CD5" w14:textId="77777777" w:rsidR="008E5961" w:rsidRPr="008E5961" w:rsidRDefault="008E5961">
            <w:pPr>
              <w:spacing w:before="100" w:beforeAutospacing="1" w:after="100" w:afterAutospacing="1" w:line="300" w:lineRule="atLeast"/>
              <w:rPr>
                <w:b/>
                <w:bCs/>
              </w:rPr>
            </w:pPr>
            <w:r w:rsidRPr="008E5961">
              <w:rPr>
                <w:b/>
                <w:bCs/>
              </w:rPr>
              <w:t xml:space="preserve">Behaviour assessment and </w:t>
            </w:r>
            <w:r w:rsidRPr="008E5961">
              <w:rPr>
                <w:b/>
                <w:bCs/>
              </w:rPr>
              <w:lastRenderedPageBreak/>
              <w:t>interventions</w:t>
            </w:r>
          </w:p>
        </w:tc>
        <w:tc>
          <w:tcPr>
            <w:tcW w:w="2008" w:type="dxa"/>
            <w:tcBorders>
              <w:top w:val="nil"/>
              <w:left w:val="nil"/>
              <w:bottom w:val="single" w:sz="8" w:space="0" w:color="auto"/>
              <w:right w:val="single" w:sz="8" w:space="0" w:color="auto"/>
            </w:tcBorders>
            <w:tcMar>
              <w:top w:w="0" w:type="dxa"/>
              <w:left w:w="108" w:type="dxa"/>
              <w:bottom w:w="0" w:type="dxa"/>
              <w:right w:w="108" w:type="dxa"/>
            </w:tcMar>
          </w:tcPr>
          <w:p w14:paraId="46E2F184" w14:textId="77777777" w:rsidR="008E5961" w:rsidRPr="008E5961" w:rsidRDefault="008E5961">
            <w:pPr>
              <w:spacing w:before="100" w:beforeAutospacing="1" w:after="100" w:afterAutospacing="1" w:line="300" w:lineRule="atLeast"/>
            </w:pP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0B584280"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Consultations/emergency support</w:t>
            </w:r>
          </w:p>
          <w:p w14:paraId="53FBF168"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 xml:space="preserve">Diagnostic assessments: </w:t>
            </w:r>
            <w:r w:rsidRPr="008E5961">
              <w:rPr>
                <w:rFonts w:eastAsia="Times New Roman"/>
              </w:rPr>
              <w:lastRenderedPageBreak/>
              <w:t>individual and cohort</w:t>
            </w:r>
          </w:p>
          <w:p w14:paraId="0368F282"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PSP/Behaviour plans</w:t>
            </w:r>
          </w:p>
          <w:p w14:paraId="6C2C22E4"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Whole school audit/ policy writing</w:t>
            </w:r>
          </w:p>
          <w:p w14:paraId="74437179"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Training and guidance on specific aspects of SEMH</w:t>
            </w:r>
          </w:p>
          <w:p w14:paraId="5A65177B"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Team around the Child meetings</w:t>
            </w:r>
          </w:p>
          <w:p w14:paraId="7342B281"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 xml:space="preserve">Class meets </w:t>
            </w:r>
          </w:p>
          <w:p w14:paraId="60C7037C"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 xml:space="preserve">SENCO support for SEMH cohort and provision mapping </w:t>
            </w:r>
          </w:p>
          <w:p w14:paraId="4DDD995E"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One-off Restorative Justice conferences</w:t>
            </w: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49518583"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lastRenderedPageBreak/>
              <w:t>Consultations/emergency support</w:t>
            </w:r>
          </w:p>
          <w:p w14:paraId="577BCEAD"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 xml:space="preserve">Diagnostic assessments: </w:t>
            </w:r>
            <w:r w:rsidRPr="008E5961">
              <w:rPr>
                <w:rFonts w:eastAsia="Times New Roman"/>
              </w:rPr>
              <w:lastRenderedPageBreak/>
              <w:t>individual and cohort</w:t>
            </w:r>
          </w:p>
          <w:p w14:paraId="43B4A5C1"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PSP/Behaviour plans</w:t>
            </w:r>
          </w:p>
          <w:p w14:paraId="0447ADF7"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Whole school audit/ policy writing</w:t>
            </w:r>
          </w:p>
          <w:p w14:paraId="4CE98FD5"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Training and guidance on specific aspects of SEMH</w:t>
            </w:r>
          </w:p>
          <w:p w14:paraId="373FB393"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Team around the Child meetings</w:t>
            </w:r>
          </w:p>
          <w:p w14:paraId="21D8D609"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 xml:space="preserve">Class meets </w:t>
            </w:r>
          </w:p>
          <w:p w14:paraId="1697E3A0"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SENCO support or interim SENCO</w:t>
            </w:r>
          </w:p>
          <w:p w14:paraId="5C04281F"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Therapeutic work</w:t>
            </w:r>
          </w:p>
          <w:p w14:paraId="2684138A" w14:textId="77777777" w:rsidR="008E5961" w:rsidRPr="008E5961" w:rsidRDefault="008E5961" w:rsidP="008E5961">
            <w:pPr>
              <w:pStyle w:val="ListParagraph"/>
              <w:numPr>
                <w:ilvl w:val="0"/>
                <w:numId w:val="4"/>
              </w:numPr>
              <w:spacing w:before="100" w:beforeAutospacing="1" w:after="100" w:afterAutospacing="1" w:line="300" w:lineRule="atLeast"/>
              <w:contextualSpacing w:val="0"/>
              <w:rPr>
                <w:rFonts w:eastAsia="Times New Roman"/>
              </w:rPr>
            </w:pPr>
            <w:r w:rsidRPr="008E5961">
              <w:rPr>
                <w:rFonts w:eastAsia="Times New Roman"/>
              </w:rPr>
              <w:t>Extended Restorative Justice support and training</w:t>
            </w:r>
          </w:p>
        </w:tc>
      </w:tr>
      <w:tr w:rsidR="008E5961" w:rsidRPr="008E5961" w14:paraId="4F57B92D" w14:textId="77777777" w:rsidTr="008E5961">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AFC23" w14:textId="77777777" w:rsidR="008E5961" w:rsidRPr="008E5961" w:rsidRDefault="008E5961">
            <w:pPr>
              <w:spacing w:before="100" w:beforeAutospacing="1" w:after="100" w:afterAutospacing="1" w:line="300" w:lineRule="atLeast"/>
              <w:rPr>
                <w:b/>
                <w:bCs/>
              </w:rPr>
            </w:pPr>
            <w:r w:rsidRPr="008E5961">
              <w:rPr>
                <w:b/>
                <w:bCs/>
              </w:rPr>
              <w:lastRenderedPageBreak/>
              <w:t>Training and guidance</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7237B0C4"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Online guidance on behaviour policies</w:t>
            </w:r>
          </w:p>
          <w:p w14:paraId="5D85382D"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Central training on positive behaviour management</w:t>
            </w:r>
          </w:p>
          <w:p w14:paraId="5AC9029E"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Exclusion training for governors</w:t>
            </w:r>
          </w:p>
          <w:p w14:paraId="6C76534B"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Exclusions and suspensions LA analysis</w:t>
            </w: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126653AB"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 xml:space="preserve">Bespoke training for whole school or groups of staff on a range of topics, </w:t>
            </w:r>
            <w:proofErr w:type="spellStart"/>
            <w:r w:rsidRPr="008E5961">
              <w:rPr>
                <w:rFonts w:eastAsia="Times New Roman"/>
              </w:rPr>
              <w:t>incl</w:t>
            </w:r>
            <w:proofErr w:type="spellEnd"/>
            <w:r w:rsidRPr="008E5961">
              <w:rPr>
                <w:rFonts w:eastAsia="Times New Roman"/>
              </w:rPr>
              <w:t xml:space="preserve"> de-escalation, differentiation for SEMH, initial teacher training, emotion coaching (intro), trauma informed practice, PSPs</w:t>
            </w:r>
          </w:p>
          <w:p w14:paraId="7AA47E7D"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Whole school and behaviour policy audits</w:t>
            </w:r>
          </w:p>
          <w:p w14:paraId="13958A88"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Input into THEP, SIP and FAP training</w:t>
            </w:r>
          </w:p>
          <w:p w14:paraId="6AF04677" w14:textId="77777777" w:rsidR="008E5961" w:rsidRPr="008E5961" w:rsidRDefault="008E5961" w:rsidP="008E5961">
            <w:pPr>
              <w:pStyle w:val="ListParagraph"/>
              <w:numPr>
                <w:ilvl w:val="0"/>
                <w:numId w:val="5"/>
              </w:numPr>
              <w:spacing w:before="100" w:beforeAutospacing="1" w:after="100" w:afterAutospacing="1" w:line="300" w:lineRule="atLeast"/>
              <w:contextualSpacing w:val="0"/>
              <w:rPr>
                <w:rFonts w:eastAsia="Times New Roman"/>
              </w:rPr>
            </w:pPr>
            <w:r w:rsidRPr="008E5961">
              <w:rPr>
                <w:rFonts w:eastAsia="Times New Roman"/>
              </w:rPr>
              <w:t>Support for schools causing concern</w:t>
            </w: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1ECC32E0" w14:textId="77777777" w:rsidR="008E5961" w:rsidRPr="008E5961" w:rsidRDefault="008E5961">
            <w:pPr>
              <w:spacing w:before="100" w:beforeAutospacing="1" w:after="100" w:afterAutospacing="1" w:line="300" w:lineRule="atLeast"/>
            </w:pPr>
            <w:r w:rsidRPr="008E5961">
              <w:t>Positive Handling and accreditation</w:t>
            </w:r>
          </w:p>
          <w:p w14:paraId="1AC887BB" w14:textId="77777777" w:rsidR="008E5961" w:rsidRPr="008E5961" w:rsidRDefault="008E5961">
            <w:pPr>
              <w:spacing w:before="100" w:beforeAutospacing="1" w:after="100" w:afterAutospacing="1" w:line="300" w:lineRule="atLeast"/>
            </w:pPr>
            <w:r w:rsidRPr="008E5961">
              <w:t>Emotion coaching and accreditation</w:t>
            </w:r>
          </w:p>
          <w:p w14:paraId="1A0BC7EF" w14:textId="77777777" w:rsidR="008E5961" w:rsidRPr="008E5961" w:rsidRDefault="008E5961">
            <w:pPr>
              <w:spacing w:before="100" w:beforeAutospacing="1" w:after="100" w:afterAutospacing="1" w:line="300" w:lineRule="atLeast"/>
            </w:pPr>
            <w:r w:rsidRPr="008E5961">
              <w:t>Introduction to counselling</w:t>
            </w:r>
          </w:p>
          <w:p w14:paraId="5101DBBD" w14:textId="77777777" w:rsidR="008E5961" w:rsidRPr="008E5961" w:rsidRDefault="008E5961">
            <w:pPr>
              <w:spacing w:before="100" w:beforeAutospacing="1" w:after="100" w:afterAutospacing="1" w:line="300" w:lineRule="atLeast"/>
            </w:pPr>
            <w:r w:rsidRPr="008E5961">
              <w:t>Bespoke on areas of development for the school</w:t>
            </w:r>
          </w:p>
        </w:tc>
      </w:tr>
      <w:tr w:rsidR="008E5961" w:rsidRPr="008E5961" w14:paraId="2E193960" w14:textId="77777777" w:rsidTr="008E5961">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7D32E" w14:textId="77777777" w:rsidR="008E5961" w:rsidRPr="008E5961" w:rsidRDefault="008E5961">
            <w:pPr>
              <w:spacing w:before="100" w:beforeAutospacing="1" w:after="100" w:afterAutospacing="1" w:line="300" w:lineRule="atLeast"/>
              <w:rPr>
                <w:b/>
                <w:bCs/>
              </w:rPr>
            </w:pPr>
            <w:r w:rsidRPr="008E5961">
              <w:rPr>
                <w:b/>
                <w:bCs/>
              </w:rPr>
              <w:t>Transition</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711D71C3" w14:textId="77777777" w:rsidR="008E5961" w:rsidRPr="008E5961" w:rsidRDefault="008E5961">
            <w:pPr>
              <w:spacing w:before="100" w:beforeAutospacing="1" w:after="100" w:afterAutospacing="1" w:line="300" w:lineRule="atLeast"/>
            </w:pPr>
            <w:r w:rsidRPr="008E5961">
              <w:t>Online guidance and training</w:t>
            </w: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11A22EF8" w14:textId="77777777" w:rsidR="008E5961" w:rsidRPr="008E5961" w:rsidRDefault="008E5961" w:rsidP="008E5961">
            <w:pPr>
              <w:pStyle w:val="ListParagraph"/>
              <w:numPr>
                <w:ilvl w:val="0"/>
                <w:numId w:val="6"/>
              </w:numPr>
              <w:spacing w:before="100" w:beforeAutospacing="1" w:after="100" w:afterAutospacing="1" w:line="300" w:lineRule="atLeast"/>
              <w:contextualSpacing w:val="0"/>
              <w:rPr>
                <w:rFonts w:eastAsia="Times New Roman"/>
              </w:rPr>
            </w:pPr>
            <w:r w:rsidRPr="008E5961">
              <w:rPr>
                <w:rFonts w:eastAsia="Times New Roman"/>
              </w:rPr>
              <w:t xml:space="preserve">Support in identification and support in Summer Year 6 and Autumn Year 7. Strategies, planning and </w:t>
            </w:r>
            <w:r w:rsidRPr="008E5961">
              <w:rPr>
                <w:rFonts w:eastAsia="Times New Roman"/>
              </w:rPr>
              <w:lastRenderedPageBreak/>
              <w:t>information-sharing, monitoring and review particularly for pupils at high risk of exclusion/LAC/CP at point of transfer</w:t>
            </w:r>
          </w:p>
          <w:p w14:paraId="15F08D94" w14:textId="77777777" w:rsidR="008E5961" w:rsidRPr="008E5961" w:rsidRDefault="008E5961" w:rsidP="008E5961">
            <w:pPr>
              <w:pStyle w:val="ListParagraph"/>
              <w:numPr>
                <w:ilvl w:val="0"/>
                <w:numId w:val="6"/>
              </w:numPr>
              <w:spacing w:before="100" w:beforeAutospacing="1" w:after="100" w:afterAutospacing="1" w:line="300" w:lineRule="atLeast"/>
              <w:contextualSpacing w:val="0"/>
              <w:rPr>
                <w:rFonts w:eastAsia="Times New Roman"/>
              </w:rPr>
            </w:pPr>
            <w:r w:rsidRPr="008E5961">
              <w:rPr>
                <w:rFonts w:eastAsia="Times New Roman"/>
              </w:rPr>
              <w:t>Materials, training and support for Heads of Year and SENCOs</w:t>
            </w:r>
          </w:p>
          <w:p w14:paraId="4874240F" w14:textId="77777777" w:rsidR="008E5961" w:rsidRPr="008E5961" w:rsidRDefault="008E5961" w:rsidP="008E5961">
            <w:pPr>
              <w:pStyle w:val="ListParagraph"/>
              <w:numPr>
                <w:ilvl w:val="0"/>
                <w:numId w:val="6"/>
              </w:numPr>
              <w:spacing w:before="100" w:beforeAutospacing="1" w:after="100" w:afterAutospacing="1" w:line="300" w:lineRule="atLeast"/>
              <w:contextualSpacing w:val="0"/>
              <w:rPr>
                <w:rFonts w:eastAsia="Times New Roman"/>
              </w:rPr>
            </w:pPr>
            <w:r w:rsidRPr="008E5961">
              <w:rPr>
                <w:rFonts w:eastAsia="Times New Roman"/>
              </w:rPr>
              <w:t>Unlimited link teacher support for cohort for the term.</w:t>
            </w:r>
          </w:p>
        </w:tc>
        <w:tc>
          <w:tcPr>
            <w:tcW w:w="2889" w:type="dxa"/>
            <w:tcBorders>
              <w:top w:val="nil"/>
              <w:left w:val="nil"/>
              <w:bottom w:val="single" w:sz="8" w:space="0" w:color="auto"/>
              <w:right w:val="single" w:sz="8" w:space="0" w:color="auto"/>
            </w:tcBorders>
            <w:tcMar>
              <w:top w:w="0" w:type="dxa"/>
              <w:left w:w="108" w:type="dxa"/>
              <w:bottom w:w="0" w:type="dxa"/>
              <w:right w:w="108" w:type="dxa"/>
            </w:tcMar>
            <w:hideMark/>
          </w:tcPr>
          <w:p w14:paraId="2A981D41" w14:textId="77777777" w:rsidR="008E5961" w:rsidRPr="008E5961" w:rsidRDefault="008E5961" w:rsidP="008E5961">
            <w:pPr>
              <w:pStyle w:val="ListParagraph"/>
              <w:numPr>
                <w:ilvl w:val="0"/>
                <w:numId w:val="6"/>
              </w:numPr>
              <w:spacing w:before="100" w:beforeAutospacing="1" w:after="100" w:afterAutospacing="1" w:line="300" w:lineRule="atLeast"/>
              <w:contextualSpacing w:val="0"/>
              <w:rPr>
                <w:rFonts w:eastAsia="Times New Roman"/>
              </w:rPr>
            </w:pPr>
            <w:r w:rsidRPr="008E5961">
              <w:rPr>
                <w:rFonts w:eastAsia="Times New Roman"/>
              </w:rPr>
              <w:lastRenderedPageBreak/>
              <w:t xml:space="preserve">Support in identification and support in Summer Year 6 and Autumn Year 7. Strategies, planning and </w:t>
            </w:r>
            <w:r w:rsidRPr="008E5961">
              <w:rPr>
                <w:rFonts w:eastAsia="Times New Roman"/>
              </w:rPr>
              <w:lastRenderedPageBreak/>
              <w:t>information-sharing, monitoring and review, particularly for pupils at high risk of exclusion at point of transfer</w:t>
            </w:r>
          </w:p>
          <w:p w14:paraId="28A71D3B" w14:textId="77777777" w:rsidR="008E5961" w:rsidRPr="008E5961" w:rsidRDefault="008E5961" w:rsidP="008E5961">
            <w:pPr>
              <w:pStyle w:val="ListParagraph"/>
              <w:numPr>
                <w:ilvl w:val="0"/>
                <w:numId w:val="6"/>
              </w:numPr>
              <w:spacing w:before="100" w:beforeAutospacing="1" w:after="100" w:afterAutospacing="1" w:line="300" w:lineRule="atLeast"/>
              <w:contextualSpacing w:val="0"/>
              <w:rPr>
                <w:rFonts w:eastAsia="Times New Roman"/>
              </w:rPr>
            </w:pPr>
            <w:r w:rsidRPr="008E5961">
              <w:rPr>
                <w:rFonts w:eastAsia="Times New Roman"/>
              </w:rPr>
              <w:t>Materials, training and support for Heads of Year and Unlimited link teacher support for cohort for the term.</w:t>
            </w:r>
          </w:p>
        </w:tc>
      </w:tr>
    </w:tbl>
    <w:p w14:paraId="72AB58E0" w14:textId="77777777" w:rsidR="008E5961" w:rsidRPr="008E5961" w:rsidRDefault="008E5961"/>
    <w:p w14:paraId="2103B5AD" w14:textId="0EB93823" w:rsidR="00362313" w:rsidRDefault="008E5961">
      <w:r w:rsidRPr="008E5961">
        <w:t>C. Attendance has moved to Youth Services and there were aspects of overlap with children at risk of suspension or PEX who also have poor attendance that the combined teams collaborated on and provided advice and guidance. Teams continue to work closely but overall management for the Attendance Welfare Service is now elsewhere</w:t>
      </w:r>
      <w:r>
        <w:t>.</w:t>
      </w:r>
    </w:p>
    <w:sectPr w:rsidR="00362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C1"/>
    <w:multiLevelType w:val="hybridMultilevel"/>
    <w:tmpl w:val="D128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3C9A"/>
    <w:multiLevelType w:val="hybridMultilevel"/>
    <w:tmpl w:val="D9A654BA"/>
    <w:lvl w:ilvl="0" w:tplc="C3182738">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A6C32"/>
    <w:multiLevelType w:val="hybridMultilevel"/>
    <w:tmpl w:val="DA8AA200"/>
    <w:lvl w:ilvl="0" w:tplc="C9D69A4C">
      <w:start w:val="3"/>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6D35E1"/>
    <w:multiLevelType w:val="hybridMultilevel"/>
    <w:tmpl w:val="55D41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FA2BCC"/>
    <w:multiLevelType w:val="hybridMultilevel"/>
    <w:tmpl w:val="651C622A"/>
    <w:lvl w:ilvl="0" w:tplc="A36287FC">
      <w:start w:val="2"/>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465C02"/>
    <w:multiLevelType w:val="hybridMultilevel"/>
    <w:tmpl w:val="BEC6683C"/>
    <w:lvl w:ilvl="0" w:tplc="F85A431A">
      <w:start w:val="3"/>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371E5B"/>
    <w:multiLevelType w:val="hybridMultilevel"/>
    <w:tmpl w:val="BA028E4C"/>
    <w:lvl w:ilvl="0" w:tplc="8458B754">
      <w:start w:val="3"/>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C4219"/>
    <w:multiLevelType w:val="hybridMultilevel"/>
    <w:tmpl w:val="A0F67A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98750E4"/>
    <w:multiLevelType w:val="hybridMultilevel"/>
    <w:tmpl w:val="3B92D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B1A4497"/>
    <w:multiLevelType w:val="hybridMultilevel"/>
    <w:tmpl w:val="274E4EC8"/>
    <w:lvl w:ilvl="0" w:tplc="C1DA4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D57AD7"/>
    <w:multiLevelType w:val="hybridMultilevel"/>
    <w:tmpl w:val="A38E2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100D32"/>
    <w:multiLevelType w:val="multilevel"/>
    <w:tmpl w:val="C1488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397354">
    <w:abstractNumId w:val="7"/>
  </w:num>
  <w:num w:numId="2" w16cid:durableId="1064569192">
    <w:abstractNumId w:val="0"/>
  </w:num>
  <w:num w:numId="3" w16cid:durableId="1163231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93971">
    <w:abstractNumId w:val="10"/>
  </w:num>
  <w:num w:numId="5" w16cid:durableId="1199584198">
    <w:abstractNumId w:val="8"/>
  </w:num>
  <w:num w:numId="6" w16cid:durableId="700017552">
    <w:abstractNumId w:val="3"/>
  </w:num>
  <w:num w:numId="7" w16cid:durableId="180320606">
    <w:abstractNumId w:val="9"/>
  </w:num>
  <w:num w:numId="8" w16cid:durableId="1009674862">
    <w:abstractNumId w:val="4"/>
  </w:num>
  <w:num w:numId="9" w16cid:durableId="254751945">
    <w:abstractNumId w:val="6"/>
  </w:num>
  <w:num w:numId="10" w16cid:durableId="355278711">
    <w:abstractNumId w:val="1"/>
  </w:num>
  <w:num w:numId="11" w16cid:durableId="444546985">
    <w:abstractNumId w:val="5"/>
  </w:num>
  <w:num w:numId="12" w16cid:durableId="101418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29"/>
    <w:rsid w:val="00012015"/>
    <w:rsid w:val="00090536"/>
    <w:rsid w:val="000905F2"/>
    <w:rsid w:val="00096740"/>
    <w:rsid w:val="000F3E34"/>
    <w:rsid w:val="001272ED"/>
    <w:rsid w:val="00131A74"/>
    <w:rsid w:val="00155F17"/>
    <w:rsid w:val="001B350B"/>
    <w:rsid w:val="001E3D0D"/>
    <w:rsid w:val="00213209"/>
    <w:rsid w:val="002A2351"/>
    <w:rsid w:val="002C16ED"/>
    <w:rsid w:val="002D011D"/>
    <w:rsid w:val="002E711E"/>
    <w:rsid w:val="00362313"/>
    <w:rsid w:val="00426DE8"/>
    <w:rsid w:val="00436591"/>
    <w:rsid w:val="0044698F"/>
    <w:rsid w:val="004866B3"/>
    <w:rsid w:val="00495BD9"/>
    <w:rsid w:val="004D7E18"/>
    <w:rsid w:val="004F008B"/>
    <w:rsid w:val="00502573"/>
    <w:rsid w:val="005427D5"/>
    <w:rsid w:val="00552F36"/>
    <w:rsid w:val="00562394"/>
    <w:rsid w:val="00581B1A"/>
    <w:rsid w:val="00595D29"/>
    <w:rsid w:val="005B100A"/>
    <w:rsid w:val="00613AFF"/>
    <w:rsid w:val="0064524B"/>
    <w:rsid w:val="006E03EF"/>
    <w:rsid w:val="006E41B9"/>
    <w:rsid w:val="00700912"/>
    <w:rsid w:val="00703DF2"/>
    <w:rsid w:val="00753EAD"/>
    <w:rsid w:val="00823703"/>
    <w:rsid w:val="00831510"/>
    <w:rsid w:val="008644C4"/>
    <w:rsid w:val="008745BE"/>
    <w:rsid w:val="008812C9"/>
    <w:rsid w:val="008A0432"/>
    <w:rsid w:val="008E5961"/>
    <w:rsid w:val="00934572"/>
    <w:rsid w:val="00955EDB"/>
    <w:rsid w:val="009618B0"/>
    <w:rsid w:val="00965D18"/>
    <w:rsid w:val="009664CD"/>
    <w:rsid w:val="009A5B52"/>
    <w:rsid w:val="00AB0701"/>
    <w:rsid w:val="00AC4960"/>
    <w:rsid w:val="00AD694F"/>
    <w:rsid w:val="00AF6C30"/>
    <w:rsid w:val="00B20729"/>
    <w:rsid w:val="00B21FFC"/>
    <w:rsid w:val="00BD089E"/>
    <w:rsid w:val="00C071C3"/>
    <w:rsid w:val="00C30F6D"/>
    <w:rsid w:val="00C409F4"/>
    <w:rsid w:val="00C6587F"/>
    <w:rsid w:val="00CB038F"/>
    <w:rsid w:val="00CC6FF5"/>
    <w:rsid w:val="00D0737A"/>
    <w:rsid w:val="00D5698C"/>
    <w:rsid w:val="00D63D49"/>
    <w:rsid w:val="00D8256D"/>
    <w:rsid w:val="00D914C1"/>
    <w:rsid w:val="00DC60CF"/>
    <w:rsid w:val="00DE765C"/>
    <w:rsid w:val="00E2104A"/>
    <w:rsid w:val="00E27E9A"/>
    <w:rsid w:val="00E325B8"/>
    <w:rsid w:val="00E70550"/>
    <w:rsid w:val="00EA01AC"/>
    <w:rsid w:val="00EB5ADA"/>
    <w:rsid w:val="00EC6F29"/>
    <w:rsid w:val="00F50ABA"/>
    <w:rsid w:val="00FA1517"/>
    <w:rsid w:val="00FA33DD"/>
    <w:rsid w:val="00FC1F37"/>
    <w:rsid w:val="00FF0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2159"/>
  <w15:chartTrackingRefBased/>
  <w15:docId w15:val="{04D87C80-822F-448F-B56D-0CE0B6C5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6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6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6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6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29"/>
    <w:rPr>
      <w:rFonts w:eastAsiaTheme="majorEastAsia" w:cstheme="majorBidi"/>
      <w:color w:val="272727" w:themeColor="text1" w:themeTint="D8"/>
    </w:rPr>
  </w:style>
  <w:style w:type="paragraph" w:styleId="Title">
    <w:name w:val="Title"/>
    <w:basedOn w:val="Normal"/>
    <w:next w:val="Normal"/>
    <w:link w:val="TitleChar"/>
    <w:uiPriority w:val="10"/>
    <w:qFormat/>
    <w:rsid w:val="00EC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29"/>
    <w:pPr>
      <w:spacing w:before="160"/>
      <w:jc w:val="center"/>
    </w:pPr>
    <w:rPr>
      <w:i/>
      <w:iCs/>
      <w:color w:val="404040" w:themeColor="text1" w:themeTint="BF"/>
    </w:rPr>
  </w:style>
  <w:style w:type="character" w:customStyle="1" w:styleId="QuoteChar">
    <w:name w:val="Quote Char"/>
    <w:basedOn w:val="DefaultParagraphFont"/>
    <w:link w:val="Quote"/>
    <w:uiPriority w:val="29"/>
    <w:rsid w:val="00EC6F29"/>
    <w:rPr>
      <w:i/>
      <w:iCs/>
      <w:color w:val="404040" w:themeColor="text1" w:themeTint="BF"/>
    </w:rPr>
  </w:style>
  <w:style w:type="paragraph" w:styleId="ListParagraph">
    <w:name w:val="List Paragraph"/>
    <w:basedOn w:val="Normal"/>
    <w:uiPriority w:val="34"/>
    <w:qFormat/>
    <w:rsid w:val="00EC6F29"/>
    <w:pPr>
      <w:ind w:left="720"/>
      <w:contextualSpacing/>
    </w:pPr>
  </w:style>
  <w:style w:type="character" w:styleId="IntenseEmphasis">
    <w:name w:val="Intense Emphasis"/>
    <w:basedOn w:val="DefaultParagraphFont"/>
    <w:uiPriority w:val="21"/>
    <w:qFormat/>
    <w:rsid w:val="00EC6F29"/>
    <w:rPr>
      <w:i/>
      <w:iCs/>
      <w:color w:val="0F4761" w:themeColor="accent1" w:themeShade="BF"/>
    </w:rPr>
  </w:style>
  <w:style w:type="paragraph" w:styleId="IntenseQuote">
    <w:name w:val="Intense Quote"/>
    <w:basedOn w:val="Normal"/>
    <w:next w:val="Normal"/>
    <w:link w:val="IntenseQuoteChar"/>
    <w:uiPriority w:val="30"/>
    <w:qFormat/>
    <w:rsid w:val="00EC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F29"/>
    <w:rPr>
      <w:i/>
      <w:iCs/>
      <w:color w:val="0F4761" w:themeColor="accent1" w:themeShade="BF"/>
    </w:rPr>
  </w:style>
  <w:style w:type="character" w:styleId="IntenseReference">
    <w:name w:val="Intense Reference"/>
    <w:basedOn w:val="DefaultParagraphFont"/>
    <w:uiPriority w:val="32"/>
    <w:qFormat/>
    <w:rsid w:val="00EC6F29"/>
    <w:rPr>
      <w:b/>
      <w:bCs/>
      <w:smallCaps/>
      <w:color w:val="0F4761" w:themeColor="accent1" w:themeShade="BF"/>
      <w:spacing w:val="5"/>
    </w:rPr>
  </w:style>
  <w:style w:type="paragraph" w:styleId="NoSpacing">
    <w:name w:val="No Spacing"/>
    <w:link w:val="NoSpacingChar"/>
    <w:uiPriority w:val="1"/>
    <w:qFormat/>
    <w:rsid w:val="00EC6F29"/>
    <w:pPr>
      <w:spacing w:after="0" w:line="240" w:lineRule="auto"/>
    </w:pPr>
    <w:rPr>
      <w:rFonts w:ascii="Arial" w:hAnsi="Arial" w:cs="Arial"/>
      <w:kern w:val="0"/>
      <w:sz w:val="24"/>
      <w:szCs w:val="24"/>
      <w14:ligatures w14:val="none"/>
    </w:rPr>
  </w:style>
  <w:style w:type="character" w:customStyle="1" w:styleId="NoSpacingChar">
    <w:name w:val="No Spacing Char"/>
    <w:basedOn w:val="DefaultParagraphFont"/>
    <w:link w:val="NoSpacing"/>
    <w:uiPriority w:val="1"/>
    <w:rsid w:val="00EC6F29"/>
    <w:rPr>
      <w:rFonts w:ascii="Arial" w:hAnsi="Arial" w:cs="Arial"/>
      <w:kern w:val="0"/>
      <w:sz w:val="24"/>
      <w:szCs w:val="24"/>
      <w14:ligatures w14:val="none"/>
    </w:rPr>
  </w:style>
  <w:style w:type="table" w:styleId="TableGrid">
    <w:name w:val="Table Grid"/>
    <w:basedOn w:val="TableNormal"/>
    <w:uiPriority w:val="39"/>
    <w:rsid w:val="00EC6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5BE"/>
    <w:rPr>
      <w:color w:val="467886" w:themeColor="hyperlink"/>
      <w:u w:val="single"/>
    </w:rPr>
  </w:style>
  <w:style w:type="character" w:styleId="UnresolvedMention">
    <w:name w:val="Unresolved Mention"/>
    <w:basedOn w:val="DefaultParagraphFont"/>
    <w:uiPriority w:val="99"/>
    <w:semiHidden/>
    <w:unhideWhenUsed/>
    <w:rsid w:val="0087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8245">
      <w:bodyDiv w:val="1"/>
      <w:marLeft w:val="0"/>
      <w:marRight w:val="0"/>
      <w:marTop w:val="0"/>
      <w:marBottom w:val="0"/>
      <w:divBdr>
        <w:top w:val="none" w:sz="0" w:space="0" w:color="auto"/>
        <w:left w:val="none" w:sz="0" w:space="0" w:color="auto"/>
        <w:bottom w:val="none" w:sz="0" w:space="0" w:color="auto"/>
        <w:right w:val="none" w:sz="0" w:space="0" w:color="auto"/>
      </w:divBdr>
    </w:div>
    <w:div w:id="1220168150">
      <w:bodyDiv w:val="1"/>
      <w:marLeft w:val="0"/>
      <w:marRight w:val="0"/>
      <w:marTop w:val="0"/>
      <w:marBottom w:val="0"/>
      <w:divBdr>
        <w:top w:val="none" w:sz="0" w:space="0" w:color="auto"/>
        <w:left w:val="none" w:sz="0" w:space="0" w:color="auto"/>
        <w:bottom w:val="none" w:sz="0" w:space="0" w:color="auto"/>
        <w:right w:val="none" w:sz="0" w:space="0" w:color="auto"/>
      </w:divBdr>
    </w:div>
    <w:div w:id="1738674450">
      <w:bodyDiv w:val="1"/>
      <w:marLeft w:val="0"/>
      <w:marRight w:val="0"/>
      <w:marTop w:val="0"/>
      <w:marBottom w:val="0"/>
      <w:divBdr>
        <w:top w:val="none" w:sz="0" w:space="0" w:color="auto"/>
        <w:left w:val="none" w:sz="0" w:space="0" w:color="auto"/>
        <w:bottom w:val="none" w:sz="0" w:space="0" w:color="auto"/>
        <w:right w:val="none" w:sz="0" w:space="0" w:color="auto"/>
      </w:divBdr>
    </w:div>
    <w:div w:id="19455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2065</Words>
  <Characters>11318</Characters>
  <Application>Microsoft Office Word</Application>
  <DocSecurity>0</DocSecurity>
  <Lines>419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support de-delegated offer</dc:title>
  <dc:subject/>
  <dc:creator>Kerrigen Marriner</dc:creator>
  <cp:keywords/>
  <dc:description/>
  <cp:lastModifiedBy>Phillip Nduoyo</cp:lastModifiedBy>
  <cp:revision>4</cp:revision>
  <dcterms:created xsi:type="dcterms:W3CDTF">2026-01-08T10:33:00Z</dcterms:created>
  <dcterms:modified xsi:type="dcterms:W3CDTF">2026-01-12T09:38:00Z</dcterms:modified>
</cp:coreProperties>
</file>