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6FBB1" w14:textId="77777777" w:rsidR="00673A87" w:rsidRDefault="00673A87"/>
    <w:tbl>
      <w:tblPr>
        <w:tblStyle w:val="TableGrid1"/>
        <w:tblpPr w:leftFromText="180" w:rightFromText="180" w:vertAnchor="text" w:horzAnchor="margin" w:tblpX="108" w:tblpY="34"/>
        <w:tblW w:w="0" w:type="auto"/>
        <w:tblLook w:val="01E0" w:firstRow="1" w:lastRow="1" w:firstColumn="1" w:lastColumn="1" w:noHBand="0" w:noVBand="0"/>
      </w:tblPr>
      <w:tblGrid>
        <w:gridCol w:w="9108"/>
      </w:tblGrid>
      <w:tr w:rsidR="004C11CF" w:rsidRPr="002374A3" w14:paraId="3436FBB3" w14:textId="77777777" w:rsidTr="003C4562">
        <w:tc>
          <w:tcPr>
            <w:tcW w:w="9108" w:type="dxa"/>
          </w:tcPr>
          <w:p w14:paraId="3436FBB2" w14:textId="77777777" w:rsidR="004C11CF" w:rsidRPr="002374A3" w:rsidRDefault="0013261A" w:rsidP="002374A3">
            <w:pPr>
              <w:pStyle w:val="BodyTextInden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AGENDA ITEM </w:t>
            </w:r>
          </w:p>
        </w:tc>
      </w:tr>
    </w:tbl>
    <w:p w14:paraId="3436FBB4" w14:textId="77777777" w:rsidR="003D08B1" w:rsidRPr="004C11CF" w:rsidRDefault="003D08B1" w:rsidP="004C11CF"/>
    <w:p w14:paraId="3436FBB5" w14:textId="77777777" w:rsidR="003D08B1" w:rsidRDefault="003D08B1" w:rsidP="003D08B1">
      <w:pPr>
        <w:rPr>
          <w:b/>
        </w:rPr>
      </w:pPr>
    </w:p>
    <w:p w14:paraId="3436FBB6" w14:textId="77777777" w:rsidR="001E4116" w:rsidRPr="00646BF2" w:rsidRDefault="0013261A" w:rsidP="004C11CF">
      <w:pPr>
        <w:pStyle w:val="BodyTextInde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24"/>
          <w:szCs w:val="24"/>
        </w:rPr>
      </w:pPr>
      <w:r w:rsidRPr="00646BF2">
        <w:rPr>
          <w:b/>
          <w:sz w:val="24"/>
          <w:szCs w:val="24"/>
        </w:rPr>
        <w:t>Title of report:</w:t>
      </w:r>
      <w:r>
        <w:rPr>
          <w:b/>
          <w:sz w:val="32"/>
          <w:szCs w:val="32"/>
        </w:rPr>
        <w:t xml:space="preserve"> </w:t>
      </w:r>
      <w:r w:rsidR="00646BF2" w:rsidRPr="00646BF2">
        <w:rPr>
          <w:b/>
          <w:sz w:val="24"/>
          <w:szCs w:val="24"/>
        </w:rPr>
        <w:t xml:space="preserve">Dedicated Schools Grant and </w:t>
      </w:r>
      <w:r w:rsidR="003F3EF3" w:rsidRPr="00646BF2">
        <w:rPr>
          <w:b/>
          <w:sz w:val="24"/>
          <w:szCs w:val="24"/>
        </w:rPr>
        <w:t>Schools Block 2020-21</w:t>
      </w:r>
    </w:p>
    <w:p w14:paraId="3436FBB7" w14:textId="77777777" w:rsidR="001E4116" w:rsidRDefault="001E4116" w:rsidP="001E4116">
      <w:pPr>
        <w:rPr>
          <w:b/>
          <w:u w:val="single"/>
        </w:rPr>
      </w:pPr>
    </w:p>
    <w:p w14:paraId="3436FBB8" w14:textId="77777777" w:rsidR="001E4116" w:rsidRPr="007F598E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Author of the paper: </w:t>
      </w:r>
      <w:r w:rsidR="00862649">
        <w:rPr>
          <w:b/>
        </w:rPr>
        <w:t xml:space="preserve">  </w:t>
      </w:r>
      <w:r w:rsidR="003F3EF3">
        <w:rPr>
          <w:b/>
        </w:rPr>
        <w:t>Steve Worth</w:t>
      </w:r>
    </w:p>
    <w:p w14:paraId="3436FBB9" w14:textId="77777777" w:rsidR="001E4116" w:rsidRDefault="001E4116" w:rsidP="001E4116"/>
    <w:p w14:paraId="3436FBBA" w14:textId="77777777" w:rsidR="001E4116" w:rsidRPr="007F598E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Officer to present the paper to </w:t>
      </w:r>
      <w:r w:rsidR="00025F55">
        <w:rPr>
          <w:b/>
        </w:rPr>
        <w:t>Schools Forum</w:t>
      </w:r>
      <w:r>
        <w:rPr>
          <w:b/>
        </w:rPr>
        <w:t>:</w:t>
      </w:r>
      <w:r w:rsidR="003F3EF3">
        <w:rPr>
          <w:b/>
        </w:rPr>
        <w:tab/>
        <w:t>Steve Worth</w:t>
      </w:r>
      <w:r>
        <w:rPr>
          <w:b/>
        </w:rPr>
        <w:t xml:space="preserve"> </w:t>
      </w:r>
    </w:p>
    <w:p w14:paraId="3436FBBB" w14:textId="77777777" w:rsidR="001E4116" w:rsidRDefault="001E4116" w:rsidP="001E4116"/>
    <w:p w14:paraId="3436FBBC" w14:textId="77777777" w:rsidR="001E4116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Details on who has been consulted with on this paper to date:</w:t>
      </w:r>
    </w:p>
    <w:p w14:paraId="3436FBBD" w14:textId="77777777" w:rsidR="001E4116" w:rsidRDefault="001E4116" w:rsidP="001E4116">
      <w:pPr>
        <w:spacing w:after="120"/>
        <w:rPr>
          <w:b/>
        </w:rPr>
      </w:pPr>
    </w:p>
    <w:p w14:paraId="3436FBBE" w14:textId="77777777" w:rsidR="001E4116" w:rsidRDefault="001E4116" w:rsidP="001E4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>
        <w:rPr>
          <w:b/>
        </w:rPr>
        <w:t>Executive</w:t>
      </w:r>
      <w:r w:rsidRPr="008E3BB6">
        <w:rPr>
          <w:b/>
        </w:rPr>
        <w:t xml:space="preserve"> Summary</w:t>
      </w:r>
    </w:p>
    <w:p w14:paraId="3436FBBF" w14:textId="77777777" w:rsidR="00E76749" w:rsidRDefault="00E76749" w:rsidP="001E4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>
        <w:rPr>
          <w:b/>
        </w:rPr>
        <w:t>This report:</w:t>
      </w:r>
    </w:p>
    <w:p w14:paraId="3436FBC0" w14:textId="77777777" w:rsidR="00E76749" w:rsidRDefault="00E76749" w:rsidP="001E4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>
        <w:rPr>
          <w:b/>
        </w:rPr>
        <w:t>S</w:t>
      </w:r>
      <w:r w:rsidR="003F3EF3">
        <w:rPr>
          <w:b/>
        </w:rPr>
        <w:t xml:space="preserve">ets out the value of the </w:t>
      </w:r>
      <w:r w:rsidR="007D4696">
        <w:rPr>
          <w:b/>
        </w:rPr>
        <w:t xml:space="preserve">Dedicated Schools Grant for 2020-21 </w:t>
      </w:r>
      <w:r w:rsidR="003F3EF3">
        <w:rPr>
          <w:b/>
        </w:rPr>
        <w:t xml:space="preserve">and </w:t>
      </w:r>
      <w:r>
        <w:rPr>
          <w:b/>
        </w:rPr>
        <w:t>updates proposals for the allocation of the Central Schools Services Block.</w:t>
      </w:r>
    </w:p>
    <w:p w14:paraId="3436FBC1" w14:textId="77777777" w:rsidR="00DE0E8D" w:rsidRDefault="00E76749" w:rsidP="001E4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>
        <w:rPr>
          <w:b/>
        </w:rPr>
        <w:t xml:space="preserve">Sets out </w:t>
      </w:r>
      <w:r w:rsidR="003F3EF3">
        <w:rPr>
          <w:b/>
        </w:rPr>
        <w:t xml:space="preserve">proposals for </w:t>
      </w:r>
      <w:r w:rsidR="007D4696">
        <w:rPr>
          <w:b/>
        </w:rPr>
        <w:t>the distribution of the Schools Block</w:t>
      </w:r>
      <w:r w:rsidR="003F3EF3">
        <w:rPr>
          <w:b/>
        </w:rPr>
        <w:t xml:space="preserve"> between Individual School Budget (ISB) shares, the Growth Fund and a transfer to the High Needs Block.</w:t>
      </w:r>
    </w:p>
    <w:p w14:paraId="3436FBC2" w14:textId="77777777" w:rsidR="00DE0E8D" w:rsidRDefault="00DE0E8D" w:rsidP="001E4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>
        <w:rPr>
          <w:b/>
        </w:rPr>
        <w:t>The report als</w:t>
      </w:r>
      <w:r w:rsidR="00E76749">
        <w:rPr>
          <w:b/>
        </w:rPr>
        <w:t xml:space="preserve">o proposes </w:t>
      </w:r>
      <w:r>
        <w:rPr>
          <w:b/>
        </w:rPr>
        <w:t>de-delegation not already agreed by Forum at its meeting of 4</w:t>
      </w:r>
      <w:r w:rsidRPr="00DE0E8D">
        <w:rPr>
          <w:b/>
          <w:vertAlign w:val="superscript"/>
        </w:rPr>
        <w:t>th</w:t>
      </w:r>
      <w:r>
        <w:rPr>
          <w:b/>
        </w:rPr>
        <w:t xml:space="preserve"> December 2019.</w:t>
      </w:r>
    </w:p>
    <w:p w14:paraId="3436FBC3" w14:textId="77777777" w:rsidR="003F3EF3" w:rsidRDefault="003F3EF3" w:rsidP="001E41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>
        <w:rPr>
          <w:b/>
        </w:rPr>
        <w:t xml:space="preserve">  </w:t>
      </w:r>
    </w:p>
    <w:p w14:paraId="3436FBC4" w14:textId="77777777" w:rsidR="001E4116" w:rsidRDefault="001E4116" w:rsidP="001E4116"/>
    <w:p w14:paraId="3436FBC5" w14:textId="77777777" w:rsidR="00F6086C" w:rsidRDefault="001E4116" w:rsidP="00F608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 xml:space="preserve">Details of recommendations and timescales for decisions: </w:t>
      </w:r>
    </w:p>
    <w:p w14:paraId="3436FBC6" w14:textId="77777777" w:rsidR="004B0BB1" w:rsidRPr="00F6086C" w:rsidRDefault="004B0BB1" w:rsidP="00F6086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3436FBC7" w14:textId="77777777" w:rsidR="007303C1" w:rsidRPr="004B0BB1" w:rsidRDefault="004B0BB1" w:rsidP="007303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b/>
        </w:rPr>
      </w:pPr>
      <w:r>
        <w:rPr>
          <w:b/>
        </w:rPr>
        <w:t>Recommendations</w:t>
      </w:r>
      <w:r w:rsidR="001E4116" w:rsidRPr="004B0BB1">
        <w:rPr>
          <w:b/>
        </w:rPr>
        <w:t>:</w:t>
      </w:r>
    </w:p>
    <w:p w14:paraId="3436FBC8" w14:textId="77777777" w:rsidR="004B0BB1" w:rsidRPr="004B0BB1" w:rsidRDefault="004B0BB1" w:rsidP="004B0B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720" w:hanging="720"/>
        <w:rPr>
          <w:b/>
        </w:rPr>
      </w:pPr>
      <w:r w:rsidRPr="004B0BB1">
        <w:rPr>
          <w:b/>
        </w:rPr>
        <w:t>1.</w:t>
      </w:r>
      <w:r w:rsidRPr="004B0BB1">
        <w:rPr>
          <w:b/>
        </w:rPr>
        <w:tab/>
        <w:t xml:space="preserve">Agree the changes to the allocation of the Central </w:t>
      </w:r>
      <w:r>
        <w:rPr>
          <w:b/>
        </w:rPr>
        <w:t>S</w:t>
      </w:r>
      <w:r w:rsidRPr="004B0BB1">
        <w:rPr>
          <w:b/>
        </w:rPr>
        <w:t>c</w:t>
      </w:r>
      <w:r>
        <w:rPr>
          <w:b/>
        </w:rPr>
        <w:t>hool S</w:t>
      </w:r>
      <w:r w:rsidRPr="004B0BB1">
        <w:rPr>
          <w:b/>
        </w:rPr>
        <w:t>ervices Block as set out in Section 2.1</w:t>
      </w:r>
      <w:r w:rsidRPr="004B0BB1">
        <w:rPr>
          <w:b/>
        </w:rPr>
        <w:tab/>
      </w:r>
    </w:p>
    <w:p w14:paraId="3436FBC9" w14:textId="77777777" w:rsidR="004B0BB1" w:rsidRPr="004B0BB1" w:rsidRDefault="004B0BB1" w:rsidP="004B0B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720" w:hanging="720"/>
        <w:rPr>
          <w:b/>
        </w:rPr>
      </w:pPr>
      <w:r w:rsidRPr="004B0BB1">
        <w:rPr>
          <w:b/>
        </w:rPr>
        <w:t>2.</w:t>
      </w:r>
      <w:r w:rsidRPr="004B0BB1">
        <w:rPr>
          <w:b/>
        </w:rPr>
        <w:tab/>
        <w:t>Agree £1.1m for the Growth Fund for 2020-21.</w:t>
      </w:r>
    </w:p>
    <w:p w14:paraId="3436FBCA" w14:textId="77777777" w:rsidR="004B0BB1" w:rsidRPr="004B0BB1" w:rsidRDefault="004B0BB1" w:rsidP="004B0B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720" w:hanging="720"/>
        <w:rPr>
          <w:b/>
        </w:rPr>
      </w:pPr>
      <w:r w:rsidRPr="004B0BB1">
        <w:rPr>
          <w:b/>
        </w:rPr>
        <w:t>2.</w:t>
      </w:r>
      <w:r w:rsidRPr="004B0BB1">
        <w:rPr>
          <w:b/>
        </w:rPr>
        <w:tab/>
        <w:t>Agree the transfer of £1.031m to the High Needs Block for 2020-21 only.</w:t>
      </w:r>
    </w:p>
    <w:p w14:paraId="3436FBCB" w14:textId="77777777" w:rsidR="004B0BB1" w:rsidRPr="004B0BB1" w:rsidRDefault="004B0BB1" w:rsidP="004B0B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720" w:hanging="720"/>
        <w:rPr>
          <w:b/>
        </w:rPr>
      </w:pPr>
      <w:r w:rsidRPr="004B0BB1">
        <w:rPr>
          <w:b/>
        </w:rPr>
        <w:t>4.</w:t>
      </w:r>
      <w:r w:rsidRPr="004B0BB1">
        <w:rPr>
          <w:b/>
        </w:rPr>
        <w:tab/>
        <w:t>Primary school representatives are asked to agree the de-delegation of services, rates and values set out in columns a, b and d of Table 4.</w:t>
      </w:r>
    </w:p>
    <w:p w14:paraId="3436FBCC" w14:textId="77777777" w:rsidR="0013261A" w:rsidRDefault="004B0BB1" w:rsidP="004B0B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720" w:hanging="720"/>
        <w:rPr>
          <w:b/>
        </w:rPr>
      </w:pPr>
      <w:r w:rsidRPr="004B0BB1">
        <w:rPr>
          <w:b/>
        </w:rPr>
        <w:t>5.</w:t>
      </w:r>
      <w:r w:rsidRPr="004B0BB1">
        <w:rPr>
          <w:b/>
        </w:rPr>
        <w:tab/>
        <w:t>Secondary school representatives are asked to agree the de-delegation rates and values set out in columns a, c and e of Tables 4.</w:t>
      </w:r>
    </w:p>
    <w:p w14:paraId="3436FBCD" w14:textId="77777777" w:rsidR="00517C1C" w:rsidRPr="004B0BB1" w:rsidRDefault="00517C1C" w:rsidP="004B0B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720" w:hanging="720"/>
        <w:rPr>
          <w:b/>
        </w:rPr>
      </w:pPr>
      <w:r>
        <w:rPr>
          <w:b/>
        </w:rPr>
        <w:t>6.</w:t>
      </w:r>
      <w:r>
        <w:rPr>
          <w:b/>
        </w:rPr>
        <w:tab/>
        <w:t xml:space="preserve">Agree to establish a sub-group to review centrally retained services requiring Forum permission. </w:t>
      </w:r>
    </w:p>
    <w:p w14:paraId="3436FBCE" w14:textId="77777777" w:rsidR="004B0BB1" w:rsidRDefault="004B0BB1" w:rsidP="001326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</w:p>
    <w:p w14:paraId="3436FBCF" w14:textId="77777777" w:rsidR="00BB4758" w:rsidRDefault="001E4116" w:rsidP="00FE0176">
      <w:pPr>
        <w:pStyle w:val="Header"/>
        <w:jc w:val="center"/>
        <w:rPr>
          <w:b/>
        </w:rPr>
      </w:pPr>
      <w:r>
        <w:rPr>
          <w:b/>
        </w:rPr>
        <w:br w:type="page"/>
      </w:r>
    </w:p>
    <w:p w14:paraId="3436FBD0" w14:textId="1F26D4A9" w:rsidR="00ED7730" w:rsidRPr="001C24F1" w:rsidRDefault="007D4696" w:rsidP="007D4696">
      <w:pPr>
        <w:pStyle w:val="Heading1"/>
        <w:rPr>
          <w:sz w:val="24"/>
          <w:szCs w:val="24"/>
        </w:rPr>
      </w:pPr>
      <w:r w:rsidRPr="001C24F1">
        <w:rPr>
          <w:sz w:val="24"/>
          <w:szCs w:val="24"/>
        </w:rPr>
        <w:lastRenderedPageBreak/>
        <w:t xml:space="preserve">Dedicated Schools Grant </w:t>
      </w:r>
      <w:r w:rsidR="00661700" w:rsidRPr="001C24F1">
        <w:rPr>
          <w:sz w:val="24"/>
          <w:szCs w:val="24"/>
        </w:rPr>
        <w:t xml:space="preserve">(DSG) </w:t>
      </w:r>
      <w:r w:rsidRPr="001C24F1">
        <w:rPr>
          <w:sz w:val="24"/>
          <w:szCs w:val="24"/>
        </w:rPr>
        <w:t>2020-21</w:t>
      </w:r>
    </w:p>
    <w:p w14:paraId="3436FBD1" w14:textId="77777777" w:rsidR="00FD5185" w:rsidRPr="001C24F1" w:rsidRDefault="00FD5185" w:rsidP="00FD5185">
      <w:pPr>
        <w:pStyle w:val="Heading2"/>
        <w:rPr>
          <w:b w:val="0"/>
          <w:i w:val="0"/>
          <w:sz w:val="24"/>
          <w:szCs w:val="24"/>
        </w:rPr>
      </w:pPr>
      <w:r w:rsidRPr="001C24F1">
        <w:rPr>
          <w:b w:val="0"/>
          <w:i w:val="0"/>
          <w:sz w:val="24"/>
          <w:szCs w:val="24"/>
        </w:rPr>
        <w:t>This was received on Friday 20</w:t>
      </w:r>
      <w:r w:rsidRPr="001C24F1">
        <w:rPr>
          <w:b w:val="0"/>
          <w:i w:val="0"/>
          <w:sz w:val="24"/>
          <w:szCs w:val="24"/>
          <w:vertAlign w:val="superscript"/>
        </w:rPr>
        <w:t>th</w:t>
      </w:r>
      <w:r w:rsidRPr="001C24F1">
        <w:rPr>
          <w:b w:val="0"/>
          <w:i w:val="0"/>
          <w:sz w:val="24"/>
          <w:szCs w:val="24"/>
        </w:rPr>
        <w:t xml:space="preserve"> December. </w:t>
      </w:r>
      <w:r w:rsidR="00661700" w:rsidRPr="001C24F1">
        <w:rPr>
          <w:b w:val="0"/>
          <w:i w:val="0"/>
          <w:sz w:val="24"/>
          <w:szCs w:val="24"/>
        </w:rPr>
        <w:t>The DSG for 2020-21 is set out in the following table together with a comparison with 2019-20.</w:t>
      </w:r>
    </w:p>
    <w:p w14:paraId="3436FBD2" w14:textId="77777777" w:rsidR="00661700" w:rsidRPr="001C24F1" w:rsidRDefault="00661700" w:rsidP="00661700"/>
    <w:p w14:paraId="3436FBD3" w14:textId="2FB91D87" w:rsidR="00AA2A14" w:rsidRDefault="00AA2A14" w:rsidP="00AA2A14">
      <w:pPr>
        <w:ind w:left="576"/>
        <w:rPr>
          <w:b/>
        </w:rPr>
      </w:pPr>
      <w:r w:rsidRPr="001C24F1">
        <w:rPr>
          <w:b/>
        </w:rPr>
        <w:t>Table 1:</w:t>
      </w:r>
      <w:r w:rsidRPr="001C24F1">
        <w:rPr>
          <w:b/>
        </w:rPr>
        <w:tab/>
        <w:t>DSG Comparison 2020-21 and 2019-20</w:t>
      </w:r>
    </w:p>
    <w:p w14:paraId="28BA63EA" w14:textId="0042A347" w:rsidR="004D7AD3" w:rsidRDefault="004D7AD3" w:rsidP="00AA2A14">
      <w:pPr>
        <w:ind w:left="576"/>
        <w:rPr>
          <w:b/>
        </w:rPr>
      </w:pPr>
    </w:p>
    <w:p w14:paraId="177E9C95" w14:textId="6F49C609" w:rsidR="004D7AD3" w:rsidRDefault="004D7AD3" w:rsidP="00AA2A14">
      <w:pPr>
        <w:ind w:left="576"/>
        <w:rPr>
          <w:b/>
        </w:rPr>
      </w:pPr>
    </w:p>
    <w:tbl>
      <w:tblPr>
        <w:tblStyle w:val="TableGrid1"/>
        <w:tblW w:w="7360" w:type="dxa"/>
        <w:tblLook w:val="04A0" w:firstRow="1" w:lastRow="0" w:firstColumn="1" w:lastColumn="0" w:noHBand="0" w:noVBand="1"/>
      </w:tblPr>
      <w:tblGrid>
        <w:gridCol w:w="917"/>
        <w:gridCol w:w="1028"/>
        <w:gridCol w:w="1329"/>
        <w:gridCol w:w="1106"/>
        <w:gridCol w:w="1217"/>
        <w:gridCol w:w="1217"/>
        <w:gridCol w:w="1329"/>
      </w:tblGrid>
      <w:tr w:rsidR="004D7AD3" w:rsidRPr="004D7AD3" w14:paraId="3B6CFF7E" w14:textId="77777777" w:rsidTr="003C4562">
        <w:trPr>
          <w:trHeight w:val="1035"/>
        </w:trPr>
        <w:tc>
          <w:tcPr>
            <w:tcW w:w="960" w:type="dxa"/>
            <w:hideMark/>
          </w:tcPr>
          <w:p w14:paraId="6A06FE00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14:paraId="294B34D2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Schools Block Pupil Numbers</w:t>
            </w:r>
          </w:p>
        </w:tc>
        <w:tc>
          <w:tcPr>
            <w:tcW w:w="1180" w:type="dxa"/>
            <w:hideMark/>
          </w:tcPr>
          <w:p w14:paraId="45362891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Schools Block</w:t>
            </w:r>
          </w:p>
        </w:tc>
        <w:tc>
          <w:tcPr>
            <w:tcW w:w="960" w:type="dxa"/>
            <w:hideMark/>
          </w:tcPr>
          <w:p w14:paraId="49BF1911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Central School Services Block</w:t>
            </w:r>
          </w:p>
        </w:tc>
        <w:tc>
          <w:tcPr>
            <w:tcW w:w="1060" w:type="dxa"/>
            <w:hideMark/>
          </w:tcPr>
          <w:p w14:paraId="43318B93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High Needs</w:t>
            </w:r>
          </w:p>
        </w:tc>
        <w:tc>
          <w:tcPr>
            <w:tcW w:w="1060" w:type="dxa"/>
            <w:hideMark/>
          </w:tcPr>
          <w:p w14:paraId="5EC45D8B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Early Years</w:t>
            </w:r>
          </w:p>
        </w:tc>
        <w:tc>
          <w:tcPr>
            <w:tcW w:w="1180" w:type="dxa"/>
            <w:hideMark/>
          </w:tcPr>
          <w:p w14:paraId="2E4580DA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DSG Total</w:t>
            </w:r>
          </w:p>
        </w:tc>
      </w:tr>
      <w:tr w:rsidR="004D7AD3" w:rsidRPr="004D7AD3" w14:paraId="16211A0C" w14:textId="77777777" w:rsidTr="003C4562">
        <w:trPr>
          <w:trHeight w:val="315"/>
        </w:trPr>
        <w:tc>
          <w:tcPr>
            <w:tcW w:w="960" w:type="dxa"/>
            <w:hideMark/>
          </w:tcPr>
          <w:p w14:paraId="5F924583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14:paraId="09818A09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hideMark/>
          </w:tcPr>
          <w:p w14:paraId="49992DC5" w14:textId="77777777" w:rsidR="004D7AD3" w:rsidRPr="004D7AD3" w:rsidRDefault="004D7AD3" w:rsidP="004D7AD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£</w:t>
            </w:r>
          </w:p>
        </w:tc>
        <w:tc>
          <w:tcPr>
            <w:tcW w:w="960" w:type="dxa"/>
            <w:hideMark/>
          </w:tcPr>
          <w:p w14:paraId="147DC8BE" w14:textId="77777777" w:rsidR="004D7AD3" w:rsidRPr="004D7AD3" w:rsidRDefault="004D7AD3" w:rsidP="004D7AD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060" w:type="dxa"/>
            <w:hideMark/>
          </w:tcPr>
          <w:p w14:paraId="388AE343" w14:textId="77777777" w:rsidR="004D7AD3" w:rsidRPr="004D7AD3" w:rsidRDefault="004D7AD3" w:rsidP="004D7AD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060" w:type="dxa"/>
            <w:hideMark/>
          </w:tcPr>
          <w:p w14:paraId="433D4AB2" w14:textId="77777777" w:rsidR="004D7AD3" w:rsidRPr="004D7AD3" w:rsidRDefault="004D7AD3" w:rsidP="004D7AD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180" w:type="dxa"/>
            <w:hideMark/>
          </w:tcPr>
          <w:p w14:paraId="216761D6" w14:textId="77777777" w:rsidR="004D7AD3" w:rsidRPr="004D7AD3" w:rsidRDefault="004D7AD3" w:rsidP="004D7AD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£</w:t>
            </w:r>
          </w:p>
        </w:tc>
      </w:tr>
      <w:tr w:rsidR="004D7AD3" w:rsidRPr="004D7AD3" w14:paraId="0389DD5B" w14:textId="77777777" w:rsidTr="003C4562">
        <w:trPr>
          <w:trHeight w:val="315"/>
        </w:trPr>
        <w:tc>
          <w:tcPr>
            <w:tcW w:w="960" w:type="dxa"/>
            <w:hideMark/>
          </w:tcPr>
          <w:p w14:paraId="0EF106E5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2020-21</w:t>
            </w:r>
          </w:p>
        </w:tc>
        <w:tc>
          <w:tcPr>
            <w:tcW w:w="960" w:type="dxa"/>
            <w:hideMark/>
          </w:tcPr>
          <w:p w14:paraId="4FA22C13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37,797</w:t>
            </w:r>
          </w:p>
        </w:tc>
        <w:tc>
          <w:tcPr>
            <w:tcW w:w="1180" w:type="dxa"/>
            <w:hideMark/>
          </w:tcPr>
          <w:p w14:paraId="1B81A72D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264,818,668</w:t>
            </w:r>
          </w:p>
        </w:tc>
        <w:tc>
          <w:tcPr>
            <w:tcW w:w="960" w:type="dxa"/>
            <w:hideMark/>
          </w:tcPr>
          <w:p w14:paraId="57F72DC2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4,199,738</w:t>
            </w:r>
          </w:p>
        </w:tc>
        <w:tc>
          <w:tcPr>
            <w:tcW w:w="1060" w:type="dxa"/>
            <w:hideMark/>
          </w:tcPr>
          <w:p w14:paraId="40A33F19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58,523,705</w:t>
            </w:r>
          </w:p>
        </w:tc>
        <w:tc>
          <w:tcPr>
            <w:tcW w:w="1060" w:type="dxa"/>
            <w:hideMark/>
          </w:tcPr>
          <w:p w14:paraId="51B870D5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29,658,304</w:t>
            </w:r>
          </w:p>
        </w:tc>
        <w:tc>
          <w:tcPr>
            <w:tcW w:w="1180" w:type="dxa"/>
            <w:hideMark/>
          </w:tcPr>
          <w:p w14:paraId="2BCD718C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357,200,415</w:t>
            </w:r>
          </w:p>
        </w:tc>
      </w:tr>
      <w:tr w:rsidR="004D7AD3" w:rsidRPr="004D7AD3" w14:paraId="1D5FADBA" w14:textId="77777777" w:rsidTr="003C4562">
        <w:trPr>
          <w:trHeight w:val="315"/>
        </w:trPr>
        <w:tc>
          <w:tcPr>
            <w:tcW w:w="960" w:type="dxa"/>
            <w:hideMark/>
          </w:tcPr>
          <w:p w14:paraId="5AFDA933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2019-20</w:t>
            </w:r>
          </w:p>
        </w:tc>
        <w:tc>
          <w:tcPr>
            <w:tcW w:w="960" w:type="dxa"/>
            <w:hideMark/>
          </w:tcPr>
          <w:p w14:paraId="5050EBC2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37,871</w:t>
            </w:r>
          </w:p>
        </w:tc>
        <w:tc>
          <w:tcPr>
            <w:tcW w:w="1180" w:type="dxa"/>
            <w:hideMark/>
          </w:tcPr>
          <w:p w14:paraId="4B715056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260,645,710</w:t>
            </w:r>
          </w:p>
        </w:tc>
        <w:tc>
          <w:tcPr>
            <w:tcW w:w="960" w:type="dxa"/>
            <w:hideMark/>
          </w:tcPr>
          <w:p w14:paraId="5523CB6F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4,810,723</w:t>
            </w:r>
          </w:p>
        </w:tc>
        <w:tc>
          <w:tcPr>
            <w:tcW w:w="1060" w:type="dxa"/>
            <w:hideMark/>
          </w:tcPr>
          <w:p w14:paraId="59403325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50,777,373</w:t>
            </w:r>
          </w:p>
        </w:tc>
        <w:tc>
          <w:tcPr>
            <w:tcW w:w="1060" w:type="dxa"/>
            <w:hideMark/>
          </w:tcPr>
          <w:p w14:paraId="0EF6F9C5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29,616,909</w:t>
            </w:r>
          </w:p>
        </w:tc>
        <w:tc>
          <w:tcPr>
            <w:tcW w:w="1180" w:type="dxa"/>
            <w:hideMark/>
          </w:tcPr>
          <w:p w14:paraId="33D8C08D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345,850,715</w:t>
            </w:r>
          </w:p>
        </w:tc>
      </w:tr>
      <w:tr w:rsidR="004D7AD3" w:rsidRPr="004D7AD3" w14:paraId="6BB9CE45" w14:textId="77777777" w:rsidTr="003C4562">
        <w:trPr>
          <w:trHeight w:val="315"/>
        </w:trPr>
        <w:tc>
          <w:tcPr>
            <w:tcW w:w="960" w:type="dxa"/>
            <w:hideMark/>
          </w:tcPr>
          <w:p w14:paraId="7A987D80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Change</w:t>
            </w:r>
          </w:p>
        </w:tc>
        <w:tc>
          <w:tcPr>
            <w:tcW w:w="960" w:type="dxa"/>
            <w:hideMark/>
          </w:tcPr>
          <w:p w14:paraId="47139BE6" w14:textId="77777777" w:rsidR="004D7AD3" w:rsidRPr="004D7AD3" w:rsidRDefault="004D7AD3" w:rsidP="004D7AD3">
            <w:pPr>
              <w:jc w:val="right"/>
              <w:rPr>
                <w:rFonts w:cs="Arial"/>
                <w:sz w:val="20"/>
                <w:szCs w:val="20"/>
              </w:rPr>
            </w:pPr>
            <w:r w:rsidRPr="004D7AD3">
              <w:rPr>
                <w:rFonts w:cs="Arial"/>
                <w:sz w:val="20"/>
                <w:szCs w:val="20"/>
              </w:rPr>
              <w:t>-74</w:t>
            </w:r>
          </w:p>
        </w:tc>
        <w:tc>
          <w:tcPr>
            <w:tcW w:w="1180" w:type="dxa"/>
            <w:hideMark/>
          </w:tcPr>
          <w:p w14:paraId="56509EE5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4,172,958</w:t>
            </w:r>
          </w:p>
        </w:tc>
        <w:tc>
          <w:tcPr>
            <w:tcW w:w="960" w:type="dxa"/>
            <w:hideMark/>
          </w:tcPr>
          <w:p w14:paraId="6DEC96F3" w14:textId="77777777" w:rsidR="004D7AD3" w:rsidRPr="004D7AD3" w:rsidRDefault="004D7AD3" w:rsidP="004D7AD3">
            <w:pPr>
              <w:jc w:val="right"/>
              <w:rPr>
                <w:rFonts w:cs="Arial"/>
                <w:sz w:val="20"/>
                <w:szCs w:val="20"/>
              </w:rPr>
            </w:pPr>
            <w:r w:rsidRPr="004D7AD3">
              <w:rPr>
                <w:rFonts w:cs="Arial"/>
                <w:sz w:val="20"/>
                <w:szCs w:val="20"/>
              </w:rPr>
              <w:t>-610,985</w:t>
            </w:r>
          </w:p>
        </w:tc>
        <w:tc>
          <w:tcPr>
            <w:tcW w:w="1060" w:type="dxa"/>
            <w:hideMark/>
          </w:tcPr>
          <w:p w14:paraId="2867C75D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7,746,332</w:t>
            </w:r>
          </w:p>
        </w:tc>
        <w:tc>
          <w:tcPr>
            <w:tcW w:w="1060" w:type="dxa"/>
            <w:hideMark/>
          </w:tcPr>
          <w:p w14:paraId="30580198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41,395</w:t>
            </w:r>
          </w:p>
        </w:tc>
        <w:tc>
          <w:tcPr>
            <w:tcW w:w="1180" w:type="dxa"/>
            <w:hideMark/>
          </w:tcPr>
          <w:p w14:paraId="3B41F0A5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11,349,700</w:t>
            </w:r>
          </w:p>
        </w:tc>
      </w:tr>
      <w:tr w:rsidR="004D7AD3" w:rsidRPr="004D7AD3" w14:paraId="7C91B114" w14:textId="77777777" w:rsidTr="003C4562">
        <w:trPr>
          <w:trHeight w:val="315"/>
        </w:trPr>
        <w:tc>
          <w:tcPr>
            <w:tcW w:w="960" w:type="dxa"/>
            <w:hideMark/>
          </w:tcPr>
          <w:p w14:paraId="522B0F39" w14:textId="77777777" w:rsidR="004D7AD3" w:rsidRPr="004D7AD3" w:rsidRDefault="004D7AD3" w:rsidP="004D7AD3">
            <w:pPr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14:paraId="58F3D5BF" w14:textId="77777777" w:rsidR="004D7AD3" w:rsidRPr="004D7AD3" w:rsidRDefault="004D7AD3" w:rsidP="004D7AD3">
            <w:pPr>
              <w:jc w:val="right"/>
              <w:rPr>
                <w:rFonts w:cs="Arial"/>
                <w:sz w:val="20"/>
                <w:szCs w:val="20"/>
              </w:rPr>
            </w:pPr>
            <w:r w:rsidRPr="004D7AD3">
              <w:rPr>
                <w:rFonts w:cs="Arial"/>
                <w:sz w:val="20"/>
                <w:szCs w:val="20"/>
              </w:rPr>
              <w:t>-0.19%</w:t>
            </w:r>
          </w:p>
        </w:tc>
        <w:tc>
          <w:tcPr>
            <w:tcW w:w="1180" w:type="dxa"/>
            <w:hideMark/>
          </w:tcPr>
          <w:p w14:paraId="1D5BEAA3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960" w:type="dxa"/>
            <w:hideMark/>
          </w:tcPr>
          <w:p w14:paraId="6A45386B" w14:textId="77777777" w:rsidR="004D7AD3" w:rsidRPr="004D7AD3" w:rsidRDefault="004D7AD3" w:rsidP="004D7AD3">
            <w:pPr>
              <w:jc w:val="right"/>
              <w:rPr>
                <w:rFonts w:cs="Arial"/>
                <w:sz w:val="20"/>
                <w:szCs w:val="20"/>
              </w:rPr>
            </w:pPr>
            <w:r w:rsidRPr="004D7AD3">
              <w:rPr>
                <w:rFonts w:cs="Arial"/>
                <w:sz w:val="20"/>
                <w:szCs w:val="20"/>
              </w:rPr>
              <w:t>-12.70%</w:t>
            </w:r>
          </w:p>
        </w:tc>
        <w:tc>
          <w:tcPr>
            <w:tcW w:w="1060" w:type="dxa"/>
            <w:hideMark/>
          </w:tcPr>
          <w:p w14:paraId="7C924C77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15.26%</w:t>
            </w:r>
          </w:p>
        </w:tc>
        <w:tc>
          <w:tcPr>
            <w:tcW w:w="1060" w:type="dxa"/>
            <w:hideMark/>
          </w:tcPr>
          <w:p w14:paraId="138C6B24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0.14%</w:t>
            </w:r>
          </w:p>
        </w:tc>
        <w:tc>
          <w:tcPr>
            <w:tcW w:w="1180" w:type="dxa"/>
            <w:hideMark/>
          </w:tcPr>
          <w:p w14:paraId="0CF70BF0" w14:textId="77777777" w:rsidR="004D7AD3" w:rsidRPr="004D7AD3" w:rsidRDefault="004D7AD3" w:rsidP="004D7AD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4D7AD3">
              <w:rPr>
                <w:rFonts w:cs="Arial"/>
                <w:color w:val="000000"/>
                <w:sz w:val="20"/>
                <w:szCs w:val="20"/>
              </w:rPr>
              <w:t>3.28%</w:t>
            </w:r>
          </w:p>
        </w:tc>
      </w:tr>
    </w:tbl>
    <w:p w14:paraId="7C3F4188" w14:textId="21C1F0F9" w:rsidR="004D7AD3" w:rsidRDefault="004D7AD3" w:rsidP="00AA2A14">
      <w:pPr>
        <w:ind w:left="576"/>
        <w:rPr>
          <w:b/>
        </w:rPr>
      </w:pPr>
    </w:p>
    <w:p w14:paraId="28464FF5" w14:textId="77777777" w:rsidR="004D7AD3" w:rsidRPr="001C24F1" w:rsidRDefault="004D7AD3" w:rsidP="00AA2A14">
      <w:pPr>
        <w:ind w:left="576"/>
        <w:rPr>
          <w:b/>
        </w:rPr>
      </w:pPr>
    </w:p>
    <w:p w14:paraId="3436FBD4" w14:textId="77777777" w:rsidR="00AA2A14" w:rsidRDefault="00AA2A14" w:rsidP="00AA2A14">
      <w:pPr>
        <w:ind w:left="576"/>
      </w:pPr>
    </w:p>
    <w:p w14:paraId="3436FC05" w14:textId="77777777" w:rsidR="00661700" w:rsidRPr="00E928C8" w:rsidRDefault="002870BB" w:rsidP="002870BB">
      <w:pPr>
        <w:ind w:left="1440" w:hanging="864"/>
        <w:rPr>
          <w:sz w:val="18"/>
          <w:szCs w:val="18"/>
        </w:rPr>
      </w:pPr>
      <w:r>
        <w:rPr>
          <w:sz w:val="18"/>
          <w:szCs w:val="18"/>
        </w:rPr>
        <w:t>Note:</w:t>
      </w:r>
      <w:r>
        <w:rPr>
          <w:sz w:val="18"/>
          <w:szCs w:val="18"/>
        </w:rPr>
        <w:tab/>
      </w:r>
      <w:r w:rsidR="00AA1AD9" w:rsidRPr="00E928C8">
        <w:rPr>
          <w:sz w:val="18"/>
          <w:szCs w:val="18"/>
        </w:rPr>
        <w:t>The Early Years Block is based on January 2019 figures</w:t>
      </w:r>
      <w:r w:rsidR="00E928C8">
        <w:rPr>
          <w:sz w:val="18"/>
          <w:szCs w:val="18"/>
        </w:rPr>
        <w:t xml:space="preserve"> and will be updated once the January 2020 </w:t>
      </w:r>
      <w:r>
        <w:rPr>
          <w:sz w:val="18"/>
          <w:szCs w:val="18"/>
        </w:rPr>
        <w:t xml:space="preserve">census </w:t>
      </w:r>
      <w:r w:rsidR="00E928C8">
        <w:rPr>
          <w:sz w:val="18"/>
          <w:szCs w:val="18"/>
        </w:rPr>
        <w:t>figures</w:t>
      </w:r>
      <w:r>
        <w:rPr>
          <w:sz w:val="18"/>
          <w:szCs w:val="18"/>
        </w:rPr>
        <w:t xml:space="preserve"> are available.</w:t>
      </w:r>
      <w:r w:rsidR="00E928C8">
        <w:rPr>
          <w:sz w:val="18"/>
          <w:szCs w:val="18"/>
        </w:rPr>
        <w:t xml:space="preserve"> </w:t>
      </w:r>
    </w:p>
    <w:p w14:paraId="3436FC06" w14:textId="6BAE9E7B" w:rsidR="00EB45C8" w:rsidRPr="001C24F1" w:rsidRDefault="00EB45C8" w:rsidP="00EB45C8">
      <w:pPr>
        <w:pStyle w:val="Heading1"/>
        <w:rPr>
          <w:sz w:val="24"/>
          <w:szCs w:val="24"/>
        </w:rPr>
      </w:pPr>
      <w:r w:rsidRPr="001C24F1">
        <w:rPr>
          <w:sz w:val="24"/>
          <w:szCs w:val="24"/>
        </w:rPr>
        <w:t>Central School Services Block</w:t>
      </w:r>
    </w:p>
    <w:p w14:paraId="3436FC07" w14:textId="77777777" w:rsidR="00EB45C8" w:rsidRPr="001C24F1" w:rsidRDefault="00EB45C8" w:rsidP="00EB45C8">
      <w:pPr>
        <w:pStyle w:val="Heading2"/>
        <w:rPr>
          <w:b w:val="0"/>
          <w:i w:val="0"/>
          <w:sz w:val="24"/>
          <w:szCs w:val="24"/>
          <w:lang w:eastAsia="en-US"/>
        </w:rPr>
      </w:pPr>
      <w:r w:rsidRPr="001C24F1">
        <w:rPr>
          <w:b w:val="0"/>
          <w:i w:val="0"/>
          <w:sz w:val="24"/>
          <w:szCs w:val="24"/>
          <w:lang w:eastAsia="en-US"/>
        </w:rPr>
        <w:t>The final allocation is £4k less than the provisional figure reported in December. The proposed allocations were agreed by Forum at that time</w:t>
      </w:r>
      <w:r w:rsidR="00AA1AD9" w:rsidRPr="001C24F1">
        <w:rPr>
          <w:b w:val="0"/>
          <w:i w:val="0"/>
          <w:sz w:val="24"/>
          <w:szCs w:val="24"/>
          <w:lang w:eastAsia="en-US"/>
        </w:rPr>
        <w:t xml:space="preserve"> and the following adjustments are recommended:</w:t>
      </w:r>
    </w:p>
    <w:p w14:paraId="3436FC08" w14:textId="77777777" w:rsidR="00AA1AD9" w:rsidRPr="001C24F1" w:rsidRDefault="00AA1AD9" w:rsidP="00DB05A8">
      <w:pPr>
        <w:pStyle w:val="ListParagraph"/>
        <w:numPr>
          <w:ilvl w:val="0"/>
          <w:numId w:val="3"/>
        </w:numPr>
        <w:rPr>
          <w:lang w:eastAsia="en-US"/>
        </w:rPr>
      </w:pPr>
      <w:r w:rsidRPr="001C24F1">
        <w:rPr>
          <w:lang w:eastAsia="en-US"/>
        </w:rPr>
        <w:t xml:space="preserve">A reduction of £17k in the allocation for </w:t>
      </w:r>
      <w:r w:rsidR="00E928C8" w:rsidRPr="001C24F1">
        <w:rPr>
          <w:lang w:eastAsia="en-US"/>
        </w:rPr>
        <w:t>c</w:t>
      </w:r>
      <w:r w:rsidRPr="001C24F1">
        <w:rPr>
          <w:lang w:eastAsia="en-US"/>
        </w:rPr>
        <w:t>opyri</w:t>
      </w:r>
      <w:r w:rsidR="00E928C8" w:rsidRPr="001C24F1">
        <w:rPr>
          <w:lang w:eastAsia="en-US"/>
        </w:rPr>
        <w:t>ght l</w:t>
      </w:r>
      <w:r w:rsidRPr="001C24F1">
        <w:rPr>
          <w:lang w:eastAsia="en-US"/>
        </w:rPr>
        <w:t xml:space="preserve">icences. The charge for these is negotiated nationally </w:t>
      </w:r>
      <w:r w:rsidR="00B25189" w:rsidRPr="001C24F1">
        <w:rPr>
          <w:lang w:eastAsia="en-US"/>
        </w:rPr>
        <w:t>and is lower than anticipated.</w:t>
      </w:r>
    </w:p>
    <w:p w14:paraId="3436FC09" w14:textId="77777777" w:rsidR="00794FB9" w:rsidRPr="001C24F1" w:rsidRDefault="00B25189" w:rsidP="00DB05A8">
      <w:pPr>
        <w:pStyle w:val="ListParagraph"/>
        <w:numPr>
          <w:ilvl w:val="0"/>
          <w:numId w:val="3"/>
        </w:numPr>
        <w:rPr>
          <w:lang w:eastAsia="en-US"/>
        </w:rPr>
      </w:pPr>
      <w:r w:rsidRPr="001C24F1">
        <w:rPr>
          <w:lang w:eastAsia="en-US"/>
        </w:rPr>
        <w:t>An increase in the allocation for redundancy costs of £13k.</w:t>
      </w:r>
    </w:p>
    <w:p w14:paraId="3436FC0A" w14:textId="2502B7BE" w:rsidR="00794FB9" w:rsidRPr="001C24F1" w:rsidRDefault="00794FB9" w:rsidP="00794FB9">
      <w:pPr>
        <w:pStyle w:val="Heading1"/>
        <w:rPr>
          <w:sz w:val="24"/>
          <w:szCs w:val="24"/>
        </w:rPr>
      </w:pPr>
      <w:r w:rsidRPr="001C24F1">
        <w:rPr>
          <w:sz w:val="24"/>
          <w:szCs w:val="24"/>
        </w:rPr>
        <w:t>Schools Block</w:t>
      </w:r>
    </w:p>
    <w:p w14:paraId="3436FC0B" w14:textId="77777777" w:rsidR="00E928C8" w:rsidRPr="001C24F1" w:rsidRDefault="00E928C8" w:rsidP="00E928C8">
      <w:pPr>
        <w:pStyle w:val="Heading2"/>
        <w:rPr>
          <w:b w:val="0"/>
          <w:i w:val="0"/>
          <w:sz w:val="24"/>
          <w:szCs w:val="24"/>
          <w:lang w:eastAsia="en-US"/>
        </w:rPr>
      </w:pPr>
      <w:r w:rsidRPr="001C24F1">
        <w:rPr>
          <w:b w:val="0"/>
          <w:i w:val="0"/>
          <w:sz w:val="24"/>
          <w:szCs w:val="24"/>
          <w:lang w:eastAsia="en-US"/>
        </w:rPr>
        <w:t xml:space="preserve">A breakdown of the block is </w:t>
      </w:r>
      <w:r w:rsidR="00B15BC4" w:rsidRPr="001C24F1">
        <w:rPr>
          <w:b w:val="0"/>
          <w:i w:val="0"/>
          <w:sz w:val="24"/>
          <w:szCs w:val="24"/>
          <w:lang w:eastAsia="en-US"/>
        </w:rPr>
        <w:t xml:space="preserve">shown in </w:t>
      </w:r>
      <w:r w:rsidR="00CD28BD" w:rsidRPr="001C24F1">
        <w:rPr>
          <w:b w:val="0"/>
          <w:i w:val="0"/>
          <w:sz w:val="24"/>
          <w:szCs w:val="24"/>
          <w:lang w:eastAsia="en-US"/>
        </w:rPr>
        <w:t>Table 2</w:t>
      </w:r>
      <w:r w:rsidRPr="001C24F1">
        <w:rPr>
          <w:b w:val="0"/>
          <w:i w:val="0"/>
          <w:sz w:val="24"/>
          <w:szCs w:val="24"/>
          <w:lang w:eastAsia="en-US"/>
        </w:rPr>
        <w:t>.</w:t>
      </w:r>
      <w:r w:rsidR="00AA2A14" w:rsidRPr="001C24F1">
        <w:rPr>
          <w:b w:val="0"/>
          <w:i w:val="0"/>
          <w:sz w:val="24"/>
          <w:szCs w:val="24"/>
          <w:lang w:eastAsia="en-US"/>
        </w:rPr>
        <w:t xml:space="preserve"> The table illustrates that the protection funding (in </w:t>
      </w:r>
      <w:r w:rsidR="00AA2A14" w:rsidRPr="001C24F1">
        <w:rPr>
          <w:b w:val="0"/>
          <w:sz w:val="24"/>
          <w:szCs w:val="24"/>
          <w:lang w:eastAsia="en-US"/>
        </w:rPr>
        <w:t>italics</w:t>
      </w:r>
      <w:r w:rsidR="00AA2A14" w:rsidRPr="001C24F1">
        <w:rPr>
          <w:b w:val="0"/>
          <w:i w:val="0"/>
          <w:sz w:val="24"/>
          <w:szCs w:val="24"/>
          <w:lang w:eastAsia="en-US"/>
        </w:rPr>
        <w:t xml:space="preserve">) ensures that funding per pupil is brought up to the ‘Funding Floor’ of 1.84% (in </w:t>
      </w:r>
      <w:r w:rsidR="00AA2A14" w:rsidRPr="001C24F1">
        <w:rPr>
          <w:i w:val="0"/>
          <w:sz w:val="24"/>
          <w:szCs w:val="24"/>
          <w:lang w:eastAsia="en-US"/>
        </w:rPr>
        <w:t>bold</w:t>
      </w:r>
      <w:r w:rsidR="00AA2A14" w:rsidRPr="001C24F1">
        <w:rPr>
          <w:b w:val="0"/>
          <w:i w:val="0"/>
          <w:sz w:val="24"/>
          <w:szCs w:val="24"/>
          <w:lang w:eastAsia="en-US"/>
        </w:rPr>
        <w:t>).</w:t>
      </w:r>
    </w:p>
    <w:p w14:paraId="3436FC0C" w14:textId="77777777" w:rsidR="00DE2989" w:rsidRPr="001C24F1" w:rsidRDefault="00DE2989" w:rsidP="00DE2989">
      <w:pPr>
        <w:rPr>
          <w:lang w:eastAsia="en-US"/>
        </w:rPr>
      </w:pPr>
    </w:p>
    <w:p w14:paraId="3436FC0D" w14:textId="77777777" w:rsidR="00AA2A14" w:rsidRPr="001C24F1" w:rsidRDefault="00AA2A14" w:rsidP="00AA2A14">
      <w:pPr>
        <w:ind w:left="576"/>
        <w:rPr>
          <w:b/>
          <w:lang w:eastAsia="en-US"/>
        </w:rPr>
      </w:pPr>
      <w:r w:rsidRPr="001C24F1">
        <w:rPr>
          <w:b/>
          <w:lang w:eastAsia="en-US"/>
        </w:rPr>
        <w:t>Table 2:</w:t>
      </w:r>
      <w:r w:rsidRPr="001C24F1">
        <w:rPr>
          <w:b/>
          <w:lang w:eastAsia="en-US"/>
        </w:rPr>
        <w:tab/>
      </w:r>
      <w:r w:rsidR="00DE2989" w:rsidRPr="001C24F1">
        <w:rPr>
          <w:b/>
          <w:lang w:eastAsia="en-US"/>
        </w:rPr>
        <w:t>Schools Block Calculations 2020-21 and 2019-20.</w:t>
      </w:r>
    </w:p>
    <w:p w14:paraId="3436FC0E" w14:textId="77777777" w:rsidR="00CD28BD" w:rsidRDefault="00CD28BD" w:rsidP="00CD28BD">
      <w:pPr>
        <w:rPr>
          <w:lang w:eastAsia="en-US"/>
        </w:rPr>
      </w:pPr>
    </w:p>
    <w:tbl>
      <w:tblPr>
        <w:tblStyle w:val="TableGrid1"/>
        <w:tblW w:w="8640" w:type="dxa"/>
        <w:tblLook w:val="04A0" w:firstRow="1" w:lastRow="0" w:firstColumn="1" w:lastColumn="0" w:noHBand="0" w:noVBand="1"/>
      </w:tblPr>
      <w:tblGrid>
        <w:gridCol w:w="2560"/>
        <w:gridCol w:w="1720"/>
        <w:gridCol w:w="1600"/>
        <w:gridCol w:w="1460"/>
        <w:gridCol w:w="1300"/>
      </w:tblGrid>
      <w:tr w:rsidR="00A54889" w:rsidRPr="00A54889" w14:paraId="160DDB02" w14:textId="77777777" w:rsidTr="003C4562">
        <w:trPr>
          <w:trHeight w:val="315"/>
        </w:trPr>
        <w:tc>
          <w:tcPr>
            <w:tcW w:w="2560" w:type="dxa"/>
            <w:hideMark/>
          </w:tcPr>
          <w:p w14:paraId="154CC8D7" w14:textId="77777777" w:rsidR="00A54889" w:rsidRPr="00A54889" w:rsidRDefault="00A54889" w:rsidP="00A54889">
            <w:pPr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hideMark/>
          </w:tcPr>
          <w:p w14:paraId="3DC197C7" w14:textId="77777777" w:rsidR="00A54889" w:rsidRPr="00A54889" w:rsidRDefault="00A54889" w:rsidP="00A5488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2020-21</w:t>
            </w:r>
          </w:p>
        </w:tc>
        <w:tc>
          <w:tcPr>
            <w:tcW w:w="1600" w:type="dxa"/>
            <w:hideMark/>
          </w:tcPr>
          <w:p w14:paraId="46E8858F" w14:textId="77777777" w:rsidR="00A54889" w:rsidRPr="00A54889" w:rsidRDefault="00A54889" w:rsidP="00A5488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2019-20</w:t>
            </w:r>
          </w:p>
        </w:tc>
        <w:tc>
          <w:tcPr>
            <w:tcW w:w="1460" w:type="dxa"/>
            <w:hideMark/>
          </w:tcPr>
          <w:p w14:paraId="615897BD" w14:textId="77777777" w:rsidR="00A54889" w:rsidRPr="00A54889" w:rsidRDefault="00A54889" w:rsidP="00A5488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Change</w:t>
            </w:r>
          </w:p>
        </w:tc>
        <w:tc>
          <w:tcPr>
            <w:tcW w:w="1300" w:type="dxa"/>
            <w:hideMark/>
          </w:tcPr>
          <w:p w14:paraId="1EC210DE" w14:textId="77777777" w:rsidR="00A54889" w:rsidRPr="00A54889" w:rsidRDefault="00A54889" w:rsidP="00A5488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54889" w:rsidRPr="00A54889" w14:paraId="26D2BA4C" w14:textId="77777777" w:rsidTr="003C4562">
        <w:trPr>
          <w:trHeight w:val="315"/>
        </w:trPr>
        <w:tc>
          <w:tcPr>
            <w:tcW w:w="2560" w:type="dxa"/>
            <w:hideMark/>
          </w:tcPr>
          <w:p w14:paraId="2C97A4B5" w14:textId="77777777" w:rsidR="00A54889" w:rsidRPr="00A54889" w:rsidRDefault="00A54889" w:rsidP="00A54889">
            <w:pPr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hideMark/>
          </w:tcPr>
          <w:p w14:paraId="50968A72" w14:textId="77777777" w:rsidR="00A54889" w:rsidRPr="00A54889" w:rsidRDefault="00A54889" w:rsidP="00A54889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hideMark/>
          </w:tcPr>
          <w:p w14:paraId="3A4A1753" w14:textId="77777777" w:rsidR="00A54889" w:rsidRPr="00A54889" w:rsidRDefault="00A54889" w:rsidP="00A54889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hideMark/>
          </w:tcPr>
          <w:p w14:paraId="476D91CF" w14:textId="77777777" w:rsidR="00A54889" w:rsidRPr="00A54889" w:rsidRDefault="00A54889" w:rsidP="00A54889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hideMark/>
          </w:tcPr>
          <w:p w14:paraId="517F970D" w14:textId="77777777" w:rsidR="00A54889" w:rsidRPr="00A54889" w:rsidRDefault="00A54889" w:rsidP="00A54889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54889" w:rsidRPr="00A54889" w14:paraId="21EA5C21" w14:textId="77777777" w:rsidTr="003C4562">
        <w:trPr>
          <w:trHeight w:val="402"/>
        </w:trPr>
        <w:tc>
          <w:tcPr>
            <w:tcW w:w="2560" w:type="dxa"/>
            <w:hideMark/>
          </w:tcPr>
          <w:p w14:paraId="7D41B0A6" w14:textId="77777777" w:rsidR="00A54889" w:rsidRPr="00A54889" w:rsidRDefault="00A54889" w:rsidP="00A54889">
            <w:pPr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 xml:space="preserve">Primary Funding £ </w:t>
            </w:r>
          </w:p>
        </w:tc>
        <w:tc>
          <w:tcPr>
            <w:tcW w:w="1720" w:type="dxa"/>
            <w:hideMark/>
          </w:tcPr>
          <w:p w14:paraId="5C22D59A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6,027.70</w:t>
            </w:r>
          </w:p>
        </w:tc>
        <w:tc>
          <w:tcPr>
            <w:tcW w:w="1600" w:type="dxa"/>
            <w:hideMark/>
          </w:tcPr>
          <w:p w14:paraId="3F69542E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5,922.81</w:t>
            </w:r>
          </w:p>
        </w:tc>
        <w:tc>
          <w:tcPr>
            <w:tcW w:w="1460" w:type="dxa"/>
            <w:hideMark/>
          </w:tcPr>
          <w:p w14:paraId="46CF3D61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104.89</w:t>
            </w:r>
          </w:p>
        </w:tc>
        <w:tc>
          <w:tcPr>
            <w:tcW w:w="1300" w:type="dxa"/>
            <w:hideMark/>
          </w:tcPr>
          <w:p w14:paraId="177295D2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1.77</w:t>
            </w:r>
          </w:p>
        </w:tc>
      </w:tr>
      <w:tr w:rsidR="00A54889" w:rsidRPr="00A54889" w14:paraId="7B85A70C" w14:textId="77777777" w:rsidTr="003C4562">
        <w:trPr>
          <w:trHeight w:val="402"/>
        </w:trPr>
        <w:tc>
          <w:tcPr>
            <w:tcW w:w="2560" w:type="dxa"/>
            <w:hideMark/>
          </w:tcPr>
          <w:p w14:paraId="36DD125D" w14:textId="77777777" w:rsidR="00A54889" w:rsidRPr="00A54889" w:rsidRDefault="00A54889" w:rsidP="00A54889">
            <w:pPr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Primary Pupils</w:t>
            </w:r>
          </w:p>
        </w:tc>
        <w:tc>
          <w:tcPr>
            <w:tcW w:w="1720" w:type="dxa"/>
            <w:hideMark/>
          </w:tcPr>
          <w:p w14:paraId="5A165259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23,217</w:t>
            </w:r>
          </w:p>
        </w:tc>
        <w:tc>
          <w:tcPr>
            <w:tcW w:w="1600" w:type="dxa"/>
            <w:hideMark/>
          </w:tcPr>
          <w:p w14:paraId="256214FF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23,446.50</w:t>
            </w:r>
          </w:p>
        </w:tc>
        <w:tc>
          <w:tcPr>
            <w:tcW w:w="1460" w:type="dxa"/>
            <w:hideMark/>
          </w:tcPr>
          <w:p w14:paraId="3ECC4D5C" w14:textId="77777777" w:rsidR="00A54889" w:rsidRPr="00A54889" w:rsidRDefault="00A54889" w:rsidP="00A54889">
            <w:pPr>
              <w:jc w:val="right"/>
              <w:rPr>
                <w:rFonts w:cs="Arial"/>
                <w:sz w:val="22"/>
                <w:szCs w:val="22"/>
              </w:rPr>
            </w:pPr>
            <w:r w:rsidRPr="00A54889">
              <w:rPr>
                <w:rFonts w:cs="Arial"/>
                <w:sz w:val="22"/>
                <w:szCs w:val="22"/>
              </w:rPr>
              <w:t>-229.5</w:t>
            </w:r>
          </w:p>
        </w:tc>
        <w:tc>
          <w:tcPr>
            <w:tcW w:w="1300" w:type="dxa"/>
            <w:hideMark/>
          </w:tcPr>
          <w:p w14:paraId="3EC08A47" w14:textId="77777777" w:rsidR="00A54889" w:rsidRPr="00A54889" w:rsidRDefault="00A54889" w:rsidP="00A54889">
            <w:pPr>
              <w:jc w:val="right"/>
              <w:rPr>
                <w:rFonts w:cs="Arial"/>
                <w:sz w:val="22"/>
                <w:szCs w:val="22"/>
              </w:rPr>
            </w:pPr>
            <w:r w:rsidRPr="00A54889">
              <w:rPr>
                <w:rFonts w:cs="Arial"/>
                <w:sz w:val="22"/>
                <w:szCs w:val="22"/>
              </w:rPr>
              <w:t>-0.98</w:t>
            </w:r>
          </w:p>
        </w:tc>
      </w:tr>
      <w:tr w:rsidR="00A54889" w:rsidRPr="00A54889" w14:paraId="746465B9" w14:textId="77777777" w:rsidTr="003C4562">
        <w:trPr>
          <w:trHeight w:val="402"/>
        </w:trPr>
        <w:tc>
          <w:tcPr>
            <w:tcW w:w="2560" w:type="dxa"/>
            <w:hideMark/>
          </w:tcPr>
          <w:p w14:paraId="51666EB8" w14:textId="77777777" w:rsidR="00A54889" w:rsidRPr="00A54889" w:rsidRDefault="00A54889" w:rsidP="00A54889">
            <w:pPr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Secondary Funding £</w:t>
            </w:r>
          </w:p>
        </w:tc>
        <w:tc>
          <w:tcPr>
            <w:tcW w:w="1720" w:type="dxa"/>
            <w:hideMark/>
          </w:tcPr>
          <w:p w14:paraId="61B27051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7,999.76</w:t>
            </w:r>
          </w:p>
        </w:tc>
        <w:tc>
          <w:tcPr>
            <w:tcW w:w="1600" w:type="dxa"/>
            <w:hideMark/>
          </w:tcPr>
          <w:p w14:paraId="158BCDB6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7,861.06</w:t>
            </w:r>
          </w:p>
        </w:tc>
        <w:tc>
          <w:tcPr>
            <w:tcW w:w="1460" w:type="dxa"/>
            <w:hideMark/>
          </w:tcPr>
          <w:p w14:paraId="2F5F8361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138.7</w:t>
            </w:r>
          </w:p>
        </w:tc>
        <w:tc>
          <w:tcPr>
            <w:tcW w:w="1300" w:type="dxa"/>
            <w:hideMark/>
          </w:tcPr>
          <w:p w14:paraId="7E3FE5EB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1.76</w:t>
            </w:r>
          </w:p>
        </w:tc>
      </w:tr>
      <w:tr w:rsidR="00A54889" w:rsidRPr="00A54889" w14:paraId="20EA4302" w14:textId="77777777" w:rsidTr="003C4562">
        <w:trPr>
          <w:trHeight w:val="402"/>
        </w:trPr>
        <w:tc>
          <w:tcPr>
            <w:tcW w:w="2560" w:type="dxa"/>
            <w:hideMark/>
          </w:tcPr>
          <w:p w14:paraId="4A9F6610" w14:textId="77777777" w:rsidR="00A54889" w:rsidRPr="00A54889" w:rsidRDefault="00A54889" w:rsidP="00A54889">
            <w:pPr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Secondary Pupils</w:t>
            </w:r>
          </w:p>
        </w:tc>
        <w:tc>
          <w:tcPr>
            <w:tcW w:w="1720" w:type="dxa"/>
            <w:hideMark/>
          </w:tcPr>
          <w:p w14:paraId="601B5764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14,580</w:t>
            </w:r>
          </w:p>
        </w:tc>
        <w:tc>
          <w:tcPr>
            <w:tcW w:w="1600" w:type="dxa"/>
            <w:hideMark/>
          </w:tcPr>
          <w:p w14:paraId="13F48088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14,424</w:t>
            </w:r>
          </w:p>
        </w:tc>
        <w:tc>
          <w:tcPr>
            <w:tcW w:w="1460" w:type="dxa"/>
            <w:hideMark/>
          </w:tcPr>
          <w:p w14:paraId="25F395C8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00" w:type="dxa"/>
            <w:hideMark/>
          </w:tcPr>
          <w:p w14:paraId="0CC5F23A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1.08</w:t>
            </w:r>
          </w:p>
        </w:tc>
      </w:tr>
      <w:tr w:rsidR="00A54889" w:rsidRPr="00A54889" w14:paraId="16C6DC22" w14:textId="77777777" w:rsidTr="003C4562">
        <w:trPr>
          <w:trHeight w:val="402"/>
        </w:trPr>
        <w:tc>
          <w:tcPr>
            <w:tcW w:w="2560" w:type="dxa"/>
            <w:hideMark/>
          </w:tcPr>
          <w:p w14:paraId="56197672" w14:textId="77777777" w:rsidR="00A54889" w:rsidRPr="00A54889" w:rsidRDefault="00A54889" w:rsidP="00A54889">
            <w:pPr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lastRenderedPageBreak/>
              <w:t>Premises Factor £</w:t>
            </w:r>
          </w:p>
        </w:tc>
        <w:tc>
          <w:tcPr>
            <w:tcW w:w="1720" w:type="dxa"/>
            <w:hideMark/>
          </w:tcPr>
          <w:p w14:paraId="29E1E1A3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6,373,949</w:t>
            </w:r>
          </w:p>
        </w:tc>
        <w:tc>
          <w:tcPr>
            <w:tcW w:w="1600" w:type="dxa"/>
            <w:hideMark/>
          </w:tcPr>
          <w:p w14:paraId="5999E51B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6,892,146</w:t>
            </w:r>
          </w:p>
        </w:tc>
        <w:tc>
          <w:tcPr>
            <w:tcW w:w="1460" w:type="dxa"/>
            <w:hideMark/>
          </w:tcPr>
          <w:p w14:paraId="7FF7342A" w14:textId="77777777" w:rsidR="00A54889" w:rsidRPr="00A54889" w:rsidRDefault="00A54889" w:rsidP="00A54889">
            <w:pPr>
              <w:jc w:val="right"/>
              <w:rPr>
                <w:rFonts w:cs="Arial"/>
                <w:sz w:val="22"/>
                <w:szCs w:val="22"/>
              </w:rPr>
            </w:pPr>
            <w:r w:rsidRPr="00A54889">
              <w:rPr>
                <w:rFonts w:cs="Arial"/>
                <w:sz w:val="22"/>
                <w:szCs w:val="22"/>
              </w:rPr>
              <w:t>-518,197</w:t>
            </w:r>
          </w:p>
        </w:tc>
        <w:tc>
          <w:tcPr>
            <w:tcW w:w="1300" w:type="dxa"/>
            <w:hideMark/>
          </w:tcPr>
          <w:p w14:paraId="49993D06" w14:textId="77777777" w:rsidR="00A54889" w:rsidRPr="00A54889" w:rsidRDefault="00A54889" w:rsidP="00A54889">
            <w:pPr>
              <w:jc w:val="right"/>
              <w:rPr>
                <w:rFonts w:cs="Arial"/>
                <w:sz w:val="22"/>
                <w:szCs w:val="22"/>
              </w:rPr>
            </w:pPr>
            <w:r w:rsidRPr="00A54889">
              <w:rPr>
                <w:rFonts w:cs="Arial"/>
                <w:sz w:val="22"/>
                <w:szCs w:val="22"/>
              </w:rPr>
              <w:t>-7.52</w:t>
            </w:r>
          </w:p>
        </w:tc>
      </w:tr>
      <w:tr w:rsidR="00A54889" w:rsidRPr="00A54889" w14:paraId="5C3BBF2A" w14:textId="77777777" w:rsidTr="003C4562">
        <w:trPr>
          <w:trHeight w:val="402"/>
        </w:trPr>
        <w:tc>
          <w:tcPr>
            <w:tcW w:w="2560" w:type="dxa"/>
            <w:hideMark/>
          </w:tcPr>
          <w:p w14:paraId="65F7CCBB" w14:textId="77777777" w:rsidR="00A54889" w:rsidRPr="00A54889" w:rsidRDefault="00A54889" w:rsidP="00A54889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i/>
                <w:iCs/>
                <w:color w:val="000000"/>
                <w:sz w:val="22"/>
                <w:szCs w:val="22"/>
              </w:rPr>
              <w:t>Protection Funding £</w:t>
            </w:r>
          </w:p>
        </w:tc>
        <w:tc>
          <w:tcPr>
            <w:tcW w:w="1720" w:type="dxa"/>
            <w:hideMark/>
          </w:tcPr>
          <w:p w14:paraId="6E760D9A" w14:textId="77777777" w:rsidR="00A54889" w:rsidRPr="00A54889" w:rsidRDefault="00A54889" w:rsidP="00A54889">
            <w:pPr>
              <w:jc w:val="right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i/>
                <w:iCs/>
                <w:color w:val="000000"/>
                <w:sz w:val="22"/>
                <w:szCs w:val="22"/>
              </w:rPr>
              <w:t>449,916</w:t>
            </w:r>
          </w:p>
        </w:tc>
        <w:tc>
          <w:tcPr>
            <w:tcW w:w="1600" w:type="dxa"/>
            <w:hideMark/>
          </w:tcPr>
          <w:p w14:paraId="41F4CDD2" w14:textId="77777777" w:rsidR="00A54889" w:rsidRPr="00A54889" w:rsidRDefault="00A54889" w:rsidP="00A54889">
            <w:pPr>
              <w:jc w:val="right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hideMark/>
          </w:tcPr>
          <w:p w14:paraId="6788DB4F" w14:textId="77777777" w:rsidR="00A54889" w:rsidRPr="00A54889" w:rsidRDefault="00A54889" w:rsidP="00A54889">
            <w:pPr>
              <w:jc w:val="right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i/>
                <w:iCs/>
                <w:color w:val="000000"/>
                <w:sz w:val="22"/>
                <w:szCs w:val="22"/>
              </w:rPr>
              <w:t>449,916</w:t>
            </w:r>
          </w:p>
        </w:tc>
        <w:tc>
          <w:tcPr>
            <w:tcW w:w="1300" w:type="dxa"/>
            <w:hideMark/>
          </w:tcPr>
          <w:p w14:paraId="085266BB" w14:textId="77777777" w:rsidR="00A54889" w:rsidRPr="00A54889" w:rsidRDefault="00A54889" w:rsidP="00A54889">
            <w:pPr>
              <w:jc w:val="right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A54889" w:rsidRPr="00A54889" w14:paraId="259D90B7" w14:textId="77777777" w:rsidTr="003C4562">
        <w:trPr>
          <w:trHeight w:val="402"/>
        </w:trPr>
        <w:tc>
          <w:tcPr>
            <w:tcW w:w="2560" w:type="dxa"/>
            <w:hideMark/>
          </w:tcPr>
          <w:p w14:paraId="7B21A70A" w14:textId="77777777" w:rsidR="00A54889" w:rsidRPr="00A54889" w:rsidRDefault="00A54889" w:rsidP="00A54889">
            <w:pPr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Funding excl. Growth</w:t>
            </w:r>
          </w:p>
        </w:tc>
        <w:tc>
          <w:tcPr>
            <w:tcW w:w="1720" w:type="dxa"/>
            <w:hideMark/>
          </w:tcPr>
          <w:p w14:paraId="55122357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263,405,477</w:t>
            </w:r>
          </w:p>
        </w:tc>
        <w:tc>
          <w:tcPr>
            <w:tcW w:w="1600" w:type="dxa"/>
            <w:hideMark/>
          </w:tcPr>
          <w:p w14:paraId="33E2B26C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259,149,240</w:t>
            </w:r>
          </w:p>
        </w:tc>
        <w:tc>
          <w:tcPr>
            <w:tcW w:w="1460" w:type="dxa"/>
            <w:hideMark/>
          </w:tcPr>
          <w:p w14:paraId="1AE3AFB4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4,256,237</w:t>
            </w:r>
          </w:p>
        </w:tc>
        <w:tc>
          <w:tcPr>
            <w:tcW w:w="1300" w:type="dxa"/>
            <w:hideMark/>
          </w:tcPr>
          <w:p w14:paraId="2BD85765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1.64</w:t>
            </w:r>
          </w:p>
        </w:tc>
      </w:tr>
      <w:tr w:rsidR="00A54889" w:rsidRPr="00A54889" w14:paraId="3C9D0679" w14:textId="77777777" w:rsidTr="003C4562">
        <w:trPr>
          <w:trHeight w:val="402"/>
        </w:trPr>
        <w:tc>
          <w:tcPr>
            <w:tcW w:w="2560" w:type="dxa"/>
            <w:hideMark/>
          </w:tcPr>
          <w:p w14:paraId="28C579D9" w14:textId="77777777" w:rsidR="00A54889" w:rsidRPr="00A54889" w:rsidRDefault="00A54889" w:rsidP="00A54889">
            <w:pPr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Total Pupils</w:t>
            </w:r>
          </w:p>
        </w:tc>
        <w:tc>
          <w:tcPr>
            <w:tcW w:w="1720" w:type="dxa"/>
            <w:hideMark/>
          </w:tcPr>
          <w:p w14:paraId="3AE04A9B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37,797.00</w:t>
            </w:r>
          </w:p>
        </w:tc>
        <w:tc>
          <w:tcPr>
            <w:tcW w:w="1600" w:type="dxa"/>
            <w:hideMark/>
          </w:tcPr>
          <w:p w14:paraId="499AEECE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37,870.50</w:t>
            </w:r>
          </w:p>
        </w:tc>
        <w:tc>
          <w:tcPr>
            <w:tcW w:w="1460" w:type="dxa"/>
            <w:hideMark/>
          </w:tcPr>
          <w:p w14:paraId="57C82E26" w14:textId="77777777" w:rsidR="00A54889" w:rsidRPr="00A54889" w:rsidRDefault="00A54889" w:rsidP="00A54889">
            <w:pPr>
              <w:jc w:val="right"/>
              <w:rPr>
                <w:rFonts w:cs="Arial"/>
                <w:sz w:val="22"/>
                <w:szCs w:val="22"/>
              </w:rPr>
            </w:pPr>
            <w:r w:rsidRPr="00A54889">
              <w:rPr>
                <w:rFonts w:cs="Arial"/>
                <w:sz w:val="22"/>
                <w:szCs w:val="22"/>
              </w:rPr>
              <w:t>-73.5</w:t>
            </w:r>
          </w:p>
        </w:tc>
        <w:tc>
          <w:tcPr>
            <w:tcW w:w="1300" w:type="dxa"/>
            <w:hideMark/>
          </w:tcPr>
          <w:p w14:paraId="359F556D" w14:textId="77777777" w:rsidR="00A54889" w:rsidRPr="00A54889" w:rsidRDefault="00A54889" w:rsidP="00A54889">
            <w:pPr>
              <w:jc w:val="right"/>
              <w:rPr>
                <w:rFonts w:cs="Arial"/>
                <w:sz w:val="22"/>
                <w:szCs w:val="22"/>
              </w:rPr>
            </w:pPr>
            <w:r w:rsidRPr="00A54889">
              <w:rPr>
                <w:rFonts w:cs="Arial"/>
                <w:sz w:val="22"/>
                <w:szCs w:val="22"/>
              </w:rPr>
              <w:t>-0.19</w:t>
            </w:r>
          </w:p>
        </w:tc>
      </w:tr>
      <w:tr w:rsidR="00A54889" w:rsidRPr="00A54889" w14:paraId="0CECCEA5" w14:textId="77777777" w:rsidTr="003C4562">
        <w:trPr>
          <w:trHeight w:val="402"/>
        </w:trPr>
        <w:tc>
          <w:tcPr>
            <w:tcW w:w="2560" w:type="dxa"/>
            <w:hideMark/>
          </w:tcPr>
          <w:p w14:paraId="6F0E1B8F" w14:textId="77777777" w:rsidR="00A54889" w:rsidRPr="00A54889" w:rsidRDefault="00A54889" w:rsidP="00A54889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Funding per Pupil</w:t>
            </w:r>
          </w:p>
        </w:tc>
        <w:tc>
          <w:tcPr>
            <w:tcW w:w="1720" w:type="dxa"/>
            <w:hideMark/>
          </w:tcPr>
          <w:p w14:paraId="0B44215B" w14:textId="77777777" w:rsidR="00A54889" w:rsidRPr="00A54889" w:rsidRDefault="00A54889" w:rsidP="00A54889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6,968.95</w:t>
            </w:r>
          </w:p>
        </w:tc>
        <w:tc>
          <w:tcPr>
            <w:tcW w:w="1600" w:type="dxa"/>
            <w:hideMark/>
          </w:tcPr>
          <w:p w14:paraId="4FC062D2" w14:textId="77777777" w:rsidR="00A54889" w:rsidRPr="00A54889" w:rsidRDefault="00A54889" w:rsidP="00A54889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6,843.04</w:t>
            </w:r>
          </w:p>
        </w:tc>
        <w:tc>
          <w:tcPr>
            <w:tcW w:w="1460" w:type="dxa"/>
            <w:hideMark/>
          </w:tcPr>
          <w:p w14:paraId="229BE610" w14:textId="77777777" w:rsidR="00A54889" w:rsidRPr="00A54889" w:rsidRDefault="00A54889" w:rsidP="00A54889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125.91</w:t>
            </w:r>
          </w:p>
        </w:tc>
        <w:tc>
          <w:tcPr>
            <w:tcW w:w="1300" w:type="dxa"/>
            <w:hideMark/>
          </w:tcPr>
          <w:p w14:paraId="51D5AA22" w14:textId="77777777" w:rsidR="00A54889" w:rsidRPr="00A54889" w:rsidRDefault="00A54889" w:rsidP="00A54889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b/>
                <w:bCs/>
                <w:color w:val="000000"/>
                <w:sz w:val="22"/>
                <w:szCs w:val="22"/>
              </w:rPr>
              <w:t>1.84</w:t>
            </w:r>
          </w:p>
        </w:tc>
      </w:tr>
      <w:tr w:rsidR="00A54889" w:rsidRPr="00A54889" w14:paraId="290307F6" w14:textId="77777777" w:rsidTr="003C4562">
        <w:trPr>
          <w:trHeight w:val="402"/>
        </w:trPr>
        <w:tc>
          <w:tcPr>
            <w:tcW w:w="2560" w:type="dxa"/>
            <w:hideMark/>
          </w:tcPr>
          <w:p w14:paraId="73C03FD1" w14:textId="77777777" w:rsidR="00A54889" w:rsidRPr="00A54889" w:rsidRDefault="00A54889" w:rsidP="00A54889">
            <w:pPr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Growth Funding</w:t>
            </w:r>
          </w:p>
        </w:tc>
        <w:tc>
          <w:tcPr>
            <w:tcW w:w="1720" w:type="dxa"/>
            <w:hideMark/>
          </w:tcPr>
          <w:p w14:paraId="315D37C0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1,413,191</w:t>
            </w:r>
          </w:p>
        </w:tc>
        <w:tc>
          <w:tcPr>
            <w:tcW w:w="1600" w:type="dxa"/>
            <w:hideMark/>
          </w:tcPr>
          <w:p w14:paraId="6030A048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1,496,470</w:t>
            </w:r>
          </w:p>
        </w:tc>
        <w:tc>
          <w:tcPr>
            <w:tcW w:w="1460" w:type="dxa"/>
            <w:hideMark/>
          </w:tcPr>
          <w:p w14:paraId="4481DAB3" w14:textId="77777777" w:rsidR="00A54889" w:rsidRPr="00A54889" w:rsidRDefault="00A54889" w:rsidP="00A54889">
            <w:pPr>
              <w:jc w:val="right"/>
              <w:rPr>
                <w:rFonts w:cs="Arial"/>
                <w:sz w:val="22"/>
                <w:szCs w:val="22"/>
              </w:rPr>
            </w:pPr>
            <w:r w:rsidRPr="00A54889">
              <w:rPr>
                <w:rFonts w:cs="Arial"/>
                <w:sz w:val="22"/>
                <w:szCs w:val="22"/>
              </w:rPr>
              <w:t>-83,279</w:t>
            </w:r>
          </w:p>
        </w:tc>
        <w:tc>
          <w:tcPr>
            <w:tcW w:w="1300" w:type="dxa"/>
            <w:hideMark/>
          </w:tcPr>
          <w:p w14:paraId="44AFD81F" w14:textId="77777777" w:rsidR="00A54889" w:rsidRPr="00A54889" w:rsidRDefault="00A54889" w:rsidP="00A54889">
            <w:pPr>
              <w:jc w:val="right"/>
              <w:rPr>
                <w:rFonts w:cs="Arial"/>
                <w:sz w:val="22"/>
                <w:szCs w:val="22"/>
              </w:rPr>
            </w:pPr>
            <w:r w:rsidRPr="00A54889">
              <w:rPr>
                <w:rFonts w:cs="Arial"/>
                <w:sz w:val="22"/>
                <w:szCs w:val="22"/>
              </w:rPr>
              <w:t>-5.57</w:t>
            </w:r>
          </w:p>
        </w:tc>
      </w:tr>
      <w:tr w:rsidR="00A54889" w:rsidRPr="00A54889" w14:paraId="6239CCF1" w14:textId="77777777" w:rsidTr="003C4562">
        <w:trPr>
          <w:trHeight w:val="402"/>
        </w:trPr>
        <w:tc>
          <w:tcPr>
            <w:tcW w:w="2560" w:type="dxa"/>
            <w:hideMark/>
          </w:tcPr>
          <w:p w14:paraId="74553504" w14:textId="77777777" w:rsidR="00A54889" w:rsidRPr="00A54889" w:rsidRDefault="00A54889" w:rsidP="00A54889">
            <w:pPr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Total Schools Block</w:t>
            </w:r>
          </w:p>
        </w:tc>
        <w:tc>
          <w:tcPr>
            <w:tcW w:w="1720" w:type="dxa"/>
            <w:hideMark/>
          </w:tcPr>
          <w:p w14:paraId="03DFD3B1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264,818,668</w:t>
            </w:r>
          </w:p>
        </w:tc>
        <w:tc>
          <w:tcPr>
            <w:tcW w:w="1600" w:type="dxa"/>
            <w:hideMark/>
          </w:tcPr>
          <w:p w14:paraId="3CC8DCE1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260,645,710</w:t>
            </w:r>
          </w:p>
        </w:tc>
        <w:tc>
          <w:tcPr>
            <w:tcW w:w="1460" w:type="dxa"/>
            <w:hideMark/>
          </w:tcPr>
          <w:p w14:paraId="00CE8AB2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4,172,958</w:t>
            </w:r>
          </w:p>
        </w:tc>
        <w:tc>
          <w:tcPr>
            <w:tcW w:w="1300" w:type="dxa"/>
            <w:hideMark/>
          </w:tcPr>
          <w:p w14:paraId="0EAB71CF" w14:textId="77777777" w:rsidR="00A54889" w:rsidRPr="00A54889" w:rsidRDefault="00A54889" w:rsidP="00A5488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54889">
              <w:rPr>
                <w:rFonts w:cs="Arial"/>
                <w:color w:val="000000"/>
                <w:sz w:val="22"/>
                <w:szCs w:val="22"/>
              </w:rPr>
              <w:t>1.6</w:t>
            </w:r>
          </w:p>
        </w:tc>
      </w:tr>
    </w:tbl>
    <w:p w14:paraId="3436FC5C" w14:textId="77777777" w:rsidR="00B15BC4" w:rsidRDefault="00B15BC4" w:rsidP="00B15BC4">
      <w:pPr>
        <w:rPr>
          <w:lang w:eastAsia="en-US"/>
        </w:rPr>
      </w:pPr>
    </w:p>
    <w:p w14:paraId="3436FC5D" w14:textId="77777777" w:rsidR="00A05E27" w:rsidRDefault="00A05E27" w:rsidP="00DB05A8">
      <w:pPr>
        <w:pStyle w:val="Heading2"/>
        <w:rPr>
          <w:b w:val="0"/>
          <w:i w:val="0"/>
          <w:sz w:val="24"/>
          <w:szCs w:val="24"/>
          <w:lang w:eastAsia="en-US"/>
        </w:rPr>
      </w:pPr>
      <w:r>
        <w:rPr>
          <w:b w:val="0"/>
          <w:i w:val="0"/>
          <w:sz w:val="24"/>
          <w:szCs w:val="24"/>
          <w:lang w:eastAsia="en-US"/>
        </w:rPr>
        <w:t xml:space="preserve">We reported to the last Forum that growth is now a formula allocation calculated by the ESFA. The allocation for 2020-21 is £1.413. This is in excess of what is required and can prudently be reduced to £1.1m to cover commitments for 2020-21. A report on the Growth Fund will be brought to Forum in March. </w:t>
      </w:r>
    </w:p>
    <w:p w14:paraId="3436FC5E" w14:textId="77777777" w:rsidR="00B15BC4" w:rsidRPr="001C24F1" w:rsidRDefault="00DB05A8" w:rsidP="00DB05A8">
      <w:pPr>
        <w:pStyle w:val="Heading2"/>
        <w:rPr>
          <w:b w:val="0"/>
          <w:i w:val="0"/>
          <w:sz w:val="24"/>
          <w:szCs w:val="24"/>
          <w:lang w:eastAsia="en-US"/>
        </w:rPr>
      </w:pPr>
      <w:r w:rsidRPr="001C24F1">
        <w:rPr>
          <w:b w:val="0"/>
          <w:i w:val="0"/>
          <w:sz w:val="24"/>
          <w:szCs w:val="24"/>
          <w:lang w:eastAsia="en-US"/>
        </w:rPr>
        <w:t>As reported to Forum in December the National Funding Formula, adopted by Tower Hamlets in 2019-20, was increasing factor values for 2020-21 by 4% (with the exception of free school meals which increased by inflation). Applying this to Tower Hamle</w:t>
      </w:r>
      <w:r w:rsidR="00D51E0C" w:rsidRPr="001C24F1">
        <w:rPr>
          <w:b w:val="0"/>
          <w:i w:val="0"/>
          <w:sz w:val="24"/>
          <w:szCs w:val="24"/>
          <w:lang w:eastAsia="en-US"/>
        </w:rPr>
        <w:t xml:space="preserve">ts using the latest DSG figures </w:t>
      </w:r>
      <w:r w:rsidR="00DE2572" w:rsidRPr="001C24F1">
        <w:rPr>
          <w:b w:val="0"/>
          <w:i w:val="0"/>
          <w:sz w:val="24"/>
          <w:szCs w:val="24"/>
          <w:lang w:eastAsia="en-US"/>
        </w:rPr>
        <w:t xml:space="preserve">and the maximum Minimum Funding Guarantee (MFG) </w:t>
      </w:r>
      <w:r w:rsidR="00D51E0C" w:rsidRPr="001C24F1">
        <w:rPr>
          <w:b w:val="0"/>
          <w:i w:val="0"/>
          <w:sz w:val="24"/>
          <w:szCs w:val="24"/>
          <w:lang w:eastAsia="en-US"/>
        </w:rPr>
        <w:t>gives the position shown in Table 3.</w:t>
      </w:r>
    </w:p>
    <w:p w14:paraId="3436FC5F" w14:textId="77777777" w:rsidR="008F0BEA" w:rsidRPr="001C24F1" w:rsidRDefault="008F0BEA" w:rsidP="008F0BEA">
      <w:pPr>
        <w:rPr>
          <w:lang w:eastAsia="en-US"/>
        </w:rPr>
      </w:pPr>
    </w:p>
    <w:p w14:paraId="3436FC60" w14:textId="77777777" w:rsidR="008F0BEA" w:rsidRPr="001C24F1" w:rsidRDefault="001C02C9" w:rsidP="008F0BEA">
      <w:pPr>
        <w:keepNext/>
        <w:ind w:left="1701" w:hanging="992"/>
        <w:rPr>
          <w:rFonts w:cs="Arial"/>
          <w:b/>
        </w:rPr>
      </w:pPr>
      <w:r w:rsidRPr="001C24F1">
        <w:rPr>
          <w:rFonts w:cs="Arial"/>
          <w:b/>
        </w:rPr>
        <w:t>Table 3:</w:t>
      </w:r>
      <w:r w:rsidR="008F0BEA" w:rsidRPr="001C24F1">
        <w:rPr>
          <w:rFonts w:cs="Arial"/>
          <w:b/>
        </w:rPr>
        <w:t xml:space="preserve">  Comparison of Individual School Budget Allocations (ISB) 2020-21 and 2019-20. </w:t>
      </w:r>
    </w:p>
    <w:p w14:paraId="3436FC61" w14:textId="77777777" w:rsidR="008F0BEA" w:rsidRPr="00556BC3" w:rsidRDefault="008F0BEA" w:rsidP="008F0BEA">
      <w:pPr>
        <w:pStyle w:val="ListParagraph"/>
        <w:keepNext/>
        <w:rPr>
          <w:rFonts w:cs="Arial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293"/>
        <w:gridCol w:w="1814"/>
        <w:gridCol w:w="1814"/>
        <w:gridCol w:w="1815"/>
      </w:tblGrid>
      <w:tr w:rsidR="008F0BEA" w:rsidRPr="00556BC3" w14:paraId="3436FC66" w14:textId="77777777" w:rsidTr="00055711">
        <w:tc>
          <w:tcPr>
            <w:tcW w:w="2293" w:type="dxa"/>
          </w:tcPr>
          <w:p w14:paraId="3436FC62" w14:textId="77777777" w:rsidR="008F0BEA" w:rsidRPr="001C24F1" w:rsidRDefault="008F0BEA" w:rsidP="00055711">
            <w:pPr>
              <w:pStyle w:val="ListParagraph"/>
              <w:keepNext/>
              <w:ind w:left="0"/>
              <w:rPr>
                <w:rFonts w:cs="Arial"/>
                <w:b/>
                <w:sz w:val="22"/>
                <w:szCs w:val="22"/>
              </w:rPr>
            </w:pPr>
            <w:r w:rsidRPr="001C24F1">
              <w:rPr>
                <w:rFonts w:cs="Arial"/>
                <w:b/>
                <w:sz w:val="22"/>
                <w:szCs w:val="22"/>
              </w:rPr>
              <w:t>Element</w:t>
            </w:r>
          </w:p>
        </w:tc>
        <w:tc>
          <w:tcPr>
            <w:tcW w:w="1814" w:type="dxa"/>
          </w:tcPr>
          <w:p w14:paraId="3436FC63" w14:textId="77777777" w:rsidR="008F0BEA" w:rsidRPr="001C24F1" w:rsidRDefault="008F0BEA" w:rsidP="00055711">
            <w:pPr>
              <w:pStyle w:val="ListParagraph"/>
              <w:keepNext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1C24F1">
              <w:rPr>
                <w:rFonts w:cs="Arial"/>
                <w:b/>
                <w:sz w:val="22"/>
                <w:szCs w:val="22"/>
              </w:rPr>
              <w:t>2020-21</w:t>
            </w:r>
          </w:p>
        </w:tc>
        <w:tc>
          <w:tcPr>
            <w:tcW w:w="1814" w:type="dxa"/>
          </w:tcPr>
          <w:p w14:paraId="3436FC64" w14:textId="77777777" w:rsidR="008F0BEA" w:rsidRPr="001C24F1" w:rsidRDefault="008F0BEA" w:rsidP="00055711">
            <w:pPr>
              <w:pStyle w:val="ListParagraph"/>
              <w:keepNext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1C24F1">
              <w:rPr>
                <w:rFonts w:cs="Arial"/>
                <w:b/>
                <w:sz w:val="22"/>
                <w:szCs w:val="22"/>
              </w:rPr>
              <w:t>2019-20</w:t>
            </w:r>
          </w:p>
        </w:tc>
        <w:tc>
          <w:tcPr>
            <w:tcW w:w="1815" w:type="dxa"/>
          </w:tcPr>
          <w:p w14:paraId="3436FC65" w14:textId="77777777" w:rsidR="008F0BEA" w:rsidRPr="001C24F1" w:rsidRDefault="008F0BEA" w:rsidP="00055711">
            <w:pPr>
              <w:pStyle w:val="ListParagraph"/>
              <w:keepNext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1C24F1">
              <w:rPr>
                <w:rFonts w:cs="Arial"/>
                <w:b/>
                <w:sz w:val="22"/>
                <w:szCs w:val="22"/>
              </w:rPr>
              <w:t>Change</w:t>
            </w:r>
          </w:p>
        </w:tc>
      </w:tr>
      <w:tr w:rsidR="008F0BEA" w:rsidRPr="00556BC3" w14:paraId="3436FC6B" w14:textId="77777777" w:rsidTr="00055711">
        <w:tc>
          <w:tcPr>
            <w:tcW w:w="2293" w:type="dxa"/>
          </w:tcPr>
          <w:p w14:paraId="3436FC67" w14:textId="77777777" w:rsidR="008F0BEA" w:rsidRPr="001C24F1" w:rsidRDefault="008F0BEA" w:rsidP="00055711">
            <w:pPr>
              <w:pStyle w:val="ListParagraph"/>
              <w:keepNext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14:paraId="3436FC68" w14:textId="77777777" w:rsidR="008F0BEA" w:rsidRPr="001C24F1" w:rsidRDefault="008F0BEA" w:rsidP="00055711">
            <w:pPr>
              <w:pStyle w:val="ListParagraph"/>
              <w:keepNext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£m</w:t>
            </w:r>
          </w:p>
        </w:tc>
        <w:tc>
          <w:tcPr>
            <w:tcW w:w="1814" w:type="dxa"/>
          </w:tcPr>
          <w:p w14:paraId="3436FC69" w14:textId="77777777" w:rsidR="008F0BEA" w:rsidRPr="001C24F1" w:rsidRDefault="008F0BEA" w:rsidP="00055711">
            <w:pPr>
              <w:pStyle w:val="ListParagraph"/>
              <w:keepNext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£m</w:t>
            </w:r>
          </w:p>
        </w:tc>
        <w:tc>
          <w:tcPr>
            <w:tcW w:w="1815" w:type="dxa"/>
          </w:tcPr>
          <w:p w14:paraId="3436FC6A" w14:textId="77777777" w:rsidR="008F0BEA" w:rsidRPr="001C24F1" w:rsidRDefault="008F0BEA" w:rsidP="00055711">
            <w:pPr>
              <w:pStyle w:val="ListParagraph"/>
              <w:keepNext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£m</w:t>
            </w:r>
          </w:p>
        </w:tc>
      </w:tr>
      <w:tr w:rsidR="008F0BEA" w:rsidRPr="00556BC3" w14:paraId="3436FC70" w14:textId="77777777" w:rsidTr="00055711">
        <w:tc>
          <w:tcPr>
            <w:tcW w:w="2293" w:type="dxa"/>
          </w:tcPr>
          <w:p w14:paraId="3436FC6C" w14:textId="77777777" w:rsidR="008F0BEA" w:rsidRPr="001C24F1" w:rsidRDefault="008F0BEA" w:rsidP="00055711">
            <w:pPr>
              <w:pStyle w:val="ListParagraph"/>
              <w:keepNext/>
              <w:ind w:left="0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ISB</w:t>
            </w:r>
          </w:p>
        </w:tc>
        <w:tc>
          <w:tcPr>
            <w:tcW w:w="1814" w:type="dxa"/>
          </w:tcPr>
          <w:p w14:paraId="3436FC6D" w14:textId="77777777" w:rsidR="008F0BEA" w:rsidRPr="001C24F1" w:rsidRDefault="009D00BC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264.819</w:t>
            </w:r>
          </w:p>
        </w:tc>
        <w:tc>
          <w:tcPr>
            <w:tcW w:w="1814" w:type="dxa"/>
          </w:tcPr>
          <w:p w14:paraId="3436FC6E" w14:textId="77777777" w:rsidR="008F0BEA" w:rsidRPr="001C24F1" w:rsidRDefault="001C02C9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259</w:t>
            </w:r>
            <w:r w:rsidR="008F0BEA" w:rsidRPr="001C24F1">
              <w:rPr>
                <w:rFonts w:cs="Arial"/>
                <w:sz w:val="22"/>
                <w:szCs w:val="22"/>
              </w:rPr>
              <w:t>.</w:t>
            </w:r>
            <w:r w:rsidRPr="001C24F1">
              <w:rPr>
                <w:rFonts w:cs="Arial"/>
                <w:sz w:val="22"/>
                <w:szCs w:val="22"/>
              </w:rPr>
              <w:t>921</w:t>
            </w:r>
          </w:p>
        </w:tc>
        <w:tc>
          <w:tcPr>
            <w:tcW w:w="1815" w:type="dxa"/>
          </w:tcPr>
          <w:p w14:paraId="3436FC6F" w14:textId="77777777" w:rsidR="008F0BEA" w:rsidRPr="001C24F1" w:rsidRDefault="001C02C9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4.898</w:t>
            </w:r>
          </w:p>
        </w:tc>
      </w:tr>
      <w:tr w:rsidR="009D00BC" w:rsidRPr="00556BC3" w14:paraId="3436FC75" w14:textId="77777777" w:rsidTr="00055711">
        <w:tc>
          <w:tcPr>
            <w:tcW w:w="2293" w:type="dxa"/>
          </w:tcPr>
          <w:p w14:paraId="3436FC71" w14:textId="77777777" w:rsidR="009D00BC" w:rsidRPr="001C24F1" w:rsidRDefault="009D00BC" w:rsidP="00055711">
            <w:pPr>
              <w:pStyle w:val="ListParagraph"/>
              <w:keepNext/>
              <w:ind w:left="0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Growth Fund</w:t>
            </w:r>
          </w:p>
        </w:tc>
        <w:tc>
          <w:tcPr>
            <w:tcW w:w="1814" w:type="dxa"/>
          </w:tcPr>
          <w:p w14:paraId="3436FC72" w14:textId="77777777" w:rsidR="009D00BC" w:rsidRPr="001C24F1" w:rsidRDefault="009D00BC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1.</w:t>
            </w:r>
            <w:r w:rsidR="00A4753F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814" w:type="dxa"/>
          </w:tcPr>
          <w:p w14:paraId="3436FC73" w14:textId="77777777" w:rsidR="009D00BC" w:rsidRPr="001C24F1" w:rsidRDefault="001C02C9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1.496</w:t>
            </w:r>
          </w:p>
        </w:tc>
        <w:tc>
          <w:tcPr>
            <w:tcW w:w="1815" w:type="dxa"/>
          </w:tcPr>
          <w:p w14:paraId="3436FC74" w14:textId="77777777" w:rsidR="009D00BC" w:rsidRPr="001C24F1" w:rsidRDefault="001C02C9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A54889">
              <w:rPr>
                <w:rFonts w:cs="Arial"/>
                <w:sz w:val="22"/>
                <w:szCs w:val="22"/>
              </w:rPr>
              <w:t>-0.</w:t>
            </w:r>
            <w:r w:rsidR="00A4753F" w:rsidRPr="00A54889">
              <w:rPr>
                <w:rFonts w:cs="Arial"/>
                <w:sz w:val="22"/>
                <w:szCs w:val="22"/>
              </w:rPr>
              <w:t>396</w:t>
            </w:r>
          </w:p>
        </w:tc>
      </w:tr>
      <w:tr w:rsidR="001C02C9" w:rsidRPr="00556BC3" w14:paraId="3436FC7A" w14:textId="77777777" w:rsidTr="00055711">
        <w:tc>
          <w:tcPr>
            <w:tcW w:w="2293" w:type="dxa"/>
          </w:tcPr>
          <w:p w14:paraId="3436FC76" w14:textId="77777777" w:rsidR="001C02C9" w:rsidRPr="001C24F1" w:rsidRDefault="001C02C9" w:rsidP="00055711">
            <w:pPr>
              <w:pStyle w:val="ListParagraph"/>
              <w:keepNext/>
              <w:ind w:left="0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Falling Rolls</w:t>
            </w:r>
          </w:p>
        </w:tc>
        <w:tc>
          <w:tcPr>
            <w:tcW w:w="1814" w:type="dxa"/>
          </w:tcPr>
          <w:p w14:paraId="3436FC77" w14:textId="77777777" w:rsidR="001C02C9" w:rsidRPr="001C24F1" w:rsidRDefault="00BD5F49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814" w:type="dxa"/>
          </w:tcPr>
          <w:p w14:paraId="3436FC78" w14:textId="77777777" w:rsidR="001C02C9" w:rsidRPr="001C24F1" w:rsidRDefault="001C02C9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0.600</w:t>
            </w:r>
          </w:p>
        </w:tc>
        <w:tc>
          <w:tcPr>
            <w:tcW w:w="1815" w:type="dxa"/>
          </w:tcPr>
          <w:p w14:paraId="3436FC79" w14:textId="77777777" w:rsidR="001C02C9" w:rsidRPr="001C24F1" w:rsidRDefault="00D51E0C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A54889">
              <w:rPr>
                <w:rFonts w:cs="Arial"/>
                <w:sz w:val="22"/>
                <w:szCs w:val="22"/>
              </w:rPr>
              <w:t>-</w:t>
            </w:r>
            <w:r w:rsidR="00BD5F49" w:rsidRPr="00A54889">
              <w:rPr>
                <w:rFonts w:cs="Arial"/>
                <w:sz w:val="22"/>
                <w:szCs w:val="22"/>
              </w:rPr>
              <w:t>0.600</w:t>
            </w:r>
          </w:p>
        </w:tc>
      </w:tr>
      <w:tr w:rsidR="008F0BEA" w:rsidRPr="00556BC3" w14:paraId="3436FC7F" w14:textId="77777777" w:rsidTr="00055711">
        <w:tc>
          <w:tcPr>
            <w:tcW w:w="2293" w:type="dxa"/>
          </w:tcPr>
          <w:p w14:paraId="3436FC7B" w14:textId="77777777" w:rsidR="008F0BEA" w:rsidRPr="001C24F1" w:rsidRDefault="008F0BEA" w:rsidP="00055711">
            <w:pPr>
              <w:pStyle w:val="ListParagraph"/>
              <w:keepNext/>
              <w:ind w:left="0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Funding Formula</w:t>
            </w:r>
          </w:p>
        </w:tc>
        <w:tc>
          <w:tcPr>
            <w:tcW w:w="1814" w:type="dxa"/>
          </w:tcPr>
          <w:p w14:paraId="3436FC7C" w14:textId="77777777" w:rsidR="008F0BEA" w:rsidRPr="001C24F1" w:rsidRDefault="008F0BEA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23</w:t>
            </w:r>
            <w:r w:rsidR="00DE2572" w:rsidRPr="001C24F1">
              <w:rPr>
                <w:rFonts w:cs="Arial"/>
                <w:sz w:val="22"/>
                <w:szCs w:val="22"/>
              </w:rPr>
              <w:t>6.026</w:t>
            </w:r>
          </w:p>
        </w:tc>
        <w:tc>
          <w:tcPr>
            <w:tcW w:w="1814" w:type="dxa"/>
          </w:tcPr>
          <w:p w14:paraId="3436FC7D" w14:textId="77777777" w:rsidR="008F0BEA" w:rsidRPr="001C24F1" w:rsidRDefault="008F0BEA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228.160</w:t>
            </w:r>
          </w:p>
        </w:tc>
        <w:tc>
          <w:tcPr>
            <w:tcW w:w="1815" w:type="dxa"/>
          </w:tcPr>
          <w:p w14:paraId="3436FC7E" w14:textId="77777777" w:rsidR="008F0BEA" w:rsidRPr="001C24F1" w:rsidRDefault="00BD5F49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7.</w:t>
            </w:r>
            <w:r w:rsidR="00DE2572" w:rsidRPr="001C24F1">
              <w:rPr>
                <w:rFonts w:cs="Arial"/>
                <w:sz w:val="22"/>
                <w:szCs w:val="22"/>
              </w:rPr>
              <w:t>866</w:t>
            </w:r>
          </w:p>
        </w:tc>
      </w:tr>
      <w:tr w:rsidR="008F0BEA" w:rsidRPr="00556BC3" w14:paraId="3436FC84" w14:textId="77777777" w:rsidTr="00055711">
        <w:tc>
          <w:tcPr>
            <w:tcW w:w="2293" w:type="dxa"/>
          </w:tcPr>
          <w:p w14:paraId="3436FC80" w14:textId="77777777" w:rsidR="008F0BEA" w:rsidRPr="001C24F1" w:rsidRDefault="008F0BEA" w:rsidP="00055711">
            <w:pPr>
              <w:pStyle w:val="ListParagraph"/>
              <w:keepNext/>
              <w:ind w:left="0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MFG</w:t>
            </w:r>
          </w:p>
        </w:tc>
        <w:tc>
          <w:tcPr>
            <w:tcW w:w="1814" w:type="dxa"/>
          </w:tcPr>
          <w:p w14:paraId="3436FC81" w14:textId="77777777" w:rsidR="008F0BEA" w:rsidRPr="001C24F1" w:rsidRDefault="009D00BC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26.6</w:t>
            </w:r>
            <w:r w:rsidR="00DE2572" w:rsidRPr="001C24F1">
              <w:rPr>
                <w:rFonts w:cs="Arial"/>
                <w:sz w:val="22"/>
                <w:szCs w:val="22"/>
              </w:rPr>
              <w:t>62</w:t>
            </w:r>
          </w:p>
        </w:tc>
        <w:tc>
          <w:tcPr>
            <w:tcW w:w="1814" w:type="dxa"/>
          </w:tcPr>
          <w:p w14:paraId="3436FC82" w14:textId="77777777" w:rsidR="008F0BEA" w:rsidRPr="001C24F1" w:rsidRDefault="008F0BEA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29.665</w:t>
            </w:r>
          </w:p>
        </w:tc>
        <w:tc>
          <w:tcPr>
            <w:tcW w:w="1815" w:type="dxa"/>
          </w:tcPr>
          <w:p w14:paraId="3436FC83" w14:textId="77777777" w:rsidR="008F0BEA" w:rsidRPr="001C24F1" w:rsidRDefault="008F0BEA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A54889">
              <w:rPr>
                <w:rFonts w:cs="Arial"/>
                <w:sz w:val="22"/>
                <w:szCs w:val="22"/>
              </w:rPr>
              <w:t>-</w:t>
            </w:r>
            <w:r w:rsidR="00DE2572" w:rsidRPr="00A54889">
              <w:rPr>
                <w:rFonts w:cs="Arial"/>
                <w:sz w:val="22"/>
                <w:szCs w:val="22"/>
              </w:rPr>
              <w:t>3.003</w:t>
            </w:r>
          </w:p>
        </w:tc>
      </w:tr>
      <w:tr w:rsidR="008F0BEA" w:rsidRPr="00556BC3" w14:paraId="3436FC89" w14:textId="77777777" w:rsidTr="00055711">
        <w:tc>
          <w:tcPr>
            <w:tcW w:w="2293" w:type="dxa"/>
          </w:tcPr>
          <w:p w14:paraId="3436FC85" w14:textId="77777777" w:rsidR="008F0BEA" w:rsidRPr="001C24F1" w:rsidRDefault="008F0BEA" w:rsidP="00055711">
            <w:pPr>
              <w:pStyle w:val="ListParagraph"/>
              <w:keepNext/>
              <w:ind w:left="0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Headroom</w:t>
            </w:r>
          </w:p>
        </w:tc>
        <w:tc>
          <w:tcPr>
            <w:tcW w:w="1814" w:type="dxa"/>
          </w:tcPr>
          <w:p w14:paraId="3436FC86" w14:textId="77777777" w:rsidR="008F0BEA" w:rsidRPr="001C24F1" w:rsidRDefault="00A4753F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1.031</w:t>
            </w:r>
          </w:p>
        </w:tc>
        <w:tc>
          <w:tcPr>
            <w:tcW w:w="1814" w:type="dxa"/>
          </w:tcPr>
          <w:p w14:paraId="3436FC87" w14:textId="77777777" w:rsidR="008F0BEA" w:rsidRPr="001C24F1" w:rsidRDefault="008F0BEA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815" w:type="dxa"/>
          </w:tcPr>
          <w:p w14:paraId="3436FC88" w14:textId="77777777" w:rsidR="008F0BEA" w:rsidRPr="001C24F1" w:rsidRDefault="00A4753F" w:rsidP="00055711">
            <w:pPr>
              <w:pStyle w:val="ListParagraph"/>
              <w:keepNext/>
              <w:ind w:left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1.031</w:t>
            </w:r>
          </w:p>
        </w:tc>
      </w:tr>
    </w:tbl>
    <w:p w14:paraId="3436FC8A" w14:textId="77777777" w:rsidR="00B16E3F" w:rsidRDefault="00B16E3F" w:rsidP="00B16E3F">
      <w:pPr>
        <w:pStyle w:val="ListParagraph"/>
        <w:ind w:left="792"/>
        <w:rPr>
          <w:rFonts w:cs="Arial"/>
        </w:rPr>
      </w:pPr>
    </w:p>
    <w:p w14:paraId="3436FC8B" w14:textId="77777777" w:rsidR="002C4F8D" w:rsidRDefault="00B16E3F" w:rsidP="00B16E3F">
      <w:pPr>
        <w:pStyle w:val="Heading2"/>
        <w:rPr>
          <w:b w:val="0"/>
          <w:i w:val="0"/>
          <w:sz w:val="24"/>
          <w:szCs w:val="24"/>
          <w:lang w:eastAsia="en-US"/>
        </w:rPr>
      </w:pPr>
      <w:r w:rsidRPr="00B16E3F">
        <w:rPr>
          <w:b w:val="0"/>
          <w:i w:val="0"/>
          <w:sz w:val="24"/>
          <w:szCs w:val="24"/>
          <w:lang w:eastAsia="en-US"/>
        </w:rPr>
        <w:lastRenderedPageBreak/>
        <w:t>The funding available for the</w:t>
      </w:r>
      <w:r>
        <w:rPr>
          <w:b w:val="0"/>
          <w:i w:val="0"/>
          <w:sz w:val="24"/>
          <w:szCs w:val="24"/>
          <w:lang w:eastAsia="en-US"/>
        </w:rPr>
        <w:t xml:space="preserve"> ISB leaves a headroom of £</w:t>
      </w:r>
      <w:r w:rsidR="00F07771">
        <w:rPr>
          <w:b w:val="0"/>
          <w:i w:val="0"/>
          <w:sz w:val="24"/>
          <w:szCs w:val="24"/>
          <w:lang w:eastAsia="en-US"/>
        </w:rPr>
        <w:t>1.031</w:t>
      </w:r>
      <w:r w:rsidRPr="00B16E3F">
        <w:rPr>
          <w:b w:val="0"/>
          <w:i w:val="0"/>
          <w:sz w:val="24"/>
          <w:szCs w:val="24"/>
          <w:lang w:eastAsia="en-US"/>
        </w:rPr>
        <w:t xml:space="preserve">m after applying the 4% uplift and the maximum MFG. </w:t>
      </w:r>
    </w:p>
    <w:p w14:paraId="3436FC8C" w14:textId="77777777" w:rsidR="00B16E3F" w:rsidRDefault="00B16E3F" w:rsidP="00B16E3F">
      <w:pPr>
        <w:pStyle w:val="Heading2"/>
        <w:rPr>
          <w:b w:val="0"/>
          <w:i w:val="0"/>
          <w:sz w:val="24"/>
          <w:szCs w:val="24"/>
          <w:lang w:eastAsia="en-US"/>
        </w:rPr>
      </w:pPr>
      <w:r>
        <w:rPr>
          <w:b w:val="0"/>
          <w:i w:val="0"/>
          <w:sz w:val="24"/>
          <w:szCs w:val="24"/>
          <w:lang w:eastAsia="en-US"/>
        </w:rPr>
        <w:t>Forum at its meeting of 4</w:t>
      </w:r>
      <w:r w:rsidRPr="00B16E3F">
        <w:rPr>
          <w:b w:val="0"/>
          <w:i w:val="0"/>
          <w:sz w:val="24"/>
          <w:szCs w:val="24"/>
          <w:vertAlign w:val="superscript"/>
          <w:lang w:eastAsia="en-US"/>
        </w:rPr>
        <w:t>th</w:t>
      </w:r>
      <w:r>
        <w:rPr>
          <w:b w:val="0"/>
          <w:i w:val="0"/>
          <w:sz w:val="24"/>
          <w:szCs w:val="24"/>
          <w:lang w:eastAsia="en-US"/>
        </w:rPr>
        <w:t xml:space="preserve"> December agreed in principle that the headroom should be transferred to t</w:t>
      </w:r>
      <w:r w:rsidR="004337F0">
        <w:rPr>
          <w:b w:val="0"/>
          <w:i w:val="0"/>
          <w:sz w:val="24"/>
          <w:szCs w:val="24"/>
          <w:lang w:eastAsia="en-US"/>
        </w:rPr>
        <w:t>he High Needs Block. Regulations</w:t>
      </w:r>
      <w:r>
        <w:rPr>
          <w:b w:val="0"/>
          <w:i w:val="0"/>
          <w:sz w:val="24"/>
          <w:szCs w:val="24"/>
          <w:lang w:eastAsia="en-US"/>
        </w:rPr>
        <w:t xml:space="preserve"> require that the LA consult with all schools on transfers and this is taking place between </w:t>
      </w:r>
      <w:r w:rsidR="004858D7">
        <w:rPr>
          <w:b w:val="0"/>
          <w:i w:val="0"/>
          <w:sz w:val="24"/>
          <w:szCs w:val="24"/>
          <w:lang w:eastAsia="en-US"/>
        </w:rPr>
        <w:t>18</w:t>
      </w:r>
      <w:r w:rsidR="004858D7" w:rsidRPr="004858D7">
        <w:rPr>
          <w:b w:val="0"/>
          <w:i w:val="0"/>
          <w:sz w:val="24"/>
          <w:szCs w:val="24"/>
          <w:vertAlign w:val="superscript"/>
          <w:lang w:eastAsia="en-US"/>
        </w:rPr>
        <w:t>th</w:t>
      </w:r>
      <w:r w:rsidR="004858D7">
        <w:rPr>
          <w:b w:val="0"/>
          <w:i w:val="0"/>
          <w:sz w:val="24"/>
          <w:szCs w:val="24"/>
          <w:lang w:eastAsia="en-US"/>
        </w:rPr>
        <w:t xml:space="preserve"> December 2019 and 14</w:t>
      </w:r>
      <w:r w:rsidR="004858D7" w:rsidRPr="004858D7">
        <w:rPr>
          <w:b w:val="0"/>
          <w:i w:val="0"/>
          <w:sz w:val="24"/>
          <w:szCs w:val="24"/>
          <w:vertAlign w:val="superscript"/>
          <w:lang w:eastAsia="en-US"/>
        </w:rPr>
        <w:t>th</w:t>
      </w:r>
      <w:r w:rsidR="004858D7">
        <w:rPr>
          <w:b w:val="0"/>
          <w:i w:val="0"/>
          <w:sz w:val="24"/>
          <w:szCs w:val="24"/>
          <w:lang w:eastAsia="en-US"/>
        </w:rPr>
        <w:t xml:space="preserve"> January 2020. An update on responses will be given at the meeting, but as of 9</w:t>
      </w:r>
      <w:r w:rsidR="004858D7" w:rsidRPr="004858D7">
        <w:rPr>
          <w:b w:val="0"/>
          <w:i w:val="0"/>
          <w:sz w:val="24"/>
          <w:szCs w:val="24"/>
          <w:vertAlign w:val="superscript"/>
          <w:lang w:eastAsia="en-US"/>
        </w:rPr>
        <w:t>th</w:t>
      </w:r>
      <w:r w:rsidR="004858D7">
        <w:rPr>
          <w:b w:val="0"/>
          <w:i w:val="0"/>
          <w:sz w:val="24"/>
          <w:szCs w:val="24"/>
          <w:lang w:eastAsia="en-US"/>
        </w:rPr>
        <w:t xml:space="preserve"> January </w:t>
      </w:r>
      <w:r w:rsidR="00C73BFC">
        <w:rPr>
          <w:b w:val="0"/>
          <w:i w:val="0"/>
          <w:sz w:val="24"/>
          <w:szCs w:val="24"/>
          <w:lang w:eastAsia="en-US"/>
        </w:rPr>
        <w:t>five responses have been received, all in favour of the proposal.</w:t>
      </w:r>
    </w:p>
    <w:p w14:paraId="3436FC8D" w14:textId="77777777" w:rsidR="00C73BFC" w:rsidRPr="00C73BFC" w:rsidRDefault="00C73BFC" w:rsidP="00C73BFC">
      <w:pPr>
        <w:pStyle w:val="Heading2"/>
        <w:rPr>
          <w:lang w:eastAsia="en-US"/>
        </w:rPr>
      </w:pPr>
      <w:r>
        <w:rPr>
          <w:b w:val="0"/>
          <w:i w:val="0"/>
          <w:sz w:val="24"/>
          <w:szCs w:val="24"/>
          <w:lang w:eastAsia="en-US"/>
        </w:rPr>
        <w:t xml:space="preserve">Forum is asked to ratify the decision to transfer </w:t>
      </w:r>
      <w:r w:rsidR="004337F0">
        <w:rPr>
          <w:b w:val="0"/>
          <w:i w:val="0"/>
          <w:sz w:val="24"/>
          <w:szCs w:val="24"/>
          <w:lang w:eastAsia="en-US"/>
        </w:rPr>
        <w:t>£1.031m to the High Needs Block</w:t>
      </w:r>
      <w:r>
        <w:rPr>
          <w:b w:val="0"/>
          <w:i w:val="0"/>
          <w:sz w:val="24"/>
          <w:szCs w:val="24"/>
          <w:lang w:eastAsia="en-US"/>
        </w:rPr>
        <w:t>.</w:t>
      </w:r>
    </w:p>
    <w:p w14:paraId="3436FC8E" w14:textId="77777777" w:rsidR="008F0BEA" w:rsidRPr="001C24F1" w:rsidRDefault="002C4F8D" w:rsidP="002C4F8D">
      <w:pPr>
        <w:pStyle w:val="Heading1"/>
        <w:rPr>
          <w:sz w:val="24"/>
          <w:szCs w:val="24"/>
        </w:rPr>
      </w:pPr>
      <w:r w:rsidRPr="001C24F1">
        <w:rPr>
          <w:sz w:val="24"/>
          <w:szCs w:val="24"/>
        </w:rPr>
        <w:t>De-Delegation.</w:t>
      </w:r>
    </w:p>
    <w:p w14:paraId="3436FC8F" w14:textId="77777777" w:rsidR="002C4F8D" w:rsidRPr="001C24F1" w:rsidRDefault="002C4F8D" w:rsidP="002C4F8D">
      <w:pPr>
        <w:pStyle w:val="Heading2"/>
        <w:rPr>
          <w:b w:val="0"/>
          <w:i w:val="0"/>
          <w:sz w:val="24"/>
          <w:szCs w:val="24"/>
          <w:lang w:eastAsia="en-US"/>
        </w:rPr>
      </w:pPr>
      <w:r w:rsidRPr="001C24F1">
        <w:rPr>
          <w:b w:val="0"/>
          <w:i w:val="0"/>
          <w:sz w:val="24"/>
          <w:szCs w:val="24"/>
          <w:lang w:eastAsia="en-US"/>
        </w:rPr>
        <w:t>At the meeting of 4</w:t>
      </w:r>
      <w:r w:rsidRPr="001C24F1">
        <w:rPr>
          <w:b w:val="0"/>
          <w:i w:val="0"/>
          <w:sz w:val="24"/>
          <w:szCs w:val="24"/>
          <w:vertAlign w:val="superscript"/>
          <w:lang w:eastAsia="en-US"/>
        </w:rPr>
        <w:t>th</w:t>
      </w:r>
      <w:r w:rsidRPr="001C24F1">
        <w:rPr>
          <w:b w:val="0"/>
          <w:i w:val="0"/>
          <w:sz w:val="24"/>
          <w:szCs w:val="24"/>
          <w:lang w:eastAsia="en-US"/>
        </w:rPr>
        <w:t xml:space="preserve"> December 2019, Forum agreed the de-delegation of funding for former Education Services Grant (ESG) funding but deferred decisions on other items pending further information</w:t>
      </w:r>
      <w:r w:rsidR="0045643E" w:rsidRPr="001C24F1">
        <w:rPr>
          <w:b w:val="0"/>
          <w:i w:val="0"/>
          <w:sz w:val="24"/>
          <w:szCs w:val="24"/>
          <w:lang w:eastAsia="en-US"/>
        </w:rPr>
        <w:t xml:space="preserve"> on Free School Meals, Licences, Trade Union Facilities and Behaviour Support</w:t>
      </w:r>
      <w:r w:rsidRPr="001C24F1">
        <w:rPr>
          <w:b w:val="0"/>
          <w:i w:val="0"/>
          <w:sz w:val="24"/>
          <w:szCs w:val="24"/>
          <w:lang w:eastAsia="en-US"/>
        </w:rPr>
        <w:t xml:space="preserve">. Additional information </w:t>
      </w:r>
      <w:r w:rsidR="0045643E" w:rsidRPr="001C24F1">
        <w:rPr>
          <w:b w:val="0"/>
          <w:i w:val="0"/>
          <w:sz w:val="24"/>
          <w:szCs w:val="24"/>
          <w:lang w:eastAsia="en-US"/>
        </w:rPr>
        <w:t xml:space="preserve">on these </w:t>
      </w:r>
      <w:r w:rsidRPr="001C24F1">
        <w:rPr>
          <w:b w:val="0"/>
          <w:i w:val="0"/>
          <w:sz w:val="24"/>
          <w:szCs w:val="24"/>
          <w:lang w:eastAsia="en-US"/>
        </w:rPr>
        <w:t>was considered at the Heads Consultative meeting on 8</w:t>
      </w:r>
      <w:r w:rsidRPr="001C24F1">
        <w:rPr>
          <w:b w:val="0"/>
          <w:i w:val="0"/>
          <w:sz w:val="24"/>
          <w:szCs w:val="24"/>
          <w:vertAlign w:val="superscript"/>
          <w:lang w:eastAsia="en-US"/>
        </w:rPr>
        <w:t>th</w:t>
      </w:r>
      <w:r w:rsidRPr="001C24F1">
        <w:rPr>
          <w:b w:val="0"/>
          <w:i w:val="0"/>
          <w:sz w:val="24"/>
          <w:szCs w:val="24"/>
          <w:lang w:eastAsia="en-US"/>
        </w:rPr>
        <w:t xml:space="preserve"> </w:t>
      </w:r>
      <w:r w:rsidR="00A62547" w:rsidRPr="001C24F1">
        <w:rPr>
          <w:b w:val="0"/>
          <w:i w:val="0"/>
          <w:sz w:val="24"/>
          <w:szCs w:val="24"/>
          <w:lang w:eastAsia="en-US"/>
        </w:rPr>
        <w:t>January 2020</w:t>
      </w:r>
      <w:r w:rsidRPr="001C24F1">
        <w:rPr>
          <w:b w:val="0"/>
          <w:i w:val="0"/>
          <w:sz w:val="24"/>
          <w:szCs w:val="24"/>
          <w:lang w:eastAsia="en-US"/>
        </w:rPr>
        <w:t>.</w:t>
      </w:r>
    </w:p>
    <w:p w14:paraId="3436FC90" w14:textId="77777777" w:rsidR="002C4F8D" w:rsidRDefault="002C4F8D" w:rsidP="002C4F8D">
      <w:pPr>
        <w:pStyle w:val="Heading2"/>
        <w:rPr>
          <w:b w:val="0"/>
          <w:i w:val="0"/>
          <w:sz w:val="24"/>
          <w:szCs w:val="24"/>
          <w:lang w:eastAsia="en-US"/>
        </w:rPr>
      </w:pPr>
      <w:r w:rsidRPr="001C24F1">
        <w:rPr>
          <w:b w:val="0"/>
          <w:i w:val="0"/>
          <w:sz w:val="24"/>
          <w:szCs w:val="24"/>
          <w:lang w:eastAsia="en-US"/>
        </w:rPr>
        <w:t>The services for which de</w:t>
      </w:r>
      <w:r w:rsidR="00B55AA0" w:rsidRPr="001C24F1">
        <w:rPr>
          <w:b w:val="0"/>
          <w:i w:val="0"/>
          <w:sz w:val="24"/>
          <w:szCs w:val="24"/>
          <w:lang w:eastAsia="en-US"/>
        </w:rPr>
        <w:t>-delegation is</w:t>
      </w:r>
      <w:r w:rsidR="009C1FD6" w:rsidRPr="001C24F1">
        <w:rPr>
          <w:b w:val="0"/>
          <w:i w:val="0"/>
          <w:sz w:val="24"/>
          <w:szCs w:val="24"/>
          <w:lang w:eastAsia="en-US"/>
        </w:rPr>
        <w:t xml:space="preserve"> recommended are set out in Table 4.</w:t>
      </w:r>
    </w:p>
    <w:p w14:paraId="3436FC91" w14:textId="77777777" w:rsidR="004B0BB1" w:rsidRDefault="004B0BB1" w:rsidP="004B0BB1">
      <w:pPr>
        <w:rPr>
          <w:lang w:eastAsia="en-US"/>
        </w:rPr>
      </w:pPr>
    </w:p>
    <w:p w14:paraId="3436FC92" w14:textId="77777777" w:rsidR="004B0BB1" w:rsidRPr="004B0BB1" w:rsidRDefault="004B0BB1" w:rsidP="004B0BB1">
      <w:pPr>
        <w:keepNext/>
        <w:ind w:left="576"/>
        <w:rPr>
          <w:b/>
          <w:lang w:eastAsia="en-US"/>
        </w:rPr>
      </w:pPr>
      <w:r w:rsidRPr="004B0BB1">
        <w:rPr>
          <w:b/>
          <w:lang w:eastAsia="en-US"/>
        </w:rPr>
        <w:t>Table 4:</w:t>
      </w:r>
      <w:r w:rsidRPr="004B0BB1">
        <w:rPr>
          <w:b/>
          <w:lang w:eastAsia="en-US"/>
        </w:rPr>
        <w:tab/>
        <w:t>Recommended De-Delegation for 2020-21.</w:t>
      </w:r>
    </w:p>
    <w:p w14:paraId="3436FC93" w14:textId="77777777" w:rsidR="009C1FD6" w:rsidRDefault="009C1FD6" w:rsidP="004B0BB1">
      <w:pPr>
        <w:keepNext/>
        <w:rPr>
          <w:lang w:eastAsia="en-US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357"/>
        <w:gridCol w:w="1041"/>
        <w:gridCol w:w="1042"/>
        <w:gridCol w:w="1042"/>
        <w:gridCol w:w="1042"/>
        <w:gridCol w:w="1042"/>
      </w:tblGrid>
      <w:tr w:rsidR="009C1FD6" w:rsidRPr="00556BC3" w14:paraId="3436FC9A" w14:textId="77777777" w:rsidTr="00055711">
        <w:tc>
          <w:tcPr>
            <w:tcW w:w="3357" w:type="dxa"/>
          </w:tcPr>
          <w:p w14:paraId="3436FC94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rPr>
                <w:rFonts w:cs="Arial"/>
                <w:b/>
                <w:sz w:val="22"/>
                <w:szCs w:val="22"/>
              </w:rPr>
            </w:pPr>
            <w:r w:rsidRPr="001C24F1">
              <w:rPr>
                <w:rFonts w:cs="Arial"/>
                <w:b/>
                <w:sz w:val="22"/>
                <w:szCs w:val="22"/>
              </w:rPr>
              <w:t>Component</w:t>
            </w:r>
          </w:p>
        </w:tc>
        <w:tc>
          <w:tcPr>
            <w:tcW w:w="1041" w:type="dxa"/>
          </w:tcPr>
          <w:p w14:paraId="3436FC95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1C24F1">
              <w:rPr>
                <w:rFonts w:cs="Arial"/>
                <w:b/>
                <w:sz w:val="22"/>
                <w:szCs w:val="22"/>
              </w:rPr>
              <w:t>£/Pupil Pri</w:t>
            </w:r>
          </w:p>
        </w:tc>
        <w:tc>
          <w:tcPr>
            <w:tcW w:w="1042" w:type="dxa"/>
          </w:tcPr>
          <w:p w14:paraId="3436FC96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1C24F1">
              <w:rPr>
                <w:rFonts w:cs="Arial"/>
                <w:b/>
                <w:sz w:val="22"/>
                <w:szCs w:val="22"/>
              </w:rPr>
              <w:t>£/Pupil Sec</w:t>
            </w:r>
          </w:p>
        </w:tc>
        <w:tc>
          <w:tcPr>
            <w:tcW w:w="1042" w:type="dxa"/>
          </w:tcPr>
          <w:p w14:paraId="3436FC97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1C24F1">
              <w:rPr>
                <w:rFonts w:cs="Arial"/>
                <w:b/>
                <w:sz w:val="22"/>
                <w:szCs w:val="22"/>
              </w:rPr>
              <w:t>Pri</w:t>
            </w:r>
          </w:p>
        </w:tc>
        <w:tc>
          <w:tcPr>
            <w:tcW w:w="1042" w:type="dxa"/>
          </w:tcPr>
          <w:p w14:paraId="3436FC98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1C24F1">
              <w:rPr>
                <w:rFonts w:cs="Arial"/>
                <w:b/>
                <w:sz w:val="22"/>
                <w:szCs w:val="22"/>
              </w:rPr>
              <w:t>Sec</w:t>
            </w:r>
          </w:p>
        </w:tc>
        <w:tc>
          <w:tcPr>
            <w:tcW w:w="1042" w:type="dxa"/>
          </w:tcPr>
          <w:p w14:paraId="3436FC99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1C24F1">
              <w:rPr>
                <w:rFonts w:cs="Arial"/>
                <w:b/>
                <w:sz w:val="22"/>
                <w:szCs w:val="22"/>
              </w:rPr>
              <w:t>Total</w:t>
            </w:r>
          </w:p>
        </w:tc>
      </w:tr>
      <w:tr w:rsidR="009C1FD6" w:rsidRPr="00556BC3" w14:paraId="3436FCA1" w14:textId="77777777" w:rsidTr="00055711">
        <w:tc>
          <w:tcPr>
            <w:tcW w:w="3357" w:type="dxa"/>
          </w:tcPr>
          <w:p w14:paraId="3436FC9B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041" w:type="dxa"/>
          </w:tcPr>
          <w:p w14:paraId="3436FC9C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042" w:type="dxa"/>
          </w:tcPr>
          <w:p w14:paraId="3436FC9D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1042" w:type="dxa"/>
          </w:tcPr>
          <w:p w14:paraId="3436FC9E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042" w:type="dxa"/>
          </w:tcPr>
          <w:p w14:paraId="3436FC9F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1042" w:type="dxa"/>
          </w:tcPr>
          <w:p w14:paraId="3436FCA0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f</w:t>
            </w:r>
          </w:p>
        </w:tc>
      </w:tr>
      <w:tr w:rsidR="009C1FD6" w:rsidRPr="00556BC3" w14:paraId="3436FCA8" w14:textId="77777777" w:rsidTr="00055711">
        <w:tc>
          <w:tcPr>
            <w:tcW w:w="3357" w:type="dxa"/>
          </w:tcPr>
          <w:p w14:paraId="3436FCA2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Pupil Numbers – October 201</w:t>
            </w:r>
            <w:r w:rsidR="00546F4D" w:rsidRPr="001C24F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14:paraId="3436FCA3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14:paraId="3436FCA4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14:paraId="3436FCA5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19,</w:t>
            </w:r>
            <w:r w:rsidR="00546F4D" w:rsidRPr="001C24F1">
              <w:rPr>
                <w:rFonts w:cs="Arial"/>
                <w:sz w:val="22"/>
                <w:szCs w:val="22"/>
              </w:rPr>
              <w:t>380</w:t>
            </w:r>
          </w:p>
        </w:tc>
        <w:tc>
          <w:tcPr>
            <w:tcW w:w="1042" w:type="dxa"/>
          </w:tcPr>
          <w:p w14:paraId="3436FCA6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9,5</w:t>
            </w:r>
            <w:r w:rsidR="00546F4D" w:rsidRPr="001C24F1">
              <w:rPr>
                <w:rFonts w:cs="Arial"/>
                <w:sz w:val="22"/>
                <w:szCs w:val="22"/>
              </w:rPr>
              <w:t>86</w:t>
            </w:r>
          </w:p>
        </w:tc>
        <w:tc>
          <w:tcPr>
            <w:tcW w:w="1042" w:type="dxa"/>
          </w:tcPr>
          <w:p w14:paraId="3436FCA7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2</w:t>
            </w:r>
            <w:r w:rsidR="00546F4D" w:rsidRPr="001C24F1">
              <w:rPr>
                <w:rFonts w:cs="Arial"/>
                <w:sz w:val="22"/>
                <w:szCs w:val="22"/>
              </w:rPr>
              <w:t>8,966</w:t>
            </w:r>
          </w:p>
        </w:tc>
      </w:tr>
      <w:tr w:rsidR="009C1FD6" w:rsidRPr="00556BC3" w14:paraId="3436FCAF" w14:textId="77777777" w:rsidTr="00055711">
        <w:tc>
          <w:tcPr>
            <w:tcW w:w="3357" w:type="dxa"/>
          </w:tcPr>
          <w:p w14:paraId="3436FCA9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3436FCAA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14:paraId="3436FCAB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14:paraId="3436FCAC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£000</w:t>
            </w:r>
          </w:p>
        </w:tc>
        <w:tc>
          <w:tcPr>
            <w:tcW w:w="1042" w:type="dxa"/>
          </w:tcPr>
          <w:p w14:paraId="3436FCAD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£000</w:t>
            </w:r>
          </w:p>
        </w:tc>
        <w:tc>
          <w:tcPr>
            <w:tcW w:w="1042" w:type="dxa"/>
          </w:tcPr>
          <w:p w14:paraId="3436FCAE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£000</w:t>
            </w:r>
          </w:p>
        </w:tc>
      </w:tr>
      <w:tr w:rsidR="009C1FD6" w:rsidRPr="00556BC3" w14:paraId="3436FCB6" w14:textId="77777777" w:rsidTr="00055711">
        <w:tc>
          <w:tcPr>
            <w:tcW w:w="3357" w:type="dxa"/>
          </w:tcPr>
          <w:p w14:paraId="3436FCB0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Contingencies (not growth).</w:t>
            </w:r>
          </w:p>
        </w:tc>
        <w:tc>
          <w:tcPr>
            <w:tcW w:w="1041" w:type="dxa"/>
          </w:tcPr>
          <w:p w14:paraId="3436FCB1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1</w:t>
            </w:r>
            <w:r w:rsidR="00546F4D" w:rsidRPr="001C24F1">
              <w:rPr>
                <w:rFonts w:cs="Arial"/>
                <w:sz w:val="22"/>
                <w:szCs w:val="22"/>
              </w:rPr>
              <w:t>5.20</w:t>
            </w:r>
          </w:p>
        </w:tc>
        <w:tc>
          <w:tcPr>
            <w:tcW w:w="1042" w:type="dxa"/>
          </w:tcPr>
          <w:p w14:paraId="3436FCB2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1</w:t>
            </w:r>
            <w:r w:rsidR="00546F4D" w:rsidRPr="001C24F1">
              <w:rPr>
                <w:rFonts w:cs="Arial"/>
                <w:sz w:val="22"/>
                <w:szCs w:val="22"/>
              </w:rPr>
              <w:t>5.20</w:t>
            </w:r>
          </w:p>
        </w:tc>
        <w:tc>
          <w:tcPr>
            <w:tcW w:w="1042" w:type="dxa"/>
          </w:tcPr>
          <w:p w14:paraId="3436FCB3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29</w:t>
            </w:r>
            <w:r w:rsidR="00B55AA0" w:rsidRPr="001C24F1">
              <w:rPr>
                <w:rFonts w:cs="Arial"/>
                <w:sz w:val="22"/>
                <w:szCs w:val="22"/>
              </w:rPr>
              <w:t>4.6</w:t>
            </w:r>
          </w:p>
        </w:tc>
        <w:tc>
          <w:tcPr>
            <w:tcW w:w="1042" w:type="dxa"/>
          </w:tcPr>
          <w:p w14:paraId="3436FCB4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14</w:t>
            </w:r>
            <w:r w:rsidR="00B55AA0" w:rsidRPr="001C24F1">
              <w:rPr>
                <w:rFonts w:cs="Arial"/>
                <w:sz w:val="22"/>
                <w:szCs w:val="22"/>
              </w:rPr>
              <w:t>5.7</w:t>
            </w:r>
          </w:p>
        </w:tc>
        <w:tc>
          <w:tcPr>
            <w:tcW w:w="1042" w:type="dxa"/>
          </w:tcPr>
          <w:p w14:paraId="3436FCB5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4</w:t>
            </w:r>
            <w:r w:rsidR="00B55AA0" w:rsidRPr="001C24F1">
              <w:rPr>
                <w:rFonts w:cs="Arial"/>
                <w:sz w:val="22"/>
                <w:szCs w:val="22"/>
              </w:rPr>
              <w:t>40.3</w:t>
            </w:r>
          </w:p>
        </w:tc>
      </w:tr>
      <w:tr w:rsidR="009C1FD6" w:rsidRPr="00556BC3" w14:paraId="3436FCBD" w14:textId="77777777" w:rsidTr="00055711">
        <w:tc>
          <w:tcPr>
            <w:tcW w:w="3357" w:type="dxa"/>
          </w:tcPr>
          <w:p w14:paraId="3436FCB7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Free school meal eligibility</w:t>
            </w:r>
          </w:p>
        </w:tc>
        <w:tc>
          <w:tcPr>
            <w:tcW w:w="1041" w:type="dxa"/>
          </w:tcPr>
          <w:p w14:paraId="3436FCB8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3.</w:t>
            </w:r>
            <w:r w:rsidR="00546F4D" w:rsidRPr="001C24F1">
              <w:rPr>
                <w:rFonts w:cs="Arial"/>
                <w:sz w:val="22"/>
                <w:szCs w:val="22"/>
              </w:rPr>
              <w:t>93</w:t>
            </w:r>
          </w:p>
        </w:tc>
        <w:tc>
          <w:tcPr>
            <w:tcW w:w="1042" w:type="dxa"/>
          </w:tcPr>
          <w:p w14:paraId="3436FCB9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3.</w:t>
            </w:r>
            <w:r w:rsidR="00546F4D" w:rsidRPr="001C24F1">
              <w:rPr>
                <w:rFonts w:cs="Arial"/>
                <w:sz w:val="22"/>
                <w:szCs w:val="22"/>
              </w:rPr>
              <w:t>93</w:t>
            </w:r>
          </w:p>
        </w:tc>
        <w:tc>
          <w:tcPr>
            <w:tcW w:w="1042" w:type="dxa"/>
          </w:tcPr>
          <w:p w14:paraId="3436FCBA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76</w:t>
            </w:r>
            <w:r w:rsidR="00B55AA0" w:rsidRPr="001C24F1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1042" w:type="dxa"/>
          </w:tcPr>
          <w:p w14:paraId="3436FCBB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37</w:t>
            </w:r>
            <w:r w:rsidR="00B55AA0" w:rsidRPr="001C24F1">
              <w:rPr>
                <w:rFonts w:cs="Arial"/>
                <w:sz w:val="22"/>
                <w:szCs w:val="22"/>
              </w:rPr>
              <w:t>.7</w:t>
            </w:r>
          </w:p>
        </w:tc>
        <w:tc>
          <w:tcPr>
            <w:tcW w:w="1042" w:type="dxa"/>
          </w:tcPr>
          <w:p w14:paraId="3436FCBC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113</w:t>
            </w:r>
            <w:r w:rsidR="00B55AA0" w:rsidRPr="001C24F1">
              <w:rPr>
                <w:rFonts w:cs="Arial"/>
                <w:sz w:val="22"/>
                <w:szCs w:val="22"/>
              </w:rPr>
              <w:t>.9</w:t>
            </w:r>
          </w:p>
        </w:tc>
      </w:tr>
      <w:tr w:rsidR="009C1FD6" w:rsidRPr="00556BC3" w14:paraId="3436FCC4" w14:textId="77777777" w:rsidTr="004337F0">
        <w:tc>
          <w:tcPr>
            <w:tcW w:w="3357" w:type="dxa"/>
          </w:tcPr>
          <w:p w14:paraId="3436FCBE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Licences/subscriptions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3436FCBF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3436FCC0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3436FCC1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3436FCC2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D9D9D9" w:themeFill="background1" w:themeFillShade="D9"/>
          </w:tcPr>
          <w:p w14:paraId="3436FCC3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C1FD6" w:rsidRPr="00556BC3" w14:paraId="3436FCCB" w14:textId="77777777" w:rsidTr="00055711">
        <w:tc>
          <w:tcPr>
            <w:tcW w:w="3357" w:type="dxa"/>
          </w:tcPr>
          <w:p w14:paraId="3436FCC5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rPr>
                <w:rFonts w:cs="Arial"/>
                <w:sz w:val="22"/>
                <w:szCs w:val="22"/>
                <w:vertAlign w:val="superscript"/>
              </w:rPr>
            </w:pPr>
            <w:r w:rsidRPr="001C24F1">
              <w:rPr>
                <w:rFonts w:cs="Arial"/>
                <w:sz w:val="22"/>
                <w:szCs w:val="22"/>
              </w:rPr>
              <w:t>Trade Union Facilities</w:t>
            </w:r>
          </w:p>
        </w:tc>
        <w:tc>
          <w:tcPr>
            <w:tcW w:w="1041" w:type="dxa"/>
          </w:tcPr>
          <w:p w14:paraId="3436FCC6" w14:textId="77777777" w:rsidR="009C1FD6" w:rsidRPr="001C24F1" w:rsidRDefault="00546F4D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5</w:t>
            </w:r>
            <w:r w:rsidR="009C1FD6" w:rsidRPr="001C24F1">
              <w:rPr>
                <w:rFonts w:cs="Arial"/>
                <w:sz w:val="22"/>
                <w:szCs w:val="22"/>
              </w:rPr>
              <w:t>.00</w:t>
            </w:r>
          </w:p>
        </w:tc>
        <w:tc>
          <w:tcPr>
            <w:tcW w:w="1042" w:type="dxa"/>
          </w:tcPr>
          <w:p w14:paraId="3436FCC7" w14:textId="77777777" w:rsidR="009C1FD6" w:rsidRPr="001C24F1" w:rsidRDefault="00546F4D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5</w:t>
            </w:r>
            <w:r w:rsidR="009C1FD6" w:rsidRPr="001C24F1">
              <w:rPr>
                <w:rFonts w:cs="Arial"/>
                <w:sz w:val="22"/>
                <w:szCs w:val="22"/>
              </w:rPr>
              <w:t>.00</w:t>
            </w:r>
          </w:p>
        </w:tc>
        <w:tc>
          <w:tcPr>
            <w:tcW w:w="1042" w:type="dxa"/>
          </w:tcPr>
          <w:p w14:paraId="3436FCC8" w14:textId="77777777" w:rsidR="009C1FD6" w:rsidRPr="001C24F1" w:rsidRDefault="00B55AA0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96.9</w:t>
            </w:r>
          </w:p>
        </w:tc>
        <w:tc>
          <w:tcPr>
            <w:tcW w:w="1042" w:type="dxa"/>
          </w:tcPr>
          <w:p w14:paraId="3436FCC9" w14:textId="77777777" w:rsidR="009C1FD6" w:rsidRPr="001C24F1" w:rsidRDefault="00B55AA0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47.9</w:t>
            </w:r>
          </w:p>
        </w:tc>
        <w:tc>
          <w:tcPr>
            <w:tcW w:w="1042" w:type="dxa"/>
          </w:tcPr>
          <w:p w14:paraId="3436FCCA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1</w:t>
            </w:r>
            <w:r w:rsidR="00B55AA0" w:rsidRPr="001C24F1">
              <w:rPr>
                <w:rFonts w:cs="Arial"/>
                <w:sz w:val="22"/>
                <w:szCs w:val="22"/>
              </w:rPr>
              <w:t>44.8</w:t>
            </w:r>
          </w:p>
        </w:tc>
      </w:tr>
      <w:tr w:rsidR="009C1FD6" w:rsidRPr="00556BC3" w14:paraId="3436FCD3" w14:textId="77777777" w:rsidTr="00055711">
        <w:tc>
          <w:tcPr>
            <w:tcW w:w="3357" w:type="dxa"/>
          </w:tcPr>
          <w:p w14:paraId="3436FCCC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Behaviour Support /anti-bullying.</w:t>
            </w:r>
          </w:p>
        </w:tc>
        <w:tc>
          <w:tcPr>
            <w:tcW w:w="1041" w:type="dxa"/>
          </w:tcPr>
          <w:p w14:paraId="3436FCCD" w14:textId="77777777" w:rsidR="009C1FD6" w:rsidRPr="001C24F1" w:rsidRDefault="00B55AA0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4.21</w:t>
            </w:r>
          </w:p>
        </w:tc>
        <w:tc>
          <w:tcPr>
            <w:tcW w:w="1042" w:type="dxa"/>
          </w:tcPr>
          <w:p w14:paraId="3436FCCE" w14:textId="77777777" w:rsidR="009C1FD6" w:rsidRPr="001C24F1" w:rsidRDefault="00B55AA0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7.24</w:t>
            </w:r>
          </w:p>
          <w:p w14:paraId="3436FCCF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14:paraId="3436FCD0" w14:textId="77777777" w:rsidR="009C1FD6" w:rsidRPr="001C24F1" w:rsidRDefault="00B55AA0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81.6</w:t>
            </w:r>
          </w:p>
        </w:tc>
        <w:tc>
          <w:tcPr>
            <w:tcW w:w="1042" w:type="dxa"/>
          </w:tcPr>
          <w:p w14:paraId="3436FCD1" w14:textId="77777777" w:rsidR="009C1FD6" w:rsidRPr="001C24F1" w:rsidRDefault="00B55AA0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69.4</w:t>
            </w:r>
          </w:p>
        </w:tc>
        <w:tc>
          <w:tcPr>
            <w:tcW w:w="1042" w:type="dxa"/>
          </w:tcPr>
          <w:p w14:paraId="3436FCD2" w14:textId="77777777" w:rsidR="009C1FD6" w:rsidRPr="001C24F1" w:rsidRDefault="00B55AA0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151</w:t>
            </w:r>
            <w:r w:rsidR="0039647F" w:rsidRPr="001C24F1">
              <w:rPr>
                <w:rFonts w:cs="Arial"/>
                <w:sz w:val="22"/>
                <w:szCs w:val="22"/>
              </w:rPr>
              <w:t>.0</w:t>
            </w:r>
          </w:p>
        </w:tc>
      </w:tr>
      <w:tr w:rsidR="009C1FD6" w:rsidRPr="00556BC3" w14:paraId="3436FCDA" w14:textId="77777777" w:rsidTr="00055711">
        <w:tc>
          <w:tcPr>
            <w:tcW w:w="3357" w:type="dxa"/>
          </w:tcPr>
          <w:p w14:paraId="3436FCD4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rPr>
                <w:rFonts w:cs="Arial"/>
                <w:b/>
                <w:sz w:val="22"/>
                <w:szCs w:val="22"/>
              </w:rPr>
            </w:pPr>
            <w:r w:rsidRPr="001C24F1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041" w:type="dxa"/>
          </w:tcPr>
          <w:p w14:paraId="3436FCD5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28.</w:t>
            </w:r>
            <w:r w:rsidR="00B55AA0" w:rsidRPr="001C24F1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1042" w:type="dxa"/>
          </w:tcPr>
          <w:p w14:paraId="3436FCD6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3</w:t>
            </w:r>
            <w:r w:rsidR="00B55AA0" w:rsidRPr="001C24F1">
              <w:rPr>
                <w:rFonts w:cs="Arial"/>
                <w:sz w:val="22"/>
                <w:szCs w:val="22"/>
              </w:rPr>
              <w:t>1.37</w:t>
            </w:r>
          </w:p>
        </w:tc>
        <w:tc>
          <w:tcPr>
            <w:tcW w:w="1042" w:type="dxa"/>
          </w:tcPr>
          <w:p w14:paraId="3436FCD7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5</w:t>
            </w:r>
            <w:r w:rsidR="00B55AA0" w:rsidRPr="001C24F1">
              <w:rPr>
                <w:rFonts w:cs="Arial"/>
                <w:sz w:val="22"/>
                <w:szCs w:val="22"/>
              </w:rPr>
              <w:t>49.2</w:t>
            </w:r>
          </w:p>
        </w:tc>
        <w:tc>
          <w:tcPr>
            <w:tcW w:w="1042" w:type="dxa"/>
          </w:tcPr>
          <w:p w14:paraId="3436FCD8" w14:textId="77777777" w:rsidR="009C1FD6" w:rsidRPr="001C24F1" w:rsidRDefault="00B55AA0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300.7</w:t>
            </w:r>
          </w:p>
        </w:tc>
        <w:tc>
          <w:tcPr>
            <w:tcW w:w="1042" w:type="dxa"/>
          </w:tcPr>
          <w:p w14:paraId="3436FCD9" w14:textId="77777777" w:rsidR="009C1FD6" w:rsidRPr="001C24F1" w:rsidRDefault="009C1FD6" w:rsidP="004B0BB1">
            <w:pPr>
              <w:keepNext/>
              <w:spacing w:after="160" w:line="259" w:lineRule="auto"/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1C24F1">
              <w:rPr>
                <w:rFonts w:cs="Arial"/>
                <w:sz w:val="22"/>
                <w:szCs w:val="22"/>
              </w:rPr>
              <w:t>8</w:t>
            </w:r>
            <w:r w:rsidR="0039647F" w:rsidRPr="001C24F1">
              <w:rPr>
                <w:rFonts w:cs="Arial"/>
                <w:sz w:val="22"/>
                <w:szCs w:val="22"/>
              </w:rPr>
              <w:t>50.0</w:t>
            </w:r>
          </w:p>
        </w:tc>
      </w:tr>
    </w:tbl>
    <w:p w14:paraId="3436FCDB" w14:textId="77777777" w:rsidR="00FC07A2" w:rsidRPr="00FC07A2" w:rsidRDefault="00FC07A2" w:rsidP="00FC07A2">
      <w:pPr>
        <w:pStyle w:val="Heading2"/>
        <w:numPr>
          <w:ilvl w:val="0"/>
          <w:numId w:val="0"/>
        </w:numPr>
        <w:rPr>
          <w:lang w:eastAsia="en-US"/>
        </w:rPr>
      </w:pPr>
    </w:p>
    <w:p w14:paraId="3436FCDC" w14:textId="77777777" w:rsidR="006D7B60" w:rsidRPr="00055711" w:rsidRDefault="00FC07A2" w:rsidP="006D7B60">
      <w:pPr>
        <w:pStyle w:val="Heading2"/>
        <w:rPr>
          <w:b w:val="0"/>
          <w:i w:val="0"/>
          <w:sz w:val="24"/>
          <w:szCs w:val="24"/>
          <w:lang w:eastAsia="en-US"/>
        </w:rPr>
      </w:pPr>
      <w:r w:rsidRPr="00055711">
        <w:rPr>
          <w:b w:val="0"/>
          <w:i w:val="0"/>
          <w:sz w:val="24"/>
          <w:szCs w:val="24"/>
          <w:lang w:eastAsia="en-US"/>
        </w:rPr>
        <w:t xml:space="preserve">De-delegation for Licences has been removed from the proposals. This was due to </w:t>
      </w:r>
      <w:r w:rsidR="00552495" w:rsidRPr="00055711">
        <w:rPr>
          <w:b w:val="0"/>
          <w:i w:val="0"/>
          <w:sz w:val="24"/>
          <w:szCs w:val="24"/>
          <w:lang w:eastAsia="en-US"/>
        </w:rPr>
        <w:t>duplication</w:t>
      </w:r>
      <w:r w:rsidRPr="00055711">
        <w:rPr>
          <w:b w:val="0"/>
          <w:i w:val="0"/>
          <w:sz w:val="24"/>
          <w:szCs w:val="24"/>
          <w:lang w:eastAsia="en-US"/>
        </w:rPr>
        <w:t xml:space="preserve"> on one licence with THEP and a lack of clarity on the scope and procedures for the others. These will be reviewed during the course of the year. De-delegation for licences was small and any costs arising in 2020-21 will be met from de-delegated ESG. Please note this decision does not impact on licen</w:t>
      </w:r>
      <w:r w:rsidR="006D7B60" w:rsidRPr="00055711">
        <w:rPr>
          <w:b w:val="0"/>
          <w:i w:val="0"/>
          <w:sz w:val="24"/>
          <w:szCs w:val="24"/>
          <w:lang w:eastAsia="en-US"/>
        </w:rPr>
        <w:t>ces negotiated nationally, which</w:t>
      </w:r>
      <w:r w:rsidRPr="00055711">
        <w:rPr>
          <w:b w:val="0"/>
          <w:i w:val="0"/>
          <w:sz w:val="24"/>
          <w:szCs w:val="24"/>
          <w:lang w:eastAsia="en-US"/>
        </w:rPr>
        <w:t xml:space="preserve"> are set out in Appendix 1.</w:t>
      </w:r>
    </w:p>
    <w:p w14:paraId="3436FCDD" w14:textId="77777777" w:rsidR="00552495" w:rsidRPr="00055711" w:rsidRDefault="006D7B60" w:rsidP="006D7B60">
      <w:pPr>
        <w:pStyle w:val="Heading2"/>
        <w:rPr>
          <w:sz w:val="24"/>
          <w:szCs w:val="24"/>
          <w:lang w:eastAsia="en-US"/>
        </w:rPr>
      </w:pPr>
      <w:r w:rsidRPr="00055711">
        <w:rPr>
          <w:b w:val="0"/>
          <w:i w:val="0"/>
          <w:sz w:val="24"/>
          <w:szCs w:val="24"/>
          <w:lang w:eastAsia="en-US"/>
        </w:rPr>
        <w:t xml:space="preserve">Headteachers had questioned the need to continue with a central free school meals eligibility checking service when schools are able to do their own </w:t>
      </w:r>
      <w:r w:rsidRPr="00055711">
        <w:rPr>
          <w:b w:val="0"/>
          <w:i w:val="0"/>
          <w:sz w:val="24"/>
          <w:szCs w:val="24"/>
          <w:lang w:eastAsia="en-US"/>
        </w:rPr>
        <w:lastRenderedPageBreak/>
        <w:t xml:space="preserve">checking. This was explored with the Benefits Service. The Service would have no objection to schools taking this on, particularly as the Service does not administer all aspects of Universal Credit. </w:t>
      </w:r>
      <w:r w:rsidR="00F23C03" w:rsidRPr="00055711">
        <w:rPr>
          <w:b w:val="0"/>
          <w:i w:val="0"/>
          <w:sz w:val="24"/>
          <w:szCs w:val="24"/>
          <w:lang w:eastAsia="en-US"/>
        </w:rPr>
        <w:t>However, the service was con</w:t>
      </w:r>
      <w:r w:rsidR="00552495" w:rsidRPr="00055711">
        <w:rPr>
          <w:b w:val="0"/>
          <w:i w:val="0"/>
          <w:sz w:val="24"/>
          <w:szCs w:val="24"/>
          <w:lang w:eastAsia="en-US"/>
        </w:rPr>
        <w:t>cerned to ensure that there are</w:t>
      </w:r>
      <w:r w:rsidR="00F23C03" w:rsidRPr="00055711">
        <w:rPr>
          <w:b w:val="0"/>
          <w:i w:val="0"/>
          <w:sz w:val="24"/>
          <w:szCs w:val="24"/>
          <w:lang w:eastAsia="en-US"/>
        </w:rPr>
        <w:t xml:space="preserve"> robust procedures in place </w:t>
      </w:r>
      <w:r w:rsidR="00552495" w:rsidRPr="00055711">
        <w:rPr>
          <w:b w:val="0"/>
          <w:i w:val="0"/>
          <w:sz w:val="24"/>
          <w:szCs w:val="24"/>
          <w:lang w:eastAsia="en-US"/>
        </w:rPr>
        <w:t xml:space="preserve">for schools to follow, which satisfy audit requirements. It is therefore recommended that de-delegation continues for 2020-21 whilst the Service works with schools </w:t>
      </w:r>
      <w:r w:rsidR="00282419" w:rsidRPr="00055711">
        <w:rPr>
          <w:b w:val="0"/>
          <w:i w:val="0"/>
          <w:sz w:val="24"/>
          <w:szCs w:val="24"/>
          <w:lang w:eastAsia="en-US"/>
        </w:rPr>
        <w:t>on policies and procedures to ensure effective administration</w:t>
      </w:r>
      <w:r w:rsidR="001C24F1" w:rsidRPr="00055711">
        <w:rPr>
          <w:b w:val="0"/>
          <w:i w:val="0"/>
          <w:sz w:val="24"/>
          <w:szCs w:val="24"/>
          <w:lang w:eastAsia="en-US"/>
        </w:rPr>
        <w:t xml:space="preserve"> is in place</w:t>
      </w:r>
      <w:r w:rsidR="00282419" w:rsidRPr="00055711">
        <w:rPr>
          <w:b w:val="0"/>
          <w:i w:val="0"/>
          <w:sz w:val="24"/>
          <w:szCs w:val="24"/>
          <w:lang w:eastAsia="en-US"/>
        </w:rPr>
        <w:t>.</w:t>
      </w:r>
    </w:p>
    <w:p w14:paraId="3436FCDE" w14:textId="77777777" w:rsidR="002D051B" w:rsidRPr="00055711" w:rsidRDefault="009C1456" w:rsidP="006D7B60">
      <w:pPr>
        <w:pStyle w:val="Heading2"/>
        <w:rPr>
          <w:sz w:val="24"/>
          <w:szCs w:val="24"/>
          <w:lang w:eastAsia="en-US"/>
        </w:rPr>
      </w:pPr>
      <w:r w:rsidRPr="00055711">
        <w:rPr>
          <w:b w:val="0"/>
          <w:i w:val="0"/>
          <w:sz w:val="24"/>
          <w:szCs w:val="24"/>
          <w:lang w:eastAsia="en-US"/>
        </w:rPr>
        <w:t xml:space="preserve">Additional information was requested on Trade Union Facilities, unfortunately due to changes in personnel and </w:t>
      </w:r>
      <w:r w:rsidR="00A00949" w:rsidRPr="00055711">
        <w:rPr>
          <w:b w:val="0"/>
          <w:i w:val="0"/>
          <w:sz w:val="24"/>
          <w:szCs w:val="24"/>
          <w:lang w:eastAsia="en-US"/>
        </w:rPr>
        <w:t xml:space="preserve">other </w:t>
      </w:r>
      <w:r w:rsidRPr="00055711">
        <w:rPr>
          <w:b w:val="0"/>
          <w:i w:val="0"/>
          <w:sz w:val="24"/>
          <w:szCs w:val="24"/>
          <w:lang w:eastAsia="en-US"/>
        </w:rPr>
        <w:t>commitments</w:t>
      </w:r>
      <w:r w:rsidR="00A00949" w:rsidRPr="00055711">
        <w:rPr>
          <w:b w:val="0"/>
          <w:i w:val="0"/>
          <w:sz w:val="24"/>
          <w:szCs w:val="24"/>
          <w:lang w:eastAsia="en-US"/>
        </w:rPr>
        <w:t xml:space="preserve"> this was not forthcoming. It is recommended that Forum agree to continue to fund this service at £5 per head with the service reviewed</w:t>
      </w:r>
      <w:r w:rsidR="002D051B" w:rsidRPr="00055711">
        <w:rPr>
          <w:b w:val="0"/>
          <w:i w:val="0"/>
          <w:sz w:val="24"/>
          <w:szCs w:val="24"/>
          <w:lang w:eastAsia="en-US"/>
        </w:rPr>
        <w:t xml:space="preserve"> during the coming year (see 4.7</w:t>
      </w:r>
      <w:r w:rsidR="00A00949" w:rsidRPr="00055711">
        <w:rPr>
          <w:b w:val="0"/>
          <w:i w:val="0"/>
          <w:sz w:val="24"/>
          <w:szCs w:val="24"/>
          <w:lang w:eastAsia="en-US"/>
        </w:rPr>
        <w:t>).</w:t>
      </w:r>
    </w:p>
    <w:p w14:paraId="3436FCDF" w14:textId="77777777" w:rsidR="00C64491" w:rsidRPr="00055711" w:rsidRDefault="002D051B" w:rsidP="006D7B60">
      <w:pPr>
        <w:pStyle w:val="Heading2"/>
        <w:rPr>
          <w:sz w:val="24"/>
          <w:szCs w:val="24"/>
          <w:lang w:eastAsia="en-US"/>
        </w:rPr>
      </w:pPr>
      <w:r w:rsidRPr="00055711">
        <w:rPr>
          <w:b w:val="0"/>
          <w:i w:val="0"/>
          <w:sz w:val="24"/>
          <w:szCs w:val="24"/>
          <w:lang w:eastAsia="en-US"/>
        </w:rPr>
        <w:t xml:space="preserve">The </w:t>
      </w:r>
      <w:r w:rsidR="004337F0" w:rsidRPr="00055711">
        <w:rPr>
          <w:b w:val="0"/>
          <w:i w:val="0"/>
          <w:sz w:val="24"/>
          <w:szCs w:val="24"/>
          <w:lang w:eastAsia="en-US"/>
        </w:rPr>
        <w:t>Head of Behaviour and Attendance Support Service</w:t>
      </w:r>
      <w:r w:rsidRPr="00055711">
        <w:rPr>
          <w:b w:val="0"/>
          <w:i w:val="0"/>
          <w:sz w:val="24"/>
          <w:szCs w:val="24"/>
          <w:lang w:eastAsia="en-US"/>
        </w:rPr>
        <w:t xml:space="preserve"> </w:t>
      </w:r>
      <w:r w:rsidR="00282419" w:rsidRPr="00055711">
        <w:rPr>
          <w:b w:val="0"/>
          <w:i w:val="0"/>
          <w:sz w:val="24"/>
          <w:szCs w:val="24"/>
          <w:lang w:eastAsia="en-US"/>
        </w:rPr>
        <w:t>made a presentation to headteachers on 8</w:t>
      </w:r>
      <w:r w:rsidR="00282419" w:rsidRPr="00055711">
        <w:rPr>
          <w:b w:val="0"/>
          <w:i w:val="0"/>
          <w:sz w:val="24"/>
          <w:szCs w:val="24"/>
          <w:vertAlign w:val="superscript"/>
          <w:lang w:eastAsia="en-US"/>
        </w:rPr>
        <w:t>th</w:t>
      </w:r>
      <w:r w:rsidR="00282419" w:rsidRPr="00055711">
        <w:rPr>
          <w:b w:val="0"/>
          <w:i w:val="0"/>
          <w:sz w:val="24"/>
          <w:szCs w:val="24"/>
          <w:lang w:eastAsia="en-US"/>
        </w:rPr>
        <w:t xml:space="preserve"> January </w:t>
      </w:r>
      <w:r w:rsidR="004337F0" w:rsidRPr="00055711">
        <w:rPr>
          <w:b w:val="0"/>
          <w:i w:val="0"/>
          <w:sz w:val="24"/>
          <w:szCs w:val="24"/>
          <w:lang w:eastAsia="en-US"/>
        </w:rPr>
        <w:t>and will attend Forum on the 15</w:t>
      </w:r>
      <w:r w:rsidR="004337F0" w:rsidRPr="00055711">
        <w:rPr>
          <w:b w:val="0"/>
          <w:i w:val="0"/>
          <w:sz w:val="24"/>
          <w:szCs w:val="24"/>
          <w:vertAlign w:val="superscript"/>
          <w:lang w:eastAsia="en-US"/>
        </w:rPr>
        <w:t xml:space="preserve">th </w:t>
      </w:r>
      <w:r w:rsidR="004337F0" w:rsidRPr="00055711">
        <w:rPr>
          <w:b w:val="0"/>
          <w:i w:val="0"/>
          <w:sz w:val="24"/>
          <w:szCs w:val="24"/>
          <w:lang w:eastAsia="en-US"/>
        </w:rPr>
        <w:t xml:space="preserve">to support the recommended de-delegation. Supporting information can be found </w:t>
      </w:r>
      <w:r w:rsidR="00282419" w:rsidRPr="00055711">
        <w:rPr>
          <w:b w:val="0"/>
          <w:i w:val="0"/>
          <w:sz w:val="24"/>
          <w:szCs w:val="24"/>
          <w:lang w:eastAsia="en-US"/>
        </w:rPr>
        <w:t>in Appendix 2</w:t>
      </w:r>
      <w:r w:rsidR="006607CE" w:rsidRPr="00055711">
        <w:rPr>
          <w:b w:val="0"/>
          <w:i w:val="0"/>
          <w:sz w:val="24"/>
          <w:szCs w:val="24"/>
          <w:lang w:eastAsia="en-US"/>
        </w:rPr>
        <w:t xml:space="preserve">. </w:t>
      </w:r>
    </w:p>
    <w:p w14:paraId="3436FCE0" w14:textId="77777777" w:rsidR="001B717C" w:rsidRPr="00055711" w:rsidRDefault="00D732D2" w:rsidP="001B717C">
      <w:pPr>
        <w:pStyle w:val="Heading2"/>
        <w:rPr>
          <w:b w:val="0"/>
          <w:i w:val="0"/>
          <w:sz w:val="24"/>
          <w:szCs w:val="24"/>
          <w:lang w:eastAsia="en-US"/>
        </w:rPr>
      </w:pPr>
      <w:r w:rsidRPr="00055711">
        <w:rPr>
          <w:b w:val="0"/>
          <w:i w:val="0"/>
          <w:sz w:val="24"/>
          <w:szCs w:val="24"/>
          <w:lang w:eastAsia="en-US"/>
        </w:rPr>
        <w:t>Forum approval of non-HNB centrally retained</w:t>
      </w:r>
      <w:r w:rsidR="00C64491" w:rsidRPr="00055711">
        <w:rPr>
          <w:b w:val="0"/>
          <w:i w:val="0"/>
          <w:sz w:val="24"/>
          <w:szCs w:val="24"/>
          <w:lang w:eastAsia="en-US"/>
        </w:rPr>
        <w:t xml:space="preserve"> budgets is an annual undertaking. To facilitate informed decision making we recommend Forum establishes a sub-group for a rolling review of </w:t>
      </w:r>
      <w:r w:rsidRPr="00055711">
        <w:rPr>
          <w:b w:val="0"/>
          <w:i w:val="0"/>
          <w:sz w:val="24"/>
          <w:szCs w:val="24"/>
          <w:lang w:eastAsia="en-US"/>
        </w:rPr>
        <w:t>these services</w:t>
      </w:r>
      <w:r w:rsidR="00C64491" w:rsidRPr="00055711">
        <w:rPr>
          <w:b w:val="0"/>
          <w:i w:val="0"/>
          <w:sz w:val="24"/>
          <w:szCs w:val="24"/>
          <w:lang w:eastAsia="en-US"/>
        </w:rPr>
        <w:t>. This should involve presentations by service managers</w:t>
      </w:r>
      <w:r w:rsidR="00F2681E" w:rsidRPr="00055711">
        <w:rPr>
          <w:b w:val="0"/>
          <w:i w:val="0"/>
          <w:sz w:val="24"/>
          <w:szCs w:val="24"/>
          <w:lang w:eastAsia="en-US"/>
        </w:rPr>
        <w:t xml:space="preserve"> and </w:t>
      </w:r>
      <w:r w:rsidR="00C64491" w:rsidRPr="00055711">
        <w:rPr>
          <w:b w:val="0"/>
          <w:i w:val="0"/>
          <w:sz w:val="24"/>
          <w:szCs w:val="24"/>
          <w:lang w:eastAsia="en-US"/>
        </w:rPr>
        <w:t xml:space="preserve">ensure a greater understanding of each service and reduce the pressure on headteachers, officers and Forum members in the lead up to budget setting. </w:t>
      </w:r>
    </w:p>
    <w:p w14:paraId="3436FCE1" w14:textId="77777777" w:rsidR="001B717C" w:rsidRPr="00055711" w:rsidRDefault="001B717C" w:rsidP="001B717C">
      <w:pPr>
        <w:pStyle w:val="Heading1"/>
        <w:rPr>
          <w:sz w:val="24"/>
          <w:szCs w:val="24"/>
        </w:rPr>
      </w:pPr>
      <w:r w:rsidRPr="00055711">
        <w:rPr>
          <w:sz w:val="24"/>
          <w:szCs w:val="24"/>
        </w:rPr>
        <w:t xml:space="preserve">Historical Central Retention. </w:t>
      </w:r>
    </w:p>
    <w:p w14:paraId="3436FCE2" w14:textId="77777777" w:rsidR="00B25191" w:rsidRPr="00366774" w:rsidRDefault="001B717C" w:rsidP="00B25191">
      <w:pPr>
        <w:pStyle w:val="Heading2"/>
        <w:rPr>
          <w:b w:val="0"/>
          <w:i w:val="0"/>
          <w:sz w:val="24"/>
          <w:szCs w:val="24"/>
          <w:lang w:eastAsia="en-US"/>
        </w:rPr>
      </w:pPr>
      <w:r w:rsidRPr="00055711">
        <w:rPr>
          <w:b w:val="0"/>
          <w:i w:val="0"/>
          <w:sz w:val="24"/>
          <w:szCs w:val="24"/>
          <w:lang w:eastAsia="en-US"/>
        </w:rPr>
        <w:t>A comparison over the period 2017-18 to 2020-21 (proposed) is set out in Appendix 3.</w:t>
      </w:r>
    </w:p>
    <w:p w14:paraId="3436FCE3" w14:textId="77777777" w:rsidR="00301ACF" w:rsidRPr="00055711" w:rsidRDefault="00301ACF" w:rsidP="00B25191">
      <w:pPr>
        <w:pStyle w:val="Heading1"/>
        <w:widowControl/>
        <w:rPr>
          <w:sz w:val="24"/>
          <w:szCs w:val="24"/>
        </w:rPr>
      </w:pPr>
      <w:r w:rsidRPr="00055711">
        <w:rPr>
          <w:sz w:val="24"/>
          <w:szCs w:val="24"/>
        </w:rPr>
        <w:t>High Needs Block.</w:t>
      </w:r>
    </w:p>
    <w:p w14:paraId="3436FCE4" w14:textId="77777777" w:rsidR="0023586E" w:rsidRPr="00055711" w:rsidRDefault="0023586E" w:rsidP="00B25191">
      <w:pPr>
        <w:pStyle w:val="Heading2"/>
        <w:rPr>
          <w:sz w:val="24"/>
          <w:szCs w:val="24"/>
          <w:lang w:eastAsia="en-US"/>
        </w:rPr>
      </w:pPr>
      <w:r w:rsidRPr="00055711">
        <w:rPr>
          <w:b w:val="0"/>
          <w:i w:val="0"/>
          <w:sz w:val="24"/>
          <w:szCs w:val="24"/>
          <w:lang w:eastAsia="en-US"/>
        </w:rPr>
        <w:t xml:space="preserve">Officers are meeting representatives of the </w:t>
      </w:r>
      <w:r w:rsidR="00B25191" w:rsidRPr="00055711">
        <w:rPr>
          <w:b w:val="0"/>
          <w:i w:val="0"/>
          <w:sz w:val="24"/>
          <w:szCs w:val="24"/>
          <w:lang w:eastAsia="en-US"/>
        </w:rPr>
        <w:t>Department for Education on the 20</w:t>
      </w:r>
      <w:r w:rsidR="00B25191" w:rsidRPr="00055711">
        <w:rPr>
          <w:b w:val="0"/>
          <w:i w:val="0"/>
          <w:sz w:val="24"/>
          <w:szCs w:val="24"/>
          <w:vertAlign w:val="superscript"/>
          <w:lang w:eastAsia="en-US"/>
        </w:rPr>
        <w:t>th</w:t>
      </w:r>
      <w:r w:rsidR="00B25191" w:rsidRPr="00055711">
        <w:rPr>
          <w:b w:val="0"/>
          <w:i w:val="0"/>
          <w:sz w:val="24"/>
          <w:szCs w:val="24"/>
          <w:lang w:eastAsia="en-US"/>
        </w:rPr>
        <w:t xml:space="preserve"> February to discuss the High Needs Block (HNB) recovery plan. A report will be brought to the next meeting of the Forum sharing proposals for the 2020-21 HNB.  </w:t>
      </w:r>
    </w:p>
    <w:p w14:paraId="3436FCE5" w14:textId="77777777" w:rsidR="006D7B60" w:rsidRPr="00055711" w:rsidRDefault="006D7B60" w:rsidP="001B717C">
      <w:pPr>
        <w:pStyle w:val="Heading2"/>
        <w:rPr>
          <w:b w:val="0"/>
          <w:i w:val="0"/>
          <w:sz w:val="24"/>
          <w:szCs w:val="24"/>
          <w:lang w:eastAsia="en-US"/>
        </w:rPr>
      </w:pPr>
      <w:r w:rsidRPr="00055711">
        <w:rPr>
          <w:sz w:val="24"/>
          <w:szCs w:val="24"/>
          <w:lang w:eastAsia="en-US"/>
        </w:rPr>
        <w:br w:type="page"/>
      </w:r>
    </w:p>
    <w:p w14:paraId="3436FCE6" w14:textId="77777777" w:rsidR="006D7B60" w:rsidRPr="0059467E" w:rsidRDefault="006D7B60" w:rsidP="006D7B60">
      <w:pPr>
        <w:pStyle w:val="ListParagraph"/>
        <w:ind w:left="792" w:hanging="792"/>
        <w:rPr>
          <w:b/>
          <w:sz w:val="22"/>
          <w:szCs w:val="22"/>
        </w:rPr>
      </w:pPr>
      <w:r w:rsidRPr="0059467E">
        <w:rPr>
          <w:b/>
          <w:sz w:val="22"/>
          <w:szCs w:val="22"/>
        </w:rPr>
        <w:lastRenderedPageBreak/>
        <w:t>Appendix 1:</w:t>
      </w:r>
      <w:r w:rsidRPr="0059467E">
        <w:rPr>
          <w:b/>
          <w:sz w:val="22"/>
          <w:szCs w:val="22"/>
        </w:rPr>
        <w:tab/>
        <w:t xml:space="preserve">Licences Provided Through National Agreements. </w:t>
      </w:r>
    </w:p>
    <w:p w14:paraId="3436FCE7" w14:textId="77777777" w:rsidR="006D7B60" w:rsidRPr="006D7B60" w:rsidRDefault="006D7B60" w:rsidP="006D7B60">
      <w:pPr>
        <w:rPr>
          <w:sz w:val="22"/>
          <w:szCs w:val="22"/>
        </w:rPr>
      </w:pPr>
    </w:p>
    <w:p w14:paraId="3436FCE8" w14:textId="77777777" w:rsidR="006D7B60" w:rsidRPr="0059467E" w:rsidRDefault="006D7B60" w:rsidP="006D7B60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14:paraId="3436FCE9" w14:textId="77777777" w:rsidR="006D7B60" w:rsidRPr="0059467E" w:rsidRDefault="006D7B60" w:rsidP="006D7B60">
      <w:pPr>
        <w:numPr>
          <w:ilvl w:val="1"/>
          <w:numId w:val="8"/>
        </w:numPr>
        <w:autoSpaceDE w:val="0"/>
        <w:autoSpaceDN w:val="0"/>
        <w:adjustRightInd w:val="0"/>
        <w:spacing w:after="76"/>
        <w:ind w:left="576" w:hanging="576"/>
        <w:rPr>
          <w:rFonts w:cs="Arial"/>
          <w:color w:val="000000"/>
        </w:rPr>
      </w:pPr>
      <w:r w:rsidRPr="0059467E">
        <w:rPr>
          <w:rFonts w:cs="Arial"/>
          <w:color w:val="000000"/>
        </w:rPr>
        <w:t xml:space="preserve">o Christian Copyright Licensing International (CCLI) </w:t>
      </w:r>
    </w:p>
    <w:p w14:paraId="3436FCEA" w14:textId="77777777" w:rsidR="006D7B60" w:rsidRPr="0059467E" w:rsidRDefault="006D7B60" w:rsidP="006D7B60">
      <w:pPr>
        <w:numPr>
          <w:ilvl w:val="1"/>
          <w:numId w:val="8"/>
        </w:numPr>
        <w:autoSpaceDE w:val="0"/>
        <w:autoSpaceDN w:val="0"/>
        <w:adjustRightInd w:val="0"/>
        <w:spacing w:after="76"/>
        <w:ind w:left="576" w:hanging="576"/>
        <w:rPr>
          <w:rFonts w:cs="Arial"/>
          <w:color w:val="000000"/>
        </w:rPr>
      </w:pPr>
      <w:r w:rsidRPr="0059467E">
        <w:rPr>
          <w:rFonts w:cs="Arial"/>
          <w:color w:val="000000"/>
        </w:rPr>
        <w:t xml:space="preserve">o Copyright Licensing Agency (CLA) </w:t>
      </w:r>
    </w:p>
    <w:p w14:paraId="3436FCEB" w14:textId="77777777" w:rsidR="006D7B60" w:rsidRPr="0059467E" w:rsidRDefault="006D7B60" w:rsidP="006D7B60">
      <w:pPr>
        <w:numPr>
          <w:ilvl w:val="1"/>
          <w:numId w:val="8"/>
        </w:numPr>
        <w:autoSpaceDE w:val="0"/>
        <w:autoSpaceDN w:val="0"/>
        <w:adjustRightInd w:val="0"/>
        <w:spacing w:after="76"/>
        <w:ind w:left="576" w:hanging="576"/>
        <w:rPr>
          <w:rFonts w:cs="Arial"/>
          <w:color w:val="000000"/>
        </w:rPr>
      </w:pPr>
      <w:r w:rsidRPr="0059467E">
        <w:rPr>
          <w:rFonts w:cs="Arial"/>
          <w:color w:val="000000"/>
        </w:rPr>
        <w:t xml:space="preserve">o Education Recording Agency (ERA) </w:t>
      </w:r>
    </w:p>
    <w:p w14:paraId="3436FCEC" w14:textId="77777777" w:rsidR="006D7B60" w:rsidRPr="0059467E" w:rsidRDefault="006D7B60" w:rsidP="006D7B60">
      <w:pPr>
        <w:numPr>
          <w:ilvl w:val="1"/>
          <w:numId w:val="8"/>
        </w:numPr>
        <w:autoSpaceDE w:val="0"/>
        <w:autoSpaceDN w:val="0"/>
        <w:adjustRightInd w:val="0"/>
        <w:spacing w:after="76"/>
        <w:ind w:left="576" w:hanging="576"/>
        <w:rPr>
          <w:rFonts w:cs="Arial"/>
          <w:color w:val="000000"/>
        </w:rPr>
      </w:pPr>
      <w:r w:rsidRPr="0059467E">
        <w:rPr>
          <w:rFonts w:cs="Arial"/>
          <w:color w:val="000000"/>
        </w:rPr>
        <w:t xml:space="preserve">o Filmbank Distributors Ltd. (for the PVSL) </w:t>
      </w:r>
    </w:p>
    <w:p w14:paraId="3436FCED" w14:textId="77777777" w:rsidR="006D7B60" w:rsidRPr="0059467E" w:rsidRDefault="006D7B60" w:rsidP="006D7B60">
      <w:pPr>
        <w:numPr>
          <w:ilvl w:val="1"/>
          <w:numId w:val="8"/>
        </w:numPr>
        <w:autoSpaceDE w:val="0"/>
        <w:autoSpaceDN w:val="0"/>
        <w:adjustRightInd w:val="0"/>
        <w:spacing w:after="76"/>
        <w:ind w:left="576" w:hanging="576"/>
        <w:rPr>
          <w:rFonts w:cs="Arial"/>
          <w:color w:val="000000"/>
        </w:rPr>
      </w:pPr>
      <w:r w:rsidRPr="0059467E">
        <w:rPr>
          <w:rFonts w:cs="Arial"/>
          <w:color w:val="000000"/>
        </w:rPr>
        <w:t xml:space="preserve">o Mechanical Copyright Protection Society (MCPS) </w:t>
      </w:r>
    </w:p>
    <w:p w14:paraId="3436FCEE" w14:textId="77777777" w:rsidR="006D7B60" w:rsidRPr="0059467E" w:rsidRDefault="006D7B60" w:rsidP="006D7B60">
      <w:pPr>
        <w:numPr>
          <w:ilvl w:val="1"/>
          <w:numId w:val="8"/>
        </w:numPr>
        <w:autoSpaceDE w:val="0"/>
        <w:autoSpaceDN w:val="0"/>
        <w:adjustRightInd w:val="0"/>
        <w:spacing w:after="76"/>
        <w:ind w:left="576" w:hanging="576"/>
        <w:rPr>
          <w:rFonts w:cs="Arial"/>
          <w:color w:val="000000"/>
        </w:rPr>
      </w:pPr>
      <w:r w:rsidRPr="0059467E">
        <w:rPr>
          <w:rFonts w:cs="Arial"/>
          <w:color w:val="000000"/>
        </w:rPr>
        <w:t xml:space="preserve">o Motion Picture Licensing Company (MPLC) </w:t>
      </w:r>
    </w:p>
    <w:p w14:paraId="3436FCEF" w14:textId="77777777" w:rsidR="006D7B60" w:rsidRPr="0059467E" w:rsidRDefault="006D7B60" w:rsidP="006D7B60">
      <w:pPr>
        <w:numPr>
          <w:ilvl w:val="1"/>
          <w:numId w:val="8"/>
        </w:numPr>
        <w:autoSpaceDE w:val="0"/>
        <w:autoSpaceDN w:val="0"/>
        <w:adjustRightInd w:val="0"/>
        <w:spacing w:after="76"/>
        <w:ind w:left="576" w:hanging="576"/>
        <w:rPr>
          <w:rFonts w:cs="Arial"/>
          <w:color w:val="000000"/>
        </w:rPr>
      </w:pPr>
      <w:r w:rsidRPr="0059467E">
        <w:rPr>
          <w:rFonts w:cs="Arial"/>
          <w:color w:val="000000"/>
        </w:rPr>
        <w:t xml:space="preserve">o Newspaper Licensing Authority (NLA) </w:t>
      </w:r>
    </w:p>
    <w:p w14:paraId="3436FCF0" w14:textId="77777777" w:rsidR="006D7B60" w:rsidRPr="0059467E" w:rsidRDefault="006D7B60" w:rsidP="006D7B60">
      <w:pPr>
        <w:numPr>
          <w:ilvl w:val="1"/>
          <w:numId w:val="8"/>
        </w:numPr>
        <w:autoSpaceDE w:val="0"/>
        <w:autoSpaceDN w:val="0"/>
        <w:adjustRightInd w:val="0"/>
        <w:spacing w:after="76"/>
        <w:ind w:left="576" w:hanging="576"/>
        <w:rPr>
          <w:rFonts w:cs="Arial"/>
          <w:color w:val="000000"/>
        </w:rPr>
      </w:pPr>
      <w:r w:rsidRPr="0059467E">
        <w:rPr>
          <w:rFonts w:cs="Arial"/>
          <w:color w:val="000000"/>
        </w:rPr>
        <w:t xml:space="preserve">o Performing Rights Society (PRS) </w:t>
      </w:r>
    </w:p>
    <w:p w14:paraId="3436FCF1" w14:textId="77777777" w:rsidR="006D7B60" w:rsidRPr="0059467E" w:rsidRDefault="006D7B60" w:rsidP="006D7B60">
      <w:pPr>
        <w:numPr>
          <w:ilvl w:val="1"/>
          <w:numId w:val="8"/>
        </w:numPr>
        <w:autoSpaceDE w:val="0"/>
        <w:autoSpaceDN w:val="0"/>
        <w:adjustRightInd w:val="0"/>
        <w:spacing w:after="76"/>
        <w:ind w:left="576" w:hanging="576"/>
        <w:rPr>
          <w:rFonts w:cs="Arial"/>
          <w:color w:val="000000"/>
        </w:rPr>
      </w:pPr>
      <w:r w:rsidRPr="0059467E">
        <w:rPr>
          <w:rFonts w:cs="Arial"/>
          <w:color w:val="000000"/>
        </w:rPr>
        <w:t xml:space="preserve">o Phonographic Performance Limited (PPL) </w:t>
      </w:r>
    </w:p>
    <w:p w14:paraId="3436FCF2" w14:textId="77777777" w:rsidR="006D7B60" w:rsidRDefault="006D7B60" w:rsidP="00366774">
      <w:pPr>
        <w:autoSpaceDE w:val="0"/>
        <w:autoSpaceDN w:val="0"/>
        <w:adjustRightInd w:val="0"/>
        <w:ind w:firstLine="576"/>
        <w:rPr>
          <w:rFonts w:cs="Arial"/>
          <w:color w:val="000000"/>
        </w:rPr>
      </w:pPr>
      <w:r w:rsidRPr="0059467E">
        <w:rPr>
          <w:rFonts w:cs="Arial"/>
          <w:color w:val="000000"/>
        </w:rPr>
        <w:t xml:space="preserve">o Schools Printed Music Licence (SPML) </w:t>
      </w:r>
    </w:p>
    <w:p w14:paraId="3436FCF3" w14:textId="77777777" w:rsidR="00366774" w:rsidRPr="00366774" w:rsidRDefault="00366774" w:rsidP="00366774">
      <w:pPr>
        <w:rPr>
          <w:rFonts w:cs="Arial"/>
          <w:color w:val="000000"/>
        </w:rPr>
        <w:sectPr w:rsidR="00366774" w:rsidRPr="00366774" w:rsidSect="00366774">
          <w:headerReference w:type="default" r:id="rId11"/>
          <w:footerReference w:type="default" r:id="rId12"/>
          <w:pgSz w:w="11906" w:h="16838" w:code="9"/>
          <w:pgMar w:top="1503" w:right="1418" w:bottom="1440" w:left="1418" w:header="709" w:footer="709" w:gutter="0"/>
          <w:cols w:space="708"/>
          <w:docGrid w:linePitch="360"/>
        </w:sectPr>
      </w:pPr>
    </w:p>
    <w:p w14:paraId="3436FCF4" w14:textId="64B7C0BD" w:rsidR="00820FC0" w:rsidRDefault="00820FC0" w:rsidP="00820FC0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Appendix 3</w:t>
      </w:r>
      <w:r w:rsidRPr="00AF7ADC">
        <w:rPr>
          <w:rFonts w:cs="Arial"/>
          <w:b/>
          <w:color w:val="000000"/>
        </w:rPr>
        <w:t>:</w:t>
      </w:r>
      <w:r w:rsidRPr="00AF7ADC">
        <w:rPr>
          <w:rFonts w:cs="Arial"/>
          <w:b/>
          <w:color w:val="000000"/>
        </w:rPr>
        <w:tab/>
        <w:t>Year on Year Comparison of Centrally Schools Block Budgets</w:t>
      </w:r>
      <w:bookmarkStart w:id="0" w:name="_GoBack"/>
      <w:bookmarkEnd w:id="0"/>
    </w:p>
    <w:p w14:paraId="3436FCF5" w14:textId="77777777" w:rsidR="00820FC0" w:rsidRDefault="00820FC0" w:rsidP="00820FC0">
      <w:pPr>
        <w:autoSpaceDE w:val="0"/>
        <w:autoSpaceDN w:val="0"/>
        <w:adjustRightInd w:val="0"/>
        <w:rPr>
          <w:rFonts w:cs="Arial"/>
          <w:b/>
          <w:color w:val="000000"/>
        </w:rPr>
      </w:pPr>
    </w:p>
    <w:p w14:paraId="3436FCF6" w14:textId="77777777" w:rsidR="00820FC0" w:rsidRPr="0059467E" w:rsidRDefault="00820FC0" w:rsidP="00820FC0">
      <w:pPr>
        <w:autoSpaceDE w:val="0"/>
        <w:autoSpaceDN w:val="0"/>
        <w:adjustRightInd w:val="0"/>
        <w:rPr>
          <w:rFonts w:cs="Arial"/>
          <w:b/>
          <w:color w:val="000000"/>
        </w:rPr>
      </w:pPr>
    </w:p>
    <w:tbl>
      <w:tblPr>
        <w:tblStyle w:val="TableGrid1"/>
        <w:tblW w:w="12240" w:type="dxa"/>
        <w:tblLook w:val="04A0" w:firstRow="1" w:lastRow="0" w:firstColumn="1" w:lastColumn="0" w:noHBand="0" w:noVBand="1"/>
      </w:tblPr>
      <w:tblGrid>
        <w:gridCol w:w="960"/>
        <w:gridCol w:w="960"/>
        <w:gridCol w:w="1560"/>
        <w:gridCol w:w="1560"/>
        <w:gridCol w:w="1560"/>
        <w:gridCol w:w="1560"/>
        <w:gridCol w:w="1560"/>
        <w:gridCol w:w="1560"/>
        <w:gridCol w:w="960"/>
      </w:tblGrid>
      <w:tr w:rsidR="00820FC0" w:rsidRPr="00AF7ADC" w14:paraId="3436FD00" w14:textId="77777777" w:rsidTr="003C4562">
        <w:trPr>
          <w:trHeight w:val="636"/>
        </w:trPr>
        <w:tc>
          <w:tcPr>
            <w:tcW w:w="960" w:type="dxa"/>
            <w:hideMark/>
          </w:tcPr>
          <w:p w14:paraId="3436FCF7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hideMark/>
          </w:tcPr>
          <w:p w14:paraId="3436FCF8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Notes</w:t>
            </w:r>
          </w:p>
        </w:tc>
        <w:tc>
          <w:tcPr>
            <w:tcW w:w="1560" w:type="dxa"/>
            <w:hideMark/>
          </w:tcPr>
          <w:p w14:paraId="3436FCF9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Schools Block</w:t>
            </w:r>
          </w:p>
        </w:tc>
        <w:tc>
          <w:tcPr>
            <w:tcW w:w="1560" w:type="dxa"/>
            <w:hideMark/>
          </w:tcPr>
          <w:p w14:paraId="3436FCFA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Growth Fund</w:t>
            </w:r>
          </w:p>
        </w:tc>
        <w:tc>
          <w:tcPr>
            <w:tcW w:w="1560" w:type="dxa"/>
            <w:hideMark/>
          </w:tcPr>
          <w:p w14:paraId="3436FCFB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Falling Rolls Fund</w:t>
            </w:r>
          </w:p>
        </w:tc>
        <w:tc>
          <w:tcPr>
            <w:tcW w:w="1560" w:type="dxa"/>
            <w:hideMark/>
          </w:tcPr>
          <w:p w14:paraId="3436FCFC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De-delegation Non-ESG</w:t>
            </w:r>
          </w:p>
        </w:tc>
        <w:tc>
          <w:tcPr>
            <w:tcW w:w="1560" w:type="dxa"/>
            <w:hideMark/>
          </w:tcPr>
          <w:p w14:paraId="3436FCFD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De-delegation ESG</w:t>
            </w:r>
          </w:p>
        </w:tc>
        <w:tc>
          <w:tcPr>
            <w:tcW w:w="1560" w:type="dxa"/>
            <w:hideMark/>
          </w:tcPr>
          <w:p w14:paraId="3436FCFE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School Budget Shares</w:t>
            </w:r>
          </w:p>
        </w:tc>
        <w:tc>
          <w:tcPr>
            <w:tcW w:w="960" w:type="dxa"/>
            <w:hideMark/>
          </w:tcPr>
          <w:p w14:paraId="3436FCFF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FC0" w:rsidRPr="00AF7ADC" w14:paraId="3436FD0A" w14:textId="77777777" w:rsidTr="003C4562">
        <w:trPr>
          <w:trHeight w:val="288"/>
        </w:trPr>
        <w:tc>
          <w:tcPr>
            <w:tcW w:w="960" w:type="dxa"/>
            <w:noWrap/>
            <w:hideMark/>
          </w:tcPr>
          <w:p w14:paraId="3436FD01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2020-21</w:t>
            </w:r>
          </w:p>
        </w:tc>
        <w:tc>
          <w:tcPr>
            <w:tcW w:w="960" w:type="dxa"/>
            <w:noWrap/>
            <w:hideMark/>
          </w:tcPr>
          <w:p w14:paraId="3436FD02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03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£263.719m</w:t>
            </w:r>
          </w:p>
        </w:tc>
        <w:tc>
          <w:tcPr>
            <w:tcW w:w="1560" w:type="dxa"/>
            <w:noWrap/>
            <w:hideMark/>
          </w:tcPr>
          <w:p w14:paraId="3436FD04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0.54%</w:t>
            </w:r>
          </w:p>
        </w:tc>
        <w:tc>
          <w:tcPr>
            <w:tcW w:w="1560" w:type="dxa"/>
            <w:noWrap/>
            <w:hideMark/>
          </w:tcPr>
          <w:p w14:paraId="3436FD05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560" w:type="dxa"/>
            <w:noWrap/>
            <w:hideMark/>
          </w:tcPr>
          <w:p w14:paraId="3436FD06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0.32%</w:t>
            </w:r>
          </w:p>
        </w:tc>
        <w:tc>
          <w:tcPr>
            <w:tcW w:w="1560" w:type="dxa"/>
            <w:noWrap/>
            <w:hideMark/>
          </w:tcPr>
          <w:p w14:paraId="3436FD07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0.30%</w:t>
            </w:r>
          </w:p>
        </w:tc>
        <w:tc>
          <w:tcPr>
            <w:tcW w:w="1560" w:type="dxa"/>
            <w:noWrap/>
            <w:hideMark/>
          </w:tcPr>
          <w:p w14:paraId="3436FD08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98.83%</w:t>
            </w:r>
          </w:p>
        </w:tc>
        <w:tc>
          <w:tcPr>
            <w:tcW w:w="960" w:type="dxa"/>
            <w:noWrap/>
            <w:hideMark/>
          </w:tcPr>
          <w:p w14:paraId="3436FD09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FC0" w:rsidRPr="00AF7ADC" w14:paraId="3436FD14" w14:textId="77777777" w:rsidTr="003C4562">
        <w:trPr>
          <w:trHeight w:val="288"/>
        </w:trPr>
        <w:tc>
          <w:tcPr>
            <w:tcW w:w="960" w:type="dxa"/>
            <w:noWrap/>
            <w:hideMark/>
          </w:tcPr>
          <w:p w14:paraId="3436FD0B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2019-20</w:t>
            </w:r>
          </w:p>
        </w:tc>
        <w:tc>
          <w:tcPr>
            <w:tcW w:w="960" w:type="dxa"/>
            <w:noWrap/>
            <w:hideMark/>
          </w:tcPr>
          <w:p w14:paraId="3436FD0C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0D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£259.921m</w:t>
            </w:r>
          </w:p>
        </w:tc>
        <w:tc>
          <w:tcPr>
            <w:tcW w:w="1560" w:type="dxa"/>
            <w:noWrap/>
            <w:hideMark/>
          </w:tcPr>
          <w:p w14:paraId="3436FD0E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0.58%</w:t>
            </w:r>
          </w:p>
        </w:tc>
        <w:tc>
          <w:tcPr>
            <w:tcW w:w="1560" w:type="dxa"/>
            <w:noWrap/>
            <w:hideMark/>
          </w:tcPr>
          <w:p w14:paraId="3436FD0F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0.23%</w:t>
            </w:r>
          </w:p>
        </w:tc>
        <w:tc>
          <w:tcPr>
            <w:tcW w:w="1560" w:type="dxa"/>
            <w:noWrap/>
            <w:hideMark/>
          </w:tcPr>
          <w:p w14:paraId="3436FD10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0.31%</w:t>
            </w:r>
          </w:p>
        </w:tc>
        <w:tc>
          <w:tcPr>
            <w:tcW w:w="1560" w:type="dxa"/>
            <w:noWrap/>
            <w:hideMark/>
          </w:tcPr>
          <w:p w14:paraId="3436FD11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0.31%</w:t>
            </w:r>
          </w:p>
        </w:tc>
        <w:tc>
          <w:tcPr>
            <w:tcW w:w="1560" w:type="dxa"/>
            <w:noWrap/>
            <w:hideMark/>
          </w:tcPr>
          <w:p w14:paraId="3436FD12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98.57%</w:t>
            </w:r>
          </w:p>
        </w:tc>
        <w:tc>
          <w:tcPr>
            <w:tcW w:w="960" w:type="dxa"/>
            <w:noWrap/>
            <w:hideMark/>
          </w:tcPr>
          <w:p w14:paraId="3436FD13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FC0" w:rsidRPr="00AF7ADC" w14:paraId="3436FD1E" w14:textId="77777777" w:rsidTr="003C4562">
        <w:trPr>
          <w:trHeight w:val="288"/>
        </w:trPr>
        <w:tc>
          <w:tcPr>
            <w:tcW w:w="960" w:type="dxa"/>
            <w:noWrap/>
            <w:hideMark/>
          </w:tcPr>
          <w:p w14:paraId="3436FD15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2018-19</w:t>
            </w:r>
          </w:p>
        </w:tc>
        <w:tc>
          <w:tcPr>
            <w:tcW w:w="960" w:type="dxa"/>
            <w:noWrap/>
            <w:hideMark/>
          </w:tcPr>
          <w:p w14:paraId="3436FD16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17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£258.911m</w:t>
            </w:r>
          </w:p>
        </w:tc>
        <w:tc>
          <w:tcPr>
            <w:tcW w:w="1560" w:type="dxa"/>
            <w:noWrap/>
            <w:hideMark/>
          </w:tcPr>
          <w:p w14:paraId="3436FD18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0.95%</w:t>
            </w:r>
          </w:p>
        </w:tc>
        <w:tc>
          <w:tcPr>
            <w:tcW w:w="1560" w:type="dxa"/>
            <w:noWrap/>
            <w:hideMark/>
          </w:tcPr>
          <w:p w14:paraId="3436FD19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560" w:type="dxa"/>
            <w:noWrap/>
            <w:hideMark/>
          </w:tcPr>
          <w:p w14:paraId="3436FD1A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0.34%</w:t>
            </w:r>
          </w:p>
        </w:tc>
        <w:tc>
          <w:tcPr>
            <w:tcW w:w="1560" w:type="dxa"/>
            <w:noWrap/>
            <w:hideMark/>
          </w:tcPr>
          <w:p w14:paraId="3436FD1B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0.32%</w:t>
            </w:r>
          </w:p>
        </w:tc>
        <w:tc>
          <w:tcPr>
            <w:tcW w:w="1560" w:type="dxa"/>
            <w:noWrap/>
            <w:hideMark/>
          </w:tcPr>
          <w:p w14:paraId="3436FD1C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98.38%</w:t>
            </w:r>
          </w:p>
        </w:tc>
        <w:tc>
          <w:tcPr>
            <w:tcW w:w="960" w:type="dxa"/>
            <w:noWrap/>
            <w:hideMark/>
          </w:tcPr>
          <w:p w14:paraId="3436FD1D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FC0" w:rsidRPr="00AF7ADC" w14:paraId="3436FD28" w14:textId="77777777" w:rsidTr="003C4562">
        <w:trPr>
          <w:trHeight w:val="288"/>
        </w:trPr>
        <w:tc>
          <w:tcPr>
            <w:tcW w:w="960" w:type="dxa"/>
            <w:noWrap/>
            <w:hideMark/>
          </w:tcPr>
          <w:p w14:paraId="3436FD1F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2017-18</w:t>
            </w:r>
          </w:p>
        </w:tc>
        <w:tc>
          <w:tcPr>
            <w:tcW w:w="960" w:type="dxa"/>
            <w:noWrap/>
            <w:hideMark/>
          </w:tcPr>
          <w:p w14:paraId="3436FD20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noWrap/>
            <w:hideMark/>
          </w:tcPr>
          <w:p w14:paraId="3436FD21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£253.994m</w:t>
            </w:r>
          </w:p>
        </w:tc>
        <w:tc>
          <w:tcPr>
            <w:tcW w:w="1560" w:type="dxa"/>
            <w:noWrap/>
            <w:hideMark/>
          </w:tcPr>
          <w:p w14:paraId="3436FD22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0.97%</w:t>
            </w:r>
          </w:p>
        </w:tc>
        <w:tc>
          <w:tcPr>
            <w:tcW w:w="1560" w:type="dxa"/>
            <w:noWrap/>
            <w:hideMark/>
          </w:tcPr>
          <w:p w14:paraId="3436FD23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0.00%</w:t>
            </w:r>
          </w:p>
        </w:tc>
        <w:tc>
          <w:tcPr>
            <w:tcW w:w="1560" w:type="dxa"/>
            <w:noWrap/>
            <w:hideMark/>
          </w:tcPr>
          <w:p w14:paraId="3436FD24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0.31%</w:t>
            </w:r>
          </w:p>
        </w:tc>
        <w:tc>
          <w:tcPr>
            <w:tcW w:w="1560" w:type="dxa"/>
            <w:noWrap/>
            <w:hideMark/>
          </w:tcPr>
          <w:p w14:paraId="3436FD25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0.35%</w:t>
            </w:r>
          </w:p>
        </w:tc>
        <w:tc>
          <w:tcPr>
            <w:tcW w:w="1560" w:type="dxa"/>
            <w:noWrap/>
            <w:hideMark/>
          </w:tcPr>
          <w:p w14:paraId="3436FD26" w14:textId="77777777" w:rsidR="00820FC0" w:rsidRPr="00AF7ADC" w:rsidRDefault="00820FC0" w:rsidP="0005571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98.36%</w:t>
            </w:r>
          </w:p>
        </w:tc>
        <w:tc>
          <w:tcPr>
            <w:tcW w:w="960" w:type="dxa"/>
            <w:noWrap/>
            <w:hideMark/>
          </w:tcPr>
          <w:p w14:paraId="3436FD27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FC0" w:rsidRPr="00AF7ADC" w14:paraId="3436FD32" w14:textId="77777777" w:rsidTr="003C4562">
        <w:trPr>
          <w:trHeight w:val="288"/>
        </w:trPr>
        <w:tc>
          <w:tcPr>
            <w:tcW w:w="960" w:type="dxa"/>
            <w:noWrap/>
            <w:hideMark/>
          </w:tcPr>
          <w:p w14:paraId="3436FD29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3436FD2A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2B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2C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2D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2E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2F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30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3436FD31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0FC0" w:rsidRPr="00AF7ADC" w14:paraId="3436FD3C" w14:textId="77777777" w:rsidTr="003C4562">
        <w:trPr>
          <w:trHeight w:val="288"/>
        </w:trPr>
        <w:tc>
          <w:tcPr>
            <w:tcW w:w="960" w:type="dxa"/>
            <w:noWrap/>
            <w:hideMark/>
          </w:tcPr>
          <w:p w14:paraId="3436FD33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7ADC">
              <w:rPr>
                <w:rFonts w:ascii="Calibri" w:hAnsi="Calibri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960" w:type="dxa"/>
            <w:noWrap/>
            <w:hideMark/>
          </w:tcPr>
          <w:p w14:paraId="3436FD34" w14:textId="77777777" w:rsidR="00820FC0" w:rsidRPr="00AF7ADC" w:rsidRDefault="00820FC0" w:rsidP="000557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35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36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37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38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39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/>
            <w:hideMark/>
          </w:tcPr>
          <w:p w14:paraId="3436FD3A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14:paraId="3436FD3B" w14:textId="77777777" w:rsidR="00820FC0" w:rsidRPr="00AF7ADC" w:rsidRDefault="00820FC0" w:rsidP="000557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436FD41" w14:textId="77777777" w:rsidR="00820FC0" w:rsidRPr="0034399A" w:rsidRDefault="00820FC0" w:rsidP="00820FC0">
      <w:pPr>
        <w:pStyle w:val="ListParagraph"/>
        <w:ind w:left="792" w:hanging="792"/>
        <w:rPr>
          <w:b/>
          <w:sz w:val="22"/>
          <w:szCs w:val="22"/>
        </w:rPr>
      </w:pPr>
    </w:p>
    <w:p w14:paraId="58C94E38" w14:textId="77777777" w:rsidR="003C4562" w:rsidRPr="00AF7ADC" w:rsidRDefault="003C4562" w:rsidP="003C4562">
      <w:pPr>
        <w:rPr>
          <w:rFonts w:ascii="Calibri" w:hAnsi="Calibri"/>
          <w:color w:val="000000"/>
          <w:sz w:val="22"/>
          <w:szCs w:val="22"/>
        </w:rPr>
      </w:pPr>
      <w:r w:rsidRPr="00AF7ADC">
        <w:rPr>
          <w:rFonts w:ascii="Calibri" w:hAnsi="Calibri"/>
          <w:color w:val="000000"/>
          <w:sz w:val="22"/>
          <w:szCs w:val="22"/>
        </w:rPr>
        <w:t>Until 2017-18 the Schools Block included funding now in the Central School Services Block that is excluded in this analysis.</w:t>
      </w:r>
    </w:p>
    <w:p w14:paraId="3436FD42" w14:textId="77777777" w:rsidR="006D7B60" w:rsidRPr="006D7B60" w:rsidRDefault="006D7B60" w:rsidP="006D7B60">
      <w:pPr>
        <w:rPr>
          <w:lang w:eastAsia="en-US"/>
        </w:rPr>
      </w:pPr>
    </w:p>
    <w:sectPr w:rsidR="006D7B60" w:rsidRPr="006D7B60" w:rsidSect="00366774">
      <w:pgSz w:w="16838" w:h="11906" w:orient="landscape" w:code="9"/>
      <w:pgMar w:top="1418" w:right="1503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E1DEE" w14:textId="77777777" w:rsidR="00652D9E" w:rsidRDefault="00652D9E">
      <w:r>
        <w:separator/>
      </w:r>
    </w:p>
  </w:endnote>
  <w:endnote w:type="continuationSeparator" w:id="0">
    <w:p w14:paraId="59D27A34" w14:textId="77777777" w:rsidR="00652D9E" w:rsidRDefault="0065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6FD49" w14:textId="77777777" w:rsidR="00055711" w:rsidRDefault="00055711">
    <w:pPr>
      <w:pStyle w:val="Foot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0D5B41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B40CF" w14:textId="77777777" w:rsidR="00652D9E" w:rsidRDefault="00652D9E">
      <w:r>
        <w:separator/>
      </w:r>
    </w:p>
  </w:footnote>
  <w:footnote w:type="continuationSeparator" w:id="0">
    <w:p w14:paraId="29685B59" w14:textId="77777777" w:rsidR="00652D9E" w:rsidRDefault="0065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6FD47" w14:textId="778FDEEC" w:rsidR="00055711" w:rsidRDefault="00055711">
    <w:pPr>
      <w:pStyle w:val="Header"/>
    </w:pPr>
    <w:r w:rsidRPr="00ED7730">
      <w:ptab w:relativeTo="margin" w:alignment="center" w:leader="none"/>
    </w:r>
    <w:r>
      <w:t>Schools Forum</w:t>
    </w:r>
    <w:r w:rsidR="006721CA">
      <w:t xml:space="preserve"> </w:t>
    </w:r>
    <w:r>
      <w:t>15 January 2020</w:t>
    </w:r>
  </w:p>
  <w:p w14:paraId="3436FD48" w14:textId="77777777" w:rsidR="00055711" w:rsidRDefault="0005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ED0E4F"/>
    <w:multiLevelType w:val="hybridMultilevel"/>
    <w:tmpl w:val="789D68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024F0"/>
    <w:multiLevelType w:val="hybridMultilevel"/>
    <w:tmpl w:val="96723F56"/>
    <w:lvl w:ilvl="0" w:tplc="2E1899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C9"/>
    <w:multiLevelType w:val="multilevel"/>
    <w:tmpl w:val="5016E8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AB4BCC"/>
    <w:multiLevelType w:val="hybridMultilevel"/>
    <w:tmpl w:val="0C14A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6932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1B115FA"/>
    <w:multiLevelType w:val="hybridMultilevel"/>
    <w:tmpl w:val="99CE05A0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3D617FA8"/>
    <w:multiLevelType w:val="hybridMultilevel"/>
    <w:tmpl w:val="921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D4446"/>
    <w:multiLevelType w:val="hybridMultilevel"/>
    <w:tmpl w:val="D9FA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44159"/>
    <w:multiLevelType w:val="hybridMultilevel"/>
    <w:tmpl w:val="4DC4ADEC"/>
    <w:lvl w:ilvl="0" w:tplc="2E1899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325C9"/>
    <w:multiLevelType w:val="hybridMultilevel"/>
    <w:tmpl w:val="72CE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7"/>
  </w:num>
  <w:num w:numId="29">
    <w:abstractNumId w:val="8"/>
  </w:num>
  <w:num w:numId="30">
    <w:abstractNumId w:val="9"/>
  </w:num>
  <w:num w:numId="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AC3"/>
    <w:rsid w:val="000079CF"/>
    <w:rsid w:val="000106AF"/>
    <w:rsid w:val="00011A38"/>
    <w:rsid w:val="0001228D"/>
    <w:rsid w:val="00014128"/>
    <w:rsid w:val="000149FD"/>
    <w:rsid w:val="00025F55"/>
    <w:rsid w:val="00026A03"/>
    <w:rsid w:val="00030F6F"/>
    <w:rsid w:val="000339DC"/>
    <w:rsid w:val="00041E9D"/>
    <w:rsid w:val="00046FCB"/>
    <w:rsid w:val="0005284B"/>
    <w:rsid w:val="00053B81"/>
    <w:rsid w:val="00055711"/>
    <w:rsid w:val="00060FED"/>
    <w:rsid w:val="00064590"/>
    <w:rsid w:val="0007256E"/>
    <w:rsid w:val="00077299"/>
    <w:rsid w:val="00083BBE"/>
    <w:rsid w:val="00087E04"/>
    <w:rsid w:val="000A2234"/>
    <w:rsid w:val="000A7872"/>
    <w:rsid w:val="000A78CA"/>
    <w:rsid w:val="000C1387"/>
    <w:rsid w:val="000C5279"/>
    <w:rsid w:val="000D3037"/>
    <w:rsid w:val="000D5510"/>
    <w:rsid w:val="000D5B41"/>
    <w:rsid w:val="000D6FF5"/>
    <w:rsid w:val="000E153F"/>
    <w:rsid w:val="000E7C2D"/>
    <w:rsid w:val="000F0BCB"/>
    <w:rsid w:val="000F1054"/>
    <w:rsid w:val="00102CEB"/>
    <w:rsid w:val="00110AE1"/>
    <w:rsid w:val="00125730"/>
    <w:rsid w:val="00126384"/>
    <w:rsid w:val="00127374"/>
    <w:rsid w:val="00131EEB"/>
    <w:rsid w:val="0013261A"/>
    <w:rsid w:val="00133AC3"/>
    <w:rsid w:val="001445AD"/>
    <w:rsid w:val="00151AD1"/>
    <w:rsid w:val="00152F4B"/>
    <w:rsid w:val="001619A7"/>
    <w:rsid w:val="001637DD"/>
    <w:rsid w:val="001638D3"/>
    <w:rsid w:val="00171274"/>
    <w:rsid w:val="00177800"/>
    <w:rsid w:val="00184A94"/>
    <w:rsid w:val="0019143A"/>
    <w:rsid w:val="001A2886"/>
    <w:rsid w:val="001A74CC"/>
    <w:rsid w:val="001B1591"/>
    <w:rsid w:val="001B259F"/>
    <w:rsid w:val="001B5FF5"/>
    <w:rsid w:val="001B717C"/>
    <w:rsid w:val="001C02C9"/>
    <w:rsid w:val="001C209A"/>
    <w:rsid w:val="001C24F1"/>
    <w:rsid w:val="001C6F21"/>
    <w:rsid w:val="001D32A0"/>
    <w:rsid w:val="001D4975"/>
    <w:rsid w:val="001D6BA4"/>
    <w:rsid w:val="001E4116"/>
    <w:rsid w:val="001E472B"/>
    <w:rsid w:val="001E70F6"/>
    <w:rsid w:val="001F3561"/>
    <w:rsid w:val="00205496"/>
    <w:rsid w:val="00221B84"/>
    <w:rsid w:val="002246CA"/>
    <w:rsid w:val="00231641"/>
    <w:rsid w:val="0023586E"/>
    <w:rsid w:val="002374A3"/>
    <w:rsid w:val="00246254"/>
    <w:rsid w:val="002467C4"/>
    <w:rsid w:val="00253B34"/>
    <w:rsid w:val="00256938"/>
    <w:rsid w:val="00257D10"/>
    <w:rsid w:val="0026062F"/>
    <w:rsid w:val="0026098B"/>
    <w:rsid w:val="002640E1"/>
    <w:rsid w:val="00264249"/>
    <w:rsid w:val="00266DE2"/>
    <w:rsid w:val="0027784C"/>
    <w:rsid w:val="00282419"/>
    <w:rsid w:val="002870BB"/>
    <w:rsid w:val="00287DBD"/>
    <w:rsid w:val="0029022D"/>
    <w:rsid w:val="00291476"/>
    <w:rsid w:val="0029323C"/>
    <w:rsid w:val="002958F1"/>
    <w:rsid w:val="002A69DC"/>
    <w:rsid w:val="002A734B"/>
    <w:rsid w:val="002C4F8D"/>
    <w:rsid w:val="002D051B"/>
    <w:rsid w:val="002F4FB8"/>
    <w:rsid w:val="002F55A8"/>
    <w:rsid w:val="00301ACF"/>
    <w:rsid w:val="003044B1"/>
    <w:rsid w:val="0030490E"/>
    <w:rsid w:val="00304E15"/>
    <w:rsid w:val="00322E4D"/>
    <w:rsid w:val="003322EA"/>
    <w:rsid w:val="00351F12"/>
    <w:rsid w:val="003531BB"/>
    <w:rsid w:val="003564B6"/>
    <w:rsid w:val="00361F94"/>
    <w:rsid w:val="00366774"/>
    <w:rsid w:val="0038332C"/>
    <w:rsid w:val="003867AC"/>
    <w:rsid w:val="003920CB"/>
    <w:rsid w:val="003925D5"/>
    <w:rsid w:val="0039647F"/>
    <w:rsid w:val="00397511"/>
    <w:rsid w:val="003B2548"/>
    <w:rsid w:val="003B3B0E"/>
    <w:rsid w:val="003B700C"/>
    <w:rsid w:val="003B7621"/>
    <w:rsid w:val="003C4300"/>
    <w:rsid w:val="003C4562"/>
    <w:rsid w:val="003C7BE7"/>
    <w:rsid w:val="003D08B1"/>
    <w:rsid w:val="003D29D2"/>
    <w:rsid w:val="003D435E"/>
    <w:rsid w:val="003D4611"/>
    <w:rsid w:val="003E00BB"/>
    <w:rsid w:val="003F3EF3"/>
    <w:rsid w:val="00405B39"/>
    <w:rsid w:val="00407F2D"/>
    <w:rsid w:val="00410D37"/>
    <w:rsid w:val="00411EEB"/>
    <w:rsid w:val="00421266"/>
    <w:rsid w:val="004256EA"/>
    <w:rsid w:val="004337F0"/>
    <w:rsid w:val="00434EDA"/>
    <w:rsid w:val="00444C0E"/>
    <w:rsid w:val="00446519"/>
    <w:rsid w:val="004478AE"/>
    <w:rsid w:val="00447E7C"/>
    <w:rsid w:val="004503C6"/>
    <w:rsid w:val="0045059B"/>
    <w:rsid w:val="00451CF7"/>
    <w:rsid w:val="0045643E"/>
    <w:rsid w:val="00457528"/>
    <w:rsid w:val="00465312"/>
    <w:rsid w:val="0046718D"/>
    <w:rsid w:val="004705A1"/>
    <w:rsid w:val="004858D7"/>
    <w:rsid w:val="004862AC"/>
    <w:rsid w:val="004862E0"/>
    <w:rsid w:val="00486492"/>
    <w:rsid w:val="004A0F22"/>
    <w:rsid w:val="004A2E94"/>
    <w:rsid w:val="004A5835"/>
    <w:rsid w:val="004B0BB1"/>
    <w:rsid w:val="004B6ED7"/>
    <w:rsid w:val="004C11CF"/>
    <w:rsid w:val="004D4FF7"/>
    <w:rsid w:val="004D7AD3"/>
    <w:rsid w:val="004D7D73"/>
    <w:rsid w:val="004F5672"/>
    <w:rsid w:val="004F67E3"/>
    <w:rsid w:val="00501776"/>
    <w:rsid w:val="0050651C"/>
    <w:rsid w:val="005065B0"/>
    <w:rsid w:val="00510168"/>
    <w:rsid w:val="00517C1C"/>
    <w:rsid w:val="005210A6"/>
    <w:rsid w:val="0054015A"/>
    <w:rsid w:val="00540291"/>
    <w:rsid w:val="00545A21"/>
    <w:rsid w:val="00546F4D"/>
    <w:rsid w:val="00550AD9"/>
    <w:rsid w:val="00552495"/>
    <w:rsid w:val="00552A9D"/>
    <w:rsid w:val="00565F48"/>
    <w:rsid w:val="00572E2A"/>
    <w:rsid w:val="00580113"/>
    <w:rsid w:val="00581CFC"/>
    <w:rsid w:val="00582A23"/>
    <w:rsid w:val="005840FC"/>
    <w:rsid w:val="00584A63"/>
    <w:rsid w:val="005934AD"/>
    <w:rsid w:val="005A2910"/>
    <w:rsid w:val="005A29F4"/>
    <w:rsid w:val="005A3C4D"/>
    <w:rsid w:val="005D57DA"/>
    <w:rsid w:val="005E12B9"/>
    <w:rsid w:val="005E7EBC"/>
    <w:rsid w:val="005F1CE0"/>
    <w:rsid w:val="005F399C"/>
    <w:rsid w:val="00602A93"/>
    <w:rsid w:val="00603459"/>
    <w:rsid w:val="00604DF8"/>
    <w:rsid w:val="00611B3F"/>
    <w:rsid w:val="006134FA"/>
    <w:rsid w:val="00613717"/>
    <w:rsid w:val="0064655C"/>
    <w:rsid w:val="00646BF2"/>
    <w:rsid w:val="00646D3B"/>
    <w:rsid w:val="0065202F"/>
    <w:rsid w:val="00652D9E"/>
    <w:rsid w:val="006607CE"/>
    <w:rsid w:val="00661700"/>
    <w:rsid w:val="00664ED4"/>
    <w:rsid w:val="006706BB"/>
    <w:rsid w:val="00671CCB"/>
    <w:rsid w:val="006721CA"/>
    <w:rsid w:val="006724BF"/>
    <w:rsid w:val="0067369D"/>
    <w:rsid w:val="00673A87"/>
    <w:rsid w:val="00674AD4"/>
    <w:rsid w:val="00690471"/>
    <w:rsid w:val="00695F0A"/>
    <w:rsid w:val="0069748F"/>
    <w:rsid w:val="006A1261"/>
    <w:rsid w:val="006B15C2"/>
    <w:rsid w:val="006C3030"/>
    <w:rsid w:val="006C3E43"/>
    <w:rsid w:val="006C5DF1"/>
    <w:rsid w:val="006C63CE"/>
    <w:rsid w:val="006C6470"/>
    <w:rsid w:val="006C75C1"/>
    <w:rsid w:val="006C7A55"/>
    <w:rsid w:val="006D64E4"/>
    <w:rsid w:val="006D7B60"/>
    <w:rsid w:val="006E6952"/>
    <w:rsid w:val="006F119E"/>
    <w:rsid w:val="006F1734"/>
    <w:rsid w:val="006F2AAB"/>
    <w:rsid w:val="006F2E0C"/>
    <w:rsid w:val="007047E2"/>
    <w:rsid w:val="0070740D"/>
    <w:rsid w:val="0071067E"/>
    <w:rsid w:val="00715428"/>
    <w:rsid w:val="00715552"/>
    <w:rsid w:val="007303C1"/>
    <w:rsid w:val="00734345"/>
    <w:rsid w:val="007420EE"/>
    <w:rsid w:val="007443D5"/>
    <w:rsid w:val="007467AB"/>
    <w:rsid w:val="00755561"/>
    <w:rsid w:val="00764A57"/>
    <w:rsid w:val="007654C8"/>
    <w:rsid w:val="00775279"/>
    <w:rsid w:val="00777C75"/>
    <w:rsid w:val="0078151E"/>
    <w:rsid w:val="007830A0"/>
    <w:rsid w:val="00793F85"/>
    <w:rsid w:val="00794FB9"/>
    <w:rsid w:val="007976AC"/>
    <w:rsid w:val="00797C2F"/>
    <w:rsid w:val="007B267B"/>
    <w:rsid w:val="007B3BBA"/>
    <w:rsid w:val="007B518D"/>
    <w:rsid w:val="007C0808"/>
    <w:rsid w:val="007C5374"/>
    <w:rsid w:val="007D15CC"/>
    <w:rsid w:val="007D3E13"/>
    <w:rsid w:val="007D4696"/>
    <w:rsid w:val="007D695C"/>
    <w:rsid w:val="007E4B79"/>
    <w:rsid w:val="007F442C"/>
    <w:rsid w:val="007F598E"/>
    <w:rsid w:val="007F68E4"/>
    <w:rsid w:val="008016EC"/>
    <w:rsid w:val="008059CF"/>
    <w:rsid w:val="008113A1"/>
    <w:rsid w:val="00811614"/>
    <w:rsid w:val="008120EF"/>
    <w:rsid w:val="00816B27"/>
    <w:rsid w:val="00816F02"/>
    <w:rsid w:val="00820FC0"/>
    <w:rsid w:val="0082686D"/>
    <w:rsid w:val="008276F5"/>
    <w:rsid w:val="00827831"/>
    <w:rsid w:val="00830781"/>
    <w:rsid w:val="0083113B"/>
    <w:rsid w:val="008311F6"/>
    <w:rsid w:val="00833A23"/>
    <w:rsid w:val="008415CA"/>
    <w:rsid w:val="00842A36"/>
    <w:rsid w:val="00843CA0"/>
    <w:rsid w:val="00851B78"/>
    <w:rsid w:val="00853979"/>
    <w:rsid w:val="008551AC"/>
    <w:rsid w:val="00862649"/>
    <w:rsid w:val="00875173"/>
    <w:rsid w:val="00876D9E"/>
    <w:rsid w:val="008779FF"/>
    <w:rsid w:val="00884935"/>
    <w:rsid w:val="00887A6A"/>
    <w:rsid w:val="008918D0"/>
    <w:rsid w:val="0089533B"/>
    <w:rsid w:val="00897094"/>
    <w:rsid w:val="008B3A21"/>
    <w:rsid w:val="008C0499"/>
    <w:rsid w:val="008C10D0"/>
    <w:rsid w:val="008C1863"/>
    <w:rsid w:val="008C709C"/>
    <w:rsid w:val="008D3826"/>
    <w:rsid w:val="008E4D27"/>
    <w:rsid w:val="008E7125"/>
    <w:rsid w:val="008F0BEA"/>
    <w:rsid w:val="008F1F04"/>
    <w:rsid w:val="008F308F"/>
    <w:rsid w:val="00901921"/>
    <w:rsid w:val="00903441"/>
    <w:rsid w:val="00910F12"/>
    <w:rsid w:val="009324CE"/>
    <w:rsid w:val="00937126"/>
    <w:rsid w:val="009376B7"/>
    <w:rsid w:val="0096294A"/>
    <w:rsid w:val="00967412"/>
    <w:rsid w:val="0097070D"/>
    <w:rsid w:val="00974443"/>
    <w:rsid w:val="00977FE3"/>
    <w:rsid w:val="00982C1A"/>
    <w:rsid w:val="00983BE3"/>
    <w:rsid w:val="009A6B26"/>
    <w:rsid w:val="009B5F87"/>
    <w:rsid w:val="009C1456"/>
    <w:rsid w:val="009C1FD6"/>
    <w:rsid w:val="009C6A63"/>
    <w:rsid w:val="009D00BC"/>
    <w:rsid w:val="009D02BA"/>
    <w:rsid w:val="009D7EF1"/>
    <w:rsid w:val="009E2CE1"/>
    <w:rsid w:val="009F0DD3"/>
    <w:rsid w:val="00A00949"/>
    <w:rsid w:val="00A021D0"/>
    <w:rsid w:val="00A0264B"/>
    <w:rsid w:val="00A05E27"/>
    <w:rsid w:val="00A270FB"/>
    <w:rsid w:val="00A277AC"/>
    <w:rsid w:val="00A3092C"/>
    <w:rsid w:val="00A35101"/>
    <w:rsid w:val="00A37785"/>
    <w:rsid w:val="00A4191B"/>
    <w:rsid w:val="00A41FDD"/>
    <w:rsid w:val="00A46BC0"/>
    <w:rsid w:val="00A4753F"/>
    <w:rsid w:val="00A47AD0"/>
    <w:rsid w:val="00A54889"/>
    <w:rsid w:val="00A62547"/>
    <w:rsid w:val="00A7074D"/>
    <w:rsid w:val="00A70D06"/>
    <w:rsid w:val="00A869BA"/>
    <w:rsid w:val="00A90D5D"/>
    <w:rsid w:val="00A90DE9"/>
    <w:rsid w:val="00A9242E"/>
    <w:rsid w:val="00AA1AD9"/>
    <w:rsid w:val="00AA2A14"/>
    <w:rsid w:val="00AB7124"/>
    <w:rsid w:val="00AC481F"/>
    <w:rsid w:val="00AC6895"/>
    <w:rsid w:val="00AD467E"/>
    <w:rsid w:val="00AE2D02"/>
    <w:rsid w:val="00AF4619"/>
    <w:rsid w:val="00AF72A6"/>
    <w:rsid w:val="00B006AA"/>
    <w:rsid w:val="00B00BFF"/>
    <w:rsid w:val="00B01F46"/>
    <w:rsid w:val="00B156F5"/>
    <w:rsid w:val="00B15BC4"/>
    <w:rsid w:val="00B16E3F"/>
    <w:rsid w:val="00B23309"/>
    <w:rsid w:val="00B25189"/>
    <w:rsid w:val="00B25191"/>
    <w:rsid w:val="00B265D3"/>
    <w:rsid w:val="00B35C52"/>
    <w:rsid w:val="00B42738"/>
    <w:rsid w:val="00B42912"/>
    <w:rsid w:val="00B51BA6"/>
    <w:rsid w:val="00B52078"/>
    <w:rsid w:val="00B55AA0"/>
    <w:rsid w:val="00B57BC9"/>
    <w:rsid w:val="00B57F41"/>
    <w:rsid w:val="00B60546"/>
    <w:rsid w:val="00B61622"/>
    <w:rsid w:val="00B62473"/>
    <w:rsid w:val="00B63F5E"/>
    <w:rsid w:val="00B676D3"/>
    <w:rsid w:val="00B7111E"/>
    <w:rsid w:val="00B72BE2"/>
    <w:rsid w:val="00B74083"/>
    <w:rsid w:val="00B83052"/>
    <w:rsid w:val="00B8684F"/>
    <w:rsid w:val="00B87DE5"/>
    <w:rsid w:val="00B91F4A"/>
    <w:rsid w:val="00BB00C3"/>
    <w:rsid w:val="00BB0A45"/>
    <w:rsid w:val="00BB2F65"/>
    <w:rsid w:val="00BB4758"/>
    <w:rsid w:val="00BC510D"/>
    <w:rsid w:val="00BD0C88"/>
    <w:rsid w:val="00BD1077"/>
    <w:rsid w:val="00BD2F97"/>
    <w:rsid w:val="00BD403B"/>
    <w:rsid w:val="00BD5F49"/>
    <w:rsid w:val="00BE3436"/>
    <w:rsid w:val="00BE4B0E"/>
    <w:rsid w:val="00BF12DE"/>
    <w:rsid w:val="00BF6E7C"/>
    <w:rsid w:val="00BF75F9"/>
    <w:rsid w:val="00C12ABE"/>
    <w:rsid w:val="00C21CE7"/>
    <w:rsid w:val="00C26020"/>
    <w:rsid w:val="00C33AB2"/>
    <w:rsid w:val="00C36824"/>
    <w:rsid w:val="00C51271"/>
    <w:rsid w:val="00C56941"/>
    <w:rsid w:val="00C617F8"/>
    <w:rsid w:val="00C64491"/>
    <w:rsid w:val="00C679E6"/>
    <w:rsid w:val="00C67FDD"/>
    <w:rsid w:val="00C72642"/>
    <w:rsid w:val="00C73BFC"/>
    <w:rsid w:val="00C81B0D"/>
    <w:rsid w:val="00C85CF0"/>
    <w:rsid w:val="00C90FFA"/>
    <w:rsid w:val="00CA4964"/>
    <w:rsid w:val="00CB2F6C"/>
    <w:rsid w:val="00CB440D"/>
    <w:rsid w:val="00CB458A"/>
    <w:rsid w:val="00CC3237"/>
    <w:rsid w:val="00CC73F0"/>
    <w:rsid w:val="00CD0D8A"/>
    <w:rsid w:val="00CD28BD"/>
    <w:rsid w:val="00CD2C9C"/>
    <w:rsid w:val="00CD764A"/>
    <w:rsid w:val="00CF1CF1"/>
    <w:rsid w:val="00CF2A2E"/>
    <w:rsid w:val="00CF341E"/>
    <w:rsid w:val="00CF36A1"/>
    <w:rsid w:val="00D22CC1"/>
    <w:rsid w:val="00D25CD7"/>
    <w:rsid w:val="00D26A8E"/>
    <w:rsid w:val="00D2769E"/>
    <w:rsid w:val="00D37CAC"/>
    <w:rsid w:val="00D4115F"/>
    <w:rsid w:val="00D46204"/>
    <w:rsid w:val="00D51E0C"/>
    <w:rsid w:val="00D62A1F"/>
    <w:rsid w:val="00D702AB"/>
    <w:rsid w:val="00D728E7"/>
    <w:rsid w:val="00D732D2"/>
    <w:rsid w:val="00D74697"/>
    <w:rsid w:val="00D76549"/>
    <w:rsid w:val="00D86424"/>
    <w:rsid w:val="00D957DD"/>
    <w:rsid w:val="00DA22DF"/>
    <w:rsid w:val="00DB05A8"/>
    <w:rsid w:val="00DB3C20"/>
    <w:rsid w:val="00DC5FA6"/>
    <w:rsid w:val="00DD39B8"/>
    <w:rsid w:val="00DE0E8D"/>
    <w:rsid w:val="00DE2572"/>
    <w:rsid w:val="00DE2989"/>
    <w:rsid w:val="00DF7CEF"/>
    <w:rsid w:val="00E115E9"/>
    <w:rsid w:val="00E21E4C"/>
    <w:rsid w:val="00E221C2"/>
    <w:rsid w:val="00E301F8"/>
    <w:rsid w:val="00E332A9"/>
    <w:rsid w:val="00E36F58"/>
    <w:rsid w:val="00E556E7"/>
    <w:rsid w:val="00E56071"/>
    <w:rsid w:val="00E6124D"/>
    <w:rsid w:val="00E67ECA"/>
    <w:rsid w:val="00E76749"/>
    <w:rsid w:val="00E928C8"/>
    <w:rsid w:val="00E93F8D"/>
    <w:rsid w:val="00E968CD"/>
    <w:rsid w:val="00EB2573"/>
    <w:rsid w:val="00EB45C8"/>
    <w:rsid w:val="00EB7424"/>
    <w:rsid w:val="00EC21D9"/>
    <w:rsid w:val="00ED7730"/>
    <w:rsid w:val="00EE5A0F"/>
    <w:rsid w:val="00EF05F1"/>
    <w:rsid w:val="00EF0FE3"/>
    <w:rsid w:val="00EF144A"/>
    <w:rsid w:val="00EF2266"/>
    <w:rsid w:val="00EF318C"/>
    <w:rsid w:val="00EF4132"/>
    <w:rsid w:val="00F01125"/>
    <w:rsid w:val="00F013C6"/>
    <w:rsid w:val="00F05E02"/>
    <w:rsid w:val="00F07771"/>
    <w:rsid w:val="00F1431A"/>
    <w:rsid w:val="00F2140C"/>
    <w:rsid w:val="00F22F45"/>
    <w:rsid w:val="00F2331E"/>
    <w:rsid w:val="00F23C03"/>
    <w:rsid w:val="00F24751"/>
    <w:rsid w:val="00F25E81"/>
    <w:rsid w:val="00F2681E"/>
    <w:rsid w:val="00F30356"/>
    <w:rsid w:val="00F325BC"/>
    <w:rsid w:val="00F33DE2"/>
    <w:rsid w:val="00F413F5"/>
    <w:rsid w:val="00F44713"/>
    <w:rsid w:val="00F474E9"/>
    <w:rsid w:val="00F503A4"/>
    <w:rsid w:val="00F50B6B"/>
    <w:rsid w:val="00F51BA2"/>
    <w:rsid w:val="00F530A2"/>
    <w:rsid w:val="00F601D7"/>
    <w:rsid w:val="00F6086C"/>
    <w:rsid w:val="00F61F89"/>
    <w:rsid w:val="00F6765F"/>
    <w:rsid w:val="00F67EAC"/>
    <w:rsid w:val="00F75550"/>
    <w:rsid w:val="00F8304B"/>
    <w:rsid w:val="00F95A14"/>
    <w:rsid w:val="00FA25CC"/>
    <w:rsid w:val="00FA7D95"/>
    <w:rsid w:val="00FB1C19"/>
    <w:rsid w:val="00FC07A2"/>
    <w:rsid w:val="00FC1F05"/>
    <w:rsid w:val="00FC333A"/>
    <w:rsid w:val="00FD189B"/>
    <w:rsid w:val="00FD5185"/>
    <w:rsid w:val="00FE0176"/>
    <w:rsid w:val="00FE1AA1"/>
    <w:rsid w:val="00FE1E66"/>
    <w:rsid w:val="00FE323D"/>
    <w:rsid w:val="00FE7B5E"/>
    <w:rsid w:val="00FF19BC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6FBB1"/>
  <w15:docId w15:val="{D7A12934-E44F-4D83-87AF-C9CB147B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numPr>
        <w:numId w:val="2"/>
      </w:numPr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D4696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D4696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4696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D4696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D4696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D4696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D4696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D4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D46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D46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D46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D46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D46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D46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7B51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5EBF-3271-441A-8C57-BE7FF1913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1B2BF-145D-433A-94C9-1F6577331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BBA0F-D157-4014-824A-CA85BCC9ABF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f22d7286-dd96-43f1-addf-1aa01b23943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E8B05A-968D-46E5-92B8-4A71F621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Dedicated Schools Grant and Schools Block 2020-21</dc:title>
  <dc:creator>David Tully</dc:creator>
  <cp:lastModifiedBy>Phillip Nduoyo</cp:lastModifiedBy>
  <cp:revision>7</cp:revision>
  <cp:lastPrinted>2020-01-09T16:52:00Z</cp:lastPrinted>
  <dcterms:created xsi:type="dcterms:W3CDTF">2020-01-09T17:17:00Z</dcterms:created>
  <dcterms:modified xsi:type="dcterms:W3CDTF">2021-01-13T13:47:00Z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  <property fmtid="{D5CDD505-2E9C-101B-9397-08002B2CF9AE}" pid="3" name="Order">
    <vt:r8>2014600</vt:r8>
  </property>
</Properties>
</file>