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7471" w14:textId="79557EA0" w:rsidR="00155F17" w:rsidRPr="006703E4" w:rsidRDefault="00EC6F29" w:rsidP="006703E4">
      <w:pPr>
        <w:pStyle w:val="Heading1"/>
      </w:pPr>
      <w:r w:rsidRPr="006703E4">
        <w:t>De-delegation of Behaviour Support Services 2025-26</w:t>
      </w:r>
    </w:p>
    <w:p w14:paraId="3CC05374" w14:textId="1267EF21" w:rsidR="00155F17" w:rsidRPr="00155F17" w:rsidRDefault="00155F17">
      <w:r>
        <w:t>This paper is to provide further information on the above two options as requested by Schools Forum</w:t>
      </w:r>
    </w:p>
    <w:p w14:paraId="54D45957" w14:textId="372E9DC9" w:rsidR="00EC6F29" w:rsidRDefault="00155F17">
      <w:r>
        <w:t>Extract from de-delegated Services papers for Schools Forum</w:t>
      </w:r>
    </w:p>
    <w:p w14:paraId="2C6E6B61" w14:textId="77777777" w:rsidR="00EC6F29" w:rsidRPr="00D041C0" w:rsidRDefault="00EC6F29" w:rsidP="00EC6F29">
      <w:pPr>
        <w:pStyle w:val="NoSpacing"/>
        <w:numPr>
          <w:ilvl w:val="0"/>
          <w:numId w:val="1"/>
        </w:numPr>
        <w:ind w:left="567" w:hanging="567"/>
        <w:rPr>
          <w:b/>
          <w:bCs/>
          <w:sz w:val="22"/>
          <w:szCs w:val="22"/>
        </w:rPr>
      </w:pPr>
      <w:r w:rsidRPr="00D041C0">
        <w:rPr>
          <w:b/>
          <w:bCs/>
          <w:sz w:val="22"/>
          <w:szCs w:val="22"/>
        </w:rPr>
        <w:t>Options for 2025-26 – Behaviour Support Services</w:t>
      </w:r>
    </w:p>
    <w:p w14:paraId="231A2C93" w14:textId="77777777" w:rsidR="00EC6F29" w:rsidRPr="00D041C0" w:rsidRDefault="00EC6F29" w:rsidP="00EC6F29">
      <w:pPr>
        <w:pStyle w:val="NoSpacing"/>
        <w:ind w:left="567" w:hanging="567"/>
        <w:rPr>
          <w:sz w:val="22"/>
          <w:szCs w:val="22"/>
        </w:rPr>
      </w:pPr>
    </w:p>
    <w:p w14:paraId="3E2CD00E" w14:textId="1151BEEC" w:rsidR="00EC6F29" w:rsidRPr="00D041C0" w:rsidRDefault="00EC6F29" w:rsidP="00EC6F29">
      <w:pPr>
        <w:ind w:left="567" w:hanging="567"/>
        <w:jc w:val="both"/>
        <w:rPr>
          <w:color w:val="000000"/>
        </w:rPr>
      </w:pPr>
      <w:r w:rsidRPr="00D041C0">
        <w:t>4.1</w:t>
      </w:r>
      <w:r w:rsidRPr="00D041C0">
        <w:tab/>
      </w:r>
      <w:r w:rsidRPr="00D041C0">
        <w:rPr>
          <w:color w:val="000000"/>
        </w:rPr>
        <w:t xml:space="preserve">Behaviour support services are offered to schools dealing with challenging </w:t>
      </w:r>
      <w:r w:rsidRPr="00D041C0">
        <w:t xml:space="preserve">behaviour; mental health and parental conflict; and increase in complexity due to lack of specialist advice.  The team also providing training and support for attendance issues.  The funding is </w:t>
      </w:r>
      <w:proofErr w:type="gramStart"/>
      <w:r w:rsidR="00495BD9">
        <w:t>ensures</w:t>
      </w:r>
      <w:proofErr w:type="gramEnd"/>
      <w:r w:rsidR="00495BD9">
        <w:t xml:space="preserve"> schools can ensure</w:t>
      </w:r>
      <w:r w:rsidRPr="00D041C0">
        <w:t xml:space="preserve"> statutory</w:t>
      </w:r>
      <w:r w:rsidR="00495BD9">
        <w:t xml:space="preserve"> compliance</w:t>
      </w:r>
      <w:r w:rsidR="00362313">
        <w:t xml:space="preserve"> and proactive, preventative work</w:t>
      </w:r>
      <w:r w:rsidRPr="00D041C0">
        <w:t>, via bought-in service level agreement (SLA), and the de-delegated budget supporting the provision.</w:t>
      </w:r>
      <w:r w:rsidRPr="00D041C0">
        <w:rPr>
          <w:color w:val="000000"/>
        </w:rPr>
        <w:t xml:space="preserve">  The de delegation total will meet the cost of the SLA.</w:t>
      </w:r>
    </w:p>
    <w:p w14:paraId="58367BF5" w14:textId="77777777" w:rsidR="00EC6F29" w:rsidRPr="00D041C0" w:rsidRDefault="00EC6F29" w:rsidP="00EC6F29">
      <w:pPr>
        <w:pStyle w:val="NoSpacing"/>
        <w:ind w:left="567" w:hanging="567"/>
        <w:rPr>
          <w:sz w:val="22"/>
          <w:szCs w:val="22"/>
        </w:rPr>
      </w:pPr>
      <w:r w:rsidRPr="00D041C0">
        <w:rPr>
          <w:sz w:val="22"/>
          <w:szCs w:val="22"/>
        </w:rPr>
        <w:t>4.2</w:t>
      </w:r>
      <w:r w:rsidRPr="00D041C0">
        <w:rPr>
          <w:sz w:val="22"/>
          <w:szCs w:val="22"/>
        </w:rPr>
        <w:tab/>
        <w:t>There are two options that the local authority is asking Schools Forum to vote upon:</w:t>
      </w:r>
    </w:p>
    <w:p w14:paraId="3D3E3BCC" w14:textId="77777777" w:rsidR="00EC6F29" w:rsidRPr="00D041C0" w:rsidRDefault="00EC6F29" w:rsidP="00EC6F29">
      <w:pPr>
        <w:pStyle w:val="NoSpacing"/>
        <w:ind w:left="567" w:hanging="567"/>
        <w:rPr>
          <w:sz w:val="22"/>
          <w:szCs w:val="22"/>
        </w:rPr>
      </w:pPr>
    </w:p>
    <w:p w14:paraId="1788DA21" w14:textId="77777777" w:rsidR="00EC6F29" w:rsidRPr="00D041C0" w:rsidRDefault="00EC6F29" w:rsidP="00EC6F29">
      <w:pPr>
        <w:pStyle w:val="NoSpacing"/>
        <w:ind w:left="567"/>
        <w:rPr>
          <w:sz w:val="22"/>
          <w:szCs w:val="22"/>
        </w:rPr>
      </w:pPr>
      <w:r w:rsidRPr="004D30D4">
        <w:rPr>
          <w:b/>
          <w:bCs/>
          <w:sz w:val="22"/>
          <w:szCs w:val="22"/>
        </w:rPr>
        <w:t>Option 1</w:t>
      </w:r>
      <w:r w:rsidRPr="00D041C0">
        <w:rPr>
          <w:sz w:val="22"/>
          <w:szCs w:val="22"/>
        </w:rPr>
        <w:t xml:space="preserve"> - to uplift the 2024-2025 per pupil rate by the current Consumer Prices Index (CPI) inflation rate of 1.7%.  This would increase the per pupil rate as shown in the table below:</w:t>
      </w:r>
    </w:p>
    <w:p w14:paraId="7824CF5E" w14:textId="77777777" w:rsidR="00EC6F29" w:rsidRPr="00D041C0" w:rsidRDefault="00EC6F29" w:rsidP="00EC6F29">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EC6F29" w:rsidRPr="00D041C0" w14:paraId="1F316E81" w14:textId="77777777" w:rsidTr="004D30D4">
        <w:tc>
          <w:tcPr>
            <w:tcW w:w="1496" w:type="dxa"/>
          </w:tcPr>
          <w:p w14:paraId="37344FDF" w14:textId="77777777" w:rsidR="00EC6F29" w:rsidRPr="00D041C0" w:rsidRDefault="00EC6F29" w:rsidP="00597D3C">
            <w:pPr>
              <w:pStyle w:val="NoSpacing"/>
              <w:rPr>
                <w:b/>
                <w:bCs/>
                <w:sz w:val="22"/>
                <w:szCs w:val="22"/>
              </w:rPr>
            </w:pPr>
            <w:r w:rsidRPr="00D041C0">
              <w:rPr>
                <w:b/>
                <w:bCs/>
                <w:sz w:val="22"/>
                <w:szCs w:val="22"/>
              </w:rPr>
              <w:t>De-delegated Item</w:t>
            </w:r>
          </w:p>
        </w:tc>
        <w:tc>
          <w:tcPr>
            <w:tcW w:w="1261" w:type="dxa"/>
          </w:tcPr>
          <w:p w14:paraId="6CE8E843" w14:textId="77777777" w:rsidR="00EC6F29" w:rsidRPr="00D041C0" w:rsidRDefault="00EC6F29" w:rsidP="00597D3C">
            <w:pPr>
              <w:pStyle w:val="NoSpacing"/>
              <w:jc w:val="center"/>
              <w:rPr>
                <w:b/>
                <w:bCs/>
                <w:sz w:val="22"/>
                <w:szCs w:val="22"/>
              </w:rPr>
            </w:pPr>
            <w:r w:rsidRPr="00D041C0">
              <w:rPr>
                <w:b/>
                <w:bCs/>
                <w:sz w:val="22"/>
                <w:szCs w:val="22"/>
              </w:rPr>
              <w:t>2024-2025 Per Pupil Rate Maintained Primary Schools</w:t>
            </w:r>
          </w:p>
        </w:tc>
        <w:tc>
          <w:tcPr>
            <w:tcW w:w="1268" w:type="dxa"/>
          </w:tcPr>
          <w:p w14:paraId="3E2352C4" w14:textId="77777777" w:rsidR="00EC6F29" w:rsidRPr="00D041C0" w:rsidRDefault="00EC6F29" w:rsidP="00597D3C">
            <w:pPr>
              <w:pStyle w:val="NoSpacing"/>
              <w:jc w:val="center"/>
              <w:rPr>
                <w:b/>
                <w:bCs/>
                <w:sz w:val="22"/>
                <w:szCs w:val="22"/>
              </w:rPr>
            </w:pPr>
            <w:r w:rsidRPr="00D041C0">
              <w:rPr>
                <w:b/>
                <w:bCs/>
                <w:sz w:val="22"/>
                <w:szCs w:val="22"/>
              </w:rPr>
              <w:t>2024-2025 Per Pupil Rate Maintained Secondary Schools</w:t>
            </w:r>
          </w:p>
        </w:tc>
        <w:tc>
          <w:tcPr>
            <w:tcW w:w="1118" w:type="dxa"/>
          </w:tcPr>
          <w:p w14:paraId="6C2B0FED" w14:textId="77777777" w:rsidR="00EC6F29" w:rsidRPr="00D041C0" w:rsidRDefault="00EC6F29" w:rsidP="00597D3C">
            <w:pPr>
              <w:pStyle w:val="NoSpacing"/>
              <w:jc w:val="center"/>
              <w:rPr>
                <w:b/>
                <w:bCs/>
                <w:sz w:val="22"/>
                <w:szCs w:val="22"/>
              </w:rPr>
            </w:pPr>
            <w:r w:rsidRPr="00D041C0">
              <w:rPr>
                <w:b/>
                <w:bCs/>
                <w:sz w:val="22"/>
                <w:szCs w:val="22"/>
              </w:rPr>
              <w:t>2024-2025</w:t>
            </w:r>
          </w:p>
          <w:p w14:paraId="4B0EF86C" w14:textId="77777777" w:rsidR="00EC6F29" w:rsidRPr="00D041C0" w:rsidRDefault="00EC6F29" w:rsidP="00597D3C">
            <w:pPr>
              <w:pStyle w:val="NoSpacing"/>
              <w:jc w:val="center"/>
              <w:rPr>
                <w:b/>
                <w:bCs/>
                <w:sz w:val="22"/>
                <w:szCs w:val="22"/>
              </w:rPr>
            </w:pPr>
            <w:r w:rsidRPr="00D041C0">
              <w:rPr>
                <w:b/>
                <w:bCs/>
                <w:sz w:val="22"/>
                <w:szCs w:val="22"/>
              </w:rPr>
              <w:t>Per Pupil Rate Special Schools</w:t>
            </w:r>
          </w:p>
        </w:tc>
        <w:tc>
          <w:tcPr>
            <w:tcW w:w="1276" w:type="dxa"/>
            <w:shd w:val="clear" w:color="auto" w:fill="FFFF00"/>
          </w:tcPr>
          <w:p w14:paraId="185D34DB" w14:textId="77777777" w:rsidR="00EC6F29" w:rsidRPr="00D041C0" w:rsidRDefault="00EC6F29" w:rsidP="00597D3C">
            <w:pPr>
              <w:pStyle w:val="NoSpacing"/>
              <w:jc w:val="center"/>
              <w:rPr>
                <w:b/>
                <w:bCs/>
                <w:sz w:val="22"/>
                <w:szCs w:val="22"/>
              </w:rPr>
            </w:pPr>
            <w:r w:rsidRPr="00D041C0">
              <w:rPr>
                <w:b/>
                <w:bCs/>
                <w:sz w:val="22"/>
                <w:szCs w:val="22"/>
              </w:rPr>
              <w:t>2025-2026 Per Pupil Rate Maintained Primary Schools</w:t>
            </w:r>
          </w:p>
        </w:tc>
        <w:tc>
          <w:tcPr>
            <w:tcW w:w="1276" w:type="dxa"/>
            <w:shd w:val="clear" w:color="auto" w:fill="FFFF00"/>
          </w:tcPr>
          <w:p w14:paraId="4AC1856F" w14:textId="7A87E102" w:rsidR="00EC6F29" w:rsidRPr="00D041C0" w:rsidRDefault="00EC6F29" w:rsidP="00597D3C">
            <w:pPr>
              <w:pStyle w:val="NoSpacing"/>
              <w:jc w:val="center"/>
              <w:rPr>
                <w:b/>
                <w:bCs/>
                <w:sz w:val="22"/>
                <w:szCs w:val="22"/>
              </w:rPr>
            </w:pPr>
            <w:r w:rsidRPr="00D041C0">
              <w:rPr>
                <w:b/>
                <w:bCs/>
                <w:sz w:val="22"/>
                <w:szCs w:val="22"/>
              </w:rPr>
              <w:t>2025-2026 Per Pupil Rate Maintained S</w:t>
            </w:r>
            <w:r>
              <w:rPr>
                <w:b/>
                <w:bCs/>
                <w:sz w:val="22"/>
                <w:szCs w:val="22"/>
              </w:rPr>
              <w:t>econdary</w:t>
            </w:r>
            <w:r w:rsidRPr="00D041C0">
              <w:rPr>
                <w:b/>
                <w:bCs/>
                <w:sz w:val="22"/>
                <w:szCs w:val="22"/>
              </w:rPr>
              <w:t xml:space="preserve"> Schools</w:t>
            </w:r>
          </w:p>
        </w:tc>
        <w:tc>
          <w:tcPr>
            <w:tcW w:w="1089" w:type="dxa"/>
          </w:tcPr>
          <w:p w14:paraId="7D28BEEC" w14:textId="77777777" w:rsidR="00EC6F29" w:rsidRPr="00D041C0" w:rsidRDefault="00EC6F29" w:rsidP="00597D3C">
            <w:pPr>
              <w:pStyle w:val="NoSpacing"/>
              <w:jc w:val="center"/>
              <w:rPr>
                <w:b/>
                <w:bCs/>
                <w:sz w:val="22"/>
                <w:szCs w:val="22"/>
              </w:rPr>
            </w:pPr>
            <w:r w:rsidRPr="00D041C0">
              <w:rPr>
                <w:b/>
                <w:bCs/>
                <w:sz w:val="22"/>
                <w:szCs w:val="22"/>
              </w:rPr>
              <w:t>2025-2026 Per Pupil Rate Special Schools</w:t>
            </w:r>
          </w:p>
        </w:tc>
      </w:tr>
      <w:tr w:rsidR="00EC6F29" w:rsidRPr="00D041C0" w14:paraId="7064B2EE" w14:textId="77777777" w:rsidTr="004D30D4">
        <w:tc>
          <w:tcPr>
            <w:tcW w:w="1496" w:type="dxa"/>
          </w:tcPr>
          <w:p w14:paraId="46690DA0" w14:textId="77777777" w:rsidR="00EC6F29" w:rsidRPr="00D041C0" w:rsidRDefault="00EC6F29" w:rsidP="00597D3C">
            <w:pPr>
              <w:pStyle w:val="NoSpacing"/>
              <w:rPr>
                <w:sz w:val="22"/>
                <w:szCs w:val="22"/>
              </w:rPr>
            </w:pPr>
            <w:r w:rsidRPr="00D041C0">
              <w:rPr>
                <w:sz w:val="22"/>
                <w:szCs w:val="22"/>
              </w:rPr>
              <w:t>Behaviour Support Services</w:t>
            </w:r>
          </w:p>
        </w:tc>
        <w:tc>
          <w:tcPr>
            <w:tcW w:w="1261" w:type="dxa"/>
          </w:tcPr>
          <w:p w14:paraId="473C86E5" w14:textId="77777777" w:rsidR="00EC6F29" w:rsidRPr="00D041C0" w:rsidRDefault="00EC6F29" w:rsidP="00597D3C">
            <w:pPr>
              <w:pStyle w:val="NoSpacing"/>
              <w:jc w:val="right"/>
              <w:rPr>
                <w:sz w:val="22"/>
                <w:szCs w:val="22"/>
              </w:rPr>
            </w:pPr>
          </w:p>
          <w:p w14:paraId="780FDBE0" w14:textId="77777777" w:rsidR="00EC6F29" w:rsidRPr="00D041C0" w:rsidRDefault="00EC6F29" w:rsidP="00597D3C">
            <w:pPr>
              <w:pStyle w:val="NoSpacing"/>
              <w:jc w:val="right"/>
              <w:rPr>
                <w:sz w:val="22"/>
                <w:szCs w:val="22"/>
              </w:rPr>
            </w:pPr>
            <w:r w:rsidRPr="00D041C0">
              <w:rPr>
                <w:sz w:val="22"/>
                <w:szCs w:val="22"/>
              </w:rPr>
              <w:t>£4.48</w:t>
            </w:r>
          </w:p>
        </w:tc>
        <w:tc>
          <w:tcPr>
            <w:tcW w:w="1268" w:type="dxa"/>
          </w:tcPr>
          <w:p w14:paraId="137314AB" w14:textId="77777777" w:rsidR="00EC6F29" w:rsidRPr="00D041C0" w:rsidRDefault="00EC6F29" w:rsidP="00597D3C">
            <w:pPr>
              <w:pStyle w:val="NoSpacing"/>
              <w:jc w:val="right"/>
              <w:rPr>
                <w:sz w:val="22"/>
                <w:szCs w:val="22"/>
              </w:rPr>
            </w:pPr>
          </w:p>
          <w:p w14:paraId="40EC9400" w14:textId="77777777" w:rsidR="00EC6F29" w:rsidRPr="00D041C0" w:rsidRDefault="00EC6F29" w:rsidP="00597D3C">
            <w:pPr>
              <w:pStyle w:val="NoSpacing"/>
              <w:jc w:val="right"/>
              <w:rPr>
                <w:sz w:val="22"/>
                <w:szCs w:val="22"/>
              </w:rPr>
            </w:pPr>
            <w:r w:rsidRPr="00D041C0">
              <w:rPr>
                <w:sz w:val="22"/>
                <w:szCs w:val="22"/>
              </w:rPr>
              <w:t>£7.71</w:t>
            </w:r>
          </w:p>
        </w:tc>
        <w:tc>
          <w:tcPr>
            <w:tcW w:w="1118" w:type="dxa"/>
          </w:tcPr>
          <w:p w14:paraId="4EF6A076" w14:textId="77777777" w:rsidR="00EC6F29" w:rsidRPr="00D041C0" w:rsidRDefault="00EC6F29" w:rsidP="00597D3C">
            <w:pPr>
              <w:pStyle w:val="NoSpacing"/>
              <w:jc w:val="right"/>
              <w:rPr>
                <w:sz w:val="22"/>
                <w:szCs w:val="22"/>
              </w:rPr>
            </w:pPr>
          </w:p>
          <w:p w14:paraId="6676AE40" w14:textId="77777777" w:rsidR="00EC6F29" w:rsidRPr="00D041C0" w:rsidRDefault="00EC6F29" w:rsidP="00597D3C">
            <w:pPr>
              <w:pStyle w:val="NoSpacing"/>
              <w:jc w:val="right"/>
              <w:rPr>
                <w:sz w:val="22"/>
                <w:szCs w:val="22"/>
              </w:rPr>
            </w:pPr>
            <w:r w:rsidRPr="00D041C0">
              <w:rPr>
                <w:sz w:val="22"/>
                <w:szCs w:val="22"/>
              </w:rPr>
              <w:t>£0.00</w:t>
            </w:r>
          </w:p>
        </w:tc>
        <w:tc>
          <w:tcPr>
            <w:tcW w:w="1276" w:type="dxa"/>
            <w:shd w:val="clear" w:color="auto" w:fill="FFFF00"/>
          </w:tcPr>
          <w:p w14:paraId="7207AFDA" w14:textId="77777777" w:rsidR="00EC6F29" w:rsidRPr="00D041C0" w:rsidRDefault="00EC6F29" w:rsidP="00597D3C">
            <w:pPr>
              <w:pStyle w:val="NoSpacing"/>
              <w:jc w:val="right"/>
              <w:rPr>
                <w:sz w:val="22"/>
                <w:szCs w:val="22"/>
              </w:rPr>
            </w:pPr>
          </w:p>
          <w:p w14:paraId="2BF23FE6" w14:textId="77777777" w:rsidR="00EC6F29" w:rsidRPr="00D041C0" w:rsidRDefault="00EC6F29" w:rsidP="00597D3C">
            <w:pPr>
              <w:pStyle w:val="NoSpacing"/>
              <w:jc w:val="right"/>
              <w:rPr>
                <w:sz w:val="22"/>
                <w:szCs w:val="22"/>
              </w:rPr>
            </w:pPr>
            <w:r w:rsidRPr="00D041C0">
              <w:rPr>
                <w:sz w:val="22"/>
                <w:szCs w:val="22"/>
              </w:rPr>
              <w:t>£4.55</w:t>
            </w:r>
          </w:p>
        </w:tc>
        <w:tc>
          <w:tcPr>
            <w:tcW w:w="1276" w:type="dxa"/>
            <w:shd w:val="clear" w:color="auto" w:fill="FFFF00"/>
          </w:tcPr>
          <w:p w14:paraId="078A1E38" w14:textId="77777777" w:rsidR="00EC6F29" w:rsidRPr="00D041C0" w:rsidRDefault="00EC6F29" w:rsidP="00597D3C">
            <w:pPr>
              <w:pStyle w:val="NoSpacing"/>
              <w:jc w:val="right"/>
              <w:rPr>
                <w:sz w:val="22"/>
                <w:szCs w:val="22"/>
              </w:rPr>
            </w:pPr>
          </w:p>
          <w:p w14:paraId="58B5FEA4" w14:textId="77777777" w:rsidR="00EC6F29" w:rsidRPr="00D041C0" w:rsidRDefault="00EC6F29" w:rsidP="00597D3C">
            <w:pPr>
              <w:pStyle w:val="NoSpacing"/>
              <w:jc w:val="right"/>
              <w:rPr>
                <w:sz w:val="22"/>
                <w:szCs w:val="22"/>
              </w:rPr>
            </w:pPr>
            <w:r w:rsidRPr="00D041C0">
              <w:rPr>
                <w:sz w:val="22"/>
                <w:szCs w:val="22"/>
              </w:rPr>
              <w:t>£7.84</w:t>
            </w:r>
          </w:p>
        </w:tc>
        <w:tc>
          <w:tcPr>
            <w:tcW w:w="1089" w:type="dxa"/>
          </w:tcPr>
          <w:p w14:paraId="58F6D18A" w14:textId="77777777" w:rsidR="00EC6F29" w:rsidRPr="00D041C0" w:rsidRDefault="00EC6F29" w:rsidP="00597D3C">
            <w:pPr>
              <w:pStyle w:val="NoSpacing"/>
              <w:jc w:val="right"/>
              <w:rPr>
                <w:sz w:val="22"/>
                <w:szCs w:val="22"/>
              </w:rPr>
            </w:pPr>
          </w:p>
          <w:p w14:paraId="0FD16D8F" w14:textId="77777777" w:rsidR="00EC6F29" w:rsidRPr="00D041C0" w:rsidRDefault="00EC6F29" w:rsidP="00597D3C">
            <w:pPr>
              <w:pStyle w:val="NoSpacing"/>
              <w:jc w:val="right"/>
              <w:rPr>
                <w:sz w:val="22"/>
                <w:szCs w:val="22"/>
              </w:rPr>
            </w:pPr>
            <w:r w:rsidRPr="00D041C0">
              <w:rPr>
                <w:sz w:val="22"/>
                <w:szCs w:val="22"/>
              </w:rPr>
              <w:t>£0.00</w:t>
            </w:r>
          </w:p>
        </w:tc>
      </w:tr>
    </w:tbl>
    <w:p w14:paraId="62314633" w14:textId="77777777" w:rsidR="00EC6F29" w:rsidRPr="00D041C0" w:rsidRDefault="00EC6F29" w:rsidP="00EC6F29">
      <w:pPr>
        <w:pStyle w:val="NoSpacing"/>
        <w:rPr>
          <w:sz w:val="22"/>
          <w:szCs w:val="22"/>
        </w:rPr>
      </w:pPr>
    </w:p>
    <w:p w14:paraId="175F088B" w14:textId="77777777" w:rsidR="00EC6F29" w:rsidRPr="00D041C0" w:rsidRDefault="00EC6F29" w:rsidP="00EC6F29">
      <w:pPr>
        <w:pStyle w:val="NoSpacing"/>
        <w:ind w:left="567"/>
        <w:rPr>
          <w:sz w:val="22"/>
          <w:szCs w:val="22"/>
        </w:rPr>
      </w:pPr>
      <w:r w:rsidRPr="004D30D4">
        <w:rPr>
          <w:b/>
          <w:bCs/>
          <w:sz w:val="22"/>
          <w:szCs w:val="22"/>
        </w:rPr>
        <w:t>Option 2</w:t>
      </w:r>
      <w:r w:rsidRPr="00D041C0">
        <w:rPr>
          <w:sz w:val="22"/>
          <w:szCs w:val="22"/>
        </w:rPr>
        <w:t xml:space="preserve"> - to uplift the 2024-2025 per pupil rate by an exceptional increase of 19.03% to cover the increase in the salaries and on-costs of the two Inclusion Support Teachers.  This would increase the per pupil rate as shown in the table below:</w:t>
      </w:r>
    </w:p>
    <w:p w14:paraId="33D77332" w14:textId="77777777" w:rsidR="00EC6F29" w:rsidRPr="00D041C0" w:rsidRDefault="00EC6F29" w:rsidP="00EC6F29">
      <w:pPr>
        <w:pStyle w:val="NoSpacing"/>
        <w:ind w:left="567" w:hanging="567"/>
        <w:rPr>
          <w:sz w:val="22"/>
          <w:szCs w:val="22"/>
        </w:rPr>
      </w:pPr>
    </w:p>
    <w:tbl>
      <w:tblPr>
        <w:tblStyle w:val="TableGrid"/>
        <w:tblW w:w="8784" w:type="dxa"/>
        <w:tblInd w:w="567" w:type="dxa"/>
        <w:tblLook w:val="04A0" w:firstRow="1" w:lastRow="0" w:firstColumn="1" w:lastColumn="0" w:noHBand="0" w:noVBand="1"/>
      </w:tblPr>
      <w:tblGrid>
        <w:gridCol w:w="1243"/>
        <w:gridCol w:w="1365"/>
        <w:gridCol w:w="1365"/>
        <w:gridCol w:w="1072"/>
        <w:gridCol w:w="1365"/>
        <w:gridCol w:w="1365"/>
        <w:gridCol w:w="1072"/>
      </w:tblGrid>
      <w:tr w:rsidR="00EC6F29" w:rsidRPr="00D041C0" w14:paraId="2A2A31B4" w14:textId="77777777" w:rsidTr="004D30D4">
        <w:tc>
          <w:tcPr>
            <w:tcW w:w="1496" w:type="dxa"/>
          </w:tcPr>
          <w:p w14:paraId="6B6B0F91" w14:textId="77777777" w:rsidR="00EC6F29" w:rsidRPr="00D041C0" w:rsidRDefault="00EC6F29" w:rsidP="00597D3C">
            <w:pPr>
              <w:pStyle w:val="NoSpacing"/>
              <w:rPr>
                <w:b/>
                <w:bCs/>
                <w:sz w:val="22"/>
                <w:szCs w:val="22"/>
              </w:rPr>
            </w:pPr>
            <w:r w:rsidRPr="00D041C0">
              <w:rPr>
                <w:b/>
                <w:bCs/>
                <w:sz w:val="22"/>
                <w:szCs w:val="22"/>
              </w:rPr>
              <w:t>De-delegated Item</w:t>
            </w:r>
          </w:p>
        </w:tc>
        <w:tc>
          <w:tcPr>
            <w:tcW w:w="1261" w:type="dxa"/>
          </w:tcPr>
          <w:p w14:paraId="054115AE" w14:textId="77777777" w:rsidR="00EC6F29" w:rsidRPr="00D041C0" w:rsidRDefault="00EC6F29" w:rsidP="00597D3C">
            <w:pPr>
              <w:pStyle w:val="NoSpacing"/>
              <w:jc w:val="center"/>
              <w:rPr>
                <w:b/>
                <w:bCs/>
                <w:sz w:val="22"/>
                <w:szCs w:val="22"/>
              </w:rPr>
            </w:pPr>
            <w:r w:rsidRPr="00D041C0">
              <w:rPr>
                <w:b/>
                <w:bCs/>
                <w:sz w:val="22"/>
                <w:szCs w:val="22"/>
              </w:rPr>
              <w:t>2024-2025 Per Pupil Rate Maintained Primary Schools</w:t>
            </w:r>
          </w:p>
        </w:tc>
        <w:tc>
          <w:tcPr>
            <w:tcW w:w="1268" w:type="dxa"/>
          </w:tcPr>
          <w:p w14:paraId="2CE96C2F" w14:textId="77777777" w:rsidR="00EC6F29" w:rsidRPr="00D041C0" w:rsidRDefault="00EC6F29" w:rsidP="00597D3C">
            <w:pPr>
              <w:pStyle w:val="NoSpacing"/>
              <w:jc w:val="center"/>
              <w:rPr>
                <w:b/>
                <w:bCs/>
                <w:sz w:val="22"/>
                <w:szCs w:val="22"/>
              </w:rPr>
            </w:pPr>
            <w:r w:rsidRPr="00D041C0">
              <w:rPr>
                <w:b/>
                <w:bCs/>
                <w:sz w:val="22"/>
                <w:szCs w:val="22"/>
              </w:rPr>
              <w:t>2024-2025 Per Pupil Rate Maintained Secondary Schools</w:t>
            </w:r>
          </w:p>
        </w:tc>
        <w:tc>
          <w:tcPr>
            <w:tcW w:w="1118" w:type="dxa"/>
          </w:tcPr>
          <w:p w14:paraId="11E814DA" w14:textId="77777777" w:rsidR="00EC6F29" w:rsidRPr="00D041C0" w:rsidRDefault="00EC6F29" w:rsidP="00597D3C">
            <w:pPr>
              <w:pStyle w:val="NoSpacing"/>
              <w:jc w:val="center"/>
              <w:rPr>
                <w:b/>
                <w:bCs/>
                <w:sz w:val="22"/>
                <w:szCs w:val="22"/>
              </w:rPr>
            </w:pPr>
            <w:r w:rsidRPr="00D041C0">
              <w:rPr>
                <w:b/>
                <w:bCs/>
                <w:sz w:val="22"/>
                <w:szCs w:val="22"/>
              </w:rPr>
              <w:t>2024-2025</w:t>
            </w:r>
          </w:p>
          <w:p w14:paraId="0F74B781" w14:textId="77777777" w:rsidR="00EC6F29" w:rsidRPr="00D041C0" w:rsidRDefault="00EC6F29" w:rsidP="00597D3C">
            <w:pPr>
              <w:pStyle w:val="NoSpacing"/>
              <w:jc w:val="center"/>
              <w:rPr>
                <w:b/>
                <w:bCs/>
                <w:sz w:val="22"/>
                <w:szCs w:val="22"/>
              </w:rPr>
            </w:pPr>
            <w:r w:rsidRPr="00D041C0">
              <w:rPr>
                <w:b/>
                <w:bCs/>
                <w:sz w:val="22"/>
                <w:szCs w:val="22"/>
              </w:rPr>
              <w:t>Per Pupil Rate Special Schools</w:t>
            </w:r>
          </w:p>
        </w:tc>
        <w:tc>
          <w:tcPr>
            <w:tcW w:w="1276" w:type="dxa"/>
            <w:shd w:val="clear" w:color="auto" w:fill="FFFF00"/>
          </w:tcPr>
          <w:p w14:paraId="0BB08E35" w14:textId="77777777" w:rsidR="00EC6F29" w:rsidRPr="00D041C0" w:rsidRDefault="00EC6F29" w:rsidP="00597D3C">
            <w:pPr>
              <w:pStyle w:val="NoSpacing"/>
              <w:jc w:val="center"/>
              <w:rPr>
                <w:b/>
                <w:bCs/>
                <w:sz w:val="22"/>
                <w:szCs w:val="22"/>
              </w:rPr>
            </w:pPr>
            <w:r w:rsidRPr="00D041C0">
              <w:rPr>
                <w:b/>
                <w:bCs/>
                <w:sz w:val="22"/>
                <w:szCs w:val="22"/>
              </w:rPr>
              <w:t>2025-2026 Per Pupil Rate Maintained Primary Schools</w:t>
            </w:r>
          </w:p>
        </w:tc>
        <w:tc>
          <w:tcPr>
            <w:tcW w:w="1276" w:type="dxa"/>
            <w:shd w:val="clear" w:color="auto" w:fill="FFFF00"/>
          </w:tcPr>
          <w:p w14:paraId="10692500" w14:textId="0E2E6C99" w:rsidR="00EC6F29" w:rsidRDefault="00EC6F29" w:rsidP="00597D3C">
            <w:pPr>
              <w:pStyle w:val="NoSpacing"/>
              <w:jc w:val="center"/>
              <w:rPr>
                <w:b/>
                <w:bCs/>
                <w:sz w:val="22"/>
                <w:szCs w:val="22"/>
              </w:rPr>
            </w:pPr>
            <w:r w:rsidRPr="00D041C0">
              <w:rPr>
                <w:b/>
                <w:bCs/>
                <w:sz w:val="22"/>
                <w:szCs w:val="22"/>
              </w:rPr>
              <w:t>2025-2026 Per Pupil Rate Maintained S</w:t>
            </w:r>
            <w:r>
              <w:rPr>
                <w:b/>
                <w:bCs/>
                <w:sz w:val="22"/>
                <w:szCs w:val="22"/>
              </w:rPr>
              <w:t>econdary</w:t>
            </w:r>
          </w:p>
          <w:p w14:paraId="0F4C3F87" w14:textId="765AB1EF" w:rsidR="00EC6F29" w:rsidRPr="00D041C0" w:rsidRDefault="00EC6F29" w:rsidP="00597D3C">
            <w:pPr>
              <w:pStyle w:val="NoSpacing"/>
              <w:jc w:val="center"/>
              <w:rPr>
                <w:b/>
                <w:bCs/>
                <w:sz w:val="22"/>
                <w:szCs w:val="22"/>
              </w:rPr>
            </w:pPr>
            <w:r w:rsidRPr="00D041C0">
              <w:rPr>
                <w:b/>
                <w:bCs/>
                <w:sz w:val="22"/>
                <w:szCs w:val="22"/>
              </w:rPr>
              <w:t>Schools</w:t>
            </w:r>
          </w:p>
        </w:tc>
        <w:tc>
          <w:tcPr>
            <w:tcW w:w="1089" w:type="dxa"/>
          </w:tcPr>
          <w:p w14:paraId="7B2DE153" w14:textId="77777777" w:rsidR="00EC6F29" w:rsidRPr="00D041C0" w:rsidRDefault="00EC6F29" w:rsidP="00597D3C">
            <w:pPr>
              <w:pStyle w:val="NoSpacing"/>
              <w:jc w:val="center"/>
              <w:rPr>
                <w:b/>
                <w:bCs/>
                <w:sz w:val="22"/>
                <w:szCs w:val="22"/>
              </w:rPr>
            </w:pPr>
            <w:r w:rsidRPr="00D041C0">
              <w:rPr>
                <w:b/>
                <w:bCs/>
                <w:sz w:val="22"/>
                <w:szCs w:val="22"/>
              </w:rPr>
              <w:t>2025-2026 Per Pupil Rate Special Schools</w:t>
            </w:r>
          </w:p>
        </w:tc>
      </w:tr>
      <w:tr w:rsidR="00EC6F29" w:rsidRPr="00D041C0" w14:paraId="47208FFC" w14:textId="77777777" w:rsidTr="004D30D4">
        <w:tc>
          <w:tcPr>
            <w:tcW w:w="1496" w:type="dxa"/>
          </w:tcPr>
          <w:p w14:paraId="2FC1864E" w14:textId="77777777" w:rsidR="00EC6F29" w:rsidRPr="00D041C0" w:rsidRDefault="00EC6F29" w:rsidP="00597D3C">
            <w:pPr>
              <w:pStyle w:val="NoSpacing"/>
              <w:rPr>
                <w:sz w:val="22"/>
                <w:szCs w:val="22"/>
              </w:rPr>
            </w:pPr>
            <w:r w:rsidRPr="00D041C0">
              <w:rPr>
                <w:sz w:val="22"/>
                <w:szCs w:val="22"/>
              </w:rPr>
              <w:t>Behaviour Support Services</w:t>
            </w:r>
          </w:p>
        </w:tc>
        <w:tc>
          <w:tcPr>
            <w:tcW w:w="1261" w:type="dxa"/>
          </w:tcPr>
          <w:p w14:paraId="2E4A35DB" w14:textId="77777777" w:rsidR="00EC6F29" w:rsidRPr="00D041C0" w:rsidRDefault="00EC6F29" w:rsidP="00597D3C">
            <w:pPr>
              <w:pStyle w:val="NoSpacing"/>
              <w:jc w:val="right"/>
              <w:rPr>
                <w:sz w:val="22"/>
                <w:szCs w:val="22"/>
              </w:rPr>
            </w:pPr>
          </w:p>
          <w:p w14:paraId="7000CC07" w14:textId="77777777" w:rsidR="00EC6F29" w:rsidRPr="00D041C0" w:rsidRDefault="00EC6F29" w:rsidP="00597D3C">
            <w:pPr>
              <w:pStyle w:val="NoSpacing"/>
              <w:jc w:val="right"/>
              <w:rPr>
                <w:sz w:val="22"/>
                <w:szCs w:val="22"/>
              </w:rPr>
            </w:pPr>
            <w:r w:rsidRPr="00D041C0">
              <w:rPr>
                <w:sz w:val="22"/>
                <w:szCs w:val="22"/>
              </w:rPr>
              <w:t>£4.48</w:t>
            </w:r>
          </w:p>
        </w:tc>
        <w:tc>
          <w:tcPr>
            <w:tcW w:w="1268" w:type="dxa"/>
          </w:tcPr>
          <w:p w14:paraId="69A00E98" w14:textId="77777777" w:rsidR="00EC6F29" w:rsidRPr="00D041C0" w:rsidRDefault="00EC6F29" w:rsidP="00597D3C">
            <w:pPr>
              <w:pStyle w:val="NoSpacing"/>
              <w:jc w:val="right"/>
              <w:rPr>
                <w:sz w:val="22"/>
                <w:szCs w:val="22"/>
              </w:rPr>
            </w:pPr>
          </w:p>
          <w:p w14:paraId="3C5CC658" w14:textId="77777777" w:rsidR="00EC6F29" w:rsidRPr="00D041C0" w:rsidRDefault="00EC6F29" w:rsidP="00597D3C">
            <w:pPr>
              <w:pStyle w:val="NoSpacing"/>
              <w:jc w:val="right"/>
              <w:rPr>
                <w:sz w:val="22"/>
                <w:szCs w:val="22"/>
              </w:rPr>
            </w:pPr>
            <w:r w:rsidRPr="00D041C0">
              <w:rPr>
                <w:sz w:val="22"/>
                <w:szCs w:val="22"/>
              </w:rPr>
              <w:t>£7.71</w:t>
            </w:r>
          </w:p>
        </w:tc>
        <w:tc>
          <w:tcPr>
            <w:tcW w:w="1118" w:type="dxa"/>
          </w:tcPr>
          <w:p w14:paraId="4E31F1BD" w14:textId="77777777" w:rsidR="00EC6F29" w:rsidRPr="00D041C0" w:rsidRDefault="00EC6F29" w:rsidP="00597D3C">
            <w:pPr>
              <w:pStyle w:val="NoSpacing"/>
              <w:jc w:val="right"/>
              <w:rPr>
                <w:sz w:val="22"/>
                <w:szCs w:val="22"/>
              </w:rPr>
            </w:pPr>
          </w:p>
          <w:p w14:paraId="6D13BC58" w14:textId="77777777" w:rsidR="00EC6F29" w:rsidRPr="00D041C0" w:rsidRDefault="00EC6F29" w:rsidP="00597D3C">
            <w:pPr>
              <w:pStyle w:val="NoSpacing"/>
              <w:jc w:val="right"/>
              <w:rPr>
                <w:sz w:val="22"/>
                <w:szCs w:val="22"/>
              </w:rPr>
            </w:pPr>
            <w:r w:rsidRPr="00D041C0">
              <w:rPr>
                <w:sz w:val="22"/>
                <w:szCs w:val="22"/>
              </w:rPr>
              <w:t>£0.00</w:t>
            </w:r>
          </w:p>
        </w:tc>
        <w:tc>
          <w:tcPr>
            <w:tcW w:w="1276" w:type="dxa"/>
            <w:shd w:val="clear" w:color="auto" w:fill="FFFF00"/>
          </w:tcPr>
          <w:p w14:paraId="292D7042" w14:textId="77777777" w:rsidR="00EC6F29" w:rsidRPr="00D041C0" w:rsidRDefault="00EC6F29" w:rsidP="00597D3C">
            <w:pPr>
              <w:pStyle w:val="NoSpacing"/>
              <w:jc w:val="right"/>
              <w:rPr>
                <w:sz w:val="22"/>
                <w:szCs w:val="22"/>
              </w:rPr>
            </w:pPr>
          </w:p>
          <w:p w14:paraId="4F386A38" w14:textId="77777777" w:rsidR="00EC6F29" w:rsidRPr="00D041C0" w:rsidRDefault="00EC6F29" w:rsidP="00597D3C">
            <w:pPr>
              <w:pStyle w:val="NoSpacing"/>
              <w:jc w:val="right"/>
              <w:rPr>
                <w:sz w:val="22"/>
                <w:szCs w:val="22"/>
              </w:rPr>
            </w:pPr>
            <w:r w:rsidRPr="00D041C0">
              <w:rPr>
                <w:sz w:val="22"/>
                <w:szCs w:val="22"/>
              </w:rPr>
              <w:t>£5.42</w:t>
            </w:r>
          </w:p>
        </w:tc>
        <w:tc>
          <w:tcPr>
            <w:tcW w:w="1276" w:type="dxa"/>
            <w:shd w:val="clear" w:color="auto" w:fill="FFFF00"/>
          </w:tcPr>
          <w:p w14:paraId="424FC2CE" w14:textId="77777777" w:rsidR="00EC6F29" w:rsidRPr="00D041C0" w:rsidRDefault="00EC6F29" w:rsidP="00597D3C">
            <w:pPr>
              <w:pStyle w:val="NoSpacing"/>
              <w:jc w:val="right"/>
              <w:rPr>
                <w:sz w:val="22"/>
                <w:szCs w:val="22"/>
              </w:rPr>
            </w:pPr>
          </w:p>
          <w:p w14:paraId="08F13839" w14:textId="77777777" w:rsidR="00EC6F29" w:rsidRPr="00D041C0" w:rsidRDefault="00EC6F29" w:rsidP="00597D3C">
            <w:pPr>
              <w:pStyle w:val="NoSpacing"/>
              <w:jc w:val="right"/>
              <w:rPr>
                <w:sz w:val="22"/>
                <w:szCs w:val="22"/>
              </w:rPr>
            </w:pPr>
            <w:r w:rsidRPr="00D041C0">
              <w:rPr>
                <w:sz w:val="22"/>
                <w:szCs w:val="22"/>
              </w:rPr>
              <w:t>£9.33</w:t>
            </w:r>
          </w:p>
        </w:tc>
        <w:tc>
          <w:tcPr>
            <w:tcW w:w="1089" w:type="dxa"/>
          </w:tcPr>
          <w:p w14:paraId="29069EF3" w14:textId="77777777" w:rsidR="00EC6F29" w:rsidRPr="00D041C0" w:rsidRDefault="00EC6F29" w:rsidP="00597D3C">
            <w:pPr>
              <w:pStyle w:val="NoSpacing"/>
              <w:jc w:val="right"/>
              <w:rPr>
                <w:sz w:val="22"/>
                <w:szCs w:val="22"/>
              </w:rPr>
            </w:pPr>
          </w:p>
          <w:p w14:paraId="7E0CAB9D" w14:textId="77777777" w:rsidR="00EC6F29" w:rsidRPr="00D041C0" w:rsidRDefault="00EC6F29" w:rsidP="00597D3C">
            <w:pPr>
              <w:pStyle w:val="NoSpacing"/>
              <w:jc w:val="right"/>
              <w:rPr>
                <w:sz w:val="22"/>
                <w:szCs w:val="22"/>
              </w:rPr>
            </w:pPr>
            <w:r w:rsidRPr="00D041C0">
              <w:rPr>
                <w:sz w:val="22"/>
                <w:szCs w:val="22"/>
              </w:rPr>
              <w:t>£0.00</w:t>
            </w:r>
          </w:p>
        </w:tc>
      </w:tr>
    </w:tbl>
    <w:p w14:paraId="47408A64" w14:textId="77777777" w:rsidR="00EC6F29" w:rsidRPr="00D041C0" w:rsidRDefault="00EC6F29" w:rsidP="00EC6F29">
      <w:pPr>
        <w:pStyle w:val="NoSpacing"/>
        <w:rPr>
          <w:sz w:val="22"/>
          <w:szCs w:val="22"/>
        </w:rPr>
      </w:pPr>
    </w:p>
    <w:p w14:paraId="120A01FC" w14:textId="77777777" w:rsidR="00EC6F29" w:rsidRPr="00D041C0" w:rsidRDefault="00EC6F29" w:rsidP="00EC6F29">
      <w:pPr>
        <w:pStyle w:val="NoSpacing"/>
        <w:ind w:left="567"/>
        <w:rPr>
          <w:sz w:val="22"/>
          <w:szCs w:val="22"/>
        </w:rPr>
      </w:pPr>
      <w:r w:rsidRPr="00D041C0">
        <w:rPr>
          <w:sz w:val="22"/>
          <w:szCs w:val="22"/>
        </w:rPr>
        <w:t>The de-delegated services for Behaviour Support Services are applicable to maintained primary and secondary schools only as this service is not accessed by special schools.</w:t>
      </w:r>
    </w:p>
    <w:p w14:paraId="24FAEA5A" w14:textId="77777777" w:rsidR="00EC6F29" w:rsidRPr="00D041C0" w:rsidRDefault="00EC6F29" w:rsidP="00EC6F29">
      <w:pPr>
        <w:pStyle w:val="NoSpacing"/>
        <w:ind w:left="567"/>
        <w:rPr>
          <w:sz w:val="22"/>
          <w:szCs w:val="22"/>
        </w:rPr>
      </w:pPr>
    </w:p>
    <w:p w14:paraId="113E05F2" w14:textId="77777777" w:rsidR="00155F17" w:rsidRDefault="00155F17">
      <w:pPr>
        <w:rPr>
          <w:u w:val="single"/>
        </w:rPr>
      </w:pPr>
    </w:p>
    <w:p w14:paraId="3B10E762" w14:textId="384D86ED" w:rsidR="00EC6F29" w:rsidRPr="00155F17" w:rsidRDefault="00EC6F29" w:rsidP="006703E4">
      <w:pPr>
        <w:pStyle w:val="Heading2"/>
      </w:pPr>
      <w:r w:rsidRPr="00155F17">
        <w:lastRenderedPageBreak/>
        <w:t>Option 1: If the level of de-delegation of Behaviour Support is limited to the CPI inflation rate of 1.7%</w:t>
      </w:r>
    </w:p>
    <w:p w14:paraId="600E8AE9" w14:textId="2E20E426" w:rsidR="00EC6F29" w:rsidRDefault="00EC6F29">
      <w:r>
        <w:t xml:space="preserve">Teacher’s salaries have increased significantly over the past 2 years and currently the de-delegation amount, which historically covered 2fte specialist teacher posts, now only covers the equivalent of 1.2fte (with on-costs) The service has been covering the deficit </w:t>
      </w:r>
      <w:r w:rsidR="0064524B">
        <w:t>thus far but it has resulted in an overspend and staff not being replaced when they have left, which reduces the experience and specialist skillset available.</w:t>
      </w:r>
    </w:p>
    <w:p w14:paraId="5A253838" w14:textId="477A9A27" w:rsidR="00EC6F29" w:rsidRDefault="00EC6F29">
      <w:r>
        <w:t xml:space="preserve">If this level of de-delegation were to be continued then the </w:t>
      </w:r>
      <w:r w:rsidR="00753EAD">
        <w:t xml:space="preserve">consequence of that would be </w:t>
      </w:r>
      <w:r w:rsidR="0064524B">
        <w:t>the need to drastically reduce the number of referrals that the team can manage, bearing in mind that referrals have risen by 25% in the last 18 months and we are already forced to run a waiting list of 2-3 weeks continuously, which was not necessary prior to Covid</w:t>
      </w:r>
      <w:r w:rsidR="00155F17">
        <w:t>.</w:t>
      </w:r>
      <w:r w:rsidR="0064524B">
        <w:t xml:space="preserve"> Without increasing the capacity of the team, we project that waiting lists would rise to 6-8 weeks for active intervention and support.</w:t>
      </w:r>
    </w:p>
    <w:p w14:paraId="21BEBBD3" w14:textId="4FD7B29A" w:rsidR="0064524B" w:rsidRDefault="0064524B">
      <w:r>
        <w:t>Consider whether the Transition programme from Year 6-7 is sustainable. A new methodology of targeting highly vulnerable children based on those already experiencing suspensions and providing more intensive support was trialled last year but there would not be the capacity to continue with this.</w:t>
      </w:r>
    </w:p>
    <w:p w14:paraId="17796031" w14:textId="4578A475" w:rsidR="0064524B" w:rsidRDefault="0064524B">
      <w:r>
        <w:t>Consultations and requests for advice are usually able to be responded to on the same day or within 24 hours, this would have to reduce to a weekly surgery, which is a system that many other local authorities have implemented</w:t>
      </w:r>
      <w:r w:rsidR="00155F17">
        <w:t>,</w:t>
      </w:r>
      <w:r>
        <w:t xml:space="preserve"> but the risk would be that the already rising picture of suspensions and exclusions would only increase without staff having access to immediate advice and intervention.</w:t>
      </w:r>
    </w:p>
    <w:p w14:paraId="3B9B02C8" w14:textId="3639B425" w:rsidR="00495BD9" w:rsidRDefault="00495BD9">
      <w:r>
        <w:t>The Restorative Justice offer has already had to be removed, due to lack of capacity in both time and skills.</w:t>
      </w:r>
    </w:p>
    <w:p w14:paraId="3D09F472" w14:textId="68BF6942" w:rsidR="00495BD9" w:rsidRPr="00155F17" w:rsidRDefault="0064524B" w:rsidP="006703E4">
      <w:pPr>
        <w:pStyle w:val="Heading2"/>
      </w:pPr>
      <w:r w:rsidRPr="00155F17">
        <w:t>Option 2: Increase the level of de-delegation to reflect the rise of teachers’ salaries</w:t>
      </w:r>
      <w:r w:rsidR="00495BD9" w:rsidRPr="00155F17">
        <w:t xml:space="preserve"> (increase of 19.3% - per pupil calculations above)</w:t>
      </w:r>
    </w:p>
    <w:p w14:paraId="3C646E65" w14:textId="13B8109B" w:rsidR="00495BD9" w:rsidRDefault="00495BD9">
      <w:r>
        <w:t>Return to close to previous levels of capacity to assess, provide targeted intervention and advice and consultation where the current waiting time of 2-3 weeks could be maintained, if referral levels remain constant.</w:t>
      </w:r>
    </w:p>
    <w:p w14:paraId="1C41B39E" w14:textId="294DBED6" w:rsidR="00495BD9" w:rsidRDefault="00495BD9">
      <w:r>
        <w:t xml:space="preserve">Expand on the Transition programme to encompass pupils who have had a lower level of suspension, include a triage of Year 5 pupils who may already be vulnerable. </w:t>
      </w:r>
    </w:p>
    <w:p w14:paraId="398CFF7A" w14:textId="184BFC90" w:rsidR="00495BD9" w:rsidRDefault="00495BD9">
      <w:r>
        <w:t>Reinstate the Restorative Justice offer.</w:t>
      </w:r>
    </w:p>
    <w:p w14:paraId="40CBFC4D" w14:textId="71E50C34" w:rsidR="00495BD9" w:rsidRDefault="00495BD9">
      <w:r>
        <w:t>Recruit to replace specifically Early Years and therapeutic expertise lost through natural wastage.</w:t>
      </w:r>
    </w:p>
    <w:p w14:paraId="7EA7012D" w14:textId="4049F19F" w:rsidR="00495BD9" w:rsidRDefault="00495BD9">
      <w:r>
        <w:t>Maintain an Education presence on the Social Inclusion Panel, Safeguarding Board and other preventative networks.</w:t>
      </w:r>
    </w:p>
    <w:p w14:paraId="3CDD98E8" w14:textId="247288CF" w:rsidR="00495BD9" w:rsidRDefault="00495BD9">
      <w:r>
        <w:t xml:space="preserve">Invest in more preventative and early intervention work through a thematic analysis and response to emerging issues, </w:t>
      </w:r>
      <w:proofErr w:type="spellStart"/>
      <w:r>
        <w:t>eg</w:t>
      </w:r>
      <w:proofErr w:type="spellEnd"/>
      <w:r>
        <w:t xml:space="preserve"> Early Years and the rise of extremely challenging physical behaviours.</w:t>
      </w:r>
    </w:p>
    <w:p w14:paraId="2103B5AD" w14:textId="4D8B7006" w:rsidR="00362313" w:rsidRDefault="00495BD9">
      <w:r>
        <w:t>Continue to facilitate peer networks for secondary Behaviour Leads and expand into primar</w:t>
      </w:r>
      <w:r w:rsidR="006703E4">
        <w:t>y.</w:t>
      </w:r>
    </w:p>
    <w:sectPr w:rsidR="00362313" w:rsidSect="006703E4">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C4219"/>
    <w:multiLevelType w:val="hybridMultilevel"/>
    <w:tmpl w:val="A0F67A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439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29"/>
    <w:rsid w:val="000B3B19"/>
    <w:rsid w:val="00155F17"/>
    <w:rsid w:val="00362313"/>
    <w:rsid w:val="00495BD9"/>
    <w:rsid w:val="004C057F"/>
    <w:rsid w:val="004D30D4"/>
    <w:rsid w:val="0064524B"/>
    <w:rsid w:val="006703E4"/>
    <w:rsid w:val="00753EAD"/>
    <w:rsid w:val="00965D18"/>
    <w:rsid w:val="00B20729"/>
    <w:rsid w:val="00B21FFC"/>
    <w:rsid w:val="00C409F4"/>
    <w:rsid w:val="00E27E9A"/>
    <w:rsid w:val="00EC6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2159"/>
  <w15:chartTrackingRefBased/>
  <w15:docId w15:val="{04D87C80-822F-448F-B56D-0CE0B6C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6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6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F29"/>
    <w:rPr>
      <w:rFonts w:eastAsiaTheme="majorEastAsia" w:cstheme="majorBidi"/>
      <w:color w:val="272727" w:themeColor="text1" w:themeTint="D8"/>
    </w:rPr>
  </w:style>
  <w:style w:type="paragraph" w:styleId="Title">
    <w:name w:val="Title"/>
    <w:basedOn w:val="Normal"/>
    <w:next w:val="Normal"/>
    <w:link w:val="TitleChar"/>
    <w:uiPriority w:val="10"/>
    <w:qFormat/>
    <w:rsid w:val="00EC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F29"/>
    <w:pPr>
      <w:spacing w:before="160"/>
      <w:jc w:val="center"/>
    </w:pPr>
    <w:rPr>
      <w:i/>
      <w:iCs/>
      <w:color w:val="404040" w:themeColor="text1" w:themeTint="BF"/>
    </w:rPr>
  </w:style>
  <w:style w:type="character" w:customStyle="1" w:styleId="QuoteChar">
    <w:name w:val="Quote Char"/>
    <w:basedOn w:val="DefaultParagraphFont"/>
    <w:link w:val="Quote"/>
    <w:uiPriority w:val="29"/>
    <w:rsid w:val="00EC6F29"/>
    <w:rPr>
      <w:i/>
      <w:iCs/>
      <w:color w:val="404040" w:themeColor="text1" w:themeTint="BF"/>
    </w:rPr>
  </w:style>
  <w:style w:type="paragraph" w:styleId="ListParagraph">
    <w:name w:val="List Paragraph"/>
    <w:basedOn w:val="Normal"/>
    <w:uiPriority w:val="34"/>
    <w:qFormat/>
    <w:rsid w:val="00EC6F29"/>
    <w:pPr>
      <w:ind w:left="720"/>
      <w:contextualSpacing/>
    </w:pPr>
  </w:style>
  <w:style w:type="character" w:styleId="IntenseEmphasis">
    <w:name w:val="Intense Emphasis"/>
    <w:basedOn w:val="DefaultParagraphFont"/>
    <w:uiPriority w:val="21"/>
    <w:qFormat/>
    <w:rsid w:val="00EC6F29"/>
    <w:rPr>
      <w:i/>
      <w:iCs/>
      <w:color w:val="0F4761" w:themeColor="accent1" w:themeShade="BF"/>
    </w:rPr>
  </w:style>
  <w:style w:type="paragraph" w:styleId="IntenseQuote">
    <w:name w:val="Intense Quote"/>
    <w:basedOn w:val="Normal"/>
    <w:next w:val="Normal"/>
    <w:link w:val="IntenseQuoteChar"/>
    <w:uiPriority w:val="30"/>
    <w:qFormat/>
    <w:rsid w:val="00EC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F29"/>
    <w:rPr>
      <w:i/>
      <w:iCs/>
      <w:color w:val="0F4761" w:themeColor="accent1" w:themeShade="BF"/>
    </w:rPr>
  </w:style>
  <w:style w:type="character" w:styleId="IntenseReference">
    <w:name w:val="Intense Reference"/>
    <w:basedOn w:val="DefaultParagraphFont"/>
    <w:uiPriority w:val="32"/>
    <w:qFormat/>
    <w:rsid w:val="00EC6F29"/>
    <w:rPr>
      <w:b/>
      <w:bCs/>
      <w:smallCaps/>
      <w:color w:val="0F4761" w:themeColor="accent1" w:themeShade="BF"/>
      <w:spacing w:val="5"/>
    </w:rPr>
  </w:style>
  <w:style w:type="paragraph" w:styleId="NoSpacing">
    <w:name w:val="No Spacing"/>
    <w:link w:val="NoSpacingChar"/>
    <w:uiPriority w:val="1"/>
    <w:qFormat/>
    <w:rsid w:val="00EC6F29"/>
    <w:pPr>
      <w:spacing w:after="0" w:line="240" w:lineRule="auto"/>
    </w:pPr>
    <w:rPr>
      <w:rFonts w:ascii="Arial" w:hAnsi="Arial" w:cs="Arial"/>
      <w:kern w:val="0"/>
      <w:sz w:val="24"/>
      <w:szCs w:val="24"/>
      <w14:ligatures w14:val="none"/>
    </w:rPr>
  </w:style>
  <w:style w:type="character" w:customStyle="1" w:styleId="NoSpacingChar">
    <w:name w:val="No Spacing Char"/>
    <w:basedOn w:val="DefaultParagraphFont"/>
    <w:link w:val="NoSpacing"/>
    <w:uiPriority w:val="1"/>
    <w:rsid w:val="00EC6F29"/>
    <w:rPr>
      <w:rFonts w:ascii="Arial" w:hAnsi="Arial" w:cs="Arial"/>
      <w:kern w:val="0"/>
      <w:sz w:val="24"/>
      <w:szCs w:val="24"/>
      <w14:ligatures w14:val="none"/>
    </w:rPr>
  </w:style>
  <w:style w:type="table" w:styleId="TableGrid">
    <w:name w:val="Table Grid"/>
    <w:basedOn w:val="TableNormal"/>
    <w:uiPriority w:val="39"/>
    <w:rsid w:val="00EC6F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paper on behaviour support de-delegated offer</dc:title>
  <dc:subject/>
  <dc:creator>Kerrigen Marriner</dc:creator>
  <cp:keywords/>
  <dc:description/>
  <cp:lastModifiedBy>Phillip Nduoyo</cp:lastModifiedBy>
  <cp:revision>4</cp:revision>
  <dcterms:created xsi:type="dcterms:W3CDTF">2024-12-16T11:16:00Z</dcterms:created>
  <dcterms:modified xsi:type="dcterms:W3CDTF">2025-01-16T17:48:00Z</dcterms:modified>
</cp:coreProperties>
</file>