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9B446" w14:textId="77777777" w:rsidR="00DF264F" w:rsidRPr="008E3D68" w:rsidRDefault="00DF264F" w:rsidP="00056DDF">
      <w:pPr>
        <w:pStyle w:val="BodyTextIndent"/>
        <w:pBdr>
          <w:top w:val="single" w:sz="4" w:space="1" w:color="auto"/>
          <w:left w:val="single" w:sz="4" w:space="4" w:color="auto"/>
          <w:bottom w:val="single" w:sz="4" w:space="1" w:color="auto"/>
          <w:right w:val="single" w:sz="4" w:space="4" w:color="auto"/>
        </w:pBdr>
        <w:tabs>
          <w:tab w:val="clear" w:pos="360"/>
        </w:tabs>
        <w:ind w:left="0" w:firstLine="0"/>
        <w:jc w:val="both"/>
        <w:rPr>
          <w:b/>
          <w:sz w:val="32"/>
          <w:szCs w:val="32"/>
        </w:rPr>
      </w:pPr>
      <w:r w:rsidRPr="008E3D68">
        <w:rPr>
          <w:b/>
          <w:sz w:val="32"/>
          <w:szCs w:val="32"/>
        </w:rPr>
        <w:t xml:space="preserve">AGENDA ITEM </w:t>
      </w:r>
      <w:r w:rsidR="00460F18">
        <w:rPr>
          <w:b/>
          <w:sz w:val="32"/>
          <w:szCs w:val="32"/>
        </w:rPr>
        <w:t>03</w:t>
      </w:r>
    </w:p>
    <w:p w14:paraId="4D49B447" w14:textId="77777777" w:rsidR="00DF264F" w:rsidRPr="004C13B7" w:rsidRDefault="00DF264F" w:rsidP="00056DDF">
      <w:pPr>
        <w:rPr>
          <w:rFonts w:cs="Arial"/>
          <w:b/>
        </w:rPr>
      </w:pPr>
    </w:p>
    <w:p w14:paraId="4D49B448" w14:textId="77777777" w:rsidR="00DF264F" w:rsidRDefault="00DF264F" w:rsidP="00056DDF">
      <w:pPr>
        <w:pBdr>
          <w:top w:val="single" w:sz="4" w:space="1" w:color="auto"/>
          <w:left w:val="single" w:sz="4" w:space="4" w:color="auto"/>
          <w:bottom w:val="single" w:sz="4" w:space="1" w:color="auto"/>
          <w:right w:val="single" w:sz="4" w:space="4" w:color="auto"/>
        </w:pBdr>
        <w:rPr>
          <w:rFonts w:cs="Arial"/>
          <w:b/>
        </w:rPr>
      </w:pPr>
      <w:r w:rsidRPr="004C13B7">
        <w:rPr>
          <w:rFonts w:cs="Arial"/>
          <w:b/>
        </w:rPr>
        <w:t xml:space="preserve">Title of report: </w:t>
      </w:r>
    </w:p>
    <w:p w14:paraId="4D49B449" w14:textId="77777777" w:rsidR="001845D0" w:rsidRDefault="001845D0" w:rsidP="00056DDF">
      <w:pPr>
        <w:pBdr>
          <w:top w:val="single" w:sz="4" w:space="1" w:color="auto"/>
          <w:left w:val="single" w:sz="4" w:space="4" w:color="auto"/>
          <w:bottom w:val="single" w:sz="4" w:space="1" w:color="auto"/>
          <w:right w:val="single" w:sz="4" w:space="4" w:color="auto"/>
        </w:pBdr>
        <w:rPr>
          <w:rFonts w:cs="Arial"/>
          <w:b/>
        </w:rPr>
      </w:pPr>
    </w:p>
    <w:p w14:paraId="4D49B44A" w14:textId="2FB3826C" w:rsidR="00DF264F" w:rsidRDefault="003D28B3" w:rsidP="00056DDF">
      <w:pPr>
        <w:pBdr>
          <w:top w:val="single" w:sz="4" w:space="1" w:color="auto"/>
          <w:left w:val="single" w:sz="4" w:space="4" w:color="auto"/>
          <w:bottom w:val="single" w:sz="4" w:space="1" w:color="auto"/>
          <w:right w:val="single" w:sz="4" w:space="4" w:color="auto"/>
        </w:pBdr>
        <w:rPr>
          <w:rFonts w:cs="Arial"/>
          <w:b/>
        </w:rPr>
      </w:pPr>
      <w:r>
        <w:rPr>
          <w:rFonts w:cs="Arial"/>
          <w:b/>
        </w:rPr>
        <w:t xml:space="preserve">DSG Budget </w:t>
      </w:r>
      <w:r w:rsidR="00F760BE">
        <w:rPr>
          <w:rFonts w:cs="Arial"/>
          <w:b/>
        </w:rPr>
        <w:t>201</w:t>
      </w:r>
      <w:r w:rsidR="00E677C1">
        <w:rPr>
          <w:rFonts w:cs="Arial"/>
          <w:b/>
        </w:rPr>
        <w:t>9-20</w:t>
      </w:r>
      <w:bookmarkStart w:id="0" w:name="_GoBack"/>
      <w:bookmarkEnd w:id="0"/>
    </w:p>
    <w:p w14:paraId="4D49B44B" w14:textId="77777777" w:rsidR="00313D72" w:rsidRPr="004C13B7" w:rsidRDefault="00313D72" w:rsidP="00056DDF">
      <w:pPr>
        <w:pBdr>
          <w:top w:val="single" w:sz="4" w:space="1" w:color="auto"/>
          <w:left w:val="single" w:sz="4" w:space="4" w:color="auto"/>
          <w:bottom w:val="single" w:sz="4" w:space="1" w:color="auto"/>
          <w:right w:val="single" w:sz="4" w:space="4" w:color="auto"/>
        </w:pBdr>
        <w:rPr>
          <w:rFonts w:cs="Arial"/>
          <w:b/>
        </w:rPr>
      </w:pPr>
    </w:p>
    <w:p w14:paraId="4D49B44C" w14:textId="77777777" w:rsidR="00DF264F" w:rsidRPr="004C13B7" w:rsidRDefault="00DF264F" w:rsidP="00056DDF">
      <w:pPr>
        <w:rPr>
          <w:rFonts w:cs="Arial"/>
          <w:b/>
          <w:u w:val="single"/>
        </w:rPr>
      </w:pPr>
    </w:p>
    <w:p w14:paraId="4D49B44D" w14:textId="77777777" w:rsidR="00DF264F" w:rsidRPr="004C13B7" w:rsidRDefault="00DF264F" w:rsidP="00056DDF">
      <w:pPr>
        <w:pBdr>
          <w:top w:val="single" w:sz="4" w:space="1" w:color="auto"/>
          <w:left w:val="single" w:sz="4" w:space="4" w:color="auto"/>
          <w:bottom w:val="single" w:sz="4" w:space="1" w:color="auto"/>
          <w:right w:val="single" w:sz="4" w:space="4" w:color="auto"/>
        </w:pBdr>
        <w:rPr>
          <w:rFonts w:cs="Arial"/>
          <w:b/>
        </w:rPr>
      </w:pPr>
      <w:r w:rsidRPr="004C13B7">
        <w:rPr>
          <w:rFonts w:cs="Arial"/>
          <w:b/>
        </w:rPr>
        <w:t xml:space="preserve">Author of the paper: </w:t>
      </w:r>
      <w:r w:rsidR="001845D0">
        <w:rPr>
          <w:rFonts w:cs="Arial"/>
          <w:b/>
        </w:rPr>
        <w:t>Sailesh Patel</w:t>
      </w:r>
    </w:p>
    <w:p w14:paraId="4D49B44E" w14:textId="77777777" w:rsidR="00DF264F" w:rsidRPr="004C13B7" w:rsidRDefault="00DF264F" w:rsidP="00056DDF">
      <w:pPr>
        <w:pBdr>
          <w:top w:val="single" w:sz="4" w:space="1" w:color="auto"/>
          <w:left w:val="single" w:sz="4" w:space="4" w:color="auto"/>
          <w:bottom w:val="single" w:sz="4" w:space="1" w:color="auto"/>
          <w:right w:val="single" w:sz="4" w:space="4" w:color="auto"/>
        </w:pBdr>
        <w:rPr>
          <w:rFonts w:cs="Arial"/>
        </w:rPr>
      </w:pPr>
    </w:p>
    <w:p w14:paraId="4D49B44F" w14:textId="77777777" w:rsidR="00DF264F" w:rsidRPr="004C13B7" w:rsidRDefault="00DF264F" w:rsidP="00056DDF">
      <w:pPr>
        <w:rPr>
          <w:rFonts w:cs="Arial"/>
        </w:rPr>
      </w:pPr>
    </w:p>
    <w:p w14:paraId="4D49B450" w14:textId="77777777" w:rsidR="00DF264F" w:rsidRPr="004C13B7" w:rsidRDefault="00DF264F" w:rsidP="00056DDF">
      <w:pPr>
        <w:pBdr>
          <w:top w:val="single" w:sz="4" w:space="1" w:color="auto"/>
          <w:left w:val="single" w:sz="4" w:space="4" w:color="auto"/>
          <w:bottom w:val="single" w:sz="4" w:space="1" w:color="auto"/>
          <w:right w:val="single" w:sz="4" w:space="4" w:color="auto"/>
        </w:pBdr>
        <w:rPr>
          <w:rFonts w:cs="Arial"/>
          <w:b/>
        </w:rPr>
      </w:pPr>
      <w:r w:rsidRPr="004C13B7">
        <w:rPr>
          <w:rFonts w:cs="Arial"/>
          <w:b/>
        </w:rPr>
        <w:t xml:space="preserve">Officer to present the paper to School Forum: </w:t>
      </w:r>
    </w:p>
    <w:p w14:paraId="4D49B451" w14:textId="77777777" w:rsidR="00DF264F" w:rsidRPr="004C13B7" w:rsidRDefault="00DF264F" w:rsidP="00056DDF">
      <w:pPr>
        <w:pBdr>
          <w:top w:val="single" w:sz="4" w:space="1" w:color="auto"/>
          <w:left w:val="single" w:sz="4" w:space="4" w:color="auto"/>
          <w:bottom w:val="single" w:sz="4" w:space="1" w:color="auto"/>
          <w:right w:val="single" w:sz="4" w:space="4" w:color="auto"/>
        </w:pBdr>
        <w:rPr>
          <w:rFonts w:cs="Arial"/>
        </w:rPr>
      </w:pPr>
    </w:p>
    <w:p w14:paraId="4D49B452" w14:textId="77777777" w:rsidR="00DF264F" w:rsidRPr="004C13B7" w:rsidRDefault="001845D0" w:rsidP="00056DDF">
      <w:pPr>
        <w:pBdr>
          <w:top w:val="single" w:sz="4" w:space="1" w:color="auto"/>
          <w:left w:val="single" w:sz="4" w:space="4" w:color="auto"/>
          <w:bottom w:val="single" w:sz="4" w:space="1" w:color="auto"/>
          <w:right w:val="single" w:sz="4" w:space="4" w:color="auto"/>
        </w:pBdr>
        <w:rPr>
          <w:rFonts w:cs="Arial"/>
          <w:b/>
        </w:rPr>
      </w:pPr>
      <w:r>
        <w:rPr>
          <w:rFonts w:cs="Arial"/>
          <w:b/>
        </w:rPr>
        <w:t>Sailesh Patel</w:t>
      </w:r>
    </w:p>
    <w:p w14:paraId="4D49B453" w14:textId="77777777" w:rsidR="00DF264F" w:rsidRPr="004C13B7" w:rsidRDefault="00DF264F" w:rsidP="00056DDF">
      <w:pPr>
        <w:rPr>
          <w:rFonts w:cs="Arial"/>
        </w:rPr>
      </w:pPr>
    </w:p>
    <w:p w14:paraId="4D49B454" w14:textId="77777777" w:rsidR="00C045D0" w:rsidRDefault="00DF264F" w:rsidP="00056DDF">
      <w:pPr>
        <w:pBdr>
          <w:top w:val="single" w:sz="4" w:space="1" w:color="auto"/>
          <w:left w:val="single" w:sz="4" w:space="4" w:color="auto"/>
          <w:bottom w:val="single" w:sz="4" w:space="1" w:color="auto"/>
          <w:right w:val="single" w:sz="4" w:space="4" w:color="auto"/>
        </w:pBdr>
        <w:rPr>
          <w:rFonts w:cs="Arial"/>
          <w:b/>
        </w:rPr>
      </w:pPr>
      <w:r w:rsidRPr="004C13B7">
        <w:rPr>
          <w:rFonts w:cs="Arial"/>
          <w:b/>
        </w:rPr>
        <w:t>Details on who has been consu</w:t>
      </w:r>
      <w:r w:rsidR="00C045D0">
        <w:rPr>
          <w:rFonts w:cs="Arial"/>
          <w:b/>
        </w:rPr>
        <w:t xml:space="preserve">lted with on this paper to date: </w:t>
      </w:r>
    </w:p>
    <w:p w14:paraId="4D49B455" w14:textId="77777777" w:rsidR="00DF264F" w:rsidRPr="00C045D0" w:rsidRDefault="005519B6" w:rsidP="00056DDF">
      <w:pPr>
        <w:pBdr>
          <w:top w:val="single" w:sz="4" w:space="1" w:color="auto"/>
          <w:left w:val="single" w:sz="4" w:space="4" w:color="auto"/>
          <w:bottom w:val="single" w:sz="4" w:space="1" w:color="auto"/>
          <w:right w:val="single" w:sz="4" w:space="4" w:color="auto"/>
        </w:pBdr>
        <w:rPr>
          <w:rFonts w:cs="Arial"/>
          <w:b/>
        </w:rPr>
      </w:pPr>
      <w:r>
        <w:rPr>
          <w:rFonts w:cs="Arial"/>
        </w:rPr>
        <w:t>Neville Murton</w:t>
      </w:r>
      <w:r w:rsidR="00FB300E">
        <w:rPr>
          <w:rFonts w:cs="Arial"/>
        </w:rPr>
        <w:t xml:space="preserve">, </w:t>
      </w:r>
      <w:r w:rsidR="00FB300E" w:rsidRPr="00FB300E">
        <w:rPr>
          <w:rFonts w:cs="Arial"/>
        </w:rPr>
        <w:t>Christine McInnes</w:t>
      </w:r>
    </w:p>
    <w:p w14:paraId="4D49B456" w14:textId="77777777" w:rsidR="00DF264F" w:rsidRPr="004C13B7" w:rsidRDefault="00DF264F" w:rsidP="00056DDF">
      <w:pPr>
        <w:rPr>
          <w:rFonts w:cs="Arial"/>
        </w:rPr>
      </w:pPr>
    </w:p>
    <w:p w14:paraId="4D49B457" w14:textId="77777777" w:rsidR="00DF264F" w:rsidRDefault="00DF264F" w:rsidP="001608E0">
      <w:pPr>
        <w:pBdr>
          <w:top w:val="single" w:sz="4" w:space="1" w:color="auto"/>
          <w:left w:val="single" w:sz="4" w:space="0" w:color="auto"/>
          <w:bottom w:val="single" w:sz="4" w:space="1" w:color="auto"/>
          <w:right w:val="single" w:sz="4" w:space="1" w:color="auto"/>
        </w:pBdr>
        <w:rPr>
          <w:rFonts w:cs="Arial"/>
          <w:b/>
        </w:rPr>
      </w:pPr>
      <w:r w:rsidRPr="004C13B7">
        <w:rPr>
          <w:rFonts w:cs="Arial"/>
          <w:b/>
        </w:rPr>
        <w:t>Exec Summary:</w:t>
      </w:r>
    </w:p>
    <w:p w14:paraId="4D49B458" w14:textId="77777777" w:rsidR="001608E0" w:rsidRDefault="001608E0" w:rsidP="001608E0">
      <w:pPr>
        <w:pBdr>
          <w:top w:val="single" w:sz="4" w:space="1" w:color="auto"/>
          <w:left w:val="single" w:sz="4" w:space="0" w:color="auto"/>
          <w:bottom w:val="single" w:sz="4" w:space="1" w:color="auto"/>
          <w:right w:val="single" w:sz="4" w:space="1" w:color="auto"/>
        </w:pBdr>
        <w:rPr>
          <w:rFonts w:cs="Arial"/>
        </w:rPr>
      </w:pPr>
    </w:p>
    <w:p w14:paraId="4D49B459" w14:textId="3CDA1E4B" w:rsidR="009A5AF7" w:rsidRDefault="009A5AF7" w:rsidP="009A5AF7">
      <w:pPr>
        <w:pBdr>
          <w:top w:val="single" w:sz="4" w:space="1" w:color="auto"/>
          <w:left w:val="single" w:sz="4" w:space="0" w:color="auto"/>
          <w:bottom w:val="single" w:sz="4" w:space="1" w:color="auto"/>
          <w:right w:val="single" w:sz="4" w:space="1" w:color="auto"/>
        </w:pBdr>
        <w:rPr>
          <w:rFonts w:cs="Arial"/>
        </w:rPr>
      </w:pPr>
      <w:r w:rsidRPr="009A5AF7">
        <w:rPr>
          <w:rFonts w:cs="Arial"/>
        </w:rPr>
        <w:t xml:space="preserve">This report is to inform Schools Forum of the </w:t>
      </w:r>
      <w:r w:rsidR="000C2701">
        <w:rPr>
          <w:rFonts w:cs="Arial"/>
        </w:rPr>
        <w:t xml:space="preserve">DSG </w:t>
      </w:r>
      <w:r w:rsidRPr="009A5AF7">
        <w:rPr>
          <w:rFonts w:cs="Arial"/>
        </w:rPr>
        <w:t>allocation for the 201</w:t>
      </w:r>
      <w:r w:rsidR="00601026">
        <w:rPr>
          <w:rFonts w:cs="Arial"/>
        </w:rPr>
        <w:t>9/20</w:t>
      </w:r>
      <w:r>
        <w:rPr>
          <w:rFonts w:cs="Arial"/>
        </w:rPr>
        <w:t xml:space="preserve"> </w:t>
      </w:r>
      <w:r w:rsidRPr="009A5AF7">
        <w:rPr>
          <w:rFonts w:cs="Arial"/>
        </w:rPr>
        <w:t xml:space="preserve">financial year. Updated allocations were supplied on the </w:t>
      </w:r>
      <w:r w:rsidR="00601026">
        <w:rPr>
          <w:rFonts w:cs="Arial"/>
        </w:rPr>
        <w:t>1</w:t>
      </w:r>
      <w:r w:rsidR="00FC60BB">
        <w:rPr>
          <w:rFonts w:cs="Arial"/>
        </w:rPr>
        <w:t>7</w:t>
      </w:r>
      <w:r w:rsidRPr="009A5AF7">
        <w:rPr>
          <w:rFonts w:cs="Arial"/>
        </w:rPr>
        <w:t xml:space="preserve"> December 201</w:t>
      </w:r>
      <w:r w:rsidR="00601026">
        <w:rPr>
          <w:rFonts w:cs="Arial"/>
        </w:rPr>
        <w:t>8</w:t>
      </w:r>
      <w:r>
        <w:rPr>
          <w:rFonts w:cs="Arial"/>
        </w:rPr>
        <w:t>.</w:t>
      </w:r>
    </w:p>
    <w:p w14:paraId="4D49B45A" w14:textId="77777777" w:rsidR="009A5AF7" w:rsidRDefault="009A5AF7" w:rsidP="009A5AF7">
      <w:pPr>
        <w:pBdr>
          <w:top w:val="single" w:sz="4" w:space="1" w:color="auto"/>
          <w:left w:val="single" w:sz="4" w:space="0" w:color="auto"/>
          <w:bottom w:val="single" w:sz="4" w:space="1" w:color="auto"/>
          <w:right w:val="single" w:sz="4" w:space="1" w:color="auto"/>
        </w:pBdr>
        <w:rPr>
          <w:rFonts w:cs="Arial"/>
        </w:rPr>
      </w:pPr>
    </w:p>
    <w:p w14:paraId="4D49B45B" w14:textId="77777777" w:rsidR="006F2ED4" w:rsidRPr="006F2ED4" w:rsidRDefault="006F2ED4" w:rsidP="006F2ED4">
      <w:pPr>
        <w:pBdr>
          <w:top w:val="single" w:sz="4" w:space="1" w:color="auto"/>
          <w:left w:val="single" w:sz="4" w:space="0" w:color="auto"/>
          <w:bottom w:val="single" w:sz="4" w:space="1" w:color="auto"/>
          <w:right w:val="single" w:sz="4" w:space="1" w:color="auto"/>
        </w:pBdr>
        <w:rPr>
          <w:rFonts w:cs="Arial"/>
        </w:rPr>
      </w:pPr>
      <w:r w:rsidRPr="006F2ED4">
        <w:rPr>
          <w:rFonts w:cs="Arial"/>
        </w:rPr>
        <w:t>Agreeing the formula itself – based on the 201</w:t>
      </w:r>
      <w:r w:rsidR="00601026">
        <w:rPr>
          <w:rFonts w:cs="Arial"/>
        </w:rPr>
        <w:t>9/20</w:t>
      </w:r>
      <w:r w:rsidRPr="006F2ED4">
        <w:rPr>
          <w:rFonts w:cs="Arial"/>
        </w:rPr>
        <w:t xml:space="preserve"> schools block settlement.</w:t>
      </w:r>
    </w:p>
    <w:p w14:paraId="4D49B45C" w14:textId="77777777" w:rsidR="009A5AF7" w:rsidRDefault="009A5AF7" w:rsidP="009A5AF7">
      <w:pPr>
        <w:pBdr>
          <w:top w:val="single" w:sz="4" w:space="1" w:color="auto"/>
          <w:left w:val="single" w:sz="4" w:space="0" w:color="auto"/>
          <w:bottom w:val="single" w:sz="4" w:space="1" w:color="auto"/>
          <w:right w:val="single" w:sz="4" w:space="1" w:color="auto"/>
        </w:pBdr>
        <w:rPr>
          <w:rFonts w:cs="Arial"/>
        </w:rPr>
      </w:pPr>
    </w:p>
    <w:p w14:paraId="4D49B45D" w14:textId="77777777" w:rsidR="00E33D0A" w:rsidRDefault="00E33D0A" w:rsidP="001608E0">
      <w:pPr>
        <w:pBdr>
          <w:top w:val="single" w:sz="4" w:space="1" w:color="auto"/>
          <w:left w:val="single" w:sz="4" w:space="0" w:color="auto"/>
          <w:bottom w:val="single" w:sz="4" w:space="1" w:color="auto"/>
          <w:right w:val="single" w:sz="4" w:space="1" w:color="auto"/>
        </w:pBdr>
        <w:rPr>
          <w:rFonts w:cs="Arial"/>
        </w:rPr>
      </w:pPr>
    </w:p>
    <w:p w14:paraId="4D49B45E" w14:textId="77777777" w:rsidR="00C045D0" w:rsidRDefault="00C045D0" w:rsidP="001608E0">
      <w:pPr>
        <w:pBdr>
          <w:top w:val="single" w:sz="4" w:space="1" w:color="auto"/>
          <w:left w:val="single" w:sz="4" w:space="0" w:color="auto"/>
          <w:bottom w:val="single" w:sz="4" w:space="1" w:color="auto"/>
          <w:right w:val="single" w:sz="4" w:space="1" w:color="auto"/>
        </w:pBdr>
        <w:rPr>
          <w:rFonts w:cs="Arial"/>
        </w:rPr>
      </w:pPr>
    </w:p>
    <w:p w14:paraId="4D49B45F" w14:textId="77777777" w:rsidR="00DF264F" w:rsidRPr="004C13B7" w:rsidRDefault="00DF264F" w:rsidP="00056DDF">
      <w:pPr>
        <w:rPr>
          <w:rFonts w:cs="Arial"/>
        </w:rPr>
      </w:pPr>
    </w:p>
    <w:p w14:paraId="4D49B460" w14:textId="77777777" w:rsidR="001845D0" w:rsidRDefault="001A3D0E" w:rsidP="00056DDF">
      <w:pPr>
        <w:pBdr>
          <w:top w:val="single" w:sz="4" w:space="1" w:color="auto"/>
          <w:left w:val="single" w:sz="4" w:space="4" w:color="auto"/>
          <w:bottom w:val="single" w:sz="4" w:space="1" w:color="auto"/>
          <w:right w:val="single" w:sz="4" w:space="4" w:color="auto"/>
        </w:pBdr>
        <w:rPr>
          <w:rFonts w:cs="Arial"/>
          <w:b/>
        </w:rPr>
      </w:pPr>
      <w:r>
        <w:rPr>
          <w:b/>
        </w:rPr>
        <w:t>Details of recommendations and timescales for decisions</w:t>
      </w:r>
      <w:r w:rsidR="00DF264F" w:rsidRPr="004C13B7">
        <w:rPr>
          <w:rFonts w:cs="Arial"/>
          <w:b/>
        </w:rPr>
        <w:t>:</w:t>
      </w:r>
    </w:p>
    <w:p w14:paraId="4D49B461" w14:textId="77777777" w:rsidR="00BC6756" w:rsidRDefault="00BC6756" w:rsidP="00056DDF">
      <w:pPr>
        <w:pBdr>
          <w:top w:val="single" w:sz="4" w:space="1" w:color="auto"/>
          <w:left w:val="single" w:sz="4" w:space="4" w:color="auto"/>
          <w:bottom w:val="single" w:sz="4" w:space="1" w:color="auto"/>
          <w:right w:val="single" w:sz="4" w:space="4" w:color="auto"/>
        </w:pBdr>
        <w:rPr>
          <w:rFonts w:cs="Arial"/>
          <w:b/>
        </w:rPr>
      </w:pPr>
    </w:p>
    <w:p w14:paraId="4D49B462" w14:textId="77777777" w:rsidR="00DF264F" w:rsidRDefault="001A3D0E" w:rsidP="00A856D4">
      <w:pPr>
        <w:pBdr>
          <w:top w:val="single" w:sz="4" w:space="1" w:color="auto"/>
          <w:left w:val="single" w:sz="4" w:space="4" w:color="auto"/>
          <w:bottom w:val="single" w:sz="4" w:space="1" w:color="auto"/>
          <w:right w:val="single" w:sz="4" w:space="4" w:color="auto"/>
        </w:pBdr>
        <w:rPr>
          <w:rFonts w:cs="Arial"/>
        </w:rPr>
      </w:pPr>
      <w:r w:rsidRPr="009D4755">
        <w:rPr>
          <w:rFonts w:cs="Arial"/>
        </w:rPr>
        <w:t>Schools Forum is invited to</w:t>
      </w:r>
      <w:r w:rsidR="00133E63">
        <w:rPr>
          <w:rFonts w:cs="Arial"/>
        </w:rPr>
        <w:t xml:space="preserve"> note</w:t>
      </w:r>
      <w:r w:rsidR="001608E0" w:rsidRPr="001608E0">
        <w:rPr>
          <w:rFonts w:cs="Arial"/>
        </w:rPr>
        <w:t xml:space="preserve"> </w:t>
      </w:r>
      <w:r>
        <w:rPr>
          <w:rFonts w:cs="Arial"/>
        </w:rPr>
        <w:t>and comment on the contents of this</w:t>
      </w:r>
      <w:r w:rsidR="001608E0" w:rsidRPr="001608E0">
        <w:rPr>
          <w:rFonts w:cs="Arial"/>
        </w:rPr>
        <w:t xml:space="preserve"> report</w:t>
      </w:r>
      <w:r w:rsidR="003A3945">
        <w:rPr>
          <w:rFonts w:cs="Arial"/>
        </w:rPr>
        <w:t xml:space="preserve"> and to </w:t>
      </w:r>
      <w:r w:rsidR="00A856D4">
        <w:rPr>
          <w:rFonts w:cs="Arial"/>
        </w:rPr>
        <w:t xml:space="preserve">endorse </w:t>
      </w:r>
      <w:r w:rsidR="003A3945">
        <w:rPr>
          <w:rFonts w:cs="Arial"/>
        </w:rPr>
        <w:t xml:space="preserve">the associated Proforma </w:t>
      </w:r>
      <w:r w:rsidR="00601026">
        <w:rPr>
          <w:rFonts w:cs="Arial"/>
        </w:rPr>
        <w:t xml:space="preserve">for the ESFA </w:t>
      </w:r>
      <w:r w:rsidR="009E72CB">
        <w:rPr>
          <w:rFonts w:cs="Arial"/>
        </w:rPr>
        <w:t>201</w:t>
      </w:r>
      <w:r w:rsidR="00601026">
        <w:rPr>
          <w:rFonts w:cs="Arial"/>
        </w:rPr>
        <w:t xml:space="preserve">9/20 </w:t>
      </w:r>
      <w:r w:rsidR="009E72CB">
        <w:rPr>
          <w:rFonts w:cs="Arial"/>
        </w:rPr>
        <w:t>submission</w:t>
      </w:r>
      <w:r w:rsidR="00701669">
        <w:rPr>
          <w:rFonts w:cs="Arial"/>
        </w:rPr>
        <w:t xml:space="preserve"> including approving the DSG budget 20</w:t>
      </w:r>
      <w:r w:rsidR="00601026">
        <w:rPr>
          <w:rFonts w:cs="Arial"/>
        </w:rPr>
        <w:t>19/20</w:t>
      </w:r>
      <w:r w:rsidR="00A856D4">
        <w:rPr>
          <w:rFonts w:cs="Arial"/>
        </w:rPr>
        <w:t>.</w:t>
      </w:r>
    </w:p>
    <w:p w14:paraId="4D49B463" w14:textId="77777777" w:rsidR="00A856D4" w:rsidRDefault="00A856D4" w:rsidP="00A856D4">
      <w:pPr>
        <w:pBdr>
          <w:top w:val="single" w:sz="4" w:space="1" w:color="auto"/>
          <w:left w:val="single" w:sz="4" w:space="4" w:color="auto"/>
          <w:bottom w:val="single" w:sz="4" w:space="1" w:color="auto"/>
          <w:right w:val="single" w:sz="4" w:space="4" w:color="auto"/>
        </w:pBdr>
        <w:rPr>
          <w:b/>
        </w:rPr>
      </w:pPr>
    </w:p>
    <w:p w14:paraId="4D49B464" w14:textId="77777777" w:rsidR="0049441C" w:rsidRDefault="0049441C" w:rsidP="0049441C">
      <w:pPr>
        <w:tabs>
          <w:tab w:val="num" w:pos="720"/>
        </w:tabs>
        <w:ind w:left="360"/>
        <w:jc w:val="both"/>
        <w:rPr>
          <w:rFonts w:cs="Arial"/>
        </w:rPr>
      </w:pPr>
    </w:p>
    <w:p w14:paraId="4D49B465" w14:textId="77777777" w:rsidR="00A856D4" w:rsidRDefault="00A856D4" w:rsidP="0049441C">
      <w:pPr>
        <w:tabs>
          <w:tab w:val="num" w:pos="720"/>
        </w:tabs>
        <w:ind w:left="360"/>
        <w:jc w:val="both"/>
        <w:rPr>
          <w:rFonts w:cs="Arial"/>
        </w:rPr>
      </w:pPr>
    </w:p>
    <w:p w14:paraId="4D49B466" w14:textId="77777777" w:rsidR="00A856D4" w:rsidRDefault="00A856D4" w:rsidP="0049441C">
      <w:pPr>
        <w:tabs>
          <w:tab w:val="num" w:pos="720"/>
        </w:tabs>
        <w:ind w:left="360"/>
        <w:jc w:val="both"/>
        <w:rPr>
          <w:rFonts w:cs="Arial"/>
        </w:rPr>
      </w:pPr>
    </w:p>
    <w:p w14:paraId="4D49B467" w14:textId="77777777" w:rsidR="00A856D4" w:rsidRDefault="00A856D4" w:rsidP="0049441C">
      <w:pPr>
        <w:tabs>
          <w:tab w:val="num" w:pos="720"/>
        </w:tabs>
        <w:ind w:left="360"/>
        <w:jc w:val="both"/>
        <w:rPr>
          <w:rFonts w:cs="Arial"/>
        </w:rPr>
      </w:pPr>
    </w:p>
    <w:p w14:paraId="4D49B468" w14:textId="77777777" w:rsidR="00A856D4" w:rsidRDefault="00A856D4" w:rsidP="0049441C">
      <w:pPr>
        <w:tabs>
          <w:tab w:val="num" w:pos="720"/>
        </w:tabs>
        <w:ind w:left="360"/>
        <w:jc w:val="both"/>
        <w:rPr>
          <w:rFonts w:cs="Arial"/>
        </w:rPr>
      </w:pPr>
    </w:p>
    <w:p w14:paraId="4D49B469" w14:textId="77777777" w:rsidR="00A856D4" w:rsidRDefault="00A856D4" w:rsidP="0049441C">
      <w:pPr>
        <w:tabs>
          <w:tab w:val="num" w:pos="720"/>
        </w:tabs>
        <w:ind w:left="360"/>
        <w:jc w:val="both"/>
        <w:rPr>
          <w:rFonts w:cs="Arial"/>
        </w:rPr>
      </w:pPr>
    </w:p>
    <w:p w14:paraId="4D49B46A" w14:textId="77777777" w:rsidR="00A856D4" w:rsidRDefault="00A856D4" w:rsidP="0049441C">
      <w:pPr>
        <w:tabs>
          <w:tab w:val="num" w:pos="720"/>
        </w:tabs>
        <w:ind w:left="360"/>
        <w:jc w:val="both"/>
        <w:rPr>
          <w:rFonts w:cs="Arial"/>
        </w:rPr>
      </w:pPr>
    </w:p>
    <w:p w14:paraId="4D49B46B" w14:textId="77777777" w:rsidR="00A856D4" w:rsidRDefault="00A856D4" w:rsidP="0049441C">
      <w:pPr>
        <w:tabs>
          <w:tab w:val="num" w:pos="720"/>
        </w:tabs>
        <w:ind w:left="360"/>
        <w:jc w:val="both"/>
        <w:rPr>
          <w:rFonts w:cs="Arial"/>
        </w:rPr>
      </w:pPr>
    </w:p>
    <w:p w14:paraId="4D49B46C" w14:textId="77777777" w:rsidR="00A856D4" w:rsidRDefault="00A856D4" w:rsidP="0049441C">
      <w:pPr>
        <w:tabs>
          <w:tab w:val="num" w:pos="720"/>
        </w:tabs>
        <w:ind w:left="360"/>
        <w:jc w:val="both"/>
        <w:rPr>
          <w:rFonts w:cs="Arial"/>
        </w:rPr>
      </w:pPr>
    </w:p>
    <w:p w14:paraId="4D49B46D" w14:textId="77777777" w:rsidR="00A856D4" w:rsidRDefault="00A856D4" w:rsidP="0049441C">
      <w:pPr>
        <w:tabs>
          <w:tab w:val="num" w:pos="720"/>
        </w:tabs>
        <w:ind w:left="360"/>
        <w:jc w:val="both"/>
        <w:rPr>
          <w:rFonts w:cs="Arial"/>
        </w:rPr>
      </w:pPr>
    </w:p>
    <w:p w14:paraId="4D49B46E" w14:textId="77777777" w:rsidR="00A6767E" w:rsidRDefault="00A6767E" w:rsidP="0049441C">
      <w:pPr>
        <w:tabs>
          <w:tab w:val="num" w:pos="720"/>
        </w:tabs>
        <w:ind w:left="360"/>
        <w:jc w:val="both"/>
        <w:rPr>
          <w:rFonts w:cs="Arial"/>
        </w:rPr>
      </w:pPr>
    </w:p>
    <w:p w14:paraId="4D49B46F" w14:textId="77777777" w:rsidR="00A6767E" w:rsidRDefault="00A6767E" w:rsidP="0049441C">
      <w:pPr>
        <w:tabs>
          <w:tab w:val="num" w:pos="720"/>
        </w:tabs>
        <w:ind w:left="360"/>
        <w:jc w:val="both"/>
        <w:rPr>
          <w:rFonts w:cs="Arial"/>
        </w:rPr>
      </w:pPr>
    </w:p>
    <w:p w14:paraId="4D49B470" w14:textId="77777777" w:rsidR="00601026" w:rsidRDefault="00601026" w:rsidP="0049441C">
      <w:pPr>
        <w:tabs>
          <w:tab w:val="num" w:pos="720"/>
        </w:tabs>
        <w:ind w:left="360"/>
        <w:jc w:val="both"/>
        <w:rPr>
          <w:rFonts w:cs="Arial"/>
        </w:rPr>
      </w:pPr>
    </w:p>
    <w:p w14:paraId="4D49B471" w14:textId="77777777" w:rsidR="00601026" w:rsidRDefault="00601026" w:rsidP="0049441C">
      <w:pPr>
        <w:tabs>
          <w:tab w:val="num" w:pos="720"/>
        </w:tabs>
        <w:ind w:left="360"/>
        <w:jc w:val="both"/>
        <w:rPr>
          <w:rFonts w:cs="Arial"/>
        </w:rPr>
      </w:pPr>
    </w:p>
    <w:p w14:paraId="4D49B472" w14:textId="77777777" w:rsidR="00601026" w:rsidRDefault="00601026" w:rsidP="0049441C">
      <w:pPr>
        <w:tabs>
          <w:tab w:val="num" w:pos="720"/>
        </w:tabs>
        <w:ind w:left="360"/>
        <w:jc w:val="both"/>
        <w:rPr>
          <w:rFonts w:cs="Arial"/>
        </w:rPr>
      </w:pPr>
    </w:p>
    <w:p w14:paraId="4D49B473" w14:textId="77777777" w:rsidR="00601026" w:rsidRDefault="00601026" w:rsidP="0049441C">
      <w:pPr>
        <w:tabs>
          <w:tab w:val="num" w:pos="720"/>
        </w:tabs>
        <w:ind w:left="360"/>
        <w:jc w:val="both"/>
        <w:rPr>
          <w:rFonts w:cs="Arial"/>
        </w:rPr>
      </w:pPr>
    </w:p>
    <w:p w14:paraId="4D49B474" w14:textId="77777777" w:rsidR="00A6767E" w:rsidRPr="00640C51" w:rsidRDefault="00A6767E" w:rsidP="0049441C">
      <w:pPr>
        <w:tabs>
          <w:tab w:val="num" w:pos="720"/>
        </w:tabs>
        <w:ind w:left="360"/>
        <w:jc w:val="both"/>
        <w:rPr>
          <w:rFonts w:cs="Arial"/>
        </w:rPr>
      </w:pPr>
    </w:p>
    <w:p w14:paraId="4D49B475" w14:textId="77777777" w:rsidR="0049441C" w:rsidRDefault="009A5AF7" w:rsidP="001539B3">
      <w:pPr>
        <w:numPr>
          <w:ilvl w:val="0"/>
          <w:numId w:val="2"/>
        </w:numPr>
        <w:ind w:left="720" w:hanging="720"/>
        <w:rPr>
          <w:b/>
        </w:rPr>
      </w:pPr>
      <w:r>
        <w:rPr>
          <w:b/>
        </w:rPr>
        <w:lastRenderedPageBreak/>
        <w:t xml:space="preserve">DSG </w:t>
      </w:r>
      <w:r w:rsidR="0049441C">
        <w:rPr>
          <w:b/>
        </w:rPr>
        <w:t xml:space="preserve"> </w:t>
      </w:r>
      <w:r w:rsidR="0080477B">
        <w:rPr>
          <w:b/>
        </w:rPr>
        <w:t>Allocation 2019</w:t>
      </w:r>
      <w:r w:rsidR="00A7602A">
        <w:rPr>
          <w:b/>
        </w:rPr>
        <w:t>/20</w:t>
      </w:r>
    </w:p>
    <w:p w14:paraId="4D49B476" w14:textId="77777777" w:rsidR="00A7602A" w:rsidRPr="00A7602A" w:rsidRDefault="00A7602A" w:rsidP="00060886">
      <w:pPr>
        <w:pStyle w:val="ListParagraph"/>
        <w:spacing w:after="120"/>
        <w:ind w:left="792"/>
        <w:jc w:val="both"/>
        <w:rPr>
          <w:rFonts w:cs="Arial"/>
        </w:rPr>
      </w:pPr>
    </w:p>
    <w:p w14:paraId="4D49B477" w14:textId="77777777" w:rsidR="00A7602A" w:rsidRDefault="00A7602A" w:rsidP="00A7602A">
      <w:pPr>
        <w:pStyle w:val="ListParagraph"/>
        <w:numPr>
          <w:ilvl w:val="1"/>
          <w:numId w:val="2"/>
        </w:numPr>
        <w:spacing w:after="120"/>
        <w:jc w:val="both"/>
        <w:rPr>
          <w:rFonts w:cs="Arial"/>
        </w:rPr>
      </w:pPr>
      <w:r w:rsidRPr="00A7602A">
        <w:rPr>
          <w:rFonts w:cs="Arial"/>
        </w:rPr>
        <w:t xml:space="preserve">Dedicated Schools Grant (DSG), which is ring-fenced to fund school budgets and services that directly support the education of pupils. The LA receives its DSG allocation gross (including allocations relating to academies and post 16 provision), and then the Education &amp; Skills Funding Agency (ESFA) recoups the actual budget for these settings to pay them direct, leaving a net or LA allocation. </w:t>
      </w:r>
    </w:p>
    <w:p w14:paraId="4D49B478" w14:textId="77777777" w:rsidR="00A7602A" w:rsidRPr="00A7602A" w:rsidRDefault="00A7602A" w:rsidP="00A7602A">
      <w:pPr>
        <w:pStyle w:val="ListParagraph"/>
        <w:spacing w:after="120"/>
        <w:ind w:left="792"/>
        <w:jc w:val="both"/>
        <w:rPr>
          <w:rFonts w:cs="Arial"/>
        </w:rPr>
      </w:pPr>
    </w:p>
    <w:p w14:paraId="4D49B479" w14:textId="77777777" w:rsidR="00A7602A" w:rsidRDefault="00A7602A" w:rsidP="00A7602A">
      <w:pPr>
        <w:pStyle w:val="ListParagraph"/>
        <w:numPr>
          <w:ilvl w:val="1"/>
          <w:numId w:val="2"/>
        </w:numPr>
        <w:spacing w:after="120"/>
        <w:jc w:val="both"/>
        <w:rPr>
          <w:rFonts w:cs="Arial"/>
        </w:rPr>
      </w:pPr>
      <w:r w:rsidRPr="00A7602A">
        <w:rPr>
          <w:rFonts w:cs="Arial"/>
        </w:rPr>
        <w:t xml:space="preserve">The methodology for allocating the DSG to local authorities changed significantly in 2018/19, with new national funding formula introduced for each of the schools, central school services, and high needs blocks. The early years block was funded by </w:t>
      </w:r>
      <w:r w:rsidR="00CD7625">
        <w:rPr>
          <w:rFonts w:cs="Arial"/>
        </w:rPr>
        <w:t>a new national formula from 2017/18</w:t>
      </w:r>
      <w:r w:rsidRPr="00A7602A">
        <w:rPr>
          <w:rFonts w:cs="Arial"/>
        </w:rPr>
        <w:t>.</w:t>
      </w:r>
    </w:p>
    <w:p w14:paraId="4D49B47A" w14:textId="77777777" w:rsidR="00A7602A" w:rsidRPr="00A7602A" w:rsidRDefault="00A7602A" w:rsidP="00A7602A">
      <w:pPr>
        <w:pStyle w:val="ListParagraph"/>
        <w:spacing w:after="120"/>
        <w:ind w:left="792"/>
        <w:jc w:val="both"/>
        <w:rPr>
          <w:rFonts w:cs="Arial"/>
        </w:rPr>
      </w:pPr>
    </w:p>
    <w:p w14:paraId="4D49B47B" w14:textId="77777777" w:rsidR="00A7602A" w:rsidRDefault="00A7602A" w:rsidP="00A7602A">
      <w:pPr>
        <w:pStyle w:val="ListParagraph"/>
        <w:numPr>
          <w:ilvl w:val="1"/>
          <w:numId w:val="2"/>
        </w:numPr>
        <w:spacing w:after="120"/>
        <w:jc w:val="both"/>
        <w:rPr>
          <w:rFonts w:cs="Arial"/>
        </w:rPr>
      </w:pPr>
      <w:r w:rsidRPr="00A7602A">
        <w:rPr>
          <w:rFonts w:cs="Arial"/>
        </w:rPr>
        <w:t>The revenue funding for schools will continue to be made by via 4 blocks – Schools, Central, High Needs and Early Years. As in 2018/19 the allocations are to be calculated on the basis of the national school funding formula reforms but will be aggregated and allocated to each Local Authority. This arrangement is confirmed for 2019/20 and 2020/21, which means the primary legislation needed to fund schools directly will not be put before parliament for another year or two.</w:t>
      </w:r>
    </w:p>
    <w:p w14:paraId="4D49B47C" w14:textId="77777777" w:rsidR="00A7602A" w:rsidRPr="00A7602A" w:rsidRDefault="00A7602A" w:rsidP="00A7602A">
      <w:pPr>
        <w:pStyle w:val="ListParagraph"/>
        <w:spacing w:after="120"/>
        <w:ind w:left="792"/>
        <w:jc w:val="both"/>
        <w:rPr>
          <w:rFonts w:cs="Arial"/>
        </w:rPr>
      </w:pPr>
    </w:p>
    <w:p w14:paraId="4D49B47D" w14:textId="77777777" w:rsidR="00A7602A" w:rsidRDefault="00A7602A" w:rsidP="00A7602A">
      <w:pPr>
        <w:pStyle w:val="ListParagraph"/>
        <w:numPr>
          <w:ilvl w:val="1"/>
          <w:numId w:val="2"/>
        </w:numPr>
        <w:spacing w:after="120"/>
        <w:jc w:val="both"/>
        <w:rPr>
          <w:rFonts w:cs="Arial"/>
        </w:rPr>
      </w:pPr>
      <w:r w:rsidRPr="00A7602A">
        <w:rPr>
          <w:rFonts w:cs="Arial"/>
        </w:rPr>
        <w:t>In July 2018, the EFSA issued the operational guidance on schools funding for 2019/20.</w:t>
      </w:r>
    </w:p>
    <w:p w14:paraId="4D49B47E" w14:textId="77777777" w:rsidR="00A7602A" w:rsidRPr="00A7602A" w:rsidRDefault="00A7602A" w:rsidP="00A7602A">
      <w:pPr>
        <w:pStyle w:val="ListParagraph"/>
        <w:spacing w:after="120"/>
        <w:ind w:left="792"/>
        <w:jc w:val="both"/>
        <w:rPr>
          <w:rFonts w:cs="Arial"/>
        </w:rPr>
      </w:pPr>
    </w:p>
    <w:p w14:paraId="4D49B47F" w14:textId="77777777" w:rsidR="00A7602A" w:rsidRDefault="00A7602A" w:rsidP="00A7602A">
      <w:pPr>
        <w:pStyle w:val="ListParagraph"/>
        <w:numPr>
          <w:ilvl w:val="1"/>
          <w:numId w:val="2"/>
        </w:numPr>
        <w:spacing w:after="120"/>
        <w:jc w:val="both"/>
        <w:rPr>
          <w:rFonts w:cs="Arial"/>
        </w:rPr>
      </w:pPr>
      <w:r w:rsidRPr="00A7602A">
        <w:rPr>
          <w:rFonts w:cs="Arial"/>
        </w:rPr>
        <w:t xml:space="preserve">At the same time, the EFSA published provisional allocations for 2019/20 for the Schools Block, Central Services Block and the High Needs Block. No </w:t>
      </w:r>
      <w:r w:rsidR="00C52743">
        <w:rPr>
          <w:rFonts w:cs="Arial"/>
        </w:rPr>
        <w:t xml:space="preserve">changes were </w:t>
      </w:r>
      <w:r w:rsidRPr="00A7602A">
        <w:rPr>
          <w:rFonts w:cs="Arial"/>
        </w:rPr>
        <w:t>announced about the Early Years Block arrangements for 2019/20.</w:t>
      </w:r>
    </w:p>
    <w:p w14:paraId="4D49B480" w14:textId="77777777" w:rsidR="00A7602A" w:rsidRPr="00A7602A" w:rsidRDefault="00A7602A" w:rsidP="00A7602A">
      <w:pPr>
        <w:pStyle w:val="ListParagraph"/>
        <w:spacing w:after="120"/>
        <w:ind w:left="792"/>
        <w:jc w:val="both"/>
        <w:rPr>
          <w:rFonts w:cs="Arial"/>
        </w:rPr>
      </w:pPr>
    </w:p>
    <w:p w14:paraId="4D49B481" w14:textId="77777777" w:rsidR="00A7602A" w:rsidRDefault="00A7602A" w:rsidP="00A7602A">
      <w:pPr>
        <w:pStyle w:val="ListParagraph"/>
        <w:numPr>
          <w:ilvl w:val="1"/>
          <w:numId w:val="2"/>
        </w:numPr>
        <w:spacing w:after="120"/>
        <w:jc w:val="both"/>
        <w:rPr>
          <w:rFonts w:cs="Arial"/>
        </w:rPr>
      </w:pPr>
      <w:r w:rsidRPr="00A7602A">
        <w:rPr>
          <w:rFonts w:cs="Arial"/>
        </w:rPr>
        <w:t>Growth for 2019/20 will be distributed on the basis of a new methodology. The technical basis is that the DfE will count growing pupil numbers in Middle Super Output Areas between October 2017 and October 2018 and it will ignore reductions. If this approach had been used to calculate growth for 2018/19, Tower Hamlets like other London LA’s would see a reduction in our growth fund, from £2.460m to £1.</w:t>
      </w:r>
      <w:r>
        <w:rPr>
          <w:rFonts w:cs="Arial"/>
        </w:rPr>
        <w:t>4</w:t>
      </w:r>
      <w:r w:rsidRPr="00A7602A">
        <w:rPr>
          <w:rFonts w:cs="Arial"/>
        </w:rPr>
        <w:t>56m.</w:t>
      </w:r>
    </w:p>
    <w:p w14:paraId="4D49B482" w14:textId="77777777" w:rsidR="00A7602A" w:rsidRPr="00A7602A" w:rsidRDefault="00A7602A" w:rsidP="00A7602A">
      <w:pPr>
        <w:pStyle w:val="ListParagraph"/>
        <w:spacing w:after="120"/>
        <w:ind w:left="792"/>
        <w:jc w:val="both"/>
        <w:rPr>
          <w:rFonts w:cs="Arial"/>
        </w:rPr>
      </w:pPr>
    </w:p>
    <w:p w14:paraId="4D49B483" w14:textId="77777777" w:rsidR="00A7602A" w:rsidRDefault="00A7602A" w:rsidP="00A7602A">
      <w:pPr>
        <w:pStyle w:val="ListParagraph"/>
        <w:numPr>
          <w:ilvl w:val="1"/>
          <w:numId w:val="2"/>
        </w:numPr>
        <w:spacing w:after="120"/>
        <w:jc w:val="both"/>
        <w:rPr>
          <w:rFonts w:cs="Arial"/>
        </w:rPr>
      </w:pPr>
      <w:r w:rsidRPr="00A7602A">
        <w:rPr>
          <w:rFonts w:cs="Arial"/>
        </w:rPr>
        <w:t>There are a number of continuing pressures, specifically in relation to the High Needs Block which is managed by the Council for those pupils with needs that cannot be fully met from schools’ individual budgets. The Government has extended the scope of the High Needs funding to cover educational costs of children and young people up to the age of 25. This expansion of the age range, coupled by an increase in the number of children who are applying for Education, Health and Care plans is placing significant pressure on both the retained budget and schools’ own budgets.</w:t>
      </w:r>
    </w:p>
    <w:p w14:paraId="4D49B484" w14:textId="77777777" w:rsidR="00060886" w:rsidRDefault="00060886" w:rsidP="00060886">
      <w:pPr>
        <w:pStyle w:val="ListParagraph"/>
        <w:spacing w:after="120"/>
        <w:ind w:left="792"/>
        <w:jc w:val="both"/>
        <w:rPr>
          <w:rFonts w:cs="Arial"/>
        </w:rPr>
      </w:pPr>
    </w:p>
    <w:p w14:paraId="4D49B485" w14:textId="77777777" w:rsidR="00FC60BB" w:rsidRDefault="00FC60BB" w:rsidP="00060886">
      <w:pPr>
        <w:pStyle w:val="ListParagraph"/>
        <w:spacing w:after="120"/>
        <w:ind w:left="792"/>
        <w:jc w:val="both"/>
        <w:rPr>
          <w:rFonts w:cs="Arial"/>
        </w:rPr>
      </w:pPr>
    </w:p>
    <w:p w14:paraId="4D49B486" w14:textId="77777777" w:rsidR="00FC60BB" w:rsidRDefault="00FC60BB" w:rsidP="00060886">
      <w:pPr>
        <w:pStyle w:val="ListParagraph"/>
        <w:spacing w:after="120"/>
        <w:ind w:left="792"/>
        <w:jc w:val="both"/>
        <w:rPr>
          <w:rFonts w:cs="Arial"/>
        </w:rPr>
      </w:pPr>
    </w:p>
    <w:p w14:paraId="4D49B487" w14:textId="77777777" w:rsidR="00060886" w:rsidRDefault="00060886" w:rsidP="00060886">
      <w:pPr>
        <w:pStyle w:val="ListParagraph"/>
        <w:spacing w:after="120"/>
        <w:ind w:left="792"/>
        <w:jc w:val="both"/>
        <w:rPr>
          <w:rFonts w:cs="Arial"/>
        </w:rPr>
      </w:pPr>
    </w:p>
    <w:p w14:paraId="4D49B488" w14:textId="77777777" w:rsidR="00060886" w:rsidRDefault="00060886" w:rsidP="00A7602A">
      <w:pPr>
        <w:pStyle w:val="ListParagraph"/>
        <w:numPr>
          <w:ilvl w:val="1"/>
          <w:numId w:val="2"/>
        </w:numPr>
        <w:spacing w:after="120"/>
        <w:jc w:val="both"/>
        <w:rPr>
          <w:rFonts w:cs="Arial"/>
        </w:rPr>
      </w:pPr>
      <w:r w:rsidRPr="00060886">
        <w:rPr>
          <w:rFonts w:cs="Arial"/>
        </w:rPr>
        <w:lastRenderedPageBreak/>
        <w:t>Schools can also, through the Schools Forum, agree to de-delegate some of their Schools Block resources for certain specific services such as to fund release time for trade union duties and allow the Local Authority to fund them centrally on behalf of all schools and contributions to support the Former Education Services Grant (ESG) General Duties which was removed by the government in 2017, these are LA statutory functions for schools, example; finance monitoring/compliance/Internal audit and other CFO S151 responsibilities.</w:t>
      </w:r>
    </w:p>
    <w:p w14:paraId="4D49B489" w14:textId="77777777" w:rsidR="00060886" w:rsidRDefault="00060886" w:rsidP="00060886">
      <w:pPr>
        <w:pStyle w:val="ListParagraph"/>
        <w:spacing w:after="120"/>
        <w:ind w:left="792"/>
        <w:jc w:val="both"/>
        <w:rPr>
          <w:rFonts w:cs="Arial"/>
        </w:rPr>
      </w:pPr>
    </w:p>
    <w:p w14:paraId="4D49B48A" w14:textId="77777777" w:rsidR="00060886" w:rsidRDefault="00060886" w:rsidP="00060886">
      <w:pPr>
        <w:pStyle w:val="ListParagraph"/>
        <w:numPr>
          <w:ilvl w:val="1"/>
          <w:numId w:val="2"/>
        </w:numPr>
        <w:spacing w:after="120"/>
        <w:rPr>
          <w:rFonts w:eastAsiaTheme="minorHAnsi" w:cs="Arial"/>
          <w:lang w:eastAsia="en-US"/>
        </w:rPr>
      </w:pPr>
      <w:r w:rsidRPr="00060886">
        <w:rPr>
          <w:rFonts w:eastAsiaTheme="minorHAnsi" w:cs="Arial"/>
          <w:lang w:eastAsia="en-US"/>
        </w:rPr>
        <w:t>A new Central Schools Services Block (CSSB) introduced in 2018-19 to fund LAs for their statutory duties relating to maintained schools and academies. The CSSB brings together funding previously allocated through the retained duties element of the Education Services Grant; funding for ongoing central functions e.g. admissions; and funding for historic commitments e.g. items previously agreed locally such as combined budgets.</w:t>
      </w:r>
    </w:p>
    <w:p w14:paraId="4D49B48B" w14:textId="77777777" w:rsidR="009650C4" w:rsidRDefault="009650C4" w:rsidP="00675F7A">
      <w:pPr>
        <w:pStyle w:val="ListParagraph"/>
        <w:tabs>
          <w:tab w:val="num" w:pos="792"/>
        </w:tabs>
        <w:spacing w:after="120"/>
        <w:jc w:val="both"/>
        <w:rPr>
          <w:rFonts w:eastAsiaTheme="minorHAnsi" w:cs="Arial"/>
          <w:lang w:eastAsia="en-US"/>
        </w:rPr>
      </w:pPr>
    </w:p>
    <w:p w14:paraId="4D49B48C" w14:textId="77777777" w:rsidR="009650C4" w:rsidRPr="007206FF" w:rsidRDefault="00C52743" w:rsidP="00C52743">
      <w:pPr>
        <w:numPr>
          <w:ilvl w:val="0"/>
          <w:numId w:val="2"/>
        </w:numPr>
        <w:rPr>
          <w:b/>
          <w:color w:val="000000" w:themeColor="text1"/>
        </w:rPr>
      </w:pPr>
      <w:r w:rsidRPr="00C52743">
        <w:rPr>
          <w:b/>
          <w:color w:val="000000" w:themeColor="text1"/>
        </w:rPr>
        <w:t>Dedicated Schools Grant</w:t>
      </w:r>
      <w:r>
        <w:rPr>
          <w:b/>
          <w:color w:val="000000" w:themeColor="text1"/>
        </w:rPr>
        <w:t xml:space="preserve"> </w:t>
      </w:r>
      <w:r w:rsidR="003E5AAE" w:rsidRPr="007206FF">
        <w:rPr>
          <w:b/>
          <w:color w:val="000000" w:themeColor="text1"/>
        </w:rPr>
        <w:t>2019</w:t>
      </w:r>
      <w:r w:rsidR="00A7602A">
        <w:rPr>
          <w:b/>
          <w:color w:val="000000" w:themeColor="text1"/>
        </w:rPr>
        <w:t>/20</w:t>
      </w:r>
    </w:p>
    <w:p w14:paraId="4D49B48D" w14:textId="77777777" w:rsidR="001C5F48" w:rsidRPr="007206FF" w:rsidRDefault="001C5F48" w:rsidP="001C5F48">
      <w:pPr>
        <w:pStyle w:val="ListParagraph"/>
        <w:rPr>
          <w:rFonts w:eastAsiaTheme="minorHAnsi" w:cs="Arial"/>
          <w:color w:val="000000" w:themeColor="text1"/>
          <w:lang w:eastAsia="en-US"/>
        </w:rPr>
      </w:pPr>
    </w:p>
    <w:p w14:paraId="4D49B48E" w14:textId="77777777" w:rsidR="00C52743" w:rsidRDefault="00C52743" w:rsidP="009D4755">
      <w:pPr>
        <w:pStyle w:val="ListParagraph"/>
        <w:numPr>
          <w:ilvl w:val="1"/>
          <w:numId w:val="2"/>
        </w:numPr>
        <w:tabs>
          <w:tab w:val="num" w:pos="720"/>
        </w:tabs>
        <w:spacing w:after="120"/>
        <w:ind w:left="720" w:hanging="720"/>
        <w:jc w:val="both"/>
        <w:rPr>
          <w:rFonts w:eastAsiaTheme="minorHAnsi" w:cs="Arial"/>
          <w:color w:val="000000" w:themeColor="text1"/>
          <w:lang w:eastAsia="en-US"/>
        </w:rPr>
      </w:pPr>
      <w:r w:rsidRPr="00C52743">
        <w:rPr>
          <w:rFonts w:eastAsiaTheme="minorHAnsi" w:cs="Arial"/>
          <w:color w:val="000000" w:themeColor="text1"/>
          <w:lang w:eastAsia="en-US"/>
        </w:rPr>
        <w:t>The DfE announced the DSG for 2019/20 on the 17th December 201</w:t>
      </w:r>
      <w:r>
        <w:rPr>
          <w:rFonts w:eastAsiaTheme="minorHAnsi" w:cs="Arial"/>
          <w:color w:val="000000" w:themeColor="text1"/>
          <w:lang w:eastAsia="en-US"/>
        </w:rPr>
        <w:t>8.</w:t>
      </w:r>
    </w:p>
    <w:p w14:paraId="4D49B48F" w14:textId="77777777" w:rsidR="00C52743" w:rsidRDefault="00C52743" w:rsidP="00C52743">
      <w:pPr>
        <w:pStyle w:val="ListParagraph"/>
        <w:tabs>
          <w:tab w:val="num" w:pos="792"/>
        </w:tabs>
        <w:spacing w:after="120"/>
        <w:ind w:left="360"/>
        <w:jc w:val="both"/>
        <w:rPr>
          <w:rFonts w:eastAsiaTheme="minorHAnsi" w:cs="Arial"/>
          <w:color w:val="000000" w:themeColor="text1"/>
          <w:lang w:eastAsia="en-US"/>
        </w:rPr>
      </w:pPr>
      <w:r>
        <w:rPr>
          <w:rFonts w:eastAsiaTheme="minorHAnsi" w:cs="Arial"/>
          <w:color w:val="000000" w:themeColor="text1"/>
          <w:lang w:eastAsia="en-US"/>
        </w:rPr>
        <w:tab/>
      </w:r>
      <w:r w:rsidRPr="00C52743">
        <w:rPr>
          <w:rFonts w:eastAsiaTheme="minorHAnsi" w:cs="Arial"/>
          <w:color w:val="000000" w:themeColor="text1"/>
          <w:lang w:eastAsia="en-US"/>
        </w:rPr>
        <w:t xml:space="preserve">The table below sets out the estimated DSG deployment over the </w:t>
      </w:r>
      <w:r>
        <w:rPr>
          <w:rFonts w:eastAsiaTheme="minorHAnsi" w:cs="Arial"/>
          <w:color w:val="000000" w:themeColor="text1"/>
          <w:lang w:eastAsia="en-US"/>
        </w:rPr>
        <w:tab/>
      </w:r>
      <w:r>
        <w:rPr>
          <w:rFonts w:eastAsiaTheme="minorHAnsi" w:cs="Arial"/>
          <w:color w:val="000000" w:themeColor="text1"/>
          <w:lang w:eastAsia="en-US"/>
        </w:rPr>
        <w:tab/>
      </w:r>
      <w:r w:rsidRPr="00C52743">
        <w:rPr>
          <w:rFonts w:eastAsiaTheme="minorHAnsi" w:cs="Arial"/>
          <w:color w:val="000000" w:themeColor="text1"/>
          <w:lang w:eastAsia="en-US"/>
        </w:rPr>
        <w:t>funding blocks for 2019-20</w:t>
      </w:r>
      <w:r>
        <w:rPr>
          <w:rFonts w:eastAsiaTheme="minorHAnsi" w:cs="Arial"/>
          <w:color w:val="000000" w:themeColor="text1"/>
          <w:lang w:eastAsia="en-US"/>
        </w:rPr>
        <w:t>;</w:t>
      </w:r>
    </w:p>
    <w:tbl>
      <w:tblPr>
        <w:tblStyle w:val="TableGridLight"/>
        <w:tblW w:w="7558" w:type="dxa"/>
        <w:tblInd w:w="376" w:type="dxa"/>
        <w:tblLook w:val="04A0" w:firstRow="1" w:lastRow="0" w:firstColumn="1" w:lastColumn="0" w:noHBand="0" w:noVBand="1"/>
      </w:tblPr>
      <w:tblGrid>
        <w:gridCol w:w="4361"/>
        <w:gridCol w:w="1699"/>
        <w:gridCol w:w="278"/>
        <w:gridCol w:w="1220"/>
      </w:tblGrid>
      <w:tr w:rsidR="00C52743" w:rsidRPr="00D06A5F" w14:paraId="4D49B494" w14:textId="77777777" w:rsidTr="00742BF9">
        <w:trPr>
          <w:trHeight w:val="288"/>
        </w:trPr>
        <w:tc>
          <w:tcPr>
            <w:tcW w:w="4361" w:type="dxa"/>
            <w:shd w:val="clear" w:color="auto" w:fill="365F91" w:themeFill="accent1" w:themeFillShade="BF"/>
            <w:noWrap/>
            <w:hideMark/>
          </w:tcPr>
          <w:p w14:paraId="4D49B490" w14:textId="77777777" w:rsidR="00C52743" w:rsidRPr="00D06A5F" w:rsidRDefault="00C52743" w:rsidP="00171610">
            <w:pPr>
              <w:rPr>
                <w:rFonts w:cs="Arial"/>
                <w:b/>
                <w:bCs/>
                <w:color w:val="FFFFFF"/>
                <w:sz w:val="22"/>
                <w:szCs w:val="22"/>
              </w:rPr>
            </w:pPr>
            <w:r w:rsidRPr="00D06A5F">
              <w:rPr>
                <w:rFonts w:cs="Arial"/>
                <w:b/>
                <w:bCs/>
                <w:color w:val="FFFFFF"/>
                <w:sz w:val="22"/>
                <w:szCs w:val="22"/>
              </w:rPr>
              <w:t>Schools Forum Summary</w:t>
            </w:r>
          </w:p>
        </w:tc>
        <w:tc>
          <w:tcPr>
            <w:tcW w:w="1699" w:type="dxa"/>
            <w:shd w:val="clear" w:color="auto" w:fill="365F91" w:themeFill="accent1" w:themeFillShade="BF"/>
            <w:noWrap/>
            <w:hideMark/>
          </w:tcPr>
          <w:p w14:paraId="4D49B491" w14:textId="77777777" w:rsidR="00C52743" w:rsidRPr="00D06A5F" w:rsidRDefault="00C52743" w:rsidP="00171610">
            <w:pPr>
              <w:rPr>
                <w:rFonts w:cs="Arial"/>
                <w:b/>
                <w:bCs/>
                <w:color w:val="FFFFFF"/>
                <w:sz w:val="22"/>
                <w:szCs w:val="22"/>
              </w:rPr>
            </w:pPr>
            <w:r w:rsidRPr="00D06A5F">
              <w:rPr>
                <w:rFonts w:cs="Arial"/>
                <w:b/>
                <w:bCs/>
                <w:color w:val="FFFFFF"/>
                <w:sz w:val="22"/>
                <w:szCs w:val="22"/>
              </w:rPr>
              <w:t> </w:t>
            </w:r>
          </w:p>
        </w:tc>
        <w:tc>
          <w:tcPr>
            <w:tcW w:w="278" w:type="dxa"/>
            <w:shd w:val="clear" w:color="auto" w:fill="365F91" w:themeFill="accent1" w:themeFillShade="BF"/>
            <w:noWrap/>
            <w:hideMark/>
          </w:tcPr>
          <w:p w14:paraId="4D49B492" w14:textId="77777777" w:rsidR="00C52743" w:rsidRPr="00D06A5F" w:rsidRDefault="00C52743" w:rsidP="00171610">
            <w:pPr>
              <w:rPr>
                <w:rFonts w:cs="Arial"/>
                <w:b/>
                <w:bCs/>
                <w:color w:val="FFFFFF"/>
                <w:sz w:val="22"/>
                <w:szCs w:val="22"/>
              </w:rPr>
            </w:pPr>
            <w:r w:rsidRPr="00D06A5F">
              <w:rPr>
                <w:rFonts w:cs="Arial"/>
                <w:b/>
                <w:bCs/>
                <w:color w:val="FFFFFF"/>
                <w:sz w:val="22"/>
                <w:szCs w:val="22"/>
              </w:rPr>
              <w:t> </w:t>
            </w:r>
          </w:p>
        </w:tc>
        <w:tc>
          <w:tcPr>
            <w:tcW w:w="1220" w:type="dxa"/>
            <w:shd w:val="clear" w:color="auto" w:fill="365F91" w:themeFill="accent1" w:themeFillShade="BF"/>
            <w:noWrap/>
            <w:hideMark/>
          </w:tcPr>
          <w:p w14:paraId="4D49B493" w14:textId="77777777" w:rsidR="00C52743" w:rsidRPr="00D06A5F" w:rsidRDefault="00C52743" w:rsidP="00171610">
            <w:pPr>
              <w:jc w:val="right"/>
              <w:rPr>
                <w:rFonts w:cs="Arial"/>
                <w:b/>
                <w:bCs/>
                <w:color w:val="FFFFFF"/>
                <w:sz w:val="22"/>
                <w:szCs w:val="22"/>
              </w:rPr>
            </w:pPr>
            <w:r w:rsidRPr="00D06A5F">
              <w:rPr>
                <w:rFonts w:cs="Arial"/>
                <w:b/>
                <w:bCs/>
                <w:color w:val="FFFFFF"/>
                <w:sz w:val="22"/>
                <w:szCs w:val="22"/>
              </w:rPr>
              <w:t>2019-20</w:t>
            </w:r>
          </w:p>
        </w:tc>
      </w:tr>
      <w:tr w:rsidR="00C52743" w:rsidRPr="00D06A5F" w14:paraId="4D49B499" w14:textId="77777777" w:rsidTr="00742BF9">
        <w:trPr>
          <w:trHeight w:val="300"/>
        </w:trPr>
        <w:tc>
          <w:tcPr>
            <w:tcW w:w="4361" w:type="dxa"/>
            <w:shd w:val="clear" w:color="auto" w:fill="365F91" w:themeFill="accent1" w:themeFillShade="BF"/>
            <w:noWrap/>
            <w:hideMark/>
          </w:tcPr>
          <w:p w14:paraId="4D49B495" w14:textId="77777777" w:rsidR="00C52743" w:rsidRPr="00D06A5F" w:rsidRDefault="00C52743" w:rsidP="00171610">
            <w:pPr>
              <w:rPr>
                <w:rFonts w:cs="Arial"/>
                <w:b/>
                <w:bCs/>
                <w:color w:val="FFFFFF"/>
                <w:sz w:val="22"/>
                <w:szCs w:val="22"/>
              </w:rPr>
            </w:pPr>
            <w:r w:rsidRPr="00D06A5F">
              <w:rPr>
                <w:rFonts w:cs="Arial"/>
                <w:b/>
                <w:bCs/>
                <w:color w:val="FFFFFF"/>
                <w:sz w:val="22"/>
                <w:szCs w:val="22"/>
              </w:rPr>
              <w:t> </w:t>
            </w:r>
          </w:p>
        </w:tc>
        <w:tc>
          <w:tcPr>
            <w:tcW w:w="1699" w:type="dxa"/>
            <w:shd w:val="clear" w:color="auto" w:fill="365F91" w:themeFill="accent1" w:themeFillShade="BF"/>
            <w:noWrap/>
            <w:hideMark/>
          </w:tcPr>
          <w:p w14:paraId="4D49B496" w14:textId="77777777" w:rsidR="00C52743" w:rsidRPr="00D06A5F" w:rsidRDefault="00C52743" w:rsidP="00171610">
            <w:pPr>
              <w:rPr>
                <w:rFonts w:cs="Arial"/>
                <w:b/>
                <w:bCs/>
                <w:color w:val="FFFFFF"/>
                <w:sz w:val="22"/>
                <w:szCs w:val="22"/>
              </w:rPr>
            </w:pPr>
            <w:r w:rsidRPr="00D06A5F">
              <w:rPr>
                <w:rFonts w:cs="Arial"/>
                <w:b/>
                <w:bCs/>
                <w:color w:val="FFFFFF"/>
                <w:sz w:val="22"/>
                <w:szCs w:val="22"/>
              </w:rPr>
              <w:t> </w:t>
            </w:r>
          </w:p>
        </w:tc>
        <w:tc>
          <w:tcPr>
            <w:tcW w:w="278" w:type="dxa"/>
            <w:shd w:val="clear" w:color="auto" w:fill="365F91" w:themeFill="accent1" w:themeFillShade="BF"/>
            <w:noWrap/>
            <w:hideMark/>
          </w:tcPr>
          <w:p w14:paraId="4D49B497" w14:textId="77777777" w:rsidR="00C52743" w:rsidRPr="00D06A5F" w:rsidRDefault="00C52743" w:rsidP="00171610">
            <w:pPr>
              <w:rPr>
                <w:rFonts w:cs="Arial"/>
                <w:b/>
                <w:bCs/>
                <w:color w:val="FFFFFF"/>
                <w:sz w:val="22"/>
                <w:szCs w:val="22"/>
              </w:rPr>
            </w:pPr>
            <w:r w:rsidRPr="00D06A5F">
              <w:rPr>
                <w:rFonts w:cs="Arial"/>
                <w:b/>
                <w:bCs/>
                <w:color w:val="FFFFFF"/>
                <w:sz w:val="22"/>
                <w:szCs w:val="22"/>
              </w:rPr>
              <w:t> </w:t>
            </w:r>
          </w:p>
        </w:tc>
        <w:tc>
          <w:tcPr>
            <w:tcW w:w="1220" w:type="dxa"/>
            <w:shd w:val="clear" w:color="auto" w:fill="365F91" w:themeFill="accent1" w:themeFillShade="BF"/>
            <w:noWrap/>
            <w:hideMark/>
          </w:tcPr>
          <w:p w14:paraId="4D49B498" w14:textId="77777777" w:rsidR="00C52743" w:rsidRPr="00D06A5F" w:rsidRDefault="00C52743" w:rsidP="00171610">
            <w:pPr>
              <w:jc w:val="right"/>
              <w:rPr>
                <w:rFonts w:cs="Arial"/>
                <w:b/>
                <w:bCs/>
                <w:color w:val="FFFFFF"/>
                <w:sz w:val="22"/>
                <w:szCs w:val="22"/>
              </w:rPr>
            </w:pPr>
            <w:r w:rsidRPr="00D06A5F">
              <w:rPr>
                <w:rFonts w:cs="Arial"/>
                <w:b/>
                <w:bCs/>
                <w:color w:val="FFFFFF"/>
                <w:sz w:val="22"/>
                <w:szCs w:val="22"/>
              </w:rPr>
              <w:t>£m</w:t>
            </w:r>
          </w:p>
        </w:tc>
      </w:tr>
      <w:tr w:rsidR="00C52743" w:rsidRPr="00D06A5F" w14:paraId="4D49B49E" w14:textId="77777777" w:rsidTr="00742BF9">
        <w:trPr>
          <w:trHeight w:val="288"/>
        </w:trPr>
        <w:tc>
          <w:tcPr>
            <w:tcW w:w="4361" w:type="dxa"/>
            <w:noWrap/>
            <w:hideMark/>
          </w:tcPr>
          <w:p w14:paraId="4D49B49A" w14:textId="77777777" w:rsidR="00C52743" w:rsidRPr="00D06A5F" w:rsidRDefault="00C52743" w:rsidP="00171610">
            <w:pPr>
              <w:rPr>
                <w:rFonts w:cs="Arial"/>
                <w:color w:val="000000"/>
                <w:sz w:val="22"/>
                <w:szCs w:val="22"/>
              </w:rPr>
            </w:pPr>
            <w:r w:rsidRPr="00D06A5F">
              <w:rPr>
                <w:rFonts w:cs="Arial"/>
                <w:color w:val="000000"/>
                <w:sz w:val="22"/>
                <w:szCs w:val="22"/>
              </w:rPr>
              <w:t xml:space="preserve">1.0 Schools Block </w:t>
            </w:r>
          </w:p>
        </w:tc>
        <w:tc>
          <w:tcPr>
            <w:tcW w:w="1699" w:type="dxa"/>
            <w:noWrap/>
            <w:hideMark/>
          </w:tcPr>
          <w:p w14:paraId="4D49B49B" w14:textId="77777777" w:rsidR="00C52743" w:rsidRPr="00D06A5F" w:rsidRDefault="00C52743" w:rsidP="00171610">
            <w:pPr>
              <w:rPr>
                <w:rFonts w:cs="Arial"/>
                <w:color w:val="000000"/>
                <w:sz w:val="22"/>
                <w:szCs w:val="22"/>
              </w:rPr>
            </w:pPr>
            <w:r w:rsidRPr="00D06A5F">
              <w:rPr>
                <w:rFonts w:cs="Arial"/>
                <w:color w:val="000000"/>
                <w:sz w:val="22"/>
                <w:szCs w:val="22"/>
              </w:rPr>
              <w:t> </w:t>
            </w:r>
          </w:p>
        </w:tc>
        <w:tc>
          <w:tcPr>
            <w:tcW w:w="278" w:type="dxa"/>
            <w:noWrap/>
            <w:hideMark/>
          </w:tcPr>
          <w:p w14:paraId="4D49B49C" w14:textId="77777777" w:rsidR="00C52743" w:rsidRPr="00D06A5F" w:rsidRDefault="00C52743" w:rsidP="00171610">
            <w:pPr>
              <w:rPr>
                <w:rFonts w:cs="Arial"/>
                <w:color w:val="000000"/>
                <w:sz w:val="22"/>
                <w:szCs w:val="22"/>
              </w:rPr>
            </w:pPr>
            <w:r w:rsidRPr="00D06A5F">
              <w:rPr>
                <w:rFonts w:cs="Arial"/>
                <w:color w:val="000000"/>
                <w:sz w:val="22"/>
                <w:szCs w:val="22"/>
              </w:rPr>
              <w:t> </w:t>
            </w:r>
          </w:p>
        </w:tc>
        <w:tc>
          <w:tcPr>
            <w:tcW w:w="1220" w:type="dxa"/>
            <w:noWrap/>
            <w:hideMark/>
          </w:tcPr>
          <w:p w14:paraId="4D49B49D" w14:textId="77777777" w:rsidR="00C52743" w:rsidRPr="00D06A5F" w:rsidRDefault="00C52743" w:rsidP="00171610">
            <w:pPr>
              <w:jc w:val="right"/>
              <w:rPr>
                <w:rFonts w:cs="Arial"/>
                <w:color w:val="000000"/>
                <w:sz w:val="22"/>
                <w:szCs w:val="22"/>
              </w:rPr>
            </w:pPr>
            <w:r w:rsidRPr="00D06A5F">
              <w:rPr>
                <w:rFonts w:cs="Arial"/>
                <w:color w:val="000000"/>
                <w:sz w:val="22"/>
                <w:szCs w:val="22"/>
              </w:rPr>
              <w:t>257,420</w:t>
            </w:r>
          </w:p>
        </w:tc>
      </w:tr>
      <w:tr w:rsidR="00742BF9" w:rsidRPr="00D06A5F" w14:paraId="4D49B4A2" w14:textId="77777777" w:rsidTr="00742BF9">
        <w:trPr>
          <w:trHeight w:val="288"/>
        </w:trPr>
        <w:tc>
          <w:tcPr>
            <w:tcW w:w="4361" w:type="dxa"/>
            <w:noWrap/>
            <w:hideMark/>
          </w:tcPr>
          <w:p w14:paraId="4EBB63EC" w14:textId="77777777" w:rsidR="00742BF9" w:rsidRPr="00D06A5F" w:rsidRDefault="00742BF9" w:rsidP="00171610">
            <w:pPr>
              <w:rPr>
                <w:rFonts w:cs="Arial"/>
                <w:color w:val="000000"/>
                <w:sz w:val="22"/>
                <w:szCs w:val="22"/>
              </w:rPr>
            </w:pPr>
            <w:r w:rsidRPr="00D06A5F">
              <w:rPr>
                <w:rFonts w:cs="Arial"/>
                <w:color w:val="000000"/>
                <w:sz w:val="22"/>
                <w:szCs w:val="22"/>
              </w:rPr>
              <w:t>1.1 De-delegated items (Schools block )</w:t>
            </w:r>
          </w:p>
        </w:tc>
        <w:tc>
          <w:tcPr>
            <w:tcW w:w="1699" w:type="dxa"/>
          </w:tcPr>
          <w:p w14:paraId="4D49B49F" w14:textId="056354DD" w:rsidR="00742BF9" w:rsidRPr="00D06A5F" w:rsidRDefault="00742BF9" w:rsidP="00171610">
            <w:pPr>
              <w:rPr>
                <w:rFonts w:cs="Arial"/>
                <w:color w:val="000000"/>
                <w:sz w:val="22"/>
                <w:szCs w:val="22"/>
              </w:rPr>
            </w:pPr>
          </w:p>
        </w:tc>
        <w:tc>
          <w:tcPr>
            <w:tcW w:w="278" w:type="dxa"/>
            <w:noWrap/>
            <w:hideMark/>
          </w:tcPr>
          <w:p w14:paraId="4D49B4A0" w14:textId="77777777" w:rsidR="00742BF9" w:rsidRPr="00D06A5F" w:rsidRDefault="00742BF9" w:rsidP="00171610">
            <w:pPr>
              <w:rPr>
                <w:rFonts w:cs="Arial"/>
                <w:color w:val="000000"/>
                <w:sz w:val="22"/>
                <w:szCs w:val="22"/>
              </w:rPr>
            </w:pPr>
          </w:p>
        </w:tc>
        <w:tc>
          <w:tcPr>
            <w:tcW w:w="1220" w:type="dxa"/>
            <w:noWrap/>
            <w:hideMark/>
          </w:tcPr>
          <w:p w14:paraId="4D49B4A1" w14:textId="77777777" w:rsidR="00742BF9" w:rsidRPr="00D06A5F" w:rsidRDefault="00742BF9" w:rsidP="00171610">
            <w:pPr>
              <w:jc w:val="right"/>
              <w:rPr>
                <w:rFonts w:cs="Arial"/>
                <w:color w:val="000000"/>
                <w:sz w:val="22"/>
                <w:szCs w:val="22"/>
              </w:rPr>
            </w:pPr>
            <w:r w:rsidRPr="00D06A5F">
              <w:rPr>
                <w:rFonts w:cs="Arial"/>
                <w:color w:val="000000"/>
                <w:sz w:val="22"/>
                <w:szCs w:val="22"/>
              </w:rPr>
              <w:t>3,226</w:t>
            </w:r>
          </w:p>
        </w:tc>
      </w:tr>
      <w:tr w:rsidR="00C52743" w:rsidRPr="00D06A5F" w14:paraId="4D49B4A7" w14:textId="77777777" w:rsidTr="00742BF9">
        <w:trPr>
          <w:trHeight w:val="288"/>
        </w:trPr>
        <w:tc>
          <w:tcPr>
            <w:tcW w:w="4361" w:type="dxa"/>
            <w:noWrap/>
            <w:hideMark/>
          </w:tcPr>
          <w:p w14:paraId="4D49B4A3" w14:textId="77777777" w:rsidR="00C52743" w:rsidRPr="00D06A5F" w:rsidRDefault="00C52743" w:rsidP="00171610">
            <w:pPr>
              <w:rPr>
                <w:rFonts w:cs="Arial"/>
                <w:color w:val="000000"/>
                <w:sz w:val="22"/>
                <w:szCs w:val="22"/>
              </w:rPr>
            </w:pPr>
            <w:r w:rsidRPr="00D06A5F">
              <w:rPr>
                <w:rFonts w:cs="Arial"/>
                <w:color w:val="000000"/>
                <w:sz w:val="22"/>
                <w:szCs w:val="22"/>
              </w:rPr>
              <w:t>1.2 High Needs Block</w:t>
            </w:r>
          </w:p>
        </w:tc>
        <w:tc>
          <w:tcPr>
            <w:tcW w:w="1699" w:type="dxa"/>
            <w:noWrap/>
            <w:hideMark/>
          </w:tcPr>
          <w:p w14:paraId="4D49B4A4" w14:textId="77777777" w:rsidR="00C52743" w:rsidRPr="00D06A5F" w:rsidRDefault="00C52743" w:rsidP="00171610">
            <w:pPr>
              <w:rPr>
                <w:rFonts w:cs="Arial"/>
                <w:color w:val="000000"/>
                <w:sz w:val="22"/>
                <w:szCs w:val="22"/>
              </w:rPr>
            </w:pPr>
            <w:r w:rsidRPr="00D06A5F">
              <w:rPr>
                <w:rFonts w:cs="Arial"/>
                <w:color w:val="000000"/>
                <w:sz w:val="22"/>
                <w:szCs w:val="22"/>
              </w:rPr>
              <w:t> </w:t>
            </w:r>
          </w:p>
        </w:tc>
        <w:tc>
          <w:tcPr>
            <w:tcW w:w="278" w:type="dxa"/>
            <w:noWrap/>
            <w:hideMark/>
          </w:tcPr>
          <w:p w14:paraId="4D49B4A5" w14:textId="77777777" w:rsidR="00C52743" w:rsidRPr="00D06A5F" w:rsidRDefault="00C52743" w:rsidP="00171610">
            <w:pPr>
              <w:rPr>
                <w:rFonts w:cs="Arial"/>
                <w:color w:val="000000"/>
                <w:sz w:val="22"/>
                <w:szCs w:val="22"/>
              </w:rPr>
            </w:pPr>
          </w:p>
        </w:tc>
        <w:tc>
          <w:tcPr>
            <w:tcW w:w="1220" w:type="dxa"/>
            <w:noWrap/>
            <w:hideMark/>
          </w:tcPr>
          <w:p w14:paraId="4D49B4A6" w14:textId="77777777" w:rsidR="00C52743" w:rsidRPr="00D06A5F" w:rsidRDefault="00C52743" w:rsidP="00171610">
            <w:pPr>
              <w:jc w:val="right"/>
              <w:rPr>
                <w:rFonts w:cs="Arial"/>
                <w:color w:val="000000"/>
                <w:sz w:val="22"/>
                <w:szCs w:val="22"/>
              </w:rPr>
            </w:pPr>
            <w:r w:rsidRPr="00D06A5F">
              <w:rPr>
                <w:rFonts w:cs="Arial"/>
                <w:color w:val="000000"/>
                <w:sz w:val="22"/>
                <w:szCs w:val="22"/>
              </w:rPr>
              <w:t>50,531</w:t>
            </w:r>
          </w:p>
        </w:tc>
      </w:tr>
      <w:tr w:rsidR="00C52743" w:rsidRPr="00D06A5F" w14:paraId="4D49B4AC" w14:textId="77777777" w:rsidTr="00742BF9">
        <w:trPr>
          <w:trHeight w:val="288"/>
        </w:trPr>
        <w:tc>
          <w:tcPr>
            <w:tcW w:w="4361" w:type="dxa"/>
            <w:noWrap/>
            <w:hideMark/>
          </w:tcPr>
          <w:p w14:paraId="4D49B4A8" w14:textId="77777777" w:rsidR="00C52743" w:rsidRPr="00D06A5F" w:rsidRDefault="00C52743" w:rsidP="00171610">
            <w:pPr>
              <w:rPr>
                <w:rFonts w:cs="Arial"/>
                <w:color w:val="000000"/>
                <w:sz w:val="22"/>
                <w:szCs w:val="22"/>
              </w:rPr>
            </w:pPr>
            <w:r w:rsidRPr="00D06A5F">
              <w:rPr>
                <w:rFonts w:cs="Arial"/>
                <w:color w:val="000000"/>
                <w:sz w:val="22"/>
                <w:szCs w:val="22"/>
              </w:rPr>
              <w:t>1.3 Early Years Block</w:t>
            </w:r>
          </w:p>
        </w:tc>
        <w:tc>
          <w:tcPr>
            <w:tcW w:w="1699" w:type="dxa"/>
            <w:noWrap/>
            <w:hideMark/>
          </w:tcPr>
          <w:p w14:paraId="4D49B4A9" w14:textId="77777777" w:rsidR="00C52743" w:rsidRPr="00D06A5F" w:rsidRDefault="00C52743" w:rsidP="00171610">
            <w:pPr>
              <w:rPr>
                <w:rFonts w:cs="Arial"/>
                <w:color w:val="000000"/>
                <w:sz w:val="22"/>
                <w:szCs w:val="22"/>
              </w:rPr>
            </w:pPr>
            <w:r w:rsidRPr="00D06A5F">
              <w:rPr>
                <w:rFonts w:cs="Arial"/>
                <w:color w:val="000000"/>
                <w:sz w:val="22"/>
                <w:szCs w:val="22"/>
              </w:rPr>
              <w:t> </w:t>
            </w:r>
          </w:p>
        </w:tc>
        <w:tc>
          <w:tcPr>
            <w:tcW w:w="278" w:type="dxa"/>
            <w:noWrap/>
            <w:hideMark/>
          </w:tcPr>
          <w:p w14:paraId="4D49B4AA" w14:textId="77777777" w:rsidR="00C52743" w:rsidRPr="00D06A5F" w:rsidRDefault="00C52743" w:rsidP="00171610">
            <w:pPr>
              <w:rPr>
                <w:rFonts w:cs="Arial"/>
                <w:color w:val="000000"/>
                <w:sz w:val="22"/>
                <w:szCs w:val="22"/>
              </w:rPr>
            </w:pPr>
          </w:p>
        </w:tc>
        <w:tc>
          <w:tcPr>
            <w:tcW w:w="1220" w:type="dxa"/>
            <w:noWrap/>
            <w:hideMark/>
          </w:tcPr>
          <w:p w14:paraId="4D49B4AB" w14:textId="77777777" w:rsidR="00C52743" w:rsidRPr="00D06A5F" w:rsidRDefault="00C52743" w:rsidP="00171610">
            <w:pPr>
              <w:jc w:val="right"/>
              <w:rPr>
                <w:rFonts w:cs="Arial"/>
                <w:color w:val="000000"/>
                <w:sz w:val="22"/>
                <w:szCs w:val="22"/>
              </w:rPr>
            </w:pPr>
            <w:r w:rsidRPr="00D06A5F">
              <w:rPr>
                <w:rFonts w:cs="Arial"/>
                <w:color w:val="000000"/>
                <w:sz w:val="22"/>
                <w:szCs w:val="22"/>
              </w:rPr>
              <w:t>29,471</w:t>
            </w:r>
          </w:p>
        </w:tc>
      </w:tr>
      <w:tr w:rsidR="00C52743" w:rsidRPr="00D06A5F" w14:paraId="4D49B4B1" w14:textId="77777777" w:rsidTr="00742BF9">
        <w:trPr>
          <w:trHeight w:val="300"/>
        </w:trPr>
        <w:tc>
          <w:tcPr>
            <w:tcW w:w="4361" w:type="dxa"/>
            <w:noWrap/>
            <w:hideMark/>
          </w:tcPr>
          <w:p w14:paraId="4D49B4AD" w14:textId="77777777" w:rsidR="00C52743" w:rsidRPr="00D06A5F" w:rsidRDefault="00C52743" w:rsidP="00171610">
            <w:pPr>
              <w:rPr>
                <w:rFonts w:cs="Arial"/>
                <w:color w:val="000000"/>
                <w:sz w:val="22"/>
                <w:szCs w:val="22"/>
              </w:rPr>
            </w:pPr>
            <w:r w:rsidRPr="00D06A5F">
              <w:rPr>
                <w:rFonts w:cs="Arial"/>
                <w:color w:val="000000"/>
                <w:sz w:val="22"/>
                <w:szCs w:val="22"/>
              </w:rPr>
              <w:t>1.4 Central Schools Service Block</w:t>
            </w:r>
          </w:p>
        </w:tc>
        <w:tc>
          <w:tcPr>
            <w:tcW w:w="1699" w:type="dxa"/>
            <w:noWrap/>
            <w:hideMark/>
          </w:tcPr>
          <w:p w14:paraId="4D49B4AE" w14:textId="77777777" w:rsidR="00C52743" w:rsidRPr="00D06A5F" w:rsidRDefault="00C52743" w:rsidP="00171610">
            <w:pPr>
              <w:rPr>
                <w:rFonts w:cs="Arial"/>
                <w:color w:val="000000"/>
                <w:sz w:val="22"/>
                <w:szCs w:val="22"/>
              </w:rPr>
            </w:pPr>
            <w:r w:rsidRPr="00D06A5F">
              <w:rPr>
                <w:rFonts w:cs="Arial"/>
                <w:color w:val="000000"/>
                <w:sz w:val="22"/>
                <w:szCs w:val="22"/>
              </w:rPr>
              <w:t> </w:t>
            </w:r>
          </w:p>
        </w:tc>
        <w:tc>
          <w:tcPr>
            <w:tcW w:w="278" w:type="dxa"/>
            <w:noWrap/>
            <w:hideMark/>
          </w:tcPr>
          <w:p w14:paraId="4D49B4AF" w14:textId="77777777" w:rsidR="00C52743" w:rsidRPr="00D06A5F" w:rsidRDefault="00C52743" w:rsidP="00171610">
            <w:pPr>
              <w:rPr>
                <w:rFonts w:cs="Arial"/>
                <w:color w:val="000000"/>
                <w:sz w:val="22"/>
                <w:szCs w:val="22"/>
              </w:rPr>
            </w:pPr>
            <w:r w:rsidRPr="00D06A5F">
              <w:rPr>
                <w:rFonts w:cs="Arial"/>
                <w:color w:val="000000"/>
                <w:sz w:val="22"/>
                <w:szCs w:val="22"/>
              </w:rPr>
              <w:t> </w:t>
            </w:r>
          </w:p>
        </w:tc>
        <w:tc>
          <w:tcPr>
            <w:tcW w:w="1220" w:type="dxa"/>
            <w:noWrap/>
            <w:hideMark/>
          </w:tcPr>
          <w:p w14:paraId="4D49B4B0" w14:textId="77777777" w:rsidR="00C52743" w:rsidRPr="00D06A5F" w:rsidRDefault="00C52743" w:rsidP="00171610">
            <w:pPr>
              <w:jc w:val="right"/>
              <w:rPr>
                <w:rFonts w:cs="Arial"/>
                <w:color w:val="000000"/>
                <w:sz w:val="22"/>
                <w:szCs w:val="22"/>
              </w:rPr>
            </w:pPr>
            <w:r w:rsidRPr="00D06A5F">
              <w:rPr>
                <w:rFonts w:cs="Arial"/>
                <w:color w:val="000000"/>
                <w:sz w:val="22"/>
                <w:szCs w:val="22"/>
              </w:rPr>
              <w:t>4,811</w:t>
            </w:r>
          </w:p>
        </w:tc>
      </w:tr>
      <w:tr w:rsidR="00C52743" w:rsidRPr="00D06A5F" w14:paraId="4D49B4B6" w14:textId="77777777" w:rsidTr="00742BF9">
        <w:trPr>
          <w:trHeight w:val="300"/>
        </w:trPr>
        <w:tc>
          <w:tcPr>
            <w:tcW w:w="4361" w:type="dxa"/>
            <w:noWrap/>
            <w:hideMark/>
          </w:tcPr>
          <w:p w14:paraId="4D49B4B2" w14:textId="77777777" w:rsidR="00C52743" w:rsidRPr="00D06A5F" w:rsidRDefault="00C52743" w:rsidP="00171610">
            <w:pPr>
              <w:rPr>
                <w:rFonts w:cs="Arial"/>
                <w:b/>
                <w:bCs/>
                <w:color w:val="000000"/>
                <w:sz w:val="22"/>
                <w:szCs w:val="22"/>
              </w:rPr>
            </w:pPr>
            <w:r w:rsidRPr="00D06A5F">
              <w:rPr>
                <w:rFonts w:cs="Arial"/>
                <w:b/>
                <w:bCs/>
                <w:color w:val="000000"/>
                <w:sz w:val="22"/>
                <w:szCs w:val="22"/>
              </w:rPr>
              <w:t xml:space="preserve">Total Schools Budget </w:t>
            </w:r>
          </w:p>
        </w:tc>
        <w:tc>
          <w:tcPr>
            <w:tcW w:w="1699" w:type="dxa"/>
            <w:noWrap/>
            <w:hideMark/>
          </w:tcPr>
          <w:p w14:paraId="4D49B4B3" w14:textId="77777777" w:rsidR="00C52743" w:rsidRPr="00D06A5F" w:rsidRDefault="00C52743" w:rsidP="00171610">
            <w:pPr>
              <w:rPr>
                <w:rFonts w:cs="Arial"/>
                <w:b/>
                <w:bCs/>
                <w:color w:val="000000"/>
                <w:sz w:val="22"/>
                <w:szCs w:val="22"/>
              </w:rPr>
            </w:pPr>
            <w:r w:rsidRPr="00D06A5F">
              <w:rPr>
                <w:rFonts w:cs="Arial"/>
                <w:b/>
                <w:bCs/>
                <w:color w:val="000000"/>
                <w:sz w:val="22"/>
                <w:szCs w:val="22"/>
              </w:rPr>
              <w:t>Expenditure 2019-20</w:t>
            </w:r>
          </w:p>
        </w:tc>
        <w:tc>
          <w:tcPr>
            <w:tcW w:w="278" w:type="dxa"/>
            <w:noWrap/>
            <w:hideMark/>
          </w:tcPr>
          <w:p w14:paraId="4D49B4B4" w14:textId="77777777" w:rsidR="00C52743" w:rsidRPr="00D06A5F" w:rsidRDefault="00C52743" w:rsidP="00171610">
            <w:pPr>
              <w:rPr>
                <w:rFonts w:ascii="Calibri" w:hAnsi="Calibri"/>
                <w:color w:val="000000"/>
                <w:sz w:val="22"/>
                <w:szCs w:val="22"/>
              </w:rPr>
            </w:pPr>
            <w:r w:rsidRPr="00D06A5F">
              <w:rPr>
                <w:rFonts w:ascii="Calibri" w:hAnsi="Calibri"/>
                <w:color w:val="000000"/>
                <w:sz w:val="22"/>
                <w:szCs w:val="22"/>
              </w:rPr>
              <w:t> </w:t>
            </w:r>
          </w:p>
        </w:tc>
        <w:tc>
          <w:tcPr>
            <w:tcW w:w="1220" w:type="dxa"/>
            <w:noWrap/>
            <w:hideMark/>
          </w:tcPr>
          <w:p w14:paraId="4D49B4B5" w14:textId="77777777" w:rsidR="00C52743" w:rsidRPr="00D06A5F" w:rsidRDefault="00C52743" w:rsidP="00171610">
            <w:pPr>
              <w:jc w:val="right"/>
              <w:rPr>
                <w:rFonts w:cs="Arial"/>
                <w:b/>
                <w:bCs/>
                <w:color w:val="000000"/>
                <w:sz w:val="22"/>
                <w:szCs w:val="22"/>
              </w:rPr>
            </w:pPr>
            <w:r w:rsidRPr="00D06A5F">
              <w:rPr>
                <w:rFonts w:cs="Arial"/>
                <w:b/>
                <w:bCs/>
                <w:color w:val="000000"/>
                <w:sz w:val="22"/>
                <w:szCs w:val="22"/>
              </w:rPr>
              <w:t>345,459</w:t>
            </w:r>
          </w:p>
        </w:tc>
      </w:tr>
      <w:tr w:rsidR="00C52743" w:rsidRPr="00D06A5F" w14:paraId="4D49B4BB" w14:textId="77777777" w:rsidTr="00742BF9">
        <w:trPr>
          <w:trHeight w:val="288"/>
        </w:trPr>
        <w:tc>
          <w:tcPr>
            <w:tcW w:w="4361" w:type="dxa"/>
            <w:shd w:val="clear" w:color="auto" w:fill="365F91" w:themeFill="accent1" w:themeFillShade="BF"/>
            <w:noWrap/>
            <w:hideMark/>
          </w:tcPr>
          <w:p w14:paraId="4D49B4B7" w14:textId="77777777" w:rsidR="00C52743" w:rsidRPr="00D06A5F" w:rsidRDefault="00C52743" w:rsidP="00171610">
            <w:pPr>
              <w:rPr>
                <w:rFonts w:cs="Arial"/>
                <w:b/>
                <w:bCs/>
                <w:color w:val="FFFFFF"/>
                <w:sz w:val="22"/>
                <w:szCs w:val="22"/>
              </w:rPr>
            </w:pPr>
            <w:r w:rsidRPr="00D06A5F">
              <w:rPr>
                <w:rFonts w:cs="Arial"/>
                <w:b/>
                <w:bCs/>
                <w:color w:val="FFFFFF"/>
                <w:sz w:val="22"/>
                <w:szCs w:val="22"/>
              </w:rPr>
              <w:t>Schools Forum Summary</w:t>
            </w:r>
          </w:p>
        </w:tc>
        <w:tc>
          <w:tcPr>
            <w:tcW w:w="1699" w:type="dxa"/>
            <w:shd w:val="clear" w:color="auto" w:fill="365F91" w:themeFill="accent1" w:themeFillShade="BF"/>
            <w:noWrap/>
            <w:hideMark/>
          </w:tcPr>
          <w:p w14:paraId="4D49B4B8" w14:textId="77777777" w:rsidR="00C52743" w:rsidRPr="00D06A5F" w:rsidRDefault="00C52743" w:rsidP="00171610">
            <w:pPr>
              <w:rPr>
                <w:rFonts w:cs="Arial"/>
                <w:b/>
                <w:bCs/>
                <w:color w:val="FFFFFF"/>
                <w:sz w:val="22"/>
                <w:szCs w:val="22"/>
              </w:rPr>
            </w:pPr>
            <w:r w:rsidRPr="00D06A5F">
              <w:rPr>
                <w:rFonts w:cs="Arial"/>
                <w:b/>
                <w:bCs/>
                <w:color w:val="FFFFFF"/>
                <w:sz w:val="22"/>
                <w:szCs w:val="22"/>
              </w:rPr>
              <w:t> </w:t>
            </w:r>
          </w:p>
        </w:tc>
        <w:tc>
          <w:tcPr>
            <w:tcW w:w="278" w:type="dxa"/>
            <w:shd w:val="clear" w:color="auto" w:fill="365F91" w:themeFill="accent1" w:themeFillShade="BF"/>
            <w:noWrap/>
            <w:hideMark/>
          </w:tcPr>
          <w:p w14:paraId="4D49B4B9" w14:textId="77777777" w:rsidR="00C52743" w:rsidRPr="00D06A5F" w:rsidRDefault="00C52743" w:rsidP="00171610">
            <w:pPr>
              <w:rPr>
                <w:rFonts w:cs="Arial"/>
                <w:b/>
                <w:bCs/>
                <w:color w:val="FFFFFF"/>
                <w:sz w:val="22"/>
                <w:szCs w:val="22"/>
              </w:rPr>
            </w:pPr>
            <w:r w:rsidRPr="00D06A5F">
              <w:rPr>
                <w:rFonts w:cs="Arial"/>
                <w:b/>
                <w:bCs/>
                <w:color w:val="FFFFFF"/>
                <w:sz w:val="22"/>
                <w:szCs w:val="22"/>
              </w:rPr>
              <w:t> </w:t>
            </w:r>
          </w:p>
        </w:tc>
        <w:tc>
          <w:tcPr>
            <w:tcW w:w="1220" w:type="dxa"/>
            <w:shd w:val="clear" w:color="auto" w:fill="365F91" w:themeFill="accent1" w:themeFillShade="BF"/>
            <w:noWrap/>
            <w:hideMark/>
          </w:tcPr>
          <w:p w14:paraId="4D49B4BA" w14:textId="77777777" w:rsidR="00C52743" w:rsidRPr="00D06A5F" w:rsidRDefault="00C52743" w:rsidP="00171610">
            <w:pPr>
              <w:jc w:val="right"/>
              <w:rPr>
                <w:rFonts w:cs="Arial"/>
                <w:b/>
                <w:bCs/>
                <w:color w:val="FFFFFF"/>
                <w:sz w:val="22"/>
                <w:szCs w:val="22"/>
              </w:rPr>
            </w:pPr>
            <w:r w:rsidRPr="00D06A5F">
              <w:rPr>
                <w:rFonts w:cs="Arial"/>
                <w:b/>
                <w:bCs/>
                <w:color w:val="FFFFFF"/>
                <w:sz w:val="22"/>
                <w:szCs w:val="22"/>
              </w:rPr>
              <w:t>2019-20</w:t>
            </w:r>
          </w:p>
        </w:tc>
      </w:tr>
      <w:tr w:rsidR="00C52743" w:rsidRPr="00D06A5F" w14:paraId="4D49B4C0" w14:textId="77777777" w:rsidTr="00742BF9">
        <w:trPr>
          <w:trHeight w:val="300"/>
        </w:trPr>
        <w:tc>
          <w:tcPr>
            <w:tcW w:w="4361" w:type="dxa"/>
            <w:shd w:val="clear" w:color="auto" w:fill="365F91" w:themeFill="accent1" w:themeFillShade="BF"/>
            <w:noWrap/>
            <w:hideMark/>
          </w:tcPr>
          <w:p w14:paraId="4D49B4BC" w14:textId="77777777" w:rsidR="00C52743" w:rsidRPr="00D06A5F" w:rsidRDefault="00C52743" w:rsidP="00171610">
            <w:pPr>
              <w:rPr>
                <w:rFonts w:cs="Arial"/>
                <w:b/>
                <w:bCs/>
                <w:color w:val="FFFFFF"/>
                <w:sz w:val="22"/>
                <w:szCs w:val="22"/>
              </w:rPr>
            </w:pPr>
            <w:r w:rsidRPr="00D06A5F">
              <w:rPr>
                <w:rFonts w:cs="Arial"/>
                <w:b/>
                <w:bCs/>
                <w:color w:val="FFFFFF"/>
                <w:sz w:val="22"/>
                <w:szCs w:val="22"/>
              </w:rPr>
              <w:t> </w:t>
            </w:r>
          </w:p>
        </w:tc>
        <w:tc>
          <w:tcPr>
            <w:tcW w:w="1699" w:type="dxa"/>
            <w:shd w:val="clear" w:color="auto" w:fill="365F91" w:themeFill="accent1" w:themeFillShade="BF"/>
            <w:noWrap/>
            <w:hideMark/>
          </w:tcPr>
          <w:p w14:paraId="4D49B4BD" w14:textId="77777777" w:rsidR="00C52743" w:rsidRPr="00D06A5F" w:rsidRDefault="00C52743" w:rsidP="00171610">
            <w:pPr>
              <w:rPr>
                <w:rFonts w:cs="Arial"/>
                <w:b/>
                <w:bCs/>
                <w:color w:val="FFFFFF"/>
                <w:sz w:val="22"/>
                <w:szCs w:val="22"/>
              </w:rPr>
            </w:pPr>
            <w:r w:rsidRPr="00D06A5F">
              <w:rPr>
                <w:rFonts w:cs="Arial"/>
                <w:b/>
                <w:bCs/>
                <w:color w:val="FFFFFF"/>
                <w:sz w:val="22"/>
                <w:szCs w:val="22"/>
              </w:rPr>
              <w:t> </w:t>
            </w:r>
          </w:p>
        </w:tc>
        <w:tc>
          <w:tcPr>
            <w:tcW w:w="278" w:type="dxa"/>
            <w:shd w:val="clear" w:color="auto" w:fill="365F91" w:themeFill="accent1" w:themeFillShade="BF"/>
            <w:noWrap/>
            <w:hideMark/>
          </w:tcPr>
          <w:p w14:paraId="4D49B4BE" w14:textId="77777777" w:rsidR="00C52743" w:rsidRPr="00D06A5F" w:rsidRDefault="00C52743" w:rsidP="00171610">
            <w:pPr>
              <w:rPr>
                <w:rFonts w:cs="Arial"/>
                <w:b/>
                <w:bCs/>
                <w:color w:val="FFFFFF"/>
                <w:sz w:val="22"/>
                <w:szCs w:val="22"/>
              </w:rPr>
            </w:pPr>
            <w:r w:rsidRPr="00D06A5F">
              <w:rPr>
                <w:rFonts w:cs="Arial"/>
                <w:b/>
                <w:bCs/>
                <w:color w:val="FFFFFF"/>
                <w:sz w:val="22"/>
                <w:szCs w:val="22"/>
              </w:rPr>
              <w:t> </w:t>
            </w:r>
          </w:p>
        </w:tc>
        <w:tc>
          <w:tcPr>
            <w:tcW w:w="1220" w:type="dxa"/>
            <w:shd w:val="clear" w:color="auto" w:fill="365F91" w:themeFill="accent1" w:themeFillShade="BF"/>
            <w:noWrap/>
            <w:hideMark/>
          </w:tcPr>
          <w:p w14:paraId="4D49B4BF" w14:textId="77777777" w:rsidR="00C52743" w:rsidRPr="00D06A5F" w:rsidRDefault="00C52743" w:rsidP="00171610">
            <w:pPr>
              <w:jc w:val="right"/>
              <w:rPr>
                <w:rFonts w:cs="Arial"/>
                <w:b/>
                <w:bCs/>
                <w:color w:val="FFFFFF"/>
                <w:sz w:val="22"/>
                <w:szCs w:val="22"/>
              </w:rPr>
            </w:pPr>
            <w:r w:rsidRPr="00D06A5F">
              <w:rPr>
                <w:rFonts w:cs="Arial"/>
                <w:b/>
                <w:bCs/>
                <w:color w:val="FFFFFF"/>
                <w:sz w:val="22"/>
                <w:szCs w:val="22"/>
              </w:rPr>
              <w:t>£m</w:t>
            </w:r>
          </w:p>
        </w:tc>
      </w:tr>
      <w:tr w:rsidR="00C52743" w:rsidRPr="00D06A5F" w14:paraId="4D49B4C5" w14:textId="77777777" w:rsidTr="00742BF9">
        <w:trPr>
          <w:trHeight w:val="288"/>
        </w:trPr>
        <w:tc>
          <w:tcPr>
            <w:tcW w:w="4361" w:type="dxa"/>
            <w:noWrap/>
            <w:hideMark/>
          </w:tcPr>
          <w:p w14:paraId="4D49B4C1" w14:textId="77777777" w:rsidR="00C52743" w:rsidRPr="00D06A5F" w:rsidRDefault="00C52743" w:rsidP="00171610">
            <w:pPr>
              <w:rPr>
                <w:rFonts w:cs="Arial"/>
                <w:color w:val="000000"/>
                <w:sz w:val="22"/>
                <w:szCs w:val="22"/>
              </w:rPr>
            </w:pPr>
            <w:r w:rsidRPr="00D06A5F">
              <w:rPr>
                <w:rFonts w:cs="Arial"/>
                <w:color w:val="000000"/>
                <w:sz w:val="22"/>
                <w:szCs w:val="22"/>
              </w:rPr>
              <w:t>1.7.1 DSG</w:t>
            </w:r>
          </w:p>
        </w:tc>
        <w:tc>
          <w:tcPr>
            <w:tcW w:w="1699" w:type="dxa"/>
            <w:noWrap/>
            <w:hideMark/>
          </w:tcPr>
          <w:p w14:paraId="4D49B4C2" w14:textId="77777777" w:rsidR="00C52743" w:rsidRPr="00D06A5F" w:rsidRDefault="00C52743" w:rsidP="00171610">
            <w:pPr>
              <w:rPr>
                <w:rFonts w:cs="Arial"/>
                <w:color w:val="000000"/>
                <w:sz w:val="22"/>
                <w:szCs w:val="22"/>
              </w:rPr>
            </w:pPr>
            <w:r w:rsidRPr="00D06A5F">
              <w:rPr>
                <w:rFonts w:cs="Arial"/>
                <w:color w:val="000000"/>
                <w:sz w:val="22"/>
                <w:szCs w:val="22"/>
              </w:rPr>
              <w:t> </w:t>
            </w:r>
          </w:p>
        </w:tc>
        <w:tc>
          <w:tcPr>
            <w:tcW w:w="278" w:type="dxa"/>
            <w:noWrap/>
            <w:hideMark/>
          </w:tcPr>
          <w:p w14:paraId="4D49B4C3" w14:textId="77777777" w:rsidR="00C52743" w:rsidRPr="00D06A5F" w:rsidRDefault="00C52743" w:rsidP="00171610">
            <w:pPr>
              <w:rPr>
                <w:rFonts w:cs="Arial"/>
                <w:color w:val="000000"/>
                <w:sz w:val="22"/>
                <w:szCs w:val="22"/>
              </w:rPr>
            </w:pPr>
            <w:r w:rsidRPr="00D06A5F">
              <w:rPr>
                <w:rFonts w:cs="Arial"/>
                <w:color w:val="000000"/>
                <w:sz w:val="22"/>
                <w:szCs w:val="22"/>
              </w:rPr>
              <w:t> </w:t>
            </w:r>
          </w:p>
        </w:tc>
        <w:tc>
          <w:tcPr>
            <w:tcW w:w="1220" w:type="dxa"/>
            <w:noWrap/>
            <w:hideMark/>
          </w:tcPr>
          <w:p w14:paraId="4D49B4C4" w14:textId="77777777" w:rsidR="00C52743" w:rsidRPr="00D06A5F" w:rsidRDefault="00C52743" w:rsidP="00171610">
            <w:pPr>
              <w:jc w:val="right"/>
              <w:rPr>
                <w:rFonts w:cs="Arial"/>
                <w:color w:val="000000"/>
                <w:sz w:val="22"/>
                <w:szCs w:val="22"/>
              </w:rPr>
            </w:pPr>
            <w:r w:rsidRPr="00D06A5F">
              <w:rPr>
                <w:rFonts w:cs="Arial"/>
                <w:color w:val="000000"/>
                <w:sz w:val="22"/>
                <w:szCs w:val="22"/>
              </w:rPr>
              <w:t>-279,130</w:t>
            </w:r>
          </w:p>
        </w:tc>
      </w:tr>
      <w:tr w:rsidR="00C52743" w:rsidRPr="00D06A5F" w14:paraId="4D49B4CA" w14:textId="77777777" w:rsidTr="00742BF9">
        <w:trPr>
          <w:trHeight w:val="288"/>
        </w:trPr>
        <w:tc>
          <w:tcPr>
            <w:tcW w:w="4361" w:type="dxa"/>
            <w:noWrap/>
            <w:hideMark/>
          </w:tcPr>
          <w:p w14:paraId="4D49B4C6" w14:textId="77777777" w:rsidR="00C52743" w:rsidRPr="00D06A5F" w:rsidRDefault="00C52743" w:rsidP="00171610">
            <w:pPr>
              <w:rPr>
                <w:rFonts w:cs="Arial"/>
                <w:color w:val="000000"/>
                <w:sz w:val="22"/>
                <w:szCs w:val="22"/>
              </w:rPr>
            </w:pPr>
            <w:r w:rsidRPr="00D06A5F">
              <w:rPr>
                <w:rFonts w:cs="Arial"/>
                <w:color w:val="000000"/>
                <w:sz w:val="22"/>
                <w:szCs w:val="22"/>
              </w:rPr>
              <w:t xml:space="preserve">1.7.5 Academy Recoupment </w:t>
            </w:r>
          </w:p>
        </w:tc>
        <w:tc>
          <w:tcPr>
            <w:tcW w:w="1699" w:type="dxa"/>
            <w:noWrap/>
            <w:hideMark/>
          </w:tcPr>
          <w:p w14:paraId="4D49B4C7" w14:textId="77777777" w:rsidR="00C52743" w:rsidRPr="00D06A5F" w:rsidRDefault="00C52743" w:rsidP="00171610">
            <w:pPr>
              <w:rPr>
                <w:rFonts w:cs="Arial"/>
                <w:color w:val="000000"/>
                <w:sz w:val="22"/>
                <w:szCs w:val="22"/>
              </w:rPr>
            </w:pPr>
          </w:p>
        </w:tc>
        <w:tc>
          <w:tcPr>
            <w:tcW w:w="278" w:type="dxa"/>
            <w:noWrap/>
            <w:hideMark/>
          </w:tcPr>
          <w:p w14:paraId="4D49B4C8" w14:textId="77777777" w:rsidR="00C52743" w:rsidRPr="00D06A5F" w:rsidRDefault="00C52743" w:rsidP="00171610">
            <w:pPr>
              <w:rPr>
                <w:rFonts w:cs="Arial"/>
                <w:color w:val="000000"/>
                <w:sz w:val="22"/>
                <w:szCs w:val="22"/>
              </w:rPr>
            </w:pPr>
          </w:p>
        </w:tc>
        <w:tc>
          <w:tcPr>
            <w:tcW w:w="1220" w:type="dxa"/>
            <w:noWrap/>
            <w:hideMark/>
          </w:tcPr>
          <w:p w14:paraId="4D49B4C9" w14:textId="77777777" w:rsidR="00C52743" w:rsidRPr="00D06A5F" w:rsidRDefault="00C52743" w:rsidP="00171610">
            <w:pPr>
              <w:jc w:val="right"/>
              <w:rPr>
                <w:rFonts w:cs="Arial"/>
                <w:color w:val="000000"/>
                <w:sz w:val="22"/>
                <w:szCs w:val="22"/>
              </w:rPr>
            </w:pPr>
            <w:r w:rsidRPr="00D06A5F">
              <w:rPr>
                <w:rFonts w:cs="Arial"/>
                <w:color w:val="000000"/>
                <w:sz w:val="22"/>
                <w:szCs w:val="22"/>
              </w:rPr>
              <w:t>-61,700</w:t>
            </w:r>
          </w:p>
        </w:tc>
      </w:tr>
      <w:tr w:rsidR="00C52743" w:rsidRPr="00D06A5F" w14:paraId="4D49B4CF" w14:textId="77777777" w:rsidTr="00742BF9">
        <w:trPr>
          <w:trHeight w:val="300"/>
        </w:trPr>
        <w:tc>
          <w:tcPr>
            <w:tcW w:w="4361" w:type="dxa"/>
            <w:noWrap/>
            <w:hideMark/>
          </w:tcPr>
          <w:p w14:paraId="4D49B4CB" w14:textId="77777777" w:rsidR="00C52743" w:rsidRPr="00D06A5F" w:rsidRDefault="00C52743" w:rsidP="00171610">
            <w:pPr>
              <w:rPr>
                <w:rFonts w:cs="Arial"/>
                <w:color w:val="000000"/>
                <w:sz w:val="22"/>
                <w:szCs w:val="22"/>
              </w:rPr>
            </w:pPr>
            <w:r w:rsidRPr="00D06A5F">
              <w:rPr>
                <w:rFonts w:cs="Arial"/>
                <w:color w:val="000000"/>
                <w:sz w:val="22"/>
                <w:szCs w:val="22"/>
              </w:rPr>
              <w:t>1.7.5 ESFA Recoupment High Needs</w:t>
            </w:r>
          </w:p>
        </w:tc>
        <w:tc>
          <w:tcPr>
            <w:tcW w:w="1699" w:type="dxa"/>
            <w:noWrap/>
            <w:hideMark/>
          </w:tcPr>
          <w:p w14:paraId="4D49B4CC" w14:textId="77777777" w:rsidR="00C52743" w:rsidRPr="00D06A5F" w:rsidRDefault="00C52743" w:rsidP="00171610">
            <w:pPr>
              <w:rPr>
                <w:rFonts w:cs="Arial"/>
                <w:color w:val="000000"/>
                <w:sz w:val="22"/>
                <w:szCs w:val="22"/>
              </w:rPr>
            </w:pPr>
          </w:p>
        </w:tc>
        <w:tc>
          <w:tcPr>
            <w:tcW w:w="278" w:type="dxa"/>
            <w:noWrap/>
            <w:hideMark/>
          </w:tcPr>
          <w:p w14:paraId="4D49B4CD" w14:textId="77777777" w:rsidR="00C52743" w:rsidRPr="00D06A5F" w:rsidRDefault="00C52743" w:rsidP="00171610">
            <w:pPr>
              <w:rPr>
                <w:rFonts w:cs="Arial"/>
                <w:color w:val="000000"/>
                <w:sz w:val="22"/>
                <w:szCs w:val="22"/>
              </w:rPr>
            </w:pPr>
            <w:r w:rsidRPr="00D06A5F">
              <w:rPr>
                <w:rFonts w:cs="Arial"/>
                <w:color w:val="000000"/>
                <w:sz w:val="22"/>
                <w:szCs w:val="22"/>
              </w:rPr>
              <w:t> </w:t>
            </w:r>
          </w:p>
        </w:tc>
        <w:tc>
          <w:tcPr>
            <w:tcW w:w="1220" w:type="dxa"/>
            <w:noWrap/>
            <w:hideMark/>
          </w:tcPr>
          <w:p w14:paraId="4D49B4CE" w14:textId="77777777" w:rsidR="00C52743" w:rsidRPr="00D06A5F" w:rsidRDefault="00C52743" w:rsidP="00171610">
            <w:pPr>
              <w:jc w:val="right"/>
              <w:rPr>
                <w:rFonts w:cs="Arial"/>
                <w:color w:val="000000"/>
                <w:sz w:val="22"/>
                <w:szCs w:val="22"/>
              </w:rPr>
            </w:pPr>
            <w:r w:rsidRPr="00D06A5F">
              <w:rPr>
                <w:rFonts w:cs="Arial"/>
                <w:color w:val="000000"/>
                <w:sz w:val="22"/>
                <w:szCs w:val="22"/>
              </w:rPr>
              <w:t>-4,629</w:t>
            </w:r>
          </w:p>
        </w:tc>
      </w:tr>
      <w:tr w:rsidR="00C52743" w:rsidRPr="00D06A5F" w14:paraId="4D49B4D4" w14:textId="77777777" w:rsidTr="00742BF9">
        <w:trPr>
          <w:trHeight w:val="300"/>
        </w:trPr>
        <w:tc>
          <w:tcPr>
            <w:tcW w:w="4361" w:type="dxa"/>
            <w:noWrap/>
            <w:hideMark/>
          </w:tcPr>
          <w:p w14:paraId="4D49B4D0" w14:textId="77777777" w:rsidR="00C52743" w:rsidRPr="00D06A5F" w:rsidRDefault="00C52743" w:rsidP="00171610">
            <w:pPr>
              <w:rPr>
                <w:rFonts w:cs="Arial"/>
                <w:b/>
                <w:bCs/>
                <w:color w:val="000000"/>
                <w:sz w:val="22"/>
                <w:szCs w:val="22"/>
              </w:rPr>
            </w:pPr>
            <w:r w:rsidRPr="00D06A5F">
              <w:rPr>
                <w:rFonts w:cs="Arial"/>
                <w:b/>
                <w:bCs/>
                <w:color w:val="000000"/>
                <w:sz w:val="22"/>
                <w:szCs w:val="22"/>
              </w:rPr>
              <w:t xml:space="preserve">Total funding </w:t>
            </w:r>
          </w:p>
        </w:tc>
        <w:tc>
          <w:tcPr>
            <w:tcW w:w="1699" w:type="dxa"/>
            <w:noWrap/>
            <w:hideMark/>
          </w:tcPr>
          <w:p w14:paraId="4D49B4D1" w14:textId="77777777" w:rsidR="00C52743" w:rsidRPr="00D06A5F" w:rsidRDefault="00C52743" w:rsidP="00171610">
            <w:pPr>
              <w:rPr>
                <w:rFonts w:cs="Arial"/>
                <w:b/>
                <w:bCs/>
                <w:color w:val="000000"/>
                <w:sz w:val="22"/>
                <w:szCs w:val="22"/>
              </w:rPr>
            </w:pPr>
            <w:r w:rsidRPr="00D06A5F">
              <w:rPr>
                <w:rFonts w:cs="Arial"/>
                <w:b/>
                <w:bCs/>
                <w:color w:val="000000"/>
                <w:sz w:val="22"/>
                <w:szCs w:val="22"/>
              </w:rPr>
              <w:t>Income 2019-20</w:t>
            </w:r>
          </w:p>
        </w:tc>
        <w:tc>
          <w:tcPr>
            <w:tcW w:w="278" w:type="dxa"/>
            <w:noWrap/>
            <w:hideMark/>
          </w:tcPr>
          <w:p w14:paraId="4D49B4D2" w14:textId="77777777" w:rsidR="00C52743" w:rsidRPr="00D06A5F" w:rsidRDefault="00C52743" w:rsidP="00171610">
            <w:pPr>
              <w:rPr>
                <w:rFonts w:ascii="Calibri" w:hAnsi="Calibri"/>
                <w:color w:val="000000"/>
                <w:sz w:val="22"/>
                <w:szCs w:val="22"/>
              </w:rPr>
            </w:pPr>
            <w:r w:rsidRPr="00D06A5F">
              <w:rPr>
                <w:rFonts w:ascii="Calibri" w:hAnsi="Calibri"/>
                <w:color w:val="000000"/>
                <w:sz w:val="22"/>
                <w:szCs w:val="22"/>
              </w:rPr>
              <w:t> </w:t>
            </w:r>
          </w:p>
        </w:tc>
        <w:tc>
          <w:tcPr>
            <w:tcW w:w="1220" w:type="dxa"/>
            <w:noWrap/>
            <w:hideMark/>
          </w:tcPr>
          <w:p w14:paraId="4D49B4D3" w14:textId="77777777" w:rsidR="00C52743" w:rsidRPr="00D06A5F" w:rsidRDefault="00C52743" w:rsidP="00171610">
            <w:pPr>
              <w:jc w:val="right"/>
              <w:rPr>
                <w:rFonts w:cs="Arial"/>
                <w:b/>
                <w:bCs/>
                <w:color w:val="000000"/>
                <w:sz w:val="22"/>
                <w:szCs w:val="22"/>
              </w:rPr>
            </w:pPr>
            <w:r w:rsidRPr="00D06A5F">
              <w:rPr>
                <w:rFonts w:cs="Arial"/>
                <w:b/>
                <w:bCs/>
                <w:color w:val="000000"/>
                <w:sz w:val="22"/>
                <w:szCs w:val="22"/>
              </w:rPr>
              <w:t>-345,459</w:t>
            </w:r>
          </w:p>
        </w:tc>
      </w:tr>
    </w:tbl>
    <w:p w14:paraId="4D49B4D5" w14:textId="77777777" w:rsidR="00C52743" w:rsidRDefault="00C52743" w:rsidP="00C52743">
      <w:pPr>
        <w:pStyle w:val="ListParagraph"/>
        <w:tabs>
          <w:tab w:val="num" w:pos="792"/>
        </w:tabs>
        <w:spacing w:after="120"/>
        <w:ind w:left="360"/>
        <w:jc w:val="both"/>
        <w:rPr>
          <w:rFonts w:eastAsiaTheme="minorHAnsi" w:cs="Arial"/>
          <w:color w:val="000000" w:themeColor="text1"/>
          <w:lang w:eastAsia="en-US"/>
        </w:rPr>
      </w:pPr>
    </w:p>
    <w:p w14:paraId="4D49B4D6" w14:textId="59958491" w:rsidR="00C52743" w:rsidRPr="00FC60BB" w:rsidRDefault="00A90A5D" w:rsidP="000C3B30">
      <w:pPr>
        <w:pStyle w:val="ListParagraph"/>
        <w:numPr>
          <w:ilvl w:val="1"/>
          <w:numId w:val="2"/>
        </w:numPr>
        <w:tabs>
          <w:tab w:val="num" w:pos="720"/>
        </w:tabs>
        <w:spacing w:after="120"/>
        <w:ind w:left="720" w:hanging="720"/>
        <w:jc w:val="both"/>
        <w:rPr>
          <w:rFonts w:eastAsiaTheme="minorHAnsi" w:cs="Arial"/>
          <w:color w:val="000000" w:themeColor="text1"/>
          <w:lang w:eastAsia="en-US"/>
        </w:rPr>
      </w:pPr>
      <w:r w:rsidRPr="007206FF">
        <w:rPr>
          <w:rFonts w:eastAsiaTheme="minorHAnsi" w:cs="Arial"/>
          <w:color w:val="000000" w:themeColor="text1"/>
          <w:lang w:eastAsia="en-US"/>
        </w:rPr>
        <w:t>Local authorities will be required to submit APTs by 19 January 201</w:t>
      </w:r>
      <w:r w:rsidR="00C52743">
        <w:rPr>
          <w:rFonts w:eastAsiaTheme="minorHAnsi" w:cs="Arial"/>
          <w:color w:val="000000" w:themeColor="text1"/>
          <w:lang w:eastAsia="en-US"/>
        </w:rPr>
        <w:t>9</w:t>
      </w:r>
      <w:r w:rsidR="00AE63BE" w:rsidRPr="007206FF">
        <w:rPr>
          <w:rFonts w:eastAsiaTheme="minorHAnsi" w:cs="Arial"/>
          <w:color w:val="000000" w:themeColor="text1"/>
          <w:lang w:eastAsia="en-US"/>
        </w:rPr>
        <w:t xml:space="preserve"> after obtaining Schools Forum approval of indicative budget</w:t>
      </w:r>
      <w:r w:rsidR="000C3B30">
        <w:rPr>
          <w:rFonts w:eastAsiaTheme="minorHAnsi" w:cs="Arial"/>
          <w:color w:val="000000" w:themeColor="text1"/>
          <w:lang w:eastAsia="en-US"/>
        </w:rPr>
        <w:t xml:space="preserve"> at this meeting</w:t>
      </w:r>
      <w:r w:rsidRPr="007206FF">
        <w:rPr>
          <w:rFonts w:eastAsiaTheme="minorHAnsi" w:cs="Arial"/>
          <w:color w:val="000000" w:themeColor="text1"/>
          <w:lang w:eastAsia="en-US"/>
        </w:rPr>
        <w:t xml:space="preserve">. </w:t>
      </w:r>
      <w:r w:rsidR="00FC60BB">
        <w:rPr>
          <w:rFonts w:eastAsiaTheme="minorHAnsi" w:cs="Arial"/>
          <w:color w:val="000000" w:themeColor="text1"/>
          <w:lang w:eastAsia="en-US"/>
        </w:rPr>
        <w:t xml:space="preserve">The attached </w:t>
      </w:r>
      <w:r w:rsidR="00FC60BB" w:rsidRPr="00FC60BB">
        <w:rPr>
          <w:rFonts w:eastAsiaTheme="minorHAnsi" w:cs="Arial"/>
          <w:b/>
          <w:color w:val="000000" w:themeColor="text1"/>
          <w:lang w:eastAsia="en-US"/>
        </w:rPr>
        <w:t>Appendix 1</w:t>
      </w:r>
      <w:r w:rsidR="00A21C5B">
        <w:rPr>
          <w:rFonts w:eastAsiaTheme="minorHAnsi" w:cs="Arial"/>
          <w:color w:val="000000" w:themeColor="text1"/>
          <w:lang w:eastAsia="en-US"/>
        </w:rPr>
        <w:t xml:space="preserve"> contains the Final APT.</w:t>
      </w:r>
    </w:p>
    <w:p w14:paraId="4D49B4D7" w14:textId="77777777" w:rsidR="007206FF" w:rsidRPr="007206FF" w:rsidRDefault="007206FF" w:rsidP="007206FF">
      <w:pPr>
        <w:pStyle w:val="ListParagraph"/>
        <w:tabs>
          <w:tab w:val="num" w:pos="792"/>
        </w:tabs>
        <w:spacing w:after="120"/>
        <w:jc w:val="both"/>
        <w:rPr>
          <w:rFonts w:eastAsiaTheme="minorHAnsi" w:cs="Arial"/>
          <w:color w:val="000000" w:themeColor="text1"/>
          <w:lang w:eastAsia="en-US"/>
        </w:rPr>
      </w:pPr>
    </w:p>
    <w:p w14:paraId="4D49B4D8" w14:textId="77777777" w:rsidR="000C3B30" w:rsidRDefault="000C256C" w:rsidP="000C256C">
      <w:pPr>
        <w:pStyle w:val="ListParagraph"/>
        <w:numPr>
          <w:ilvl w:val="1"/>
          <w:numId w:val="2"/>
        </w:numPr>
        <w:tabs>
          <w:tab w:val="num" w:pos="720"/>
        </w:tabs>
        <w:spacing w:after="120"/>
        <w:ind w:left="720" w:hanging="720"/>
        <w:jc w:val="both"/>
        <w:rPr>
          <w:rFonts w:eastAsiaTheme="minorHAnsi" w:cs="Arial"/>
          <w:color w:val="000000" w:themeColor="text1"/>
          <w:lang w:eastAsia="en-US"/>
        </w:rPr>
      </w:pPr>
      <w:r w:rsidRPr="000C3B30">
        <w:rPr>
          <w:rFonts w:eastAsiaTheme="minorHAnsi" w:cs="Arial"/>
          <w:b/>
          <w:color w:val="000000" w:themeColor="text1"/>
          <w:lang w:eastAsia="en-US"/>
        </w:rPr>
        <w:t>EFA Post 16 Grant</w:t>
      </w:r>
      <w:r w:rsidRPr="000C3B30">
        <w:rPr>
          <w:rFonts w:eastAsiaTheme="minorHAnsi" w:cs="Arial"/>
          <w:color w:val="000000" w:themeColor="text1"/>
          <w:lang w:eastAsia="en-US"/>
        </w:rPr>
        <w:t xml:space="preserve">. </w:t>
      </w:r>
      <w:r w:rsidR="000C3B30" w:rsidRPr="000C3B30">
        <w:rPr>
          <w:rFonts w:eastAsiaTheme="minorHAnsi" w:cs="Arial"/>
          <w:color w:val="000000" w:themeColor="text1"/>
          <w:lang w:eastAsia="en-US"/>
        </w:rPr>
        <w:t>Is additional funding for post 16 pupils, the final allocations will be confirmed in march 2019, f</w:t>
      </w:r>
      <w:r w:rsidRPr="000C3B30">
        <w:rPr>
          <w:rFonts w:eastAsiaTheme="minorHAnsi" w:cs="Arial"/>
          <w:color w:val="000000" w:themeColor="text1"/>
          <w:lang w:eastAsia="en-US"/>
        </w:rPr>
        <w:t>or planning purposes EFA Post 16 income and expenditure</w:t>
      </w:r>
      <w:r w:rsidR="000C3B30" w:rsidRPr="000C3B30">
        <w:rPr>
          <w:rFonts w:eastAsiaTheme="minorHAnsi" w:cs="Arial"/>
          <w:color w:val="000000" w:themeColor="text1"/>
          <w:lang w:eastAsia="en-US"/>
        </w:rPr>
        <w:t xml:space="preserve"> has been set at the revised 2018</w:t>
      </w:r>
      <w:r w:rsidRPr="000C3B30">
        <w:rPr>
          <w:rFonts w:eastAsiaTheme="minorHAnsi" w:cs="Arial"/>
          <w:color w:val="000000" w:themeColor="text1"/>
          <w:lang w:eastAsia="en-US"/>
        </w:rPr>
        <w:t>/1</w:t>
      </w:r>
      <w:r w:rsidR="000C3B30" w:rsidRPr="000C3B30">
        <w:rPr>
          <w:rFonts w:eastAsiaTheme="minorHAnsi" w:cs="Arial"/>
          <w:color w:val="000000" w:themeColor="text1"/>
          <w:lang w:eastAsia="en-US"/>
        </w:rPr>
        <w:t>9</w:t>
      </w:r>
      <w:r w:rsidRPr="000C3B30">
        <w:rPr>
          <w:rFonts w:eastAsiaTheme="minorHAnsi" w:cs="Arial"/>
          <w:color w:val="000000" w:themeColor="text1"/>
          <w:lang w:eastAsia="en-US"/>
        </w:rPr>
        <w:t xml:space="preserve"> levels at £1</w:t>
      </w:r>
      <w:r w:rsidR="000C3B30" w:rsidRPr="000C3B30">
        <w:rPr>
          <w:rFonts w:eastAsiaTheme="minorHAnsi" w:cs="Arial"/>
          <w:color w:val="000000" w:themeColor="text1"/>
          <w:lang w:eastAsia="en-US"/>
        </w:rPr>
        <w:t>3</w:t>
      </w:r>
      <w:r w:rsidR="000C3B30">
        <w:rPr>
          <w:rFonts w:eastAsiaTheme="minorHAnsi" w:cs="Arial"/>
          <w:color w:val="000000" w:themeColor="text1"/>
          <w:lang w:eastAsia="en-US"/>
        </w:rPr>
        <w:t>.</w:t>
      </w:r>
      <w:r w:rsidR="000C3B30" w:rsidRPr="000C3B30">
        <w:rPr>
          <w:rFonts w:eastAsiaTheme="minorHAnsi" w:cs="Arial"/>
          <w:color w:val="000000" w:themeColor="text1"/>
          <w:lang w:eastAsia="en-US"/>
        </w:rPr>
        <w:t>200</w:t>
      </w:r>
      <w:r w:rsidR="000C3B30">
        <w:rPr>
          <w:rFonts w:eastAsiaTheme="minorHAnsi" w:cs="Arial"/>
          <w:color w:val="000000" w:themeColor="text1"/>
          <w:lang w:eastAsia="en-US"/>
        </w:rPr>
        <w:t>m</w:t>
      </w:r>
      <w:r w:rsidRPr="000C3B30">
        <w:rPr>
          <w:rFonts w:eastAsiaTheme="minorHAnsi" w:cs="Arial"/>
          <w:color w:val="000000" w:themeColor="text1"/>
          <w:lang w:eastAsia="en-US"/>
        </w:rPr>
        <w:t xml:space="preserve">. </w:t>
      </w:r>
    </w:p>
    <w:p w14:paraId="4D49B4D9" w14:textId="182C1373" w:rsidR="000C256C" w:rsidRDefault="000C256C" w:rsidP="00E677C1">
      <w:pPr>
        <w:pStyle w:val="ListParagraph"/>
        <w:tabs>
          <w:tab w:val="num" w:pos="792"/>
        </w:tabs>
        <w:spacing w:after="120"/>
        <w:jc w:val="both"/>
        <w:rPr>
          <w:rFonts w:eastAsiaTheme="minorHAnsi" w:cs="Arial"/>
          <w:color w:val="000000" w:themeColor="text1"/>
          <w:lang w:eastAsia="en-US"/>
        </w:rPr>
      </w:pPr>
      <w:r w:rsidRPr="000C3B30">
        <w:rPr>
          <w:rFonts w:eastAsiaTheme="minorHAnsi" w:cs="Arial"/>
          <w:color w:val="000000" w:themeColor="text1"/>
          <w:lang w:eastAsia="en-US"/>
        </w:rPr>
        <w:t xml:space="preserve"> </w:t>
      </w:r>
    </w:p>
    <w:p w14:paraId="6DF2DAE5" w14:textId="77777777" w:rsidR="00742BF9" w:rsidRPr="00742BF9" w:rsidRDefault="00742BF9" w:rsidP="00742BF9">
      <w:pPr>
        <w:jc w:val="center"/>
        <w:rPr>
          <w:rFonts w:eastAsiaTheme="minorHAnsi"/>
          <w:lang w:eastAsia="en-US"/>
        </w:rPr>
      </w:pPr>
    </w:p>
    <w:p w14:paraId="4D49B4DA" w14:textId="77777777" w:rsidR="00E677C1" w:rsidRDefault="000C256C" w:rsidP="00A7602A">
      <w:pPr>
        <w:pStyle w:val="ListParagraph"/>
        <w:numPr>
          <w:ilvl w:val="1"/>
          <w:numId w:val="2"/>
        </w:numPr>
        <w:tabs>
          <w:tab w:val="num" w:pos="720"/>
        </w:tabs>
        <w:spacing w:after="120"/>
        <w:ind w:left="720" w:hanging="720"/>
        <w:jc w:val="both"/>
        <w:rPr>
          <w:rFonts w:eastAsiaTheme="minorHAnsi" w:cs="Arial"/>
          <w:color w:val="000000" w:themeColor="text1"/>
          <w:lang w:eastAsia="en-US"/>
        </w:rPr>
      </w:pPr>
      <w:r w:rsidRPr="000C256C">
        <w:rPr>
          <w:rFonts w:eastAsiaTheme="minorHAnsi" w:cs="Arial"/>
          <w:b/>
          <w:color w:val="000000" w:themeColor="text1"/>
          <w:lang w:eastAsia="en-US"/>
        </w:rPr>
        <w:lastRenderedPageBreak/>
        <w:t>Pupil Premium</w:t>
      </w:r>
      <w:r w:rsidRPr="000C256C">
        <w:rPr>
          <w:rFonts w:eastAsiaTheme="minorHAnsi" w:cs="Arial"/>
          <w:color w:val="000000" w:themeColor="text1"/>
          <w:lang w:eastAsia="en-US"/>
        </w:rPr>
        <w:t xml:space="preserve"> The pupil premium is to be continued in 201</w:t>
      </w:r>
      <w:r w:rsidR="000C3B30">
        <w:rPr>
          <w:rFonts w:eastAsiaTheme="minorHAnsi" w:cs="Arial"/>
          <w:color w:val="000000" w:themeColor="text1"/>
          <w:lang w:eastAsia="en-US"/>
        </w:rPr>
        <w:t xml:space="preserve">9/20 and for planning </w:t>
      </w:r>
      <w:r w:rsidR="00E677C1">
        <w:rPr>
          <w:rFonts w:eastAsiaTheme="minorHAnsi" w:cs="Arial"/>
          <w:color w:val="000000" w:themeColor="text1"/>
          <w:lang w:eastAsia="en-US"/>
        </w:rPr>
        <w:t xml:space="preserve">purposes 2018-19 actual figures will be used and revised figures used once they are release later </w:t>
      </w:r>
      <w:r w:rsidR="00FC60BB">
        <w:rPr>
          <w:rFonts w:eastAsiaTheme="minorHAnsi" w:cs="Arial"/>
          <w:color w:val="000000" w:themeColor="text1"/>
          <w:lang w:eastAsia="en-US"/>
        </w:rPr>
        <w:t xml:space="preserve">in </w:t>
      </w:r>
      <w:r w:rsidR="00E677C1">
        <w:rPr>
          <w:rFonts w:eastAsiaTheme="minorHAnsi" w:cs="Arial"/>
          <w:color w:val="000000" w:themeColor="text1"/>
          <w:lang w:eastAsia="en-US"/>
        </w:rPr>
        <w:t>2019.</w:t>
      </w:r>
    </w:p>
    <w:p w14:paraId="4D49B4DB" w14:textId="77777777" w:rsidR="00622A66" w:rsidRDefault="00622A66" w:rsidP="00622A66">
      <w:pPr>
        <w:pStyle w:val="ListParagraph"/>
        <w:tabs>
          <w:tab w:val="num" w:pos="792"/>
        </w:tabs>
        <w:spacing w:after="120"/>
        <w:jc w:val="both"/>
        <w:rPr>
          <w:rFonts w:eastAsiaTheme="minorHAnsi" w:cs="Arial"/>
          <w:color w:val="000000" w:themeColor="text1"/>
          <w:lang w:eastAsia="en-US"/>
        </w:rPr>
      </w:pPr>
    </w:p>
    <w:p w14:paraId="4D49B4DC" w14:textId="4026E888" w:rsidR="003D6E07" w:rsidRPr="00EA3C0D" w:rsidRDefault="00622A66" w:rsidP="00622A66">
      <w:pPr>
        <w:pStyle w:val="ListParagraph"/>
        <w:numPr>
          <w:ilvl w:val="1"/>
          <w:numId w:val="2"/>
        </w:numPr>
        <w:tabs>
          <w:tab w:val="num" w:pos="720"/>
        </w:tabs>
        <w:spacing w:after="120"/>
        <w:ind w:left="720" w:hanging="720"/>
        <w:jc w:val="both"/>
        <w:rPr>
          <w:rFonts w:eastAsiaTheme="minorHAnsi" w:cs="Arial"/>
          <w:b/>
          <w:color w:val="000000" w:themeColor="text1"/>
          <w:lang w:eastAsia="en-US"/>
        </w:rPr>
      </w:pPr>
      <w:r w:rsidRPr="00622A66">
        <w:rPr>
          <w:rFonts w:eastAsiaTheme="minorHAnsi" w:cs="Arial"/>
          <w:b/>
          <w:color w:val="000000" w:themeColor="text1"/>
          <w:lang w:eastAsia="en-US"/>
        </w:rPr>
        <w:t xml:space="preserve">High Needs </w:t>
      </w:r>
      <w:r w:rsidR="00EB72FC" w:rsidRPr="00622A66">
        <w:rPr>
          <w:rFonts w:eastAsiaTheme="minorHAnsi" w:cs="Arial"/>
          <w:b/>
          <w:color w:val="000000" w:themeColor="text1"/>
          <w:lang w:eastAsia="en-US"/>
        </w:rPr>
        <w:tab/>
      </w:r>
      <w:r w:rsidRPr="00622A66">
        <w:rPr>
          <w:rFonts w:cs="Arial"/>
        </w:rPr>
        <w:t>On 1</w:t>
      </w:r>
      <w:r>
        <w:rPr>
          <w:rFonts w:cs="Arial"/>
        </w:rPr>
        <w:t>7</w:t>
      </w:r>
      <w:r w:rsidRPr="00622A66">
        <w:rPr>
          <w:rFonts w:cs="Arial"/>
          <w:sz w:val="16"/>
          <w:szCs w:val="16"/>
        </w:rPr>
        <w:t xml:space="preserve"> </w:t>
      </w:r>
      <w:r w:rsidRPr="00622A66">
        <w:rPr>
          <w:rFonts w:cs="Arial"/>
        </w:rPr>
        <w:t>December the Secretary of State announced some additional funding for</w:t>
      </w:r>
      <w:r>
        <w:rPr>
          <w:rFonts w:cs="Arial"/>
        </w:rPr>
        <w:t xml:space="preserve"> </w:t>
      </w:r>
      <w:r w:rsidRPr="00622A66">
        <w:rPr>
          <w:rFonts w:cs="Arial"/>
        </w:rPr>
        <w:t xml:space="preserve">high needs totalling £350m: £100m capital and £250m revenue. </w:t>
      </w:r>
      <w:r>
        <w:rPr>
          <w:rFonts w:cs="Arial"/>
        </w:rPr>
        <w:t xml:space="preserve">Tower Hamlets </w:t>
      </w:r>
      <w:r w:rsidRPr="00622A66">
        <w:rPr>
          <w:rFonts w:cs="Arial"/>
        </w:rPr>
        <w:t>will</w:t>
      </w:r>
      <w:r>
        <w:rPr>
          <w:rFonts w:cs="Arial"/>
        </w:rPr>
        <w:t xml:space="preserve"> receive additional </w:t>
      </w:r>
      <w:r w:rsidRPr="00622A66">
        <w:rPr>
          <w:rFonts w:cs="Arial"/>
        </w:rPr>
        <w:t>£</w:t>
      </w:r>
      <w:r>
        <w:rPr>
          <w:rFonts w:cs="Arial"/>
        </w:rPr>
        <w:t>724k</w:t>
      </w:r>
      <w:r w:rsidRPr="00622A66">
        <w:rPr>
          <w:rFonts w:cs="Arial"/>
        </w:rPr>
        <w:t xml:space="preserve"> revenue funding in 2018/19 and the same amount</w:t>
      </w:r>
      <w:r>
        <w:rPr>
          <w:rFonts w:cs="Arial"/>
        </w:rPr>
        <w:t xml:space="preserve"> </w:t>
      </w:r>
      <w:r w:rsidRPr="00622A66">
        <w:rPr>
          <w:rFonts w:cs="Arial"/>
        </w:rPr>
        <w:t>again in 2019/20.</w:t>
      </w:r>
    </w:p>
    <w:p w14:paraId="4D49B4DD" w14:textId="77777777" w:rsidR="00EA3C0D" w:rsidRPr="00FC60BB" w:rsidRDefault="00EA3C0D" w:rsidP="00EA3C0D">
      <w:pPr>
        <w:pStyle w:val="ListParagraph"/>
        <w:tabs>
          <w:tab w:val="num" w:pos="792"/>
        </w:tabs>
        <w:spacing w:after="120"/>
        <w:jc w:val="both"/>
        <w:rPr>
          <w:rFonts w:eastAsiaTheme="minorHAnsi" w:cs="Arial"/>
          <w:b/>
          <w:color w:val="000000" w:themeColor="text1"/>
          <w:lang w:eastAsia="en-US"/>
        </w:rPr>
      </w:pPr>
    </w:p>
    <w:p w14:paraId="4D49B4DE" w14:textId="77777777" w:rsidR="00FC60BB" w:rsidRPr="00EA3C0D" w:rsidRDefault="00EA3C0D" w:rsidP="00622A66">
      <w:pPr>
        <w:pStyle w:val="ListParagraph"/>
        <w:numPr>
          <w:ilvl w:val="1"/>
          <w:numId w:val="2"/>
        </w:numPr>
        <w:tabs>
          <w:tab w:val="num" w:pos="720"/>
        </w:tabs>
        <w:spacing w:after="120"/>
        <w:ind w:left="720" w:hanging="720"/>
        <w:jc w:val="both"/>
        <w:rPr>
          <w:rFonts w:eastAsiaTheme="minorHAnsi" w:cs="Arial"/>
          <w:color w:val="000000" w:themeColor="text1"/>
          <w:lang w:eastAsia="en-US"/>
        </w:rPr>
      </w:pPr>
      <w:r w:rsidRPr="00EA3C0D">
        <w:rPr>
          <w:rFonts w:eastAsiaTheme="minorHAnsi" w:cs="Arial"/>
          <w:color w:val="000000" w:themeColor="text1"/>
          <w:lang w:eastAsia="en-US"/>
        </w:rPr>
        <w:t>The additional funding is welcomed however significantly short of what is required to support the current deficit</w:t>
      </w:r>
      <w:r>
        <w:rPr>
          <w:rFonts w:eastAsiaTheme="minorHAnsi" w:cs="Arial"/>
          <w:color w:val="000000" w:themeColor="text1"/>
          <w:lang w:eastAsia="en-US"/>
        </w:rPr>
        <w:t xml:space="preserve"> in the High needs block</w:t>
      </w:r>
      <w:r w:rsidRPr="00EA3C0D">
        <w:rPr>
          <w:rFonts w:eastAsiaTheme="minorHAnsi" w:cs="Arial"/>
          <w:color w:val="000000" w:themeColor="text1"/>
          <w:lang w:eastAsia="en-US"/>
        </w:rPr>
        <w:t xml:space="preserve"> (representing around a fifth of the likely shortfall).</w:t>
      </w:r>
    </w:p>
    <w:p w14:paraId="4D49B4DF" w14:textId="77777777" w:rsidR="00FC60BB" w:rsidRPr="00622A66" w:rsidRDefault="00FC60BB" w:rsidP="00FC60BB">
      <w:pPr>
        <w:pStyle w:val="ListParagraph"/>
        <w:tabs>
          <w:tab w:val="num" w:pos="792"/>
        </w:tabs>
        <w:spacing w:after="120"/>
        <w:jc w:val="both"/>
        <w:rPr>
          <w:rFonts w:eastAsiaTheme="minorHAnsi" w:cs="Arial"/>
          <w:b/>
          <w:color w:val="000000" w:themeColor="text1"/>
          <w:lang w:eastAsia="en-US"/>
        </w:rPr>
      </w:pPr>
    </w:p>
    <w:p w14:paraId="4D49B4E0" w14:textId="77777777" w:rsidR="003D6E07" w:rsidRDefault="00622A66" w:rsidP="00EF558F">
      <w:pPr>
        <w:spacing w:after="120"/>
        <w:jc w:val="both"/>
        <w:rPr>
          <w:rFonts w:eastAsiaTheme="minorHAnsi" w:cs="Arial"/>
          <w:color w:val="000000" w:themeColor="text1"/>
          <w:lang w:eastAsia="en-US"/>
        </w:rPr>
      </w:pPr>
      <w:r>
        <w:rPr>
          <w:rFonts w:eastAsiaTheme="minorHAnsi" w:cs="Arial"/>
          <w:color w:val="000000" w:themeColor="text1"/>
          <w:lang w:eastAsia="en-US"/>
        </w:rPr>
        <w:tab/>
      </w:r>
    </w:p>
    <w:p w14:paraId="4D49B4E1" w14:textId="77777777" w:rsidR="0023497F" w:rsidRDefault="0023497F" w:rsidP="005B7FD9">
      <w:pPr>
        <w:autoSpaceDE w:val="0"/>
        <w:autoSpaceDN w:val="0"/>
        <w:adjustRightInd w:val="0"/>
        <w:rPr>
          <w:rFonts w:ascii="Arial-BoldMT" w:hAnsi="Arial-BoldMT" w:cs="Arial-BoldMT"/>
          <w:bCs/>
          <w:color w:val="000000"/>
        </w:rPr>
      </w:pPr>
      <w:r>
        <w:rPr>
          <w:rFonts w:ascii="Arial-BoldMT" w:hAnsi="Arial-BoldMT" w:cs="Arial-BoldMT"/>
          <w:b/>
          <w:bCs/>
          <w:color w:val="000000"/>
        </w:rPr>
        <w:t>Background Papers</w:t>
      </w:r>
      <w:r w:rsidR="00660356">
        <w:rPr>
          <w:rFonts w:ascii="Arial-BoldMT" w:hAnsi="Arial-BoldMT" w:cs="Arial-BoldMT"/>
          <w:bCs/>
          <w:color w:val="000000"/>
        </w:rPr>
        <w:t>;</w:t>
      </w:r>
    </w:p>
    <w:p w14:paraId="4D49B4E2" w14:textId="77777777" w:rsidR="009544FE" w:rsidRDefault="009544FE" w:rsidP="005B7FD9">
      <w:pPr>
        <w:autoSpaceDE w:val="0"/>
        <w:autoSpaceDN w:val="0"/>
        <w:adjustRightInd w:val="0"/>
        <w:rPr>
          <w:rFonts w:ascii="Arial-BoldMT" w:hAnsi="Arial-BoldMT" w:cs="Arial-BoldMT"/>
          <w:bCs/>
          <w:color w:val="000000"/>
        </w:rPr>
      </w:pPr>
    </w:p>
    <w:p w14:paraId="4D49B4E3" w14:textId="77777777" w:rsidR="009544FE" w:rsidRPr="00253C55" w:rsidRDefault="00253C55" w:rsidP="00253C55">
      <w:pPr>
        <w:autoSpaceDE w:val="0"/>
        <w:autoSpaceDN w:val="0"/>
        <w:adjustRightInd w:val="0"/>
        <w:rPr>
          <w:rFonts w:ascii="Arial-BoldMT" w:hAnsi="Arial-BoldMT" w:cs="Arial-BoldMT"/>
          <w:bCs/>
          <w:color w:val="000000"/>
        </w:rPr>
      </w:pPr>
      <w:r w:rsidRPr="00253C55">
        <w:rPr>
          <w:rFonts w:ascii="Arial-BoldMT" w:hAnsi="Arial-BoldMT" w:cs="Arial-BoldMT"/>
          <w:bCs/>
          <w:color w:val="000000"/>
        </w:rPr>
        <w:t xml:space="preserve">ESFA - </w:t>
      </w:r>
      <w:r w:rsidR="009544FE">
        <w:rPr>
          <w:lang w:val="en"/>
        </w:rPr>
        <w:t>Dedicated schools grant (DSG): 2019</w:t>
      </w:r>
      <w:r w:rsidR="00A7602A">
        <w:rPr>
          <w:lang w:val="en"/>
        </w:rPr>
        <w:t xml:space="preserve"> to 2020</w:t>
      </w:r>
    </w:p>
    <w:p w14:paraId="4D49B4E4" w14:textId="77777777" w:rsidR="009544FE" w:rsidRDefault="009544FE" w:rsidP="00253C55">
      <w:pPr>
        <w:autoSpaceDE w:val="0"/>
        <w:autoSpaceDN w:val="0"/>
        <w:adjustRightInd w:val="0"/>
        <w:rPr>
          <w:color w:val="0070C0"/>
          <w:u w:val="single"/>
        </w:rPr>
      </w:pPr>
      <w:r w:rsidRPr="009544FE">
        <w:rPr>
          <w:color w:val="0070C0"/>
          <w:u w:val="single"/>
        </w:rPr>
        <w:t xml:space="preserve">https://www.gov.uk/government/publications/dedicated-schools-grant-dsg-2018-to-2019 </w:t>
      </w:r>
    </w:p>
    <w:p w14:paraId="4D49B4E5" w14:textId="77777777" w:rsidR="004B075D" w:rsidRDefault="004B075D" w:rsidP="00253C55">
      <w:pPr>
        <w:autoSpaceDE w:val="0"/>
        <w:autoSpaceDN w:val="0"/>
        <w:adjustRightInd w:val="0"/>
        <w:rPr>
          <w:color w:val="0070C0"/>
          <w:u w:val="single"/>
        </w:rPr>
      </w:pPr>
    </w:p>
    <w:p w14:paraId="4D49B4E6" w14:textId="77777777" w:rsidR="004B075D" w:rsidRPr="00253C55" w:rsidRDefault="004B075D" w:rsidP="004B075D">
      <w:pPr>
        <w:autoSpaceDE w:val="0"/>
        <w:autoSpaceDN w:val="0"/>
        <w:adjustRightInd w:val="0"/>
        <w:rPr>
          <w:rFonts w:ascii="Arial-BoldMT" w:hAnsi="Arial-BoldMT" w:cs="Arial-BoldMT"/>
          <w:bCs/>
          <w:color w:val="000000"/>
        </w:rPr>
      </w:pPr>
      <w:r w:rsidRPr="00253C55">
        <w:rPr>
          <w:rFonts w:ascii="Arial-BoldMT" w:hAnsi="Arial-BoldMT" w:cs="Arial-BoldMT"/>
          <w:bCs/>
          <w:color w:val="000000"/>
        </w:rPr>
        <w:t xml:space="preserve">EFSA – </w:t>
      </w:r>
      <w:r w:rsidR="00187815">
        <w:rPr>
          <w:rFonts w:ascii="Arial-BoldMT" w:hAnsi="Arial-BoldMT" w:cs="Arial-BoldMT"/>
          <w:bCs/>
          <w:color w:val="000000"/>
        </w:rPr>
        <w:t>Authority Proforma Tool (</w:t>
      </w:r>
      <w:r w:rsidR="00187815">
        <w:rPr>
          <w:lang w:val="en"/>
        </w:rPr>
        <w:t>APT) 2019</w:t>
      </w:r>
      <w:r w:rsidR="00A7602A">
        <w:rPr>
          <w:lang w:val="en"/>
        </w:rPr>
        <w:t xml:space="preserve"> to 2020</w:t>
      </w:r>
    </w:p>
    <w:p w14:paraId="4D49B4E7" w14:textId="77777777" w:rsidR="004B075D" w:rsidRPr="009544FE" w:rsidRDefault="00187815" w:rsidP="00253C55">
      <w:pPr>
        <w:autoSpaceDE w:val="0"/>
        <w:autoSpaceDN w:val="0"/>
        <w:adjustRightInd w:val="0"/>
        <w:rPr>
          <w:color w:val="0070C0"/>
          <w:u w:val="single"/>
        </w:rPr>
      </w:pPr>
      <w:r w:rsidRPr="00187815">
        <w:rPr>
          <w:color w:val="0070C0"/>
          <w:u w:val="single"/>
        </w:rPr>
        <w:t>https://www.gov.uk/guidance/authority-proforma-tool-apt-information-for-local-authorities#apt-2018-to-2019</w:t>
      </w:r>
    </w:p>
    <w:p w14:paraId="4D49B4E8" w14:textId="77777777" w:rsidR="009544FE" w:rsidRDefault="009544FE" w:rsidP="00253C55">
      <w:pPr>
        <w:autoSpaceDE w:val="0"/>
        <w:autoSpaceDN w:val="0"/>
        <w:adjustRightInd w:val="0"/>
      </w:pPr>
    </w:p>
    <w:p w14:paraId="4D49B4E9" w14:textId="77777777" w:rsidR="00E677C1" w:rsidRPr="00E677C1" w:rsidRDefault="00E677C1" w:rsidP="00E677C1">
      <w:pPr>
        <w:autoSpaceDE w:val="0"/>
        <w:autoSpaceDN w:val="0"/>
        <w:adjustRightInd w:val="0"/>
        <w:rPr>
          <w:rFonts w:cs="Arial"/>
          <w:color w:val="000000"/>
        </w:rPr>
      </w:pPr>
      <w:r w:rsidRPr="00E677C1">
        <w:rPr>
          <w:rFonts w:cs="Arial"/>
          <w:color w:val="000000"/>
        </w:rPr>
        <w:t>Secretary of State’s announcement on additional funding for SEND</w:t>
      </w:r>
      <w:r w:rsidR="00622A66">
        <w:rPr>
          <w:rFonts w:cs="Arial"/>
          <w:color w:val="000000"/>
        </w:rPr>
        <w:t xml:space="preserve"> </w:t>
      </w:r>
      <w:hyperlink r:id="rId11" w:history="1">
        <w:r w:rsidR="00622A66" w:rsidRPr="00622A66">
          <w:rPr>
            <w:rStyle w:val="Hyperlink"/>
            <w:rFonts w:cs="Arial"/>
          </w:rPr>
          <w:t>Link</w:t>
        </w:r>
      </w:hyperlink>
    </w:p>
    <w:p w14:paraId="4D49B4EA" w14:textId="77777777" w:rsidR="00253C55" w:rsidRDefault="00253C55" w:rsidP="005B7FD9">
      <w:pPr>
        <w:autoSpaceDE w:val="0"/>
        <w:autoSpaceDN w:val="0"/>
        <w:adjustRightInd w:val="0"/>
        <w:rPr>
          <w:rFonts w:ascii="Arial-BoldMT" w:hAnsi="Arial-BoldMT" w:cs="Arial-BoldMT"/>
          <w:bCs/>
          <w:color w:val="000000"/>
        </w:rPr>
      </w:pPr>
    </w:p>
    <w:sectPr w:rsidR="00253C55" w:rsidSect="006C13B5">
      <w:footerReference w:type="default" r:id="rId12"/>
      <w:pgSz w:w="11906" w:h="16838"/>
      <w:pgMar w:top="1134" w:right="1797" w:bottom="1134" w:left="1797"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6643E" w14:textId="77777777" w:rsidR="005A48D4" w:rsidRDefault="005A48D4">
      <w:r>
        <w:separator/>
      </w:r>
    </w:p>
  </w:endnote>
  <w:endnote w:type="continuationSeparator" w:id="0">
    <w:p w14:paraId="11C482E7" w14:textId="77777777" w:rsidR="005A48D4" w:rsidRDefault="005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9B4EF" w14:textId="0D4930E2" w:rsidR="002D2861" w:rsidRDefault="00060886">
    <w:pPr>
      <w:pStyle w:val="Footer"/>
    </w:pPr>
    <w:r>
      <w:t xml:space="preserve">             </w:t>
    </w:r>
    <w:r w:rsidR="002D2861">
      <w:t>Schools Forum Meeting 1</w:t>
    </w:r>
    <w:r w:rsidR="00601026">
      <w:t xml:space="preserve">6 </w:t>
    </w:r>
    <w:r w:rsidR="002D2861">
      <w:t>Jan 201</w:t>
    </w:r>
    <w:r w:rsidR="00601026">
      <w:t>9</w:t>
    </w:r>
    <w:r w:rsidR="002D2861">
      <w:t xml:space="preserve"> - Schools Budget 20</w:t>
    </w:r>
    <w:r w:rsidR="00601026">
      <w:t>19/20</w:t>
    </w:r>
  </w:p>
  <w:p w14:paraId="4D49B4F0" w14:textId="77777777" w:rsidR="00AC1AFF" w:rsidRDefault="00AC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0D45E" w14:textId="77777777" w:rsidR="005A48D4" w:rsidRDefault="005A48D4">
      <w:r>
        <w:separator/>
      </w:r>
    </w:p>
  </w:footnote>
  <w:footnote w:type="continuationSeparator" w:id="0">
    <w:p w14:paraId="0FC8C34E" w14:textId="77777777" w:rsidR="005A48D4" w:rsidRDefault="005A4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43D"/>
    <w:multiLevelType w:val="multilevel"/>
    <w:tmpl w:val="7FDC82E6"/>
    <w:lvl w:ilvl="0">
      <w:start w:val="8"/>
      <w:numFmt w:val="decimal"/>
      <w:lvlText w:val="%1."/>
      <w:lvlJc w:val="left"/>
      <w:pPr>
        <w:ind w:left="502" w:hanging="360"/>
      </w:pPr>
      <w:rPr>
        <w:rFonts w:hint="default"/>
      </w:rPr>
    </w:lvl>
    <w:lvl w:ilvl="1">
      <w:start w:val="1"/>
      <w:numFmt w:val="decimal"/>
      <w:isLgl/>
      <w:lvlText w:val="%1.%2"/>
      <w:lvlJc w:val="left"/>
      <w:pPr>
        <w:ind w:left="1248" w:hanging="456"/>
      </w:pPr>
      <w:rPr>
        <w:rFonts w:hint="default"/>
      </w:rPr>
    </w:lvl>
    <w:lvl w:ilvl="2">
      <w:start w:val="1"/>
      <w:numFmt w:val="decimal"/>
      <w:isLgl/>
      <w:lvlText w:val="%1.%2.%3"/>
      <w:lvlJc w:val="left"/>
      <w:pPr>
        <w:ind w:left="2162" w:hanging="720"/>
      </w:pPr>
      <w:rPr>
        <w:rFonts w:hint="default"/>
      </w:rPr>
    </w:lvl>
    <w:lvl w:ilvl="3">
      <w:start w:val="1"/>
      <w:numFmt w:val="decimal"/>
      <w:isLgl/>
      <w:lvlText w:val="%1.%2.%3.%4"/>
      <w:lvlJc w:val="left"/>
      <w:pPr>
        <w:ind w:left="3172" w:hanging="1080"/>
      </w:pPr>
      <w:rPr>
        <w:rFonts w:hint="default"/>
      </w:rPr>
    </w:lvl>
    <w:lvl w:ilvl="4">
      <w:start w:val="1"/>
      <w:numFmt w:val="decimal"/>
      <w:isLgl/>
      <w:lvlText w:val="%1.%2.%3.%4.%5"/>
      <w:lvlJc w:val="left"/>
      <w:pPr>
        <w:ind w:left="3822" w:hanging="1080"/>
      </w:pPr>
      <w:rPr>
        <w:rFonts w:hint="default"/>
      </w:rPr>
    </w:lvl>
    <w:lvl w:ilvl="5">
      <w:start w:val="1"/>
      <w:numFmt w:val="decimal"/>
      <w:isLgl/>
      <w:lvlText w:val="%1.%2.%3.%4.%5.%6"/>
      <w:lvlJc w:val="left"/>
      <w:pPr>
        <w:ind w:left="4832" w:hanging="1440"/>
      </w:pPr>
      <w:rPr>
        <w:rFonts w:hint="default"/>
      </w:rPr>
    </w:lvl>
    <w:lvl w:ilvl="6">
      <w:start w:val="1"/>
      <w:numFmt w:val="decimal"/>
      <w:isLgl/>
      <w:lvlText w:val="%1.%2.%3.%4.%5.%6.%7"/>
      <w:lvlJc w:val="left"/>
      <w:pPr>
        <w:ind w:left="5482" w:hanging="1440"/>
      </w:pPr>
      <w:rPr>
        <w:rFonts w:hint="default"/>
      </w:rPr>
    </w:lvl>
    <w:lvl w:ilvl="7">
      <w:start w:val="1"/>
      <w:numFmt w:val="decimal"/>
      <w:isLgl/>
      <w:lvlText w:val="%1.%2.%3.%4.%5.%6.%7.%8"/>
      <w:lvlJc w:val="left"/>
      <w:pPr>
        <w:ind w:left="6492" w:hanging="1800"/>
      </w:pPr>
      <w:rPr>
        <w:rFonts w:hint="default"/>
      </w:rPr>
    </w:lvl>
    <w:lvl w:ilvl="8">
      <w:start w:val="1"/>
      <w:numFmt w:val="decimal"/>
      <w:isLgl/>
      <w:lvlText w:val="%1.%2.%3.%4.%5.%6.%7.%8.%9"/>
      <w:lvlJc w:val="left"/>
      <w:pPr>
        <w:ind w:left="7142" w:hanging="1800"/>
      </w:pPr>
      <w:rPr>
        <w:rFonts w:hint="default"/>
      </w:rPr>
    </w:lvl>
  </w:abstractNum>
  <w:abstractNum w:abstractNumId="1" w15:restartNumberingAfterBreak="0">
    <w:nsid w:val="099A08CB"/>
    <w:multiLevelType w:val="multilevel"/>
    <w:tmpl w:val="3E1C1F08"/>
    <w:lvl w:ilvl="0">
      <w:start w:val="1"/>
      <w:numFmt w:val="decimal"/>
      <w:lvlText w:val="%1."/>
      <w:lvlJc w:val="left"/>
      <w:pPr>
        <w:ind w:left="390" w:hanging="39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15:restartNumberingAfterBreak="0">
    <w:nsid w:val="14FF203B"/>
    <w:multiLevelType w:val="hybridMultilevel"/>
    <w:tmpl w:val="9AAAEA58"/>
    <w:lvl w:ilvl="0" w:tplc="6E926192">
      <w:numFmt w:val="bullet"/>
      <w:lvlText w:val="•"/>
      <w:lvlJc w:val="left"/>
      <w:pPr>
        <w:ind w:left="1152" w:hanging="360"/>
      </w:pPr>
      <w:rPr>
        <w:rFonts w:ascii="Arial" w:eastAsiaTheme="minorHAnsi" w:hAnsi="Aria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15021773"/>
    <w:multiLevelType w:val="hybridMultilevel"/>
    <w:tmpl w:val="7482FEA0"/>
    <w:lvl w:ilvl="0" w:tplc="0809001B">
      <w:start w:val="1"/>
      <w:numFmt w:val="lowerRoman"/>
      <w:lvlText w:val="%1."/>
      <w:lvlJc w:val="right"/>
      <w:pPr>
        <w:ind w:left="1512" w:hanging="360"/>
      </w:pPr>
    </w:lvl>
    <w:lvl w:ilvl="1" w:tplc="E676DAAA">
      <w:numFmt w:val="bullet"/>
      <w:lvlText w:val="•"/>
      <w:lvlJc w:val="left"/>
      <w:pPr>
        <w:ind w:left="2232" w:hanging="360"/>
      </w:pPr>
      <w:rPr>
        <w:rFonts w:ascii="Arial" w:eastAsiaTheme="minorHAnsi" w:hAnsi="Arial" w:cs="Arial" w:hint="default"/>
      </w:r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4" w15:restartNumberingAfterBreak="0">
    <w:nsid w:val="168C2ADF"/>
    <w:multiLevelType w:val="hybridMultilevel"/>
    <w:tmpl w:val="DC6C9DB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15:restartNumberingAfterBreak="0">
    <w:nsid w:val="1A8052DA"/>
    <w:multiLevelType w:val="multilevel"/>
    <w:tmpl w:val="A63001CC"/>
    <w:lvl w:ilvl="0">
      <w:start w:val="1"/>
      <w:numFmt w:val="decimal"/>
      <w:lvlText w:val="%1"/>
      <w:lvlJc w:val="left"/>
      <w:pPr>
        <w:ind w:left="930" w:hanging="570"/>
      </w:pPr>
      <w:rPr>
        <w:rFonts w:hint="default"/>
      </w:rPr>
    </w:lvl>
    <w:lvl w:ilvl="1">
      <w:start w:val="1"/>
      <w:numFmt w:val="decimal"/>
      <w:isLgl/>
      <w:lvlText w:val="%1.%2"/>
      <w:lvlJc w:val="left"/>
      <w:pPr>
        <w:ind w:left="720" w:hanging="720"/>
      </w:pPr>
      <w:rPr>
        <w:rFonts w:cstheme="minorBidi" w:hint="default"/>
        <w:color w:val="auto"/>
        <w:sz w:val="24"/>
      </w:rPr>
    </w:lvl>
    <w:lvl w:ilvl="2">
      <w:start w:val="1"/>
      <w:numFmt w:val="decimal"/>
      <w:isLgl/>
      <w:lvlText w:val="%1.%2.%3"/>
      <w:lvlJc w:val="left"/>
      <w:pPr>
        <w:ind w:left="3632" w:hanging="1080"/>
      </w:pPr>
      <w:rPr>
        <w:rFonts w:cstheme="minorBidi" w:hint="default"/>
        <w:color w:val="auto"/>
        <w:sz w:val="24"/>
      </w:rPr>
    </w:lvl>
    <w:lvl w:ilvl="3">
      <w:start w:val="1"/>
      <w:numFmt w:val="decimal"/>
      <w:isLgl/>
      <w:lvlText w:val="%1.%2.%3.%4"/>
      <w:lvlJc w:val="left"/>
      <w:pPr>
        <w:ind w:left="1440" w:hanging="1080"/>
      </w:pPr>
      <w:rPr>
        <w:rFonts w:cstheme="minorBidi" w:hint="default"/>
        <w:color w:val="auto"/>
        <w:sz w:val="24"/>
      </w:rPr>
    </w:lvl>
    <w:lvl w:ilvl="4">
      <w:start w:val="1"/>
      <w:numFmt w:val="decimal"/>
      <w:isLgl/>
      <w:lvlText w:val="%1.%2.%3.%4.%5"/>
      <w:lvlJc w:val="left"/>
      <w:pPr>
        <w:ind w:left="1800" w:hanging="1440"/>
      </w:pPr>
      <w:rPr>
        <w:rFonts w:cstheme="minorBidi" w:hint="default"/>
        <w:color w:val="auto"/>
        <w:sz w:val="24"/>
      </w:rPr>
    </w:lvl>
    <w:lvl w:ilvl="5">
      <w:start w:val="1"/>
      <w:numFmt w:val="decimal"/>
      <w:isLgl/>
      <w:lvlText w:val="%1.%2.%3.%4.%5.%6"/>
      <w:lvlJc w:val="left"/>
      <w:pPr>
        <w:ind w:left="2160" w:hanging="1800"/>
      </w:pPr>
      <w:rPr>
        <w:rFonts w:cstheme="minorBidi" w:hint="default"/>
        <w:color w:val="auto"/>
        <w:sz w:val="24"/>
      </w:rPr>
    </w:lvl>
    <w:lvl w:ilvl="6">
      <w:start w:val="1"/>
      <w:numFmt w:val="decimal"/>
      <w:isLgl/>
      <w:lvlText w:val="%1.%2.%3.%4.%5.%6.%7"/>
      <w:lvlJc w:val="left"/>
      <w:pPr>
        <w:ind w:left="2520" w:hanging="2160"/>
      </w:pPr>
      <w:rPr>
        <w:rFonts w:cstheme="minorBidi" w:hint="default"/>
        <w:color w:val="auto"/>
        <w:sz w:val="24"/>
      </w:rPr>
    </w:lvl>
    <w:lvl w:ilvl="7">
      <w:start w:val="1"/>
      <w:numFmt w:val="decimal"/>
      <w:isLgl/>
      <w:lvlText w:val="%1.%2.%3.%4.%5.%6.%7.%8"/>
      <w:lvlJc w:val="left"/>
      <w:pPr>
        <w:ind w:left="2880" w:hanging="2520"/>
      </w:pPr>
      <w:rPr>
        <w:rFonts w:cstheme="minorBidi" w:hint="default"/>
        <w:color w:val="auto"/>
        <w:sz w:val="24"/>
      </w:rPr>
    </w:lvl>
    <w:lvl w:ilvl="8">
      <w:start w:val="1"/>
      <w:numFmt w:val="decimal"/>
      <w:isLgl/>
      <w:lvlText w:val="%1.%2.%3.%4.%5.%6.%7.%8.%9"/>
      <w:lvlJc w:val="left"/>
      <w:pPr>
        <w:ind w:left="2880" w:hanging="2520"/>
      </w:pPr>
      <w:rPr>
        <w:rFonts w:cstheme="minorBidi" w:hint="default"/>
        <w:color w:val="auto"/>
        <w:sz w:val="24"/>
      </w:rPr>
    </w:lvl>
  </w:abstractNum>
  <w:abstractNum w:abstractNumId="6" w15:restartNumberingAfterBreak="0">
    <w:nsid w:val="1AEF0052"/>
    <w:multiLevelType w:val="multilevel"/>
    <w:tmpl w:val="DA0E0AB8"/>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D127751"/>
    <w:multiLevelType w:val="hybridMultilevel"/>
    <w:tmpl w:val="74E26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DB701E"/>
    <w:multiLevelType w:val="hybridMultilevel"/>
    <w:tmpl w:val="E62CE20A"/>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9" w15:restartNumberingAfterBreak="0">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 w15:restartNumberingAfterBreak="0">
    <w:nsid w:val="2BE94E59"/>
    <w:multiLevelType w:val="hybridMultilevel"/>
    <w:tmpl w:val="E18404F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 w15:restartNumberingAfterBreak="0">
    <w:nsid w:val="2E1403CC"/>
    <w:multiLevelType w:val="hybridMultilevel"/>
    <w:tmpl w:val="5A18B568"/>
    <w:lvl w:ilvl="0" w:tplc="4016FB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12C5B"/>
    <w:multiLevelType w:val="multilevel"/>
    <w:tmpl w:val="0809001F"/>
    <w:numStyleLink w:val="111111"/>
  </w:abstractNum>
  <w:abstractNum w:abstractNumId="13" w15:restartNumberingAfterBreak="0">
    <w:nsid w:val="36D37141"/>
    <w:multiLevelType w:val="hybridMultilevel"/>
    <w:tmpl w:val="135C209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449E152E"/>
    <w:multiLevelType w:val="hybridMultilevel"/>
    <w:tmpl w:val="5B180EA2"/>
    <w:lvl w:ilvl="0" w:tplc="0809000F">
      <w:start w:val="1"/>
      <w:numFmt w:val="decimal"/>
      <w:lvlText w:val="%1."/>
      <w:lvlJc w:val="left"/>
      <w:pPr>
        <w:ind w:left="1512" w:hanging="360"/>
      </w:p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5" w15:restartNumberingAfterBreak="0">
    <w:nsid w:val="45742FF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57C6143"/>
    <w:multiLevelType w:val="multilevel"/>
    <w:tmpl w:val="1124E8C0"/>
    <w:lvl w:ilvl="0">
      <w:start w:val="6"/>
      <w:numFmt w:val="decimal"/>
      <w:lvlText w:val="%1"/>
      <w:lvlJc w:val="left"/>
      <w:pPr>
        <w:ind w:left="360" w:hanging="360"/>
      </w:pPr>
      <w:rPr>
        <w:rFonts w:hint="default"/>
        <w:b/>
      </w:rPr>
    </w:lvl>
    <w:lvl w:ilvl="1">
      <w:start w:val="1"/>
      <w:numFmt w:val="decimal"/>
      <w:lvlText w:val="%1.%2"/>
      <w:lvlJc w:val="left"/>
      <w:pPr>
        <w:ind w:left="121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456" w:hanging="108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7344" w:hanging="1800"/>
      </w:pPr>
      <w:rPr>
        <w:rFonts w:hint="default"/>
        <w:b/>
      </w:rPr>
    </w:lvl>
    <w:lvl w:ilvl="8">
      <w:start w:val="1"/>
      <w:numFmt w:val="decimal"/>
      <w:lvlText w:val="%1.%2.%3.%4.%5.%6.%7.%8.%9"/>
      <w:lvlJc w:val="left"/>
      <w:pPr>
        <w:ind w:left="8136" w:hanging="1800"/>
      </w:pPr>
      <w:rPr>
        <w:rFonts w:hint="default"/>
        <w:b/>
      </w:rPr>
    </w:lvl>
  </w:abstractNum>
  <w:abstractNum w:abstractNumId="17" w15:restartNumberingAfterBreak="0">
    <w:nsid w:val="46C5461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7AD7387"/>
    <w:multiLevelType w:val="hybridMultilevel"/>
    <w:tmpl w:val="C0C28CA8"/>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83415C"/>
    <w:multiLevelType w:val="multilevel"/>
    <w:tmpl w:val="3E1C1F08"/>
    <w:lvl w:ilvl="0">
      <w:start w:val="1"/>
      <w:numFmt w:val="decimal"/>
      <w:lvlText w:val="%1."/>
      <w:lvlJc w:val="left"/>
      <w:pPr>
        <w:ind w:left="390" w:hanging="390"/>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15:restartNumberingAfterBreak="0">
    <w:nsid w:val="56857ED8"/>
    <w:multiLevelType w:val="multilevel"/>
    <w:tmpl w:val="BD26FB28"/>
    <w:lvl w:ilvl="0">
      <w:start w:val="3"/>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144A5B"/>
    <w:multiLevelType w:val="hybridMultilevel"/>
    <w:tmpl w:val="B8BC952E"/>
    <w:lvl w:ilvl="0" w:tplc="6E926192">
      <w:numFmt w:val="bullet"/>
      <w:lvlText w:val="•"/>
      <w:lvlJc w:val="left"/>
      <w:pPr>
        <w:ind w:left="1872"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EF23FA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21D3B3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6AF208D"/>
    <w:multiLevelType w:val="multilevel"/>
    <w:tmpl w:val="06960D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491475"/>
    <w:multiLevelType w:val="hybridMultilevel"/>
    <w:tmpl w:val="4D2299F0"/>
    <w:lvl w:ilvl="0" w:tplc="E676DAA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986012C"/>
    <w:multiLevelType w:val="hybridMultilevel"/>
    <w:tmpl w:val="38769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0B6170"/>
    <w:multiLevelType w:val="hybridMultilevel"/>
    <w:tmpl w:val="CBF0636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8" w15:restartNumberingAfterBreak="0">
    <w:nsid w:val="6E4F22F6"/>
    <w:multiLevelType w:val="hybridMultilevel"/>
    <w:tmpl w:val="6462590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9" w15:restartNumberingAfterBreak="0">
    <w:nsid w:val="72945A1A"/>
    <w:multiLevelType w:val="hybridMultilevel"/>
    <w:tmpl w:val="AD844F3A"/>
    <w:lvl w:ilvl="0" w:tplc="F9ACEAC0">
      <w:start w:val="1"/>
      <w:numFmt w:val="bullet"/>
      <w:lvlText w:val="•"/>
      <w:lvlJc w:val="left"/>
      <w:pPr>
        <w:tabs>
          <w:tab w:val="num" w:pos="720"/>
        </w:tabs>
        <w:ind w:left="720" w:hanging="360"/>
      </w:pPr>
      <w:rPr>
        <w:rFonts w:ascii="Times New Roman" w:hAnsi="Times New Roman" w:cs="Times New Roman" w:hint="default"/>
      </w:rPr>
    </w:lvl>
    <w:lvl w:ilvl="1" w:tplc="898080B6">
      <w:start w:val="4615"/>
      <w:numFmt w:val="bullet"/>
      <w:lvlText w:val="•"/>
      <w:lvlJc w:val="left"/>
      <w:pPr>
        <w:tabs>
          <w:tab w:val="num" w:pos="1440"/>
        </w:tabs>
        <w:ind w:left="1440" w:hanging="360"/>
      </w:pPr>
      <w:rPr>
        <w:rFonts w:ascii="Times New Roman" w:hAnsi="Times New Roman" w:cs="Times New Roman" w:hint="default"/>
      </w:rPr>
    </w:lvl>
    <w:lvl w:ilvl="2" w:tplc="6E505EBE">
      <w:start w:val="1"/>
      <w:numFmt w:val="bullet"/>
      <w:lvlText w:val="•"/>
      <w:lvlJc w:val="left"/>
      <w:pPr>
        <w:tabs>
          <w:tab w:val="num" w:pos="2160"/>
        </w:tabs>
        <w:ind w:left="2160" w:hanging="360"/>
      </w:pPr>
      <w:rPr>
        <w:rFonts w:ascii="Times New Roman" w:hAnsi="Times New Roman" w:cs="Times New Roman" w:hint="default"/>
      </w:rPr>
    </w:lvl>
    <w:lvl w:ilvl="3" w:tplc="2946EC72">
      <w:start w:val="1"/>
      <w:numFmt w:val="bullet"/>
      <w:lvlText w:val="•"/>
      <w:lvlJc w:val="left"/>
      <w:pPr>
        <w:tabs>
          <w:tab w:val="num" w:pos="2880"/>
        </w:tabs>
        <w:ind w:left="2880" w:hanging="360"/>
      </w:pPr>
      <w:rPr>
        <w:rFonts w:ascii="Times New Roman" w:hAnsi="Times New Roman" w:cs="Times New Roman" w:hint="default"/>
      </w:rPr>
    </w:lvl>
    <w:lvl w:ilvl="4" w:tplc="999EE4B4">
      <w:start w:val="1"/>
      <w:numFmt w:val="bullet"/>
      <w:lvlText w:val="•"/>
      <w:lvlJc w:val="left"/>
      <w:pPr>
        <w:tabs>
          <w:tab w:val="num" w:pos="3600"/>
        </w:tabs>
        <w:ind w:left="3600" w:hanging="360"/>
      </w:pPr>
      <w:rPr>
        <w:rFonts w:ascii="Times New Roman" w:hAnsi="Times New Roman" w:cs="Times New Roman" w:hint="default"/>
      </w:rPr>
    </w:lvl>
    <w:lvl w:ilvl="5" w:tplc="4D9815D4">
      <w:start w:val="1"/>
      <w:numFmt w:val="bullet"/>
      <w:lvlText w:val="•"/>
      <w:lvlJc w:val="left"/>
      <w:pPr>
        <w:tabs>
          <w:tab w:val="num" w:pos="4320"/>
        </w:tabs>
        <w:ind w:left="4320" w:hanging="360"/>
      </w:pPr>
      <w:rPr>
        <w:rFonts w:ascii="Times New Roman" w:hAnsi="Times New Roman" w:cs="Times New Roman" w:hint="default"/>
      </w:rPr>
    </w:lvl>
    <w:lvl w:ilvl="6" w:tplc="E612C420">
      <w:start w:val="1"/>
      <w:numFmt w:val="bullet"/>
      <w:lvlText w:val="•"/>
      <w:lvlJc w:val="left"/>
      <w:pPr>
        <w:tabs>
          <w:tab w:val="num" w:pos="5040"/>
        </w:tabs>
        <w:ind w:left="5040" w:hanging="360"/>
      </w:pPr>
      <w:rPr>
        <w:rFonts w:ascii="Times New Roman" w:hAnsi="Times New Roman" w:cs="Times New Roman" w:hint="default"/>
      </w:rPr>
    </w:lvl>
    <w:lvl w:ilvl="7" w:tplc="938E246E">
      <w:start w:val="1"/>
      <w:numFmt w:val="bullet"/>
      <w:lvlText w:val="•"/>
      <w:lvlJc w:val="left"/>
      <w:pPr>
        <w:tabs>
          <w:tab w:val="num" w:pos="5760"/>
        </w:tabs>
        <w:ind w:left="5760" w:hanging="360"/>
      </w:pPr>
      <w:rPr>
        <w:rFonts w:ascii="Times New Roman" w:hAnsi="Times New Roman" w:cs="Times New Roman" w:hint="default"/>
      </w:rPr>
    </w:lvl>
    <w:lvl w:ilvl="8" w:tplc="D7546A4E">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79417616"/>
    <w:multiLevelType w:val="multilevel"/>
    <w:tmpl w:val="FC18D394"/>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7B856BB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12"/>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31"/>
  </w:num>
  <w:num w:numId="4">
    <w:abstractNumId w:val="4"/>
  </w:num>
  <w:num w:numId="5">
    <w:abstractNumId w:val="10"/>
  </w:num>
  <w:num w:numId="6">
    <w:abstractNumId w:val="27"/>
  </w:num>
  <w:num w:numId="7">
    <w:abstractNumId w:val="16"/>
  </w:num>
  <w:num w:numId="8">
    <w:abstractNumId w:val="14"/>
  </w:num>
  <w:num w:numId="9">
    <w:abstractNumId w:val="0"/>
  </w:num>
  <w:num w:numId="10">
    <w:abstractNumId w:val="8"/>
  </w:num>
  <w:num w:numId="11">
    <w:abstractNumId w:val="26"/>
  </w:num>
  <w:num w:numId="12">
    <w:abstractNumId w:val="6"/>
  </w:num>
  <w:num w:numId="13">
    <w:abstractNumId w:val="30"/>
  </w:num>
  <w:num w:numId="14">
    <w:abstractNumId w:val="5"/>
  </w:num>
  <w:num w:numId="15">
    <w:abstractNumId w:val="11"/>
  </w:num>
  <w:num w:numId="16">
    <w:abstractNumId w:val="20"/>
  </w:num>
  <w:num w:numId="17">
    <w:abstractNumId w:val="24"/>
  </w:num>
  <w:num w:numId="18">
    <w:abstractNumId w:val="17"/>
  </w:num>
  <w:num w:numId="19">
    <w:abstractNumId w:val="22"/>
  </w:num>
  <w:num w:numId="20">
    <w:abstractNumId w:val="23"/>
  </w:num>
  <w:num w:numId="21">
    <w:abstractNumId w:val="15"/>
  </w:num>
  <w:num w:numId="22">
    <w:abstractNumId w:val="3"/>
  </w:num>
  <w:num w:numId="23">
    <w:abstractNumId w:val="2"/>
  </w:num>
  <w:num w:numId="24">
    <w:abstractNumId w:val="21"/>
  </w:num>
  <w:num w:numId="25">
    <w:abstractNumId w:val="18"/>
  </w:num>
  <w:num w:numId="26">
    <w:abstractNumId w:val="29"/>
  </w:num>
  <w:num w:numId="27">
    <w:abstractNumId w:val="25"/>
  </w:num>
  <w:num w:numId="28">
    <w:abstractNumId w:val="19"/>
  </w:num>
  <w:num w:numId="29">
    <w:abstractNumId w:val="1"/>
  </w:num>
  <w:num w:numId="30">
    <w:abstractNumId w:val="28"/>
  </w:num>
  <w:num w:numId="31">
    <w:abstractNumId w:val="13"/>
  </w:num>
  <w:num w:numId="3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9D8"/>
    <w:rsid w:val="000012CD"/>
    <w:rsid w:val="00003D47"/>
    <w:rsid w:val="00003E49"/>
    <w:rsid w:val="00011E62"/>
    <w:rsid w:val="0001396D"/>
    <w:rsid w:val="00013E75"/>
    <w:rsid w:val="00016358"/>
    <w:rsid w:val="00021F5D"/>
    <w:rsid w:val="00024336"/>
    <w:rsid w:val="00025A4F"/>
    <w:rsid w:val="00026F7E"/>
    <w:rsid w:val="00030CDC"/>
    <w:rsid w:val="00032515"/>
    <w:rsid w:val="00033409"/>
    <w:rsid w:val="000431DB"/>
    <w:rsid w:val="00043FCC"/>
    <w:rsid w:val="000476EB"/>
    <w:rsid w:val="00056C38"/>
    <w:rsid w:val="00056DDF"/>
    <w:rsid w:val="00060886"/>
    <w:rsid w:val="0007096B"/>
    <w:rsid w:val="000716FB"/>
    <w:rsid w:val="00072016"/>
    <w:rsid w:val="00075A18"/>
    <w:rsid w:val="00091711"/>
    <w:rsid w:val="00092E36"/>
    <w:rsid w:val="0009779D"/>
    <w:rsid w:val="000977BB"/>
    <w:rsid w:val="000A0C41"/>
    <w:rsid w:val="000A6393"/>
    <w:rsid w:val="000B3354"/>
    <w:rsid w:val="000B402E"/>
    <w:rsid w:val="000C1772"/>
    <w:rsid w:val="000C256C"/>
    <w:rsid w:val="000C268E"/>
    <w:rsid w:val="000C2701"/>
    <w:rsid w:val="000C3B30"/>
    <w:rsid w:val="000D1072"/>
    <w:rsid w:val="000D75E4"/>
    <w:rsid w:val="000E7FCD"/>
    <w:rsid w:val="000F24B5"/>
    <w:rsid w:val="00102F48"/>
    <w:rsid w:val="00105961"/>
    <w:rsid w:val="0010780B"/>
    <w:rsid w:val="00107BD1"/>
    <w:rsid w:val="00110A3B"/>
    <w:rsid w:val="00110C54"/>
    <w:rsid w:val="00111E0D"/>
    <w:rsid w:val="00115242"/>
    <w:rsid w:val="0011769A"/>
    <w:rsid w:val="001205D1"/>
    <w:rsid w:val="0012345A"/>
    <w:rsid w:val="00126132"/>
    <w:rsid w:val="00127BC6"/>
    <w:rsid w:val="00130DB4"/>
    <w:rsid w:val="0013344F"/>
    <w:rsid w:val="00133E63"/>
    <w:rsid w:val="0013659E"/>
    <w:rsid w:val="00142425"/>
    <w:rsid w:val="0014674A"/>
    <w:rsid w:val="00146B08"/>
    <w:rsid w:val="00147436"/>
    <w:rsid w:val="001510E3"/>
    <w:rsid w:val="001539B3"/>
    <w:rsid w:val="001608E0"/>
    <w:rsid w:val="00163240"/>
    <w:rsid w:val="001637EA"/>
    <w:rsid w:val="00165F60"/>
    <w:rsid w:val="00171296"/>
    <w:rsid w:val="00172875"/>
    <w:rsid w:val="00174E53"/>
    <w:rsid w:val="00176D63"/>
    <w:rsid w:val="00183E9E"/>
    <w:rsid w:val="00184127"/>
    <w:rsid w:val="001845D0"/>
    <w:rsid w:val="00185364"/>
    <w:rsid w:val="00185F6F"/>
    <w:rsid w:val="00186146"/>
    <w:rsid w:val="00187815"/>
    <w:rsid w:val="00190268"/>
    <w:rsid w:val="001931C7"/>
    <w:rsid w:val="00196E98"/>
    <w:rsid w:val="00197611"/>
    <w:rsid w:val="001A1A8C"/>
    <w:rsid w:val="001A2DD9"/>
    <w:rsid w:val="001A3D0E"/>
    <w:rsid w:val="001A5C79"/>
    <w:rsid w:val="001A5FC5"/>
    <w:rsid w:val="001A7719"/>
    <w:rsid w:val="001B368A"/>
    <w:rsid w:val="001B4A52"/>
    <w:rsid w:val="001B5F91"/>
    <w:rsid w:val="001C20E2"/>
    <w:rsid w:val="001C5F48"/>
    <w:rsid w:val="001C68AF"/>
    <w:rsid w:val="001C7A50"/>
    <w:rsid w:val="001D247E"/>
    <w:rsid w:val="001D59AF"/>
    <w:rsid w:val="001D708D"/>
    <w:rsid w:val="001E18EB"/>
    <w:rsid w:val="001E6030"/>
    <w:rsid w:val="001E62C3"/>
    <w:rsid w:val="001E7215"/>
    <w:rsid w:val="001F07B7"/>
    <w:rsid w:val="001F08C5"/>
    <w:rsid w:val="001F2AD5"/>
    <w:rsid w:val="001F2EF1"/>
    <w:rsid w:val="001F53AA"/>
    <w:rsid w:val="001F54E0"/>
    <w:rsid w:val="00200188"/>
    <w:rsid w:val="00206883"/>
    <w:rsid w:val="0021171F"/>
    <w:rsid w:val="00213EB0"/>
    <w:rsid w:val="00216DC1"/>
    <w:rsid w:val="00217077"/>
    <w:rsid w:val="002174F7"/>
    <w:rsid w:val="002264BA"/>
    <w:rsid w:val="0022770E"/>
    <w:rsid w:val="002317F1"/>
    <w:rsid w:val="0023497F"/>
    <w:rsid w:val="00240E27"/>
    <w:rsid w:val="0024232A"/>
    <w:rsid w:val="002501AC"/>
    <w:rsid w:val="00253C55"/>
    <w:rsid w:val="00254DFD"/>
    <w:rsid w:val="00257E6A"/>
    <w:rsid w:val="00260128"/>
    <w:rsid w:val="00261917"/>
    <w:rsid w:val="00261F02"/>
    <w:rsid w:val="002632F0"/>
    <w:rsid w:val="0027261C"/>
    <w:rsid w:val="002802B8"/>
    <w:rsid w:val="002845D1"/>
    <w:rsid w:val="00286E0F"/>
    <w:rsid w:val="00295374"/>
    <w:rsid w:val="00296B60"/>
    <w:rsid w:val="00297306"/>
    <w:rsid w:val="002A341B"/>
    <w:rsid w:val="002A4BC0"/>
    <w:rsid w:val="002A7D7F"/>
    <w:rsid w:val="002B3131"/>
    <w:rsid w:val="002B4BE8"/>
    <w:rsid w:val="002C0287"/>
    <w:rsid w:val="002D247F"/>
    <w:rsid w:val="002D25E1"/>
    <w:rsid w:val="002D2861"/>
    <w:rsid w:val="002D2FB9"/>
    <w:rsid w:val="002D3EDC"/>
    <w:rsid w:val="002D77D6"/>
    <w:rsid w:val="002D78F5"/>
    <w:rsid w:val="002D7993"/>
    <w:rsid w:val="002E0692"/>
    <w:rsid w:val="002E151B"/>
    <w:rsid w:val="002E1521"/>
    <w:rsid w:val="002F25D0"/>
    <w:rsid w:val="002F5711"/>
    <w:rsid w:val="002F73DF"/>
    <w:rsid w:val="002F7612"/>
    <w:rsid w:val="00302A3A"/>
    <w:rsid w:val="00303AF4"/>
    <w:rsid w:val="00310E95"/>
    <w:rsid w:val="00313D72"/>
    <w:rsid w:val="0031401B"/>
    <w:rsid w:val="00314509"/>
    <w:rsid w:val="003147CB"/>
    <w:rsid w:val="00326E1B"/>
    <w:rsid w:val="00330970"/>
    <w:rsid w:val="00331CEC"/>
    <w:rsid w:val="0033425D"/>
    <w:rsid w:val="003345F4"/>
    <w:rsid w:val="0033514D"/>
    <w:rsid w:val="00336BAF"/>
    <w:rsid w:val="0033780E"/>
    <w:rsid w:val="003404C6"/>
    <w:rsid w:val="00343207"/>
    <w:rsid w:val="00344083"/>
    <w:rsid w:val="0034657E"/>
    <w:rsid w:val="00346A52"/>
    <w:rsid w:val="00347396"/>
    <w:rsid w:val="00351C32"/>
    <w:rsid w:val="00355310"/>
    <w:rsid w:val="003555BB"/>
    <w:rsid w:val="003574D9"/>
    <w:rsid w:val="00360AE1"/>
    <w:rsid w:val="00361327"/>
    <w:rsid w:val="00370513"/>
    <w:rsid w:val="0037107E"/>
    <w:rsid w:val="00381ACD"/>
    <w:rsid w:val="00381B15"/>
    <w:rsid w:val="00383ABD"/>
    <w:rsid w:val="003858EF"/>
    <w:rsid w:val="0039044B"/>
    <w:rsid w:val="00390DCB"/>
    <w:rsid w:val="00395D09"/>
    <w:rsid w:val="00397C7C"/>
    <w:rsid w:val="003A3945"/>
    <w:rsid w:val="003B23CD"/>
    <w:rsid w:val="003B3BB3"/>
    <w:rsid w:val="003C167B"/>
    <w:rsid w:val="003C1803"/>
    <w:rsid w:val="003C26D5"/>
    <w:rsid w:val="003C79E9"/>
    <w:rsid w:val="003D16DB"/>
    <w:rsid w:val="003D1FB3"/>
    <w:rsid w:val="003D28B3"/>
    <w:rsid w:val="003D3F5A"/>
    <w:rsid w:val="003D6E07"/>
    <w:rsid w:val="003E5AAE"/>
    <w:rsid w:val="003F0867"/>
    <w:rsid w:val="003F0F39"/>
    <w:rsid w:val="004201EA"/>
    <w:rsid w:val="00420849"/>
    <w:rsid w:val="00420B80"/>
    <w:rsid w:val="004226A7"/>
    <w:rsid w:val="00427F8B"/>
    <w:rsid w:val="00437229"/>
    <w:rsid w:val="004373BC"/>
    <w:rsid w:val="004507CF"/>
    <w:rsid w:val="00456B27"/>
    <w:rsid w:val="00457770"/>
    <w:rsid w:val="00460F18"/>
    <w:rsid w:val="00461073"/>
    <w:rsid w:val="00461E5F"/>
    <w:rsid w:val="00461F2F"/>
    <w:rsid w:val="004629BF"/>
    <w:rsid w:val="004630D4"/>
    <w:rsid w:val="00463311"/>
    <w:rsid w:val="004663D0"/>
    <w:rsid w:val="004832FF"/>
    <w:rsid w:val="00485C2C"/>
    <w:rsid w:val="004872E1"/>
    <w:rsid w:val="004915BC"/>
    <w:rsid w:val="00491679"/>
    <w:rsid w:val="00492509"/>
    <w:rsid w:val="0049441C"/>
    <w:rsid w:val="004944F8"/>
    <w:rsid w:val="00494B13"/>
    <w:rsid w:val="004954CF"/>
    <w:rsid w:val="00497C60"/>
    <w:rsid w:val="004A013E"/>
    <w:rsid w:val="004A28BE"/>
    <w:rsid w:val="004A317B"/>
    <w:rsid w:val="004A486D"/>
    <w:rsid w:val="004A675B"/>
    <w:rsid w:val="004A7BA0"/>
    <w:rsid w:val="004B075D"/>
    <w:rsid w:val="004B191E"/>
    <w:rsid w:val="004B42BF"/>
    <w:rsid w:val="004C13B7"/>
    <w:rsid w:val="004C4B61"/>
    <w:rsid w:val="004C52A5"/>
    <w:rsid w:val="004C5F96"/>
    <w:rsid w:val="004D063E"/>
    <w:rsid w:val="004D140E"/>
    <w:rsid w:val="004E08F3"/>
    <w:rsid w:val="004E3467"/>
    <w:rsid w:val="004E36BF"/>
    <w:rsid w:val="004E49B8"/>
    <w:rsid w:val="004E5A40"/>
    <w:rsid w:val="004E7761"/>
    <w:rsid w:val="004F1A9E"/>
    <w:rsid w:val="004F71C2"/>
    <w:rsid w:val="0050224E"/>
    <w:rsid w:val="00506B42"/>
    <w:rsid w:val="00507F06"/>
    <w:rsid w:val="00510584"/>
    <w:rsid w:val="005115DD"/>
    <w:rsid w:val="00512058"/>
    <w:rsid w:val="005168CE"/>
    <w:rsid w:val="00517637"/>
    <w:rsid w:val="00520183"/>
    <w:rsid w:val="00521475"/>
    <w:rsid w:val="00521EF6"/>
    <w:rsid w:val="00523281"/>
    <w:rsid w:val="00541736"/>
    <w:rsid w:val="00541D0C"/>
    <w:rsid w:val="00542873"/>
    <w:rsid w:val="005518A1"/>
    <w:rsid w:val="005519B6"/>
    <w:rsid w:val="00553266"/>
    <w:rsid w:val="005579D8"/>
    <w:rsid w:val="00563C94"/>
    <w:rsid w:val="00571296"/>
    <w:rsid w:val="005736FF"/>
    <w:rsid w:val="00574B04"/>
    <w:rsid w:val="00581854"/>
    <w:rsid w:val="00582994"/>
    <w:rsid w:val="00582E37"/>
    <w:rsid w:val="005867D7"/>
    <w:rsid w:val="00593FCD"/>
    <w:rsid w:val="005969EE"/>
    <w:rsid w:val="00596D54"/>
    <w:rsid w:val="005A00E7"/>
    <w:rsid w:val="005A3FBD"/>
    <w:rsid w:val="005A48D4"/>
    <w:rsid w:val="005A7777"/>
    <w:rsid w:val="005B1281"/>
    <w:rsid w:val="005B7FD9"/>
    <w:rsid w:val="005C4480"/>
    <w:rsid w:val="005C6EBF"/>
    <w:rsid w:val="005D2AD1"/>
    <w:rsid w:val="005D6C4A"/>
    <w:rsid w:val="005E5238"/>
    <w:rsid w:val="005E7025"/>
    <w:rsid w:val="00601026"/>
    <w:rsid w:val="006012F8"/>
    <w:rsid w:val="00601FB8"/>
    <w:rsid w:val="00607318"/>
    <w:rsid w:val="006110D4"/>
    <w:rsid w:val="00612CC4"/>
    <w:rsid w:val="00617E5A"/>
    <w:rsid w:val="00622A66"/>
    <w:rsid w:val="00622F13"/>
    <w:rsid w:val="006236AD"/>
    <w:rsid w:val="006244B7"/>
    <w:rsid w:val="00626DB4"/>
    <w:rsid w:val="0063125D"/>
    <w:rsid w:val="00633CBB"/>
    <w:rsid w:val="00644FC6"/>
    <w:rsid w:val="00651926"/>
    <w:rsid w:val="0065283B"/>
    <w:rsid w:val="00652FE1"/>
    <w:rsid w:val="00660356"/>
    <w:rsid w:val="006622C0"/>
    <w:rsid w:val="00663EE9"/>
    <w:rsid w:val="00667C46"/>
    <w:rsid w:val="00670A92"/>
    <w:rsid w:val="00675366"/>
    <w:rsid w:val="00675728"/>
    <w:rsid w:val="00675F7A"/>
    <w:rsid w:val="006775B5"/>
    <w:rsid w:val="00684C7B"/>
    <w:rsid w:val="006861AE"/>
    <w:rsid w:val="00687A45"/>
    <w:rsid w:val="00697B0F"/>
    <w:rsid w:val="00697E29"/>
    <w:rsid w:val="006A499E"/>
    <w:rsid w:val="006B0554"/>
    <w:rsid w:val="006B6849"/>
    <w:rsid w:val="006B70F3"/>
    <w:rsid w:val="006B72D4"/>
    <w:rsid w:val="006C0D15"/>
    <w:rsid w:val="006C13B5"/>
    <w:rsid w:val="006C2150"/>
    <w:rsid w:val="006C7A96"/>
    <w:rsid w:val="006D0ED8"/>
    <w:rsid w:val="006D28B7"/>
    <w:rsid w:val="006E1276"/>
    <w:rsid w:val="006E5CCC"/>
    <w:rsid w:val="006F24DA"/>
    <w:rsid w:val="006F254E"/>
    <w:rsid w:val="006F2ED4"/>
    <w:rsid w:val="006F4864"/>
    <w:rsid w:val="006F6193"/>
    <w:rsid w:val="00701669"/>
    <w:rsid w:val="007020DD"/>
    <w:rsid w:val="00706391"/>
    <w:rsid w:val="007118D7"/>
    <w:rsid w:val="00717360"/>
    <w:rsid w:val="00717948"/>
    <w:rsid w:val="007179BA"/>
    <w:rsid w:val="007206FF"/>
    <w:rsid w:val="00721167"/>
    <w:rsid w:val="00725471"/>
    <w:rsid w:val="007254B6"/>
    <w:rsid w:val="00726B45"/>
    <w:rsid w:val="007355B2"/>
    <w:rsid w:val="00735DA2"/>
    <w:rsid w:val="0073605B"/>
    <w:rsid w:val="007373D9"/>
    <w:rsid w:val="00742BF9"/>
    <w:rsid w:val="007440EA"/>
    <w:rsid w:val="0074479A"/>
    <w:rsid w:val="00746A49"/>
    <w:rsid w:val="00751911"/>
    <w:rsid w:val="0075680D"/>
    <w:rsid w:val="007634CB"/>
    <w:rsid w:val="0077105B"/>
    <w:rsid w:val="00773C61"/>
    <w:rsid w:val="00783DB3"/>
    <w:rsid w:val="00785D17"/>
    <w:rsid w:val="00786578"/>
    <w:rsid w:val="00786998"/>
    <w:rsid w:val="0079479D"/>
    <w:rsid w:val="00794BD6"/>
    <w:rsid w:val="0079605C"/>
    <w:rsid w:val="007A6F54"/>
    <w:rsid w:val="007A7A94"/>
    <w:rsid w:val="007B1D86"/>
    <w:rsid w:val="007B76C2"/>
    <w:rsid w:val="007C1A22"/>
    <w:rsid w:val="007D18A0"/>
    <w:rsid w:val="007D331D"/>
    <w:rsid w:val="007E24BC"/>
    <w:rsid w:val="007E433D"/>
    <w:rsid w:val="007F1741"/>
    <w:rsid w:val="00801F06"/>
    <w:rsid w:val="0080477B"/>
    <w:rsid w:val="0081036D"/>
    <w:rsid w:val="0081512A"/>
    <w:rsid w:val="008226C2"/>
    <w:rsid w:val="0082556F"/>
    <w:rsid w:val="00826AE1"/>
    <w:rsid w:val="00830302"/>
    <w:rsid w:val="00835D95"/>
    <w:rsid w:val="0084336E"/>
    <w:rsid w:val="00843386"/>
    <w:rsid w:val="00847445"/>
    <w:rsid w:val="0085049D"/>
    <w:rsid w:val="0085179B"/>
    <w:rsid w:val="00852A22"/>
    <w:rsid w:val="00857037"/>
    <w:rsid w:val="0086116D"/>
    <w:rsid w:val="0086145B"/>
    <w:rsid w:val="00861C6B"/>
    <w:rsid w:val="00875452"/>
    <w:rsid w:val="00876CB2"/>
    <w:rsid w:val="0088043A"/>
    <w:rsid w:val="008A1F31"/>
    <w:rsid w:val="008A22A5"/>
    <w:rsid w:val="008A3AA9"/>
    <w:rsid w:val="008B0728"/>
    <w:rsid w:val="008B334D"/>
    <w:rsid w:val="008B526C"/>
    <w:rsid w:val="008B6A2C"/>
    <w:rsid w:val="008C5D67"/>
    <w:rsid w:val="008D7378"/>
    <w:rsid w:val="008D7EAF"/>
    <w:rsid w:val="008E162B"/>
    <w:rsid w:val="008E3D68"/>
    <w:rsid w:val="008E48D3"/>
    <w:rsid w:val="008E5036"/>
    <w:rsid w:val="008E6396"/>
    <w:rsid w:val="008E6FAB"/>
    <w:rsid w:val="008F2DA3"/>
    <w:rsid w:val="008F3A87"/>
    <w:rsid w:val="00901027"/>
    <w:rsid w:val="00901C73"/>
    <w:rsid w:val="009024B5"/>
    <w:rsid w:val="00902961"/>
    <w:rsid w:val="00904456"/>
    <w:rsid w:val="0090510B"/>
    <w:rsid w:val="0090581A"/>
    <w:rsid w:val="009116ED"/>
    <w:rsid w:val="00911B2F"/>
    <w:rsid w:val="00911E4F"/>
    <w:rsid w:val="00912B95"/>
    <w:rsid w:val="00913890"/>
    <w:rsid w:val="00913BAB"/>
    <w:rsid w:val="00916333"/>
    <w:rsid w:val="009202B6"/>
    <w:rsid w:val="009211C8"/>
    <w:rsid w:val="009242CF"/>
    <w:rsid w:val="009244F5"/>
    <w:rsid w:val="00926AA3"/>
    <w:rsid w:val="00930C88"/>
    <w:rsid w:val="00931448"/>
    <w:rsid w:val="00932F5A"/>
    <w:rsid w:val="00936F11"/>
    <w:rsid w:val="00937DC3"/>
    <w:rsid w:val="009424D7"/>
    <w:rsid w:val="00944AB1"/>
    <w:rsid w:val="009472F9"/>
    <w:rsid w:val="00947BC6"/>
    <w:rsid w:val="0095387F"/>
    <w:rsid w:val="009544FE"/>
    <w:rsid w:val="00955434"/>
    <w:rsid w:val="00957E26"/>
    <w:rsid w:val="0096422A"/>
    <w:rsid w:val="00964753"/>
    <w:rsid w:val="009650C4"/>
    <w:rsid w:val="00972199"/>
    <w:rsid w:val="00976CF8"/>
    <w:rsid w:val="00982A86"/>
    <w:rsid w:val="00984609"/>
    <w:rsid w:val="00984B63"/>
    <w:rsid w:val="009857E5"/>
    <w:rsid w:val="00992F2B"/>
    <w:rsid w:val="00996675"/>
    <w:rsid w:val="009A0DFB"/>
    <w:rsid w:val="009A48CF"/>
    <w:rsid w:val="009A5680"/>
    <w:rsid w:val="009A5AF7"/>
    <w:rsid w:val="009A759A"/>
    <w:rsid w:val="009C40AF"/>
    <w:rsid w:val="009C7D50"/>
    <w:rsid w:val="009D2AA8"/>
    <w:rsid w:val="009D34AF"/>
    <w:rsid w:val="009D4755"/>
    <w:rsid w:val="009D64A0"/>
    <w:rsid w:val="009D6E09"/>
    <w:rsid w:val="009E1529"/>
    <w:rsid w:val="009E1CE4"/>
    <w:rsid w:val="009E27A3"/>
    <w:rsid w:val="009E28C5"/>
    <w:rsid w:val="009E522C"/>
    <w:rsid w:val="009E618D"/>
    <w:rsid w:val="009E72CB"/>
    <w:rsid w:val="009F067C"/>
    <w:rsid w:val="009F0C2F"/>
    <w:rsid w:val="009F474B"/>
    <w:rsid w:val="00A05EB5"/>
    <w:rsid w:val="00A1042E"/>
    <w:rsid w:val="00A10E69"/>
    <w:rsid w:val="00A16A84"/>
    <w:rsid w:val="00A21C5B"/>
    <w:rsid w:val="00A2584E"/>
    <w:rsid w:val="00A26355"/>
    <w:rsid w:val="00A35310"/>
    <w:rsid w:val="00A41639"/>
    <w:rsid w:val="00A45CD8"/>
    <w:rsid w:val="00A463D8"/>
    <w:rsid w:val="00A46790"/>
    <w:rsid w:val="00A557C5"/>
    <w:rsid w:val="00A559FC"/>
    <w:rsid w:val="00A6319E"/>
    <w:rsid w:val="00A6767E"/>
    <w:rsid w:val="00A73646"/>
    <w:rsid w:val="00A7602A"/>
    <w:rsid w:val="00A76645"/>
    <w:rsid w:val="00A773B4"/>
    <w:rsid w:val="00A816D7"/>
    <w:rsid w:val="00A856D4"/>
    <w:rsid w:val="00A85B5E"/>
    <w:rsid w:val="00A90A5D"/>
    <w:rsid w:val="00AA61E0"/>
    <w:rsid w:val="00AB0952"/>
    <w:rsid w:val="00AB203A"/>
    <w:rsid w:val="00AB401D"/>
    <w:rsid w:val="00AB4C4B"/>
    <w:rsid w:val="00AB66E8"/>
    <w:rsid w:val="00AB66EF"/>
    <w:rsid w:val="00AC10B4"/>
    <w:rsid w:val="00AC16B8"/>
    <w:rsid w:val="00AC1AFF"/>
    <w:rsid w:val="00AD5D4C"/>
    <w:rsid w:val="00AD6CA7"/>
    <w:rsid w:val="00AE63BE"/>
    <w:rsid w:val="00AE670C"/>
    <w:rsid w:val="00AE6BFB"/>
    <w:rsid w:val="00AF17F5"/>
    <w:rsid w:val="00AF1CAE"/>
    <w:rsid w:val="00AF278D"/>
    <w:rsid w:val="00B040F2"/>
    <w:rsid w:val="00B0410A"/>
    <w:rsid w:val="00B11720"/>
    <w:rsid w:val="00B11E75"/>
    <w:rsid w:val="00B171D2"/>
    <w:rsid w:val="00B17B39"/>
    <w:rsid w:val="00B32D7B"/>
    <w:rsid w:val="00B33808"/>
    <w:rsid w:val="00B34C73"/>
    <w:rsid w:val="00B426E7"/>
    <w:rsid w:val="00B43DA0"/>
    <w:rsid w:val="00B541DE"/>
    <w:rsid w:val="00B6176F"/>
    <w:rsid w:val="00B61DF3"/>
    <w:rsid w:val="00B622AD"/>
    <w:rsid w:val="00B63C31"/>
    <w:rsid w:val="00B65FC2"/>
    <w:rsid w:val="00B74727"/>
    <w:rsid w:val="00B853CC"/>
    <w:rsid w:val="00B87386"/>
    <w:rsid w:val="00B9115E"/>
    <w:rsid w:val="00B924A1"/>
    <w:rsid w:val="00B929F9"/>
    <w:rsid w:val="00B93033"/>
    <w:rsid w:val="00BA0EDE"/>
    <w:rsid w:val="00BA1D34"/>
    <w:rsid w:val="00BA24EF"/>
    <w:rsid w:val="00BA30A9"/>
    <w:rsid w:val="00BA4C89"/>
    <w:rsid w:val="00BA4F87"/>
    <w:rsid w:val="00BA53CF"/>
    <w:rsid w:val="00BA7197"/>
    <w:rsid w:val="00BB37AE"/>
    <w:rsid w:val="00BB508A"/>
    <w:rsid w:val="00BC454C"/>
    <w:rsid w:val="00BC6756"/>
    <w:rsid w:val="00BD4126"/>
    <w:rsid w:val="00BE08D2"/>
    <w:rsid w:val="00BE4FBD"/>
    <w:rsid w:val="00BF40AA"/>
    <w:rsid w:val="00C03C7C"/>
    <w:rsid w:val="00C045D0"/>
    <w:rsid w:val="00C059B3"/>
    <w:rsid w:val="00C05E5D"/>
    <w:rsid w:val="00C15FBA"/>
    <w:rsid w:val="00C218B7"/>
    <w:rsid w:val="00C2286A"/>
    <w:rsid w:val="00C26E96"/>
    <w:rsid w:val="00C3048A"/>
    <w:rsid w:val="00C30BF2"/>
    <w:rsid w:val="00C41337"/>
    <w:rsid w:val="00C45CD8"/>
    <w:rsid w:val="00C4688C"/>
    <w:rsid w:val="00C47E15"/>
    <w:rsid w:val="00C52743"/>
    <w:rsid w:val="00C52B70"/>
    <w:rsid w:val="00C5568C"/>
    <w:rsid w:val="00C63666"/>
    <w:rsid w:val="00C660BE"/>
    <w:rsid w:val="00C71CA8"/>
    <w:rsid w:val="00C734F1"/>
    <w:rsid w:val="00C7737D"/>
    <w:rsid w:val="00C77AE3"/>
    <w:rsid w:val="00C80B3F"/>
    <w:rsid w:val="00C82C01"/>
    <w:rsid w:val="00C83DA7"/>
    <w:rsid w:val="00C910B1"/>
    <w:rsid w:val="00C91755"/>
    <w:rsid w:val="00C95073"/>
    <w:rsid w:val="00CA1BE3"/>
    <w:rsid w:val="00CA5C17"/>
    <w:rsid w:val="00CA5F7A"/>
    <w:rsid w:val="00CB2527"/>
    <w:rsid w:val="00CB7626"/>
    <w:rsid w:val="00CC0284"/>
    <w:rsid w:val="00CC065A"/>
    <w:rsid w:val="00CC0955"/>
    <w:rsid w:val="00CC14FF"/>
    <w:rsid w:val="00CC2E52"/>
    <w:rsid w:val="00CD520B"/>
    <w:rsid w:val="00CD7625"/>
    <w:rsid w:val="00CD7A4A"/>
    <w:rsid w:val="00CE192A"/>
    <w:rsid w:val="00CE4BBB"/>
    <w:rsid w:val="00CE79DE"/>
    <w:rsid w:val="00D012F9"/>
    <w:rsid w:val="00D024BE"/>
    <w:rsid w:val="00D06A5F"/>
    <w:rsid w:val="00D06C55"/>
    <w:rsid w:val="00D142DC"/>
    <w:rsid w:val="00D20CA7"/>
    <w:rsid w:val="00D21C43"/>
    <w:rsid w:val="00D3749E"/>
    <w:rsid w:val="00D423DD"/>
    <w:rsid w:val="00D4453B"/>
    <w:rsid w:val="00D456B7"/>
    <w:rsid w:val="00D50A97"/>
    <w:rsid w:val="00D54AD9"/>
    <w:rsid w:val="00D62EA1"/>
    <w:rsid w:val="00D657D6"/>
    <w:rsid w:val="00D6719B"/>
    <w:rsid w:val="00D700A6"/>
    <w:rsid w:val="00D7329F"/>
    <w:rsid w:val="00D81F83"/>
    <w:rsid w:val="00D82A0C"/>
    <w:rsid w:val="00D838E2"/>
    <w:rsid w:val="00D874FA"/>
    <w:rsid w:val="00D93400"/>
    <w:rsid w:val="00D94271"/>
    <w:rsid w:val="00D964A6"/>
    <w:rsid w:val="00DA08A2"/>
    <w:rsid w:val="00DA1775"/>
    <w:rsid w:val="00DA279C"/>
    <w:rsid w:val="00DA417F"/>
    <w:rsid w:val="00DA4659"/>
    <w:rsid w:val="00DA5017"/>
    <w:rsid w:val="00DB230B"/>
    <w:rsid w:val="00DB2AEA"/>
    <w:rsid w:val="00DB2F59"/>
    <w:rsid w:val="00DC0703"/>
    <w:rsid w:val="00DD415B"/>
    <w:rsid w:val="00DD644A"/>
    <w:rsid w:val="00DE0673"/>
    <w:rsid w:val="00DE0956"/>
    <w:rsid w:val="00DE44E5"/>
    <w:rsid w:val="00DE7A0A"/>
    <w:rsid w:val="00DF046A"/>
    <w:rsid w:val="00DF0524"/>
    <w:rsid w:val="00DF0E87"/>
    <w:rsid w:val="00DF264F"/>
    <w:rsid w:val="00DF278D"/>
    <w:rsid w:val="00E04172"/>
    <w:rsid w:val="00E05672"/>
    <w:rsid w:val="00E2541B"/>
    <w:rsid w:val="00E321A5"/>
    <w:rsid w:val="00E32C2B"/>
    <w:rsid w:val="00E33D0A"/>
    <w:rsid w:val="00E41FDE"/>
    <w:rsid w:val="00E432F6"/>
    <w:rsid w:val="00E44D4F"/>
    <w:rsid w:val="00E46E73"/>
    <w:rsid w:val="00E47379"/>
    <w:rsid w:val="00E5118D"/>
    <w:rsid w:val="00E5640F"/>
    <w:rsid w:val="00E57228"/>
    <w:rsid w:val="00E57E6A"/>
    <w:rsid w:val="00E60F3C"/>
    <w:rsid w:val="00E63260"/>
    <w:rsid w:val="00E67344"/>
    <w:rsid w:val="00E677C1"/>
    <w:rsid w:val="00E7132A"/>
    <w:rsid w:val="00E7184D"/>
    <w:rsid w:val="00E72808"/>
    <w:rsid w:val="00E73743"/>
    <w:rsid w:val="00E738BF"/>
    <w:rsid w:val="00E813F3"/>
    <w:rsid w:val="00E84C74"/>
    <w:rsid w:val="00E90D81"/>
    <w:rsid w:val="00E914CA"/>
    <w:rsid w:val="00E929B1"/>
    <w:rsid w:val="00E96EC0"/>
    <w:rsid w:val="00EA0E4F"/>
    <w:rsid w:val="00EA21B6"/>
    <w:rsid w:val="00EA3C0D"/>
    <w:rsid w:val="00EA7023"/>
    <w:rsid w:val="00EB2734"/>
    <w:rsid w:val="00EB3C3E"/>
    <w:rsid w:val="00EB72FC"/>
    <w:rsid w:val="00EC1A3A"/>
    <w:rsid w:val="00EC37CA"/>
    <w:rsid w:val="00EC5264"/>
    <w:rsid w:val="00ED0809"/>
    <w:rsid w:val="00ED0DEB"/>
    <w:rsid w:val="00ED448C"/>
    <w:rsid w:val="00ED6B4A"/>
    <w:rsid w:val="00EE244D"/>
    <w:rsid w:val="00EE4435"/>
    <w:rsid w:val="00EF051F"/>
    <w:rsid w:val="00EF07D5"/>
    <w:rsid w:val="00EF0E75"/>
    <w:rsid w:val="00EF558F"/>
    <w:rsid w:val="00EF5B7D"/>
    <w:rsid w:val="00F04A51"/>
    <w:rsid w:val="00F07F77"/>
    <w:rsid w:val="00F137B1"/>
    <w:rsid w:val="00F1636C"/>
    <w:rsid w:val="00F2625E"/>
    <w:rsid w:val="00F31C3D"/>
    <w:rsid w:val="00F372B4"/>
    <w:rsid w:val="00F42A05"/>
    <w:rsid w:val="00F434CD"/>
    <w:rsid w:val="00F46E07"/>
    <w:rsid w:val="00F53EE0"/>
    <w:rsid w:val="00F64C58"/>
    <w:rsid w:val="00F75235"/>
    <w:rsid w:val="00F760BE"/>
    <w:rsid w:val="00F8050E"/>
    <w:rsid w:val="00F80F6F"/>
    <w:rsid w:val="00F916AB"/>
    <w:rsid w:val="00F929E2"/>
    <w:rsid w:val="00F951A0"/>
    <w:rsid w:val="00FA0DCA"/>
    <w:rsid w:val="00FA7F68"/>
    <w:rsid w:val="00FB300E"/>
    <w:rsid w:val="00FB6C79"/>
    <w:rsid w:val="00FC0BBF"/>
    <w:rsid w:val="00FC1438"/>
    <w:rsid w:val="00FC29FA"/>
    <w:rsid w:val="00FC3203"/>
    <w:rsid w:val="00FC59D9"/>
    <w:rsid w:val="00FC60BB"/>
    <w:rsid w:val="00FD2275"/>
    <w:rsid w:val="00FD37B0"/>
    <w:rsid w:val="00FD5C08"/>
    <w:rsid w:val="00FE26C5"/>
    <w:rsid w:val="00FE5081"/>
    <w:rsid w:val="00FF6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49B446"/>
  <w15:docId w15:val="{B60DB12C-3921-4E70-9743-5F71F6D5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7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4336"/>
    <w:pPr>
      <w:tabs>
        <w:tab w:val="center" w:pos="4153"/>
        <w:tab w:val="right" w:pos="8306"/>
      </w:tabs>
    </w:pPr>
  </w:style>
  <w:style w:type="character" w:customStyle="1" w:styleId="HeaderChar">
    <w:name w:val="Header Char"/>
    <w:basedOn w:val="DefaultParagraphFont"/>
    <w:link w:val="Header"/>
    <w:uiPriority w:val="99"/>
    <w:semiHidden/>
    <w:locked/>
    <w:rsid w:val="0033425D"/>
    <w:rPr>
      <w:rFonts w:ascii="Arial" w:hAnsi="Arial" w:cs="Times New Roman"/>
      <w:sz w:val="24"/>
      <w:szCs w:val="24"/>
    </w:rPr>
  </w:style>
  <w:style w:type="paragraph" w:styleId="Footer">
    <w:name w:val="footer"/>
    <w:basedOn w:val="Normal"/>
    <w:link w:val="FooterChar"/>
    <w:uiPriority w:val="99"/>
    <w:rsid w:val="00024336"/>
    <w:pPr>
      <w:tabs>
        <w:tab w:val="center" w:pos="4153"/>
        <w:tab w:val="right" w:pos="8306"/>
      </w:tabs>
    </w:pPr>
  </w:style>
  <w:style w:type="character" w:customStyle="1" w:styleId="FooterChar">
    <w:name w:val="Footer Char"/>
    <w:basedOn w:val="DefaultParagraphFont"/>
    <w:link w:val="Footer"/>
    <w:uiPriority w:val="99"/>
    <w:locked/>
    <w:rsid w:val="0033425D"/>
    <w:rPr>
      <w:rFonts w:ascii="Arial" w:hAnsi="Arial" w:cs="Times New Roman"/>
      <w:sz w:val="24"/>
      <w:szCs w:val="24"/>
    </w:rPr>
  </w:style>
  <w:style w:type="paragraph" w:styleId="BalloonText">
    <w:name w:val="Balloon Text"/>
    <w:basedOn w:val="Normal"/>
    <w:link w:val="BalloonTextChar"/>
    <w:uiPriority w:val="99"/>
    <w:semiHidden/>
    <w:rsid w:val="000243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425D"/>
    <w:rPr>
      <w:rFonts w:cs="Times New Roman"/>
      <w:sz w:val="2"/>
    </w:rPr>
  </w:style>
  <w:style w:type="table" w:styleId="TableGrid">
    <w:name w:val="Table Grid"/>
    <w:basedOn w:val="TableNormal"/>
    <w:uiPriority w:val="99"/>
    <w:rsid w:val="0091633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929B1"/>
    <w:rPr>
      <w:rFonts w:cs="Times New Roman"/>
    </w:rPr>
  </w:style>
  <w:style w:type="character" w:styleId="Hyperlink">
    <w:name w:val="Hyperlink"/>
    <w:basedOn w:val="DefaultParagraphFont"/>
    <w:uiPriority w:val="99"/>
    <w:rsid w:val="00456B27"/>
    <w:rPr>
      <w:rFonts w:cs="Times New Roman"/>
      <w:color w:val="0000FF"/>
      <w:u w:val="single"/>
    </w:rPr>
  </w:style>
  <w:style w:type="paragraph" w:customStyle="1" w:styleId="DeptOutNumbered">
    <w:name w:val="DeptOutNumbered"/>
    <w:basedOn w:val="Normal"/>
    <w:uiPriority w:val="99"/>
    <w:rsid w:val="00B924A1"/>
    <w:pPr>
      <w:widowControl w:val="0"/>
      <w:numPr>
        <w:numId w:val="1"/>
      </w:numPr>
      <w:overflowPunct w:val="0"/>
      <w:autoSpaceDE w:val="0"/>
      <w:autoSpaceDN w:val="0"/>
      <w:adjustRightInd w:val="0"/>
      <w:spacing w:after="240"/>
      <w:textAlignment w:val="baseline"/>
    </w:pPr>
    <w:rPr>
      <w:szCs w:val="20"/>
      <w:lang w:eastAsia="en-US"/>
    </w:rPr>
  </w:style>
  <w:style w:type="character" w:customStyle="1" w:styleId="EmailStyle25">
    <w:name w:val="EmailStyle25"/>
    <w:basedOn w:val="DefaultParagraphFont"/>
    <w:uiPriority w:val="99"/>
    <w:semiHidden/>
    <w:rsid w:val="006236AD"/>
    <w:rPr>
      <w:rFonts w:ascii="Arial" w:hAnsi="Arial" w:cs="Arial"/>
      <w:color w:val="auto"/>
      <w:sz w:val="20"/>
      <w:szCs w:val="20"/>
    </w:rPr>
  </w:style>
  <w:style w:type="paragraph" w:styleId="BodyTextIndent">
    <w:name w:val="Body Text Indent"/>
    <w:basedOn w:val="Normal"/>
    <w:link w:val="BodyTextIndentChar"/>
    <w:uiPriority w:val="99"/>
    <w:rsid w:val="00056DDF"/>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uiPriority w:val="99"/>
    <w:semiHidden/>
    <w:locked/>
    <w:rsid w:val="0033425D"/>
    <w:rPr>
      <w:rFonts w:ascii="Arial" w:hAnsi="Arial" w:cs="Times New Roman"/>
      <w:sz w:val="24"/>
      <w:szCs w:val="24"/>
    </w:rPr>
  </w:style>
  <w:style w:type="paragraph" w:customStyle="1" w:styleId="Default">
    <w:name w:val="Default"/>
    <w:rsid w:val="006C2150"/>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link w:val="BodyTextChar"/>
    <w:uiPriority w:val="99"/>
    <w:rsid w:val="00351C32"/>
    <w:pPr>
      <w:spacing w:after="120"/>
    </w:pPr>
    <w:rPr>
      <w:rFonts w:ascii="Times New Roman" w:hAnsi="Times New Roman"/>
      <w:szCs w:val="20"/>
    </w:rPr>
  </w:style>
  <w:style w:type="character" w:customStyle="1" w:styleId="BodyTextChar">
    <w:name w:val="Body Text Char"/>
    <w:basedOn w:val="DefaultParagraphFont"/>
    <w:link w:val="BodyText"/>
    <w:uiPriority w:val="99"/>
    <w:locked/>
    <w:rsid w:val="00351C32"/>
    <w:rPr>
      <w:rFonts w:cs="Times New Roman"/>
      <w:sz w:val="24"/>
      <w:lang w:val="en-GB" w:eastAsia="en-GB" w:bidi="ar-SA"/>
    </w:rPr>
  </w:style>
  <w:style w:type="character" w:customStyle="1" w:styleId="EmailStyle31">
    <w:name w:val="EmailStyle31"/>
    <w:basedOn w:val="DefaultParagraphFont"/>
    <w:uiPriority w:val="99"/>
    <w:semiHidden/>
    <w:rsid w:val="002F7612"/>
    <w:rPr>
      <w:rFonts w:ascii="Arial" w:hAnsi="Arial" w:cs="Arial"/>
      <w:color w:val="auto"/>
      <w:sz w:val="20"/>
      <w:szCs w:val="20"/>
    </w:rPr>
  </w:style>
  <w:style w:type="paragraph" w:styleId="Caption">
    <w:name w:val="caption"/>
    <w:basedOn w:val="Normal"/>
    <w:next w:val="Normal"/>
    <w:uiPriority w:val="99"/>
    <w:qFormat/>
    <w:locked/>
    <w:rsid w:val="00360AE1"/>
    <w:rPr>
      <w:b/>
      <w:bCs/>
      <w:sz w:val="20"/>
      <w:szCs w:val="20"/>
    </w:rPr>
  </w:style>
  <w:style w:type="paragraph" w:styleId="FootnoteText">
    <w:name w:val="footnote text"/>
    <w:basedOn w:val="Normal"/>
    <w:link w:val="FootnoteTextChar"/>
    <w:rsid w:val="006C13B5"/>
    <w:rPr>
      <w:rFonts w:ascii="Times New Roman" w:hAnsi="Times New Roman"/>
      <w:sz w:val="20"/>
      <w:szCs w:val="20"/>
    </w:rPr>
  </w:style>
  <w:style w:type="character" w:customStyle="1" w:styleId="FootnoteTextChar">
    <w:name w:val="Footnote Text Char"/>
    <w:basedOn w:val="DefaultParagraphFont"/>
    <w:link w:val="FootnoteText"/>
    <w:rsid w:val="006C13B5"/>
    <w:rPr>
      <w:sz w:val="20"/>
      <w:szCs w:val="20"/>
    </w:rPr>
  </w:style>
  <w:style w:type="character" w:styleId="FootnoteReference">
    <w:name w:val="footnote reference"/>
    <w:rsid w:val="006C13B5"/>
    <w:rPr>
      <w:vertAlign w:val="superscript"/>
    </w:rPr>
  </w:style>
  <w:style w:type="numbering" w:styleId="111111">
    <w:name w:val="Outline List 2"/>
    <w:basedOn w:val="NoList"/>
    <w:rsid w:val="0049441C"/>
    <w:pPr>
      <w:numPr>
        <w:numId w:val="3"/>
      </w:numPr>
    </w:pPr>
  </w:style>
  <w:style w:type="paragraph" w:styleId="ListParagraph">
    <w:name w:val="List Paragraph"/>
    <w:basedOn w:val="Normal"/>
    <w:uiPriority w:val="34"/>
    <w:qFormat/>
    <w:rsid w:val="0049441C"/>
    <w:pPr>
      <w:ind w:left="720"/>
      <w:contextualSpacing/>
    </w:pPr>
  </w:style>
  <w:style w:type="character" w:styleId="FollowedHyperlink">
    <w:name w:val="FollowedHyperlink"/>
    <w:basedOn w:val="DefaultParagraphFont"/>
    <w:uiPriority w:val="99"/>
    <w:semiHidden/>
    <w:unhideWhenUsed/>
    <w:rsid w:val="000716FB"/>
    <w:rPr>
      <w:color w:val="800080" w:themeColor="followedHyperlink"/>
      <w:u w:val="single"/>
    </w:rPr>
  </w:style>
  <w:style w:type="character" w:styleId="CommentReference">
    <w:name w:val="annotation reference"/>
    <w:basedOn w:val="DefaultParagraphFont"/>
    <w:uiPriority w:val="99"/>
    <w:semiHidden/>
    <w:unhideWhenUsed/>
    <w:rsid w:val="00CC14FF"/>
    <w:rPr>
      <w:sz w:val="16"/>
      <w:szCs w:val="16"/>
    </w:rPr>
  </w:style>
  <w:style w:type="paragraph" w:styleId="CommentText">
    <w:name w:val="annotation text"/>
    <w:basedOn w:val="Normal"/>
    <w:link w:val="CommentTextChar"/>
    <w:uiPriority w:val="99"/>
    <w:semiHidden/>
    <w:unhideWhenUsed/>
    <w:rsid w:val="00CC14FF"/>
    <w:rPr>
      <w:sz w:val="20"/>
      <w:szCs w:val="20"/>
    </w:rPr>
  </w:style>
  <w:style w:type="character" w:customStyle="1" w:styleId="CommentTextChar">
    <w:name w:val="Comment Text Char"/>
    <w:basedOn w:val="DefaultParagraphFont"/>
    <w:link w:val="CommentText"/>
    <w:uiPriority w:val="99"/>
    <w:semiHidden/>
    <w:rsid w:val="00CC14F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14FF"/>
    <w:rPr>
      <w:b/>
      <w:bCs/>
    </w:rPr>
  </w:style>
  <w:style w:type="character" w:customStyle="1" w:styleId="CommentSubjectChar">
    <w:name w:val="Comment Subject Char"/>
    <w:basedOn w:val="CommentTextChar"/>
    <w:link w:val="CommentSubject"/>
    <w:uiPriority w:val="99"/>
    <w:semiHidden/>
    <w:rsid w:val="00CC14FF"/>
    <w:rPr>
      <w:rFonts w:ascii="Arial" w:hAnsi="Arial"/>
      <w:b/>
      <w:bCs/>
      <w:sz w:val="20"/>
      <w:szCs w:val="20"/>
    </w:rPr>
  </w:style>
  <w:style w:type="paragraph" w:styleId="Revision">
    <w:name w:val="Revision"/>
    <w:hidden/>
    <w:uiPriority w:val="99"/>
    <w:semiHidden/>
    <w:rsid w:val="00CC14FF"/>
    <w:rPr>
      <w:rFonts w:ascii="Arial" w:hAnsi="Arial"/>
      <w:sz w:val="24"/>
      <w:szCs w:val="24"/>
    </w:rPr>
  </w:style>
  <w:style w:type="table" w:styleId="TableGridLight">
    <w:name w:val="Grid Table Light"/>
    <w:basedOn w:val="TableNormal"/>
    <w:uiPriority w:val="40"/>
    <w:rsid w:val="00801F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16524">
      <w:bodyDiv w:val="1"/>
      <w:marLeft w:val="0"/>
      <w:marRight w:val="0"/>
      <w:marTop w:val="0"/>
      <w:marBottom w:val="0"/>
      <w:divBdr>
        <w:top w:val="none" w:sz="0" w:space="0" w:color="auto"/>
        <w:left w:val="none" w:sz="0" w:space="0" w:color="auto"/>
        <w:bottom w:val="none" w:sz="0" w:space="0" w:color="auto"/>
        <w:right w:val="none" w:sz="0" w:space="0" w:color="auto"/>
      </w:divBdr>
    </w:div>
    <w:div w:id="277295214">
      <w:bodyDiv w:val="1"/>
      <w:marLeft w:val="0"/>
      <w:marRight w:val="0"/>
      <w:marTop w:val="0"/>
      <w:marBottom w:val="0"/>
      <w:divBdr>
        <w:top w:val="none" w:sz="0" w:space="0" w:color="auto"/>
        <w:left w:val="none" w:sz="0" w:space="0" w:color="auto"/>
        <w:bottom w:val="none" w:sz="0" w:space="0" w:color="auto"/>
        <w:right w:val="none" w:sz="0" w:space="0" w:color="auto"/>
      </w:divBdr>
    </w:div>
    <w:div w:id="412168967">
      <w:bodyDiv w:val="1"/>
      <w:marLeft w:val="0"/>
      <w:marRight w:val="0"/>
      <w:marTop w:val="0"/>
      <w:marBottom w:val="0"/>
      <w:divBdr>
        <w:top w:val="none" w:sz="0" w:space="0" w:color="auto"/>
        <w:left w:val="none" w:sz="0" w:space="0" w:color="auto"/>
        <w:bottom w:val="none" w:sz="0" w:space="0" w:color="auto"/>
        <w:right w:val="none" w:sz="0" w:space="0" w:color="auto"/>
      </w:divBdr>
    </w:div>
    <w:div w:id="487790097">
      <w:bodyDiv w:val="1"/>
      <w:marLeft w:val="0"/>
      <w:marRight w:val="0"/>
      <w:marTop w:val="0"/>
      <w:marBottom w:val="0"/>
      <w:divBdr>
        <w:top w:val="none" w:sz="0" w:space="0" w:color="auto"/>
        <w:left w:val="none" w:sz="0" w:space="0" w:color="auto"/>
        <w:bottom w:val="none" w:sz="0" w:space="0" w:color="auto"/>
        <w:right w:val="none" w:sz="0" w:space="0" w:color="auto"/>
      </w:divBdr>
    </w:div>
    <w:div w:id="817725119">
      <w:bodyDiv w:val="1"/>
      <w:marLeft w:val="0"/>
      <w:marRight w:val="0"/>
      <w:marTop w:val="0"/>
      <w:marBottom w:val="0"/>
      <w:divBdr>
        <w:top w:val="none" w:sz="0" w:space="0" w:color="auto"/>
        <w:left w:val="none" w:sz="0" w:space="0" w:color="auto"/>
        <w:bottom w:val="none" w:sz="0" w:space="0" w:color="auto"/>
        <w:right w:val="none" w:sz="0" w:space="0" w:color="auto"/>
      </w:divBdr>
    </w:div>
    <w:div w:id="820077483">
      <w:bodyDiv w:val="1"/>
      <w:marLeft w:val="0"/>
      <w:marRight w:val="0"/>
      <w:marTop w:val="0"/>
      <w:marBottom w:val="0"/>
      <w:divBdr>
        <w:top w:val="none" w:sz="0" w:space="0" w:color="auto"/>
        <w:left w:val="none" w:sz="0" w:space="0" w:color="auto"/>
        <w:bottom w:val="none" w:sz="0" w:space="0" w:color="auto"/>
        <w:right w:val="none" w:sz="0" w:space="0" w:color="auto"/>
      </w:divBdr>
    </w:div>
    <w:div w:id="883062504">
      <w:bodyDiv w:val="1"/>
      <w:marLeft w:val="0"/>
      <w:marRight w:val="0"/>
      <w:marTop w:val="0"/>
      <w:marBottom w:val="0"/>
      <w:divBdr>
        <w:top w:val="none" w:sz="0" w:space="0" w:color="auto"/>
        <w:left w:val="none" w:sz="0" w:space="0" w:color="auto"/>
        <w:bottom w:val="none" w:sz="0" w:space="0" w:color="auto"/>
        <w:right w:val="none" w:sz="0" w:space="0" w:color="auto"/>
      </w:divBdr>
    </w:div>
    <w:div w:id="1038311265">
      <w:marLeft w:val="0"/>
      <w:marRight w:val="0"/>
      <w:marTop w:val="0"/>
      <w:marBottom w:val="0"/>
      <w:divBdr>
        <w:top w:val="none" w:sz="0" w:space="0" w:color="auto"/>
        <w:left w:val="none" w:sz="0" w:space="0" w:color="auto"/>
        <w:bottom w:val="none" w:sz="0" w:space="0" w:color="auto"/>
        <w:right w:val="none" w:sz="0" w:space="0" w:color="auto"/>
      </w:divBdr>
    </w:div>
    <w:div w:id="1038311266">
      <w:marLeft w:val="0"/>
      <w:marRight w:val="0"/>
      <w:marTop w:val="0"/>
      <w:marBottom w:val="0"/>
      <w:divBdr>
        <w:top w:val="none" w:sz="0" w:space="0" w:color="auto"/>
        <w:left w:val="none" w:sz="0" w:space="0" w:color="auto"/>
        <w:bottom w:val="none" w:sz="0" w:space="0" w:color="auto"/>
        <w:right w:val="none" w:sz="0" w:space="0" w:color="auto"/>
      </w:divBdr>
    </w:div>
    <w:div w:id="1038311267">
      <w:marLeft w:val="0"/>
      <w:marRight w:val="0"/>
      <w:marTop w:val="0"/>
      <w:marBottom w:val="0"/>
      <w:divBdr>
        <w:top w:val="none" w:sz="0" w:space="0" w:color="auto"/>
        <w:left w:val="none" w:sz="0" w:space="0" w:color="auto"/>
        <w:bottom w:val="none" w:sz="0" w:space="0" w:color="auto"/>
        <w:right w:val="none" w:sz="0" w:space="0" w:color="auto"/>
      </w:divBdr>
      <w:divsChild>
        <w:div w:id="1038311274">
          <w:marLeft w:val="0"/>
          <w:marRight w:val="0"/>
          <w:marTop w:val="0"/>
          <w:marBottom w:val="0"/>
          <w:divBdr>
            <w:top w:val="none" w:sz="0" w:space="0" w:color="auto"/>
            <w:left w:val="none" w:sz="0" w:space="0" w:color="auto"/>
            <w:bottom w:val="none" w:sz="0" w:space="0" w:color="auto"/>
            <w:right w:val="none" w:sz="0" w:space="0" w:color="auto"/>
          </w:divBdr>
        </w:div>
      </w:divsChild>
    </w:div>
    <w:div w:id="1038311268">
      <w:marLeft w:val="0"/>
      <w:marRight w:val="0"/>
      <w:marTop w:val="0"/>
      <w:marBottom w:val="0"/>
      <w:divBdr>
        <w:top w:val="none" w:sz="0" w:space="0" w:color="auto"/>
        <w:left w:val="none" w:sz="0" w:space="0" w:color="auto"/>
        <w:bottom w:val="none" w:sz="0" w:space="0" w:color="auto"/>
        <w:right w:val="none" w:sz="0" w:space="0" w:color="auto"/>
      </w:divBdr>
    </w:div>
    <w:div w:id="1038311269">
      <w:marLeft w:val="0"/>
      <w:marRight w:val="0"/>
      <w:marTop w:val="0"/>
      <w:marBottom w:val="0"/>
      <w:divBdr>
        <w:top w:val="none" w:sz="0" w:space="0" w:color="auto"/>
        <w:left w:val="none" w:sz="0" w:space="0" w:color="auto"/>
        <w:bottom w:val="none" w:sz="0" w:space="0" w:color="auto"/>
        <w:right w:val="none" w:sz="0" w:space="0" w:color="auto"/>
      </w:divBdr>
      <w:divsChild>
        <w:div w:id="1038311271">
          <w:marLeft w:val="0"/>
          <w:marRight w:val="0"/>
          <w:marTop w:val="0"/>
          <w:marBottom w:val="0"/>
          <w:divBdr>
            <w:top w:val="none" w:sz="0" w:space="0" w:color="auto"/>
            <w:left w:val="none" w:sz="0" w:space="0" w:color="auto"/>
            <w:bottom w:val="none" w:sz="0" w:space="0" w:color="auto"/>
            <w:right w:val="none" w:sz="0" w:space="0" w:color="auto"/>
          </w:divBdr>
        </w:div>
      </w:divsChild>
    </w:div>
    <w:div w:id="1038311270">
      <w:marLeft w:val="0"/>
      <w:marRight w:val="0"/>
      <w:marTop w:val="0"/>
      <w:marBottom w:val="0"/>
      <w:divBdr>
        <w:top w:val="none" w:sz="0" w:space="0" w:color="auto"/>
        <w:left w:val="none" w:sz="0" w:space="0" w:color="auto"/>
        <w:bottom w:val="none" w:sz="0" w:space="0" w:color="auto"/>
        <w:right w:val="none" w:sz="0" w:space="0" w:color="auto"/>
      </w:divBdr>
    </w:div>
    <w:div w:id="1038311272">
      <w:marLeft w:val="0"/>
      <w:marRight w:val="0"/>
      <w:marTop w:val="0"/>
      <w:marBottom w:val="0"/>
      <w:divBdr>
        <w:top w:val="none" w:sz="0" w:space="0" w:color="auto"/>
        <w:left w:val="none" w:sz="0" w:space="0" w:color="auto"/>
        <w:bottom w:val="none" w:sz="0" w:space="0" w:color="auto"/>
        <w:right w:val="none" w:sz="0" w:space="0" w:color="auto"/>
      </w:divBdr>
    </w:div>
    <w:div w:id="1038311273">
      <w:marLeft w:val="0"/>
      <w:marRight w:val="0"/>
      <w:marTop w:val="0"/>
      <w:marBottom w:val="0"/>
      <w:divBdr>
        <w:top w:val="none" w:sz="0" w:space="0" w:color="auto"/>
        <w:left w:val="none" w:sz="0" w:space="0" w:color="auto"/>
        <w:bottom w:val="none" w:sz="0" w:space="0" w:color="auto"/>
        <w:right w:val="none" w:sz="0" w:space="0" w:color="auto"/>
      </w:divBdr>
    </w:div>
    <w:div w:id="1038311275">
      <w:marLeft w:val="0"/>
      <w:marRight w:val="0"/>
      <w:marTop w:val="0"/>
      <w:marBottom w:val="0"/>
      <w:divBdr>
        <w:top w:val="none" w:sz="0" w:space="0" w:color="auto"/>
        <w:left w:val="none" w:sz="0" w:space="0" w:color="auto"/>
        <w:bottom w:val="none" w:sz="0" w:space="0" w:color="auto"/>
        <w:right w:val="none" w:sz="0" w:space="0" w:color="auto"/>
      </w:divBdr>
    </w:div>
    <w:div w:id="1038311276">
      <w:marLeft w:val="0"/>
      <w:marRight w:val="0"/>
      <w:marTop w:val="0"/>
      <w:marBottom w:val="0"/>
      <w:divBdr>
        <w:top w:val="none" w:sz="0" w:space="0" w:color="auto"/>
        <w:left w:val="none" w:sz="0" w:space="0" w:color="auto"/>
        <w:bottom w:val="none" w:sz="0" w:space="0" w:color="auto"/>
        <w:right w:val="none" w:sz="0" w:space="0" w:color="auto"/>
      </w:divBdr>
    </w:div>
    <w:div w:id="1038311277">
      <w:marLeft w:val="0"/>
      <w:marRight w:val="0"/>
      <w:marTop w:val="0"/>
      <w:marBottom w:val="0"/>
      <w:divBdr>
        <w:top w:val="none" w:sz="0" w:space="0" w:color="auto"/>
        <w:left w:val="none" w:sz="0" w:space="0" w:color="auto"/>
        <w:bottom w:val="none" w:sz="0" w:space="0" w:color="auto"/>
        <w:right w:val="none" w:sz="0" w:space="0" w:color="auto"/>
      </w:divBdr>
    </w:div>
    <w:div w:id="1038311278">
      <w:marLeft w:val="0"/>
      <w:marRight w:val="0"/>
      <w:marTop w:val="0"/>
      <w:marBottom w:val="0"/>
      <w:divBdr>
        <w:top w:val="none" w:sz="0" w:space="0" w:color="auto"/>
        <w:left w:val="none" w:sz="0" w:space="0" w:color="auto"/>
        <w:bottom w:val="none" w:sz="0" w:space="0" w:color="auto"/>
        <w:right w:val="none" w:sz="0" w:space="0" w:color="auto"/>
      </w:divBdr>
    </w:div>
    <w:div w:id="1038311279">
      <w:marLeft w:val="0"/>
      <w:marRight w:val="0"/>
      <w:marTop w:val="0"/>
      <w:marBottom w:val="0"/>
      <w:divBdr>
        <w:top w:val="none" w:sz="0" w:space="0" w:color="auto"/>
        <w:left w:val="none" w:sz="0" w:space="0" w:color="auto"/>
        <w:bottom w:val="none" w:sz="0" w:space="0" w:color="auto"/>
        <w:right w:val="none" w:sz="0" w:space="0" w:color="auto"/>
      </w:divBdr>
    </w:div>
    <w:div w:id="1038311280">
      <w:marLeft w:val="0"/>
      <w:marRight w:val="0"/>
      <w:marTop w:val="0"/>
      <w:marBottom w:val="0"/>
      <w:divBdr>
        <w:top w:val="none" w:sz="0" w:space="0" w:color="auto"/>
        <w:left w:val="none" w:sz="0" w:space="0" w:color="auto"/>
        <w:bottom w:val="none" w:sz="0" w:space="0" w:color="auto"/>
        <w:right w:val="none" w:sz="0" w:space="0" w:color="auto"/>
      </w:divBdr>
    </w:div>
    <w:div w:id="1038311281">
      <w:marLeft w:val="0"/>
      <w:marRight w:val="0"/>
      <w:marTop w:val="0"/>
      <w:marBottom w:val="0"/>
      <w:divBdr>
        <w:top w:val="none" w:sz="0" w:space="0" w:color="auto"/>
        <w:left w:val="none" w:sz="0" w:space="0" w:color="auto"/>
        <w:bottom w:val="none" w:sz="0" w:space="0" w:color="auto"/>
        <w:right w:val="none" w:sz="0" w:space="0" w:color="auto"/>
      </w:divBdr>
    </w:div>
    <w:div w:id="1038311282">
      <w:marLeft w:val="0"/>
      <w:marRight w:val="0"/>
      <w:marTop w:val="0"/>
      <w:marBottom w:val="0"/>
      <w:divBdr>
        <w:top w:val="none" w:sz="0" w:space="0" w:color="auto"/>
        <w:left w:val="none" w:sz="0" w:space="0" w:color="auto"/>
        <w:bottom w:val="none" w:sz="0" w:space="0" w:color="auto"/>
        <w:right w:val="none" w:sz="0" w:space="0" w:color="auto"/>
      </w:divBdr>
    </w:div>
    <w:div w:id="1038311283">
      <w:marLeft w:val="0"/>
      <w:marRight w:val="0"/>
      <w:marTop w:val="0"/>
      <w:marBottom w:val="0"/>
      <w:divBdr>
        <w:top w:val="none" w:sz="0" w:space="0" w:color="auto"/>
        <w:left w:val="none" w:sz="0" w:space="0" w:color="auto"/>
        <w:bottom w:val="none" w:sz="0" w:space="0" w:color="auto"/>
        <w:right w:val="none" w:sz="0" w:space="0" w:color="auto"/>
      </w:divBdr>
    </w:div>
    <w:div w:id="1038311284">
      <w:marLeft w:val="0"/>
      <w:marRight w:val="0"/>
      <w:marTop w:val="0"/>
      <w:marBottom w:val="0"/>
      <w:divBdr>
        <w:top w:val="none" w:sz="0" w:space="0" w:color="auto"/>
        <w:left w:val="none" w:sz="0" w:space="0" w:color="auto"/>
        <w:bottom w:val="none" w:sz="0" w:space="0" w:color="auto"/>
        <w:right w:val="none" w:sz="0" w:space="0" w:color="auto"/>
      </w:divBdr>
    </w:div>
    <w:div w:id="1038311285">
      <w:marLeft w:val="0"/>
      <w:marRight w:val="0"/>
      <w:marTop w:val="0"/>
      <w:marBottom w:val="0"/>
      <w:divBdr>
        <w:top w:val="none" w:sz="0" w:space="0" w:color="auto"/>
        <w:left w:val="none" w:sz="0" w:space="0" w:color="auto"/>
        <w:bottom w:val="none" w:sz="0" w:space="0" w:color="auto"/>
        <w:right w:val="none" w:sz="0" w:space="0" w:color="auto"/>
      </w:divBdr>
    </w:div>
    <w:div w:id="1038311286">
      <w:marLeft w:val="0"/>
      <w:marRight w:val="0"/>
      <w:marTop w:val="0"/>
      <w:marBottom w:val="0"/>
      <w:divBdr>
        <w:top w:val="none" w:sz="0" w:space="0" w:color="auto"/>
        <w:left w:val="none" w:sz="0" w:space="0" w:color="auto"/>
        <w:bottom w:val="none" w:sz="0" w:space="0" w:color="auto"/>
        <w:right w:val="none" w:sz="0" w:space="0" w:color="auto"/>
      </w:divBdr>
    </w:div>
    <w:div w:id="1038311287">
      <w:marLeft w:val="0"/>
      <w:marRight w:val="0"/>
      <w:marTop w:val="0"/>
      <w:marBottom w:val="0"/>
      <w:divBdr>
        <w:top w:val="none" w:sz="0" w:space="0" w:color="auto"/>
        <w:left w:val="none" w:sz="0" w:space="0" w:color="auto"/>
        <w:bottom w:val="none" w:sz="0" w:space="0" w:color="auto"/>
        <w:right w:val="none" w:sz="0" w:space="0" w:color="auto"/>
      </w:divBdr>
    </w:div>
    <w:div w:id="1038311288">
      <w:marLeft w:val="0"/>
      <w:marRight w:val="0"/>
      <w:marTop w:val="0"/>
      <w:marBottom w:val="0"/>
      <w:divBdr>
        <w:top w:val="none" w:sz="0" w:space="0" w:color="auto"/>
        <w:left w:val="none" w:sz="0" w:space="0" w:color="auto"/>
        <w:bottom w:val="none" w:sz="0" w:space="0" w:color="auto"/>
        <w:right w:val="none" w:sz="0" w:space="0" w:color="auto"/>
      </w:divBdr>
    </w:div>
    <w:div w:id="1038311289">
      <w:marLeft w:val="0"/>
      <w:marRight w:val="0"/>
      <w:marTop w:val="0"/>
      <w:marBottom w:val="0"/>
      <w:divBdr>
        <w:top w:val="none" w:sz="0" w:space="0" w:color="auto"/>
        <w:left w:val="none" w:sz="0" w:space="0" w:color="auto"/>
        <w:bottom w:val="none" w:sz="0" w:space="0" w:color="auto"/>
        <w:right w:val="none" w:sz="0" w:space="0" w:color="auto"/>
      </w:divBdr>
    </w:div>
    <w:div w:id="1038311290">
      <w:marLeft w:val="0"/>
      <w:marRight w:val="0"/>
      <w:marTop w:val="0"/>
      <w:marBottom w:val="0"/>
      <w:divBdr>
        <w:top w:val="none" w:sz="0" w:space="0" w:color="auto"/>
        <w:left w:val="none" w:sz="0" w:space="0" w:color="auto"/>
        <w:bottom w:val="none" w:sz="0" w:space="0" w:color="auto"/>
        <w:right w:val="none" w:sz="0" w:space="0" w:color="auto"/>
      </w:divBdr>
    </w:div>
    <w:div w:id="1038311291">
      <w:marLeft w:val="0"/>
      <w:marRight w:val="0"/>
      <w:marTop w:val="0"/>
      <w:marBottom w:val="0"/>
      <w:divBdr>
        <w:top w:val="none" w:sz="0" w:space="0" w:color="auto"/>
        <w:left w:val="none" w:sz="0" w:space="0" w:color="auto"/>
        <w:bottom w:val="none" w:sz="0" w:space="0" w:color="auto"/>
        <w:right w:val="none" w:sz="0" w:space="0" w:color="auto"/>
      </w:divBdr>
    </w:div>
    <w:div w:id="1038311292">
      <w:marLeft w:val="0"/>
      <w:marRight w:val="0"/>
      <w:marTop w:val="0"/>
      <w:marBottom w:val="0"/>
      <w:divBdr>
        <w:top w:val="none" w:sz="0" w:space="0" w:color="auto"/>
        <w:left w:val="none" w:sz="0" w:space="0" w:color="auto"/>
        <w:bottom w:val="none" w:sz="0" w:space="0" w:color="auto"/>
        <w:right w:val="none" w:sz="0" w:space="0" w:color="auto"/>
      </w:divBdr>
    </w:div>
    <w:div w:id="1038311293">
      <w:marLeft w:val="0"/>
      <w:marRight w:val="0"/>
      <w:marTop w:val="0"/>
      <w:marBottom w:val="0"/>
      <w:divBdr>
        <w:top w:val="none" w:sz="0" w:space="0" w:color="auto"/>
        <w:left w:val="none" w:sz="0" w:space="0" w:color="auto"/>
        <w:bottom w:val="none" w:sz="0" w:space="0" w:color="auto"/>
        <w:right w:val="none" w:sz="0" w:space="0" w:color="auto"/>
      </w:divBdr>
    </w:div>
    <w:div w:id="1038311294">
      <w:marLeft w:val="0"/>
      <w:marRight w:val="0"/>
      <w:marTop w:val="0"/>
      <w:marBottom w:val="0"/>
      <w:divBdr>
        <w:top w:val="none" w:sz="0" w:space="0" w:color="auto"/>
        <w:left w:val="none" w:sz="0" w:space="0" w:color="auto"/>
        <w:bottom w:val="none" w:sz="0" w:space="0" w:color="auto"/>
        <w:right w:val="none" w:sz="0" w:space="0" w:color="auto"/>
      </w:divBdr>
    </w:div>
    <w:div w:id="1038311295">
      <w:marLeft w:val="0"/>
      <w:marRight w:val="0"/>
      <w:marTop w:val="0"/>
      <w:marBottom w:val="0"/>
      <w:divBdr>
        <w:top w:val="none" w:sz="0" w:space="0" w:color="auto"/>
        <w:left w:val="none" w:sz="0" w:space="0" w:color="auto"/>
        <w:bottom w:val="none" w:sz="0" w:space="0" w:color="auto"/>
        <w:right w:val="none" w:sz="0" w:space="0" w:color="auto"/>
      </w:divBdr>
    </w:div>
    <w:div w:id="1038311296">
      <w:marLeft w:val="0"/>
      <w:marRight w:val="0"/>
      <w:marTop w:val="0"/>
      <w:marBottom w:val="0"/>
      <w:divBdr>
        <w:top w:val="none" w:sz="0" w:space="0" w:color="auto"/>
        <w:left w:val="none" w:sz="0" w:space="0" w:color="auto"/>
        <w:bottom w:val="none" w:sz="0" w:space="0" w:color="auto"/>
        <w:right w:val="none" w:sz="0" w:space="0" w:color="auto"/>
      </w:divBdr>
    </w:div>
    <w:div w:id="1044715562">
      <w:bodyDiv w:val="1"/>
      <w:marLeft w:val="0"/>
      <w:marRight w:val="0"/>
      <w:marTop w:val="0"/>
      <w:marBottom w:val="0"/>
      <w:divBdr>
        <w:top w:val="none" w:sz="0" w:space="0" w:color="auto"/>
        <w:left w:val="none" w:sz="0" w:space="0" w:color="auto"/>
        <w:bottom w:val="none" w:sz="0" w:space="0" w:color="auto"/>
        <w:right w:val="none" w:sz="0" w:space="0" w:color="auto"/>
      </w:divBdr>
    </w:div>
    <w:div w:id="1074550180">
      <w:bodyDiv w:val="1"/>
      <w:marLeft w:val="0"/>
      <w:marRight w:val="0"/>
      <w:marTop w:val="0"/>
      <w:marBottom w:val="0"/>
      <w:divBdr>
        <w:top w:val="none" w:sz="0" w:space="0" w:color="auto"/>
        <w:left w:val="none" w:sz="0" w:space="0" w:color="auto"/>
        <w:bottom w:val="none" w:sz="0" w:space="0" w:color="auto"/>
        <w:right w:val="none" w:sz="0" w:space="0" w:color="auto"/>
      </w:divBdr>
    </w:div>
    <w:div w:id="1085688089">
      <w:bodyDiv w:val="1"/>
      <w:marLeft w:val="0"/>
      <w:marRight w:val="0"/>
      <w:marTop w:val="0"/>
      <w:marBottom w:val="0"/>
      <w:divBdr>
        <w:top w:val="none" w:sz="0" w:space="0" w:color="auto"/>
        <w:left w:val="none" w:sz="0" w:space="0" w:color="auto"/>
        <w:bottom w:val="none" w:sz="0" w:space="0" w:color="auto"/>
        <w:right w:val="none" w:sz="0" w:space="0" w:color="auto"/>
      </w:divBdr>
    </w:div>
    <w:div w:id="1616786169">
      <w:bodyDiv w:val="1"/>
      <w:marLeft w:val="0"/>
      <w:marRight w:val="0"/>
      <w:marTop w:val="0"/>
      <w:marBottom w:val="0"/>
      <w:divBdr>
        <w:top w:val="none" w:sz="0" w:space="0" w:color="auto"/>
        <w:left w:val="none" w:sz="0" w:space="0" w:color="auto"/>
        <w:bottom w:val="none" w:sz="0" w:space="0" w:color="auto"/>
        <w:right w:val="none" w:sz="0" w:space="0" w:color="auto"/>
      </w:divBdr>
    </w:div>
    <w:div w:id="1645625512">
      <w:bodyDiv w:val="1"/>
      <w:marLeft w:val="0"/>
      <w:marRight w:val="0"/>
      <w:marTop w:val="0"/>
      <w:marBottom w:val="0"/>
      <w:divBdr>
        <w:top w:val="none" w:sz="0" w:space="0" w:color="auto"/>
        <w:left w:val="none" w:sz="0" w:space="0" w:color="auto"/>
        <w:bottom w:val="none" w:sz="0" w:space="0" w:color="auto"/>
        <w:right w:val="none" w:sz="0" w:space="0" w:color="auto"/>
      </w:divBdr>
    </w:div>
    <w:div w:id="1650741079">
      <w:bodyDiv w:val="1"/>
      <w:marLeft w:val="0"/>
      <w:marRight w:val="0"/>
      <w:marTop w:val="0"/>
      <w:marBottom w:val="0"/>
      <w:divBdr>
        <w:top w:val="none" w:sz="0" w:space="0" w:color="auto"/>
        <w:left w:val="none" w:sz="0" w:space="0" w:color="auto"/>
        <w:bottom w:val="none" w:sz="0" w:space="0" w:color="auto"/>
        <w:right w:val="none" w:sz="0" w:space="0" w:color="auto"/>
      </w:divBdr>
    </w:div>
    <w:div w:id="1723481575">
      <w:bodyDiv w:val="1"/>
      <w:marLeft w:val="0"/>
      <w:marRight w:val="0"/>
      <w:marTop w:val="0"/>
      <w:marBottom w:val="0"/>
      <w:divBdr>
        <w:top w:val="none" w:sz="0" w:space="0" w:color="auto"/>
        <w:left w:val="none" w:sz="0" w:space="0" w:color="auto"/>
        <w:bottom w:val="none" w:sz="0" w:space="0" w:color="auto"/>
        <w:right w:val="none" w:sz="0" w:space="0" w:color="auto"/>
      </w:divBdr>
    </w:div>
    <w:div w:id="185699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news/new-funding-to-support-children-with-special-educational-needs?utm_source=66f72beb-fb23-4082-bf88-447959321037&amp;utm_medium=email&amp;utm_campaign=govuk-notifications&amp;utm_content=dail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94C90-5AE5-4A23-ABD0-AC6EFC320C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BBEE5C-DE4A-4377-BD2D-B40BF1DFF9C5}">
  <ds:schemaRefs>
    <ds:schemaRef ds:uri="http://schemas.microsoft.com/sharepoint/v3/contenttype/forms"/>
  </ds:schemaRefs>
</ds:datastoreItem>
</file>

<file path=customXml/itemProps3.xml><?xml version="1.0" encoding="utf-8"?>
<ds:datastoreItem xmlns:ds="http://schemas.openxmlformats.org/officeDocument/2006/customXml" ds:itemID="{D6F0D83C-AC83-4143-ACDE-CF407320E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F5AA7-3702-4C19-9D9D-3DE0D850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School Balances</vt:lpstr>
    </vt:vector>
  </TitlesOfParts>
  <Company>London Borough of Tower Hamlets</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DSG Budget 2019-20</dc:title>
  <dc:creator>sailesh.patel</dc:creator>
  <cp:lastModifiedBy>Phillip Nduoyo</cp:lastModifiedBy>
  <cp:revision>6</cp:revision>
  <cp:lastPrinted>2019-01-09T09:08:00Z</cp:lastPrinted>
  <dcterms:created xsi:type="dcterms:W3CDTF">2019-01-09T09:09:00Z</dcterms:created>
  <dcterms:modified xsi:type="dcterms:W3CDTF">2021-01-13T09:59:00Z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3150000</vt:r8>
  </property>
</Properties>
</file>