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E8799"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108"/>
      </w:tblGrid>
      <w:tr w:rsidR="004C11CF" w:rsidRPr="002374A3" w14:paraId="789E879B" w14:textId="77777777" w:rsidTr="00B10C0D">
        <w:tc>
          <w:tcPr>
            <w:tcW w:w="9108" w:type="dxa"/>
          </w:tcPr>
          <w:p w14:paraId="789E879A" w14:textId="77777777" w:rsidR="004C11CF" w:rsidRPr="002374A3" w:rsidRDefault="0013261A" w:rsidP="002374A3">
            <w:pPr>
              <w:pStyle w:val="BodyTextIndent"/>
              <w:rPr>
                <w:b/>
                <w:sz w:val="32"/>
                <w:szCs w:val="32"/>
              </w:rPr>
            </w:pPr>
            <w:r>
              <w:rPr>
                <w:b/>
                <w:sz w:val="32"/>
                <w:szCs w:val="32"/>
              </w:rPr>
              <w:t xml:space="preserve">AGENDA ITEM </w:t>
            </w:r>
            <w:r w:rsidR="004635C3">
              <w:rPr>
                <w:b/>
                <w:sz w:val="32"/>
                <w:szCs w:val="32"/>
              </w:rPr>
              <w:t>05</w:t>
            </w:r>
          </w:p>
        </w:tc>
      </w:tr>
    </w:tbl>
    <w:p w14:paraId="789E879C" w14:textId="77777777" w:rsidR="003D08B1" w:rsidRPr="004C11CF" w:rsidRDefault="003D08B1" w:rsidP="004C11CF"/>
    <w:p w14:paraId="789E879D" w14:textId="77777777" w:rsidR="003D08B1" w:rsidRDefault="003D08B1" w:rsidP="003D08B1">
      <w:pPr>
        <w:rPr>
          <w:b/>
        </w:rPr>
      </w:pPr>
    </w:p>
    <w:p w14:paraId="789E879E"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bookmarkStart w:id="0" w:name="_GoBack"/>
      <w:r w:rsidR="0063235C" w:rsidRPr="00907E89">
        <w:rPr>
          <w:rStyle w:val="TitleChar"/>
        </w:rPr>
        <w:t>Central School Services Block</w:t>
      </w:r>
      <w:bookmarkEnd w:id="0"/>
    </w:p>
    <w:p w14:paraId="789E879F" w14:textId="77777777" w:rsidR="001E4116" w:rsidRDefault="001E4116" w:rsidP="001E4116">
      <w:pPr>
        <w:rPr>
          <w:b/>
          <w:u w:val="single"/>
        </w:rPr>
      </w:pPr>
    </w:p>
    <w:p w14:paraId="789E87A0"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Author of the paper: </w:t>
      </w:r>
      <w:r w:rsidR="00862649">
        <w:rPr>
          <w:b/>
        </w:rPr>
        <w:t xml:space="preserve">  </w:t>
      </w:r>
      <w:r w:rsidR="00C13245">
        <w:rPr>
          <w:b/>
        </w:rPr>
        <w:t xml:space="preserve">Steve Worth / Sailesh Patel </w:t>
      </w:r>
    </w:p>
    <w:p w14:paraId="789E87A1" w14:textId="77777777" w:rsidR="001E4116" w:rsidRDefault="001E4116" w:rsidP="001E4116"/>
    <w:p w14:paraId="789E87A2"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Officer to present the paper to </w:t>
      </w:r>
      <w:r w:rsidR="00025F55">
        <w:rPr>
          <w:b/>
        </w:rPr>
        <w:t>Schools Forum</w:t>
      </w:r>
      <w:r>
        <w:rPr>
          <w:b/>
        </w:rPr>
        <w:t xml:space="preserve">: </w:t>
      </w:r>
      <w:r w:rsidR="00C13245">
        <w:rPr>
          <w:b/>
        </w:rPr>
        <w:t xml:space="preserve">Sailesh Patel </w:t>
      </w:r>
    </w:p>
    <w:p w14:paraId="789E87A3" w14:textId="77777777" w:rsidR="001E4116" w:rsidRDefault="001E4116" w:rsidP="001E4116"/>
    <w:p w14:paraId="789E87A4" w14:textId="77777777" w:rsidR="0063235C" w:rsidRDefault="001E4116" w:rsidP="002A08A5">
      <w:pPr>
        <w:pBdr>
          <w:top w:val="single" w:sz="4" w:space="1" w:color="auto"/>
          <w:left w:val="single" w:sz="4" w:space="4" w:color="auto"/>
          <w:bottom w:val="single" w:sz="4" w:space="1" w:color="auto"/>
          <w:right w:val="single" w:sz="4" w:space="4" w:color="auto"/>
        </w:pBdr>
        <w:rPr>
          <w:b/>
        </w:rPr>
      </w:pPr>
      <w:r>
        <w:rPr>
          <w:b/>
        </w:rPr>
        <w:t>Details on who has been consulted on this paper to date:</w:t>
      </w:r>
    </w:p>
    <w:p w14:paraId="789E87A5" w14:textId="77777777" w:rsidR="00C13245" w:rsidRDefault="00C13245" w:rsidP="002A08A5">
      <w:pPr>
        <w:pBdr>
          <w:top w:val="single" w:sz="4" w:space="1" w:color="auto"/>
          <w:left w:val="single" w:sz="4" w:space="4" w:color="auto"/>
          <w:bottom w:val="single" w:sz="4" w:space="1" w:color="auto"/>
          <w:right w:val="single" w:sz="4" w:space="4" w:color="auto"/>
        </w:pBdr>
        <w:rPr>
          <w:b/>
        </w:rPr>
      </w:pPr>
    </w:p>
    <w:p w14:paraId="789E87A6" w14:textId="77777777" w:rsidR="00C13245" w:rsidRPr="002A08A5" w:rsidRDefault="00C13245" w:rsidP="002A08A5">
      <w:pPr>
        <w:pBdr>
          <w:top w:val="single" w:sz="4" w:space="1" w:color="auto"/>
          <w:left w:val="single" w:sz="4" w:space="4" w:color="auto"/>
          <w:bottom w:val="single" w:sz="4" w:space="1" w:color="auto"/>
          <w:right w:val="single" w:sz="4" w:space="4" w:color="auto"/>
        </w:pBdr>
        <w:rPr>
          <w:b/>
        </w:rPr>
      </w:pPr>
    </w:p>
    <w:p w14:paraId="789E87A7" w14:textId="77777777" w:rsidR="001E4116" w:rsidRDefault="001E4116" w:rsidP="001E4116"/>
    <w:tbl>
      <w:tblPr>
        <w:tblStyle w:val="TableGrid"/>
        <w:tblW w:w="0" w:type="auto"/>
        <w:tblLook w:val="04A0" w:firstRow="1" w:lastRow="0" w:firstColumn="1" w:lastColumn="0" w:noHBand="0" w:noVBand="1"/>
      </w:tblPr>
      <w:tblGrid>
        <w:gridCol w:w="9286"/>
      </w:tblGrid>
      <w:tr w:rsidR="002A08A5" w14:paraId="789E87AF" w14:textId="77777777" w:rsidTr="002A08A5">
        <w:tc>
          <w:tcPr>
            <w:tcW w:w="9286" w:type="dxa"/>
          </w:tcPr>
          <w:p w14:paraId="789E87A8" w14:textId="77777777" w:rsidR="002A08A5" w:rsidRDefault="002A08A5" w:rsidP="001E4116">
            <w:pPr>
              <w:rPr>
                <w:b/>
              </w:rPr>
            </w:pPr>
            <w:r w:rsidRPr="002A08A5">
              <w:rPr>
                <w:b/>
              </w:rPr>
              <w:t>Executive Summary.</w:t>
            </w:r>
          </w:p>
          <w:p w14:paraId="789E87A9" w14:textId="77777777" w:rsidR="00D20C22" w:rsidRPr="0079745A" w:rsidRDefault="0079745A" w:rsidP="001E4116">
            <w:r w:rsidRPr="0079745A">
              <w:t>The report:</w:t>
            </w:r>
          </w:p>
          <w:p w14:paraId="789E87AA" w14:textId="77777777" w:rsidR="00D20C22" w:rsidRPr="00D20C22" w:rsidRDefault="00D20C22" w:rsidP="009C56C2">
            <w:pPr>
              <w:pStyle w:val="ListParagraph"/>
              <w:numPr>
                <w:ilvl w:val="0"/>
                <w:numId w:val="3"/>
              </w:numPr>
              <w:rPr>
                <w:b/>
              </w:rPr>
            </w:pPr>
            <w:r>
              <w:t>Sets out the background to the Central Schools S</w:t>
            </w:r>
            <w:r w:rsidR="0079745A">
              <w:t>ervices Block and the</w:t>
            </w:r>
            <w:r>
              <w:t xml:space="preserve"> allocation for 2019-20.</w:t>
            </w:r>
          </w:p>
          <w:p w14:paraId="789E87AB" w14:textId="77777777" w:rsidR="00D20C22" w:rsidRPr="00B06B29" w:rsidRDefault="0079745A" w:rsidP="009C56C2">
            <w:pPr>
              <w:pStyle w:val="ListParagraph"/>
              <w:numPr>
                <w:ilvl w:val="0"/>
                <w:numId w:val="3"/>
              </w:numPr>
              <w:rPr>
                <w:b/>
              </w:rPr>
            </w:pPr>
            <w:r>
              <w:t>Recommends the funding of</w:t>
            </w:r>
            <w:r w:rsidR="00D20C22">
              <w:t xml:space="preserve"> former Education Services Grant </w:t>
            </w:r>
            <w:r>
              <w:t>retained duties.</w:t>
            </w:r>
          </w:p>
          <w:p w14:paraId="789E87AC" w14:textId="77777777" w:rsidR="00B06B29" w:rsidRPr="00B06B29" w:rsidRDefault="0079745A" w:rsidP="009C56C2">
            <w:pPr>
              <w:pStyle w:val="ListParagraph"/>
              <w:numPr>
                <w:ilvl w:val="0"/>
                <w:numId w:val="3"/>
              </w:numPr>
              <w:rPr>
                <w:b/>
              </w:rPr>
            </w:pPr>
            <w:r>
              <w:t>Recommends t</w:t>
            </w:r>
            <w:r w:rsidR="00B06B29">
              <w:t>he fund</w:t>
            </w:r>
            <w:r>
              <w:t>ing of statutory</w:t>
            </w:r>
            <w:r w:rsidR="00B06B29">
              <w:t xml:space="preserve"> ongoing duties.</w:t>
            </w:r>
          </w:p>
          <w:p w14:paraId="789E87AD" w14:textId="77777777" w:rsidR="00B06B29" w:rsidRPr="00B06B29" w:rsidRDefault="0079745A" w:rsidP="009C56C2">
            <w:pPr>
              <w:pStyle w:val="ListParagraph"/>
              <w:numPr>
                <w:ilvl w:val="0"/>
                <w:numId w:val="3"/>
              </w:numPr>
            </w:pPr>
            <w:r>
              <w:t>Recommends t</w:t>
            </w:r>
            <w:r w:rsidR="00B06B29" w:rsidRPr="00B06B29">
              <w:t>he fund</w:t>
            </w:r>
            <w:r>
              <w:t>ing of</w:t>
            </w:r>
            <w:r w:rsidR="00B06B29" w:rsidRPr="00B06B29">
              <w:t xml:space="preserve"> historical commitments.</w:t>
            </w:r>
          </w:p>
          <w:p w14:paraId="789E87AE" w14:textId="77777777" w:rsidR="002A08A5" w:rsidRDefault="002A08A5" w:rsidP="001E4116"/>
        </w:tc>
      </w:tr>
    </w:tbl>
    <w:p w14:paraId="789E87B0" w14:textId="77777777" w:rsidR="002A08A5" w:rsidRDefault="002A08A5" w:rsidP="002A08A5">
      <w:pPr>
        <w:pStyle w:val="Header"/>
        <w:jc w:val="center"/>
        <w:rPr>
          <w:b/>
        </w:rPr>
      </w:pPr>
    </w:p>
    <w:tbl>
      <w:tblPr>
        <w:tblStyle w:val="TableGrid"/>
        <w:tblW w:w="0" w:type="auto"/>
        <w:tblLook w:val="04A0" w:firstRow="1" w:lastRow="0" w:firstColumn="1" w:lastColumn="0" w:noHBand="0" w:noVBand="1"/>
      </w:tblPr>
      <w:tblGrid>
        <w:gridCol w:w="9286"/>
      </w:tblGrid>
      <w:tr w:rsidR="002A08A5" w14:paraId="789E87B9" w14:textId="77777777" w:rsidTr="002A08A5">
        <w:tc>
          <w:tcPr>
            <w:tcW w:w="9286" w:type="dxa"/>
          </w:tcPr>
          <w:p w14:paraId="789E87B1" w14:textId="77777777" w:rsidR="002A08A5" w:rsidRPr="002A08A5" w:rsidRDefault="002A08A5" w:rsidP="002A08A5">
            <w:pPr>
              <w:pStyle w:val="Header"/>
              <w:rPr>
                <w:b/>
              </w:rPr>
            </w:pPr>
            <w:r w:rsidRPr="002A08A5">
              <w:rPr>
                <w:b/>
              </w:rPr>
              <w:t xml:space="preserve">Details of recommendations and timescales for decisions: </w:t>
            </w:r>
          </w:p>
          <w:p w14:paraId="789E87B2" w14:textId="77777777" w:rsidR="003C7DF4" w:rsidRDefault="003C7DF4" w:rsidP="002A08A5">
            <w:pPr>
              <w:pStyle w:val="Header"/>
              <w:rPr>
                <w:b/>
              </w:rPr>
            </w:pPr>
          </w:p>
          <w:p w14:paraId="789E87B3" w14:textId="77777777" w:rsidR="002A08A5" w:rsidRDefault="002A08A5" w:rsidP="002A08A5">
            <w:pPr>
              <w:pStyle w:val="Header"/>
              <w:rPr>
                <w:b/>
              </w:rPr>
            </w:pPr>
            <w:r w:rsidRPr="002A08A5">
              <w:rPr>
                <w:b/>
              </w:rPr>
              <w:t>Schools Forum is asked to:</w:t>
            </w:r>
          </w:p>
          <w:p w14:paraId="789E87B4" w14:textId="77777777" w:rsidR="00B06B29" w:rsidRDefault="00B06B29" w:rsidP="002A08A5">
            <w:pPr>
              <w:pStyle w:val="Header"/>
              <w:rPr>
                <w:b/>
              </w:rPr>
            </w:pPr>
          </w:p>
          <w:p w14:paraId="789E87B5" w14:textId="77777777" w:rsidR="0079745A" w:rsidRDefault="0079745A" w:rsidP="009C56C2">
            <w:pPr>
              <w:pStyle w:val="Header"/>
              <w:numPr>
                <w:ilvl w:val="0"/>
                <w:numId w:val="4"/>
              </w:numPr>
              <w:rPr>
                <w:b/>
              </w:rPr>
            </w:pPr>
            <w:r>
              <w:rPr>
                <w:b/>
              </w:rPr>
              <w:t>Agree the retention of the funding for the former Education Services Grant retained duties.</w:t>
            </w:r>
          </w:p>
          <w:p w14:paraId="789E87B6" w14:textId="77777777" w:rsidR="0079745A" w:rsidRDefault="0079745A" w:rsidP="009C56C2">
            <w:pPr>
              <w:pStyle w:val="Header"/>
              <w:numPr>
                <w:ilvl w:val="0"/>
                <w:numId w:val="4"/>
              </w:numPr>
              <w:rPr>
                <w:b/>
              </w:rPr>
            </w:pPr>
            <w:r>
              <w:rPr>
                <w:b/>
              </w:rPr>
              <w:t>Agree the retention of funding for statutory ongoing duties.</w:t>
            </w:r>
          </w:p>
          <w:p w14:paraId="789E87B7" w14:textId="77777777" w:rsidR="002A08A5" w:rsidRDefault="0079745A" w:rsidP="009C56C2">
            <w:pPr>
              <w:pStyle w:val="Header"/>
              <w:numPr>
                <w:ilvl w:val="0"/>
                <w:numId w:val="4"/>
              </w:numPr>
              <w:rPr>
                <w:b/>
              </w:rPr>
            </w:pPr>
            <w:r>
              <w:rPr>
                <w:b/>
              </w:rPr>
              <w:t xml:space="preserve">Agree the retention of funding for the historical </w:t>
            </w:r>
            <w:r w:rsidR="00F32EA6">
              <w:rPr>
                <w:b/>
              </w:rPr>
              <w:t>commitments set out in Section 4</w:t>
            </w:r>
            <w:r>
              <w:rPr>
                <w:b/>
              </w:rPr>
              <w:t>.</w:t>
            </w:r>
            <w:r w:rsidR="00B06B29">
              <w:rPr>
                <w:b/>
              </w:rPr>
              <w:t xml:space="preserve"> </w:t>
            </w:r>
          </w:p>
          <w:p w14:paraId="789E87B8" w14:textId="77777777" w:rsidR="002A08A5" w:rsidRDefault="002A08A5" w:rsidP="002A08A5">
            <w:pPr>
              <w:pStyle w:val="Header"/>
              <w:rPr>
                <w:b/>
              </w:rPr>
            </w:pPr>
          </w:p>
        </w:tc>
      </w:tr>
    </w:tbl>
    <w:p w14:paraId="789E87BA" w14:textId="77777777" w:rsidR="002A08A5" w:rsidRDefault="002A08A5" w:rsidP="002A08A5">
      <w:pPr>
        <w:pStyle w:val="Header"/>
        <w:jc w:val="center"/>
        <w:rPr>
          <w:b/>
        </w:rPr>
      </w:pPr>
    </w:p>
    <w:p w14:paraId="789E87BB" w14:textId="77777777" w:rsidR="002A08A5" w:rsidRDefault="002A08A5" w:rsidP="002A08A5">
      <w:pPr>
        <w:pStyle w:val="Header"/>
        <w:jc w:val="center"/>
        <w:rPr>
          <w:b/>
        </w:rPr>
      </w:pPr>
    </w:p>
    <w:p w14:paraId="789E87BC" w14:textId="77777777" w:rsidR="00BB4758" w:rsidRDefault="001E4116" w:rsidP="002A08A5">
      <w:pPr>
        <w:pStyle w:val="Header"/>
        <w:jc w:val="center"/>
        <w:rPr>
          <w:b/>
        </w:rPr>
      </w:pPr>
      <w:r>
        <w:rPr>
          <w:b/>
        </w:rPr>
        <w:br w:type="page"/>
      </w:r>
    </w:p>
    <w:p w14:paraId="789E87BD" w14:textId="273AFC70" w:rsidR="00974C85" w:rsidRDefault="00974C85" w:rsidP="009C56C2">
      <w:pPr>
        <w:numPr>
          <w:ilvl w:val="0"/>
          <w:numId w:val="2"/>
        </w:numPr>
        <w:spacing w:after="160" w:line="259" w:lineRule="auto"/>
        <w:contextualSpacing/>
        <w:rPr>
          <w:b/>
        </w:rPr>
      </w:pPr>
      <w:r w:rsidRPr="00974C85">
        <w:rPr>
          <w:b/>
        </w:rPr>
        <w:lastRenderedPageBreak/>
        <w:t>Central School Services Block (CSSB)</w:t>
      </w:r>
    </w:p>
    <w:p w14:paraId="789E87BE" w14:textId="77777777" w:rsidR="00974C85" w:rsidRPr="00974C85" w:rsidRDefault="00974C85" w:rsidP="00974C85">
      <w:pPr>
        <w:spacing w:after="160" w:line="259" w:lineRule="auto"/>
        <w:ind w:left="360"/>
        <w:contextualSpacing/>
        <w:rPr>
          <w:b/>
        </w:rPr>
      </w:pPr>
    </w:p>
    <w:p w14:paraId="789E87BF" w14:textId="77777777" w:rsidR="00974C85" w:rsidRDefault="00974C85" w:rsidP="009C56C2">
      <w:pPr>
        <w:numPr>
          <w:ilvl w:val="1"/>
          <w:numId w:val="2"/>
        </w:numPr>
        <w:spacing w:after="160" w:line="259" w:lineRule="auto"/>
        <w:ind w:left="567" w:hanging="567"/>
        <w:contextualSpacing/>
      </w:pPr>
      <w:r>
        <w:t xml:space="preserve">The Central Schools Services Block </w:t>
      </w:r>
      <w:r w:rsidR="00E954C0">
        <w:t xml:space="preserve">of the Dedicated Schools Grant (DSG) </w:t>
      </w:r>
      <w:r>
        <w:t xml:space="preserve">was created in 2018-19. It </w:t>
      </w:r>
      <w:r w:rsidR="00FE248C">
        <w:t xml:space="preserve">brought together </w:t>
      </w:r>
      <w:r>
        <w:t xml:space="preserve">centrally retained budgets </w:t>
      </w:r>
      <w:r w:rsidR="00FE248C">
        <w:t xml:space="preserve">transferred from </w:t>
      </w:r>
      <w:r>
        <w:t>the Schools Block and funding</w:t>
      </w:r>
      <w:r w:rsidR="00513AE8">
        <w:t xml:space="preserve"> </w:t>
      </w:r>
      <w:r w:rsidR="00FE248C">
        <w:t xml:space="preserve">for </w:t>
      </w:r>
      <w:r>
        <w:t xml:space="preserve">duties </w:t>
      </w:r>
      <w:r w:rsidR="00FE248C">
        <w:t xml:space="preserve">retained </w:t>
      </w:r>
      <w:r>
        <w:t>for both maintained schools and academies</w:t>
      </w:r>
      <w:r w:rsidR="00FE248C">
        <w:t>. T</w:t>
      </w:r>
      <w:r>
        <w:t>he latter was previously funded from the Education Services Grant (ESG).</w:t>
      </w:r>
    </w:p>
    <w:p w14:paraId="789E87C0" w14:textId="77777777" w:rsidR="00974C85" w:rsidRDefault="00974C85" w:rsidP="00974C85">
      <w:pPr>
        <w:spacing w:after="160" w:line="259" w:lineRule="auto"/>
        <w:ind w:left="567"/>
        <w:contextualSpacing/>
      </w:pPr>
    </w:p>
    <w:p w14:paraId="789E87C1" w14:textId="77777777" w:rsidR="00974C85" w:rsidRDefault="00974C85" w:rsidP="009C56C2">
      <w:pPr>
        <w:numPr>
          <w:ilvl w:val="1"/>
          <w:numId w:val="2"/>
        </w:numPr>
        <w:spacing w:after="160" w:line="259" w:lineRule="auto"/>
        <w:ind w:hanging="567"/>
        <w:contextualSpacing/>
      </w:pPr>
      <w:r>
        <w:t>The funding the Author</w:t>
      </w:r>
      <w:r w:rsidR="00513AE8">
        <w:t>ity receives is made up of two</w:t>
      </w:r>
      <w:r>
        <w:t xml:space="preserve"> </w:t>
      </w:r>
      <w:r w:rsidR="00513AE8">
        <w:t>elements</w:t>
      </w:r>
      <w:r>
        <w:t>:</w:t>
      </w:r>
    </w:p>
    <w:p w14:paraId="789E87C2" w14:textId="77777777" w:rsidR="00974C85" w:rsidRDefault="00974C85" w:rsidP="00974C85">
      <w:pPr>
        <w:spacing w:after="160" w:line="259" w:lineRule="auto"/>
        <w:contextualSpacing/>
      </w:pPr>
    </w:p>
    <w:p w14:paraId="789E87C3" w14:textId="77777777" w:rsidR="00974C85" w:rsidRPr="00974C85" w:rsidRDefault="00974C85" w:rsidP="009C56C2">
      <w:pPr>
        <w:numPr>
          <w:ilvl w:val="2"/>
          <w:numId w:val="2"/>
        </w:numPr>
        <w:spacing w:after="160" w:line="259" w:lineRule="auto"/>
        <w:contextualSpacing/>
      </w:pPr>
      <w:r>
        <w:t>F</w:t>
      </w:r>
      <w:r w:rsidRPr="00974C85">
        <w:t xml:space="preserve">unding </w:t>
      </w:r>
      <w:r w:rsidR="00A96F8C">
        <w:t xml:space="preserve">through a national formula </w:t>
      </w:r>
      <w:r w:rsidRPr="00974C85">
        <w:t>for ongoing responsibilities such as admissions</w:t>
      </w:r>
      <w:r w:rsidR="00513AE8">
        <w:t xml:space="preserve"> and former ESG services.</w:t>
      </w:r>
      <w:r w:rsidR="00950365">
        <w:t xml:space="preserve"> For</w:t>
      </w:r>
      <w:r w:rsidR="00F32EA6">
        <w:t xml:space="preserve"> 2019-20 the allocation is £2.029</w:t>
      </w:r>
      <w:r w:rsidR="000007DD">
        <w:t>m.</w:t>
      </w:r>
    </w:p>
    <w:p w14:paraId="789E87C4" w14:textId="77777777" w:rsidR="00593813" w:rsidRDefault="000007DD" w:rsidP="009C56C2">
      <w:pPr>
        <w:numPr>
          <w:ilvl w:val="2"/>
          <w:numId w:val="2"/>
        </w:numPr>
        <w:tabs>
          <w:tab w:val="left" w:pos="709"/>
        </w:tabs>
        <w:spacing w:after="160" w:line="259" w:lineRule="auto"/>
        <w:ind w:left="709" w:hanging="709"/>
        <w:contextualSpacing/>
      </w:pPr>
      <w:r>
        <w:t>A lump sum element of £2.782m for historical commitments. The Education and Skills Funding Agency</w:t>
      </w:r>
      <w:r w:rsidR="00B91616">
        <w:t xml:space="preserve"> (ESFA)</w:t>
      </w:r>
      <w:r>
        <w:t xml:space="preserve"> expects this element to be reducing and the lump sum </w:t>
      </w:r>
      <w:r w:rsidR="0087358A">
        <w:t>will fall</w:t>
      </w:r>
      <w:r w:rsidR="00593813">
        <w:t xml:space="preserve"> in future years.</w:t>
      </w:r>
    </w:p>
    <w:p w14:paraId="789E87C5" w14:textId="77777777" w:rsidR="00593813" w:rsidRDefault="00593813" w:rsidP="00593813">
      <w:pPr>
        <w:tabs>
          <w:tab w:val="left" w:pos="709"/>
        </w:tabs>
        <w:spacing w:after="160" w:line="259" w:lineRule="auto"/>
        <w:ind w:left="709"/>
        <w:contextualSpacing/>
      </w:pPr>
    </w:p>
    <w:p w14:paraId="789E87C6" w14:textId="77777777" w:rsidR="00AD6680" w:rsidRDefault="00593813" w:rsidP="009C56C2">
      <w:pPr>
        <w:numPr>
          <w:ilvl w:val="1"/>
          <w:numId w:val="2"/>
        </w:numPr>
        <w:tabs>
          <w:tab w:val="left" w:pos="709"/>
        </w:tabs>
        <w:spacing w:after="160" w:line="259" w:lineRule="auto"/>
        <w:ind w:left="709" w:hanging="709"/>
        <w:contextualSpacing/>
      </w:pPr>
      <w:r>
        <w:t>The CSSB in t</w:t>
      </w:r>
      <w:r w:rsidR="00F32EA6">
        <w:t>otal is £4.811</w:t>
      </w:r>
      <w:r w:rsidR="00AD6680">
        <w:t xml:space="preserve">m for 2019-20, </w:t>
      </w:r>
      <w:r w:rsidR="00F32EA6" w:rsidRPr="00F32EA6">
        <w:t>a reduction of £4</w:t>
      </w:r>
      <w:r w:rsidR="00F32EA6">
        <w:t>0k</w:t>
      </w:r>
      <w:r w:rsidR="00AD6680">
        <w:t xml:space="preserve"> compared with 2018-19</w:t>
      </w:r>
      <w:r w:rsidR="00AA0AB5">
        <w:t xml:space="preserve"> and £69</w:t>
      </w:r>
      <w:r w:rsidR="00D20C22">
        <w:t>k compared with the 2017-18 baselines</w:t>
      </w:r>
      <w:r w:rsidR="00AD6680">
        <w:t>.</w:t>
      </w:r>
    </w:p>
    <w:p w14:paraId="789E87C7" w14:textId="77777777" w:rsidR="00793390" w:rsidRDefault="00793390" w:rsidP="00793390">
      <w:pPr>
        <w:tabs>
          <w:tab w:val="left" w:pos="709"/>
        </w:tabs>
        <w:spacing w:after="160" w:line="259" w:lineRule="auto"/>
        <w:ind w:left="709"/>
        <w:contextualSpacing/>
      </w:pPr>
    </w:p>
    <w:p w14:paraId="789E87C8" w14:textId="77777777" w:rsidR="00793390" w:rsidRDefault="00793390" w:rsidP="009C56C2">
      <w:pPr>
        <w:numPr>
          <w:ilvl w:val="1"/>
          <w:numId w:val="2"/>
        </w:numPr>
        <w:tabs>
          <w:tab w:val="left" w:pos="709"/>
        </w:tabs>
        <w:spacing w:after="160" w:line="259" w:lineRule="auto"/>
        <w:ind w:left="709" w:hanging="709"/>
        <w:contextualSpacing/>
      </w:pPr>
      <w:r w:rsidRPr="00974C85">
        <w:t>The aim of the CSSB is to improve transparency and recognise the continued need to use DSG funding (within laid out parameters) to fund centrally managed commitments which support front line and support service functions.</w:t>
      </w:r>
    </w:p>
    <w:p w14:paraId="789E87C9" w14:textId="77777777" w:rsidR="00AD6680" w:rsidRDefault="00AD6680" w:rsidP="00AD6680">
      <w:pPr>
        <w:tabs>
          <w:tab w:val="left" w:pos="709"/>
        </w:tabs>
        <w:spacing w:after="160" w:line="259" w:lineRule="auto"/>
        <w:ind w:left="709"/>
        <w:contextualSpacing/>
      </w:pPr>
    </w:p>
    <w:p w14:paraId="789E87CA" w14:textId="77777777" w:rsidR="00974C85" w:rsidRPr="00974C85" w:rsidRDefault="00AD6680" w:rsidP="009C56C2">
      <w:pPr>
        <w:numPr>
          <w:ilvl w:val="0"/>
          <w:numId w:val="2"/>
        </w:numPr>
        <w:tabs>
          <w:tab w:val="left" w:pos="709"/>
        </w:tabs>
        <w:spacing w:after="160" w:line="259" w:lineRule="auto"/>
        <w:contextualSpacing/>
        <w:rPr>
          <w:b/>
        </w:rPr>
      </w:pPr>
      <w:r w:rsidRPr="00AD6680">
        <w:rPr>
          <w:b/>
        </w:rPr>
        <w:t xml:space="preserve">Former Education Services Grant (ESG) Services. </w:t>
      </w:r>
      <w:r w:rsidR="00974C85" w:rsidRPr="00974C85">
        <w:rPr>
          <w:b/>
        </w:rPr>
        <w:t xml:space="preserve"> </w:t>
      </w:r>
    </w:p>
    <w:p w14:paraId="789E87CB" w14:textId="77777777" w:rsidR="001901D4" w:rsidRDefault="001901D4" w:rsidP="001901D4">
      <w:pPr>
        <w:spacing w:after="160" w:line="259" w:lineRule="auto"/>
        <w:contextualSpacing/>
      </w:pPr>
    </w:p>
    <w:p w14:paraId="789E87CC" w14:textId="77777777" w:rsidR="005E47DF" w:rsidRDefault="001901D4" w:rsidP="009C56C2">
      <w:pPr>
        <w:numPr>
          <w:ilvl w:val="1"/>
          <w:numId w:val="2"/>
        </w:numPr>
        <w:spacing w:after="160" w:line="259" w:lineRule="auto"/>
        <w:ind w:left="567" w:hanging="567"/>
        <w:contextualSpacing/>
      </w:pPr>
      <w:r w:rsidRPr="00602FA9">
        <w:t xml:space="preserve">Various </w:t>
      </w:r>
      <w:r>
        <w:t xml:space="preserve">education services were funded through the ESG. In 2016-17 the ESG had been £3.739m but the grant was phased out in 2017-18. An element </w:t>
      </w:r>
      <w:r w:rsidR="00FE248C">
        <w:t xml:space="preserve">for retained duties, set out in </w:t>
      </w:r>
      <w:r w:rsidR="00FE248C" w:rsidRPr="00FE248C">
        <w:rPr>
          <w:b/>
        </w:rPr>
        <w:t>Appendix 1</w:t>
      </w:r>
      <w:r w:rsidR="00FE248C">
        <w:t>,</w:t>
      </w:r>
      <w:r>
        <w:t xml:space="preserve"> was transferred into the CSSB. The amount transferred was £0.63m and for 2018-19 Forum agreed that this could be retained centrally</w:t>
      </w:r>
      <w:r w:rsidR="005E47DF">
        <w:t>.</w:t>
      </w:r>
    </w:p>
    <w:p w14:paraId="789E87CD" w14:textId="77777777" w:rsidR="001901D4" w:rsidRDefault="001901D4" w:rsidP="005E47DF">
      <w:pPr>
        <w:spacing w:after="160" w:line="259" w:lineRule="auto"/>
        <w:ind w:left="567"/>
        <w:contextualSpacing/>
      </w:pPr>
      <w:r>
        <w:t xml:space="preserve"> </w:t>
      </w:r>
    </w:p>
    <w:p w14:paraId="789E87CE" w14:textId="77777777" w:rsidR="00793390" w:rsidRDefault="005E47DF" w:rsidP="009C56C2">
      <w:pPr>
        <w:numPr>
          <w:ilvl w:val="1"/>
          <w:numId w:val="2"/>
        </w:numPr>
        <w:spacing w:after="160" w:line="259" w:lineRule="auto"/>
        <w:ind w:left="567" w:hanging="567"/>
        <w:contextualSpacing/>
      </w:pPr>
      <w:r>
        <w:t>LAs are able to supplement this sum for services for maintained schools through de-delegation;</w:t>
      </w:r>
      <w:r w:rsidR="00AA0AB5">
        <w:t xml:space="preserve"> this is dealt with in Section 5</w:t>
      </w:r>
      <w:r>
        <w:t xml:space="preserve"> of the </w:t>
      </w:r>
      <w:r w:rsidRPr="005E47DF">
        <w:t>Schools Block</w:t>
      </w:r>
      <w:r>
        <w:rPr>
          <w:b/>
          <w:sz w:val="32"/>
          <w:szCs w:val="32"/>
        </w:rPr>
        <w:t xml:space="preserve"> </w:t>
      </w:r>
      <w:r w:rsidRPr="005E47DF">
        <w:t>Strategy</w:t>
      </w:r>
      <w:r>
        <w:t xml:space="preserve"> Report on this agenda.</w:t>
      </w:r>
    </w:p>
    <w:p w14:paraId="789E87CF" w14:textId="77777777" w:rsidR="00793390" w:rsidRDefault="00793390" w:rsidP="00793390"/>
    <w:p w14:paraId="789E87D0" w14:textId="77777777" w:rsidR="004B55EC" w:rsidRDefault="004B55EC" w:rsidP="009C56C2">
      <w:pPr>
        <w:numPr>
          <w:ilvl w:val="1"/>
          <w:numId w:val="2"/>
        </w:numPr>
        <w:spacing w:after="160" w:line="259" w:lineRule="auto"/>
        <w:ind w:left="567" w:hanging="567"/>
        <w:contextualSpacing/>
      </w:pPr>
      <w:r>
        <w:t>Table 1 sets out the current total budget for former</w:t>
      </w:r>
      <w:r w:rsidR="00FE248C">
        <w:t xml:space="preserve"> ESG funded services and</w:t>
      </w:r>
      <w:r>
        <w:t xml:space="preserve"> the proposed contributions from the CSSB and de-delegation. Please note that the prop</w:t>
      </w:r>
      <w:r w:rsidR="00F01F6A">
        <w:t xml:space="preserve">osed contributions </w:t>
      </w:r>
      <w:r w:rsidR="00F01F6A" w:rsidRPr="00F01F6A">
        <w:rPr>
          <w:b/>
        </w:rPr>
        <w:t xml:space="preserve">only </w:t>
      </w:r>
      <w:r w:rsidR="00AA0AB5" w:rsidRPr="00F01F6A">
        <w:rPr>
          <w:b/>
        </w:rPr>
        <w:t>cover</w:t>
      </w:r>
      <w:r w:rsidR="00AA0AB5">
        <w:t xml:space="preserve"> </w:t>
      </w:r>
      <w:r w:rsidR="00AA0AB5" w:rsidRPr="00F01F6A">
        <w:rPr>
          <w:b/>
        </w:rPr>
        <w:t>40</w:t>
      </w:r>
      <w:r w:rsidRPr="00F01F6A">
        <w:rPr>
          <w:b/>
        </w:rPr>
        <w:t>% of the former grant.</w:t>
      </w:r>
    </w:p>
    <w:p w14:paraId="789E87D1" w14:textId="77777777" w:rsidR="00AF7B22" w:rsidRDefault="00AF7B22" w:rsidP="00AF7B22">
      <w:pPr>
        <w:pStyle w:val="ListParagraph"/>
      </w:pPr>
    </w:p>
    <w:p w14:paraId="789E87D2" w14:textId="77777777" w:rsidR="00E324DB" w:rsidRDefault="00AF7B22" w:rsidP="009C56C2">
      <w:pPr>
        <w:numPr>
          <w:ilvl w:val="1"/>
          <w:numId w:val="2"/>
        </w:numPr>
        <w:spacing w:after="160" w:line="259" w:lineRule="auto"/>
        <w:ind w:left="567" w:hanging="567"/>
        <w:contextualSpacing/>
      </w:pPr>
      <w:r>
        <w:t>At its meeting</w:t>
      </w:r>
      <w:r w:rsidR="00E324DB">
        <w:t xml:space="preserve"> on 5</w:t>
      </w:r>
      <w:r w:rsidR="00E324DB" w:rsidRPr="00E324DB">
        <w:rPr>
          <w:vertAlign w:val="superscript"/>
        </w:rPr>
        <w:t>th</w:t>
      </w:r>
      <w:r w:rsidR="00E324DB">
        <w:t xml:space="preserve"> December 2018, Forum asked for clarification on what is included within the School Improvement Line</w:t>
      </w:r>
      <w:r w:rsidR="00191C1C">
        <w:t xml:space="preserve"> in Table 1</w:t>
      </w:r>
      <w:r w:rsidR="00E324DB">
        <w:t>. The £366k is made up of:</w:t>
      </w:r>
    </w:p>
    <w:p w14:paraId="789E87D3" w14:textId="77777777" w:rsidR="00E324DB" w:rsidRDefault="00E324DB" w:rsidP="00E324DB"/>
    <w:p w14:paraId="789E87D4" w14:textId="77777777" w:rsidR="00AF7B22" w:rsidRDefault="00E23B8E" w:rsidP="009C56C2">
      <w:pPr>
        <w:pStyle w:val="ListParagraph"/>
        <w:numPr>
          <w:ilvl w:val="0"/>
          <w:numId w:val="8"/>
        </w:numPr>
        <w:spacing w:after="160" w:line="259" w:lineRule="auto"/>
      </w:pPr>
      <w:r>
        <w:t>Learning and Achievement Management and Administration,</w:t>
      </w:r>
      <w:r>
        <w:tab/>
        <w:t xml:space="preserve"> £83k.</w:t>
      </w:r>
    </w:p>
    <w:p w14:paraId="789E87D5" w14:textId="77777777" w:rsidR="00E23B8E" w:rsidRDefault="00E23B8E" w:rsidP="009C56C2">
      <w:pPr>
        <w:pStyle w:val="ListParagraph"/>
        <w:numPr>
          <w:ilvl w:val="0"/>
          <w:numId w:val="8"/>
        </w:numPr>
        <w:spacing w:after="160" w:line="259" w:lineRule="auto"/>
      </w:pPr>
      <w:r>
        <w:t>Primary Schools Development</w:t>
      </w:r>
      <w:r w:rsidR="00513440">
        <w:t>,</w:t>
      </w:r>
      <w:r>
        <w:t xml:space="preserve"> £55k.</w:t>
      </w:r>
    </w:p>
    <w:p w14:paraId="789E87D6" w14:textId="77777777" w:rsidR="00E23B8E" w:rsidRDefault="00E23B8E" w:rsidP="009C56C2">
      <w:pPr>
        <w:pStyle w:val="ListParagraph"/>
        <w:numPr>
          <w:ilvl w:val="0"/>
          <w:numId w:val="8"/>
        </w:numPr>
        <w:spacing w:after="160" w:line="259" w:lineRule="auto"/>
      </w:pPr>
      <w:r>
        <w:lastRenderedPageBreak/>
        <w:t>Induction Training, £4k,</w:t>
      </w:r>
    </w:p>
    <w:p w14:paraId="789E87D7" w14:textId="77777777" w:rsidR="00E23B8E" w:rsidRDefault="00E23B8E" w:rsidP="009C56C2">
      <w:pPr>
        <w:pStyle w:val="ListParagraph"/>
        <w:numPr>
          <w:ilvl w:val="0"/>
          <w:numId w:val="8"/>
        </w:numPr>
        <w:spacing w:after="160" w:line="259" w:lineRule="auto"/>
      </w:pPr>
      <w:r>
        <w:t>Secondary Schools Development, £66k.</w:t>
      </w:r>
    </w:p>
    <w:p w14:paraId="789E87D8" w14:textId="77777777" w:rsidR="00E23B8E" w:rsidRDefault="00344086" w:rsidP="009C56C2">
      <w:pPr>
        <w:pStyle w:val="ListParagraph"/>
        <w:numPr>
          <w:ilvl w:val="0"/>
          <w:numId w:val="8"/>
        </w:numPr>
        <w:spacing w:after="160" w:line="259" w:lineRule="auto"/>
      </w:pPr>
      <w:r>
        <w:t>Professional Development Centre, £157k.</w:t>
      </w:r>
    </w:p>
    <w:p w14:paraId="789E87D9" w14:textId="77777777" w:rsidR="004B55EC" w:rsidRDefault="004B55EC" w:rsidP="00513440">
      <w:pPr>
        <w:tabs>
          <w:tab w:val="left" w:pos="567"/>
        </w:tabs>
        <w:spacing w:after="160" w:line="259" w:lineRule="auto"/>
        <w:ind w:left="567" w:hanging="567"/>
        <w:contextualSpacing/>
      </w:pPr>
      <w:r>
        <w:t xml:space="preserve"> </w:t>
      </w:r>
      <w:r w:rsidR="00513440">
        <w:tab/>
        <w:t>These are net costs and include corporate overheads and capital charges. Members should note that these are funded from the General Fund and not the DSG and therefore fall outside the Forum</w:t>
      </w:r>
      <w:r w:rsidR="00AA0AB5">
        <w:t>’s</w:t>
      </w:r>
      <w:r w:rsidR="00513440">
        <w:t xml:space="preserve"> remit.</w:t>
      </w:r>
    </w:p>
    <w:p w14:paraId="789E87DA" w14:textId="77777777" w:rsidR="00513440" w:rsidRDefault="00513440" w:rsidP="00513440">
      <w:pPr>
        <w:tabs>
          <w:tab w:val="left" w:pos="567"/>
        </w:tabs>
        <w:spacing w:after="160" w:line="259" w:lineRule="auto"/>
        <w:ind w:left="567" w:hanging="567"/>
        <w:contextualSpacing/>
      </w:pPr>
    </w:p>
    <w:p w14:paraId="789E87DB" w14:textId="77777777" w:rsidR="004B55EC" w:rsidRDefault="00513440" w:rsidP="009C56C2">
      <w:pPr>
        <w:numPr>
          <w:ilvl w:val="1"/>
          <w:numId w:val="2"/>
        </w:numPr>
        <w:spacing w:after="160" w:line="259" w:lineRule="auto"/>
        <w:ind w:left="567" w:hanging="567"/>
        <w:contextualSpacing/>
      </w:pPr>
      <w:r>
        <w:t>T</w:t>
      </w:r>
      <w:r w:rsidR="004B55EC">
        <w:t>he Authority</w:t>
      </w:r>
      <w:r>
        <w:t xml:space="preserve"> is</w:t>
      </w:r>
      <w:r w:rsidR="004B55EC">
        <w:t xml:space="preserve"> seek</w:t>
      </w:r>
      <w:r>
        <w:t>ing</w:t>
      </w:r>
      <w:r w:rsidR="004B55EC">
        <w:t xml:space="preserve"> Forum’s approval to continue to retain the £0.63m</w:t>
      </w:r>
      <w:r>
        <w:t xml:space="preserve"> (in bold in Table 1)</w:t>
      </w:r>
      <w:r w:rsidR="004B55EC">
        <w:t xml:space="preserve"> as a contribution towards its statutory duties. </w:t>
      </w:r>
    </w:p>
    <w:p w14:paraId="789E87DC" w14:textId="77777777" w:rsidR="004B55EC" w:rsidRDefault="004B55EC" w:rsidP="004B55EC">
      <w:pPr>
        <w:pStyle w:val="ListParagraph"/>
      </w:pPr>
    </w:p>
    <w:p w14:paraId="789E87DD" w14:textId="77777777" w:rsidR="004B55EC" w:rsidRPr="00263DD7" w:rsidRDefault="002A08A5" w:rsidP="002A08A5">
      <w:pPr>
        <w:pStyle w:val="ListParagraph"/>
        <w:keepNext/>
        <w:ind w:left="792"/>
        <w:rPr>
          <w:b/>
        </w:rPr>
      </w:pPr>
      <w:r>
        <w:rPr>
          <w:b/>
        </w:rPr>
        <w:t>Table 1</w:t>
      </w:r>
      <w:r w:rsidR="004B55EC" w:rsidRPr="00263DD7">
        <w:rPr>
          <w:b/>
        </w:rPr>
        <w:t>: Former ESG Budgets</w:t>
      </w:r>
      <w:r w:rsidR="00AF7B22">
        <w:rPr>
          <w:b/>
        </w:rPr>
        <w:t xml:space="preserve"> (2018-19)</w:t>
      </w:r>
      <w:r w:rsidR="004B55EC" w:rsidRPr="00263DD7">
        <w:rPr>
          <w:b/>
        </w:rPr>
        <w:t xml:space="preserve"> and Proposed CSSB and De-Delegated Contributions.</w:t>
      </w:r>
    </w:p>
    <w:p w14:paraId="789E87DE" w14:textId="77777777" w:rsidR="004B55EC" w:rsidRDefault="004B55EC" w:rsidP="002A08A5">
      <w:pPr>
        <w:keepNext/>
      </w:pPr>
    </w:p>
    <w:tbl>
      <w:tblPr>
        <w:tblStyle w:val="TableGrid"/>
        <w:tblW w:w="8530" w:type="dxa"/>
        <w:tblInd w:w="792" w:type="dxa"/>
        <w:tblLayout w:type="fixed"/>
        <w:tblLook w:val="04A0" w:firstRow="1" w:lastRow="0" w:firstColumn="1" w:lastColumn="0" w:noHBand="0" w:noVBand="1"/>
      </w:tblPr>
      <w:tblGrid>
        <w:gridCol w:w="3711"/>
        <w:gridCol w:w="1204"/>
        <w:gridCol w:w="1064"/>
        <w:gridCol w:w="1346"/>
        <w:gridCol w:w="1205"/>
      </w:tblGrid>
      <w:tr w:rsidR="004B55EC" w14:paraId="789E87E4" w14:textId="77777777" w:rsidTr="007C70CA">
        <w:tc>
          <w:tcPr>
            <w:tcW w:w="3711" w:type="dxa"/>
          </w:tcPr>
          <w:p w14:paraId="789E87DF" w14:textId="77777777" w:rsidR="004B55EC" w:rsidRPr="00EF60AC" w:rsidRDefault="004B55EC" w:rsidP="002A08A5">
            <w:pPr>
              <w:pStyle w:val="ListParagraph"/>
              <w:keepNext/>
              <w:ind w:left="0"/>
              <w:rPr>
                <w:b/>
              </w:rPr>
            </w:pPr>
            <w:r w:rsidRPr="00EF60AC">
              <w:rPr>
                <w:b/>
              </w:rPr>
              <w:t>Category</w:t>
            </w:r>
          </w:p>
        </w:tc>
        <w:tc>
          <w:tcPr>
            <w:tcW w:w="1204" w:type="dxa"/>
          </w:tcPr>
          <w:p w14:paraId="789E87E0" w14:textId="77777777" w:rsidR="004B55EC" w:rsidRPr="00513440" w:rsidRDefault="004B55EC" w:rsidP="002A08A5">
            <w:pPr>
              <w:pStyle w:val="ListParagraph"/>
              <w:keepNext/>
              <w:ind w:left="0"/>
            </w:pPr>
            <w:r w:rsidRPr="00513440">
              <w:t>Total</w:t>
            </w:r>
          </w:p>
        </w:tc>
        <w:tc>
          <w:tcPr>
            <w:tcW w:w="1064" w:type="dxa"/>
          </w:tcPr>
          <w:p w14:paraId="789E87E1" w14:textId="77777777" w:rsidR="004B55EC" w:rsidRPr="00EF60AC" w:rsidRDefault="004B55EC" w:rsidP="002A08A5">
            <w:pPr>
              <w:pStyle w:val="ListParagraph"/>
              <w:keepNext/>
              <w:ind w:left="0"/>
              <w:rPr>
                <w:b/>
              </w:rPr>
            </w:pPr>
            <w:r w:rsidRPr="00EF60AC">
              <w:rPr>
                <w:b/>
              </w:rPr>
              <w:t>CSSB</w:t>
            </w:r>
          </w:p>
        </w:tc>
        <w:tc>
          <w:tcPr>
            <w:tcW w:w="1346" w:type="dxa"/>
          </w:tcPr>
          <w:p w14:paraId="789E87E2" w14:textId="77777777" w:rsidR="004B55EC" w:rsidRPr="00513440" w:rsidRDefault="004B55EC" w:rsidP="002A08A5">
            <w:pPr>
              <w:pStyle w:val="ListParagraph"/>
              <w:keepNext/>
              <w:ind w:left="0"/>
            </w:pPr>
            <w:r w:rsidRPr="00513440">
              <w:t xml:space="preserve">De-delegated </w:t>
            </w:r>
          </w:p>
        </w:tc>
        <w:tc>
          <w:tcPr>
            <w:tcW w:w="1205" w:type="dxa"/>
          </w:tcPr>
          <w:p w14:paraId="789E87E3" w14:textId="77777777" w:rsidR="004B55EC" w:rsidRPr="00513440" w:rsidRDefault="004B55EC" w:rsidP="002A08A5">
            <w:pPr>
              <w:pStyle w:val="ListParagraph"/>
              <w:keepNext/>
              <w:ind w:left="0"/>
            </w:pPr>
            <w:r w:rsidRPr="00513440">
              <w:t>General Fund</w:t>
            </w:r>
          </w:p>
        </w:tc>
      </w:tr>
      <w:tr w:rsidR="004B55EC" w14:paraId="789E87EA" w14:textId="77777777" w:rsidTr="007C70CA">
        <w:tc>
          <w:tcPr>
            <w:tcW w:w="3711" w:type="dxa"/>
          </w:tcPr>
          <w:p w14:paraId="789E87E5" w14:textId="77777777" w:rsidR="004B55EC" w:rsidRDefault="004B55EC" w:rsidP="002A08A5">
            <w:pPr>
              <w:pStyle w:val="ListParagraph"/>
              <w:keepNext/>
              <w:ind w:left="0"/>
            </w:pPr>
          </w:p>
        </w:tc>
        <w:tc>
          <w:tcPr>
            <w:tcW w:w="1204" w:type="dxa"/>
          </w:tcPr>
          <w:p w14:paraId="789E87E6" w14:textId="77777777" w:rsidR="004B55EC" w:rsidRDefault="004B55EC" w:rsidP="002A08A5">
            <w:pPr>
              <w:pStyle w:val="ListParagraph"/>
              <w:keepNext/>
              <w:ind w:left="0"/>
              <w:jc w:val="right"/>
            </w:pPr>
            <w:r>
              <w:t>£000</w:t>
            </w:r>
          </w:p>
        </w:tc>
        <w:tc>
          <w:tcPr>
            <w:tcW w:w="1064" w:type="dxa"/>
          </w:tcPr>
          <w:p w14:paraId="789E87E7" w14:textId="77777777" w:rsidR="004B55EC" w:rsidRPr="00513440" w:rsidRDefault="004B55EC" w:rsidP="002A08A5">
            <w:pPr>
              <w:pStyle w:val="ListParagraph"/>
              <w:keepNext/>
              <w:ind w:left="0"/>
              <w:jc w:val="right"/>
              <w:rPr>
                <w:b/>
              </w:rPr>
            </w:pPr>
            <w:r w:rsidRPr="00513440">
              <w:rPr>
                <w:b/>
              </w:rPr>
              <w:t>£000</w:t>
            </w:r>
          </w:p>
        </w:tc>
        <w:tc>
          <w:tcPr>
            <w:tcW w:w="1346" w:type="dxa"/>
          </w:tcPr>
          <w:p w14:paraId="789E87E8" w14:textId="77777777" w:rsidR="004B55EC" w:rsidRDefault="004B55EC" w:rsidP="002A08A5">
            <w:pPr>
              <w:pStyle w:val="ListParagraph"/>
              <w:keepNext/>
              <w:ind w:left="0"/>
              <w:jc w:val="right"/>
            </w:pPr>
            <w:r>
              <w:t>£000</w:t>
            </w:r>
          </w:p>
        </w:tc>
        <w:tc>
          <w:tcPr>
            <w:tcW w:w="1205" w:type="dxa"/>
          </w:tcPr>
          <w:p w14:paraId="789E87E9" w14:textId="77777777" w:rsidR="004B55EC" w:rsidRDefault="004B55EC" w:rsidP="002A08A5">
            <w:pPr>
              <w:pStyle w:val="ListParagraph"/>
              <w:keepNext/>
              <w:ind w:left="0"/>
              <w:jc w:val="right"/>
            </w:pPr>
            <w:r>
              <w:t>£000</w:t>
            </w:r>
          </w:p>
        </w:tc>
      </w:tr>
      <w:tr w:rsidR="004B55EC" w14:paraId="789E87F0" w14:textId="77777777" w:rsidTr="007C70CA">
        <w:tc>
          <w:tcPr>
            <w:tcW w:w="3711" w:type="dxa"/>
          </w:tcPr>
          <w:p w14:paraId="789E87EB" w14:textId="77777777" w:rsidR="004B55EC" w:rsidRDefault="004B55EC" w:rsidP="002A08A5">
            <w:pPr>
              <w:pStyle w:val="ListParagraph"/>
              <w:keepNext/>
              <w:ind w:left="0"/>
            </w:pPr>
            <w:r>
              <w:t>Statutory and regulatory Duties</w:t>
            </w:r>
          </w:p>
        </w:tc>
        <w:tc>
          <w:tcPr>
            <w:tcW w:w="1204" w:type="dxa"/>
          </w:tcPr>
          <w:p w14:paraId="789E87EC" w14:textId="77777777" w:rsidR="004B55EC" w:rsidRDefault="004B55EC" w:rsidP="002A08A5">
            <w:pPr>
              <w:pStyle w:val="ListParagraph"/>
              <w:keepNext/>
              <w:ind w:left="0"/>
              <w:jc w:val="right"/>
            </w:pPr>
            <w:r>
              <w:t>1,553</w:t>
            </w:r>
          </w:p>
        </w:tc>
        <w:tc>
          <w:tcPr>
            <w:tcW w:w="1064" w:type="dxa"/>
          </w:tcPr>
          <w:p w14:paraId="789E87ED" w14:textId="77777777" w:rsidR="004B55EC" w:rsidRPr="00513440" w:rsidRDefault="004B55EC" w:rsidP="002A08A5">
            <w:pPr>
              <w:pStyle w:val="ListParagraph"/>
              <w:keepNext/>
              <w:ind w:left="0"/>
              <w:jc w:val="right"/>
              <w:rPr>
                <w:b/>
              </w:rPr>
            </w:pPr>
            <w:r w:rsidRPr="00513440">
              <w:rPr>
                <w:b/>
              </w:rPr>
              <w:t>358</w:t>
            </w:r>
          </w:p>
        </w:tc>
        <w:tc>
          <w:tcPr>
            <w:tcW w:w="1346" w:type="dxa"/>
          </w:tcPr>
          <w:p w14:paraId="789E87EE" w14:textId="77777777" w:rsidR="004B55EC" w:rsidRDefault="00AA0AB5" w:rsidP="002A08A5">
            <w:pPr>
              <w:pStyle w:val="ListParagraph"/>
              <w:keepNext/>
              <w:ind w:left="0"/>
              <w:jc w:val="right"/>
            </w:pPr>
            <w:r>
              <w:t>291</w:t>
            </w:r>
          </w:p>
        </w:tc>
        <w:tc>
          <w:tcPr>
            <w:tcW w:w="1205" w:type="dxa"/>
          </w:tcPr>
          <w:p w14:paraId="789E87EF" w14:textId="77777777" w:rsidR="004B55EC" w:rsidRDefault="00AA0AB5" w:rsidP="002A08A5">
            <w:pPr>
              <w:pStyle w:val="ListParagraph"/>
              <w:keepNext/>
              <w:ind w:left="0"/>
              <w:jc w:val="right"/>
            </w:pPr>
            <w:r>
              <w:t>904</w:t>
            </w:r>
          </w:p>
        </w:tc>
      </w:tr>
      <w:tr w:rsidR="004B55EC" w14:paraId="789E87F6" w14:textId="77777777" w:rsidTr="007C70CA">
        <w:tc>
          <w:tcPr>
            <w:tcW w:w="3711" w:type="dxa"/>
          </w:tcPr>
          <w:p w14:paraId="789E87F1" w14:textId="77777777" w:rsidR="004B55EC" w:rsidRDefault="004B55EC" w:rsidP="002A08A5">
            <w:pPr>
              <w:pStyle w:val="ListParagraph"/>
              <w:keepNext/>
              <w:ind w:left="0"/>
            </w:pPr>
            <w:r>
              <w:t>School Improvement</w:t>
            </w:r>
          </w:p>
        </w:tc>
        <w:tc>
          <w:tcPr>
            <w:tcW w:w="1204" w:type="dxa"/>
          </w:tcPr>
          <w:p w14:paraId="789E87F2" w14:textId="77777777" w:rsidR="004B55EC" w:rsidRDefault="004B55EC" w:rsidP="002A08A5">
            <w:pPr>
              <w:pStyle w:val="ListParagraph"/>
              <w:keepNext/>
              <w:ind w:left="0"/>
              <w:jc w:val="right"/>
            </w:pPr>
            <w:r>
              <w:t>366</w:t>
            </w:r>
          </w:p>
        </w:tc>
        <w:tc>
          <w:tcPr>
            <w:tcW w:w="1064" w:type="dxa"/>
          </w:tcPr>
          <w:p w14:paraId="789E87F3" w14:textId="77777777" w:rsidR="004B55EC" w:rsidRPr="00513440" w:rsidRDefault="004B55EC" w:rsidP="002A08A5">
            <w:pPr>
              <w:pStyle w:val="ListParagraph"/>
              <w:keepNext/>
              <w:ind w:left="0"/>
              <w:jc w:val="right"/>
              <w:rPr>
                <w:b/>
              </w:rPr>
            </w:pPr>
            <w:r w:rsidRPr="00513440">
              <w:rPr>
                <w:b/>
              </w:rPr>
              <w:t>0</w:t>
            </w:r>
          </w:p>
        </w:tc>
        <w:tc>
          <w:tcPr>
            <w:tcW w:w="1346" w:type="dxa"/>
          </w:tcPr>
          <w:p w14:paraId="789E87F4" w14:textId="77777777" w:rsidR="004B55EC" w:rsidRDefault="00AF7B22" w:rsidP="002A08A5">
            <w:pPr>
              <w:pStyle w:val="ListParagraph"/>
              <w:keepNext/>
              <w:ind w:left="0"/>
              <w:jc w:val="right"/>
            </w:pPr>
            <w:r>
              <w:t>0</w:t>
            </w:r>
          </w:p>
        </w:tc>
        <w:tc>
          <w:tcPr>
            <w:tcW w:w="1205" w:type="dxa"/>
          </w:tcPr>
          <w:p w14:paraId="789E87F5" w14:textId="77777777" w:rsidR="004B55EC" w:rsidRDefault="004B55EC" w:rsidP="002A08A5">
            <w:pPr>
              <w:pStyle w:val="ListParagraph"/>
              <w:keepNext/>
              <w:ind w:left="0"/>
              <w:jc w:val="right"/>
            </w:pPr>
            <w:r>
              <w:t>366</w:t>
            </w:r>
          </w:p>
        </w:tc>
      </w:tr>
      <w:tr w:rsidR="004B55EC" w14:paraId="789E87FC" w14:textId="77777777" w:rsidTr="007C70CA">
        <w:tc>
          <w:tcPr>
            <w:tcW w:w="3711" w:type="dxa"/>
          </w:tcPr>
          <w:p w14:paraId="789E87F7" w14:textId="77777777" w:rsidR="004B55EC" w:rsidRDefault="004B55EC" w:rsidP="002A08A5">
            <w:pPr>
              <w:pStyle w:val="ListParagraph"/>
              <w:keepNext/>
              <w:ind w:left="0"/>
            </w:pPr>
            <w:r>
              <w:t>Education Welfare</w:t>
            </w:r>
          </w:p>
        </w:tc>
        <w:tc>
          <w:tcPr>
            <w:tcW w:w="1204" w:type="dxa"/>
          </w:tcPr>
          <w:p w14:paraId="789E87F8" w14:textId="77777777" w:rsidR="004B55EC" w:rsidRDefault="004B55EC" w:rsidP="002A08A5">
            <w:pPr>
              <w:pStyle w:val="ListParagraph"/>
              <w:keepNext/>
              <w:ind w:left="0"/>
              <w:jc w:val="right"/>
            </w:pPr>
            <w:r>
              <w:t>1,243</w:t>
            </w:r>
          </w:p>
        </w:tc>
        <w:tc>
          <w:tcPr>
            <w:tcW w:w="1064" w:type="dxa"/>
          </w:tcPr>
          <w:p w14:paraId="789E87F9" w14:textId="77777777" w:rsidR="004B55EC" w:rsidRPr="00513440" w:rsidRDefault="004B55EC" w:rsidP="002A08A5">
            <w:pPr>
              <w:pStyle w:val="ListParagraph"/>
              <w:keepNext/>
              <w:ind w:left="0"/>
              <w:jc w:val="right"/>
              <w:rPr>
                <w:b/>
              </w:rPr>
            </w:pPr>
            <w:r w:rsidRPr="00513440">
              <w:rPr>
                <w:b/>
              </w:rPr>
              <w:t>229</w:t>
            </w:r>
          </w:p>
        </w:tc>
        <w:tc>
          <w:tcPr>
            <w:tcW w:w="1346" w:type="dxa"/>
          </w:tcPr>
          <w:p w14:paraId="789E87FA" w14:textId="77777777" w:rsidR="004B55EC" w:rsidRDefault="00AA0AB5" w:rsidP="002A08A5">
            <w:pPr>
              <w:pStyle w:val="ListParagraph"/>
              <w:keepNext/>
              <w:ind w:left="0"/>
              <w:jc w:val="right"/>
            </w:pPr>
            <w:r>
              <w:t>199</w:t>
            </w:r>
          </w:p>
        </w:tc>
        <w:tc>
          <w:tcPr>
            <w:tcW w:w="1205" w:type="dxa"/>
          </w:tcPr>
          <w:p w14:paraId="789E87FB" w14:textId="77777777" w:rsidR="004B55EC" w:rsidRDefault="004B55EC" w:rsidP="002A08A5">
            <w:pPr>
              <w:pStyle w:val="ListParagraph"/>
              <w:keepNext/>
              <w:ind w:left="0"/>
              <w:jc w:val="right"/>
            </w:pPr>
            <w:r>
              <w:t>8</w:t>
            </w:r>
            <w:r w:rsidR="00AA0AB5">
              <w:t>15</w:t>
            </w:r>
          </w:p>
        </w:tc>
      </w:tr>
      <w:tr w:rsidR="004B55EC" w14:paraId="789E8802" w14:textId="77777777" w:rsidTr="007C70CA">
        <w:tc>
          <w:tcPr>
            <w:tcW w:w="3711" w:type="dxa"/>
          </w:tcPr>
          <w:p w14:paraId="789E87FD" w14:textId="77777777" w:rsidR="004B55EC" w:rsidRDefault="004B55EC" w:rsidP="002A08A5">
            <w:pPr>
              <w:pStyle w:val="ListParagraph"/>
              <w:keepNext/>
              <w:ind w:left="0"/>
            </w:pPr>
            <w:r>
              <w:t>Asset Management</w:t>
            </w:r>
          </w:p>
        </w:tc>
        <w:tc>
          <w:tcPr>
            <w:tcW w:w="1204" w:type="dxa"/>
          </w:tcPr>
          <w:p w14:paraId="789E87FE" w14:textId="77777777" w:rsidR="004B55EC" w:rsidRDefault="004B55EC" w:rsidP="002A08A5">
            <w:pPr>
              <w:pStyle w:val="ListParagraph"/>
              <w:keepNext/>
              <w:ind w:left="0"/>
              <w:jc w:val="right"/>
            </w:pPr>
            <w:r>
              <w:t>419</w:t>
            </w:r>
          </w:p>
        </w:tc>
        <w:tc>
          <w:tcPr>
            <w:tcW w:w="1064" w:type="dxa"/>
          </w:tcPr>
          <w:p w14:paraId="789E87FF" w14:textId="77777777" w:rsidR="004B55EC" w:rsidRPr="00513440" w:rsidRDefault="004B55EC" w:rsidP="002A08A5">
            <w:pPr>
              <w:pStyle w:val="ListParagraph"/>
              <w:keepNext/>
              <w:ind w:left="0"/>
              <w:jc w:val="right"/>
              <w:rPr>
                <w:b/>
              </w:rPr>
            </w:pPr>
            <w:r w:rsidRPr="00513440">
              <w:rPr>
                <w:b/>
              </w:rPr>
              <w:t>43</w:t>
            </w:r>
          </w:p>
        </w:tc>
        <w:tc>
          <w:tcPr>
            <w:tcW w:w="1346" w:type="dxa"/>
          </w:tcPr>
          <w:p w14:paraId="789E8800" w14:textId="77777777" w:rsidR="004B55EC" w:rsidRDefault="004B55EC" w:rsidP="002A08A5">
            <w:pPr>
              <w:pStyle w:val="ListParagraph"/>
              <w:keepNext/>
              <w:ind w:left="0"/>
              <w:jc w:val="right"/>
            </w:pPr>
            <w:r>
              <w:t>3</w:t>
            </w:r>
            <w:r w:rsidR="00AA0AB5">
              <w:t>7</w:t>
            </w:r>
          </w:p>
        </w:tc>
        <w:tc>
          <w:tcPr>
            <w:tcW w:w="1205" w:type="dxa"/>
          </w:tcPr>
          <w:p w14:paraId="789E8801" w14:textId="77777777" w:rsidR="004B55EC" w:rsidRDefault="004B55EC" w:rsidP="002A08A5">
            <w:pPr>
              <w:pStyle w:val="ListParagraph"/>
              <w:keepNext/>
              <w:ind w:left="0"/>
              <w:jc w:val="right"/>
            </w:pPr>
            <w:r>
              <w:t>33</w:t>
            </w:r>
            <w:r w:rsidR="00AA0AB5">
              <w:t>9</w:t>
            </w:r>
          </w:p>
        </w:tc>
      </w:tr>
      <w:tr w:rsidR="004B55EC" w14:paraId="789E8808" w14:textId="77777777" w:rsidTr="007C70CA">
        <w:tc>
          <w:tcPr>
            <w:tcW w:w="3711" w:type="dxa"/>
          </w:tcPr>
          <w:p w14:paraId="789E8803" w14:textId="77777777" w:rsidR="004B55EC" w:rsidRDefault="004B55EC" w:rsidP="002A08A5">
            <w:pPr>
              <w:pStyle w:val="ListParagraph"/>
              <w:keepNext/>
              <w:ind w:left="0"/>
            </w:pPr>
            <w:r>
              <w:t>Central Support services</w:t>
            </w:r>
          </w:p>
        </w:tc>
        <w:tc>
          <w:tcPr>
            <w:tcW w:w="1204" w:type="dxa"/>
          </w:tcPr>
          <w:p w14:paraId="789E8804" w14:textId="77777777" w:rsidR="004B55EC" w:rsidRDefault="004B55EC" w:rsidP="002A08A5">
            <w:pPr>
              <w:pStyle w:val="ListParagraph"/>
              <w:keepNext/>
              <w:ind w:left="0"/>
              <w:jc w:val="right"/>
            </w:pPr>
            <w:r>
              <w:t>480</w:t>
            </w:r>
          </w:p>
        </w:tc>
        <w:tc>
          <w:tcPr>
            <w:tcW w:w="1064" w:type="dxa"/>
          </w:tcPr>
          <w:p w14:paraId="789E8805" w14:textId="77777777" w:rsidR="004B55EC" w:rsidRPr="00513440" w:rsidRDefault="00BC407D" w:rsidP="002A08A5">
            <w:pPr>
              <w:pStyle w:val="ListParagraph"/>
              <w:keepNext/>
              <w:ind w:left="0"/>
              <w:jc w:val="right"/>
              <w:rPr>
                <w:b/>
              </w:rPr>
            </w:pPr>
            <w:r>
              <w:rPr>
                <w:b/>
              </w:rPr>
              <w:t>0</w:t>
            </w:r>
          </w:p>
        </w:tc>
        <w:tc>
          <w:tcPr>
            <w:tcW w:w="1346" w:type="dxa"/>
          </w:tcPr>
          <w:p w14:paraId="789E8806" w14:textId="77777777" w:rsidR="004B55EC" w:rsidRDefault="004B55EC" w:rsidP="002A08A5">
            <w:pPr>
              <w:pStyle w:val="ListParagraph"/>
              <w:keepNext/>
              <w:ind w:left="0"/>
              <w:jc w:val="right"/>
            </w:pPr>
            <w:r>
              <w:t>10</w:t>
            </w:r>
            <w:r w:rsidR="00AA0AB5">
              <w:t>2</w:t>
            </w:r>
          </w:p>
        </w:tc>
        <w:tc>
          <w:tcPr>
            <w:tcW w:w="1205" w:type="dxa"/>
          </w:tcPr>
          <w:p w14:paraId="789E8807" w14:textId="77777777" w:rsidR="004B55EC" w:rsidRDefault="004B55EC" w:rsidP="002A08A5">
            <w:pPr>
              <w:pStyle w:val="ListParagraph"/>
              <w:keepNext/>
              <w:ind w:left="0"/>
              <w:jc w:val="right"/>
            </w:pPr>
            <w:r>
              <w:t>37</w:t>
            </w:r>
            <w:r w:rsidR="00AA0AB5">
              <w:t>8</w:t>
            </w:r>
          </w:p>
        </w:tc>
      </w:tr>
      <w:tr w:rsidR="004B55EC" w14:paraId="789E880E" w14:textId="77777777" w:rsidTr="007C70CA">
        <w:tc>
          <w:tcPr>
            <w:tcW w:w="3711" w:type="dxa"/>
          </w:tcPr>
          <w:p w14:paraId="789E8809" w14:textId="77777777" w:rsidR="004B55EC" w:rsidRDefault="004B55EC" w:rsidP="002A08A5">
            <w:pPr>
              <w:pStyle w:val="ListParagraph"/>
              <w:keepNext/>
              <w:ind w:left="0"/>
            </w:pPr>
            <w:r>
              <w:t>Redundancy &amp; Early Retirement</w:t>
            </w:r>
          </w:p>
        </w:tc>
        <w:tc>
          <w:tcPr>
            <w:tcW w:w="1204" w:type="dxa"/>
          </w:tcPr>
          <w:p w14:paraId="789E880A" w14:textId="77777777" w:rsidR="004B55EC" w:rsidRDefault="004B55EC" w:rsidP="002A08A5">
            <w:pPr>
              <w:pStyle w:val="ListParagraph"/>
              <w:keepNext/>
              <w:ind w:left="0"/>
              <w:jc w:val="right"/>
            </w:pPr>
            <w:r>
              <w:t>1,481</w:t>
            </w:r>
          </w:p>
        </w:tc>
        <w:tc>
          <w:tcPr>
            <w:tcW w:w="1064" w:type="dxa"/>
          </w:tcPr>
          <w:p w14:paraId="789E880B" w14:textId="77777777" w:rsidR="004B55EC" w:rsidRPr="00513440" w:rsidRDefault="004B55EC" w:rsidP="002A08A5">
            <w:pPr>
              <w:pStyle w:val="ListParagraph"/>
              <w:keepNext/>
              <w:ind w:left="0"/>
              <w:jc w:val="right"/>
              <w:rPr>
                <w:b/>
              </w:rPr>
            </w:pPr>
            <w:r w:rsidRPr="00513440">
              <w:rPr>
                <w:b/>
              </w:rPr>
              <w:t>0</w:t>
            </w:r>
          </w:p>
        </w:tc>
        <w:tc>
          <w:tcPr>
            <w:tcW w:w="1346" w:type="dxa"/>
          </w:tcPr>
          <w:p w14:paraId="789E880C" w14:textId="77777777" w:rsidR="004B55EC" w:rsidRDefault="00AA0AB5" w:rsidP="002A08A5">
            <w:pPr>
              <w:pStyle w:val="ListParagraph"/>
              <w:keepNext/>
              <w:ind w:left="0"/>
              <w:jc w:val="right"/>
            </w:pPr>
            <w:r>
              <w:t>23</w:t>
            </w:r>
            <w:r w:rsidR="004B55EC">
              <w:t>5</w:t>
            </w:r>
          </w:p>
        </w:tc>
        <w:tc>
          <w:tcPr>
            <w:tcW w:w="1205" w:type="dxa"/>
          </w:tcPr>
          <w:p w14:paraId="789E880D" w14:textId="77777777" w:rsidR="004B55EC" w:rsidRDefault="004B55EC" w:rsidP="002A08A5">
            <w:pPr>
              <w:pStyle w:val="ListParagraph"/>
              <w:keepNext/>
              <w:ind w:left="0"/>
              <w:jc w:val="right"/>
            </w:pPr>
            <w:r>
              <w:t>1,2</w:t>
            </w:r>
            <w:r w:rsidR="00AA0AB5">
              <w:t>46</w:t>
            </w:r>
          </w:p>
        </w:tc>
      </w:tr>
      <w:tr w:rsidR="004B55EC" w14:paraId="789E8814" w14:textId="77777777" w:rsidTr="007C70CA">
        <w:tc>
          <w:tcPr>
            <w:tcW w:w="3711" w:type="dxa"/>
          </w:tcPr>
          <w:p w14:paraId="789E880F" w14:textId="77777777" w:rsidR="004B55EC" w:rsidRDefault="004B55EC" w:rsidP="002A08A5">
            <w:pPr>
              <w:pStyle w:val="ListParagraph"/>
              <w:keepNext/>
              <w:ind w:left="0"/>
            </w:pPr>
            <w:r>
              <w:t>Total</w:t>
            </w:r>
          </w:p>
        </w:tc>
        <w:tc>
          <w:tcPr>
            <w:tcW w:w="1204" w:type="dxa"/>
          </w:tcPr>
          <w:p w14:paraId="789E8810" w14:textId="77777777" w:rsidR="004B55EC" w:rsidRDefault="004B55EC" w:rsidP="002A08A5">
            <w:pPr>
              <w:pStyle w:val="ListParagraph"/>
              <w:keepNext/>
              <w:ind w:left="0"/>
              <w:jc w:val="right"/>
            </w:pPr>
            <w:r>
              <w:t>5,542</w:t>
            </w:r>
          </w:p>
        </w:tc>
        <w:tc>
          <w:tcPr>
            <w:tcW w:w="1064" w:type="dxa"/>
          </w:tcPr>
          <w:p w14:paraId="789E8811" w14:textId="77777777" w:rsidR="004B55EC" w:rsidRPr="00513440" w:rsidRDefault="004B55EC" w:rsidP="002A08A5">
            <w:pPr>
              <w:pStyle w:val="ListParagraph"/>
              <w:keepNext/>
              <w:ind w:left="0"/>
              <w:jc w:val="right"/>
              <w:rPr>
                <w:b/>
              </w:rPr>
            </w:pPr>
            <w:r w:rsidRPr="00513440">
              <w:rPr>
                <w:b/>
              </w:rPr>
              <w:t>630</w:t>
            </w:r>
          </w:p>
        </w:tc>
        <w:tc>
          <w:tcPr>
            <w:tcW w:w="1346" w:type="dxa"/>
          </w:tcPr>
          <w:p w14:paraId="789E8812" w14:textId="77777777" w:rsidR="004B55EC" w:rsidRDefault="00AA0AB5" w:rsidP="002A08A5">
            <w:pPr>
              <w:pStyle w:val="ListParagraph"/>
              <w:keepNext/>
              <w:ind w:left="0"/>
              <w:jc w:val="right"/>
            </w:pPr>
            <w:r>
              <w:t>864</w:t>
            </w:r>
          </w:p>
        </w:tc>
        <w:tc>
          <w:tcPr>
            <w:tcW w:w="1205" w:type="dxa"/>
          </w:tcPr>
          <w:p w14:paraId="789E8813" w14:textId="77777777" w:rsidR="004B55EC" w:rsidRDefault="004B55EC" w:rsidP="002A08A5">
            <w:pPr>
              <w:pStyle w:val="ListParagraph"/>
              <w:keepNext/>
              <w:ind w:left="0"/>
              <w:jc w:val="right"/>
            </w:pPr>
            <w:r>
              <w:t>4,0</w:t>
            </w:r>
            <w:r w:rsidR="00AA0AB5">
              <w:t>48</w:t>
            </w:r>
          </w:p>
        </w:tc>
      </w:tr>
    </w:tbl>
    <w:p w14:paraId="789E8815" w14:textId="77777777" w:rsidR="001901D4" w:rsidRDefault="001901D4" w:rsidP="004B55EC">
      <w:pPr>
        <w:spacing w:after="160" w:line="259" w:lineRule="auto"/>
        <w:ind w:left="567"/>
        <w:contextualSpacing/>
      </w:pPr>
    </w:p>
    <w:p w14:paraId="789E8816" w14:textId="77777777" w:rsidR="00974C85" w:rsidRPr="00974C85" w:rsidRDefault="00974C85" w:rsidP="00793390">
      <w:pPr>
        <w:spacing w:after="160" w:line="259" w:lineRule="auto"/>
        <w:contextualSpacing/>
      </w:pPr>
    </w:p>
    <w:p w14:paraId="789E8817" w14:textId="04A1DE3F" w:rsidR="00EF2588" w:rsidRDefault="00565D57" w:rsidP="009C56C2">
      <w:pPr>
        <w:numPr>
          <w:ilvl w:val="0"/>
          <w:numId w:val="2"/>
        </w:numPr>
        <w:spacing w:after="160" w:line="259" w:lineRule="auto"/>
        <w:contextualSpacing/>
        <w:rPr>
          <w:b/>
        </w:rPr>
      </w:pPr>
      <w:r w:rsidRPr="00565D57">
        <w:rPr>
          <w:b/>
        </w:rPr>
        <w:t>Ongoing Duties</w:t>
      </w:r>
    </w:p>
    <w:p w14:paraId="789E8818" w14:textId="77777777" w:rsidR="00EF60AC" w:rsidRDefault="00EF60AC" w:rsidP="00EF60AC">
      <w:pPr>
        <w:spacing w:after="160" w:line="259" w:lineRule="auto"/>
        <w:ind w:left="360"/>
        <w:contextualSpacing/>
        <w:rPr>
          <w:b/>
        </w:rPr>
      </w:pPr>
    </w:p>
    <w:p w14:paraId="789E8819" w14:textId="77777777" w:rsidR="00EF60AC" w:rsidRPr="00EF60AC" w:rsidRDefault="00EF60AC" w:rsidP="009C56C2">
      <w:pPr>
        <w:numPr>
          <w:ilvl w:val="1"/>
          <w:numId w:val="2"/>
        </w:numPr>
        <w:spacing w:after="160" w:line="259" w:lineRule="auto"/>
        <w:ind w:left="567" w:hanging="567"/>
        <w:contextualSpacing/>
      </w:pPr>
      <w:r>
        <w:t xml:space="preserve">Table 2 sets out the other statutory duties the Authority must provide and the current budget allocations. </w:t>
      </w:r>
      <w:r w:rsidR="00336681">
        <w:t>The Authority is recommending the continued retention of this funding.</w:t>
      </w:r>
      <w:r>
        <w:t xml:space="preserve"> Additional information </w:t>
      </w:r>
      <w:r w:rsidR="006814BF">
        <w:t>is</w:t>
      </w:r>
      <w:r>
        <w:t xml:space="preserve"> provided </w:t>
      </w:r>
      <w:r w:rsidR="006814BF">
        <w:t xml:space="preserve">in </w:t>
      </w:r>
      <w:r w:rsidR="006814BF" w:rsidRPr="006814BF">
        <w:rPr>
          <w:b/>
        </w:rPr>
        <w:t>Appendix 2</w:t>
      </w:r>
      <w:r>
        <w:t>.</w:t>
      </w:r>
    </w:p>
    <w:p w14:paraId="789E881A" w14:textId="77777777" w:rsidR="00EF2588" w:rsidRPr="00EF60AC" w:rsidRDefault="00EF2588" w:rsidP="00EF60AC">
      <w:pPr>
        <w:spacing w:after="160" w:line="259" w:lineRule="auto"/>
        <w:contextualSpacing/>
      </w:pPr>
    </w:p>
    <w:p w14:paraId="789E881B" w14:textId="6F6B5B7E" w:rsidR="00EF2588" w:rsidRPr="00B91616" w:rsidRDefault="00EF60AC" w:rsidP="00EF60AC">
      <w:pPr>
        <w:ind w:left="567"/>
        <w:rPr>
          <w:b/>
        </w:rPr>
      </w:pPr>
      <w:r w:rsidRPr="00B91616">
        <w:rPr>
          <w:b/>
        </w:rPr>
        <w:t xml:space="preserve">Table 2: </w:t>
      </w:r>
      <w:r w:rsidR="00B91616" w:rsidRPr="00B91616">
        <w:rPr>
          <w:b/>
        </w:rPr>
        <w:t>CSSB Ongoing Duties</w:t>
      </w:r>
    </w:p>
    <w:p w14:paraId="789E881C" w14:textId="77777777" w:rsidR="00EF60AC" w:rsidRPr="00EF2588" w:rsidRDefault="00EF60AC" w:rsidP="00EF2588"/>
    <w:tbl>
      <w:tblPr>
        <w:tblStyle w:val="TableGrid"/>
        <w:tblW w:w="8505" w:type="dxa"/>
        <w:tblLayout w:type="fixed"/>
        <w:tblLook w:val="01E0" w:firstRow="1" w:lastRow="1" w:firstColumn="1" w:lastColumn="1" w:noHBand="0" w:noVBand="0"/>
      </w:tblPr>
      <w:tblGrid>
        <w:gridCol w:w="6095"/>
        <w:gridCol w:w="2410"/>
      </w:tblGrid>
      <w:tr w:rsidR="00EF2588" w:rsidRPr="00EF2588" w14:paraId="789E8821" w14:textId="77777777" w:rsidTr="00B10C0D">
        <w:trPr>
          <w:trHeight w:hRule="exact" w:val="458"/>
        </w:trPr>
        <w:tc>
          <w:tcPr>
            <w:tcW w:w="6095" w:type="dxa"/>
          </w:tcPr>
          <w:p w14:paraId="789E881D" w14:textId="77777777" w:rsidR="00EF2588" w:rsidRDefault="00EF2588" w:rsidP="00EF2588">
            <w:pPr>
              <w:widowControl w:val="0"/>
              <w:spacing w:before="54"/>
              <w:ind w:left="102"/>
              <w:rPr>
                <w:rFonts w:eastAsia="Arial" w:cs="Arial"/>
                <w:b/>
                <w:color w:val="221F1F"/>
                <w:lang w:val="en-US" w:eastAsia="en-US"/>
              </w:rPr>
            </w:pPr>
            <w:r w:rsidRPr="00EF2588">
              <w:rPr>
                <w:rFonts w:eastAsia="Arial" w:cs="Arial"/>
                <w:b/>
                <w:color w:val="221F1F"/>
                <w:spacing w:val="-1"/>
                <w:lang w:val="en-US" w:eastAsia="en-US"/>
              </w:rPr>
              <w:t>S</w:t>
            </w:r>
            <w:r w:rsidRPr="00EF2588">
              <w:rPr>
                <w:rFonts w:eastAsia="Arial" w:cs="Arial"/>
                <w:b/>
                <w:color w:val="221F1F"/>
                <w:lang w:val="en-US" w:eastAsia="en-US"/>
              </w:rPr>
              <w:t>ecti</w:t>
            </w:r>
            <w:r w:rsidRPr="00EF2588">
              <w:rPr>
                <w:rFonts w:eastAsia="Arial" w:cs="Arial"/>
                <w:b/>
                <w:color w:val="221F1F"/>
                <w:spacing w:val="-1"/>
                <w:lang w:val="en-US" w:eastAsia="en-US"/>
              </w:rPr>
              <w:t>o</w:t>
            </w:r>
            <w:r w:rsidRPr="00EF2588">
              <w:rPr>
                <w:rFonts w:eastAsia="Arial" w:cs="Arial"/>
                <w:b/>
                <w:color w:val="221F1F"/>
                <w:lang w:val="en-US" w:eastAsia="en-US"/>
              </w:rPr>
              <w:t>n</w:t>
            </w:r>
            <w:r w:rsidRPr="00EF2588">
              <w:rPr>
                <w:rFonts w:eastAsia="Arial" w:cs="Arial"/>
                <w:b/>
                <w:color w:val="221F1F"/>
                <w:spacing w:val="-1"/>
                <w:lang w:val="en-US" w:eastAsia="en-US"/>
              </w:rPr>
              <w:t xml:space="preserve"> </w:t>
            </w:r>
            <w:r w:rsidRPr="00EF2588">
              <w:rPr>
                <w:rFonts w:eastAsia="Arial" w:cs="Arial"/>
                <w:b/>
                <w:color w:val="221F1F"/>
                <w:lang w:val="en-US" w:eastAsia="en-US"/>
              </w:rPr>
              <w:t>251 B</w:t>
            </w:r>
            <w:r w:rsidRPr="00EF2588">
              <w:rPr>
                <w:rFonts w:eastAsia="Arial" w:cs="Arial"/>
                <w:b/>
                <w:color w:val="221F1F"/>
                <w:spacing w:val="-1"/>
                <w:lang w:val="en-US" w:eastAsia="en-US"/>
              </w:rPr>
              <w:t>u</w:t>
            </w:r>
            <w:r w:rsidRPr="00EF2588">
              <w:rPr>
                <w:rFonts w:eastAsia="Arial" w:cs="Arial"/>
                <w:b/>
                <w:color w:val="221F1F"/>
                <w:lang w:val="en-US" w:eastAsia="en-US"/>
              </w:rPr>
              <w:t>d</w:t>
            </w:r>
            <w:r w:rsidRPr="00EF2588">
              <w:rPr>
                <w:rFonts w:eastAsia="Arial" w:cs="Arial"/>
                <w:b/>
                <w:color w:val="221F1F"/>
                <w:spacing w:val="1"/>
                <w:lang w:val="en-US" w:eastAsia="en-US"/>
              </w:rPr>
              <w:t>g</w:t>
            </w:r>
            <w:r w:rsidRPr="00EF2588">
              <w:rPr>
                <w:rFonts w:eastAsia="Arial" w:cs="Arial"/>
                <w:b/>
                <w:color w:val="221F1F"/>
                <w:spacing w:val="-3"/>
                <w:lang w:val="en-US" w:eastAsia="en-US"/>
              </w:rPr>
              <w:t>e</w:t>
            </w:r>
            <w:r w:rsidRPr="00EF2588">
              <w:rPr>
                <w:rFonts w:eastAsia="Arial" w:cs="Arial"/>
                <w:b/>
                <w:color w:val="221F1F"/>
                <w:lang w:val="en-US" w:eastAsia="en-US"/>
              </w:rPr>
              <w:t>ted sp</w:t>
            </w:r>
            <w:r w:rsidRPr="00EF2588">
              <w:rPr>
                <w:rFonts w:eastAsia="Arial" w:cs="Arial"/>
                <w:b/>
                <w:color w:val="221F1F"/>
                <w:spacing w:val="-1"/>
                <w:lang w:val="en-US" w:eastAsia="en-US"/>
              </w:rPr>
              <w:t>e</w:t>
            </w:r>
            <w:r w:rsidRPr="00EF2588">
              <w:rPr>
                <w:rFonts w:eastAsia="Arial" w:cs="Arial"/>
                <w:b/>
                <w:color w:val="221F1F"/>
                <w:lang w:val="en-US" w:eastAsia="en-US"/>
              </w:rPr>
              <w:t>nd</w:t>
            </w:r>
          </w:p>
          <w:p w14:paraId="789E881E" w14:textId="77777777" w:rsidR="00B91616" w:rsidRDefault="00B91616" w:rsidP="00EF2588">
            <w:pPr>
              <w:widowControl w:val="0"/>
              <w:spacing w:before="54"/>
              <w:ind w:left="102"/>
              <w:rPr>
                <w:rFonts w:eastAsia="Arial" w:cs="Arial"/>
                <w:b/>
                <w:color w:val="221F1F"/>
                <w:lang w:val="en-US" w:eastAsia="en-US"/>
              </w:rPr>
            </w:pPr>
          </w:p>
          <w:p w14:paraId="789E881F" w14:textId="77777777" w:rsidR="00B91616" w:rsidRPr="00EF2588" w:rsidRDefault="00B91616" w:rsidP="00EF2588">
            <w:pPr>
              <w:widowControl w:val="0"/>
              <w:spacing w:before="54"/>
              <w:ind w:left="102"/>
              <w:rPr>
                <w:rFonts w:eastAsia="Arial" w:cs="Arial"/>
                <w:b/>
                <w:lang w:val="en-US" w:eastAsia="en-US"/>
              </w:rPr>
            </w:pPr>
          </w:p>
        </w:tc>
        <w:tc>
          <w:tcPr>
            <w:tcW w:w="2410" w:type="dxa"/>
          </w:tcPr>
          <w:p w14:paraId="789E8820" w14:textId="77777777" w:rsidR="00EF2588" w:rsidRPr="00EF2588" w:rsidRDefault="00EF2588" w:rsidP="00EF60AC">
            <w:pPr>
              <w:widowControl w:val="0"/>
              <w:spacing w:before="54"/>
              <w:jc w:val="center"/>
              <w:rPr>
                <w:rFonts w:eastAsia="Arial" w:cs="Arial"/>
                <w:b/>
                <w:lang w:val="en-US" w:eastAsia="en-US"/>
              </w:rPr>
            </w:pPr>
            <w:r w:rsidRPr="00EF2588">
              <w:rPr>
                <w:rFonts w:eastAsia="Arial" w:cs="Arial"/>
                <w:b/>
                <w:color w:val="221F1F"/>
                <w:lang w:val="en-US" w:eastAsia="en-US"/>
              </w:rPr>
              <w:t>£</w:t>
            </w:r>
            <w:r w:rsidR="00EE7DAF">
              <w:rPr>
                <w:rFonts w:eastAsia="Arial" w:cs="Arial"/>
                <w:b/>
                <w:color w:val="221F1F"/>
                <w:lang w:val="en-US" w:eastAsia="en-US"/>
              </w:rPr>
              <w:t>000</w:t>
            </w:r>
          </w:p>
        </w:tc>
      </w:tr>
      <w:tr w:rsidR="00EF2588" w:rsidRPr="00EF2588" w14:paraId="789E8824" w14:textId="77777777" w:rsidTr="00B10C0D">
        <w:trPr>
          <w:trHeight w:hRule="exact" w:val="321"/>
        </w:trPr>
        <w:tc>
          <w:tcPr>
            <w:tcW w:w="6095" w:type="dxa"/>
          </w:tcPr>
          <w:p w14:paraId="789E8822" w14:textId="77777777" w:rsidR="00EF2588" w:rsidRPr="00EF2588" w:rsidRDefault="00EF2588" w:rsidP="00EF2588">
            <w:pPr>
              <w:widowControl w:val="0"/>
              <w:spacing w:before="54"/>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2</w:t>
            </w:r>
            <w:r w:rsidRPr="00EF2588">
              <w:rPr>
                <w:rFonts w:eastAsia="Arial" w:cs="Arial"/>
                <w:color w:val="221F1F"/>
                <w:spacing w:val="-3"/>
                <w:lang w:val="en-US" w:eastAsia="en-US"/>
              </w:rPr>
              <w:t xml:space="preserve"> </w:t>
            </w:r>
            <w:r w:rsidRPr="00EF2588">
              <w:rPr>
                <w:rFonts w:eastAsia="Arial" w:cs="Arial"/>
                <w:color w:val="221F1F"/>
                <w:spacing w:val="-1"/>
                <w:lang w:val="en-US" w:eastAsia="en-US"/>
              </w:rPr>
              <w:t>S</w:t>
            </w:r>
            <w:r w:rsidRPr="00EF2588">
              <w:rPr>
                <w:rFonts w:eastAsia="Arial" w:cs="Arial"/>
                <w:color w:val="221F1F"/>
                <w:lang w:val="en-US" w:eastAsia="en-US"/>
              </w:rPr>
              <w:t>ch</w:t>
            </w:r>
            <w:r w:rsidRPr="00EF2588">
              <w:rPr>
                <w:rFonts w:eastAsia="Arial" w:cs="Arial"/>
                <w:color w:val="221F1F"/>
                <w:spacing w:val="-1"/>
                <w:lang w:val="en-US" w:eastAsia="en-US"/>
              </w:rPr>
              <w:t>o</w:t>
            </w:r>
            <w:r w:rsidRPr="00EF2588">
              <w:rPr>
                <w:rFonts w:eastAsia="Arial" w:cs="Arial"/>
                <w:color w:val="221F1F"/>
                <w:lang w:val="en-US" w:eastAsia="en-US"/>
              </w:rPr>
              <w:t>ol</w:t>
            </w:r>
            <w:r w:rsidRPr="00EF2588">
              <w:rPr>
                <w:rFonts w:eastAsia="Arial" w:cs="Arial"/>
                <w:color w:val="221F1F"/>
                <w:spacing w:val="-1"/>
                <w:lang w:val="en-US" w:eastAsia="en-US"/>
              </w:rPr>
              <w:t xml:space="preserve"> </w:t>
            </w:r>
            <w:r w:rsidRPr="00EF2588">
              <w:rPr>
                <w:rFonts w:eastAsia="Arial" w:cs="Arial"/>
                <w:color w:val="221F1F"/>
                <w:lang w:val="en-US" w:eastAsia="en-US"/>
              </w:rPr>
              <w:t>a</w:t>
            </w:r>
            <w:r w:rsidRPr="00EF2588">
              <w:rPr>
                <w:rFonts w:eastAsia="Arial" w:cs="Arial"/>
                <w:color w:val="221F1F"/>
                <w:spacing w:val="-4"/>
                <w:lang w:val="en-US" w:eastAsia="en-US"/>
              </w:rPr>
              <w:t>d</w:t>
            </w:r>
            <w:r w:rsidRPr="00EF2588">
              <w:rPr>
                <w:rFonts w:eastAsia="Arial" w:cs="Arial"/>
                <w:color w:val="221F1F"/>
                <w:lang w:val="en-US" w:eastAsia="en-US"/>
              </w:rPr>
              <w:t>m</w:t>
            </w:r>
            <w:r w:rsidRPr="00EF2588">
              <w:rPr>
                <w:rFonts w:eastAsia="Arial" w:cs="Arial"/>
                <w:color w:val="221F1F"/>
                <w:spacing w:val="-2"/>
                <w:lang w:val="en-US" w:eastAsia="en-US"/>
              </w:rPr>
              <w:t>i</w:t>
            </w:r>
            <w:r w:rsidRPr="00EF2588">
              <w:rPr>
                <w:rFonts w:eastAsia="Arial" w:cs="Arial"/>
                <w:color w:val="221F1F"/>
                <w:lang w:val="en-US" w:eastAsia="en-US"/>
              </w:rPr>
              <w:t>ss</w:t>
            </w:r>
            <w:r w:rsidRPr="00EF2588">
              <w:rPr>
                <w:rFonts w:eastAsia="Arial" w:cs="Arial"/>
                <w:color w:val="221F1F"/>
                <w:spacing w:val="-2"/>
                <w:lang w:val="en-US" w:eastAsia="en-US"/>
              </w:rPr>
              <w:t>i</w:t>
            </w:r>
            <w:r w:rsidRPr="00EF2588">
              <w:rPr>
                <w:rFonts w:eastAsia="Arial" w:cs="Arial"/>
                <w:color w:val="221F1F"/>
                <w:lang w:val="en-US" w:eastAsia="en-US"/>
              </w:rPr>
              <w:t>o</w:t>
            </w:r>
            <w:r w:rsidRPr="00EF2588">
              <w:rPr>
                <w:rFonts w:eastAsia="Arial" w:cs="Arial"/>
                <w:color w:val="221F1F"/>
                <w:spacing w:val="-1"/>
                <w:lang w:val="en-US" w:eastAsia="en-US"/>
              </w:rPr>
              <w:t>n</w:t>
            </w:r>
            <w:r w:rsidRPr="00EF2588">
              <w:rPr>
                <w:rFonts w:eastAsia="Arial" w:cs="Arial"/>
                <w:color w:val="221F1F"/>
                <w:lang w:val="en-US" w:eastAsia="en-US"/>
              </w:rPr>
              <w:t>s</w:t>
            </w:r>
          </w:p>
        </w:tc>
        <w:tc>
          <w:tcPr>
            <w:tcW w:w="2410" w:type="dxa"/>
          </w:tcPr>
          <w:p w14:paraId="789E8823" w14:textId="77777777" w:rsidR="00EF2588" w:rsidRPr="00EF2588" w:rsidRDefault="00EF2588" w:rsidP="00EE7DAF">
            <w:pPr>
              <w:widowControl w:val="0"/>
              <w:spacing w:before="54"/>
              <w:ind w:left="917"/>
              <w:jc w:val="right"/>
              <w:rPr>
                <w:rFonts w:eastAsia="Arial" w:cs="Arial"/>
                <w:lang w:val="en-US" w:eastAsia="en-US"/>
              </w:rPr>
            </w:pPr>
            <w:r w:rsidRPr="00EF2588">
              <w:rPr>
                <w:rFonts w:eastAsia="Arial" w:cs="Arial"/>
                <w:color w:val="221F1F"/>
                <w:spacing w:val="-1"/>
                <w:lang w:val="en-US" w:eastAsia="en-US"/>
              </w:rPr>
              <w:t>699</w:t>
            </w:r>
          </w:p>
        </w:tc>
      </w:tr>
      <w:tr w:rsidR="00EF2588" w:rsidRPr="00EF2588" w14:paraId="789E8827" w14:textId="77777777" w:rsidTr="00B10C0D">
        <w:trPr>
          <w:trHeight w:hRule="exact" w:val="319"/>
        </w:trPr>
        <w:tc>
          <w:tcPr>
            <w:tcW w:w="6095" w:type="dxa"/>
          </w:tcPr>
          <w:p w14:paraId="789E8825" w14:textId="77777777" w:rsidR="00EF2588" w:rsidRPr="00EF2588" w:rsidRDefault="00EF2588" w:rsidP="00EF2588">
            <w:pPr>
              <w:widowControl w:val="0"/>
              <w:spacing w:before="51"/>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3</w:t>
            </w:r>
            <w:r w:rsidRPr="00EF2588">
              <w:rPr>
                <w:rFonts w:eastAsia="Arial" w:cs="Arial"/>
                <w:color w:val="221F1F"/>
                <w:spacing w:val="-3"/>
                <w:lang w:val="en-US" w:eastAsia="en-US"/>
              </w:rPr>
              <w:t xml:space="preserve"> </w:t>
            </w:r>
            <w:r w:rsidRPr="00EF2588">
              <w:rPr>
                <w:rFonts w:eastAsia="Arial" w:cs="Arial"/>
                <w:color w:val="221F1F"/>
                <w:spacing w:val="-1"/>
                <w:lang w:val="en-US" w:eastAsia="en-US"/>
              </w:rPr>
              <w:t>S</w:t>
            </w:r>
            <w:r w:rsidRPr="00EF2588">
              <w:rPr>
                <w:rFonts w:eastAsia="Arial" w:cs="Arial"/>
                <w:color w:val="221F1F"/>
                <w:lang w:val="en-US" w:eastAsia="en-US"/>
              </w:rPr>
              <w:t>er</w:t>
            </w:r>
            <w:r w:rsidRPr="00EF2588">
              <w:rPr>
                <w:rFonts w:eastAsia="Arial" w:cs="Arial"/>
                <w:color w:val="221F1F"/>
                <w:spacing w:val="-3"/>
                <w:lang w:val="en-US" w:eastAsia="en-US"/>
              </w:rPr>
              <w:t>v</w:t>
            </w:r>
            <w:r w:rsidRPr="00EF2588">
              <w:rPr>
                <w:rFonts w:eastAsia="Arial" w:cs="Arial"/>
                <w:color w:val="221F1F"/>
                <w:spacing w:val="-2"/>
                <w:lang w:val="en-US" w:eastAsia="en-US"/>
              </w:rPr>
              <w:t>i</w:t>
            </w:r>
            <w:r w:rsidRPr="00EF2588">
              <w:rPr>
                <w:rFonts w:eastAsia="Arial" w:cs="Arial"/>
                <w:color w:val="221F1F"/>
                <w:lang w:val="en-US" w:eastAsia="en-US"/>
              </w:rPr>
              <w:t>c</w:t>
            </w:r>
            <w:r w:rsidRPr="00EF2588">
              <w:rPr>
                <w:rFonts w:eastAsia="Arial" w:cs="Arial"/>
                <w:color w:val="221F1F"/>
                <w:spacing w:val="-2"/>
                <w:lang w:val="en-US" w:eastAsia="en-US"/>
              </w:rPr>
              <w:t>i</w:t>
            </w:r>
            <w:r w:rsidRPr="00EF2588">
              <w:rPr>
                <w:rFonts w:eastAsia="Arial" w:cs="Arial"/>
                <w:color w:val="221F1F"/>
                <w:lang w:val="en-US" w:eastAsia="en-US"/>
              </w:rPr>
              <w:t>ng</w:t>
            </w:r>
            <w:r w:rsidRPr="00EF2588">
              <w:rPr>
                <w:rFonts w:eastAsia="Arial" w:cs="Arial"/>
                <w:color w:val="221F1F"/>
                <w:spacing w:val="2"/>
                <w:lang w:val="en-US" w:eastAsia="en-US"/>
              </w:rPr>
              <w:t xml:space="preserve"> </w:t>
            </w:r>
            <w:r w:rsidRPr="00EF2588">
              <w:rPr>
                <w:rFonts w:eastAsia="Arial" w:cs="Arial"/>
                <w:color w:val="221F1F"/>
                <w:spacing w:val="-3"/>
                <w:lang w:val="en-US" w:eastAsia="en-US"/>
              </w:rPr>
              <w:t>o</w:t>
            </w:r>
            <w:r w:rsidRPr="00EF2588">
              <w:rPr>
                <w:rFonts w:eastAsia="Arial" w:cs="Arial"/>
                <w:color w:val="221F1F"/>
                <w:lang w:val="en-US" w:eastAsia="en-US"/>
              </w:rPr>
              <w:t>f</w:t>
            </w:r>
            <w:r w:rsidRPr="00EF2588">
              <w:rPr>
                <w:rFonts w:eastAsia="Arial" w:cs="Arial"/>
                <w:color w:val="221F1F"/>
                <w:spacing w:val="2"/>
                <w:lang w:val="en-US" w:eastAsia="en-US"/>
              </w:rPr>
              <w:t xml:space="preserve"> </w:t>
            </w:r>
            <w:r w:rsidRPr="00EF2588">
              <w:rPr>
                <w:rFonts w:eastAsia="Arial" w:cs="Arial"/>
                <w:color w:val="221F1F"/>
                <w:spacing w:val="-3"/>
                <w:lang w:val="en-US" w:eastAsia="en-US"/>
              </w:rPr>
              <w:t>s</w:t>
            </w:r>
            <w:r w:rsidRPr="00EF2588">
              <w:rPr>
                <w:rFonts w:eastAsia="Arial" w:cs="Arial"/>
                <w:color w:val="221F1F"/>
                <w:lang w:val="en-US" w:eastAsia="en-US"/>
              </w:rPr>
              <w:t>ch</w:t>
            </w:r>
            <w:r w:rsidRPr="00EF2588">
              <w:rPr>
                <w:rFonts w:eastAsia="Arial" w:cs="Arial"/>
                <w:color w:val="221F1F"/>
                <w:spacing w:val="-1"/>
                <w:lang w:val="en-US" w:eastAsia="en-US"/>
              </w:rPr>
              <w:t>o</w:t>
            </w:r>
            <w:r w:rsidRPr="00EF2588">
              <w:rPr>
                <w:rFonts w:eastAsia="Arial" w:cs="Arial"/>
                <w:color w:val="221F1F"/>
                <w:lang w:val="en-US" w:eastAsia="en-US"/>
              </w:rPr>
              <w:t>o</w:t>
            </w:r>
            <w:r w:rsidRPr="00EF2588">
              <w:rPr>
                <w:rFonts w:eastAsia="Arial" w:cs="Arial"/>
                <w:color w:val="221F1F"/>
                <w:spacing w:val="-2"/>
                <w:lang w:val="en-US" w:eastAsia="en-US"/>
              </w:rPr>
              <w:t>l</w:t>
            </w:r>
            <w:r w:rsidRPr="00EF2588">
              <w:rPr>
                <w:rFonts w:eastAsia="Arial" w:cs="Arial"/>
                <w:color w:val="221F1F"/>
                <w:lang w:val="en-US" w:eastAsia="en-US"/>
              </w:rPr>
              <w:t>s</w:t>
            </w:r>
            <w:r w:rsidRPr="00EF2588">
              <w:rPr>
                <w:rFonts w:eastAsia="Arial" w:cs="Arial"/>
                <w:color w:val="221F1F"/>
                <w:spacing w:val="-1"/>
                <w:lang w:val="en-US" w:eastAsia="en-US"/>
              </w:rPr>
              <w:t xml:space="preserve"> </w:t>
            </w:r>
            <w:r w:rsidRPr="00EF2588">
              <w:rPr>
                <w:rFonts w:eastAsia="Arial" w:cs="Arial"/>
                <w:color w:val="221F1F"/>
                <w:spacing w:val="3"/>
                <w:lang w:val="en-US" w:eastAsia="en-US"/>
              </w:rPr>
              <w:t>f</w:t>
            </w:r>
            <w:r w:rsidRPr="00EF2588">
              <w:rPr>
                <w:rFonts w:eastAsia="Arial" w:cs="Arial"/>
                <w:color w:val="221F1F"/>
                <w:spacing w:val="-3"/>
                <w:lang w:val="en-US" w:eastAsia="en-US"/>
              </w:rPr>
              <w:t>o</w:t>
            </w:r>
            <w:r w:rsidRPr="00EF2588">
              <w:rPr>
                <w:rFonts w:eastAsia="Arial" w:cs="Arial"/>
                <w:color w:val="221F1F"/>
                <w:lang w:val="en-US" w:eastAsia="en-US"/>
              </w:rPr>
              <w:t>ru</w:t>
            </w:r>
            <w:r w:rsidRPr="00EF2588">
              <w:rPr>
                <w:rFonts w:eastAsia="Arial" w:cs="Arial"/>
                <w:color w:val="221F1F"/>
                <w:spacing w:val="-3"/>
                <w:lang w:val="en-US" w:eastAsia="en-US"/>
              </w:rPr>
              <w:t>m</w:t>
            </w:r>
            <w:r w:rsidRPr="00EF2588">
              <w:rPr>
                <w:rFonts w:eastAsia="Arial" w:cs="Arial"/>
                <w:color w:val="221F1F"/>
                <w:lang w:val="en-US" w:eastAsia="en-US"/>
              </w:rPr>
              <w:t>s</w:t>
            </w:r>
          </w:p>
        </w:tc>
        <w:tc>
          <w:tcPr>
            <w:tcW w:w="2410" w:type="dxa"/>
          </w:tcPr>
          <w:p w14:paraId="789E8826" w14:textId="77777777" w:rsidR="00EF2588" w:rsidRPr="00EF2588" w:rsidRDefault="00EF2588" w:rsidP="00EE7DAF">
            <w:pPr>
              <w:widowControl w:val="0"/>
              <w:spacing w:before="51"/>
              <w:ind w:left="1040"/>
              <w:jc w:val="right"/>
              <w:rPr>
                <w:rFonts w:eastAsia="Arial" w:cs="Arial"/>
                <w:lang w:val="en-US" w:eastAsia="en-US"/>
              </w:rPr>
            </w:pPr>
            <w:r w:rsidRPr="00EF2588">
              <w:rPr>
                <w:rFonts w:eastAsia="Arial" w:cs="Arial"/>
                <w:lang w:val="en-US" w:eastAsia="en-US"/>
              </w:rPr>
              <w:t>30</w:t>
            </w:r>
          </w:p>
        </w:tc>
      </w:tr>
      <w:tr w:rsidR="00EF2588" w:rsidRPr="00EF2588" w14:paraId="789E882A" w14:textId="77777777" w:rsidTr="00B10C0D">
        <w:trPr>
          <w:trHeight w:hRule="exact" w:val="319"/>
        </w:trPr>
        <w:tc>
          <w:tcPr>
            <w:tcW w:w="6095" w:type="dxa"/>
          </w:tcPr>
          <w:p w14:paraId="789E8828" w14:textId="77777777" w:rsidR="00EF2588" w:rsidRPr="00EF2588" w:rsidRDefault="00EF2588" w:rsidP="00EF2588">
            <w:pPr>
              <w:widowControl w:val="0"/>
              <w:spacing w:before="54"/>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8</w:t>
            </w:r>
            <w:r w:rsidRPr="00EF2588">
              <w:rPr>
                <w:rFonts w:eastAsia="Arial" w:cs="Arial"/>
                <w:color w:val="221F1F"/>
                <w:spacing w:val="-3"/>
                <w:lang w:val="en-US" w:eastAsia="en-US"/>
              </w:rPr>
              <w:t xml:space="preserve"> </w:t>
            </w:r>
            <w:r w:rsidRPr="00EF2588">
              <w:rPr>
                <w:rFonts w:eastAsia="Arial" w:cs="Arial"/>
                <w:color w:val="221F1F"/>
                <w:lang w:val="en-US" w:eastAsia="en-US"/>
              </w:rPr>
              <w:t>F</w:t>
            </w:r>
            <w:r w:rsidRPr="00EF2588">
              <w:rPr>
                <w:rFonts w:eastAsia="Arial" w:cs="Arial"/>
                <w:color w:val="221F1F"/>
                <w:spacing w:val="-1"/>
                <w:lang w:val="en-US" w:eastAsia="en-US"/>
              </w:rPr>
              <w:t>e</w:t>
            </w:r>
            <w:r w:rsidRPr="00EF2588">
              <w:rPr>
                <w:rFonts w:eastAsia="Arial" w:cs="Arial"/>
                <w:color w:val="221F1F"/>
                <w:lang w:val="en-US" w:eastAsia="en-US"/>
              </w:rPr>
              <w:t>es</w:t>
            </w:r>
            <w:r w:rsidRPr="00EF2588">
              <w:rPr>
                <w:rFonts w:eastAsia="Arial" w:cs="Arial"/>
                <w:color w:val="221F1F"/>
                <w:spacing w:val="-2"/>
                <w:lang w:val="en-US" w:eastAsia="en-US"/>
              </w:rPr>
              <w:t xml:space="preserve"> </w:t>
            </w:r>
            <w:r w:rsidRPr="00EF2588">
              <w:rPr>
                <w:rFonts w:eastAsia="Arial" w:cs="Arial"/>
                <w:color w:val="221F1F"/>
                <w:lang w:val="en-US" w:eastAsia="en-US"/>
              </w:rPr>
              <w:t>to i</w:t>
            </w:r>
            <w:r w:rsidRPr="00EF2588">
              <w:rPr>
                <w:rFonts w:eastAsia="Arial" w:cs="Arial"/>
                <w:color w:val="221F1F"/>
                <w:spacing w:val="-1"/>
                <w:lang w:val="en-US" w:eastAsia="en-US"/>
              </w:rPr>
              <w:t>n</w:t>
            </w:r>
            <w:r w:rsidRPr="00EF2588">
              <w:rPr>
                <w:rFonts w:eastAsia="Arial" w:cs="Arial"/>
                <w:color w:val="221F1F"/>
                <w:lang w:val="en-US" w:eastAsia="en-US"/>
              </w:rPr>
              <w:t>d</w:t>
            </w:r>
            <w:r w:rsidRPr="00EF2588">
              <w:rPr>
                <w:rFonts w:eastAsia="Arial" w:cs="Arial"/>
                <w:color w:val="221F1F"/>
                <w:spacing w:val="-1"/>
                <w:lang w:val="en-US" w:eastAsia="en-US"/>
              </w:rPr>
              <w:t>e</w:t>
            </w:r>
            <w:r w:rsidRPr="00EF2588">
              <w:rPr>
                <w:rFonts w:eastAsia="Arial" w:cs="Arial"/>
                <w:color w:val="221F1F"/>
                <w:lang w:val="en-US" w:eastAsia="en-US"/>
              </w:rPr>
              <w:t>p</w:t>
            </w:r>
            <w:r w:rsidRPr="00EF2588">
              <w:rPr>
                <w:rFonts w:eastAsia="Arial" w:cs="Arial"/>
                <w:color w:val="221F1F"/>
                <w:spacing w:val="-1"/>
                <w:lang w:val="en-US" w:eastAsia="en-US"/>
              </w:rPr>
              <w:t>e</w:t>
            </w:r>
            <w:r w:rsidRPr="00EF2588">
              <w:rPr>
                <w:rFonts w:eastAsia="Arial" w:cs="Arial"/>
                <w:color w:val="221F1F"/>
                <w:lang w:val="en-US" w:eastAsia="en-US"/>
              </w:rPr>
              <w:t>n</w:t>
            </w:r>
            <w:r w:rsidRPr="00EF2588">
              <w:rPr>
                <w:rFonts w:eastAsia="Arial" w:cs="Arial"/>
                <w:color w:val="221F1F"/>
                <w:spacing w:val="-1"/>
                <w:lang w:val="en-US" w:eastAsia="en-US"/>
              </w:rPr>
              <w:t>d</w:t>
            </w:r>
            <w:r w:rsidRPr="00EF2588">
              <w:rPr>
                <w:rFonts w:eastAsia="Arial" w:cs="Arial"/>
                <w:color w:val="221F1F"/>
                <w:spacing w:val="-3"/>
                <w:lang w:val="en-US" w:eastAsia="en-US"/>
              </w:rPr>
              <w:t>e</w:t>
            </w:r>
            <w:r w:rsidRPr="00EF2588">
              <w:rPr>
                <w:rFonts w:eastAsia="Arial" w:cs="Arial"/>
                <w:color w:val="221F1F"/>
                <w:lang w:val="en-US" w:eastAsia="en-US"/>
              </w:rPr>
              <w:t>nt</w:t>
            </w:r>
            <w:r w:rsidRPr="00EF2588">
              <w:rPr>
                <w:rFonts w:eastAsia="Arial" w:cs="Arial"/>
                <w:color w:val="221F1F"/>
                <w:spacing w:val="1"/>
                <w:lang w:val="en-US" w:eastAsia="en-US"/>
              </w:rPr>
              <w:t xml:space="preserve"> </w:t>
            </w:r>
            <w:r w:rsidRPr="00EF2588">
              <w:rPr>
                <w:rFonts w:eastAsia="Arial" w:cs="Arial"/>
                <w:color w:val="221F1F"/>
                <w:lang w:val="en-US" w:eastAsia="en-US"/>
              </w:rPr>
              <w:t>sch</w:t>
            </w:r>
            <w:r w:rsidRPr="00EF2588">
              <w:rPr>
                <w:rFonts w:eastAsia="Arial" w:cs="Arial"/>
                <w:color w:val="221F1F"/>
                <w:spacing w:val="-1"/>
                <w:lang w:val="en-US" w:eastAsia="en-US"/>
              </w:rPr>
              <w:t>o</w:t>
            </w:r>
            <w:r w:rsidRPr="00EF2588">
              <w:rPr>
                <w:rFonts w:eastAsia="Arial" w:cs="Arial"/>
                <w:color w:val="221F1F"/>
                <w:lang w:val="en-US" w:eastAsia="en-US"/>
              </w:rPr>
              <w:t>o</w:t>
            </w:r>
            <w:r w:rsidRPr="00EF2588">
              <w:rPr>
                <w:rFonts w:eastAsia="Arial" w:cs="Arial"/>
                <w:color w:val="221F1F"/>
                <w:spacing w:val="-2"/>
                <w:lang w:val="en-US" w:eastAsia="en-US"/>
              </w:rPr>
              <w:t>l</w:t>
            </w:r>
            <w:r w:rsidRPr="00EF2588">
              <w:rPr>
                <w:rFonts w:eastAsia="Arial" w:cs="Arial"/>
                <w:color w:val="221F1F"/>
                <w:lang w:val="en-US" w:eastAsia="en-US"/>
              </w:rPr>
              <w:t>s</w:t>
            </w:r>
            <w:r w:rsidRPr="00EF2588">
              <w:rPr>
                <w:rFonts w:eastAsia="Arial" w:cs="Arial"/>
                <w:color w:val="221F1F"/>
                <w:spacing w:val="-2"/>
                <w:lang w:val="en-US" w:eastAsia="en-US"/>
              </w:rPr>
              <w:t xml:space="preserve"> </w:t>
            </w:r>
            <w:r w:rsidRPr="00EF2588">
              <w:rPr>
                <w:rFonts w:eastAsia="Arial" w:cs="Arial"/>
                <w:color w:val="221F1F"/>
                <w:spacing w:val="-4"/>
                <w:lang w:val="en-US" w:eastAsia="en-US"/>
              </w:rPr>
              <w:t>w</w:t>
            </w:r>
            <w:r w:rsidRPr="00EF2588">
              <w:rPr>
                <w:rFonts w:eastAsia="Arial" w:cs="Arial"/>
                <w:color w:val="221F1F"/>
                <w:spacing w:val="-2"/>
                <w:lang w:val="en-US" w:eastAsia="en-US"/>
              </w:rPr>
              <w:t>i</w:t>
            </w:r>
            <w:r w:rsidRPr="00EF2588">
              <w:rPr>
                <w:rFonts w:eastAsia="Arial" w:cs="Arial"/>
                <w:color w:val="221F1F"/>
                <w:lang w:val="en-US" w:eastAsia="en-US"/>
              </w:rPr>
              <w:t>th</w:t>
            </w:r>
            <w:r w:rsidRPr="00EF2588">
              <w:rPr>
                <w:rFonts w:eastAsia="Arial" w:cs="Arial"/>
                <w:color w:val="221F1F"/>
                <w:spacing w:val="-1"/>
                <w:lang w:val="en-US" w:eastAsia="en-US"/>
              </w:rPr>
              <w:t>o</w:t>
            </w:r>
            <w:r w:rsidRPr="00EF2588">
              <w:rPr>
                <w:rFonts w:eastAsia="Arial" w:cs="Arial"/>
                <w:color w:val="221F1F"/>
                <w:lang w:val="en-US" w:eastAsia="en-US"/>
              </w:rPr>
              <w:t>ut</w:t>
            </w:r>
            <w:r w:rsidRPr="00EF2588">
              <w:rPr>
                <w:rFonts w:eastAsia="Arial" w:cs="Arial"/>
                <w:color w:val="221F1F"/>
                <w:spacing w:val="1"/>
                <w:lang w:val="en-US" w:eastAsia="en-US"/>
              </w:rPr>
              <w:t xml:space="preserve"> </w:t>
            </w:r>
            <w:r w:rsidRPr="00EF2588">
              <w:rPr>
                <w:rFonts w:eastAsia="Arial" w:cs="Arial"/>
                <w:color w:val="221F1F"/>
                <w:spacing w:val="-1"/>
                <w:lang w:val="en-US" w:eastAsia="en-US"/>
              </w:rPr>
              <w:t>SE</w:t>
            </w:r>
            <w:r w:rsidRPr="00EF2588">
              <w:rPr>
                <w:rFonts w:eastAsia="Arial" w:cs="Arial"/>
                <w:color w:val="221F1F"/>
                <w:lang w:val="en-US" w:eastAsia="en-US"/>
              </w:rPr>
              <w:t>N</w:t>
            </w:r>
          </w:p>
        </w:tc>
        <w:tc>
          <w:tcPr>
            <w:tcW w:w="2410" w:type="dxa"/>
          </w:tcPr>
          <w:p w14:paraId="789E8829" w14:textId="77777777" w:rsidR="00EF2588" w:rsidRPr="00EF2588" w:rsidRDefault="00EF2588" w:rsidP="00EE7DAF">
            <w:pPr>
              <w:widowControl w:val="0"/>
              <w:spacing w:before="54"/>
              <w:ind w:left="917"/>
              <w:jc w:val="right"/>
              <w:rPr>
                <w:rFonts w:eastAsia="Arial" w:cs="Arial"/>
                <w:lang w:val="en-US" w:eastAsia="en-US"/>
              </w:rPr>
            </w:pPr>
            <w:r w:rsidRPr="00EF2588">
              <w:rPr>
                <w:rFonts w:eastAsia="Arial" w:cs="Arial"/>
                <w:lang w:val="en-US" w:eastAsia="en-US"/>
              </w:rPr>
              <w:t>510</w:t>
            </w:r>
          </w:p>
        </w:tc>
      </w:tr>
      <w:tr w:rsidR="00EF2588" w:rsidRPr="00EF2588" w14:paraId="789E882D" w14:textId="77777777" w:rsidTr="00B10C0D">
        <w:trPr>
          <w:trHeight w:hRule="exact" w:val="321"/>
        </w:trPr>
        <w:tc>
          <w:tcPr>
            <w:tcW w:w="6095" w:type="dxa"/>
          </w:tcPr>
          <w:p w14:paraId="789E882B" w14:textId="77777777" w:rsidR="00EF2588" w:rsidRPr="00EF2588" w:rsidRDefault="00EF2588" w:rsidP="00EF2588">
            <w:pPr>
              <w:widowControl w:val="0"/>
              <w:spacing w:before="54"/>
              <w:ind w:left="102"/>
              <w:rPr>
                <w:rFonts w:eastAsia="Arial" w:cs="Arial"/>
                <w:lang w:val="en-US" w:eastAsia="en-US"/>
              </w:rPr>
            </w:pPr>
            <w:r w:rsidRPr="00EF2588">
              <w:rPr>
                <w:rFonts w:eastAsia="Arial" w:cs="Arial"/>
                <w:color w:val="221F1F"/>
                <w:lang w:val="en-US" w:eastAsia="en-US"/>
              </w:rPr>
              <w:t>1.4</w:t>
            </w:r>
            <w:r w:rsidRPr="00EF2588">
              <w:rPr>
                <w:rFonts w:eastAsia="Arial" w:cs="Arial"/>
                <w:color w:val="221F1F"/>
                <w:spacing w:val="1"/>
                <w:lang w:val="en-US" w:eastAsia="en-US"/>
              </w:rPr>
              <w:t>.</w:t>
            </w:r>
            <w:r w:rsidRPr="00EF2588">
              <w:rPr>
                <w:rFonts w:eastAsia="Arial" w:cs="Arial"/>
                <w:color w:val="221F1F"/>
                <w:lang w:val="en-US" w:eastAsia="en-US"/>
              </w:rPr>
              <w:t>13</w:t>
            </w:r>
            <w:r w:rsidRPr="00EF2588">
              <w:rPr>
                <w:rFonts w:eastAsia="Arial" w:cs="Arial"/>
                <w:color w:val="221F1F"/>
                <w:spacing w:val="-3"/>
                <w:lang w:val="en-US" w:eastAsia="en-US"/>
              </w:rPr>
              <w:t xml:space="preserve"> </w:t>
            </w:r>
            <w:r w:rsidRPr="00EF2588">
              <w:rPr>
                <w:rFonts w:eastAsia="Arial" w:cs="Arial"/>
                <w:color w:val="221F1F"/>
                <w:spacing w:val="-2"/>
                <w:lang w:val="en-US" w:eastAsia="en-US"/>
              </w:rPr>
              <w:t>O</w:t>
            </w:r>
            <w:r w:rsidRPr="00EF2588">
              <w:rPr>
                <w:rFonts w:eastAsia="Arial" w:cs="Arial"/>
                <w:color w:val="221F1F"/>
                <w:lang w:val="en-US" w:eastAsia="en-US"/>
              </w:rPr>
              <w:t>th</w:t>
            </w:r>
            <w:r w:rsidRPr="00EF2588">
              <w:rPr>
                <w:rFonts w:eastAsia="Arial" w:cs="Arial"/>
                <w:color w:val="221F1F"/>
                <w:spacing w:val="-1"/>
                <w:lang w:val="en-US" w:eastAsia="en-US"/>
              </w:rPr>
              <w:t>e</w:t>
            </w:r>
            <w:r w:rsidRPr="00EF2588">
              <w:rPr>
                <w:rFonts w:eastAsia="Arial" w:cs="Arial"/>
                <w:color w:val="221F1F"/>
                <w:lang w:val="en-US" w:eastAsia="en-US"/>
              </w:rPr>
              <w:t>r</w:t>
            </w:r>
            <w:r w:rsidRPr="00EF2588">
              <w:rPr>
                <w:rFonts w:eastAsia="Arial" w:cs="Arial"/>
                <w:color w:val="221F1F"/>
                <w:spacing w:val="-1"/>
                <w:lang w:val="en-US" w:eastAsia="en-US"/>
              </w:rPr>
              <w:t xml:space="preserve"> </w:t>
            </w:r>
            <w:r w:rsidRPr="00EF2588">
              <w:rPr>
                <w:rFonts w:eastAsia="Arial" w:cs="Arial"/>
                <w:color w:val="221F1F"/>
                <w:spacing w:val="-2"/>
                <w:lang w:val="en-US" w:eastAsia="en-US"/>
              </w:rPr>
              <w:t>I</w:t>
            </w:r>
            <w:r w:rsidRPr="00EF2588">
              <w:rPr>
                <w:rFonts w:eastAsia="Arial" w:cs="Arial"/>
                <w:color w:val="221F1F"/>
                <w:lang w:val="en-US" w:eastAsia="en-US"/>
              </w:rPr>
              <w:t>t</w:t>
            </w:r>
            <w:r w:rsidRPr="00EF2588">
              <w:rPr>
                <w:rFonts w:eastAsia="Arial" w:cs="Arial"/>
                <w:color w:val="221F1F"/>
                <w:spacing w:val="-3"/>
                <w:lang w:val="en-US" w:eastAsia="en-US"/>
              </w:rPr>
              <w:t>e</w:t>
            </w:r>
            <w:r w:rsidRPr="00EF2588">
              <w:rPr>
                <w:rFonts w:eastAsia="Arial" w:cs="Arial"/>
                <w:color w:val="221F1F"/>
                <w:lang w:val="en-US" w:eastAsia="en-US"/>
              </w:rPr>
              <w:t>ms</w:t>
            </w:r>
            <w:r w:rsidRPr="00EF2588">
              <w:rPr>
                <w:rFonts w:eastAsia="Arial" w:cs="Arial"/>
                <w:color w:val="221F1F"/>
                <w:spacing w:val="-1"/>
                <w:lang w:val="en-US" w:eastAsia="en-US"/>
              </w:rPr>
              <w:t xml:space="preserve"> </w:t>
            </w:r>
            <w:r w:rsidRPr="00EF2588">
              <w:rPr>
                <w:rFonts w:eastAsia="Arial" w:cs="Arial"/>
                <w:color w:val="221F1F"/>
                <w:lang w:val="en-US" w:eastAsia="en-US"/>
              </w:rPr>
              <w:t>(co</w:t>
            </w:r>
            <w:r w:rsidRPr="00EF2588">
              <w:rPr>
                <w:rFonts w:eastAsia="Arial" w:cs="Arial"/>
                <w:color w:val="221F1F"/>
                <w:spacing w:val="-1"/>
                <w:lang w:val="en-US" w:eastAsia="en-US"/>
              </w:rPr>
              <w:t>p</w:t>
            </w:r>
            <w:r w:rsidRPr="00EF2588">
              <w:rPr>
                <w:rFonts w:eastAsia="Arial" w:cs="Arial"/>
                <w:color w:val="221F1F"/>
                <w:spacing w:val="-3"/>
                <w:lang w:val="en-US" w:eastAsia="en-US"/>
              </w:rPr>
              <w:t>y</w:t>
            </w:r>
            <w:r w:rsidRPr="00EF2588">
              <w:rPr>
                <w:rFonts w:eastAsia="Arial" w:cs="Arial"/>
                <w:color w:val="221F1F"/>
                <w:lang w:val="en-US" w:eastAsia="en-US"/>
              </w:rPr>
              <w:t>r</w:t>
            </w:r>
            <w:r w:rsidRPr="00EF2588">
              <w:rPr>
                <w:rFonts w:eastAsia="Arial" w:cs="Arial"/>
                <w:color w:val="221F1F"/>
                <w:spacing w:val="-2"/>
                <w:lang w:val="en-US" w:eastAsia="en-US"/>
              </w:rPr>
              <w:t>i</w:t>
            </w:r>
            <w:r w:rsidRPr="00EF2588">
              <w:rPr>
                <w:rFonts w:eastAsia="Arial" w:cs="Arial"/>
                <w:color w:val="221F1F"/>
                <w:spacing w:val="1"/>
                <w:lang w:val="en-US" w:eastAsia="en-US"/>
              </w:rPr>
              <w:t>g</w:t>
            </w:r>
            <w:r w:rsidRPr="00EF2588">
              <w:rPr>
                <w:rFonts w:eastAsia="Arial" w:cs="Arial"/>
                <w:color w:val="221F1F"/>
                <w:spacing w:val="-3"/>
                <w:lang w:val="en-US" w:eastAsia="en-US"/>
              </w:rPr>
              <w:t>h</w:t>
            </w:r>
            <w:r w:rsidRPr="00EF2588">
              <w:rPr>
                <w:rFonts w:eastAsia="Arial" w:cs="Arial"/>
                <w:color w:val="221F1F"/>
                <w:lang w:val="en-US" w:eastAsia="en-US"/>
              </w:rPr>
              <w:t>t</w:t>
            </w:r>
            <w:r w:rsidRPr="00EF2588">
              <w:rPr>
                <w:rFonts w:eastAsia="Arial" w:cs="Arial"/>
                <w:color w:val="221F1F"/>
                <w:spacing w:val="2"/>
                <w:lang w:val="en-US" w:eastAsia="en-US"/>
              </w:rPr>
              <w:t xml:space="preserve"> </w:t>
            </w:r>
            <w:r w:rsidRPr="00EF2588">
              <w:rPr>
                <w:rFonts w:eastAsia="Arial" w:cs="Arial"/>
                <w:color w:val="221F1F"/>
                <w:spacing w:val="-2"/>
                <w:lang w:val="en-US" w:eastAsia="en-US"/>
              </w:rPr>
              <w:t>li</w:t>
            </w:r>
            <w:r w:rsidRPr="00EF2588">
              <w:rPr>
                <w:rFonts w:eastAsia="Arial" w:cs="Arial"/>
                <w:color w:val="221F1F"/>
                <w:lang w:val="en-US" w:eastAsia="en-US"/>
              </w:rPr>
              <w:t>ce</w:t>
            </w:r>
            <w:r w:rsidRPr="00EF2588">
              <w:rPr>
                <w:rFonts w:eastAsia="Arial" w:cs="Arial"/>
                <w:color w:val="221F1F"/>
                <w:spacing w:val="-1"/>
                <w:lang w:val="en-US" w:eastAsia="en-US"/>
              </w:rPr>
              <w:t>n</w:t>
            </w:r>
            <w:r w:rsidRPr="00EF2588">
              <w:rPr>
                <w:rFonts w:eastAsia="Arial" w:cs="Arial"/>
                <w:color w:val="221F1F"/>
                <w:lang w:val="en-US" w:eastAsia="en-US"/>
              </w:rPr>
              <w:t>ses)</w:t>
            </w:r>
          </w:p>
        </w:tc>
        <w:tc>
          <w:tcPr>
            <w:tcW w:w="2410" w:type="dxa"/>
          </w:tcPr>
          <w:p w14:paraId="789E882C" w14:textId="77777777" w:rsidR="00EF2588" w:rsidRPr="00EF2588" w:rsidRDefault="00EF2588" w:rsidP="00EE7DAF">
            <w:pPr>
              <w:widowControl w:val="0"/>
              <w:spacing w:before="54"/>
              <w:ind w:left="917"/>
              <w:jc w:val="right"/>
              <w:rPr>
                <w:rFonts w:eastAsia="Arial" w:cs="Arial"/>
                <w:lang w:val="en-US" w:eastAsia="en-US"/>
              </w:rPr>
            </w:pPr>
            <w:r w:rsidRPr="00EF2588">
              <w:rPr>
                <w:rFonts w:eastAsia="Arial" w:cs="Arial"/>
                <w:lang w:val="en-US" w:eastAsia="en-US"/>
              </w:rPr>
              <w:t>229</w:t>
            </w:r>
          </w:p>
        </w:tc>
      </w:tr>
      <w:tr w:rsidR="00EF2588" w:rsidRPr="00EF2588" w14:paraId="789E8830" w14:textId="77777777" w:rsidTr="00B10C0D">
        <w:trPr>
          <w:trHeight w:hRule="exact" w:val="264"/>
        </w:trPr>
        <w:tc>
          <w:tcPr>
            <w:tcW w:w="6095" w:type="dxa"/>
          </w:tcPr>
          <w:p w14:paraId="789E882E" w14:textId="77777777" w:rsidR="00EF2588" w:rsidRPr="006669D3" w:rsidRDefault="00EF60AC" w:rsidP="00EF2588">
            <w:pPr>
              <w:widowControl w:val="0"/>
              <w:spacing w:line="249" w:lineRule="exact"/>
              <w:ind w:left="102"/>
              <w:rPr>
                <w:rFonts w:eastAsia="Arial" w:cs="Arial"/>
                <w:b/>
                <w:lang w:val="en-US" w:eastAsia="en-US"/>
              </w:rPr>
            </w:pPr>
            <w:r w:rsidRPr="006669D3">
              <w:rPr>
                <w:rFonts w:eastAsia="Arial" w:cs="Arial"/>
                <w:b/>
                <w:color w:val="221F1F"/>
                <w:spacing w:val="1"/>
                <w:lang w:val="en-US" w:eastAsia="en-US"/>
              </w:rPr>
              <w:t>O</w:t>
            </w:r>
            <w:r w:rsidR="00EF2588" w:rsidRPr="006669D3">
              <w:rPr>
                <w:rFonts w:eastAsia="Arial" w:cs="Arial"/>
                <w:b/>
                <w:color w:val="221F1F"/>
                <w:spacing w:val="-4"/>
                <w:lang w:val="en-US" w:eastAsia="en-US"/>
              </w:rPr>
              <w:t>n</w:t>
            </w:r>
            <w:r w:rsidR="00EF2588" w:rsidRPr="006669D3">
              <w:rPr>
                <w:rFonts w:eastAsia="Arial" w:cs="Arial"/>
                <w:b/>
                <w:color w:val="221F1F"/>
                <w:spacing w:val="1"/>
                <w:lang w:val="en-US" w:eastAsia="en-US"/>
              </w:rPr>
              <w:t>g</w:t>
            </w:r>
            <w:r w:rsidR="00EF2588" w:rsidRPr="006669D3">
              <w:rPr>
                <w:rFonts w:eastAsia="Arial" w:cs="Arial"/>
                <w:b/>
                <w:color w:val="221F1F"/>
                <w:lang w:val="en-US" w:eastAsia="en-US"/>
              </w:rPr>
              <w:t>o</w:t>
            </w:r>
            <w:r w:rsidR="00EF2588" w:rsidRPr="006669D3">
              <w:rPr>
                <w:rFonts w:eastAsia="Arial" w:cs="Arial"/>
                <w:b/>
                <w:color w:val="221F1F"/>
                <w:spacing w:val="-2"/>
                <w:lang w:val="en-US" w:eastAsia="en-US"/>
              </w:rPr>
              <w:t>i</w:t>
            </w:r>
            <w:r w:rsidR="00EF2588" w:rsidRPr="006669D3">
              <w:rPr>
                <w:rFonts w:eastAsia="Arial" w:cs="Arial"/>
                <w:b/>
                <w:color w:val="221F1F"/>
                <w:lang w:val="en-US" w:eastAsia="en-US"/>
              </w:rPr>
              <w:t>ng</w:t>
            </w:r>
            <w:r w:rsidR="00EF2588" w:rsidRPr="006669D3">
              <w:rPr>
                <w:rFonts w:eastAsia="Arial" w:cs="Arial"/>
                <w:b/>
                <w:color w:val="221F1F"/>
                <w:spacing w:val="-2"/>
                <w:lang w:val="en-US" w:eastAsia="en-US"/>
              </w:rPr>
              <w:t xml:space="preserve"> </w:t>
            </w:r>
            <w:r w:rsidR="00B91616" w:rsidRPr="006669D3">
              <w:rPr>
                <w:rFonts w:eastAsia="Arial" w:cs="Arial"/>
                <w:b/>
                <w:color w:val="221F1F"/>
                <w:lang w:val="en-US" w:eastAsia="en-US"/>
              </w:rPr>
              <w:t>Duties</w:t>
            </w:r>
            <w:r w:rsidRPr="006669D3">
              <w:rPr>
                <w:rFonts w:eastAsia="Arial" w:cs="Arial"/>
                <w:b/>
                <w:color w:val="221F1F"/>
                <w:lang w:val="en-US" w:eastAsia="en-US"/>
              </w:rPr>
              <w:t xml:space="preserve"> (non ESG)</w:t>
            </w:r>
          </w:p>
        </w:tc>
        <w:tc>
          <w:tcPr>
            <w:tcW w:w="2410" w:type="dxa"/>
          </w:tcPr>
          <w:p w14:paraId="789E882F" w14:textId="77777777" w:rsidR="00EF2588" w:rsidRPr="006669D3" w:rsidRDefault="00DA4883" w:rsidP="00EE7DAF">
            <w:pPr>
              <w:widowControl w:val="0"/>
              <w:spacing w:line="249" w:lineRule="exact"/>
              <w:ind w:left="610"/>
              <w:jc w:val="right"/>
              <w:rPr>
                <w:rFonts w:eastAsia="Arial" w:cs="Arial"/>
                <w:b/>
                <w:lang w:val="en-US" w:eastAsia="en-US"/>
              </w:rPr>
            </w:pPr>
            <w:r w:rsidRPr="006669D3">
              <w:rPr>
                <w:rFonts w:eastAsia="Arial" w:cs="Arial"/>
                <w:b/>
                <w:color w:val="221F1F"/>
                <w:lang w:val="en-US" w:eastAsia="en-US"/>
              </w:rPr>
              <w:t xml:space="preserve"> £1,468</w:t>
            </w:r>
          </w:p>
        </w:tc>
      </w:tr>
    </w:tbl>
    <w:p w14:paraId="789E8831" w14:textId="77777777" w:rsidR="00EF2588" w:rsidRPr="00EF2588" w:rsidRDefault="00EF2588" w:rsidP="00EF2588"/>
    <w:p w14:paraId="789E8832" w14:textId="77777777" w:rsidR="00B91616" w:rsidRDefault="00B91616" w:rsidP="00EF2588"/>
    <w:p w14:paraId="789E8833" w14:textId="77777777" w:rsidR="00B91616" w:rsidRPr="00B91616" w:rsidRDefault="00B91616" w:rsidP="004F3685">
      <w:pPr>
        <w:keepNext/>
        <w:numPr>
          <w:ilvl w:val="0"/>
          <w:numId w:val="2"/>
        </w:numPr>
        <w:spacing w:after="160" w:line="259" w:lineRule="auto"/>
        <w:ind w:left="357" w:hanging="357"/>
        <w:contextualSpacing/>
        <w:rPr>
          <w:b/>
        </w:rPr>
      </w:pPr>
      <w:r w:rsidRPr="00B91616">
        <w:rPr>
          <w:b/>
        </w:rPr>
        <w:lastRenderedPageBreak/>
        <w:t>Historic Commitments.</w:t>
      </w:r>
    </w:p>
    <w:p w14:paraId="789E8834" w14:textId="77777777" w:rsidR="00B91616" w:rsidRDefault="00B91616" w:rsidP="004F3685">
      <w:pPr>
        <w:keepNext/>
        <w:spacing w:after="160" w:line="259" w:lineRule="auto"/>
        <w:ind w:left="360"/>
        <w:contextualSpacing/>
      </w:pPr>
    </w:p>
    <w:p w14:paraId="789E8835" w14:textId="77777777" w:rsidR="00B91616" w:rsidRDefault="007D1C37" w:rsidP="004F3685">
      <w:pPr>
        <w:keepNext/>
        <w:numPr>
          <w:ilvl w:val="1"/>
          <w:numId w:val="2"/>
        </w:numPr>
        <w:spacing w:after="160" w:line="259" w:lineRule="auto"/>
        <w:ind w:left="567" w:hanging="567"/>
        <w:contextualSpacing/>
      </w:pPr>
      <w:r>
        <w:t>Historic commitments are</w:t>
      </w:r>
      <w:r w:rsidR="00B91616">
        <w:t xml:space="preserve"> contributions agreed by Forum in the past. No new commitments could be entered into after 31 March 2013 and the ESFA expects these budgets to be reducing.</w:t>
      </w:r>
    </w:p>
    <w:p w14:paraId="789E8836" w14:textId="77777777" w:rsidR="00B91616" w:rsidRDefault="00B91616" w:rsidP="00B91616">
      <w:pPr>
        <w:spacing w:after="160" w:line="259" w:lineRule="auto"/>
        <w:ind w:left="567"/>
        <w:contextualSpacing/>
      </w:pPr>
    </w:p>
    <w:p w14:paraId="789E8837" w14:textId="77777777" w:rsidR="00EF3F99" w:rsidRDefault="00B91616" w:rsidP="00EF3F99">
      <w:pPr>
        <w:numPr>
          <w:ilvl w:val="1"/>
          <w:numId w:val="2"/>
        </w:numPr>
        <w:spacing w:after="160" w:line="259" w:lineRule="auto"/>
        <w:ind w:left="567" w:hanging="567"/>
        <w:contextualSpacing/>
      </w:pPr>
      <w:r>
        <w:t>Historic</w:t>
      </w:r>
      <w:r w:rsidR="00AB1798">
        <w:t xml:space="preserve"> commitments</w:t>
      </w:r>
      <w:r>
        <w:t xml:space="preserve"> </w:t>
      </w:r>
      <w:r w:rsidR="00EF3F99">
        <w:t>f</w:t>
      </w:r>
      <w:r w:rsidR="00373AD2">
        <w:t>a</w:t>
      </w:r>
      <w:r w:rsidR="00EF3F99">
        <w:t>ll into two categories</w:t>
      </w:r>
      <w:r w:rsidR="000C08C0">
        <w:t>:</w:t>
      </w:r>
    </w:p>
    <w:p w14:paraId="789E8838" w14:textId="77777777" w:rsidR="00EF3F99" w:rsidRDefault="00373AD2" w:rsidP="00EF3F99">
      <w:pPr>
        <w:numPr>
          <w:ilvl w:val="2"/>
          <w:numId w:val="2"/>
        </w:numPr>
        <w:spacing w:after="160" w:line="259" w:lineRule="auto"/>
        <w:contextualSpacing/>
      </w:pPr>
      <w:r>
        <w:t>Where</w:t>
      </w:r>
      <w:r w:rsidR="00E954C0">
        <w:t xml:space="preserve"> </w:t>
      </w:r>
      <w:r w:rsidR="000C08C0">
        <w:t xml:space="preserve">DSG funding </w:t>
      </w:r>
      <w:r>
        <w:t xml:space="preserve">was combined </w:t>
      </w:r>
      <w:r w:rsidR="000C08C0">
        <w:t>with other income sources</w:t>
      </w:r>
      <w:r w:rsidR="00EF3F99">
        <w:t xml:space="preserve"> so as</w:t>
      </w:r>
      <w:r w:rsidR="000C08C0">
        <w:t xml:space="preserve"> to contribute to services that benefitted the</w:t>
      </w:r>
      <w:r w:rsidR="00B91616">
        <w:t xml:space="preserve"> e</w:t>
      </w:r>
      <w:r w:rsidR="00EF3F99">
        <w:t>ducation of children in general.</w:t>
      </w:r>
      <w:r w:rsidR="004B4056">
        <w:t xml:space="preserve"> The requested contribution to this i</w:t>
      </w:r>
      <w:r w:rsidR="00FE6916">
        <w:t xml:space="preserve">s </w:t>
      </w:r>
      <w:r w:rsidR="00FE6916" w:rsidRPr="00FE6916">
        <w:rPr>
          <w:b/>
        </w:rPr>
        <w:t>£1.596</w:t>
      </w:r>
      <w:r w:rsidR="004B4056" w:rsidRPr="00FE6916">
        <w:rPr>
          <w:b/>
        </w:rPr>
        <w:t>m</w:t>
      </w:r>
      <w:r w:rsidR="004B4056">
        <w:t>, as set out in Table 3.</w:t>
      </w:r>
      <w:r w:rsidR="00FE6916">
        <w:t xml:space="preserve"> This allows for the funding reductions of £69k set out in Section 1.3.</w:t>
      </w:r>
    </w:p>
    <w:p w14:paraId="789E8839" w14:textId="77777777" w:rsidR="00DA4883" w:rsidRDefault="00FB1382" w:rsidP="00EF3F99">
      <w:pPr>
        <w:numPr>
          <w:ilvl w:val="2"/>
          <w:numId w:val="2"/>
        </w:numPr>
        <w:spacing w:after="160" w:line="259" w:lineRule="auto"/>
        <w:contextualSpacing/>
      </w:pPr>
      <w:r>
        <w:t>W</w:t>
      </w:r>
      <w:r w:rsidR="00B91616">
        <w:t>here</w:t>
      </w:r>
      <w:r w:rsidR="00AB1798">
        <w:t xml:space="preserve"> savings had been generated within the DSG but gave rise to costs outside of it, such as redundancy costs arising from rationalisation in school organisation</w:t>
      </w:r>
      <w:r>
        <w:t xml:space="preserve">, such costs </w:t>
      </w:r>
      <w:r w:rsidR="00AB1798">
        <w:t xml:space="preserve">could be charged </w:t>
      </w:r>
      <w:r w:rsidR="000C08C0">
        <w:t xml:space="preserve">to the DSG. </w:t>
      </w:r>
      <w:r w:rsidR="008C557A">
        <w:t>The</w:t>
      </w:r>
      <w:r w:rsidR="004B4056">
        <w:t xml:space="preserve"> requested </w:t>
      </w:r>
      <w:r w:rsidR="00DF365E">
        <w:t>contribution</w:t>
      </w:r>
      <w:r w:rsidR="004B4056">
        <w:t xml:space="preserve"> to this is</w:t>
      </w:r>
      <w:r w:rsidR="008C557A">
        <w:t xml:space="preserve"> </w:t>
      </w:r>
      <w:r w:rsidR="00373AD2" w:rsidRPr="00DF365E">
        <w:rPr>
          <w:b/>
        </w:rPr>
        <w:t>£1.117m</w:t>
      </w:r>
      <w:r w:rsidR="004B4056">
        <w:t>.</w:t>
      </w:r>
    </w:p>
    <w:p w14:paraId="789E883A" w14:textId="77777777" w:rsidR="004F3685" w:rsidRDefault="004F3685" w:rsidP="008D78E1">
      <w:pPr>
        <w:spacing w:after="160" w:line="259" w:lineRule="auto"/>
        <w:contextualSpacing/>
      </w:pPr>
    </w:p>
    <w:p w14:paraId="789E883B" w14:textId="77777777" w:rsidR="00CD1162" w:rsidRPr="00CD1162" w:rsidRDefault="00CD1162" w:rsidP="008D78E1">
      <w:pPr>
        <w:spacing w:after="160" w:line="259" w:lineRule="auto"/>
        <w:contextualSpacing/>
        <w:rPr>
          <w:b/>
        </w:rPr>
      </w:pPr>
      <w:r>
        <w:rPr>
          <w:b/>
        </w:rPr>
        <w:t xml:space="preserve">Table 3: </w:t>
      </w:r>
      <w:r w:rsidRPr="00CD1162">
        <w:rPr>
          <w:b/>
        </w:rPr>
        <w:t>Historic Contribution to Combined Budgets.</w:t>
      </w:r>
    </w:p>
    <w:p w14:paraId="789E883C" w14:textId="77777777" w:rsidR="00CD1162" w:rsidRDefault="00CD1162" w:rsidP="008D78E1">
      <w:pPr>
        <w:spacing w:after="160" w:line="259" w:lineRule="auto"/>
        <w:contextualSpacing/>
      </w:pPr>
    </w:p>
    <w:tbl>
      <w:tblPr>
        <w:tblStyle w:val="TableGrid"/>
        <w:tblW w:w="0" w:type="auto"/>
        <w:tblInd w:w="675" w:type="dxa"/>
        <w:tblLook w:val="04A0" w:firstRow="1" w:lastRow="0" w:firstColumn="1" w:lastColumn="0" w:noHBand="0" w:noVBand="1"/>
      </w:tblPr>
      <w:tblGrid>
        <w:gridCol w:w="6804"/>
        <w:gridCol w:w="1807"/>
      </w:tblGrid>
      <w:tr w:rsidR="008D78E1" w14:paraId="789E883F" w14:textId="77777777" w:rsidTr="00BC407D">
        <w:tc>
          <w:tcPr>
            <w:tcW w:w="6804" w:type="dxa"/>
          </w:tcPr>
          <w:p w14:paraId="789E883D" w14:textId="77777777" w:rsidR="008D78E1" w:rsidRPr="008B4A3F" w:rsidRDefault="00BC407D" w:rsidP="008D78E1">
            <w:pPr>
              <w:spacing w:after="160" w:line="259" w:lineRule="auto"/>
              <w:contextualSpacing/>
              <w:rPr>
                <w:b/>
              </w:rPr>
            </w:pPr>
            <w:r w:rsidRPr="008B4A3F">
              <w:rPr>
                <w:b/>
              </w:rPr>
              <w:t>Item</w:t>
            </w:r>
          </w:p>
        </w:tc>
        <w:tc>
          <w:tcPr>
            <w:tcW w:w="1807" w:type="dxa"/>
          </w:tcPr>
          <w:p w14:paraId="789E883E" w14:textId="77777777" w:rsidR="008D78E1" w:rsidRPr="008B4A3F" w:rsidRDefault="00BC407D" w:rsidP="00BC407D">
            <w:pPr>
              <w:spacing w:after="160" w:line="259" w:lineRule="auto"/>
              <w:contextualSpacing/>
              <w:jc w:val="center"/>
              <w:rPr>
                <w:b/>
              </w:rPr>
            </w:pPr>
            <w:r w:rsidRPr="008B4A3F">
              <w:rPr>
                <w:b/>
              </w:rPr>
              <w:t>£</w:t>
            </w:r>
            <w:r w:rsidR="00DF365E" w:rsidRPr="008B4A3F">
              <w:rPr>
                <w:b/>
              </w:rPr>
              <w:t>000</w:t>
            </w:r>
          </w:p>
        </w:tc>
      </w:tr>
      <w:tr w:rsidR="008D78E1" w14:paraId="789E8842" w14:textId="77777777" w:rsidTr="00BC407D">
        <w:tc>
          <w:tcPr>
            <w:tcW w:w="6804" w:type="dxa"/>
          </w:tcPr>
          <w:p w14:paraId="789E8840" w14:textId="77777777" w:rsidR="008D78E1" w:rsidRDefault="00BC407D" w:rsidP="008D78E1">
            <w:pPr>
              <w:spacing w:after="160" w:line="259" w:lineRule="auto"/>
              <w:contextualSpacing/>
            </w:pPr>
            <w:r>
              <w:t>Education Psychology</w:t>
            </w:r>
          </w:p>
        </w:tc>
        <w:tc>
          <w:tcPr>
            <w:tcW w:w="1807" w:type="dxa"/>
          </w:tcPr>
          <w:p w14:paraId="789E8841" w14:textId="77777777" w:rsidR="008D78E1" w:rsidRDefault="00BC407D" w:rsidP="00BC407D">
            <w:pPr>
              <w:spacing w:after="160" w:line="259" w:lineRule="auto"/>
              <w:contextualSpacing/>
              <w:jc w:val="right"/>
            </w:pPr>
            <w:r>
              <w:t>188</w:t>
            </w:r>
          </w:p>
        </w:tc>
      </w:tr>
      <w:tr w:rsidR="008D78E1" w14:paraId="789E8845" w14:textId="77777777" w:rsidTr="00BC407D">
        <w:tc>
          <w:tcPr>
            <w:tcW w:w="6804" w:type="dxa"/>
          </w:tcPr>
          <w:p w14:paraId="789E8843" w14:textId="77777777" w:rsidR="008D78E1" w:rsidRDefault="00BC407D" w:rsidP="008D78E1">
            <w:pPr>
              <w:spacing w:after="160" w:line="259" w:lineRule="auto"/>
              <w:contextualSpacing/>
            </w:pPr>
            <w:r>
              <w:t>Children</w:t>
            </w:r>
            <w:r w:rsidR="007F31DA">
              <w:t xml:space="preserve"> in Public Care</w:t>
            </w:r>
          </w:p>
        </w:tc>
        <w:tc>
          <w:tcPr>
            <w:tcW w:w="1807" w:type="dxa"/>
          </w:tcPr>
          <w:p w14:paraId="789E8844" w14:textId="77777777" w:rsidR="008D78E1" w:rsidRDefault="00BC407D" w:rsidP="00BC407D">
            <w:pPr>
              <w:spacing w:after="160" w:line="259" w:lineRule="auto"/>
              <w:contextualSpacing/>
              <w:jc w:val="right"/>
            </w:pPr>
            <w:r>
              <w:t>370</w:t>
            </w:r>
          </w:p>
        </w:tc>
      </w:tr>
      <w:tr w:rsidR="008D78E1" w14:paraId="789E8848" w14:textId="77777777" w:rsidTr="00BC407D">
        <w:tc>
          <w:tcPr>
            <w:tcW w:w="6804" w:type="dxa"/>
          </w:tcPr>
          <w:p w14:paraId="789E8846" w14:textId="77777777" w:rsidR="008D78E1" w:rsidRDefault="00BC407D" w:rsidP="008D78E1">
            <w:pPr>
              <w:spacing w:after="160" w:line="259" w:lineRule="auto"/>
              <w:contextualSpacing/>
            </w:pPr>
            <w:r>
              <w:t>Enrichment</w:t>
            </w:r>
          </w:p>
        </w:tc>
        <w:tc>
          <w:tcPr>
            <w:tcW w:w="1807" w:type="dxa"/>
          </w:tcPr>
          <w:p w14:paraId="789E8847" w14:textId="77777777" w:rsidR="008D78E1" w:rsidRDefault="00BC407D" w:rsidP="00BC407D">
            <w:pPr>
              <w:spacing w:after="160" w:line="259" w:lineRule="auto"/>
              <w:contextualSpacing/>
              <w:jc w:val="right"/>
            </w:pPr>
            <w:r>
              <w:t>52</w:t>
            </w:r>
          </w:p>
        </w:tc>
      </w:tr>
      <w:tr w:rsidR="008D78E1" w14:paraId="789E884B" w14:textId="77777777" w:rsidTr="00BC407D">
        <w:tc>
          <w:tcPr>
            <w:tcW w:w="6804" w:type="dxa"/>
          </w:tcPr>
          <w:p w14:paraId="789E8849" w14:textId="77777777" w:rsidR="008D78E1" w:rsidRDefault="00BC407D" w:rsidP="008D78E1">
            <w:pPr>
              <w:spacing w:after="160" w:line="259" w:lineRule="auto"/>
              <w:contextualSpacing/>
            </w:pPr>
            <w:r>
              <w:t>Legal</w:t>
            </w:r>
          </w:p>
        </w:tc>
        <w:tc>
          <w:tcPr>
            <w:tcW w:w="1807" w:type="dxa"/>
          </w:tcPr>
          <w:p w14:paraId="789E884A" w14:textId="77777777" w:rsidR="008D78E1" w:rsidRDefault="00AC3973" w:rsidP="00BC407D">
            <w:pPr>
              <w:spacing w:after="160" w:line="259" w:lineRule="auto"/>
              <w:contextualSpacing/>
              <w:jc w:val="right"/>
            </w:pPr>
            <w:r>
              <w:t>26</w:t>
            </w:r>
          </w:p>
        </w:tc>
      </w:tr>
      <w:tr w:rsidR="00BC407D" w14:paraId="789E884E" w14:textId="77777777" w:rsidTr="00BC407D">
        <w:tc>
          <w:tcPr>
            <w:tcW w:w="6804" w:type="dxa"/>
          </w:tcPr>
          <w:p w14:paraId="789E884C" w14:textId="77777777" w:rsidR="00BC407D" w:rsidRDefault="00BC407D" w:rsidP="008D78E1">
            <w:pPr>
              <w:spacing w:after="160" w:line="259" w:lineRule="auto"/>
              <w:contextualSpacing/>
            </w:pPr>
            <w:r>
              <w:t>Clothing Grant</w:t>
            </w:r>
          </w:p>
        </w:tc>
        <w:tc>
          <w:tcPr>
            <w:tcW w:w="1807" w:type="dxa"/>
          </w:tcPr>
          <w:p w14:paraId="789E884D" w14:textId="77777777" w:rsidR="00BC407D" w:rsidRDefault="00AC3973" w:rsidP="00BC407D">
            <w:pPr>
              <w:spacing w:after="160" w:line="259" w:lineRule="auto"/>
              <w:contextualSpacing/>
              <w:jc w:val="right"/>
            </w:pPr>
            <w:r>
              <w:t>201</w:t>
            </w:r>
          </w:p>
        </w:tc>
      </w:tr>
      <w:tr w:rsidR="00BC407D" w14:paraId="789E8851" w14:textId="77777777" w:rsidTr="00BC407D">
        <w:tc>
          <w:tcPr>
            <w:tcW w:w="6804" w:type="dxa"/>
          </w:tcPr>
          <w:p w14:paraId="789E884F" w14:textId="77777777" w:rsidR="00BC407D" w:rsidRDefault="00BC407D" w:rsidP="008D78E1">
            <w:pPr>
              <w:spacing w:after="160" w:line="259" w:lineRule="auto"/>
              <w:contextualSpacing/>
            </w:pPr>
            <w:r>
              <w:t>Weekend GCSE Classes</w:t>
            </w:r>
          </w:p>
        </w:tc>
        <w:tc>
          <w:tcPr>
            <w:tcW w:w="1807" w:type="dxa"/>
          </w:tcPr>
          <w:p w14:paraId="789E8850" w14:textId="77777777" w:rsidR="00BC407D" w:rsidRDefault="005C4497" w:rsidP="00BC407D">
            <w:pPr>
              <w:spacing w:after="160" w:line="259" w:lineRule="auto"/>
              <w:contextualSpacing/>
              <w:jc w:val="right"/>
            </w:pPr>
            <w:r>
              <w:t>21</w:t>
            </w:r>
          </w:p>
        </w:tc>
      </w:tr>
      <w:tr w:rsidR="00BC407D" w14:paraId="789E8854" w14:textId="77777777" w:rsidTr="00BC407D">
        <w:tc>
          <w:tcPr>
            <w:tcW w:w="6804" w:type="dxa"/>
          </w:tcPr>
          <w:p w14:paraId="789E8852" w14:textId="77777777" w:rsidR="00BC407D" w:rsidRDefault="006669D3" w:rsidP="008D78E1">
            <w:pPr>
              <w:spacing w:after="160" w:line="259" w:lineRule="auto"/>
              <w:contextualSpacing/>
            </w:pPr>
            <w:r>
              <w:t>In-Reach/Out-Reach Work</w:t>
            </w:r>
          </w:p>
        </w:tc>
        <w:tc>
          <w:tcPr>
            <w:tcW w:w="1807" w:type="dxa"/>
          </w:tcPr>
          <w:p w14:paraId="789E8853" w14:textId="77777777" w:rsidR="00BC407D" w:rsidRDefault="006669D3" w:rsidP="00BC407D">
            <w:pPr>
              <w:spacing w:after="160" w:line="259" w:lineRule="auto"/>
              <w:contextualSpacing/>
              <w:jc w:val="right"/>
            </w:pPr>
            <w:r>
              <w:t>738</w:t>
            </w:r>
          </w:p>
        </w:tc>
      </w:tr>
      <w:tr w:rsidR="00BC407D" w14:paraId="789E8857" w14:textId="77777777" w:rsidTr="00BC407D">
        <w:tc>
          <w:tcPr>
            <w:tcW w:w="6804" w:type="dxa"/>
          </w:tcPr>
          <w:p w14:paraId="789E8855" w14:textId="77777777" w:rsidR="00BC407D" w:rsidRPr="006669D3" w:rsidRDefault="006669D3" w:rsidP="008D78E1">
            <w:pPr>
              <w:spacing w:after="160" w:line="259" w:lineRule="auto"/>
              <w:contextualSpacing/>
              <w:rPr>
                <w:b/>
              </w:rPr>
            </w:pPr>
            <w:r w:rsidRPr="006669D3">
              <w:rPr>
                <w:b/>
              </w:rPr>
              <w:t>Total</w:t>
            </w:r>
          </w:p>
        </w:tc>
        <w:tc>
          <w:tcPr>
            <w:tcW w:w="1807" w:type="dxa"/>
          </w:tcPr>
          <w:p w14:paraId="789E8856" w14:textId="77777777" w:rsidR="00BC407D" w:rsidRPr="006669D3" w:rsidRDefault="006669D3" w:rsidP="00BC407D">
            <w:pPr>
              <w:spacing w:after="160" w:line="259" w:lineRule="auto"/>
              <w:contextualSpacing/>
              <w:jc w:val="right"/>
              <w:rPr>
                <w:b/>
              </w:rPr>
            </w:pPr>
            <w:r w:rsidRPr="006669D3">
              <w:rPr>
                <w:b/>
              </w:rPr>
              <w:t>1,5</w:t>
            </w:r>
            <w:r w:rsidR="005C4497">
              <w:rPr>
                <w:b/>
              </w:rPr>
              <w:t>96</w:t>
            </w:r>
          </w:p>
        </w:tc>
      </w:tr>
    </w:tbl>
    <w:p w14:paraId="789E8858" w14:textId="77777777" w:rsidR="008D78E1" w:rsidRDefault="008D78E1" w:rsidP="008D78E1">
      <w:pPr>
        <w:spacing w:after="160" w:line="259" w:lineRule="auto"/>
        <w:contextualSpacing/>
      </w:pPr>
    </w:p>
    <w:p w14:paraId="789E8859" w14:textId="77777777" w:rsidR="00DA4883" w:rsidRDefault="007D1C37" w:rsidP="009C56C2">
      <w:pPr>
        <w:numPr>
          <w:ilvl w:val="1"/>
          <w:numId w:val="2"/>
        </w:numPr>
        <w:spacing w:after="160" w:line="259" w:lineRule="auto"/>
        <w:ind w:left="567" w:hanging="567"/>
        <w:contextualSpacing/>
      </w:pPr>
      <w:r>
        <w:t>Forum is asked to approve the continued retention of these contributions.</w:t>
      </w:r>
      <w:r w:rsidR="00B91616">
        <w:t xml:space="preserve"> </w:t>
      </w:r>
    </w:p>
    <w:p w14:paraId="789E885A" w14:textId="77777777" w:rsidR="00B91616" w:rsidRDefault="00B91616" w:rsidP="00DA4883">
      <w:pPr>
        <w:spacing w:after="160" w:line="259" w:lineRule="auto"/>
        <w:ind w:left="567"/>
        <w:contextualSpacing/>
      </w:pPr>
      <w:r>
        <w:t xml:space="preserve"> </w:t>
      </w:r>
    </w:p>
    <w:p w14:paraId="789E885B" w14:textId="77777777" w:rsidR="00B91616" w:rsidRPr="004F3685" w:rsidRDefault="00DA4883" w:rsidP="009C56C2">
      <w:pPr>
        <w:numPr>
          <w:ilvl w:val="0"/>
          <w:numId w:val="2"/>
        </w:numPr>
        <w:spacing w:after="160" w:line="259" w:lineRule="auto"/>
        <w:contextualSpacing/>
        <w:rPr>
          <w:b/>
        </w:rPr>
      </w:pPr>
      <w:r w:rsidRPr="004F3685">
        <w:rPr>
          <w:b/>
        </w:rPr>
        <w:t>Summary.</w:t>
      </w:r>
    </w:p>
    <w:p w14:paraId="789E885C" w14:textId="77777777" w:rsidR="00DA4883" w:rsidRDefault="00DA4883" w:rsidP="00DA4883">
      <w:pPr>
        <w:spacing w:after="160" w:line="259" w:lineRule="auto"/>
        <w:ind w:left="360"/>
        <w:contextualSpacing/>
      </w:pPr>
    </w:p>
    <w:p w14:paraId="789E885D" w14:textId="77777777" w:rsidR="00DA4883" w:rsidRDefault="00DA4883" w:rsidP="009C56C2">
      <w:pPr>
        <w:numPr>
          <w:ilvl w:val="1"/>
          <w:numId w:val="2"/>
        </w:numPr>
        <w:spacing w:after="160" w:line="259" w:lineRule="auto"/>
        <w:contextualSpacing/>
      </w:pPr>
      <w:r>
        <w:t xml:space="preserve">The overall position </w:t>
      </w:r>
      <w:r w:rsidR="007D1C37">
        <w:t>for the</w:t>
      </w:r>
      <w:r>
        <w:t xml:space="preserve"> 20</w:t>
      </w:r>
      <w:r w:rsidR="004B4056">
        <w:t>19-20 CSSB is set out in Table 4</w:t>
      </w:r>
      <w:r>
        <w:t>.</w:t>
      </w:r>
    </w:p>
    <w:p w14:paraId="789E885E" w14:textId="77777777" w:rsidR="00DA4883" w:rsidRDefault="00DA4883" w:rsidP="00DA4883">
      <w:pPr>
        <w:spacing w:after="160" w:line="259" w:lineRule="auto"/>
        <w:ind w:left="360"/>
        <w:contextualSpacing/>
      </w:pPr>
    </w:p>
    <w:p w14:paraId="789E885F" w14:textId="77777777" w:rsidR="00DA4883" w:rsidRPr="00DA4883" w:rsidRDefault="004B4056" w:rsidP="00DA4883">
      <w:pPr>
        <w:spacing w:after="160" w:line="259" w:lineRule="auto"/>
        <w:ind w:left="720"/>
        <w:contextualSpacing/>
        <w:rPr>
          <w:b/>
        </w:rPr>
      </w:pPr>
      <w:r>
        <w:rPr>
          <w:b/>
        </w:rPr>
        <w:t>Table 4</w:t>
      </w:r>
      <w:r w:rsidR="00DA4883" w:rsidRPr="00DA4883">
        <w:rPr>
          <w:b/>
        </w:rPr>
        <w:t xml:space="preserve"> Summary of CSSB proposals for 2019-20.</w:t>
      </w:r>
    </w:p>
    <w:p w14:paraId="789E8860" w14:textId="77777777" w:rsidR="00DA4883" w:rsidRDefault="00DA4883" w:rsidP="00DA4883">
      <w:pPr>
        <w:spacing w:after="160" w:line="259" w:lineRule="auto"/>
        <w:ind w:left="720"/>
        <w:contextualSpacing/>
      </w:pPr>
    </w:p>
    <w:tbl>
      <w:tblPr>
        <w:tblStyle w:val="TableGrid"/>
        <w:tblW w:w="0" w:type="auto"/>
        <w:tblInd w:w="720" w:type="dxa"/>
        <w:tblLook w:val="04A0" w:firstRow="1" w:lastRow="0" w:firstColumn="1" w:lastColumn="0" w:noHBand="0" w:noVBand="1"/>
      </w:tblPr>
      <w:tblGrid>
        <w:gridCol w:w="6192"/>
        <w:gridCol w:w="1187"/>
        <w:gridCol w:w="1187"/>
      </w:tblGrid>
      <w:tr w:rsidR="00DA4883" w14:paraId="789E8864" w14:textId="77777777" w:rsidTr="005C4497">
        <w:tc>
          <w:tcPr>
            <w:tcW w:w="6192" w:type="dxa"/>
          </w:tcPr>
          <w:p w14:paraId="789E8861" w14:textId="77777777" w:rsidR="00DA4883" w:rsidRPr="00DA4883" w:rsidRDefault="00DA4883" w:rsidP="00DA4883">
            <w:pPr>
              <w:spacing w:after="160" w:line="259" w:lineRule="auto"/>
              <w:contextualSpacing/>
              <w:rPr>
                <w:b/>
              </w:rPr>
            </w:pPr>
            <w:r w:rsidRPr="00DA4883">
              <w:rPr>
                <w:b/>
              </w:rPr>
              <w:t>Description</w:t>
            </w:r>
          </w:p>
        </w:tc>
        <w:tc>
          <w:tcPr>
            <w:tcW w:w="1187" w:type="dxa"/>
          </w:tcPr>
          <w:p w14:paraId="789E8862" w14:textId="77777777" w:rsidR="00DA4883" w:rsidRPr="00DA4883" w:rsidRDefault="00DA4883" w:rsidP="00DA4883">
            <w:pPr>
              <w:spacing w:after="160" w:line="259" w:lineRule="auto"/>
              <w:contextualSpacing/>
              <w:jc w:val="right"/>
              <w:rPr>
                <w:b/>
              </w:rPr>
            </w:pPr>
            <w:r w:rsidRPr="00DA4883">
              <w:rPr>
                <w:b/>
              </w:rPr>
              <w:t>£000</w:t>
            </w:r>
          </w:p>
        </w:tc>
        <w:tc>
          <w:tcPr>
            <w:tcW w:w="1187" w:type="dxa"/>
          </w:tcPr>
          <w:p w14:paraId="789E8863" w14:textId="77777777" w:rsidR="00DA4883" w:rsidRPr="00DA4883" w:rsidRDefault="00DA4883" w:rsidP="00DA4883">
            <w:pPr>
              <w:spacing w:after="160" w:line="259" w:lineRule="auto"/>
              <w:contextualSpacing/>
              <w:jc w:val="right"/>
              <w:rPr>
                <w:b/>
              </w:rPr>
            </w:pPr>
            <w:r w:rsidRPr="00DA4883">
              <w:rPr>
                <w:b/>
              </w:rPr>
              <w:t>£000</w:t>
            </w:r>
          </w:p>
        </w:tc>
      </w:tr>
      <w:tr w:rsidR="00DA4883" w14:paraId="789E8868" w14:textId="77777777" w:rsidTr="005C4497">
        <w:tc>
          <w:tcPr>
            <w:tcW w:w="6192" w:type="dxa"/>
          </w:tcPr>
          <w:p w14:paraId="789E8865" w14:textId="77777777" w:rsidR="00DA4883" w:rsidRPr="005C4497" w:rsidRDefault="00DA4883" w:rsidP="00DA4883">
            <w:pPr>
              <w:spacing w:after="160" w:line="259" w:lineRule="auto"/>
              <w:contextualSpacing/>
              <w:rPr>
                <w:b/>
              </w:rPr>
            </w:pPr>
            <w:r w:rsidRPr="005C4497">
              <w:rPr>
                <w:b/>
              </w:rPr>
              <w:t>Allocation</w:t>
            </w:r>
          </w:p>
        </w:tc>
        <w:tc>
          <w:tcPr>
            <w:tcW w:w="1187" w:type="dxa"/>
          </w:tcPr>
          <w:p w14:paraId="789E8866" w14:textId="77777777" w:rsidR="00DA4883" w:rsidRPr="005C4497" w:rsidRDefault="00DA4883" w:rsidP="00DA4883">
            <w:pPr>
              <w:spacing w:after="160" w:line="259" w:lineRule="auto"/>
              <w:contextualSpacing/>
              <w:jc w:val="right"/>
              <w:rPr>
                <w:b/>
              </w:rPr>
            </w:pPr>
          </w:p>
        </w:tc>
        <w:tc>
          <w:tcPr>
            <w:tcW w:w="1187" w:type="dxa"/>
          </w:tcPr>
          <w:p w14:paraId="789E8867" w14:textId="77777777" w:rsidR="00DA4883" w:rsidRPr="005C4497" w:rsidRDefault="00DA4883" w:rsidP="00DA4883">
            <w:pPr>
              <w:spacing w:after="160" w:line="259" w:lineRule="auto"/>
              <w:contextualSpacing/>
              <w:jc w:val="right"/>
              <w:rPr>
                <w:b/>
              </w:rPr>
            </w:pPr>
            <w:r w:rsidRPr="005C4497">
              <w:rPr>
                <w:b/>
              </w:rPr>
              <w:t>4,</w:t>
            </w:r>
            <w:r w:rsidR="005C4497" w:rsidRPr="005C4497">
              <w:rPr>
                <w:b/>
              </w:rPr>
              <w:t>811</w:t>
            </w:r>
          </w:p>
        </w:tc>
      </w:tr>
      <w:tr w:rsidR="00DA4883" w14:paraId="789E886C" w14:textId="77777777" w:rsidTr="005C4497">
        <w:tc>
          <w:tcPr>
            <w:tcW w:w="6192" w:type="dxa"/>
          </w:tcPr>
          <w:p w14:paraId="789E8869" w14:textId="77777777" w:rsidR="00DA4883" w:rsidRDefault="00DA4883" w:rsidP="00DA4883">
            <w:pPr>
              <w:spacing w:after="160" w:line="259" w:lineRule="auto"/>
              <w:contextualSpacing/>
            </w:pPr>
            <w:r>
              <w:t>Proposed Use:</w:t>
            </w:r>
          </w:p>
        </w:tc>
        <w:tc>
          <w:tcPr>
            <w:tcW w:w="1187" w:type="dxa"/>
          </w:tcPr>
          <w:p w14:paraId="789E886A" w14:textId="77777777" w:rsidR="00DA4883" w:rsidRDefault="00DA4883" w:rsidP="00DA4883">
            <w:pPr>
              <w:spacing w:after="160" w:line="259" w:lineRule="auto"/>
              <w:contextualSpacing/>
              <w:jc w:val="right"/>
            </w:pPr>
          </w:p>
        </w:tc>
        <w:tc>
          <w:tcPr>
            <w:tcW w:w="1187" w:type="dxa"/>
          </w:tcPr>
          <w:p w14:paraId="789E886B" w14:textId="77777777" w:rsidR="00DA4883" w:rsidRDefault="00DA4883" w:rsidP="00DA4883">
            <w:pPr>
              <w:spacing w:after="160" w:line="259" w:lineRule="auto"/>
              <w:contextualSpacing/>
              <w:jc w:val="right"/>
            </w:pPr>
          </w:p>
        </w:tc>
      </w:tr>
      <w:tr w:rsidR="00DA4883" w14:paraId="789E8870" w14:textId="77777777" w:rsidTr="005C4497">
        <w:tc>
          <w:tcPr>
            <w:tcW w:w="6192" w:type="dxa"/>
          </w:tcPr>
          <w:p w14:paraId="789E886D" w14:textId="77777777" w:rsidR="00DA4883" w:rsidRDefault="00DA4883" w:rsidP="00DA4883">
            <w:pPr>
              <w:spacing w:after="160" w:line="259" w:lineRule="auto"/>
              <w:contextualSpacing/>
            </w:pPr>
            <w:r>
              <w:t>Former ESG Services</w:t>
            </w:r>
          </w:p>
        </w:tc>
        <w:tc>
          <w:tcPr>
            <w:tcW w:w="1187" w:type="dxa"/>
          </w:tcPr>
          <w:p w14:paraId="789E886E" w14:textId="77777777" w:rsidR="00DA4883" w:rsidRDefault="00DA4883" w:rsidP="00DA4883">
            <w:pPr>
              <w:spacing w:after="160" w:line="259" w:lineRule="auto"/>
              <w:contextualSpacing/>
              <w:jc w:val="right"/>
            </w:pPr>
            <w:r>
              <w:t>630</w:t>
            </w:r>
          </w:p>
        </w:tc>
        <w:tc>
          <w:tcPr>
            <w:tcW w:w="1187" w:type="dxa"/>
          </w:tcPr>
          <w:p w14:paraId="789E886F" w14:textId="77777777" w:rsidR="00DA4883" w:rsidRDefault="00DA4883" w:rsidP="00DA4883">
            <w:pPr>
              <w:spacing w:after="160" w:line="259" w:lineRule="auto"/>
              <w:contextualSpacing/>
              <w:jc w:val="right"/>
            </w:pPr>
          </w:p>
        </w:tc>
      </w:tr>
      <w:tr w:rsidR="00DA4883" w14:paraId="789E8874" w14:textId="77777777" w:rsidTr="005C4497">
        <w:tc>
          <w:tcPr>
            <w:tcW w:w="6192" w:type="dxa"/>
          </w:tcPr>
          <w:p w14:paraId="789E8871" w14:textId="77777777" w:rsidR="00DA4883" w:rsidRDefault="00DA4883" w:rsidP="00DA4883">
            <w:pPr>
              <w:spacing w:after="160" w:line="259" w:lineRule="auto"/>
              <w:contextualSpacing/>
            </w:pPr>
            <w:r>
              <w:t>Ongoing Duties</w:t>
            </w:r>
          </w:p>
        </w:tc>
        <w:tc>
          <w:tcPr>
            <w:tcW w:w="1187" w:type="dxa"/>
          </w:tcPr>
          <w:p w14:paraId="789E8872" w14:textId="77777777" w:rsidR="00DA4883" w:rsidRDefault="00DA4883" w:rsidP="00DA4883">
            <w:pPr>
              <w:spacing w:after="160" w:line="259" w:lineRule="auto"/>
              <w:contextualSpacing/>
              <w:jc w:val="right"/>
            </w:pPr>
            <w:r>
              <w:t>1,468</w:t>
            </w:r>
          </w:p>
        </w:tc>
        <w:tc>
          <w:tcPr>
            <w:tcW w:w="1187" w:type="dxa"/>
          </w:tcPr>
          <w:p w14:paraId="789E8873" w14:textId="77777777" w:rsidR="00DA4883" w:rsidRDefault="00DA4883" w:rsidP="00DA4883">
            <w:pPr>
              <w:spacing w:after="160" w:line="259" w:lineRule="auto"/>
              <w:contextualSpacing/>
              <w:jc w:val="right"/>
            </w:pPr>
          </w:p>
        </w:tc>
      </w:tr>
      <w:tr w:rsidR="00DA4883" w14:paraId="789E8878" w14:textId="77777777" w:rsidTr="005C4497">
        <w:tc>
          <w:tcPr>
            <w:tcW w:w="6192" w:type="dxa"/>
          </w:tcPr>
          <w:p w14:paraId="789E8875" w14:textId="77777777" w:rsidR="00DA4883" w:rsidRDefault="00DA4883" w:rsidP="00CB08F3">
            <w:pPr>
              <w:spacing w:after="160" w:line="259" w:lineRule="auto"/>
              <w:contextualSpacing/>
            </w:pPr>
            <w:r>
              <w:t>Historic Commitments</w:t>
            </w:r>
            <w:r w:rsidR="007F31DA">
              <w:t xml:space="preserve"> </w:t>
            </w:r>
            <w:r w:rsidR="00F01F6A">
              <w:t>–</w:t>
            </w:r>
            <w:r w:rsidR="007F31DA">
              <w:t xml:space="preserve"> </w:t>
            </w:r>
            <w:r w:rsidR="00CB08F3">
              <w:t>P</w:t>
            </w:r>
            <w:r w:rsidR="00E13568" w:rsidRPr="00E13568">
              <w:t>ension and redundancy from historic restructures pre 1st April 2013</w:t>
            </w:r>
            <w:r w:rsidR="00E13568">
              <w:t>.</w:t>
            </w:r>
          </w:p>
        </w:tc>
        <w:tc>
          <w:tcPr>
            <w:tcW w:w="1187" w:type="dxa"/>
          </w:tcPr>
          <w:p w14:paraId="789E8876" w14:textId="77777777" w:rsidR="00DA4883" w:rsidRDefault="007F31DA" w:rsidP="00DA4883">
            <w:pPr>
              <w:spacing w:after="160" w:line="259" w:lineRule="auto"/>
              <w:contextualSpacing/>
              <w:jc w:val="right"/>
            </w:pPr>
            <w:r>
              <w:t>1,117</w:t>
            </w:r>
          </w:p>
        </w:tc>
        <w:tc>
          <w:tcPr>
            <w:tcW w:w="1187" w:type="dxa"/>
          </w:tcPr>
          <w:p w14:paraId="789E8877" w14:textId="77777777" w:rsidR="00DA4883" w:rsidRDefault="00DA4883" w:rsidP="00DA4883">
            <w:pPr>
              <w:spacing w:after="160" w:line="259" w:lineRule="auto"/>
              <w:contextualSpacing/>
              <w:jc w:val="right"/>
            </w:pPr>
          </w:p>
        </w:tc>
      </w:tr>
      <w:tr w:rsidR="007F31DA" w14:paraId="789E887C" w14:textId="77777777" w:rsidTr="005C4497">
        <w:tc>
          <w:tcPr>
            <w:tcW w:w="6192" w:type="dxa"/>
          </w:tcPr>
          <w:p w14:paraId="789E8879" w14:textId="77777777" w:rsidR="007F31DA" w:rsidRDefault="007F31DA" w:rsidP="00DA4883">
            <w:pPr>
              <w:spacing w:after="160" w:line="259" w:lineRule="auto"/>
              <w:contextualSpacing/>
            </w:pPr>
            <w:r>
              <w:t>Historic Commitments – Combined Budgets</w:t>
            </w:r>
          </w:p>
        </w:tc>
        <w:tc>
          <w:tcPr>
            <w:tcW w:w="1187" w:type="dxa"/>
          </w:tcPr>
          <w:p w14:paraId="789E887A" w14:textId="77777777" w:rsidR="007F31DA" w:rsidRDefault="007F31DA" w:rsidP="00DA4883">
            <w:pPr>
              <w:spacing w:after="160" w:line="259" w:lineRule="auto"/>
              <w:contextualSpacing/>
              <w:jc w:val="right"/>
            </w:pPr>
            <w:r>
              <w:t>1,</w:t>
            </w:r>
            <w:r w:rsidR="006669D3">
              <w:t>5</w:t>
            </w:r>
            <w:r w:rsidR="005C4497">
              <w:t>96</w:t>
            </w:r>
          </w:p>
        </w:tc>
        <w:tc>
          <w:tcPr>
            <w:tcW w:w="1187" w:type="dxa"/>
          </w:tcPr>
          <w:p w14:paraId="789E887B" w14:textId="77777777" w:rsidR="007F31DA" w:rsidRDefault="007F31DA" w:rsidP="00DA4883">
            <w:pPr>
              <w:spacing w:after="160" w:line="259" w:lineRule="auto"/>
              <w:contextualSpacing/>
              <w:jc w:val="right"/>
            </w:pPr>
          </w:p>
        </w:tc>
      </w:tr>
      <w:tr w:rsidR="00DA4883" w14:paraId="789E8880" w14:textId="77777777" w:rsidTr="005C4497">
        <w:tc>
          <w:tcPr>
            <w:tcW w:w="6192" w:type="dxa"/>
          </w:tcPr>
          <w:p w14:paraId="789E887D" w14:textId="77777777" w:rsidR="00DA4883" w:rsidRPr="005C4497" w:rsidRDefault="00DA4883" w:rsidP="00DA4883">
            <w:pPr>
              <w:spacing w:after="160" w:line="259" w:lineRule="auto"/>
              <w:contextualSpacing/>
              <w:rPr>
                <w:b/>
              </w:rPr>
            </w:pPr>
            <w:r w:rsidRPr="005C4497">
              <w:rPr>
                <w:b/>
              </w:rPr>
              <w:t>Total</w:t>
            </w:r>
            <w:r w:rsidR="005C4497" w:rsidRPr="005C4497">
              <w:rPr>
                <w:b/>
              </w:rPr>
              <w:t xml:space="preserve"> Proposed</w:t>
            </w:r>
          </w:p>
        </w:tc>
        <w:tc>
          <w:tcPr>
            <w:tcW w:w="1187" w:type="dxa"/>
          </w:tcPr>
          <w:p w14:paraId="789E887E" w14:textId="77777777" w:rsidR="00DA4883" w:rsidRPr="005C4497" w:rsidRDefault="00DA4883" w:rsidP="00DA4883">
            <w:pPr>
              <w:spacing w:after="160" w:line="259" w:lineRule="auto"/>
              <w:contextualSpacing/>
              <w:jc w:val="right"/>
              <w:rPr>
                <w:b/>
              </w:rPr>
            </w:pPr>
          </w:p>
        </w:tc>
        <w:tc>
          <w:tcPr>
            <w:tcW w:w="1187" w:type="dxa"/>
          </w:tcPr>
          <w:p w14:paraId="789E887F" w14:textId="77777777" w:rsidR="00DA4883" w:rsidRPr="005C4497" w:rsidRDefault="00DA4883" w:rsidP="006669D3">
            <w:pPr>
              <w:spacing w:after="160" w:line="259" w:lineRule="auto"/>
              <w:contextualSpacing/>
              <w:jc w:val="right"/>
              <w:rPr>
                <w:b/>
              </w:rPr>
            </w:pPr>
            <w:r w:rsidRPr="005C4497">
              <w:rPr>
                <w:b/>
              </w:rPr>
              <w:t>4,</w:t>
            </w:r>
            <w:r w:rsidR="005C4497" w:rsidRPr="005C4497">
              <w:rPr>
                <w:b/>
              </w:rPr>
              <w:t>811</w:t>
            </w:r>
          </w:p>
        </w:tc>
      </w:tr>
    </w:tbl>
    <w:p w14:paraId="789E8881" w14:textId="77777777" w:rsidR="004901CB" w:rsidRDefault="004901CB" w:rsidP="00974C85">
      <w:pPr>
        <w:rPr>
          <w:b/>
        </w:rPr>
        <w:sectPr w:rsidR="004901CB" w:rsidSect="004C11CF">
          <w:headerReference w:type="default" r:id="rId11"/>
          <w:footerReference w:type="default" r:id="rId12"/>
          <w:pgSz w:w="11906" w:h="16838" w:code="9"/>
          <w:pgMar w:top="1503" w:right="1418" w:bottom="1440" w:left="1418" w:header="709" w:footer="709" w:gutter="0"/>
          <w:cols w:space="708"/>
          <w:docGrid w:linePitch="360"/>
        </w:sectPr>
      </w:pPr>
    </w:p>
    <w:p w14:paraId="789E8882" w14:textId="77777777" w:rsidR="00ED7730" w:rsidRPr="00B55E8C" w:rsidRDefault="00B159F3" w:rsidP="00974C85">
      <w:pPr>
        <w:rPr>
          <w:b/>
          <w:sz w:val="22"/>
          <w:szCs w:val="22"/>
        </w:rPr>
      </w:pPr>
      <w:r>
        <w:rPr>
          <w:b/>
          <w:sz w:val="22"/>
          <w:szCs w:val="22"/>
        </w:rPr>
        <w:lastRenderedPageBreak/>
        <w:t>Appendix 1:</w:t>
      </w:r>
      <w:r>
        <w:rPr>
          <w:b/>
          <w:sz w:val="22"/>
          <w:szCs w:val="22"/>
        </w:rPr>
        <w:tab/>
      </w:r>
      <w:r w:rsidR="004901CB" w:rsidRPr="00B55E8C">
        <w:rPr>
          <w:b/>
          <w:sz w:val="22"/>
          <w:szCs w:val="22"/>
        </w:rPr>
        <w:t>Retained Duties for Maintained Schools and Academies.</w:t>
      </w:r>
      <w:r w:rsidR="00925BA9" w:rsidRPr="00B55E8C">
        <w:rPr>
          <w:b/>
          <w:sz w:val="22"/>
          <w:szCs w:val="22"/>
        </w:rPr>
        <w:t xml:space="preserve">  </w:t>
      </w:r>
    </w:p>
    <w:p w14:paraId="789E8883" w14:textId="77777777" w:rsidR="00B55E8C" w:rsidRPr="00B55E8C" w:rsidRDefault="00B55E8C" w:rsidP="00B55E8C">
      <w:pPr>
        <w:rPr>
          <w:b/>
          <w:sz w:val="22"/>
          <w:szCs w:val="22"/>
        </w:rPr>
      </w:pPr>
    </w:p>
    <w:p w14:paraId="789E8884" w14:textId="77777777" w:rsidR="00B55E8C" w:rsidRPr="00B159F3" w:rsidRDefault="00B159F3" w:rsidP="00B55E8C">
      <w:pPr>
        <w:rPr>
          <w:i/>
          <w:sz w:val="22"/>
          <w:szCs w:val="22"/>
        </w:rPr>
      </w:pPr>
      <w:r w:rsidRPr="00B159F3">
        <w:rPr>
          <w:i/>
          <w:sz w:val="22"/>
          <w:szCs w:val="22"/>
        </w:rPr>
        <w:t>DfE guidance on c</w:t>
      </w:r>
      <w:r w:rsidR="00B55E8C" w:rsidRPr="00B159F3">
        <w:rPr>
          <w:i/>
          <w:sz w:val="22"/>
          <w:szCs w:val="22"/>
        </w:rPr>
        <w:t xml:space="preserve">entral provision within </w:t>
      </w:r>
      <w:r w:rsidRPr="00B159F3">
        <w:rPr>
          <w:i/>
          <w:sz w:val="22"/>
          <w:szCs w:val="22"/>
        </w:rPr>
        <w:t xml:space="preserve">the </w:t>
      </w:r>
      <w:r w:rsidR="00B55E8C" w:rsidRPr="00B159F3">
        <w:rPr>
          <w:i/>
          <w:sz w:val="22"/>
          <w:szCs w:val="22"/>
        </w:rPr>
        <w:t xml:space="preserve">schools budget </w:t>
      </w:r>
      <w:r w:rsidRPr="00B159F3">
        <w:rPr>
          <w:i/>
          <w:sz w:val="22"/>
          <w:szCs w:val="22"/>
        </w:rPr>
        <w:t xml:space="preserve">for </w:t>
      </w:r>
      <w:r w:rsidR="00B55E8C" w:rsidRPr="00B159F3">
        <w:rPr>
          <w:i/>
          <w:sz w:val="22"/>
          <w:szCs w:val="22"/>
        </w:rPr>
        <w:t>former ESG retained duties</w:t>
      </w:r>
      <w:r w:rsidRPr="00B159F3">
        <w:rPr>
          <w:i/>
          <w:sz w:val="22"/>
          <w:szCs w:val="22"/>
        </w:rPr>
        <w:t xml:space="preserve"> is given below (line numbers refer to those in the statutory annual return)</w:t>
      </w:r>
      <w:r w:rsidR="00B55E8C" w:rsidRPr="00B159F3">
        <w:rPr>
          <w:i/>
          <w:sz w:val="22"/>
          <w:szCs w:val="22"/>
        </w:rPr>
        <w:t xml:space="preserve">. </w:t>
      </w:r>
    </w:p>
    <w:p w14:paraId="789E8885" w14:textId="77777777" w:rsidR="00B159F3" w:rsidRPr="00B159F3" w:rsidRDefault="00B159F3" w:rsidP="00B55E8C">
      <w:pPr>
        <w:rPr>
          <w:sz w:val="22"/>
          <w:szCs w:val="22"/>
        </w:rPr>
      </w:pPr>
    </w:p>
    <w:p w14:paraId="789E8886" w14:textId="77777777" w:rsidR="00B55E8C" w:rsidRPr="00B159F3" w:rsidRDefault="00B55E8C" w:rsidP="00B55E8C">
      <w:pPr>
        <w:rPr>
          <w:sz w:val="22"/>
          <w:szCs w:val="22"/>
        </w:rPr>
      </w:pPr>
      <w:r w:rsidRPr="00B159F3">
        <w:rPr>
          <w:sz w:val="22"/>
          <w:szCs w:val="22"/>
        </w:rPr>
        <w:t xml:space="preserve">In 2018-19 that part of the ESG which related to retained duties (those that apply to both maintained schools and academies) has been added to the DSG. This provision will now fall within the Schools Budget, provided it is funded out of DSG. </w:t>
      </w:r>
    </w:p>
    <w:p w14:paraId="789E8887" w14:textId="77777777" w:rsidR="00B55E8C" w:rsidRPr="00B159F3" w:rsidRDefault="00B55E8C" w:rsidP="00B55E8C">
      <w:pPr>
        <w:rPr>
          <w:sz w:val="22"/>
          <w:szCs w:val="22"/>
        </w:rPr>
      </w:pPr>
    </w:p>
    <w:p w14:paraId="789E8888" w14:textId="77777777" w:rsidR="00B55E8C" w:rsidRPr="00B159F3" w:rsidRDefault="00B55E8C" w:rsidP="00B55E8C">
      <w:pPr>
        <w:rPr>
          <w:sz w:val="22"/>
          <w:szCs w:val="22"/>
        </w:rPr>
      </w:pPr>
      <w:r w:rsidRPr="00B159F3">
        <w:rPr>
          <w:sz w:val="22"/>
          <w:szCs w:val="22"/>
        </w:rPr>
        <w:t>1.5.1</w:t>
      </w:r>
      <w:r w:rsidRPr="00B159F3">
        <w:rPr>
          <w:sz w:val="22"/>
          <w:szCs w:val="22"/>
        </w:rPr>
        <w:tab/>
        <w:t>Education welfare service</w:t>
      </w:r>
    </w:p>
    <w:p w14:paraId="789E8889" w14:textId="77777777" w:rsidR="00B55E8C" w:rsidRPr="00B159F3" w:rsidRDefault="00B55E8C" w:rsidP="00B55E8C">
      <w:pPr>
        <w:rPr>
          <w:sz w:val="22"/>
          <w:szCs w:val="22"/>
        </w:rPr>
      </w:pPr>
      <w:r w:rsidRPr="00B159F3">
        <w:rPr>
          <w:sz w:val="22"/>
          <w:szCs w:val="22"/>
        </w:rPr>
        <w:t>Include here the following expenditure:</w:t>
      </w:r>
    </w:p>
    <w:p w14:paraId="789E888A" w14:textId="77777777" w:rsidR="00B55E8C" w:rsidRPr="00B159F3" w:rsidRDefault="00B55E8C" w:rsidP="009C56C2">
      <w:pPr>
        <w:pStyle w:val="ListParagraph"/>
        <w:numPr>
          <w:ilvl w:val="0"/>
          <w:numId w:val="5"/>
        </w:numPr>
        <w:rPr>
          <w:sz w:val="22"/>
          <w:szCs w:val="22"/>
        </w:rPr>
      </w:pPr>
      <w:r w:rsidRPr="00B159F3">
        <w:rPr>
          <w:sz w:val="22"/>
          <w:szCs w:val="22"/>
        </w:rPr>
        <w:t>Functions in relation to the exclusion of pupils from schools, excluding any provision of education to excluded pupils (Schedule 1 to the Schools and Early Years Finance (England) Regulations 2017)</w:t>
      </w:r>
    </w:p>
    <w:p w14:paraId="789E888B" w14:textId="77777777" w:rsidR="00B55E8C" w:rsidRPr="00B159F3" w:rsidRDefault="00B55E8C" w:rsidP="009C56C2">
      <w:pPr>
        <w:pStyle w:val="ListParagraph"/>
        <w:numPr>
          <w:ilvl w:val="0"/>
          <w:numId w:val="5"/>
        </w:numPr>
        <w:rPr>
          <w:sz w:val="22"/>
          <w:szCs w:val="22"/>
        </w:rPr>
      </w:pPr>
      <w:r w:rsidRPr="00B159F3">
        <w:rPr>
          <w:sz w:val="22"/>
          <w:szCs w:val="22"/>
        </w:rPr>
        <w:t>School attendance (Schedule 1 to the Schools and Early Years Finance (England) Regulations 2017)</w:t>
      </w:r>
    </w:p>
    <w:p w14:paraId="789E888C" w14:textId="77777777" w:rsidR="00B55E8C" w:rsidRPr="00B159F3" w:rsidRDefault="00B55E8C" w:rsidP="009C56C2">
      <w:pPr>
        <w:pStyle w:val="ListParagraph"/>
        <w:numPr>
          <w:ilvl w:val="0"/>
          <w:numId w:val="5"/>
        </w:numPr>
        <w:rPr>
          <w:sz w:val="22"/>
          <w:szCs w:val="22"/>
        </w:rPr>
      </w:pPr>
      <w:r w:rsidRPr="00B159F3">
        <w:rPr>
          <w:sz w:val="22"/>
          <w:szCs w:val="22"/>
        </w:rPr>
        <w:t>Responsibilities regarding the employment of children (Schedule 1 to the Schools and Early Years Finance (England) Regulations 2017)</w:t>
      </w:r>
    </w:p>
    <w:p w14:paraId="789E888D" w14:textId="77777777" w:rsidR="00B55E8C" w:rsidRPr="00B159F3" w:rsidRDefault="00B55E8C" w:rsidP="00B55E8C">
      <w:pPr>
        <w:rPr>
          <w:sz w:val="22"/>
          <w:szCs w:val="22"/>
        </w:rPr>
      </w:pPr>
    </w:p>
    <w:p w14:paraId="789E888E" w14:textId="77777777" w:rsidR="00B55E8C" w:rsidRPr="00B159F3" w:rsidRDefault="00B55E8C" w:rsidP="00B55E8C">
      <w:pPr>
        <w:rPr>
          <w:sz w:val="22"/>
          <w:szCs w:val="22"/>
        </w:rPr>
      </w:pPr>
      <w:r w:rsidRPr="00B159F3">
        <w:rPr>
          <w:sz w:val="22"/>
          <w:szCs w:val="22"/>
        </w:rPr>
        <w:t>1.5.2</w:t>
      </w:r>
      <w:r w:rsidRPr="00B159F3">
        <w:rPr>
          <w:sz w:val="22"/>
          <w:szCs w:val="22"/>
        </w:rPr>
        <w:tab/>
        <w:t xml:space="preserve">Asset management </w:t>
      </w:r>
    </w:p>
    <w:p w14:paraId="789E888F" w14:textId="77777777" w:rsidR="00B55E8C" w:rsidRPr="00B159F3" w:rsidRDefault="00B55E8C" w:rsidP="00B55E8C">
      <w:pPr>
        <w:rPr>
          <w:sz w:val="22"/>
          <w:szCs w:val="22"/>
        </w:rPr>
      </w:pPr>
      <w:r w:rsidRPr="00B159F3">
        <w:rPr>
          <w:sz w:val="22"/>
          <w:szCs w:val="22"/>
        </w:rPr>
        <w:t>Include here the following expenditure:</w:t>
      </w:r>
    </w:p>
    <w:p w14:paraId="789E8890" w14:textId="77777777" w:rsidR="00B55E8C" w:rsidRPr="00B159F3" w:rsidRDefault="00B55E8C" w:rsidP="009C56C2">
      <w:pPr>
        <w:pStyle w:val="ListParagraph"/>
        <w:numPr>
          <w:ilvl w:val="0"/>
          <w:numId w:val="6"/>
        </w:numPr>
        <w:rPr>
          <w:sz w:val="22"/>
          <w:szCs w:val="22"/>
        </w:rPr>
      </w:pPr>
      <w:r w:rsidRPr="00B159F3">
        <w:rPr>
          <w:sz w:val="22"/>
          <w:szCs w:val="22"/>
        </w:rPr>
        <w:t>Management of the LA’s capital programme including preparation and review of an asset management plan, and negotiation and management of private finance transactions (Schedule 1 to the Schools and Early Years Finance (England) Regulations 2017)</w:t>
      </w:r>
    </w:p>
    <w:p w14:paraId="789E8891" w14:textId="77777777" w:rsidR="00B55E8C" w:rsidRPr="00B159F3" w:rsidRDefault="00B55E8C" w:rsidP="009C56C2">
      <w:pPr>
        <w:pStyle w:val="ListParagraph"/>
        <w:numPr>
          <w:ilvl w:val="0"/>
          <w:numId w:val="6"/>
        </w:numPr>
        <w:rPr>
          <w:sz w:val="22"/>
          <w:szCs w:val="22"/>
        </w:rPr>
      </w:pPr>
      <w:r w:rsidRPr="00B159F3">
        <w:rPr>
          <w:sz w:val="22"/>
          <w:szCs w:val="22"/>
        </w:rPr>
        <w:t>General landlord duties for all buildings owned by the local authority, including those leased to academies.</w:t>
      </w:r>
    </w:p>
    <w:p w14:paraId="789E8892" w14:textId="77777777" w:rsidR="00B55E8C" w:rsidRPr="00B159F3" w:rsidRDefault="00B55E8C" w:rsidP="00B55E8C">
      <w:pPr>
        <w:rPr>
          <w:sz w:val="22"/>
          <w:szCs w:val="22"/>
        </w:rPr>
      </w:pPr>
    </w:p>
    <w:p w14:paraId="789E8893" w14:textId="77777777" w:rsidR="00B55E8C" w:rsidRPr="00B159F3" w:rsidRDefault="00B55E8C" w:rsidP="00B55E8C">
      <w:pPr>
        <w:rPr>
          <w:sz w:val="22"/>
          <w:szCs w:val="22"/>
        </w:rPr>
      </w:pPr>
      <w:r w:rsidRPr="00B159F3">
        <w:rPr>
          <w:sz w:val="22"/>
          <w:szCs w:val="22"/>
        </w:rPr>
        <w:t>1.5.3</w:t>
      </w:r>
      <w:r w:rsidRPr="00B159F3">
        <w:rPr>
          <w:sz w:val="22"/>
          <w:szCs w:val="22"/>
        </w:rPr>
        <w:tab/>
        <w:t xml:space="preserve">Statutory/ Regulatory duties </w:t>
      </w:r>
    </w:p>
    <w:p w14:paraId="789E8894" w14:textId="77777777" w:rsidR="00B55E8C" w:rsidRPr="00B159F3" w:rsidRDefault="00B55E8C" w:rsidP="00B55E8C">
      <w:pPr>
        <w:rPr>
          <w:sz w:val="22"/>
          <w:szCs w:val="22"/>
        </w:rPr>
      </w:pPr>
      <w:r w:rsidRPr="00B159F3">
        <w:rPr>
          <w:sz w:val="22"/>
          <w:szCs w:val="22"/>
        </w:rPr>
        <w:t>Include here the following expenditure:</w:t>
      </w:r>
    </w:p>
    <w:p w14:paraId="789E8895" w14:textId="77777777" w:rsidR="00B55E8C" w:rsidRPr="00B159F3" w:rsidRDefault="00B55E8C" w:rsidP="009C56C2">
      <w:pPr>
        <w:pStyle w:val="ListParagraph"/>
        <w:numPr>
          <w:ilvl w:val="0"/>
          <w:numId w:val="7"/>
        </w:numPr>
        <w:rPr>
          <w:sz w:val="22"/>
          <w:szCs w:val="22"/>
        </w:rPr>
      </w:pPr>
      <w:r w:rsidRPr="00B159F3">
        <w:rPr>
          <w:sz w:val="22"/>
          <w:szCs w:val="22"/>
        </w:rPr>
        <w:t>Director of children’s services and personal staff for director (Schedule 1 to the Schools and Early Years Finance (England) Regulations 2017)</w:t>
      </w:r>
    </w:p>
    <w:p w14:paraId="789E8896" w14:textId="77777777" w:rsidR="00B55E8C" w:rsidRPr="00B159F3" w:rsidRDefault="00B55E8C" w:rsidP="009C56C2">
      <w:pPr>
        <w:pStyle w:val="ListParagraph"/>
        <w:numPr>
          <w:ilvl w:val="0"/>
          <w:numId w:val="7"/>
        </w:numPr>
        <w:rPr>
          <w:sz w:val="22"/>
          <w:szCs w:val="22"/>
        </w:rPr>
      </w:pPr>
      <w:r w:rsidRPr="00B159F3">
        <w:rPr>
          <w:sz w:val="22"/>
          <w:szCs w:val="22"/>
        </w:rPr>
        <w:t>Planning for the education service as a whole (Schedule 1 to the Schools and Early Years Finance (England) Regulations 2017)</w:t>
      </w:r>
    </w:p>
    <w:p w14:paraId="789E8897" w14:textId="77777777" w:rsidR="00B55E8C" w:rsidRPr="00B159F3" w:rsidRDefault="00B55E8C" w:rsidP="009C56C2">
      <w:pPr>
        <w:pStyle w:val="ListParagraph"/>
        <w:numPr>
          <w:ilvl w:val="0"/>
          <w:numId w:val="7"/>
        </w:numPr>
        <w:rPr>
          <w:sz w:val="22"/>
          <w:szCs w:val="22"/>
        </w:rPr>
      </w:pPr>
      <w:r w:rsidRPr="00B159F3">
        <w:rPr>
          <w:sz w:val="22"/>
          <w:szCs w:val="22"/>
        </w:rPr>
        <w:t>Revenue budget preparation, preparation of information on income and expenditure relating to education, and external audit relating to education (Schedule 1 to the Schools and Early Years Finance (England) Regulations 2017)</w:t>
      </w:r>
    </w:p>
    <w:p w14:paraId="789E8898" w14:textId="77777777" w:rsidR="00B55E8C" w:rsidRPr="00B159F3" w:rsidRDefault="00B55E8C" w:rsidP="009C56C2">
      <w:pPr>
        <w:pStyle w:val="ListParagraph"/>
        <w:numPr>
          <w:ilvl w:val="0"/>
          <w:numId w:val="7"/>
        </w:numPr>
        <w:rPr>
          <w:sz w:val="22"/>
          <w:szCs w:val="22"/>
        </w:rPr>
      </w:pPr>
      <w:r w:rsidRPr="00B159F3">
        <w:rPr>
          <w:sz w:val="22"/>
          <w:szCs w:val="22"/>
        </w:rPr>
        <w:t>Administration of grants (Schedule 1 to the Schools and Early Years Finance (England) Regulations 2017)</w:t>
      </w:r>
    </w:p>
    <w:p w14:paraId="789E8899" w14:textId="77777777" w:rsidR="00B55E8C" w:rsidRPr="00B159F3" w:rsidRDefault="00B55E8C" w:rsidP="009C56C2">
      <w:pPr>
        <w:pStyle w:val="ListParagraph"/>
        <w:numPr>
          <w:ilvl w:val="0"/>
          <w:numId w:val="7"/>
        </w:numPr>
        <w:rPr>
          <w:sz w:val="22"/>
          <w:szCs w:val="22"/>
        </w:rPr>
      </w:pPr>
      <w:r w:rsidRPr="00B159F3">
        <w:rPr>
          <w:sz w:val="22"/>
          <w:szCs w:val="22"/>
        </w:rPr>
        <w:t>Authorisation and monitoring of expenditure not met from schools’ budget shares (Schedule 1 to the Schools and Early Years Finance (England) Regulations 2017)</w:t>
      </w:r>
    </w:p>
    <w:p w14:paraId="789E889A" w14:textId="77777777" w:rsidR="00B55E8C" w:rsidRPr="00B159F3" w:rsidRDefault="00B55E8C" w:rsidP="009C56C2">
      <w:pPr>
        <w:pStyle w:val="ListParagraph"/>
        <w:numPr>
          <w:ilvl w:val="0"/>
          <w:numId w:val="7"/>
        </w:numPr>
        <w:rPr>
          <w:sz w:val="22"/>
          <w:szCs w:val="22"/>
        </w:rPr>
      </w:pPr>
      <w:r w:rsidRPr="00B159F3">
        <w:rPr>
          <w:sz w:val="22"/>
          <w:szCs w:val="22"/>
        </w:rPr>
        <w:t>Formulation and review of local authority schools funding formula (Schedule 1 to the Schools and Early Years Finance (England) Regulations 2017)</w:t>
      </w:r>
    </w:p>
    <w:p w14:paraId="789E889B" w14:textId="77777777" w:rsidR="00B55E8C" w:rsidRPr="00B159F3" w:rsidRDefault="00B55E8C" w:rsidP="009C56C2">
      <w:pPr>
        <w:pStyle w:val="ListParagraph"/>
        <w:numPr>
          <w:ilvl w:val="0"/>
          <w:numId w:val="7"/>
        </w:numPr>
        <w:rPr>
          <w:sz w:val="22"/>
          <w:szCs w:val="22"/>
        </w:rPr>
      </w:pPr>
      <w:r w:rsidRPr="00B159F3">
        <w:rPr>
          <w:sz w:val="22"/>
          <w:szCs w:val="22"/>
        </w:rPr>
        <w:t>Internal audit and other tasks related to the authority’s chief finance officer’s responsibilities under Section 151 of LGA 1972 except duties specifically related to maintained schools (Schedule 1 to the Schools and Early Years Finance (England) Regulations 2017)</w:t>
      </w:r>
    </w:p>
    <w:p w14:paraId="789E889C" w14:textId="77777777" w:rsidR="00B55E8C" w:rsidRPr="00B159F3" w:rsidRDefault="00B55E8C" w:rsidP="009C56C2">
      <w:pPr>
        <w:pStyle w:val="ListParagraph"/>
        <w:numPr>
          <w:ilvl w:val="0"/>
          <w:numId w:val="7"/>
        </w:numPr>
        <w:rPr>
          <w:sz w:val="22"/>
          <w:szCs w:val="22"/>
        </w:rPr>
      </w:pPr>
      <w:r w:rsidRPr="00B159F3">
        <w:rPr>
          <w:sz w:val="22"/>
          <w:szCs w:val="22"/>
        </w:rPr>
        <w:t>Consultation costs relating to non-staffing issues (Schedule 1 to the Schools and Early Years Finance (England) Regulations 2017)</w:t>
      </w:r>
    </w:p>
    <w:p w14:paraId="789E889D" w14:textId="77777777" w:rsidR="00B55E8C" w:rsidRPr="00B159F3" w:rsidRDefault="00B55E8C" w:rsidP="009C56C2">
      <w:pPr>
        <w:pStyle w:val="ListParagraph"/>
        <w:numPr>
          <w:ilvl w:val="0"/>
          <w:numId w:val="7"/>
        </w:numPr>
        <w:rPr>
          <w:sz w:val="22"/>
          <w:szCs w:val="22"/>
        </w:rPr>
      </w:pPr>
      <w:r w:rsidRPr="00B159F3">
        <w:rPr>
          <w:sz w:val="22"/>
          <w:szCs w:val="22"/>
        </w:rPr>
        <w:t>Plans involving collaboration with other LA services or public/voluntary bodies (Schedule 1 to the Schools and Early Years Finance (England) Regulations 2017)</w:t>
      </w:r>
    </w:p>
    <w:p w14:paraId="789E889E" w14:textId="77777777" w:rsidR="00B55E8C" w:rsidRPr="00B159F3" w:rsidRDefault="00B55E8C" w:rsidP="009C56C2">
      <w:pPr>
        <w:pStyle w:val="ListParagraph"/>
        <w:numPr>
          <w:ilvl w:val="0"/>
          <w:numId w:val="7"/>
        </w:numPr>
        <w:rPr>
          <w:sz w:val="22"/>
          <w:szCs w:val="22"/>
        </w:rPr>
      </w:pPr>
      <w:r w:rsidRPr="00B159F3">
        <w:rPr>
          <w:sz w:val="22"/>
          <w:szCs w:val="22"/>
        </w:rPr>
        <w:t>Standing Advisory Committees for Religious Education (Schedule 1 to the Schools and Early Years Finance (England) Regulations 2017)</w:t>
      </w:r>
    </w:p>
    <w:p w14:paraId="789E889F" w14:textId="77777777" w:rsidR="00B55E8C" w:rsidRDefault="00B55E8C" w:rsidP="009C56C2">
      <w:pPr>
        <w:pStyle w:val="ListParagraph"/>
        <w:numPr>
          <w:ilvl w:val="0"/>
          <w:numId w:val="7"/>
        </w:numPr>
        <w:rPr>
          <w:sz w:val="22"/>
          <w:szCs w:val="22"/>
        </w:rPr>
      </w:pPr>
      <w:r w:rsidRPr="00B159F3">
        <w:rPr>
          <w:sz w:val="22"/>
          <w:szCs w:val="22"/>
        </w:rPr>
        <w:lastRenderedPageBreak/>
        <w:t>Provision of information to or at the request of the Crown other than relating specifically to maintained schools (Schedule 1 to the Schools and Early Years Finance (England) Regulations 2017)</w:t>
      </w:r>
      <w:r w:rsidR="009C56C2">
        <w:rPr>
          <w:sz w:val="22"/>
          <w:szCs w:val="22"/>
        </w:rPr>
        <w:t>.</w:t>
      </w:r>
    </w:p>
    <w:p w14:paraId="789E88A0" w14:textId="77777777" w:rsidR="009C56C2" w:rsidRDefault="009C56C2" w:rsidP="009C56C2">
      <w:pPr>
        <w:pStyle w:val="ListParagraph"/>
        <w:rPr>
          <w:sz w:val="22"/>
          <w:szCs w:val="22"/>
        </w:rPr>
      </w:pPr>
    </w:p>
    <w:p w14:paraId="789E88A1" w14:textId="77777777" w:rsidR="009C56C2" w:rsidRDefault="009C56C2">
      <w:pPr>
        <w:rPr>
          <w:sz w:val="22"/>
          <w:szCs w:val="22"/>
        </w:rPr>
      </w:pPr>
      <w:r>
        <w:rPr>
          <w:sz w:val="22"/>
          <w:szCs w:val="22"/>
        </w:rPr>
        <w:br w:type="page"/>
      </w:r>
    </w:p>
    <w:p w14:paraId="789E88A2" w14:textId="0F102587" w:rsidR="009C56C2" w:rsidRPr="009C56C2" w:rsidRDefault="009C56C2" w:rsidP="009C56C2">
      <w:pPr>
        <w:rPr>
          <w:sz w:val="22"/>
          <w:szCs w:val="22"/>
        </w:rPr>
      </w:pPr>
      <w:r w:rsidRPr="009C56C2">
        <w:rPr>
          <w:b/>
          <w:sz w:val="22"/>
          <w:szCs w:val="22"/>
        </w:rPr>
        <w:lastRenderedPageBreak/>
        <w:t>Appendix 2:</w:t>
      </w:r>
      <w:r w:rsidRPr="009C56C2">
        <w:rPr>
          <w:b/>
          <w:sz w:val="22"/>
          <w:szCs w:val="22"/>
        </w:rPr>
        <w:tab/>
        <w:t>Ongoing Duties</w:t>
      </w:r>
    </w:p>
    <w:p w14:paraId="789E88A3" w14:textId="77777777" w:rsidR="009C56C2" w:rsidRDefault="009C56C2" w:rsidP="009C56C2">
      <w:pPr>
        <w:pStyle w:val="ListParagraph"/>
        <w:rPr>
          <w:sz w:val="22"/>
          <w:szCs w:val="22"/>
        </w:rPr>
      </w:pPr>
    </w:p>
    <w:p w14:paraId="789E88A4" w14:textId="45E8CD13" w:rsidR="00627D76" w:rsidRPr="00627D76" w:rsidRDefault="00026AE4" w:rsidP="00627D76">
      <w:pPr>
        <w:pStyle w:val="Default"/>
        <w:numPr>
          <w:ilvl w:val="0"/>
          <w:numId w:val="10"/>
        </w:numPr>
        <w:rPr>
          <w:rFonts w:ascii="Arial" w:hAnsi="Arial"/>
          <w:b/>
          <w:color w:val="auto"/>
          <w:sz w:val="22"/>
          <w:szCs w:val="22"/>
        </w:rPr>
      </w:pPr>
      <w:r w:rsidRPr="00627D76">
        <w:rPr>
          <w:rFonts w:ascii="Arial" w:hAnsi="Arial"/>
          <w:b/>
          <w:color w:val="auto"/>
          <w:sz w:val="22"/>
          <w:szCs w:val="22"/>
        </w:rPr>
        <w:t>Admissions</w:t>
      </w:r>
    </w:p>
    <w:p w14:paraId="789E88A5" w14:textId="77777777" w:rsidR="00627D76" w:rsidRPr="00627D76" w:rsidRDefault="00627D76" w:rsidP="00627D76">
      <w:pPr>
        <w:pStyle w:val="Default"/>
        <w:ind w:left="709" w:firstLine="11"/>
        <w:rPr>
          <w:rFonts w:ascii="Arial" w:hAnsi="Arial"/>
          <w:color w:val="auto"/>
          <w:sz w:val="22"/>
          <w:szCs w:val="22"/>
        </w:rPr>
      </w:pPr>
      <w:r w:rsidRPr="00627D76">
        <w:rPr>
          <w:rFonts w:ascii="Arial" w:hAnsi="Arial"/>
          <w:color w:val="auto"/>
          <w:sz w:val="22"/>
          <w:szCs w:val="22"/>
        </w:rPr>
        <w:t xml:space="preserve">The Admissions Service discharges the local authority’s statutory duties in respect of school admissions and school place planning, adhering to legalisation and statutory guidance laid by central government. The Service works </w:t>
      </w:r>
      <w:r>
        <w:rPr>
          <w:rFonts w:ascii="Arial" w:hAnsi="Arial"/>
          <w:color w:val="auto"/>
          <w:sz w:val="22"/>
          <w:szCs w:val="22"/>
        </w:rPr>
        <w:t xml:space="preserve">to </w:t>
      </w:r>
      <w:r w:rsidRPr="00627D76">
        <w:rPr>
          <w:rFonts w:ascii="Arial" w:hAnsi="Arial"/>
          <w:color w:val="auto"/>
          <w:sz w:val="22"/>
          <w:szCs w:val="22"/>
        </w:rPr>
        <w:t>ensure that every child in the boroug</w:t>
      </w:r>
      <w:r>
        <w:rPr>
          <w:rFonts w:ascii="Arial" w:hAnsi="Arial"/>
          <w:color w:val="auto"/>
          <w:sz w:val="22"/>
          <w:szCs w:val="22"/>
        </w:rPr>
        <w:t>h has access to a school place. Statutory duties include:</w:t>
      </w:r>
    </w:p>
    <w:p w14:paraId="789E88A6" w14:textId="77777777" w:rsidR="00627D76" w:rsidRPr="00627D76" w:rsidRDefault="00627D76" w:rsidP="00627D76">
      <w:pPr>
        <w:autoSpaceDE w:val="0"/>
        <w:autoSpaceDN w:val="0"/>
        <w:adjustRightInd w:val="0"/>
        <w:rPr>
          <w:sz w:val="22"/>
          <w:szCs w:val="22"/>
        </w:rPr>
      </w:pPr>
    </w:p>
    <w:p w14:paraId="789E88A7" w14:textId="77777777" w:rsidR="00627D76" w:rsidRPr="00627D76" w:rsidRDefault="00627D76" w:rsidP="00627D76">
      <w:pPr>
        <w:pStyle w:val="Default"/>
        <w:numPr>
          <w:ilvl w:val="1"/>
          <w:numId w:val="10"/>
        </w:numPr>
        <w:rPr>
          <w:rFonts w:ascii="Arial" w:hAnsi="Arial"/>
          <w:color w:val="auto"/>
          <w:sz w:val="22"/>
          <w:szCs w:val="22"/>
        </w:rPr>
      </w:pPr>
      <w:r w:rsidRPr="00627D76">
        <w:rPr>
          <w:rFonts w:ascii="Arial" w:hAnsi="Arial"/>
          <w:color w:val="auto"/>
          <w:sz w:val="22"/>
          <w:szCs w:val="22"/>
        </w:rPr>
        <w:t xml:space="preserve">To be responsible for securing that sufficient education is available to meet the needs of the population in their area. </w:t>
      </w:r>
    </w:p>
    <w:p w14:paraId="789E88A8" w14:textId="77777777" w:rsidR="00627D76" w:rsidRPr="00627D76" w:rsidRDefault="00627D76" w:rsidP="00627D76">
      <w:pPr>
        <w:pStyle w:val="Default"/>
        <w:numPr>
          <w:ilvl w:val="1"/>
          <w:numId w:val="10"/>
        </w:numPr>
        <w:rPr>
          <w:rFonts w:ascii="Arial" w:hAnsi="Arial"/>
          <w:color w:val="auto"/>
          <w:sz w:val="22"/>
          <w:szCs w:val="22"/>
        </w:rPr>
      </w:pPr>
      <w:r w:rsidRPr="00627D76">
        <w:rPr>
          <w:rFonts w:ascii="Arial" w:hAnsi="Arial"/>
          <w:color w:val="auto"/>
          <w:sz w:val="22"/>
          <w:szCs w:val="22"/>
        </w:rPr>
        <w:t>To be responsible</w:t>
      </w:r>
      <w:r>
        <w:rPr>
          <w:rFonts w:ascii="Arial" w:hAnsi="Arial"/>
          <w:color w:val="auto"/>
          <w:sz w:val="22"/>
          <w:szCs w:val="22"/>
        </w:rPr>
        <w:t xml:space="preserve"> </w:t>
      </w:r>
      <w:r w:rsidRPr="00627D76">
        <w:rPr>
          <w:rFonts w:ascii="Arial" w:hAnsi="Arial"/>
          <w:color w:val="auto"/>
          <w:sz w:val="22"/>
          <w:szCs w:val="22"/>
        </w:rPr>
        <w:t xml:space="preserve">for securing sufficient primary and secondary schools in their area. </w:t>
      </w:r>
    </w:p>
    <w:p w14:paraId="789E88A9" w14:textId="77777777" w:rsidR="00627D76" w:rsidRPr="00627D76" w:rsidRDefault="00627D76" w:rsidP="00627D76">
      <w:pPr>
        <w:pStyle w:val="Default"/>
        <w:numPr>
          <w:ilvl w:val="1"/>
          <w:numId w:val="10"/>
        </w:numPr>
        <w:rPr>
          <w:rFonts w:ascii="Arial" w:hAnsi="Arial"/>
          <w:color w:val="auto"/>
          <w:sz w:val="22"/>
          <w:szCs w:val="22"/>
        </w:rPr>
      </w:pPr>
      <w:r w:rsidRPr="00627D76">
        <w:rPr>
          <w:rFonts w:ascii="Arial" w:hAnsi="Arial"/>
          <w:color w:val="auto"/>
          <w:sz w:val="22"/>
          <w:szCs w:val="22"/>
        </w:rPr>
        <w:t xml:space="preserve">To comply with the legislative Code on Admissions in exercise and discharge of local authority functions in relation to admissions under the School Standards and Framework Act (SSFA) 1998. The SSFA and relevant regulations confers a number of duties which require the LA to carry out different functions at different times of the admissions cycle. </w:t>
      </w:r>
    </w:p>
    <w:p w14:paraId="789E88AA" w14:textId="77777777" w:rsidR="00627D76" w:rsidRPr="00627D76" w:rsidRDefault="00627D76" w:rsidP="00627D76">
      <w:pPr>
        <w:pStyle w:val="Default"/>
        <w:numPr>
          <w:ilvl w:val="1"/>
          <w:numId w:val="10"/>
        </w:numPr>
        <w:rPr>
          <w:rFonts w:ascii="Arial" w:hAnsi="Arial"/>
          <w:color w:val="auto"/>
          <w:sz w:val="22"/>
          <w:szCs w:val="22"/>
        </w:rPr>
      </w:pPr>
      <w:r w:rsidRPr="00627D76">
        <w:rPr>
          <w:rFonts w:ascii="Arial" w:hAnsi="Arial"/>
          <w:color w:val="auto"/>
          <w:sz w:val="22"/>
          <w:szCs w:val="22"/>
        </w:rPr>
        <w:t xml:space="preserve">A local authority shall make arrangements for enabling the parent of a child to appeal against admissions decisions. </w:t>
      </w:r>
    </w:p>
    <w:p w14:paraId="789E88AB" w14:textId="77777777" w:rsidR="00627D76" w:rsidRPr="00627D76" w:rsidRDefault="00627D76" w:rsidP="00627D76">
      <w:pPr>
        <w:pStyle w:val="Default"/>
        <w:numPr>
          <w:ilvl w:val="1"/>
          <w:numId w:val="10"/>
        </w:numPr>
        <w:rPr>
          <w:rFonts w:ascii="Arial" w:hAnsi="Arial"/>
          <w:color w:val="auto"/>
          <w:sz w:val="22"/>
          <w:szCs w:val="22"/>
        </w:rPr>
      </w:pPr>
      <w:r w:rsidRPr="00627D76">
        <w:rPr>
          <w:rFonts w:ascii="Arial" w:hAnsi="Arial"/>
          <w:color w:val="auto"/>
          <w:sz w:val="22"/>
          <w:szCs w:val="22"/>
        </w:rPr>
        <w:t xml:space="preserve">To provide advice and assistance to parents when deciding on a school place and allow parents to express a preference. </w:t>
      </w:r>
    </w:p>
    <w:p w14:paraId="789E88AC" w14:textId="77777777" w:rsidR="00627D76" w:rsidRPr="00627D76" w:rsidRDefault="00627D76" w:rsidP="00627D76">
      <w:pPr>
        <w:pStyle w:val="Default"/>
        <w:numPr>
          <w:ilvl w:val="1"/>
          <w:numId w:val="10"/>
        </w:numPr>
        <w:rPr>
          <w:rFonts w:ascii="Arial" w:hAnsi="Arial"/>
          <w:color w:val="auto"/>
          <w:sz w:val="22"/>
          <w:szCs w:val="22"/>
        </w:rPr>
      </w:pPr>
      <w:r w:rsidRPr="00627D76">
        <w:rPr>
          <w:rFonts w:ascii="Arial" w:hAnsi="Arial"/>
          <w:color w:val="auto"/>
          <w:sz w:val="22"/>
          <w:szCs w:val="22"/>
        </w:rPr>
        <w:t xml:space="preserve">Reports by local authority to </w:t>
      </w:r>
      <w:r>
        <w:rPr>
          <w:rFonts w:ascii="Arial" w:hAnsi="Arial"/>
          <w:color w:val="auto"/>
          <w:sz w:val="22"/>
          <w:szCs w:val="22"/>
        </w:rPr>
        <w:t xml:space="preserve">the </w:t>
      </w:r>
      <w:r w:rsidRPr="00627D76">
        <w:rPr>
          <w:rFonts w:ascii="Arial" w:hAnsi="Arial"/>
          <w:color w:val="auto"/>
          <w:sz w:val="22"/>
          <w:szCs w:val="22"/>
        </w:rPr>
        <w:t xml:space="preserve">adjudicator about matters relevant to schools admissions as may be required by the School Admissions Code. </w:t>
      </w:r>
    </w:p>
    <w:p w14:paraId="789E88AD" w14:textId="77777777" w:rsidR="00627D76" w:rsidRPr="00627D76" w:rsidRDefault="00627D76" w:rsidP="00627D76">
      <w:pPr>
        <w:pStyle w:val="Default"/>
        <w:numPr>
          <w:ilvl w:val="1"/>
          <w:numId w:val="10"/>
        </w:numPr>
        <w:rPr>
          <w:rFonts w:ascii="Arial" w:hAnsi="Arial"/>
          <w:color w:val="auto"/>
          <w:sz w:val="22"/>
          <w:szCs w:val="22"/>
        </w:rPr>
      </w:pPr>
      <w:r w:rsidRPr="00627D76">
        <w:rPr>
          <w:rFonts w:ascii="Arial" w:hAnsi="Arial"/>
          <w:color w:val="auto"/>
          <w:sz w:val="22"/>
          <w:szCs w:val="22"/>
        </w:rPr>
        <w:t xml:space="preserve">For each school year, the local authority must publish the prescribed information about the admission arrangements for each of the maintained schools in their area, and if regulations so provide, such maintained schools outside their area. </w:t>
      </w:r>
    </w:p>
    <w:p w14:paraId="789E88AE" w14:textId="77777777" w:rsidR="00627D76" w:rsidRDefault="00627D76" w:rsidP="00627D76">
      <w:pPr>
        <w:autoSpaceDE w:val="0"/>
        <w:autoSpaceDN w:val="0"/>
        <w:adjustRightInd w:val="0"/>
        <w:rPr>
          <w:sz w:val="22"/>
          <w:szCs w:val="22"/>
        </w:rPr>
      </w:pPr>
    </w:p>
    <w:p w14:paraId="789E88AF" w14:textId="2AEF255C" w:rsidR="004901CB" w:rsidRDefault="00627D76" w:rsidP="00627D76">
      <w:pPr>
        <w:pStyle w:val="Default"/>
        <w:numPr>
          <w:ilvl w:val="0"/>
          <w:numId w:val="10"/>
        </w:numPr>
        <w:rPr>
          <w:rFonts w:ascii="Arial" w:hAnsi="Arial"/>
          <w:b/>
          <w:color w:val="auto"/>
          <w:sz w:val="22"/>
          <w:szCs w:val="22"/>
        </w:rPr>
      </w:pPr>
      <w:r w:rsidRPr="00627D76">
        <w:rPr>
          <w:rFonts w:ascii="Arial" w:hAnsi="Arial"/>
          <w:b/>
          <w:color w:val="auto"/>
          <w:sz w:val="22"/>
          <w:szCs w:val="22"/>
        </w:rPr>
        <w:t>Servicing of Schools Forums</w:t>
      </w:r>
    </w:p>
    <w:p w14:paraId="789E88B0" w14:textId="77777777" w:rsidR="00627D76" w:rsidRDefault="00B94F92" w:rsidP="00627D76">
      <w:pPr>
        <w:pStyle w:val="Default"/>
        <w:ind w:left="720"/>
        <w:rPr>
          <w:rFonts w:ascii="Arial" w:hAnsi="Arial"/>
          <w:color w:val="auto"/>
          <w:sz w:val="22"/>
          <w:szCs w:val="22"/>
        </w:rPr>
      </w:pPr>
      <w:r>
        <w:rPr>
          <w:rFonts w:ascii="Arial" w:hAnsi="Arial"/>
          <w:color w:val="auto"/>
          <w:sz w:val="22"/>
          <w:szCs w:val="22"/>
        </w:rPr>
        <w:t>A l</w:t>
      </w:r>
      <w:r w:rsidR="00627D76">
        <w:rPr>
          <w:rFonts w:ascii="Arial" w:hAnsi="Arial"/>
          <w:color w:val="auto"/>
          <w:sz w:val="22"/>
          <w:szCs w:val="22"/>
        </w:rPr>
        <w:t>ocal authorit</w:t>
      </w:r>
      <w:r>
        <w:rPr>
          <w:rFonts w:ascii="Arial" w:hAnsi="Arial"/>
          <w:color w:val="auto"/>
          <w:sz w:val="22"/>
          <w:szCs w:val="22"/>
        </w:rPr>
        <w:t>y</w:t>
      </w:r>
      <w:r w:rsidR="00627D76">
        <w:rPr>
          <w:rFonts w:ascii="Arial" w:hAnsi="Arial"/>
          <w:color w:val="auto"/>
          <w:sz w:val="22"/>
          <w:szCs w:val="22"/>
        </w:rPr>
        <w:t xml:space="preserve"> </w:t>
      </w:r>
      <w:r>
        <w:rPr>
          <w:rFonts w:ascii="Arial" w:hAnsi="Arial"/>
          <w:color w:val="auto"/>
          <w:sz w:val="22"/>
          <w:szCs w:val="22"/>
        </w:rPr>
        <w:t>is</w:t>
      </w:r>
      <w:r w:rsidR="00627D76">
        <w:rPr>
          <w:rFonts w:ascii="Arial" w:hAnsi="Arial"/>
          <w:color w:val="auto"/>
          <w:sz w:val="22"/>
          <w:szCs w:val="22"/>
        </w:rPr>
        <w:t xml:space="preserve"> required to establish a </w:t>
      </w:r>
      <w:proofErr w:type="gramStart"/>
      <w:r w:rsidR="00627D76">
        <w:rPr>
          <w:rFonts w:ascii="Arial" w:hAnsi="Arial"/>
          <w:color w:val="auto"/>
          <w:sz w:val="22"/>
          <w:szCs w:val="22"/>
        </w:rPr>
        <w:t>schools</w:t>
      </w:r>
      <w:proofErr w:type="gramEnd"/>
      <w:r w:rsidR="00627D76">
        <w:rPr>
          <w:rFonts w:ascii="Arial" w:hAnsi="Arial"/>
          <w:color w:val="auto"/>
          <w:sz w:val="22"/>
          <w:szCs w:val="22"/>
        </w:rPr>
        <w:t xml:space="preserve"> forum in </w:t>
      </w:r>
      <w:r>
        <w:rPr>
          <w:rFonts w:ascii="Arial" w:hAnsi="Arial"/>
          <w:color w:val="auto"/>
          <w:sz w:val="22"/>
          <w:szCs w:val="22"/>
        </w:rPr>
        <w:t xml:space="preserve">its area and is allowed to retain costs relating to the establishment and maintenance of the forum as well as costs of consultations. The retained budget covers the cost of arranging and clerking meetings and officer support to the Forum. </w:t>
      </w:r>
    </w:p>
    <w:p w14:paraId="789E88B1" w14:textId="77777777" w:rsidR="00AE0E75" w:rsidRDefault="00AE0E75" w:rsidP="00627D76">
      <w:pPr>
        <w:pStyle w:val="Default"/>
        <w:ind w:left="720"/>
        <w:rPr>
          <w:rFonts w:ascii="Arial" w:hAnsi="Arial"/>
          <w:color w:val="auto"/>
          <w:sz w:val="22"/>
          <w:szCs w:val="22"/>
        </w:rPr>
      </w:pPr>
    </w:p>
    <w:p w14:paraId="789E88B2" w14:textId="26F89EC1" w:rsidR="001E19C2" w:rsidRDefault="00AE0E75" w:rsidP="001E19C2">
      <w:pPr>
        <w:pStyle w:val="Default"/>
        <w:numPr>
          <w:ilvl w:val="0"/>
          <w:numId w:val="10"/>
        </w:numPr>
        <w:rPr>
          <w:rFonts w:ascii="Arial" w:hAnsi="Arial"/>
          <w:b/>
          <w:color w:val="auto"/>
          <w:sz w:val="22"/>
          <w:szCs w:val="22"/>
        </w:rPr>
      </w:pPr>
      <w:r>
        <w:rPr>
          <w:rFonts w:ascii="Arial" w:hAnsi="Arial"/>
          <w:b/>
          <w:color w:val="auto"/>
          <w:sz w:val="22"/>
          <w:szCs w:val="22"/>
        </w:rPr>
        <w:t>Fees to Independent Schools for Pupils without SEN</w:t>
      </w:r>
    </w:p>
    <w:p w14:paraId="789E88B3" w14:textId="77777777" w:rsidR="009626E3" w:rsidRDefault="001E19C2" w:rsidP="001E19C2">
      <w:pPr>
        <w:pStyle w:val="Default"/>
        <w:ind w:left="720"/>
        <w:rPr>
          <w:rFonts w:ascii="Arial" w:hAnsi="Arial" w:cs="Arial"/>
          <w:sz w:val="22"/>
          <w:szCs w:val="22"/>
        </w:rPr>
      </w:pPr>
      <w:r w:rsidRPr="001E19C2">
        <w:rPr>
          <w:rFonts w:ascii="Arial" w:hAnsi="Arial" w:cs="Arial"/>
          <w:sz w:val="22"/>
          <w:szCs w:val="22"/>
        </w:rPr>
        <w:t>F</w:t>
      </w:r>
      <w:r w:rsidR="009626E3" w:rsidRPr="001E19C2">
        <w:rPr>
          <w:rFonts w:ascii="Arial" w:hAnsi="Arial" w:cs="Arial"/>
          <w:sz w:val="22"/>
          <w:szCs w:val="22"/>
        </w:rPr>
        <w:t xml:space="preserve">ees or expenses payable in </w:t>
      </w:r>
      <w:r w:rsidRPr="001E19C2">
        <w:rPr>
          <w:rFonts w:ascii="Arial" w:hAnsi="Arial" w:cs="Arial"/>
          <w:sz w:val="22"/>
          <w:szCs w:val="22"/>
        </w:rPr>
        <w:t xml:space="preserve">respect of </w:t>
      </w:r>
      <w:r w:rsidR="009626E3" w:rsidRPr="001E19C2">
        <w:rPr>
          <w:rFonts w:ascii="Arial" w:hAnsi="Arial" w:cs="Arial"/>
          <w:sz w:val="22"/>
          <w:szCs w:val="22"/>
        </w:rPr>
        <w:t xml:space="preserve">pupils without SEN at a </w:t>
      </w:r>
      <w:r w:rsidRPr="001E19C2">
        <w:rPr>
          <w:rFonts w:ascii="Arial" w:hAnsi="Arial" w:cs="Arial"/>
          <w:sz w:val="22"/>
          <w:szCs w:val="22"/>
        </w:rPr>
        <w:t>specialist and non-maintained institution.</w:t>
      </w:r>
      <w:r w:rsidR="009626E3" w:rsidRPr="001E19C2">
        <w:rPr>
          <w:rFonts w:ascii="Arial" w:hAnsi="Arial" w:cs="Arial"/>
          <w:sz w:val="22"/>
          <w:szCs w:val="22"/>
        </w:rPr>
        <w:t xml:space="preserve"> </w:t>
      </w:r>
      <w:r w:rsidRPr="001E19C2">
        <w:rPr>
          <w:rFonts w:ascii="Arial" w:hAnsi="Arial" w:cs="Arial"/>
          <w:sz w:val="22"/>
          <w:szCs w:val="22"/>
        </w:rPr>
        <w:t xml:space="preserve">This relates to pupils on remand and other social care. </w:t>
      </w:r>
    </w:p>
    <w:p w14:paraId="789E88B4" w14:textId="77777777" w:rsidR="001E19C2" w:rsidRPr="001E19C2" w:rsidRDefault="001E19C2" w:rsidP="001E19C2">
      <w:pPr>
        <w:pStyle w:val="Default"/>
        <w:ind w:left="720"/>
        <w:rPr>
          <w:rFonts w:ascii="Arial" w:hAnsi="Arial" w:cs="Arial"/>
          <w:b/>
          <w:color w:val="auto"/>
          <w:sz w:val="22"/>
          <w:szCs w:val="22"/>
        </w:rPr>
      </w:pPr>
    </w:p>
    <w:p w14:paraId="789E88B5" w14:textId="7D6857AE" w:rsidR="00D22AB1" w:rsidRDefault="00D22AB1" w:rsidP="00AE0E75">
      <w:pPr>
        <w:pStyle w:val="Default"/>
        <w:numPr>
          <w:ilvl w:val="0"/>
          <w:numId w:val="10"/>
        </w:numPr>
        <w:rPr>
          <w:rFonts w:ascii="Arial" w:hAnsi="Arial"/>
          <w:b/>
          <w:color w:val="auto"/>
          <w:sz w:val="22"/>
          <w:szCs w:val="22"/>
        </w:rPr>
      </w:pPr>
      <w:r>
        <w:rPr>
          <w:rFonts w:ascii="Arial" w:hAnsi="Arial"/>
          <w:b/>
          <w:color w:val="auto"/>
          <w:sz w:val="22"/>
          <w:szCs w:val="22"/>
        </w:rPr>
        <w:t xml:space="preserve">Licence </w:t>
      </w:r>
      <w:r w:rsidR="00B10C0D">
        <w:rPr>
          <w:rFonts w:ascii="Arial" w:hAnsi="Arial"/>
          <w:b/>
          <w:color w:val="auto"/>
          <w:sz w:val="22"/>
          <w:szCs w:val="22"/>
        </w:rPr>
        <w:t>f</w:t>
      </w:r>
      <w:r>
        <w:rPr>
          <w:rFonts w:ascii="Arial" w:hAnsi="Arial"/>
          <w:b/>
          <w:color w:val="auto"/>
          <w:sz w:val="22"/>
          <w:szCs w:val="22"/>
        </w:rPr>
        <w:t>ees</w:t>
      </w:r>
    </w:p>
    <w:p w14:paraId="789E88B6" w14:textId="77777777" w:rsidR="001E19C2" w:rsidRPr="001E19C2" w:rsidRDefault="001E19C2" w:rsidP="001E19C2">
      <w:pPr>
        <w:pStyle w:val="Default"/>
        <w:ind w:left="720"/>
        <w:rPr>
          <w:rFonts w:ascii="Arial" w:hAnsi="Arial"/>
          <w:color w:val="auto"/>
          <w:sz w:val="22"/>
          <w:szCs w:val="22"/>
        </w:rPr>
      </w:pPr>
      <w:r>
        <w:rPr>
          <w:rFonts w:ascii="Arial" w:hAnsi="Arial"/>
          <w:color w:val="auto"/>
          <w:sz w:val="22"/>
          <w:szCs w:val="22"/>
        </w:rPr>
        <w:t xml:space="preserve">These are licence fees negotiated nationally by the </w:t>
      </w:r>
      <w:r w:rsidR="004F7D5E">
        <w:rPr>
          <w:rFonts w:ascii="Arial" w:hAnsi="Arial"/>
          <w:color w:val="auto"/>
          <w:sz w:val="22"/>
          <w:szCs w:val="22"/>
        </w:rPr>
        <w:t xml:space="preserve">Secretary of State for </w:t>
      </w:r>
      <w:r>
        <w:rPr>
          <w:rFonts w:ascii="Arial" w:hAnsi="Arial"/>
          <w:color w:val="auto"/>
          <w:sz w:val="22"/>
          <w:szCs w:val="22"/>
        </w:rPr>
        <w:t>Education</w:t>
      </w:r>
      <w:r w:rsidR="004F7D5E">
        <w:rPr>
          <w:rFonts w:ascii="Arial" w:hAnsi="Arial"/>
          <w:color w:val="auto"/>
          <w:sz w:val="22"/>
          <w:szCs w:val="22"/>
        </w:rPr>
        <w:t>.</w:t>
      </w:r>
      <w:r>
        <w:rPr>
          <w:rFonts w:ascii="Arial" w:hAnsi="Arial"/>
          <w:color w:val="auto"/>
          <w:sz w:val="22"/>
          <w:szCs w:val="22"/>
        </w:rPr>
        <w:t xml:space="preserve"> </w:t>
      </w:r>
      <w:r w:rsidR="004F7D5E">
        <w:rPr>
          <w:rFonts w:ascii="Arial" w:hAnsi="Arial"/>
          <w:color w:val="auto"/>
          <w:sz w:val="22"/>
          <w:szCs w:val="22"/>
        </w:rPr>
        <w:t>This is a consultation item as t</w:t>
      </w:r>
      <w:r>
        <w:rPr>
          <w:rFonts w:ascii="Arial" w:hAnsi="Arial"/>
          <w:color w:val="auto"/>
          <w:sz w:val="22"/>
          <w:szCs w:val="22"/>
        </w:rPr>
        <w:t>he charge is automatically deducted from the DSG</w:t>
      </w:r>
      <w:r w:rsidR="004F7D5E">
        <w:rPr>
          <w:rFonts w:ascii="Arial" w:hAnsi="Arial"/>
          <w:color w:val="auto"/>
          <w:sz w:val="22"/>
          <w:szCs w:val="22"/>
        </w:rPr>
        <w:t xml:space="preserve"> and Forum’s permission to retain this item is not required.  </w:t>
      </w:r>
    </w:p>
    <w:sectPr w:rsidR="001E19C2" w:rsidRPr="001E19C2" w:rsidSect="00B55E8C">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E88B9" w14:textId="77777777" w:rsidR="00132774" w:rsidRDefault="00132774">
      <w:r>
        <w:separator/>
      </w:r>
    </w:p>
  </w:endnote>
  <w:endnote w:type="continuationSeparator" w:id="0">
    <w:p w14:paraId="789E88BA" w14:textId="77777777" w:rsidR="00132774" w:rsidRDefault="0013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88BD" w14:textId="77777777" w:rsidR="0096294A" w:rsidRDefault="0096294A">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4635C3">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88B7" w14:textId="77777777" w:rsidR="00132774" w:rsidRDefault="00132774">
      <w:r>
        <w:separator/>
      </w:r>
    </w:p>
  </w:footnote>
  <w:footnote w:type="continuationSeparator" w:id="0">
    <w:p w14:paraId="789E88B8" w14:textId="77777777" w:rsidR="00132774" w:rsidRDefault="0013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88BB" w14:textId="3853A75C" w:rsidR="0096294A" w:rsidRDefault="0096294A">
    <w:pPr>
      <w:pStyle w:val="Header"/>
    </w:pPr>
    <w:r w:rsidRPr="00ED7730">
      <w:ptab w:relativeTo="margin" w:alignment="center" w:leader="none"/>
    </w:r>
    <w:r w:rsidR="00FF7453">
      <w:t>Schools Foru</w:t>
    </w:r>
    <w:r w:rsidR="00B10C0D">
      <w:t>m</w:t>
    </w:r>
  </w:p>
  <w:p w14:paraId="789E88BC"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562"/>
    <w:multiLevelType w:val="hybridMultilevel"/>
    <w:tmpl w:val="717E58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117F729C"/>
    <w:multiLevelType w:val="multilevel"/>
    <w:tmpl w:val="7676F6F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C645E"/>
    <w:multiLevelType w:val="multilevel"/>
    <w:tmpl w:val="345C0C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4D416BF1"/>
    <w:multiLevelType w:val="hybridMultilevel"/>
    <w:tmpl w:val="72F46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B1496"/>
    <w:multiLevelType w:val="hybridMultilevel"/>
    <w:tmpl w:val="E34683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513444"/>
    <w:multiLevelType w:val="hybridMultilevel"/>
    <w:tmpl w:val="F6B6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16B57"/>
    <w:multiLevelType w:val="multilevel"/>
    <w:tmpl w:val="B15EE33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ED65CBC"/>
    <w:multiLevelType w:val="hybridMultilevel"/>
    <w:tmpl w:val="B38A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A00A43"/>
    <w:multiLevelType w:val="hybridMultilevel"/>
    <w:tmpl w:val="A58ED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F70115"/>
    <w:multiLevelType w:val="hybridMultilevel"/>
    <w:tmpl w:val="CF54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6"/>
  </w:num>
  <w:num w:numId="6">
    <w:abstractNumId w:val="8"/>
  </w:num>
  <w:num w:numId="7">
    <w:abstractNumId w:val="10"/>
  </w:num>
  <w:num w:numId="8">
    <w:abstractNumId w:val="0"/>
  </w:num>
  <w:num w:numId="9">
    <w:abstractNumId w:val="4"/>
  </w:num>
  <w:num w:numId="10">
    <w:abstractNumId w:val="5"/>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07DD"/>
    <w:rsid w:val="000079CF"/>
    <w:rsid w:val="000106AF"/>
    <w:rsid w:val="00011A38"/>
    <w:rsid w:val="0001228D"/>
    <w:rsid w:val="00014128"/>
    <w:rsid w:val="000149FD"/>
    <w:rsid w:val="00025F55"/>
    <w:rsid w:val="00026A03"/>
    <w:rsid w:val="00026AE4"/>
    <w:rsid w:val="00030F6F"/>
    <w:rsid w:val="000339DC"/>
    <w:rsid w:val="00041E9D"/>
    <w:rsid w:val="00046FCB"/>
    <w:rsid w:val="0005284B"/>
    <w:rsid w:val="00053B81"/>
    <w:rsid w:val="00060FED"/>
    <w:rsid w:val="0007256E"/>
    <w:rsid w:val="00077299"/>
    <w:rsid w:val="00083BBE"/>
    <w:rsid w:val="00087E04"/>
    <w:rsid w:val="000A2234"/>
    <w:rsid w:val="000A7872"/>
    <w:rsid w:val="000A78CA"/>
    <w:rsid w:val="000B01EC"/>
    <w:rsid w:val="000C08C0"/>
    <w:rsid w:val="000C1387"/>
    <w:rsid w:val="000D3037"/>
    <w:rsid w:val="000D5510"/>
    <w:rsid w:val="000D6FF5"/>
    <w:rsid w:val="000E153F"/>
    <w:rsid w:val="000E7C2D"/>
    <w:rsid w:val="000F0BCB"/>
    <w:rsid w:val="000F1054"/>
    <w:rsid w:val="00102CEB"/>
    <w:rsid w:val="00110AE1"/>
    <w:rsid w:val="00125730"/>
    <w:rsid w:val="00126384"/>
    <w:rsid w:val="00127374"/>
    <w:rsid w:val="00131EEB"/>
    <w:rsid w:val="0013261A"/>
    <w:rsid w:val="00132774"/>
    <w:rsid w:val="00133AC3"/>
    <w:rsid w:val="001445AD"/>
    <w:rsid w:val="00151AD1"/>
    <w:rsid w:val="00152F4B"/>
    <w:rsid w:val="001619A7"/>
    <w:rsid w:val="001637DD"/>
    <w:rsid w:val="001638D3"/>
    <w:rsid w:val="00171274"/>
    <w:rsid w:val="00171A9E"/>
    <w:rsid w:val="00177800"/>
    <w:rsid w:val="00184A94"/>
    <w:rsid w:val="001901D4"/>
    <w:rsid w:val="0019143A"/>
    <w:rsid w:val="00191C1C"/>
    <w:rsid w:val="001A2886"/>
    <w:rsid w:val="001A74CC"/>
    <w:rsid w:val="001B1591"/>
    <w:rsid w:val="001B259F"/>
    <w:rsid w:val="001C209A"/>
    <w:rsid w:val="001C6F21"/>
    <w:rsid w:val="001D32A0"/>
    <w:rsid w:val="001D4975"/>
    <w:rsid w:val="001D6BA4"/>
    <w:rsid w:val="001E19C2"/>
    <w:rsid w:val="001E4116"/>
    <w:rsid w:val="001E472B"/>
    <w:rsid w:val="001E70F6"/>
    <w:rsid w:val="00205496"/>
    <w:rsid w:val="00220CD5"/>
    <w:rsid w:val="00221B84"/>
    <w:rsid w:val="002246CA"/>
    <w:rsid w:val="00231641"/>
    <w:rsid w:val="002374A3"/>
    <w:rsid w:val="00246254"/>
    <w:rsid w:val="002467C4"/>
    <w:rsid w:val="00253B34"/>
    <w:rsid w:val="00256938"/>
    <w:rsid w:val="00257D10"/>
    <w:rsid w:val="0026062F"/>
    <w:rsid w:val="0026098B"/>
    <w:rsid w:val="002640E1"/>
    <w:rsid w:val="00264249"/>
    <w:rsid w:val="00266DE2"/>
    <w:rsid w:val="00287DBD"/>
    <w:rsid w:val="0029022D"/>
    <w:rsid w:val="00291476"/>
    <w:rsid w:val="0029323C"/>
    <w:rsid w:val="002958F1"/>
    <w:rsid w:val="002A08A5"/>
    <w:rsid w:val="002A69DC"/>
    <w:rsid w:val="002A734B"/>
    <w:rsid w:val="002F4FB8"/>
    <w:rsid w:val="002F55A8"/>
    <w:rsid w:val="003044B1"/>
    <w:rsid w:val="0030490E"/>
    <w:rsid w:val="00304E15"/>
    <w:rsid w:val="00321273"/>
    <w:rsid w:val="00322E4D"/>
    <w:rsid w:val="003322EA"/>
    <w:rsid w:val="00336681"/>
    <w:rsid w:val="00344086"/>
    <w:rsid w:val="00351F12"/>
    <w:rsid w:val="003531BB"/>
    <w:rsid w:val="003564B6"/>
    <w:rsid w:val="00361F94"/>
    <w:rsid w:val="00373AD2"/>
    <w:rsid w:val="0038332C"/>
    <w:rsid w:val="003853DD"/>
    <w:rsid w:val="003867AC"/>
    <w:rsid w:val="00386A86"/>
    <w:rsid w:val="003920CB"/>
    <w:rsid w:val="003925D5"/>
    <w:rsid w:val="00397511"/>
    <w:rsid w:val="003B2548"/>
    <w:rsid w:val="003B3B0E"/>
    <w:rsid w:val="003B700C"/>
    <w:rsid w:val="003B7621"/>
    <w:rsid w:val="003C4300"/>
    <w:rsid w:val="003C7DF4"/>
    <w:rsid w:val="003D08B1"/>
    <w:rsid w:val="003D29D2"/>
    <w:rsid w:val="003D435E"/>
    <w:rsid w:val="003D4611"/>
    <w:rsid w:val="003E00BB"/>
    <w:rsid w:val="00405B39"/>
    <w:rsid w:val="00407F2D"/>
    <w:rsid w:val="00410D37"/>
    <w:rsid w:val="00411EEB"/>
    <w:rsid w:val="00421266"/>
    <w:rsid w:val="004256EA"/>
    <w:rsid w:val="00434EDA"/>
    <w:rsid w:val="00444C0E"/>
    <w:rsid w:val="00446519"/>
    <w:rsid w:val="004478AE"/>
    <w:rsid w:val="00447E7C"/>
    <w:rsid w:val="004503C6"/>
    <w:rsid w:val="0045059B"/>
    <w:rsid w:val="00451CF7"/>
    <w:rsid w:val="00457528"/>
    <w:rsid w:val="004635C3"/>
    <w:rsid w:val="00465312"/>
    <w:rsid w:val="0046718D"/>
    <w:rsid w:val="004705A1"/>
    <w:rsid w:val="004775A8"/>
    <w:rsid w:val="004862AC"/>
    <w:rsid w:val="004862E0"/>
    <w:rsid w:val="00486492"/>
    <w:rsid w:val="004901CB"/>
    <w:rsid w:val="004A0F22"/>
    <w:rsid w:val="004A2E94"/>
    <w:rsid w:val="004B4056"/>
    <w:rsid w:val="004B55EC"/>
    <w:rsid w:val="004B6ED7"/>
    <w:rsid w:val="004C04E8"/>
    <w:rsid w:val="004C11CF"/>
    <w:rsid w:val="004D3440"/>
    <w:rsid w:val="004D4FF7"/>
    <w:rsid w:val="004D7D73"/>
    <w:rsid w:val="004F13F3"/>
    <w:rsid w:val="004F3685"/>
    <w:rsid w:val="004F67E3"/>
    <w:rsid w:val="004F7D5E"/>
    <w:rsid w:val="00501776"/>
    <w:rsid w:val="0050651C"/>
    <w:rsid w:val="005065B0"/>
    <w:rsid w:val="00510168"/>
    <w:rsid w:val="00513440"/>
    <w:rsid w:val="00513AE8"/>
    <w:rsid w:val="005210A6"/>
    <w:rsid w:val="0054015A"/>
    <w:rsid w:val="00540291"/>
    <w:rsid w:val="005427F7"/>
    <w:rsid w:val="00545A21"/>
    <w:rsid w:val="00547A33"/>
    <w:rsid w:val="00550AD9"/>
    <w:rsid w:val="00552A9D"/>
    <w:rsid w:val="00565D57"/>
    <w:rsid w:val="00565F48"/>
    <w:rsid w:val="00572E2A"/>
    <w:rsid w:val="00580113"/>
    <w:rsid w:val="00581CFC"/>
    <w:rsid w:val="00582A23"/>
    <w:rsid w:val="005840FC"/>
    <w:rsid w:val="00584A63"/>
    <w:rsid w:val="005934AD"/>
    <w:rsid w:val="00593813"/>
    <w:rsid w:val="005A2910"/>
    <w:rsid w:val="005A29F4"/>
    <w:rsid w:val="005A3C4D"/>
    <w:rsid w:val="005C4497"/>
    <w:rsid w:val="005D57DA"/>
    <w:rsid w:val="005E12B9"/>
    <w:rsid w:val="005E47DF"/>
    <w:rsid w:val="005E7EBC"/>
    <w:rsid w:val="005F1CE0"/>
    <w:rsid w:val="005F399C"/>
    <w:rsid w:val="00603459"/>
    <w:rsid w:val="00604DF8"/>
    <w:rsid w:val="00611B3F"/>
    <w:rsid w:val="006134FA"/>
    <w:rsid w:val="00613717"/>
    <w:rsid w:val="00613D0C"/>
    <w:rsid w:val="00627D76"/>
    <w:rsid w:val="0063235C"/>
    <w:rsid w:val="0064655C"/>
    <w:rsid w:val="00646D3B"/>
    <w:rsid w:val="0065202F"/>
    <w:rsid w:val="00664ED4"/>
    <w:rsid w:val="006669D3"/>
    <w:rsid w:val="006706BB"/>
    <w:rsid w:val="00671CCB"/>
    <w:rsid w:val="0067369D"/>
    <w:rsid w:val="00673A87"/>
    <w:rsid w:val="00674AD4"/>
    <w:rsid w:val="006814BF"/>
    <w:rsid w:val="00690471"/>
    <w:rsid w:val="00695F0A"/>
    <w:rsid w:val="0069748F"/>
    <w:rsid w:val="006A1261"/>
    <w:rsid w:val="006B15C2"/>
    <w:rsid w:val="006C3030"/>
    <w:rsid w:val="006C3E43"/>
    <w:rsid w:val="006C5DF1"/>
    <w:rsid w:val="006C63CE"/>
    <w:rsid w:val="006C6470"/>
    <w:rsid w:val="006C75C1"/>
    <w:rsid w:val="006C7A55"/>
    <w:rsid w:val="006D64E4"/>
    <w:rsid w:val="006F119E"/>
    <w:rsid w:val="006F1734"/>
    <w:rsid w:val="006F2AAB"/>
    <w:rsid w:val="006F2E0C"/>
    <w:rsid w:val="007047E2"/>
    <w:rsid w:val="0070740D"/>
    <w:rsid w:val="0071067E"/>
    <w:rsid w:val="00715428"/>
    <w:rsid w:val="00715552"/>
    <w:rsid w:val="007303C1"/>
    <w:rsid w:val="00734345"/>
    <w:rsid w:val="007420EE"/>
    <w:rsid w:val="007443D5"/>
    <w:rsid w:val="00755561"/>
    <w:rsid w:val="00764A57"/>
    <w:rsid w:val="007654C8"/>
    <w:rsid w:val="00775279"/>
    <w:rsid w:val="00777C75"/>
    <w:rsid w:val="0078151E"/>
    <w:rsid w:val="007830A0"/>
    <w:rsid w:val="00793390"/>
    <w:rsid w:val="00793F85"/>
    <w:rsid w:val="0079745A"/>
    <w:rsid w:val="007976AC"/>
    <w:rsid w:val="00797C2F"/>
    <w:rsid w:val="007A4B91"/>
    <w:rsid w:val="007B267B"/>
    <w:rsid w:val="007C0808"/>
    <w:rsid w:val="007C5374"/>
    <w:rsid w:val="007D15CC"/>
    <w:rsid w:val="007D1C37"/>
    <w:rsid w:val="007D3E13"/>
    <w:rsid w:val="007D695C"/>
    <w:rsid w:val="007E4B79"/>
    <w:rsid w:val="007F31DA"/>
    <w:rsid w:val="007F442C"/>
    <w:rsid w:val="007F598E"/>
    <w:rsid w:val="007F68E4"/>
    <w:rsid w:val="008016EC"/>
    <w:rsid w:val="008059CF"/>
    <w:rsid w:val="008113A1"/>
    <w:rsid w:val="00811614"/>
    <w:rsid w:val="00816F02"/>
    <w:rsid w:val="0082686D"/>
    <w:rsid w:val="008276F5"/>
    <w:rsid w:val="00827831"/>
    <w:rsid w:val="00830781"/>
    <w:rsid w:val="0083113B"/>
    <w:rsid w:val="008311F6"/>
    <w:rsid w:val="00833A23"/>
    <w:rsid w:val="008415CA"/>
    <w:rsid w:val="00842A36"/>
    <w:rsid w:val="00843CA0"/>
    <w:rsid w:val="00851B78"/>
    <w:rsid w:val="00853979"/>
    <w:rsid w:val="008551AC"/>
    <w:rsid w:val="00862649"/>
    <w:rsid w:val="0087358A"/>
    <w:rsid w:val="00875173"/>
    <w:rsid w:val="00876D9E"/>
    <w:rsid w:val="008779FF"/>
    <w:rsid w:val="00884935"/>
    <w:rsid w:val="00887A6A"/>
    <w:rsid w:val="008918D0"/>
    <w:rsid w:val="0089533B"/>
    <w:rsid w:val="00897094"/>
    <w:rsid w:val="008B3A21"/>
    <w:rsid w:val="008B4A3F"/>
    <w:rsid w:val="008C0499"/>
    <w:rsid w:val="008C10D0"/>
    <w:rsid w:val="008C1863"/>
    <w:rsid w:val="008C557A"/>
    <w:rsid w:val="008C709C"/>
    <w:rsid w:val="008D3826"/>
    <w:rsid w:val="008D78E1"/>
    <w:rsid w:val="008E4D27"/>
    <w:rsid w:val="008E7125"/>
    <w:rsid w:val="008F1F04"/>
    <w:rsid w:val="008F308F"/>
    <w:rsid w:val="00901921"/>
    <w:rsid w:val="00903441"/>
    <w:rsid w:val="00907E89"/>
    <w:rsid w:val="00910F12"/>
    <w:rsid w:val="00925BA9"/>
    <w:rsid w:val="009324CE"/>
    <w:rsid w:val="00937126"/>
    <w:rsid w:val="009376B7"/>
    <w:rsid w:val="00950365"/>
    <w:rsid w:val="009626E3"/>
    <w:rsid w:val="0096294A"/>
    <w:rsid w:val="00967412"/>
    <w:rsid w:val="0097070D"/>
    <w:rsid w:val="00974443"/>
    <w:rsid w:val="00974C85"/>
    <w:rsid w:val="00977FE3"/>
    <w:rsid w:val="00982C1A"/>
    <w:rsid w:val="00983BE3"/>
    <w:rsid w:val="009A6B26"/>
    <w:rsid w:val="009A6CCD"/>
    <w:rsid w:val="009B5285"/>
    <w:rsid w:val="009B5F87"/>
    <w:rsid w:val="009C0B87"/>
    <w:rsid w:val="009C56C2"/>
    <w:rsid w:val="009C6A63"/>
    <w:rsid w:val="009D02BA"/>
    <w:rsid w:val="009D7EF1"/>
    <w:rsid w:val="009E2CE1"/>
    <w:rsid w:val="009F0DD3"/>
    <w:rsid w:val="009F2DB4"/>
    <w:rsid w:val="00A021D0"/>
    <w:rsid w:val="00A0264B"/>
    <w:rsid w:val="00A270FB"/>
    <w:rsid w:val="00A3092C"/>
    <w:rsid w:val="00A35101"/>
    <w:rsid w:val="00A37785"/>
    <w:rsid w:val="00A4191B"/>
    <w:rsid w:val="00A41FDD"/>
    <w:rsid w:val="00A46BC0"/>
    <w:rsid w:val="00A47AD0"/>
    <w:rsid w:val="00A7074D"/>
    <w:rsid w:val="00A70D06"/>
    <w:rsid w:val="00A869BA"/>
    <w:rsid w:val="00A90D5D"/>
    <w:rsid w:val="00A90DE9"/>
    <w:rsid w:val="00A9242E"/>
    <w:rsid w:val="00A96F8C"/>
    <w:rsid w:val="00AA0AB5"/>
    <w:rsid w:val="00AB1798"/>
    <w:rsid w:val="00AB7124"/>
    <w:rsid w:val="00AC3973"/>
    <w:rsid w:val="00AC481F"/>
    <w:rsid w:val="00AC6895"/>
    <w:rsid w:val="00AD467E"/>
    <w:rsid w:val="00AD6680"/>
    <w:rsid w:val="00AE0E75"/>
    <w:rsid w:val="00AE2D02"/>
    <w:rsid w:val="00AF4619"/>
    <w:rsid w:val="00AF72A6"/>
    <w:rsid w:val="00AF7B22"/>
    <w:rsid w:val="00B006AA"/>
    <w:rsid w:val="00B00BFF"/>
    <w:rsid w:val="00B06B29"/>
    <w:rsid w:val="00B10C0D"/>
    <w:rsid w:val="00B156F5"/>
    <w:rsid w:val="00B159F3"/>
    <w:rsid w:val="00B23309"/>
    <w:rsid w:val="00B265D3"/>
    <w:rsid w:val="00B35C52"/>
    <w:rsid w:val="00B42738"/>
    <w:rsid w:val="00B42912"/>
    <w:rsid w:val="00B51BA6"/>
    <w:rsid w:val="00B52078"/>
    <w:rsid w:val="00B55E8C"/>
    <w:rsid w:val="00B57BC9"/>
    <w:rsid w:val="00B57F41"/>
    <w:rsid w:val="00B60546"/>
    <w:rsid w:val="00B61622"/>
    <w:rsid w:val="00B62473"/>
    <w:rsid w:val="00B63F5E"/>
    <w:rsid w:val="00B676D3"/>
    <w:rsid w:val="00B7111E"/>
    <w:rsid w:val="00B72BE2"/>
    <w:rsid w:val="00B83052"/>
    <w:rsid w:val="00B8684F"/>
    <w:rsid w:val="00B87DE5"/>
    <w:rsid w:val="00B91616"/>
    <w:rsid w:val="00B91F4A"/>
    <w:rsid w:val="00B94F92"/>
    <w:rsid w:val="00BB00C3"/>
    <w:rsid w:val="00BB0A45"/>
    <w:rsid w:val="00BB2F65"/>
    <w:rsid w:val="00BB4758"/>
    <w:rsid w:val="00BC407D"/>
    <w:rsid w:val="00BC510D"/>
    <w:rsid w:val="00BC7077"/>
    <w:rsid w:val="00BD0C88"/>
    <w:rsid w:val="00BD1077"/>
    <w:rsid w:val="00BD2F97"/>
    <w:rsid w:val="00BD403B"/>
    <w:rsid w:val="00BE3436"/>
    <w:rsid w:val="00BF12DE"/>
    <w:rsid w:val="00BF6E7C"/>
    <w:rsid w:val="00BF75F9"/>
    <w:rsid w:val="00C12ABE"/>
    <w:rsid w:val="00C13245"/>
    <w:rsid w:val="00C21CE7"/>
    <w:rsid w:val="00C26020"/>
    <w:rsid w:val="00C33AB2"/>
    <w:rsid w:val="00C36824"/>
    <w:rsid w:val="00C4575C"/>
    <w:rsid w:val="00C51271"/>
    <w:rsid w:val="00C529B7"/>
    <w:rsid w:val="00C56941"/>
    <w:rsid w:val="00C617F8"/>
    <w:rsid w:val="00C679E6"/>
    <w:rsid w:val="00C67FDD"/>
    <w:rsid w:val="00C72642"/>
    <w:rsid w:val="00C81B0D"/>
    <w:rsid w:val="00C85CF0"/>
    <w:rsid w:val="00C90FFA"/>
    <w:rsid w:val="00CA4964"/>
    <w:rsid w:val="00CB08F3"/>
    <w:rsid w:val="00CB440D"/>
    <w:rsid w:val="00CB458A"/>
    <w:rsid w:val="00CC3237"/>
    <w:rsid w:val="00CC73F0"/>
    <w:rsid w:val="00CD0D8A"/>
    <w:rsid w:val="00CD1162"/>
    <w:rsid w:val="00CD2C9C"/>
    <w:rsid w:val="00CD764A"/>
    <w:rsid w:val="00CF1CF1"/>
    <w:rsid w:val="00CF2A2E"/>
    <w:rsid w:val="00CF341E"/>
    <w:rsid w:val="00CF36A1"/>
    <w:rsid w:val="00D05C39"/>
    <w:rsid w:val="00D20C22"/>
    <w:rsid w:val="00D22AB1"/>
    <w:rsid w:val="00D25CD7"/>
    <w:rsid w:val="00D2769E"/>
    <w:rsid w:val="00D37CAC"/>
    <w:rsid w:val="00D4115F"/>
    <w:rsid w:val="00D46204"/>
    <w:rsid w:val="00D62A1F"/>
    <w:rsid w:val="00D702AB"/>
    <w:rsid w:val="00D728E7"/>
    <w:rsid w:val="00D74697"/>
    <w:rsid w:val="00D76549"/>
    <w:rsid w:val="00D86424"/>
    <w:rsid w:val="00D957DD"/>
    <w:rsid w:val="00DA22DF"/>
    <w:rsid w:val="00DA4883"/>
    <w:rsid w:val="00DB3C20"/>
    <w:rsid w:val="00DC5FA6"/>
    <w:rsid w:val="00DD39B8"/>
    <w:rsid w:val="00DF365E"/>
    <w:rsid w:val="00DF7CEF"/>
    <w:rsid w:val="00E13568"/>
    <w:rsid w:val="00E21E4C"/>
    <w:rsid w:val="00E221C2"/>
    <w:rsid w:val="00E23B8E"/>
    <w:rsid w:val="00E301F8"/>
    <w:rsid w:val="00E324DB"/>
    <w:rsid w:val="00E332A9"/>
    <w:rsid w:val="00E36F58"/>
    <w:rsid w:val="00E56071"/>
    <w:rsid w:val="00E6124D"/>
    <w:rsid w:val="00E67ECA"/>
    <w:rsid w:val="00E93F8D"/>
    <w:rsid w:val="00E954C0"/>
    <w:rsid w:val="00E968CD"/>
    <w:rsid w:val="00EB2573"/>
    <w:rsid w:val="00EB7424"/>
    <w:rsid w:val="00EC21D9"/>
    <w:rsid w:val="00ED7730"/>
    <w:rsid w:val="00EE5A0F"/>
    <w:rsid w:val="00EE7DAF"/>
    <w:rsid w:val="00EF05F1"/>
    <w:rsid w:val="00EF0FE3"/>
    <w:rsid w:val="00EF144A"/>
    <w:rsid w:val="00EF2266"/>
    <w:rsid w:val="00EF2588"/>
    <w:rsid w:val="00EF318C"/>
    <w:rsid w:val="00EF3F99"/>
    <w:rsid w:val="00EF4132"/>
    <w:rsid w:val="00EF60AC"/>
    <w:rsid w:val="00F01125"/>
    <w:rsid w:val="00F013C6"/>
    <w:rsid w:val="00F01F6A"/>
    <w:rsid w:val="00F05E02"/>
    <w:rsid w:val="00F1431A"/>
    <w:rsid w:val="00F2140C"/>
    <w:rsid w:val="00F22F45"/>
    <w:rsid w:val="00F2331E"/>
    <w:rsid w:val="00F24751"/>
    <w:rsid w:val="00F25E81"/>
    <w:rsid w:val="00F30356"/>
    <w:rsid w:val="00F325BC"/>
    <w:rsid w:val="00F32EA6"/>
    <w:rsid w:val="00F33DE2"/>
    <w:rsid w:val="00F413F5"/>
    <w:rsid w:val="00F44713"/>
    <w:rsid w:val="00F474E9"/>
    <w:rsid w:val="00F503A4"/>
    <w:rsid w:val="00F50B6B"/>
    <w:rsid w:val="00F51BA2"/>
    <w:rsid w:val="00F530A2"/>
    <w:rsid w:val="00F601D7"/>
    <w:rsid w:val="00F6086C"/>
    <w:rsid w:val="00F61F89"/>
    <w:rsid w:val="00F6765F"/>
    <w:rsid w:val="00F67EAC"/>
    <w:rsid w:val="00F75550"/>
    <w:rsid w:val="00F76FA2"/>
    <w:rsid w:val="00F8304B"/>
    <w:rsid w:val="00F95A14"/>
    <w:rsid w:val="00FA7D95"/>
    <w:rsid w:val="00FB1382"/>
    <w:rsid w:val="00FB1C19"/>
    <w:rsid w:val="00FC1F05"/>
    <w:rsid w:val="00FC333A"/>
    <w:rsid w:val="00FC438D"/>
    <w:rsid w:val="00FD189B"/>
    <w:rsid w:val="00FD4C22"/>
    <w:rsid w:val="00FE0176"/>
    <w:rsid w:val="00FE1AA1"/>
    <w:rsid w:val="00FE1E66"/>
    <w:rsid w:val="00FE248C"/>
    <w:rsid w:val="00FE323D"/>
    <w:rsid w:val="00FE6916"/>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E8799"/>
  <w15:docId w15:val="{AAA23327-4B0F-4AD8-A3FA-CA99A3FF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basedOn w:val="Normal"/>
    <w:uiPriority w:val="34"/>
    <w:qFormat/>
    <w:rsid w:val="00BF75F9"/>
    <w:pPr>
      <w:ind w:left="720"/>
      <w:contextualSpacing/>
    </w:pPr>
  </w:style>
  <w:style w:type="paragraph" w:styleId="Title">
    <w:name w:val="Title"/>
    <w:basedOn w:val="BodyTextIndent"/>
    <w:next w:val="Normal"/>
    <w:link w:val="TitleChar"/>
    <w:qFormat/>
    <w:rsid w:val="00907E89"/>
    <w:pPr>
      <w:pBdr>
        <w:top w:val="single" w:sz="4" w:space="1" w:color="auto"/>
        <w:left w:val="single" w:sz="4" w:space="1" w:color="auto"/>
        <w:bottom w:val="single" w:sz="4" w:space="1" w:color="auto"/>
        <w:right w:val="single" w:sz="4" w:space="4" w:color="auto"/>
      </w:pBdr>
      <w:tabs>
        <w:tab w:val="clear" w:pos="360"/>
      </w:tabs>
      <w:ind w:left="0" w:firstLine="0"/>
      <w:jc w:val="both"/>
    </w:pPr>
    <w:rPr>
      <w:b/>
      <w:sz w:val="32"/>
      <w:szCs w:val="32"/>
    </w:rPr>
  </w:style>
  <w:style w:type="character" w:customStyle="1" w:styleId="TitleChar">
    <w:name w:val="Title Char"/>
    <w:basedOn w:val="DefaultParagraphFont"/>
    <w:link w:val="Title"/>
    <w:rsid w:val="00907E89"/>
    <w:rPr>
      <w:rFonts w:ascii="Arial" w:hAnsi="Arial"/>
      <w:b/>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46673899">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3DE2-48EA-41D0-ABFB-9871454BF9FD}">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f22d7286-dd96-43f1-addf-1aa01b239435"/>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4B94FA5-31A1-4C34-971B-E7F274DA3863}">
  <ds:schemaRefs>
    <ds:schemaRef ds:uri="http://schemas.microsoft.com/sharepoint/v3/contenttype/forms"/>
  </ds:schemaRefs>
</ds:datastoreItem>
</file>

<file path=customXml/itemProps3.xml><?xml version="1.0" encoding="utf-8"?>
<ds:datastoreItem xmlns:ds="http://schemas.openxmlformats.org/officeDocument/2006/customXml" ds:itemID="{FEE4F868-D3CA-45F9-876F-DF1715604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FC8FD-DA4B-4F73-958A-E00124B4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School Services Block</dc:title>
  <dc:creator>David Tully</dc:creator>
  <cp:lastModifiedBy>Phillip Nduoyo</cp:lastModifiedBy>
  <cp:revision>9</cp:revision>
  <cp:lastPrinted>2019-01-09T09:08:00Z</cp:lastPrinted>
  <dcterms:created xsi:type="dcterms:W3CDTF">2019-01-09T09:08:00Z</dcterms:created>
  <dcterms:modified xsi:type="dcterms:W3CDTF">2021-01-13T10:19:00Z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3151000</vt:r8>
  </property>
</Properties>
</file>