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C878E" w14:textId="77777777" w:rsidR="00FE08C8" w:rsidRPr="00F17FD6" w:rsidRDefault="00FE08C8" w:rsidP="00A54C0B">
      <w:pPr>
        <w:pStyle w:val="Title"/>
      </w:pPr>
    </w:p>
    <w:p w14:paraId="027C878F" w14:textId="77777777" w:rsidR="003D556F" w:rsidRPr="003D556F" w:rsidRDefault="00E45B9B" w:rsidP="003D556F">
      <w:pPr>
        <w:pBdr>
          <w:top w:val="single" w:sz="4" w:space="1" w:color="auto"/>
          <w:left w:val="single" w:sz="4" w:space="4" w:color="auto"/>
          <w:bottom w:val="single" w:sz="4" w:space="1" w:color="auto"/>
          <w:right w:val="single" w:sz="4" w:space="4" w:color="auto"/>
        </w:pBdr>
        <w:spacing w:after="120"/>
        <w:jc w:val="both"/>
        <w:rPr>
          <w:b/>
          <w:sz w:val="32"/>
          <w:szCs w:val="32"/>
          <w:lang w:val="en-US" w:eastAsia="en-US"/>
        </w:rPr>
      </w:pPr>
      <w:r>
        <w:rPr>
          <w:b/>
          <w:sz w:val="32"/>
          <w:szCs w:val="32"/>
          <w:lang w:val="en-US" w:eastAsia="en-US"/>
        </w:rPr>
        <w:t xml:space="preserve">AGENDA ITEM </w:t>
      </w:r>
      <w:r w:rsidR="004921EB">
        <w:rPr>
          <w:b/>
          <w:sz w:val="32"/>
          <w:szCs w:val="32"/>
          <w:lang w:val="en-US" w:eastAsia="en-US"/>
        </w:rPr>
        <w:t>06</w:t>
      </w:r>
    </w:p>
    <w:p w14:paraId="027C8790" w14:textId="77777777" w:rsidR="003D556F" w:rsidRPr="003D556F" w:rsidRDefault="003D556F" w:rsidP="003D556F">
      <w:pPr>
        <w:rPr>
          <w:rFonts w:cs="Arial"/>
          <w:b/>
        </w:rPr>
      </w:pPr>
    </w:p>
    <w:p w14:paraId="027C8791" w14:textId="77777777" w:rsidR="003D556F" w:rsidRPr="004B4CD0" w:rsidRDefault="003D556F" w:rsidP="003D556F">
      <w:pPr>
        <w:pBdr>
          <w:top w:val="single" w:sz="4" w:space="1" w:color="auto"/>
          <w:left w:val="single" w:sz="4" w:space="4" w:color="auto"/>
          <w:bottom w:val="single" w:sz="4" w:space="1" w:color="auto"/>
          <w:right w:val="single" w:sz="4" w:space="4" w:color="auto"/>
        </w:pBdr>
        <w:rPr>
          <w:rStyle w:val="Heading1Char"/>
        </w:rPr>
      </w:pPr>
      <w:r w:rsidRPr="003D556F">
        <w:rPr>
          <w:rFonts w:cs="Arial"/>
          <w:b/>
        </w:rPr>
        <w:t xml:space="preserve">Title of report: </w:t>
      </w:r>
      <w:r w:rsidR="009865D2" w:rsidRPr="004B4CD0">
        <w:rPr>
          <w:rStyle w:val="Heading1Char"/>
        </w:rPr>
        <w:t>Early Years Block Funding 201</w:t>
      </w:r>
      <w:r w:rsidR="00E45B9B" w:rsidRPr="004B4CD0">
        <w:rPr>
          <w:rStyle w:val="Heading1Char"/>
        </w:rPr>
        <w:t>9</w:t>
      </w:r>
      <w:r w:rsidR="00083DE7" w:rsidRPr="004B4CD0">
        <w:rPr>
          <w:rStyle w:val="Heading1Char"/>
        </w:rPr>
        <w:t>-20</w:t>
      </w:r>
      <w:bookmarkStart w:id="0" w:name="_GoBack"/>
      <w:bookmarkEnd w:id="0"/>
    </w:p>
    <w:p w14:paraId="027C8792" w14:textId="77777777" w:rsidR="003D556F" w:rsidRPr="003D556F" w:rsidRDefault="003D556F" w:rsidP="003D556F">
      <w:pPr>
        <w:pBdr>
          <w:top w:val="single" w:sz="4" w:space="1" w:color="auto"/>
          <w:left w:val="single" w:sz="4" w:space="4" w:color="auto"/>
          <w:bottom w:val="single" w:sz="4" w:space="1" w:color="auto"/>
          <w:right w:val="single" w:sz="4" w:space="4" w:color="auto"/>
        </w:pBdr>
        <w:rPr>
          <w:rFonts w:cs="Arial"/>
          <w:b/>
        </w:rPr>
      </w:pPr>
    </w:p>
    <w:p w14:paraId="027C8793" w14:textId="77777777" w:rsidR="003D556F" w:rsidRPr="003D556F" w:rsidRDefault="003D556F" w:rsidP="003D556F">
      <w:pPr>
        <w:rPr>
          <w:rFonts w:cs="Arial"/>
          <w:b/>
          <w:u w:val="single"/>
        </w:rPr>
      </w:pPr>
    </w:p>
    <w:p w14:paraId="027C8794" w14:textId="77777777" w:rsidR="003D556F" w:rsidRDefault="003D556F" w:rsidP="003D556F">
      <w:pPr>
        <w:pBdr>
          <w:top w:val="single" w:sz="4" w:space="1" w:color="auto"/>
          <w:left w:val="single" w:sz="4" w:space="4" w:color="auto"/>
          <w:bottom w:val="single" w:sz="4" w:space="1" w:color="auto"/>
          <w:right w:val="single" w:sz="4" w:space="4" w:color="auto"/>
        </w:pBdr>
        <w:rPr>
          <w:rFonts w:cs="Arial"/>
          <w:b/>
        </w:rPr>
      </w:pPr>
      <w:r w:rsidRPr="003D556F">
        <w:rPr>
          <w:rFonts w:cs="Arial"/>
          <w:b/>
        </w:rPr>
        <w:t xml:space="preserve">Author of the paper: </w:t>
      </w:r>
      <w:r w:rsidR="000A4FAF">
        <w:rPr>
          <w:rFonts w:cs="Arial"/>
          <w:b/>
        </w:rPr>
        <w:t>Sailesh Patel</w:t>
      </w:r>
    </w:p>
    <w:p w14:paraId="027C8795" w14:textId="77777777" w:rsidR="009865D2" w:rsidRPr="003D556F" w:rsidRDefault="009865D2" w:rsidP="003D556F">
      <w:pPr>
        <w:pBdr>
          <w:top w:val="single" w:sz="4" w:space="1" w:color="auto"/>
          <w:left w:val="single" w:sz="4" w:space="4" w:color="auto"/>
          <w:bottom w:val="single" w:sz="4" w:space="1" w:color="auto"/>
          <w:right w:val="single" w:sz="4" w:space="4" w:color="auto"/>
        </w:pBdr>
        <w:rPr>
          <w:rFonts w:cs="Arial"/>
          <w:b/>
        </w:rPr>
      </w:pPr>
    </w:p>
    <w:p w14:paraId="027C8796" w14:textId="77777777" w:rsidR="003D556F" w:rsidRPr="003D556F" w:rsidRDefault="003D556F" w:rsidP="003D556F">
      <w:pPr>
        <w:rPr>
          <w:rFonts w:cs="Arial"/>
        </w:rPr>
      </w:pPr>
    </w:p>
    <w:p w14:paraId="027C8797" w14:textId="77777777" w:rsidR="003D556F" w:rsidRDefault="003D556F" w:rsidP="003D556F">
      <w:pPr>
        <w:pBdr>
          <w:top w:val="single" w:sz="4" w:space="1" w:color="auto"/>
          <w:left w:val="single" w:sz="4" w:space="4" w:color="auto"/>
          <w:bottom w:val="single" w:sz="4" w:space="1" w:color="auto"/>
          <w:right w:val="single" w:sz="4" w:space="4" w:color="auto"/>
        </w:pBdr>
        <w:rPr>
          <w:rFonts w:cs="Arial"/>
          <w:b/>
        </w:rPr>
      </w:pPr>
      <w:r w:rsidRPr="003D556F">
        <w:rPr>
          <w:rFonts w:cs="Arial"/>
          <w:b/>
        </w:rPr>
        <w:t xml:space="preserve">Officer to present the paper to School Forum: </w:t>
      </w:r>
    </w:p>
    <w:p w14:paraId="027C8798" w14:textId="77777777" w:rsidR="009865D2" w:rsidRDefault="00FA416E" w:rsidP="003D556F">
      <w:pPr>
        <w:pBdr>
          <w:top w:val="single" w:sz="4" w:space="1" w:color="auto"/>
          <w:left w:val="single" w:sz="4" w:space="4" w:color="auto"/>
          <w:bottom w:val="single" w:sz="4" w:space="1" w:color="auto"/>
          <w:right w:val="single" w:sz="4" w:space="4" w:color="auto"/>
        </w:pBdr>
        <w:rPr>
          <w:rFonts w:cs="Arial"/>
          <w:b/>
        </w:rPr>
      </w:pPr>
      <w:r>
        <w:rPr>
          <w:rFonts w:cs="Arial"/>
          <w:b/>
        </w:rPr>
        <w:t>Sailesh Patel</w:t>
      </w:r>
    </w:p>
    <w:p w14:paraId="027C8799" w14:textId="77777777" w:rsidR="009865D2" w:rsidRPr="003D556F" w:rsidRDefault="009865D2" w:rsidP="003D556F">
      <w:pPr>
        <w:pBdr>
          <w:top w:val="single" w:sz="4" w:space="1" w:color="auto"/>
          <w:left w:val="single" w:sz="4" w:space="4" w:color="auto"/>
          <w:bottom w:val="single" w:sz="4" w:space="1" w:color="auto"/>
          <w:right w:val="single" w:sz="4" w:space="4" w:color="auto"/>
        </w:pBdr>
        <w:rPr>
          <w:rFonts w:cs="Arial"/>
          <w:b/>
        </w:rPr>
      </w:pPr>
    </w:p>
    <w:p w14:paraId="027C879A" w14:textId="77777777" w:rsidR="003D556F" w:rsidRPr="003D556F" w:rsidRDefault="003D556F" w:rsidP="003D556F">
      <w:pPr>
        <w:rPr>
          <w:rFonts w:cs="Arial"/>
        </w:rPr>
      </w:pPr>
    </w:p>
    <w:p w14:paraId="027C879B" w14:textId="77777777" w:rsidR="003F438E" w:rsidRDefault="003D556F" w:rsidP="003D556F">
      <w:pPr>
        <w:pBdr>
          <w:top w:val="single" w:sz="4" w:space="1" w:color="auto"/>
          <w:left w:val="single" w:sz="4" w:space="4" w:color="auto"/>
          <w:bottom w:val="single" w:sz="4" w:space="1" w:color="auto"/>
          <w:right w:val="single" w:sz="4" w:space="4" w:color="auto"/>
        </w:pBdr>
        <w:rPr>
          <w:rFonts w:cs="Arial"/>
          <w:b/>
        </w:rPr>
      </w:pPr>
      <w:r w:rsidRPr="003D556F">
        <w:rPr>
          <w:rFonts w:cs="Arial"/>
          <w:b/>
        </w:rPr>
        <w:t>Details on who has been consulted with on this paper to date:</w:t>
      </w:r>
    </w:p>
    <w:p w14:paraId="027C879C" w14:textId="77777777" w:rsidR="009865D2" w:rsidRPr="00E20024" w:rsidRDefault="00FA416E" w:rsidP="003D556F">
      <w:pPr>
        <w:pBdr>
          <w:top w:val="single" w:sz="4" w:space="1" w:color="auto"/>
          <w:left w:val="single" w:sz="4" w:space="4" w:color="auto"/>
          <w:bottom w:val="single" w:sz="4" w:space="1" w:color="auto"/>
          <w:right w:val="single" w:sz="4" w:space="4" w:color="auto"/>
        </w:pBdr>
        <w:rPr>
          <w:rFonts w:cs="Arial"/>
        </w:rPr>
      </w:pPr>
      <w:r w:rsidRPr="00E20024">
        <w:rPr>
          <w:rFonts w:cs="Arial"/>
        </w:rPr>
        <w:t>Pauline Hoare</w:t>
      </w:r>
      <w:r w:rsidR="00EB1E16">
        <w:rPr>
          <w:rFonts w:cs="Arial"/>
        </w:rPr>
        <w:t xml:space="preserve">, </w:t>
      </w:r>
      <w:r w:rsidR="00476D88">
        <w:rPr>
          <w:rFonts w:cs="Arial"/>
          <w:lang w:val="en-US"/>
        </w:rPr>
        <w:t>Christine McInnes</w:t>
      </w:r>
      <w:r w:rsidR="00C67AB9">
        <w:rPr>
          <w:rFonts w:cs="Arial"/>
          <w:lang w:val="en-US"/>
        </w:rPr>
        <w:t>,</w:t>
      </w:r>
      <w:r w:rsidR="00C67AB9" w:rsidRPr="00C67AB9">
        <w:t xml:space="preserve"> </w:t>
      </w:r>
      <w:r w:rsidR="00C67AB9">
        <w:rPr>
          <w:rFonts w:cs="Arial"/>
          <w:lang w:val="en-US"/>
        </w:rPr>
        <w:t xml:space="preserve">Abdul </w:t>
      </w:r>
      <w:r w:rsidR="00C67AB9" w:rsidRPr="00C67AB9">
        <w:rPr>
          <w:rFonts w:cs="Arial"/>
          <w:lang w:val="en-US"/>
        </w:rPr>
        <w:t>Quddus</w:t>
      </w:r>
      <w:r w:rsidR="00C67AB9">
        <w:rPr>
          <w:rFonts w:cs="Arial"/>
          <w:lang w:val="en-US"/>
        </w:rPr>
        <w:t>.</w:t>
      </w:r>
    </w:p>
    <w:p w14:paraId="027C879D" w14:textId="77777777" w:rsidR="009865D2" w:rsidRPr="003D556F" w:rsidRDefault="009865D2" w:rsidP="003D556F">
      <w:pPr>
        <w:pBdr>
          <w:top w:val="single" w:sz="4" w:space="1" w:color="auto"/>
          <w:left w:val="single" w:sz="4" w:space="4" w:color="auto"/>
          <w:bottom w:val="single" w:sz="4" w:space="1" w:color="auto"/>
          <w:right w:val="single" w:sz="4" w:space="4" w:color="auto"/>
        </w:pBdr>
        <w:rPr>
          <w:rFonts w:cs="Arial"/>
          <w:b/>
        </w:rPr>
      </w:pPr>
    </w:p>
    <w:p w14:paraId="027C879E" w14:textId="77777777" w:rsidR="003D556F" w:rsidRPr="003D556F" w:rsidRDefault="003D556F" w:rsidP="003D556F">
      <w:pPr>
        <w:rPr>
          <w:rFonts w:cs="Arial"/>
        </w:rPr>
      </w:pPr>
    </w:p>
    <w:p w14:paraId="027C879F" w14:textId="77777777" w:rsidR="003D556F" w:rsidRDefault="003D556F" w:rsidP="003D556F">
      <w:pPr>
        <w:pBdr>
          <w:top w:val="single" w:sz="4" w:space="1" w:color="auto"/>
          <w:left w:val="single" w:sz="4" w:space="1" w:color="auto"/>
          <w:bottom w:val="single" w:sz="4" w:space="1" w:color="auto"/>
          <w:right w:val="single" w:sz="4" w:space="1" w:color="auto"/>
        </w:pBdr>
        <w:rPr>
          <w:rFonts w:cs="Arial"/>
          <w:b/>
        </w:rPr>
      </w:pPr>
      <w:r w:rsidRPr="003D556F">
        <w:rPr>
          <w:rFonts w:cs="Arial"/>
          <w:b/>
        </w:rPr>
        <w:t>Exec Summary:</w:t>
      </w:r>
    </w:p>
    <w:p w14:paraId="027C87A0" w14:textId="77777777" w:rsidR="004921EB" w:rsidRDefault="004921EB" w:rsidP="003D556F">
      <w:pPr>
        <w:pBdr>
          <w:top w:val="single" w:sz="4" w:space="1" w:color="auto"/>
          <w:left w:val="single" w:sz="4" w:space="1" w:color="auto"/>
          <w:bottom w:val="single" w:sz="4" w:space="1" w:color="auto"/>
          <w:right w:val="single" w:sz="4" w:space="1" w:color="auto"/>
        </w:pBdr>
        <w:rPr>
          <w:rFonts w:cs="Arial"/>
          <w:b/>
        </w:rPr>
      </w:pPr>
    </w:p>
    <w:p w14:paraId="027C87A1" w14:textId="77777777" w:rsidR="004921EB" w:rsidRDefault="004921EB" w:rsidP="003A3FBD">
      <w:pPr>
        <w:pBdr>
          <w:top w:val="single" w:sz="4" w:space="1" w:color="auto"/>
          <w:left w:val="single" w:sz="4" w:space="1" w:color="auto"/>
          <w:bottom w:val="single" w:sz="4" w:space="1" w:color="auto"/>
          <w:right w:val="single" w:sz="4" w:space="1" w:color="auto"/>
        </w:pBdr>
        <w:rPr>
          <w:rFonts w:cs="Arial"/>
        </w:rPr>
      </w:pPr>
      <w:r w:rsidRPr="004921EB">
        <w:rPr>
          <w:rFonts w:cs="Arial"/>
        </w:rPr>
        <w:t xml:space="preserve">This report sets out the proposed plan for the development of the early years funding formula for </w:t>
      </w:r>
      <w:r>
        <w:rPr>
          <w:rFonts w:cs="Arial"/>
        </w:rPr>
        <w:t xml:space="preserve">2, 3 and 4 year olds in </w:t>
      </w:r>
      <w:r w:rsidRPr="004921EB">
        <w:rPr>
          <w:rFonts w:cs="Arial"/>
        </w:rPr>
        <w:t>201</w:t>
      </w:r>
      <w:r w:rsidR="00083DE7">
        <w:rPr>
          <w:rFonts w:cs="Arial"/>
        </w:rPr>
        <w:t>9-20</w:t>
      </w:r>
      <w:r w:rsidRPr="004921EB">
        <w:rPr>
          <w:rFonts w:cs="Arial"/>
        </w:rPr>
        <w:t>.</w:t>
      </w:r>
    </w:p>
    <w:p w14:paraId="027C87A2" w14:textId="77777777" w:rsidR="004921EB" w:rsidRDefault="004921EB" w:rsidP="003A3FBD">
      <w:pPr>
        <w:pBdr>
          <w:top w:val="single" w:sz="4" w:space="1" w:color="auto"/>
          <w:left w:val="single" w:sz="4" w:space="1" w:color="auto"/>
          <w:bottom w:val="single" w:sz="4" w:space="1" w:color="auto"/>
          <w:right w:val="single" w:sz="4" w:space="1" w:color="auto"/>
        </w:pBdr>
        <w:rPr>
          <w:rFonts w:cs="Arial"/>
        </w:rPr>
      </w:pPr>
    </w:p>
    <w:p w14:paraId="027C87A3" w14:textId="77777777" w:rsidR="002438C7" w:rsidRPr="002438C7" w:rsidRDefault="00674152" w:rsidP="002438C7">
      <w:pPr>
        <w:pBdr>
          <w:top w:val="single" w:sz="4" w:space="1" w:color="auto"/>
          <w:left w:val="single" w:sz="4" w:space="1" w:color="auto"/>
          <w:bottom w:val="single" w:sz="4" w:space="1" w:color="auto"/>
          <w:right w:val="single" w:sz="4" w:space="1" w:color="auto"/>
        </w:pBdr>
        <w:rPr>
          <w:rFonts w:cs="Arial"/>
        </w:rPr>
      </w:pPr>
      <w:r>
        <w:rPr>
          <w:rFonts w:cs="Arial"/>
        </w:rPr>
        <w:t>Approving our agreed reduction in the centrally retained budgets to 5% in 20</w:t>
      </w:r>
      <w:r w:rsidR="00083DE7">
        <w:rPr>
          <w:rFonts w:cs="Arial"/>
        </w:rPr>
        <w:t>1</w:t>
      </w:r>
      <w:r>
        <w:rPr>
          <w:rFonts w:cs="Arial"/>
        </w:rPr>
        <w:t>9</w:t>
      </w:r>
      <w:r w:rsidR="00083DE7">
        <w:rPr>
          <w:rFonts w:cs="Arial"/>
        </w:rPr>
        <w:t>-20</w:t>
      </w:r>
      <w:r>
        <w:rPr>
          <w:rFonts w:cs="Arial"/>
        </w:rPr>
        <w:t xml:space="preserve"> and meeting the minimum criteria required by the ESFA.</w:t>
      </w:r>
    </w:p>
    <w:p w14:paraId="027C87A4" w14:textId="77777777" w:rsidR="002438C7" w:rsidRDefault="002438C7" w:rsidP="003A3FBD">
      <w:pPr>
        <w:pBdr>
          <w:top w:val="single" w:sz="4" w:space="1" w:color="auto"/>
          <w:left w:val="single" w:sz="4" w:space="1" w:color="auto"/>
          <w:bottom w:val="single" w:sz="4" w:space="1" w:color="auto"/>
          <w:right w:val="single" w:sz="4" w:space="1" w:color="auto"/>
        </w:pBdr>
        <w:rPr>
          <w:rFonts w:cs="Arial"/>
        </w:rPr>
      </w:pPr>
    </w:p>
    <w:p w14:paraId="027C87A5" w14:textId="77777777" w:rsidR="00B7205C" w:rsidRPr="003D556F" w:rsidRDefault="00B7205C" w:rsidP="003D556F">
      <w:pPr>
        <w:pBdr>
          <w:top w:val="single" w:sz="4" w:space="1" w:color="auto"/>
          <w:left w:val="single" w:sz="4" w:space="1" w:color="auto"/>
          <w:bottom w:val="single" w:sz="4" w:space="1" w:color="auto"/>
          <w:right w:val="single" w:sz="4" w:space="1" w:color="auto"/>
        </w:pBdr>
        <w:rPr>
          <w:rFonts w:cs="Arial"/>
          <w:b/>
        </w:rPr>
      </w:pPr>
    </w:p>
    <w:p w14:paraId="027C87A6" w14:textId="77777777" w:rsidR="003D556F" w:rsidRPr="003D556F" w:rsidRDefault="003D556F" w:rsidP="003D556F">
      <w:pPr>
        <w:rPr>
          <w:rFonts w:cs="Arial"/>
        </w:rPr>
      </w:pPr>
    </w:p>
    <w:p w14:paraId="027C87A7" w14:textId="77777777" w:rsidR="003D556F" w:rsidRPr="003D556F" w:rsidRDefault="003D556F" w:rsidP="003D556F">
      <w:pPr>
        <w:pBdr>
          <w:top w:val="single" w:sz="4" w:space="1" w:color="auto"/>
          <w:left w:val="single" w:sz="4" w:space="4" w:color="auto"/>
          <w:bottom w:val="single" w:sz="4" w:space="1" w:color="auto"/>
          <w:right w:val="single" w:sz="4" w:space="4" w:color="auto"/>
        </w:pBdr>
        <w:rPr>
          <w:rFonts w:cs="Arial"/>
          <w:b/>
        </w:rPr>
      </w:pPr>
      <w:r w:rsidRPr="003D556F">
        <w:rPr>
          <w:rFonts w:cs="Arial"/>
          <w:b/>
        </w:rPr>
        <w:t>Action required:</w:t>
      </w:r>
    </w:p>
    <w:p w14:paraId="027C87A8" w14:textId="77777777" w:rsidR="009865D2" w:rsidRDefault="003D556F" w:rsidP="003D556F">
      <w:pPr>
        <w:pBdr>
          <w:top w:val="single" w:sz="4" w:space="1" w:color="auto"/>
          <w:left w:val="single" w:sz="4" w:space="4" w:color="auto"/>
          <w:bottom w:val="single" w:sz="4" w:space="1" w:color="auto"/>
          <w:right w:val="single" w:sz="4" w:space="4" w:color="auto"/>
        </w:pBdr>
        <w:rPr>
          <w:rFonts w:cs="Arial"/>
        </w:rPr>
      </w:pPr>
      <w:r w:rsidRPr="003D556F">
        <w:rPr>
          <w:rFonts w:cs="Arial"/>
        </w:rPr>
        <w:t xml:space="preserve">Schools Forum is invited to </w:t>
      </w:r>
      <w:r w:rsidRPr="003D556F">
        <w:rPr>
          <w:rFonts w:cs="Arial"/>
          <w:b/>
        </w:rPr>
        <w:t>discuss and comment on</w:t>
      </w:r>
      <w:r w:rsidRPr="003D556F">
        <w:rPr>
          <w:rFonts w:cs="Arial"/>
        </w:rPr>
        <w:t xml:space="preserve"> any of the issues raised in the report.</w:t>
      </w:r>
    </w:p>
    <w:p w14:paraId="027C87A9" w14:textId="77777777" w:rsidR="00195E85" w:rsidRDefault="00195E85" w:rsidP="003D556F">
      <w:pPr>
        <w:pBdr>
          <w:top w:val="single" w:sz="4" w:space="1" w:color="auto"/>
          <w:left w:val="single" w:sz="4" w:space="4" w:color="auto"/>
          <w:bottom w:val="single" w:sz="4" w:space="1" w:color="auto"/>
          <w:right w:val="single" w:sz="4" w:space="4" w:color="auto"/>
        </w:pBdr>
        <w:rPr>
          <w:rFonts w:cs="Arial"/>
        </w:rPr>
      </w:pPr>
    </w:p>
    <w:p w14:paraId="027C87AA" w14:textId="77777777" w:rsidR="003A3FBD" w:rsidRPr="003A3FBD" w:rsidRDefault="003A3FBD" w:rsidP="003A3FBD">
      <w:pPr>
        <w:pBdr>
          <w:top w:val="single" w:sz="4" w:space="1" w:color="auto"/>
          <w:left w:val="single" w:sz="4" w:space="4" w:color="auto"/>
          <w:bottom w:val="single" w:sz="4" w:space="1" w:color="auto"/>
          <w:right w:val="single" w:sz="4" w:space="4" w:color="auto"/>
        </w:pBdr>
        <w:rPr>
          <w:rFonts w:cs="Arial"/>
        </w:rPr>
      </w:pPr>
      <w:r w:rsidRPr="003A3FBD">
        <w:rPr>
          <w:rFonts w:cs="Arial"/>
        </w:rPr>
        <w:t>To note the contents of the report</w:t>
      </w:r>
    </w:p>
    <w:p w14:paraId="027C87AB" w14:textId="77777777" w:rsidR="003A3FBD" w:rsidRPr="003A3FBD" w:rsidRDefault="003A3FBD" w:rsidP="003A3FBD">
      <w:pPr>
        <w:pBdr>
          <w:top w:val="single" w:sz="4" w:space="1" w:color="auto"/>
          <w:left w:val="single" w:sz="4" w:space="4" w:color="auto"/>
          <w:bottom w:val="single" w:sz="4" w:space="1" w:color="auto"/>
          <w:right w:val="single" w:sz="4" w:space="4" w:color="auto"/>
        </w:pBdr>
        <w:rPr>
          <w:rFonts w:cs="Arial"/>
        </w:rPr>
      </w:pPr>
      <w:r w:rsidRPr="003A3FBD">
        <w:rPr>
          <w:rFonts w:cs="Arial"/>
        </w:rPr>
        <w:t>To note the proposed changes in funding rates for 1</w:t>
      </w:r>
      <w:r w:rsidR="007E0B16">
        <w:rPr>
          <w:rFonts w:cs="Arial"/>
        </w:rPr>
        <w:t>9</w:t>
      </w:r>
      <w:r w:rsidR="00571953">
        <w:rPr>
          <w:rFonts w:cs="Arial"/>
        </w:rPr>
        <w:t>/</w:t>
      </w:r>
      <w:r w:rsidR="007E0B16">
        <w:rPr>
          <w:rFonts w:cs="Arial"/>
        </w:rPr>
        <w:t>20</w:t>
      </w:r>
    </w:p>
    <w:p w14:paraId="027C87AC" w14:textId="77777777" w:rsidR="003A3FBD" w:rsidRPr="003A3FBD" w:rsidRDefault="003A3FBD" w:rsidP="003A3FBD">
      <w:pPr>
        <w:pBdr>
          <w:top w:val="single" w:sz="4" w:space="1" w:color="auto"/>
          <w:left w:val="single" w:sz="4" w:space="4" w:color="auto"/>
          <w:bottom w:val="single" w:sz="4" w:space="1" w:color="auto"/>
          <w:right w:val="single" w:sz="4" w:space="4" w:color="auto"/>
        </w:pBdr>
        <w:rPr>
          <w:rFonts w:cs="Arial"/>
        </w:rPr>
      </w:pPr>
      <w:r w:rsidRPr="003A3FBD">
        <w:rPr>
          <w:rFonts w:cs="Arial"/>
        </w:rPr>
        <w:t xml:space="preserve">To </w:t>
      </w:r>
      <w:r w:rsidR="00674152">
        <w:rPr>
          <w:rFonts w:cs="Arial"/>
        </w:rPr>
        <w:t xml:space="preserve">approve </w:t>
      </w:r>
      <w:r w:rsidRPr="003A3FBD">
        <w:rPr>
          <w:rFonts w:cs="Arial"/>
        </w:rPr>
        <w:t xml:space="preserve">the Central retained Budget within the Early Years Block under Section </w:t>
      </w:r>
      <w:r>
        <w:rPr>
          <w:rFonts w:cs="Arial"/>
        </w:rPr>
        <w:t>4</w:t>
      </w:r>
    </w:p>
    <w:p w14:paraId="027C87AD" w14:textId="77777777" w:rsidR="009865D2" w:rsidRPr="003D556F" w:rsidRDefault="009865D2" w:rsidP="003D556F">
      <w:pPr>
        <w:pBdr>
          <w:top w:val="single" w:sz="4" w:space="1" w:color="auto"/>
          <w:left w:val="single" w:sz="4" w:space="4" w:color="auto"/>
          <w:bottom w:val="single" w:sz="4" w:space="1" w:color="auto"/>
          <w:right w:val="single" w:sz="4" w:space="4" w:color="auto"/>
        </w:pBdr>
        <w:rPr>
          <w:rFonts w:cs="Arial"/>
          <w:b/>
        </w:rPr>
      </w:pPr>
    </w:p>
    <w:p w14:paraId="027C87AE" w14:textId="77777777" w:rsidR="003D556F" w:rsidRDefault="003D556F" w:rsidP="00640C51">
      <w:pPr>
        <w:tabs>
          <w:tab w:val="num" w:pos="720"/>
        </w:tabs>
        <w:ind w:left="360"/>
        <w:jc w:val="both"/>
        <w:rPr>
          <w:rFonts w:cs="Arial"/>
        </w:rPr>
      </w:pPr>
    </w:p>
    <w:p w14:paraId="027C87AF" w14:textId="77777777" w:rsidR="00686243" w:rsidRDefault="00686243">
      <w:pPr>
        <w:spacing w:after="200" w:line="276" w:lineRule="auto"/>
        <w:rPr>
          <w:rFonts w:cs="Arial"/>
        </w:rPr>
      </w:pPr>
      <w:r>
        <w:rPr>
          <w:rFonts w:cs="Arial"/>
        </w:rPr>
        <w:br w:type="page"/>
      </w:r>
    </w:p>
    <w:p w14:paraId="027C87B0" w14:textId="77777777" w:rsidR="007E6E0D" w:rsidRDefault="007E6E0D" w:rsidP="007E6E0D">
      <w:pPr>
        <w:rPr>
          <w:b/>
        </w:rPr>
      </w:pPr>
    </w:p>
    <w:p w14:paraId="027C87B1" w14:textId="77777777" w:rsidR="00486F63" w:rsidRDefault="00486F63" w:rsidP="00486F63">
      <w:pPr>
        <w:pStyle w:val="ListParagraph"/>
        <w:numPr>
          <w:ilvl w:val="1"/>
          <w:numId w:val="1"/>
        </w:numPr>
        <w:tabs>
          <w:tab w:val="num" w:pos="720"/>
        </w:tabs>
        <w:spacing w:after="120"/>
        <w:ind w:left="720" w:hanging="720"/>
        <w:jc w:val="both"/>
        <w:rPr>
          <w:rFonts w:eastAsiaTheme="minorHAnsi" w:cs="Arial"/>
          <w:b/>
          <w:bCs/>
          <w:lang w:eastAsia="en-US"/>
        </w:rPr>
      </w:pPr>
      <w:r w:rsidRPr="00486F63">
        <w:rPr>
          <w:rFonts w:eastAsiaTheme="minorHAnsi" w:cs="Arial"/>
          <w:b/>
          <w:bCs/>
          <w:lang w:eastAsia="en-US"/>
        </w:rPr>
        <w:t>PURPOSE OF REPORT</w:t>
      </w:r>
    </w:p>
    <w:p w14:paraId="027C87B2" w14:textId="77777777" w:rsidR="00E45B9B" w:rsidRPr="00486F63" w:rsidRDefault="00E45B9B" w:rsidP="00E45B9B">
      <w:pPr>
        <w:pStyle w:val="ListParagraph"/>
        <w:tabs>
          <w:tab w:val="num" w:pos="792"/>
        </w:tabs>
        <w:spacing w:after="120"/>
        <w:jc w:val="both"/>
        <w:rPr>
          <w:rFonts w:eastAsiaTheme="minorHAnsi" w:cs="Arial"/>
          <w:b/>
          <w:bCs/>
          <w:lang w:eastAsia="en-US"/>
        </w:rPr>
      </w:pPr>
    </w:p>
    <w:p w14:paraId="027C87B3" w14:textId="77777777" w:rsidR="00486F63" w:rsidRDefault="00E45B9B" w:rsidP="00486F63">
      <w:pPr>
        <w:pStyle w:val="ListParagraph"/>
        <w:numPr>
          <w:ilvl w:val="1"/>
          <w:numId w:val="1"/>
        </w:numPr>
        <w:tabs>
          <w:tab w:val="num" w:pos="720"/>
        </w:tabs>
        <w:spacing w:after="120"/>
        <w:ind w:left="720" w:hanging="720"/>
        <w:jc w:val="both"/>
        <w:rPr>
          <w:rFonts w:eastAsiaTheme="minorHAnsi" w:cs="Arial"/>
          <w:lang w:eastAsia="en-US"/>
        </w:rPr>
      </w:pPr>
      <w:r w:rsidRPr="00E45B9B">
        <w:rPr>
          <w:rFonts w:eastAsiaTheme="minorHAnsi" w:cs="Arial"/>
          <w:lang w:eastAsia="en-US"/>
        </w:rPr>
        <w:t>This report sets out the previously agreed allocation of the Early Years funding for 2019</w:t>
      </w:r>
      <w:r w:rsidR="00083DE7">
        <w:rPr>
          <w:rFonts w:eastAsiaTheme="minorHAnsi" w:cs="Arial"/>
          <w:lang w:eastAsia="en-US"/>
        </w:rPr>
        <w:t>-20</w:t>
      </w:r>
      <w:r w:rsidRPr="00E45B9B">
        <w:rPr>
          <w:rFonts w:eastAsiaTheme="minorHAnsi" w:cs="Arial"/>
          <w:lang w:eastAsia="en-US"/>
        </w:rPr>
        <w:t xml:space="preserve"> and the associated funding formula for providers, as </w:t>
      </w:r>
      <w:r w:rsidR="00630ADC">
        <w:rPr>
          <w:rFonts w:eastAsiaTheme="minorHAnsi" w:cs="Arial"/>
          <w:lang w:eastAsia="en-US"/>
        </w:rPr>
        <w:t>2018-19 was the final year for the local funding formula for early years.</w:t>
      </w:r>
    </w:p>
    <w:p w14:paraId="027C87B4" w14:textId="77777777" w:rsidR="00C045CD" w:rsidRPr="005B5A0E" w:rsidRDefault="00C045CD" w:rsidP="00C045CD">
      <w:pPr>
        <w:pStyle w:val="ListParagraph"/>
        <w:tabs>
          <w:tab w:val="num" w:pos="720"/>
        </w:tabs>
        <w:ind w:left="360"/>
        <w:jc w:val="both"/>
      </w:pPr>
    </w:p>
    <w:p w14:paraId="027C87B5" w14:textId="77777777" w:rsidR="00E45B9B" w:rsidRDefault="00486F63" w:rsidP="00E45B9B">
      <w:pPr>
        <w:pStyle w:val="ListParagraph"/>
        <w:numPr>
          <w:ilvl w:val="0"/>
          <w:numId w:val="1"/>
        </w:numPr>
        <w:tabs>
          <w:tab w:val="num" w:pos="792"/>
        </w:tabs>
        <w:spacing w:after="120"/>
        <w:jc w:val="both"/>
        <w:rPr>
          <w:rFonts w:eastAsiaTheme="minorHAnsi" w:cs="Arial"/>
          <w:b/>
          <w:bCs/>
        </w:rPr>
      </w:pPr>
      <w:r>
        <w:rPr>
          <w:rFonts w:eastAsiaTheme="minorHAnsi" w:cs="Arial"/>
          <w:b/>
          <w:lang w:eastAsia="en-US"/>
        </w:rPr>
        <w:tab/>
      </w:r>
      <w:r w:rsidR="00E45B9B" w:rsidRPr="00E45B9B">
        <w:rPr>
          <w:rFonts w:eastAsiaTheme="minorHAnsi" w:cs="Arial"/>
          <w:b/>
          <w:bCs/>
        </w:rPr>
        <w:t>Background Context</w:t>
      </w:r>
    </w:p>
    <w:p w14:paraId="027C87B6" w14:textId="77777777" w:rsidR="00486F63" w:rsidRPr="00486F63" w:rsidRDefault="00486F63" w:rsidP="00486F63">
      <w:pPr>
        <w:pStyle w:val="ListParagraph"/>
        <w:spacing w:after="120"/>
        <w:ind w:left="360"/>
        <w:jc w:val="both"/>
        <w:rPr>
          <w:rFonts w:eastAsiaTheme="minorHAnsi" w:cs="Arial"/>
          <w:b/>
          <w:lang w:eastAsia="en-US"/>
        </w:rPr>
      </w:pPr>
    </w:p>
    <w:p w14:paraId="027C87B7" w14:textId="77777777" w:rsidR="00E45B9B" w:rsidRDefault="00E45B9B" w:rsidP="00E45B9B">
      <w:pPr>
        <w:pStyle w:val="ListParagraph"/>
        <w:numPr>
          <w:ilvl w:val="1"/>
          <w:numId w:val="1"/>
        </w:numPr>
        <w:tabs>
          <w:tab w:val="num" w:pos="720"/>
        </w:tabs>
        <w:ind w:left="720" w:hanging="720"/>
        <w:jc w:val="both"/>
        <w:rPr>
          <w:rFonts w:eastAsiaTheme="minorHAnsi" w:cs="Arial"/>
        </w:rPr>
      </w:pPr>
      <w:r>
        <w:rPr>
          <w:rFonts w:eastAsiaTheme="minorHAnsi" w:cs="Arial"/>
        </w:rPr>
        <w:t xml:space="preserve">Tower Hamlets council </w:t>
      </w:r>
      <w:r w:rsidRPr="00E45B9B">
        <w:rPr>
          <w:rFonts w:eastAsiaTheme="minorHAnsi" w:cs="Arial"/>
        </w:rPr>
        <w:t xml:space="preserve">was required to fund all early education providers using a new National Formula set out within guidance by the Department for Education </w:t>
      </w:r>
      <w:r w:rsidR="00630ADC">
        <w:rPr>
          <w:rFonts w:eastAsiaTheme="minorHAnsi" w:cs="Arial"/>
        </w:rPr>
        <w:t xml:space="preserve">in </w:t>
      </w:r>
      <w:r w:rsidRPr="00E45B9B">
        <w:rPr>
          <w:rFonts w:eastAsiaTheme="minorHAnsi" w:cs="Arial"/>
        </w:rPr>
        <w:t>201</w:t>
      </w:r>
      <w:r w:rsidR="00630ADC">
        <w:rPr>
          <w:rFonts w:eastAsiaTheme="minorHAnsi" w:cs="Arial"/>
        </w:rPr>
        <w:t>6/17</w:t>
      </w:r>
      <w:r w:rsidRPr="00E45B9B">
        <w:rPr>
          <w:rFonts w:eastAsiaTheme="minorHAnsi" w:cs="Arial"/>
        </w:rPr>
        <w:t xml:space="preserve"> </w:t>
      </w:r>
    </w:p>
    <w:p w14:paraId="027C87B8" w14:textId="77777777" w:rsidR="00E45B9B" w:rsidRPr="00E45B9B" w:rsidRDefault="00E45B9B" w:rsidP="00E45B9B">
      <w:pPr>
        <w:pStyle w:val="ListParagraph"/>
        <w:jc w:val="both"/>
        <w:rPr>
          <w:rFonts w:eastAsiaTheme="minorHAnsi" w:cs="Arial"/>
        </w:rPr>
      </w:pPr>
    </w:p>
    <w:p w14:paraId="027C87B9" w14:textId="77777777" w:rsidR="00E45B9B" w:rsidRDefault="00E45B9B" w:rsidP="00E45B9B">
      <w:pPr>
        <w:pStyle w:val="ListParagraph"/>
        <w:numPr>
          <w:ilvl w:val="1"/>
          <w:numId w:val="1"/>
        </w:numPr>
        <w:tabs>
          <w:tab w:val="num" w:pos="720"/>
        </w:tabs>
        <w:ind w:left="720" w:hanging="720"/>
        <w:jc w:val="both"/>
        <w:rPr>
          <w:rFonts w:eastAsiaTheme="minorHAnsi" w:cs="Arial"/>
          <w:lang w:eastAsia="en-US"/>
        </w:rPr>
      </w:pPr>
      <w:r w:rsidRPr="00E45B9B">
        <w:rPr>
          <w:rFonts w:eastAsiaTheme="minorHAnsi" w:cs="Arial"/>
          <w:lang w:eastAsia="en-US"/>
        </w:rPr>
        <w:t>Work was undertaken during 2016/17 in partnership with sector representatives and Schools Forum to develop the Early Years block budget and rates for Early Education in line with DfE guidance and local priorities.</w:t>
      </w:r>
    </w:p>
    <w:p w14:paraId="027C87BA" w14:textId="77777777" w:rsidR="00E45B9B" w:rsidRPr="00E45B9B" w:rsidRDefault="00E45B9B" w:rsidP="00E45B9B">
      <w:pPr>
        <w:pStyle w:val="ListParagraph"/>
        <w:jc w:val="both"/>
        <w:rPr>
          <w:rFonts w:eastAsiaTheme="minorHAnsi" w:cs="Arial"/>
          <w:lang w:eastAsia="en-US"/>
        </w:rPr>
      </w:pPr>
    </w:p>
    <w:p w14:paraId="027C87BB" w14:textId="77777777" w:rsidR="00E45B9B" w:rsidRDefault="00E45B9B" w:rsidP="00E45B9B">
      <w:pPr>
        <w:pStyle w:val="ListParagraph"/>
        <w:numPr>
          <w:ilvl w:val="1"/>
          <w:numId w:val="1"/>
        </w:numPr>
        <w:tabs>
          <w:tab w:val="num" w:pos="720"/>
        </w:tabs>
        <w:ind w:left="720" w:hanging="720"/>
        <w:jc w:val="both"/>
        <w:rPr>
          <w:rFonts w:eastAsiaTheme="minorHAnsi" w:cs="Arial"/>
          <w:lang w:eastAsia="en-US"/>
        </w:rPr>
      </w:pPr>
      <w:r w:rsidRPr="00E45B9B">
        <w:rPr>
          <w:rFonts w:eastAsiaTheme="minorHAnsi" w:cs="Arial"/>
          <w:lang w:eastAsia="en-US"/>
        </w:rPr>
        <w:t>The funding rates were modelled over three years in line with the information available on transitional protection arrangements.</w:t>
      </w:r>
    </w:p>
    <w:p w14:paraId="027C87BC" w14:textId="77777777" w:rsidR="00E45B9B" w:rsidRPr="00E45B9B" w:rsidRDefault="00E45B9B" w:rsidP="00E45B9B">
      <w:pPr>
        <w:pStyle w:val="ListParagraph"/>
        <w:jc w:val="both"/>
        <w:rPr>
          <w:rFonts w:eastAsiaTheme="minorHAnsi" w:cs="Arial"/>
          <w:lang w:eastAsia="en-US"/>
        </w:rPr>
      </w:pPr>
    </w:p>
    <w:p w14:paraId="027C87BD" w14:textId="77777777" w:rsidR="00E45B9B" w:rsidRDefault="00E45B9B" w:rsidP="00E45B9B">
      <w:pPr>
        <w:pStyle w:val="ListParagraph"/>
        <w:numPr>
          <w:ilvl w:val="1"/>
          <w:numId w:val="1"/>
        </w:numPr>
        <w:tabs>
          <w:tab w:val="num" w:pos="720"/>
        </w:tabs>
        <w:ind w:left="720" w:hanging="720"/>
        <w:jc w:val="both"/>
        <w:rPr>
          <w:rFonts w:eastAsiaTheme="minorHAnsi" w:cs="Arial"/>
          <w:lang w:eastAsia="en-US"/>
        </w:rPr>
      </w:pPr>
      <w:r w:rsidRPr="00E45B9B">
        <w:rPr>
          <w:rFonts w:eastAsiaTheme="minorHAnsi" w:cs="Arial"/>
          <w:lang w:eastAsia="en-US"/>
        </w:rPr>
        <w:t xml:space="preserve">There is a requirement by the DfE that all settings are funded at the </w:t>
      </w:r>
      <w:r w:rsidRPr="00630ADC">
        <w:rPr>
          <w:rFonts w:eastAsiaTheme="minorHAnsi" w:cs="Arial"/>
          <w:b/>
          <w:lang w:eastAsia="en-US"/>
        </w:rPr>
        <w:t xml:space="preserve">same rate </w:t>
      </w:r>
      <w:r w:rsidR="00630ADC" w:rsidRPr="00630ADC">
        <w:rPr>
          <w:rFonts w:eastAsiaTheme="minorHAnsi" w:cs="Arial"/>
          <w:b/>
          <w:lang w:eastAsia="en-US"/>
        </w:rPr>
        <w:t>in 2019</w:t>
      </w:r>
      <w:r w:rsidRPr="00630ADC">
        <w:rPr>
          <w:rFonts w:eastAsiaTheme="minorHAnsi" w:cs="Arial"/>
          <w:b/>
          <w:lang w:eastAsia="en-US"/>
        </w:rPr>
        <w:t>/20,</w:t>
      </w:r>
      <w:r w:rsidRPr="00E45B9B">
        <w:rPr>
          <w:rFonts w:eastAsiaTheme="minorHAnsi" w:cs="Arial"/>
          <w:lang w:eastAsia="en-US"/>
        </w:rPr>
        <w:t xml:space="preserve"> with</w:t>
      </w:r>
      <w:r w:rsidR="00630ADC">
        <w:rPr>
          <w:rFonts w:eastAsiaTheme="minorHAnsi" w:cs="Arial"/>
          <w:lang w:eastAsia="en-US"/>
        </w:rPr>
        <w:t xml:space="preserve"> continued </w:t>
      </w:r>
      <w:r w:rsidR="00630ADC" w:rsidRPr="00E45B9B">
        <w:rPr>
          <w:rFonts w:eastAsiaTheme="minorHAnsi" w:cs="Arial"/>
          <w:lang w:eastAsia="en-US"/>
        </w:rPr>
        <w:t>additional</w:t>
      </w:r>
      <w:r w:rsidRPr="00E45B9B">
        <w:rPr>
          <w:rFonts w:eastAsiaTheme="minorHAnsi" w:cs="Arial"/>
          <w:lang w:eastAsia="en-US"/>
        </w:rPr>
        <w:t xml:space="preserve"> specific protection provi</w:t>
      </w:r>
      <w:r w:rsidR="00630ADC">
        <w:rPr>
          <w:rFonts w:eastAsiaTheme="minorHAnsi" w:cs="Arial"/>
          <w:lang w:eastAsia="en-US"/>
        </w:rPr>
        <w:t>ded to maintain</w:t>
      </w:r>
      <w:r w:rsidR="00891DBB">
        <w:rPr>
          <w:rFonts w:eastAsiaTheme="minorHAnsi" w:cs="Arial"/>
          <w:lang w:eastAsia="en-US"/>
        </w:rPr>
        <w:t>ed</w:t>
      </w:r>
      <w:r w:rsidR="00630ADC">
        <w:rPr>
          <w:rFonts w:eastAsiaTheme="minorHAnsi" w:cs="Arial"/>
          <w:lang w:eastAsia="en-US"/>
        </w:rPr>
        <w:t xml:space="preserve"> nursery schools (MNS).</w:t>
      </w:r>
    </w:p>
    <w:p w14:paraId="027C87BE" w14:textId="77777777" w:rsidR="00E45B9B" w:rsidRPr="00E45B9B" w:rsidRDefault="00E45B9B" w:rsidP="00E45B9B">
      <w:pPr>
        <w:pStyle w:val="ListParagraph"/>
        <w:jc w:val="both"/>
        <w:rPr>
          <w:rFonts w:eastAsiaTheme="minorHAnsi" w:cs="Arial"/>
          <w:lang w:eastAsia="en-US"/>
        </w:rPr>
      </w:pPr>
    </w:p>
    <w:p w14:paraId="027C87BF" w14:textId="77777777" w:rsidR="00E45B9B" w:rsidRPr="00E45B9B" w:rsidRDefault="00E45B9B" w:rsidP="00E45B9B">
      <w:pPr>
        <w:pStyle w:val="ListParagraph"/>
        <w:numPr>
          <w:ilvl w:val="1"/>
          <w:numId w:val="1"/>
        </w:numPr>
        <w:tabs>
          <w:tab w:val="num" w:pos="720"/>
        </w:tabs>
        <w:ind w:left="720" w:hanging="720"/>
        <w:jc w:val="both"/>
        <w:rPr>
          <w:rFonts w:eastAsiaTheme="minorHAnsi" w:cs="Arial"/>
          <w:lang w:eastAsia="en-US"/>
        </w:rPr>
      </w:pPr>
      <w:r w:rsidRPr="00E45B9B">
        <w:rPr>
          <w:rFonts w:eastAsiaTheme="minorHAnsi" w:cs="Arial"/>
          <w:lang w:eastAsia="en-US"/>
        </w:rPr>
        <w:t>There are a number of additional requirements for LAs which are intended to ensure that funding is fairly distributed to providers. These are:-</w:t>
      </w:r>
    </w:p>
    <w:p w14:paraId="027C87C0" w14:textId="77777777" w:rsidR="00E45B9B" w:rsidRPr="00E45B9B" w:rsidRDefault="00E45B9B" w:rsidP="00B033DE">
      <w:pPr>
        <w:pStyle w:val="ListParagraph"/>
        <w:numPr>
          <w:ilvl w:val="1"/>
          <w:numId w:val="3"/>
        </w:numPr>
        <w:jc w:val="both"/>
        <w:rPr>
          <w:rFonts w:eastAsiaTheme="minorHAnsi" w:cs="Arial"/>
          <w:lang w:eastAsia="en-US"/>
        </w:rPr>
      </w:pPr>
      <w:r w:rsidRPr="00E45B9B">
        <w:rPr>
          <w:rFonts w:eastAsiaTheme="minorHAnsi" w:cs="Arial"/>
          <w:lang w:eastAsia="en-US"/>
        </w:rPr>
        <w:t>A minimum amount of funding that must be passed through to providers (</w:t>
      </w:r>
      <w:r w:rsidRPr="000F6914">
        <w:rPr>
          <w:rFonts w:eastAsiaTheme="minorHAnsi" w:cs="Arial"/>
          <w:b/>
          <w:lang w:eastAsia="en-US"/>
        </w:rPr>
        <w:t>95% from 18/19</w:t>
      </w:r>
      <w:r w:rsidRPr="00E45B9B">
        <w:rPr>
          <w:rFonts w:eastAsiaTheme="minorHAnsi" w:cs="Arial"/>
          <w:lang w:eastAsia="en-US"/>
        </w:rPr>
        <w:t>).</w:t>
      </w:r>
    </w:p>
    <w:p w14:paraId="027C87C1" w14:textId="77777777" w:rsidR="00E45B9B" w:rsidRPr="00E45B9B" w:rsidRDefault="00E45B9B" w:rsidP="00B033DE">
      <w:pPr>
        <w:pStyle w:val="ListParagraph"/>
        <w:numPr>
          <w:ilvl w:val="1"/>
          <w:numId w:val="3"/>
        </w:numPr>
        <w:jc w:val="both"/>
        <w:rPr>
          <w:rFonts w:eastAsiaTheme="minorHAnsi" w:cs="Arial"/>
          <w:lang w:eastAsia="en-US"/>
        </w:rPr>
      </w:pPr>
      <w:r w:rsidRPr="00E45B9B">
        <w:rPr>
          <w:rFonts w:eastAsiaTheme="minorHAnsi" w:cs="Arial"/>
          <w:lang w:eastAsia="en-US"/>
        </w:rPr>
        <w:t>A universal base rate for all types of provider to be set by LAs by 2019/20 at the latest.</w:t>
      </w:r>
    </w:p>
    <w:p w14:paraId="027C87C2" w14:textId="77777777" w:rsidR="00E45B9B" w:rsidRPr="00E45B9B" w:rsidRDefault="00E45B9B" w:rsidP="00B033DE">
      <w:pPr>
        <w:pStyle w:val="ListParagraph"/>
        <w:numPr>
          <w:ilvl w:val="1"/>
          <w:numId w:val="3"/>
        </w:numPr>
        <w:jc w:val="both"/>
        <w:rPr>
          <w:rFonts w:eastAsiaTheme="minorHAnsi" w:cs="Arial"/>
          <w:lang w:eastAsia="en-US"/>
        </w:rPr>
      </w:pPr>
      <w:r w:rsidRPr="00E45B9B">
        <w:rPr>
          <w:rFonts w:eastAsiaTheme="minorHAnsi" w:cs="Arial"/>
          <w:lang w:eastAsia="en-US"/>
        </w:rPr>
        <w:t>Supplementary funding for Maintained Nursery Schools</w:t>
      </w:r>
      <w:r w:rsidR="00050200">
        <w:rPr>
          <w:rFonts w:eastAsiaTheme="minorHAnsi" w:cs="Arial"/>
          <w:lang w:eastAsia="en-US"/>
        </w:rPr>
        <w:t xml:space="preserve"> (MNS)</w:t>
      </w:r>
      <w:r w:rsidRPr="00E45B9B">
        <w:rPr>
          <w:rFonts w:eastAsiaTheme="minorHAnsi" w:cs="Arial"/>
          <w:lang w:eastAsia="en-US"/>
        </w:rPr>
        <w:t>.</w:t>
      </w:r>
    </w:p>
    <w:p w14:paraId="027C87C3" w14:textId="77777777" w:rsidR="00E45B9B" w:rsidRDefault="00E45B9B" w:rsidP="00B033DE">
      <w:pPr>
        <w:pStyle w:val="ListParagraph"/>
        <w:numPr>
          <w:ilvl w:val="1"/>
          <w:numId w:val="3"/>
        </w:numPr>
        <w:jc w:val="both"/>
        <w:rPr>
          <w:rFonts w:eastAsiaTheme="minorHAnsi" w:cs="Arial"/>
          <w:lang w:eastAsia="en-US"/>
        </w:rPr>
      </w:pPr>
      <w:r w:rsidRPr="00E45B9B">
        <w:rPr>
          <w:rFonts w:eastAsiaTheme="minorHAnsi" w:cs="Arial"/>
          <w:lang w:eastAsia="en-US"/>
        </w:rPr>
        <w:t>Reforms to mandatory and discretionary supplements LAs are able to use with a maximum 10% cap on the amount of funding that can be used.</w:t>
      </w:r>
    </w:p>
    <w:p w14:paraId="027C87C4" w14:textId="77777777" w:rsidR="00E45B9B" w:rsidRPr="00E45B9B" w:rsidRDefault="00E45B9B" w:rsidP="00B033DE">
      <w:pPr>
        <w:pStyle w:val="ListParagraph"/>
        <w:numPr>
          <w:ilvl w:val="1"/>
          <w:numId w:val="3"/>
        </w:numPr>
        <w:jc w:val="both"/>
        <w:rPr>
          <w:rFonts w:eastAsiaTheme="minorHAnsi" w:cs="Arial"/>
          <w:lang w:eastAsia="en-US"/>
        </w:rPr>
      </w:pPr>
      <w:r w:rsidRPr="00E45B9B">
        <w:rPr>
          <w:rFonts w:eastAsiaTheme="minorHAnsi" w:cs="Arial"/>
          <w:lang w:eastAsia="en-US"/>
        </w:rPr>
        <w:t>The introduction of a Disability Access Fund linked to children that access Disability Living Allowance.</w:t>
      </w:r>
      <w:r w:rsidR="00486F63" w:rsidRPr="00E45B9B">
        <w:rPr>
          <w:rFonts w:eastAsiaTheme="minorHAnsi" w:cs="Arial"/>
          <w:lang w:eastAsia="en-US"/>
        </w:rPr>
        <w:t xml:space="preserve"> </w:t>
      </w:r>
    </w:p>
    <w:p w14:paraId="027C87C5" w14:textId="77777777" w:rsidR="00E45B9B" w:rsidRDefault="00E45B9B" w:rsidP="00B033DE">
      <w:pPr>
        <w:pStyle w:val="ListParagraph"/>
        <w:numPr>
          <w:ilvl w:val="1"/>
          <w:numId w:val="3"/>
        </w:numPr>
        <w:jc w:val="both"/>
        <w:rPr>
          <w:rFonts w:eastAsiaTheme="minorHAnsi" w:cs="Arial"/>
        </w:rPr>
      </w:pPr>
      <w:r w:rsidRPr="00E45B9B">
        <w:rPr>
          <w:rFonts w:eastAsiaTheme="minorHAnsi" w:cs="Arial"/>
        </w:rPr>
        <w:t xml:space="preserve">A requirement for LAs to </w:t>
      </w:r>
      <w:r w:rsidR="00050200">
        <w:rPr>
          <w:rFonts w:eastAsiaTheme="minorHAnsi" w:cs="Arial"/>
        </w:rPr>
        <w:t>establish a SEND inclusion fund</w:t>
      </w:r>
      <w:r w:rsidR="00FF1236">
        <w:rPr>
          <w:rFonts w:eastAsiaTheme="minorHAnsi" w:cs="Arial"/>
        </w:rPr>
        <w:t xml:space="preserve"> for children birth to five</w:t>
      </w:r>
      <w:r w:rsidR="00050200">
        <w:rPr>
          <w:rFonts w:eastAsiaTheme="minorHAnsi" w:cs="Arial"/>
        </w:rPr>
        <w:t>(part of the hourly rate now )</w:t>
      </w:r>
    </w:p>
    <w:p w14:paraId="027C87C6" w14:textId="77777777" w:rsidR="00E45B9B" w:rsidRPr="00E45B9B" w:rsidRDefault="00E45B9B" w:rsidP="00E45B9B">
      <w:pPr>
        <w:pStyle w:val="ListParagraph"/>
        <w:ind w:left="1440"/>
        <w:jc w:val="both"/>
        <w:rPr>
          <w:rFonts w:eastAsiaTheme="minorHAnsi" w:cs="Arial"/>
        </w:rPr>
      </w:pPr>
    </w:p>
    <w:p w14:paraId="027C87C7" w14:textId="77777777" w:rsidR="00486F63" w:rsidRPr="00BC3E39" w:rsidRDefault="00E45B9B" w:rsidP="00486F63">
      <w:pPr>
        <w:pStyle w:val="ListParagraph"/>
        <w:numPr>
          <w:ilvl w:val="1"/>
          <w:numId w:val="1"/>
        </w:numPr>
        <w:tabs>
          <w:tab w:val="num" w:pos="720"/>
        </w:tabs>
        <w:spacing w:after="120"/>
        <w:ind w:left="720" w:hanging="720"/>
        <w:jc w:val="both"/>
        <w:rPr>
          <w:rFonts w:eastAsiaTheme="minorHAnsi" w:cs="Arial"/>
          <w:lang w:eastAsia="en-US"/>
        </w:rPr>
      </w:pPr>
      <w:r w:rsidRPr="00E45B9B">
        <w:rPr>
          <w:rFonts w:eastAsiaTheme="minorHAnsi" w:cs="Arial"/>
          <w:lang w:eastAsia="en-US"/>
        </w:rPr>
        <w:t>This paper outlines the annual review undertaken and recommendations for the allocation of the Early Years funding block for 20</w:t>
      </w:r>
      <w:r w:rsidR="0058668B">
        <w:rPr>
          <w:rFonts w:eastAsiaTheme="minorHAnsi" w:cs="Arial"/>
          <w:lang w:eastAsia="en-US"/>
        </w:rPr>
        <w:t>1</w:t>
      </w:r>
      <w:r w:rsidRPr="00E45B9B">
        <w:rPr>
          <w:rFonts w:eastAsiaTheme="minorHAnsi" w:cs="Arial"/>
          <w:lang w:eastAsia="en-US"/>
        </w:rPr>
        <w:t>9</w:t>
      </w:r>
      <w:r w:rsidR="0058668B">
        <w:rPr>
          <w:rFonts w:eastAsiaTheme="minorHAnsi" w:cs="Arial"/>
          <w:lang w:eastAsia="en-US"/>
        </w:rPr>
        <w:t>-20</w:t>
      </w:r>
    </w:p>
    <w:p w14:paraId="027C87C8" w14:textId="77777777" w:rsidR="00BC5571" w:rsidRPr="00486F63" w:rsidRDefault="00BC5571" w:rsidP="005E5F4E">
      <w:pPr>
        <w:pStyle w:val="ListParagraph"/>
        <w:tabs>
          <w:tab w:val="num" w:pos="792"/>
        </w:tabs>
        <w:spacing w:after="120"/>
        <w:jc w:val="both"/>
        <w:rPr>
          <w:rFonts w:eastAsiaTheme="minorHAnsi" w:cs="Arial"/>
          <w:lang w:eastAsia="en-US"/>
        </w:rPr>
      </w:pPr>
      <w:r>
        <w:rPr>
          <w:rFonts w:eastAsiaTheme="minorHAnsi" w:cs="Arial"/>
          <w:lang w:eastAsia="en-US"/>
        </w:rPr>
        <w:tab/>
      </w:r>
      <w:r>
        <w:rPr>
          <w:rFonts w:eastAsiaTheme="minorHAnsi" w:cs="Arial"/>
          <w:lang w:eastAsia="en-US"/>
        </w:rPr>
        <w:tab/>
      </w:r>
    </w:p>
    <w:p w14:paraId="027C87C9" w14:textId="77777777" w:rsidR="00B7205C" w:rsidRPr="00B7205C" w:rsidRDefault="00B7205C" w:rsidP="00B7205C">
      <w:pPr>
        <w:pStyle w:val="ListParagraph"/>
        <w:numPr>
          <w:ilvl w:val="0"/>
          <w:numId w:val="1"/>
        </w:numPr>
        <w:rPr>
          <w:rFonts w:eastAsiaTheme="minorHAnsi" w:cs="Arial"/>
          <w:b/>
          <w:lang w:eastAsia="en-US"/>
        </w:rPr>
      </w:pPr>
      <w:r w:rsidRPr="00B7205C">
        <w:rPr>
          <w:rFonts w:eastAsiaTheme="minorHAnsi" w:cs="Arial"/>
          <w:b/>
          <w:lang w:eastAsia="en-US"/>
        </w:rPr>
        <w:t>Tower Hamlets overall 20</w:t>
      </w:r>
      <w:r w:rsidR="0058668B">
        <w:rPr>
          <w:rFonts w:eastAsiaTheme="minorHAnsi" w:cs="Arial"/>
          <w:b/>
          <w:lang w:eastAsia="en-US"/>
        </w:rPr>
        <w:t>1</w:t>
      </w:r>
      <w:r w:rsidRPr="00B7205C">
        <w:rPr>
          <w:rFonts w:eastAsiaTheme="minorHAnsi" w:cs="Arial"/>
          <w:b/>
          <w:lang w:eastAsia="en-US"/>
        </w:rPr>
        <w:t>9</w:t>
      </w:r>
      <w:r w:rsidR="0058668B">
        <w:rPr>
          <w:rFonts w:eastAsiaTheme="minorHAnsi" w:cs="Arial"/>
          <w:b/>
          <w:lang w:eastAsia="en-US"/>
        </w:rPr>
        <w:t>-20</w:t>
      </w:r>
      <w:r w:rsidRPr="00B7205C">
        <w:rPr>
          <w:rFonts w:eastAsiaTheme="minorHAnsi" w:cs="Arial"/>
          <w:b/>
          <w:lang w:eastAsia="en-US"/>
        </w:rPr>
        <w:t xml:space="preserve"> Early Years block allocation</w:t>
      </w:r>
    </w:p>
    <w:p w14:paraId="027C87CA" w14:textId="77777777" w:rsidR="00B7205C" w:rsidRPr="00F62438" w:rsidRDefault="00B7205C" w:rsidP="00B7205C">
      <w:pPr>
        <w:pStyle w:val="ListParagraph"/>
        <w:ind w:left="360"/>
        <w:rPr>
          <w:rFonts w:eastAsiaTheme="minorHAnsi" w:cs="Arial"/>
          <w:lang w:eastAsia="en-US"/>
        </w:rPr>
      </w:pPr>
      <w:r w:rsidRPr="00F62438">
        <w:rPr>
          <w:rFonts w:eastAsiaTheme="minorHAnsi" w:cs="Arial"/>
          <w:lang w:eastAsia="en-US"/>
        </w:rPr>
        <w:t>The Council has now received its initial 2019</w:t>
      </w:r>
      <w:r w:rsidR="0058668B">
        <w:rPr>
          <w:rFonts w:eastAsiaTheme="minorHAnsi" w:cs="Arial"/>
          <w:lang w:eastAsia="en-US"/>
        </w:rPr>
        <w:t>-20</w:t>
      </w:r>
      <w:r w:rsidRPr="00F62438">
        <w:rPr>
          <w:rFonts w:eastAsiaTheme="minorHAnsi" w:cs="Arial"/>
          <w:lang w:eastAsia="en-US"/>
        </w:rPr>
        <w:t xml:space="preserve"> Early Years block allocation announced on the </w:t>
      </w:r>
      <w:r w:rsidR="00C2469E">
        <w:rPr>
          <w:rFonts w:eastAsiaTheme="minorHAnsi" w:cs="Arial"/>
          <w:lang w:eastAsia="en-US"/>
        </w:rPr>
        <w:t>17th</w:t>
      </w:r>
      <w:r w:rsidRPr="00F62438">
        <w:rPr>
          <w:rFonts w:eastAsiaTheme="minorHAnsi" w:cs="Arial"/>
          <w:lang w:eastAsia="en-US"/>
        </w:rPr>
        <w:t xml:space="preserve"> December 201</w:t>
      </w:r>
      <w:r w:rsidR="0058668B">
        <w:rPr>
          <w:rFonts w:eastAsiaTheme="minorHAnsi" w:cs="Arial"/>
          <w:lang w:eastAsia="en-US"/>
        </w:rPr>
        <w:t>8</w:t>
      </w:r>
      <w:r w:rsidRPr="00F62438">
        <w:rPr>
          <w:rFonts w:eastAsiaTheme="minorHAnsi" w:cs="Arial"/>
          <w:lang w:eastAsia="en-US"/>
        </w:rPr>
        <w:t xml:space="preserve"> alongside a ‘Technical Note’ and the ‘DSG Conditions of Grant’.</w:t>
      </w:r>
      <w:r w:rsidR="00F62438">
        <w:rPr>
          <w:rFonts w:eastAsiaTheme="minorHAnsi" w:cs="Arial"/>
          <w:lang w:eastAsia="en-US"/>
        </w:rPr>
        <w:t xml:space="preserve"> </w:t>
      </w:r>
      <w:r w:rsidRPr="00F62438">
        <w:rPr>
          <w:rFonts w:eastAsiaTheme="minorHAnsi" w:cs="Arial"/>
          <w:lang w:eastAsia="en-US"/>
        </w:rPr>
        <w:t>The key elements of the operational and technical guidance issued is summarised below:</w:t>
      </w:r>
    </w:p>
    <w:p w14:paraId="027C87CB" w14:textId="77777777" w:rsidR="00F94AD2" w:rsidRDefault="00F94AD2" w:rsidP="00B7205C">
      <w:pPr>
        <w:pStyle w:val="ListParagraph"/>
        <w:ind w:left="360"/>
        <w:rPr>
          <w:rFonts w:eastAsiaTheme="minorHAnsi" w:cs="Arial"/>
          <w:b/>
          <w:lang w:eastAsia="en-US"/>
        </w:rPr>
      </w:pPr>
    </w:p>
    <w:p w14:paraId="027C87CC" w14:textId="77777777" w:rsidR="00BC3E39" w:rsidRDefault="00B7205C" w:rsidP="00B7205C">
      <w:pPr>
        <w:pStyle w:val="ListParagraph"/>
        <w:ind w:left="360"/>
        <w:rPr>
          <w:rFonts w:eastAsiaTheme="minorHAnsi" w:cs="Arial"/>
          <w:lang w:eastAsia="en-US"/>
        </w:rPr>
      </w:pPr>
      <w:r w:rsidRPr="00F62438">
        <w:rPr>
          <w:rFonts w:eastAsiaTheme="minorHAnsi" w:cs="Arial"/>
          <w:b/>
          <w:lang w:eastAsia="en-US"/>
        </w:rPr>
        <w:lastRenderedPageBreak/>
        <w:t>Table 1</w:t>
      </w:r>
      <w:r w:rsidRPr="00F62438">
        <w:rPr>
          <w:rFonts w:eastAsiaTheme="minorHAnsi" w:cs="Arial"/>
          <w:lang w:eastAsia="en-US"/>
        </w:rPr>
        <w:t>; shows the Allocation announced for 201</w:t>
      </w:r>
      <w:r w:rsidR="0058668B">
        <w:rPr>
          <w:rFonts w:eastAsiaTheme="minorHAnsi" w:cs="Arial"/>
          <w:lang w:eastAsia="en-US"/>
        </w:rPr>
        <w:t>9-20</w:t>
      </w:r>
      <w:r w:rsidRPr="00F62438">
        <w:rPr>
          <w:rFonts w:eastAsiaTheme="minorHAnsi" w:cs="Arial"/>
          <w:lang w:eastAsia="en-US"/>
        </w:rPr>
        <w:t xml:space="preserve"> against the 201</w:t>
      </w:r>
      <w:r w:rsidR="0058668B">
        <w:rPr>
          <w:rFonts w:eastAsiaTheme="minorHAnsi" w:cs="Arial"/>
          <w:lang w:eastAsia="en-US"/>
        </w:rPr>
        <w:t>8-19</w:t>
      </w:r>
      <w:r w:rsidRPr="00F62438">
        <w:rPr>
          <w:rFonts w:eastAsiaTheme="minorHAnsi" w:cs="Arial"/>
          <w:lang w:eastAsia="en-US"/>
        </w:rPr>
        <w:t>.</w:t>
      </w:r>
    </w:p>
    <w:p w14:paraId="027C87CD" w14:textId="77777777" w:rsidR="00FF1236" w:rsidRDefault="00FF1236" w:rsidP="00B7205C">
      <w:pPr>
        <w:pStyle w:val="ListParagraph"/>
        <w:ind w:left="360"/>
        <w:rPr>
          <w:rFonts w:eastAsiaTheme="minorHAnsi" w:cs="Arial"/>
          <w:lang w:eastAsia="en-US"/>
        </w:rPr>
      </w:pPr>
      <w:r>
        <w:rPr>
          <w:rFonts w:eastAsiaTheme="minorHAnsi" w:cs="Arial"/>
          <w:b/>
          <w:lang w:eastAsia="en-US"/>
        </w:rPr>
        <w:t>Note</w:t>
      </w:r>
      <w:r w:rsidRPr="00A54C0B">
        <w:rPr>
          <w:rFonts w:eastAsiaTheme="minorHAnsi" w:cs="Arial"/>
          <w:lang w:eastAsia="en-US"/>
        </w:rPr>
        <w:t>:</w:t>
      </w:r>
      <w:r>
        <w:rPr>
          <w:rFonts w:eastAsiaTheme="minorHAnsi" w:cs="Arial"/>
          <w:lang w:eastAsia="en-US"/>
        </w:rPr>
        <w:t xml:space="preserve"> the place funding in the first three rows (universal 3 and 4yo; additional 15 hours, 2yo entitlement) must be passed in full to settings.  The role of the council is to ensure that these funds are passed direct to settings in full.  EYPP, D</w:t>
      </w:r>
      <w:r w:rsidR="00DA1AA3">
        <w:rPr>
          <w:rFonts w:eastAsiaTheme="minorHAnsi" w:cs="Arial"/>
          <w:lang w:eastAsia="en-US"/>
        </w:rPr>
        <w:t>AF</w:t>
      </w:r>
      <w:r>
        <w:rPr>
          <w:rFonts w:eastAsiaTheme="minorHAnsi" w:cs="Arial"/>
          <w:lang w:eastAsia="en-US"/>
        </w:rPr>
        <w:t xml:space="preserve"> and the nursery school supplementary funding are passed direct and in full to participating settings.</w:t>
      </w:r>
    </w:p>
    <w:p w14:paraId="027C87CE" w14:textId="77777777" w:rsidR="00FF1236" w:rsidRDefault="00FF1236" w:rsidP="00B7205C">
      <w:pPr>
        <w:pStyle w:val="ListParagraph"/>
        <w:ind w:left="360"/>
        <w:rPr>
          <w:rFonts w:eastAsiaTheme="minorHAnsi" w:cs="Arial"/>
          <w:lang w:eastAsia="en-US"/>
        </w:rPr>
      </w:pPr>
    </w:p>
    <w:p w14:paraId="027C87CF" w14:textId="77777777" w:rsidR="00DA1AA3" w:rsidRDefault="00FF1236" w:rsidP="00B7205C">
      <w:pPr>
        <w:pStyle w:val="ListParagraph"/>
        <w:ind w:left="360"/>
        <w:rPr>
          <w:rFonts w:eastAsiaTheme="minorHAnsi" w:cs="Arial"/>
          <w:lang w:eastAsia="en-US"/>
        </w:rPr>
      </w:pPr>
      <w:r>
        <w:rPr>
          <w:rFonts w:eastAsiaTheme="minorHAnsi" w:cs="Arial"/>
          <w:lang w:eastAsia="en-US"/>
        </w:rPr>
        <w:t>The retained funding contributes to the fulfilment of statutory duties (</w:t>
      </w:r>
      <w:r w:rsidR="00DA1AA3">
        <w:rPr>
          <w:rFonts w:eastAsiaTheme="minorHAnsi" w:cs="Arial"/>
          <w:lang w:eastAsia="en-US"/>
        </w:rPr>
        <w:t xml:space="preserve">QA of early learning funding streams, validation of </w:t>
      </w:r>
      <w:r>
        <w:rPr>
          <w:rFonts w:eastAsiaTheme="minorHAnsi" w:cs="Arial"/>
          <w:lang w:eastAsia="en-US"/>
        </w:rPr>
        <w:t xml:space="preserve">EYFSP </w:t>
      </w:r>
      <w:r w:rsidR="00DA1AA3">
        <w:rPr>
          <w:rFonts w:eastAsiaTheme="minorHAnsi" w:cs="Arial"/>
          <w:lang w:eastAsia="en-US"/>
        </w:rPr>
        <w:t xml:space="preserve">data through </w:t>
      </w:r>
      <w:r>
        <w:rPr>
          <w:rFonts w:eastAsiaTheme="minorHAnsi" w:cs="Arial"/>
          <w:lang w:eastAsia="en-US"/>
        </w:rPr>
        <w:t xml:space="preserve">moderation, </w:t>
      </w:r>
      <w:r w:rsidR="00DA1AA3">
        <w:rPr>
          <w:rFonts w:eastAsiaTheme="minorHAnsi" w:cs="Arial"/>
          <w:lang w:eastAsia="en-US"/>
        </w:rPr>
        <w:t xml:space="preserve">early identification of </w:t>
      </w:r>
      <w:r>
        <w:rPr>
          <w:rFonts w:eastAsiaTheme="minorHAnsi" w:cs="Arial"/>
          <w:lang w:eastAsia="en-US"/>
        </w:rPr>
        <w:t xml:space="preserve">inclusion and SEND </w:t>
      </w:r>
      <w:r w:rsidR="00DA1AA3">
        <w:rPr>
          <w:rFonts w:eastAsiaTheme="minorHAnsi" w:cs="Arial"/>
          <w:lang w:eastAsia="en-US"/>
        </w:rPr>
        <w:t>needs</w:t>
      </w:r>
      <w:r>
        <w:rPr>
          <w:rFonts w:eastAsiaTheme="minorHAnsi" w:cs="Arial"/>
          <w:lang w:eastAsia="en-US"/>
        </w:rPr>
        <w:t xml:space="preserve"> birth to three, childcare quality) of the council.</w:t>
      </w:r>
      <w:r w:rsidR="00DA1AA3">
        <w:rPr>
          <w:rFonts w:eastAsiaTheme="minorHAnsi" w:cs="Arial"/>
          <w:lang w:eastAsia="en-US"/>
        </w:rPr>
        <w:t xml:space="preserve">  The full </w:t>
      </w:r>
      <w:r w:rsidR="004B195D">
        <w:rPr>
          <w:rFonts w:eastAsiaTheme="minorHAnsi" w:cs="Arial"/>
          <w:lang w:eastAsia="en-US"/>
        </w:rPr>
        <w:t>costs of these services are</w:t>
      </w:r>
      <w:r w:rsidR="00DA1AA3">
        <w:rPr>
          <w:rFonts w:eastAsiaTheme="minorHAnsi" w:cs="Arial"/>
          <w:lang w:eastAsia="en-US"/>
        </w:rPr>
        <w:t xml:space="preserve"> much greater th</w:t>
      </w:r>
      <w:r w:rsidR="00B82D09">
        <w:rPr>
          <w:rFonts w:eastAsiaTheme="minorHAnsi" w:cs="Arial"/>
          <w:lang w:eastAsia="en-US"/>
        </w:rPr>
        <w:t xml:space="preserve">an the retained budget below. </w:t>
      </w:r>
      <w:r w:rsidR="00DA1AA3">
        <w:rPr>
          <w:rFonts w:eastAsiaTheme="minorHAnsi" w:cs="Arial"/>
          <w:lang w:eastAsia="en-US"/>
        </w:rPr>
        <w:t>The retained budget supports the school aspects of the statutory duties.</w:t>
      </w:r>
    </w:p>
    <w:p w14:paraId="027C87D0" w14:textId="77777777" w:rsidR="00F62438" w:rsidRDefault="00F62438" w:rsidP="00B7205C">
      <w:pPr>
        <w:pStyle w:val="ListParagraph"/>
        <w:ind w:left="360"/>
        <w:rPr>
          <w:rFonts w:eastAsiaTheme="minorHAnsi" w:cs="Arial"/>
          <w:lang w:eastAsia="en-US"/>
        </w:rPr>
      </w:pPr>
    </w:p>
    <w:p w14:paraId="027C87D1" w14:textId="77777777" w:rsidR="00F62438" w:rsidRPr="00F62438" w:rsidRDefault="00F62438" w:rsidP="00B7205C">
      <w:pPr>
        <w:pStyle w:val="ListParagraph"/>
        <w:ind w:left="360"/>
        <w:rPr>
          <w:rFonts w:eastAsiaTheme="minorHAnsi" w:cs="Arial"/>
          <w:lang w:eastAsia="en-US"/>
        </w:rPr>
      </w:pPr>
      <w:r>
        <w:rPr>
          <w:rFonts w:eastAsiaTheme="minorHAnsi" w:cs="Arial"/>
          <w:lang w:eastAsia="en-US"/>
        </w:rPr>
        <w:tab/>
      </w:r>
      <w:r w:rsidR="00F94AD2" w:rsidRPr="00F94AD2">
        <w:rPr>
          <w:rFonts w:eastAsiaTheme="minorHAnsi"/>
          <w:noProof/>
        </w:rPr>
        <w:drawing>
          <wp:inline distT="0" distB="0" distL="0" distR="0" wp14:anchorId="027C88BB" wp14:editId="3AD76424">
            <wp:extent cx="5158740" cy="3459480"/>
            <wp:effectExtent l="0" t="0" r="3810" b="762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8740" cy="3459480"/>
                    </a:xfrm>
                    <a:prstGeom prst="rect">
                      <a:avLst/>
                    </a:prstGeom>
                    <a:noFill/>
                    <a:ln>
                      <a:noFill/>
                    </a:ln>
                  </pic:spPr>
                </pic:pic>
              </a:graphicData>
            </a:graphic>
          </wp:inline>
        </w:drawing>
      </w:r>
    </w:p>
    <w:p w14:paraId="027C87D2" w14:textId="77777777" w:rsidR="00BC5571" w:rsidRPr="00F62438" w:rsidRDefault="00BC5571" w:rsidP="00BC5571">
      <w:pPr>
        <w:ind w:left="360"/>
        <w:rPr>
          <w:rFonts w:eastAsiaTheme="minorHAnsi" w:cs="Arial"/>
          <w:lang w:eastAsia="en-US"/>
        </w:rPr>
      </w:pPr>
    </w:p>
    <w:p w14:paraId="027C87D3" w14:textId="77777777" w:rsidR="00674152" w:rsidRDefault="00F62438" w:rsidP="00674152">
      <w:pPr>
        <w:pStyle w:val="ListParagraph"/>
        <w:numPr>
          <w:ilvl w:val="1"/>
          <w:numId w:val="1"/>
        </w:numPr>
        <w:tabs>
          <w:tab w:val="num" w:pos="720"/>
        </w:tabs>
        <w:spacing w:after="120"/>
        <w:ind w:left="720" w:hanging="720"/>
        <w:jc w:val="both"/>
        <w:rPr>
          <w:rFonts w:eastAsiaTheme="minorHAnsi" w:cs="Arial"/>
          <w:lang w:eastAsia="en-US"/>
        </w:rPr>
      </w:pPr>
      <w:r w:rsidRPr="00431E95">
        <w:rPr>
          <w:rFonts w:eastAsiaTheme="minorHAnsi" w:cs="Arial"/>
          <w:lang w:eastAsia="en-US"/>
        </w:rPr>
        <w:t xml:space="preserve">The </w:t>
      </w:r>
      <w:r w:rsidR="00674152">
        <w:rPr>
          <w:rFonts w:eastAsiaTheme="minorHAnsi" w:cs="Arial"/>
          <w:lang w:eastAsia="en-US"/>
        </w:rPr>
        <w:t>funding rates for 201</w:t>
      </w:r>
      <w:r w:rsidR="001A5280">
        <w:rPr>
          <w:rFonts w:eastAsiaTheme="minorHAnsi" w:cs="Arial"/>
          <w:lang w:eastAsia="en-US"/>
        </w:rPr>
        <w:t xml:space="preserve">9-20 </w:t>
      </w:r>
      <w:r w:rsidR="00674152">
        <w:rPr>
          <w:rFonts w:eastAsiaTheme="minorHAnsi" w:cs="Arial"/>
          <w:lang w:eastAsia="en-US"/>
        </w:rPr>
        <w:t xml:space="preserve">is now </w:t>
      </w:r>
      <w:r w:rsidR="00674152" w:rsidRPr="00674152">
        <w:rPr>
          <w:rFonts w:eastAsiaTheme="minorHAnsi" w:cs="Arial"/>
          <w:b/>
          <w:lang w:eastAsia="en-US"/>
        </w:rPr>
        <w:t>£8.0</w:t>
      </w:r>
      <w:r w:rsidR="001A5280">
        <w:rPr>
          <w:rFonts w:eastAsiaTheme="minorHAnsi" w:cs="Arial"/>
          <w:b/>
          <w:lang w:eastAsia="en-US"/>
        </w:rPr>
        <w:t>6</w:t>
      </w:r>
      <w:r w:rsidR="001A5280">
        <w:rPr>
          <w:rFonts w:eastAsiaTheme="minorHAnsi" w:cs="Arial"/>
          <w:lang w:eastAsia="en-US"/>
        </w:rPr>
        <w:t>, this has reduce</w:t>
      </w:r>
      <w:r w:rsidR="00DA1AA3">
        <w:rPr>
          <w:rFonts w:eastAsiaTheme="minorHAnsi" w:cs="Arial"/>
          <w:lang w:eastAsia="en-US"/>
        </w:rPr>
        <w:t>d</w:t>
      </w:r>
      <w:r w:rsidR="001A5280">
        <w:rPr>
          <w:rFonts w:eastAsiaTheme="minorHAnsi" w:cs="Arial"/>
          <w:lang w:eastAsia="en-US"/>
        </w:rPr>
        <w:t xml:space="preserve"> from 2018-19 </w:t>
      </w:r>
      <w:r w:rsidR="00674152">
        <w:rPr>
          <w:rFonts w:eastAsiaTheme="minorHAnsi" w:cs="Arial"/>
          <w:lang w:eastAsia="en-US"/>
        </w:rPr>
        <w:t>figure of £8.</w:t>
      </w:r>
      <w:r w:rsidR="00572D3D">
        <w:rPr>
          <w:rFonts w:eastAsiaTheme="minorHAnsi" w:cs="Arial"/>
          <w:lang w:eastAsia="en-US"/>
        </w:rPr>
        <w:t xml:space="preserve">08 per hour for all </w:t>
      </w:r>
      <w:r w:rsidR="00674152">
        <w:rPr>
          <w:rFonts w:eastAsiaTheme="minorHAnsi" w:cs="Arial"/>
          <w:lang w:eastAsia="en-US"/>
        </w:rPr>
        <w:t>the 3/ 4 year old pupils.</w:t>
      </w:r>
    </w:p>
    <w:p w14:paraId="027C87D4" w14:textId="77777777" w:rsidR="00940C78" w:rsidRPr="00431E95" w:rsidRDefault="00674152" w:rsidP="00431E95">
      <w:pPr>
        <w:pStyle w:val="ListParagraph"/>
        <w:spacing w:after="120"/>
        <w:jc w:val="both"/>
        <w:rPr>
          <w:rFonts w:eastAsiaTheme="minorHAnsi" w:cs="Arial"/>
          <w:lang w:eastAsia="en-US"/>
        </w:rPr>
      </w:pPr>
      <w:r w:rsidRPr="00674152">
        <w:rPr>
          <w:rFonts w:eastAsiaTheme="minorHAnsi" w:cs="Arial"/>
          <w:lang w:eastAsia="en-US"/>
        </w:rPr>
        <w:t xml:space="preserve"> </w:t>
      </w:r>
    </w:p>
    <w:p w14:paraId="027C87D5" w14:textId="77777777" w:rsidR="00486F63" w:rsidRPr="00940C78" w:rsidRDefault="00431E95" w:rsidP="00940C78">
      <w:pPr>
        <w:pStyle w:val="ListParagraph"/>
        <w:numPr>
          <w:ilvl w:val="1"/>
          <w:numId w:val="1"/>
        </w:numPr>
        <w:tabs>
          <w:tab w:val="num" w:pos="720"/>
        </w:tabs>
        <w:spacing w:after="120"/>
        <w:ind w:left="720" w:hanging="720"/>
        <w:jc w:val="both"/>
        <w:rPr>
          <w:rFonts w:eastAsiaTheme="minorHAnsi" w:cs="Arial"/>
          <w:b/>
          <w:lang w:eastAsia="en-US"/>
        </w:rPr>
      </w:pPr>
      <w:r>
        <w:rPr>
          <w:rFonts w:eastAsiaTheme="minorHAnsi" w:cs="Arial"/>
          <w:lang w:eastAsia="en-US"/>
        </w:rPr>
        <w:t xml:space="preserve">The allocation for the </w:t>
      </w:r>
      <w:r w:rsidR="00940C78" w:rsidRPr="00940C78">
        <w:rPr>
          <w:rFonts w:eastAsiaTheme="minorHAnsi" w:cs="Arial"/>
          <w:lang w:eastAsia="en-US"/>
        </w:rPr>
        <w:t>Maintained Nursery School (MNS) supplementary funding</w:t>
      </w:r>
      <w:r w:rsidR="00443D68">
        <w:rPr>
          <w:rFonts w:eastAsiaTheme="minorHAnsi" w:cs="Arial"/>
          <w:b/>
          <w:lang w:eastAsia="en-US"/>
        </w:rPr>
        <w:t xml:space="preserve"> </w:t>
      </w:r>
      <w:r w:rsidR="00F94AD2">
        <w:rPr>
          <w:rFonts w:eastAsiaTheme="minorHAnsi" w:cs="Arial"/>
          <w:b/>
          <w:lang w:eastAsia="en-US"/>
        </w:rPr>
        <w:t>is £0.566m</w:t>
      </w:r>
    </w:p>
    <w:p w14:paraId="027C87D6" w14:textId="77777777" w:rsidR="00566DB9" w:rsidRDefault="00566DB9" w:rsidP="00566DB9">
      <w:pPr>
        <w:pStyle w:val="ListParagraph"/>
        <w:tabs>
          <w:tab w:val="num" w:pos="792"/>
        </w:tabs>
        <w:spacing w:after="120"/>
        <w:jc w:val="both"/>
        <w:rPr>
          <w:rFonts w:eastAsiaTheme="minorHAnsi" w:cs="Arial"/>
          <w:lang w:eastAsia="en-US"/>
        </w:rPr>
      </w:pPr>
    </w:p>
    <w:p w14:paraId="027C87D7" w14:textId="77777777" w:rsidR="00566DB9" w:rsidRDefault="00566DB9" w:rsidP="007454EE">
      <w:pPr>
        <w:pStyle w:val="ListParagraph"/>
        <w:tabs>
          <w:tab w:val="num" w:pos="792"/>
        </w:tabs>
        <w:spacing w:after="120"/>
        <w:jc w:val="both"/>
        <w:rPr>
          <w:rFonts w:eastAsiaTheme="minorHAnsi" w:cs="Arial"/>
          <w:b/>
          <w:bCs/>
          <w:lang w:eastAsia="en-US"/>
        </w:rPr>
      </w:pPr>
      <w:r w:rsidRPr="00566DB9">
        <w:rPr>
          <w:rFonts w:eastAsiaTheme="minorHAnsi" w:cs="Arial"/>
          <w:b/>
          <w:bCs/>
          <w:lang w:eastAsia="en-US"/>
        </w:rPr>
        <w:t xml:space="preserve">Funding for </w:t>
      </w:r>
      <w:proofErr w:type="gramStart"/>
      <w:r w:rsidRPr="00566DB9">
        <w:rPr>
          <w:rFonts w:eastAsiaTheme="minorHAnsi" w:cs="Arial"/>
          <w:b/>
          <w:bCs/>
          <w:lang w:eastAsia="en-US"/>
        </w:rPr>
        <w:t>Two year</w:t>
      </w:r>
      <w:proofErr w:type="gramEnd"/>
      <w:r w:rsidRPr="00566DB9">
        <w:rPr>
          <w:rFonts w:eastAsiaTheme="minorHAnsi" w:cs="Arial"/>
          <w:b/>
          <w:bCs/>
          <w:lang w:eastAsia="en-US"/>
        </w:rPr>
        <w:t xml:space="preserve"> olds (2YO).</w:t>
      </w:r>
    </w:p>
    <w:p w14:paraId="027C87D8" w14:textId="77777777" w:rsidR="007454EE" w:rsidRDefault="007454EE" w:rsidP="007454EE">
      <w:pPr>
        <w:pStyle w:val="ListParagraph"/>
        <w:tabs>
          <w:tab w:val="num" w:pos="792"/>
        </w:tabs>
        <w:spacing w:after="120"/>
        <w:jc w:val="both"/>
        <w:rPr>
          <w:rFonts w:eastAsiaTheme="minorHAnsi" w:cs="Arial"/>
          <w:b/>
          <w:bCs/>
          <w:lang w:eastAsia="en-US"/>
        </w:rPr>
      </w:pPr>
    </w:p>
    <w:p w14:paraId="027C87D9" w14:textId="77777777" w:rsidR="002E616D" w:rsidRPr="007454EE" w:rsidRDefault="00CF620C" w:rsidP="007454EE">
      <w:pPr>
        <w:pStyle w:val="ListParagraph"/>
        <w:numPr>
          <w:ilvl w:val="1"/>
          <w:numId w:val="1"/>
        </w:numPr>
        <w:tabs>
          <w:tab w:val="num" w:pos="720"/>
        </w:tabs>
        <w:spacing w:after="120"/>
        <w:ind w:left="720" w:hanging="720"/>
        <w:jc w:val="both"/>
        <w:rPr>
          <w:rFonts w:eastAsiaTheme="minorHAnsi" w:cs="Arial"/>
          <w:b/>
          <w:bCs/>
          <w:lang w:eastAsia="en-US"/>
        </w:rPr>
      </w:pPr>
      <w:r w:rsidRPr="007454EE">
        <w:rPr>
          <w:rFonts w:eastAsiaTheme="minorHAnsi" w:cs="Arial"/>
          <w:lang w:eastAsia="en-US"/>
        </w:rPr>
        <w:t>The 201</w:t>
      </w:r>
      <w:r w:rsidR="000F6914" w:rsidRPr="007454EE">
        <w:rPr>
          <w:rFonts w:eastAsiaTheme="minorHAnsi" w:cs="Arial"/>
          <w:lang w:eastAsia="en-US"/>
        </w:rPr>
        <w:t>8</w:t>
      </w:r>
      <w:r w:rsidRPr="007454EE">
        <w:rPr>
          <w:rFonts w:eastAsiaTheme="minorHAnsi" w:cs="Arial"/>
          <w:lang w:eastAsia="en-US"/>
        </w:rPr>
        <w:t>/1</w:t>
      </w:r>
      <w:r w:rsidR="000F6914" w:rsidRPr="007454EE">
        <w:rPr>
          <w:rFonts w:eastAsiaTheme="minorHAnsi" w:cs="Arial"/>
          <w:lang w:eastAsia="en-US"/>
        </w:rPr>
        <w:t>9</w:t>
      </w:r>
      <w:r w:rsidRPr="007454EE">
        <w:rPr>
          <w:rFonts w:eastAsiaTheme="minorHAnsi" w:cs="Arial"/>
          <w:lang w:eastAsia="en-US"/>
        </w:rPr>
        <w:t xml:space="preserve"> rate has </w:t>
      </w:r>
      <w:r w:rsidR="00BF52D6" w:rsidRPr="007454EE">
        <w:rPr>
          <w:rFonts w:eastAsiaTheme="minorHAnsi" w:cs="Arial"/>
          <w:lang w:eastAsia="en-US"/>
        </w:rPr>
        <w:t xml:space="preserve">now been confirmed by the DfE, at </w:t>
      </w:r>
      <w:r w:rsidR="00BF52D6" w:rsidRPr="0080222D">
        <w:rPr>
          <w:rFonts w:eastAsiaTheme="minorHAnsi" w:cs="Arial"/>
          <w:b/>
          <w:lang w:eastAsia="en-US"/>
        </w:rPr>
        <w:t>£6.50</w:t>
      </w:r>
      <w:r w:rsidR="00BF52D6" w:rsidRPr="007454EE">
        <w:rPr>
          <w:rFonts w:eastAsiaTheme="minorHAnsi" w:cs="Arial"/>
          <w:lang w:eastAsia="en-US"/>
        </w:rPr>
        <w:t xml:space="preserve"> </w:t>
      </w:r>
      <w:r w:rsidR="000F6914" w:rsidRPr="007454EE">
        <w:rPr>
          <w:rFonts w:eastAsiaTheme="minorHAnsi" w:cs="Arial"/>
          <w:lang w:eastAsia="en-US"/>
        </w:rPr>
        <w:t xml:space="preserve">per hour, with an estimated </w:t>
      </w:r>
      <w:r w:rsidR="00F94AD2">
        <w:rPr>
          <w:rFonts w:eastAsiaTheme="minorHAnsi" w:cs="Arial"/>
          <w:lang w:eastAsia="en-US"/>
        </w:rPr>
        <w:t>867</w:t>
      </w:r>
      <w:r w:rsidR="00026F13" w:rsidRPr="007454EE">
        <w:rPr>
          <w:rFonts w:eastAsiaTheme="minorHAnsi" w:cs="Arial"/>
          <w:lang w:eastAsia="en-US"/>
        </w:rPr>
        <w:t xml:space="preserve"> Part time equivalent (PTE) 3 and 4 year old child numbers for universal entitlement funding for 2018/19.</w:t>
      </w:r>
    </w:p>
    <w:p w14:paraId="027C87DA" w14:textId="77777777" w:rsidR="000F6914" w:rsidRDefault="000F6914" w:rsidP="000F6914">
      <w:pPr>
        <w:pStyle w:val="ListParagraph"/>
        <w:tabs>
          <w:tab w:val="num" w:pos="792"/>
        </w:tabs>
        <w:spacing w:after="120"/>
        <w:jc w:val="both"/>
        <w:rPr>
          <w:rFonts w:eastAsiaTheme="minorHAnsi" w:cs="Arial"/>
          <w:lang w:eastAsia="en-US"/>
        </w:rPr>
      </w:pPr>
    </w:p>
    <w:p w14:paraId="027C87DB" w14:textId="77777777" w:rsidR="00AC29D6" w:rsidRDefault="00AC29D6" w:rsidP="000F6914">
      <w:pPr>
        <w:pStyle w:val="ListParagraph"/>
        <w:tabs>
          <w:tab w:val="num" w:pos="792"/>
        </w:tabs>
        <w:spacing w:after="120"/>
        <w:jc w:val="both"/>
        <w:rPr>
          <w:rFonts w:eastAsiaTheme="minorHAnsi" w:cs="Arial"/>
          <w:lang w:eastAsia="en-US"/>
        </w:rPr>
      </w:pPr>
    </w:p>
    <w:p w14:paraId="027C87DC" w14:textId="77777777" w:rsidR="00AC29D6" w:rsidRPr="000F6914" w:rsidRDefault="00AC29D6" w:rsidP="000F6914">
      <w:pPr>
        <w:pStyle w:val="ListParagraph"/>
        <w:tabs>
          <w:tab w:val="num" w:pos="792"/>
        </w:tabs>
        <w:spacing w:after="120"/>
        <w:jc w:val="both"/>
        <w:rPr>
          <w:rFonts w:eastAsiaTheme="minorHAnsi" w:cs="Arial"/>
          <w:lang w:eastAsia="en-US"/>
        </w:rPr>
      </w:pPr>
    </w:p>
    <w:p w14:paraId="027C87DD" w14:textId="77777777" w:rsidR="0062262A" w:rsidRPr="0062262A" w:rsidRDefault="002E616D" w:rsidP="007454EE">
      <w:pPr>
        <w:pStyle w:val="ListParagraph"/>
        <w:tabs>
          <w:tab w:val="num" w:pos="792"/>
        </w:tabs>
        <w:spacing w:after="120"/>
        <w:jc w:val="both"/>
        <w:rPr>
          <w:rFonts w:eastAsiaTheme="minorHAnsi" w:cs="Arial"/>
          <w:lang w:eastAsia="en-US"/>
        </w:rPr>
      </w:pPr>
      <w:r w:rsidRPr="002E616D">
        <w:rPr>
          <w:rFonts w:eastAsiaTheme="minorHAnsi" w:cs="Arial"/>
          <w:b/>
          <w:bCs/>
          <w:lang w:eastAsia="en-US"/>
        </w:rPr>
        <w:lastRenderedPageBreak/>
        <w:t>Early Years Pupil Premium. (EYPP)</w:t>
      </w:r>
    </w:p>
    <w:p w14:paraId="027C87DE" w14:textId="77777777" w:rsidR="0062262A" w:rsidRPr="0062262A" w:rsidRDefault="0062262A" w:rsidP="0062262A">
      <w:pPr>
        <w:pStyle w:val="ListParagraph"/>
        <w:rPr>
          <w:rFonts w:eastAsiaTheme="minorHAnsi" w:cs="Arial"/>
          <w:lang w:eastAsia="en-US"/>
        </w:rPr>
      </w:pPr>
    </w:p>
    <w:p w14:paraId="027C87DF" w14:textId="77777777" w:rsidR="002E616D" w:rsidRPr="002E616D" w:rsidRDefault="002E616D" w:rsidP="002E616D">
      <w:pPr>
        <w:pStyle w:val="ListParagraph"/>
        <w:numPr>
          <w:ilvl w:val="1"/>
          <w:numId w:val="1"/>
        </w:numPr>
        <w:tabs>
          <w:tab w:val="num" w:pos="720"/>
        </w:tabs>
        <w:spacing w:after="120"/>
        <w:ind w:left="720" w:hanging="720"/>
        <w:jc w:val="both"/>
        <w:rPr>
          <w:rFonts w:eastAsiaTheme="minorHAnsi" w:cs="Arial"/>
          <w:lang w:eastAsia="en-US"/>
        </w:rPr>
      </w:pPr>
      <w:r w:rsidRPr="002E616D">
        <w:rPr>
          <w:rFonts w:eastAsiaTheme="minorHAnsi" w:cs="Arial"/>
          <w:lang w:eastAsia="en-US"/>
        </w:rPr>
        <w:t>The EYPP remains a separate funding stream. It continues to be paid into the</w:t>
      </w:r>
    </w:p>
    <w:p w14:paraId="027C87E0" w14:textId="77777777" w:rsidR="002E616D" w:rsidRDefault="002E616D" w:rsidP="002E616D">
      <w:pPr>
        <w:pStyle w:val="ListParagraph"/>
        <w:tabs>
          <w:tab w:val="num" w:pos="792"/>
        </w:tabs>
        <w:spacing w:after="120"/>
        <w:ind w:left="792"/>
        <w:jc w:val="both"/>
        <w:rPr>
          <w:rFonts w:eastAsiaTheme="minorHAnsi" w:cs="Arial"/>
          <w:lang w:eastAsia="en-US"/>
        </w:rPr>
      </w:pPr>
      <w:r w:rsidRPr="002E616D">
        <w:rPr>
          <w:rFonts w:eastAsiaTheme="minorHAnsi" w:cs="Arial"/>
          <w:lang w:eastAsia="en-US"/>
        </w:rPr>
        <w:t>DSG and there are no funding changes fr</w:t>
      </w:r>
      <w:r w:rsidR="00026F13">
        <w:rPr>
          <w:rFonts w:eastAsiaTheme="minorHAnsi" w:cs="Arial"/>
          <w:lang w:eastAsia="en-US"/>
        </w:rPr>
        <w:t>o</w:t>
      </w:r>
      <w:r w:rsidR="000F6914">
        <w:rPr>
          <w:rFonts w:eastAsiaTheme="minorHAnsi" w:cs="Arial"/>
          <w:lang w:eastAsia="en-US"/>
        </w:rPr>
        <w:t>m</w:t>
      </w:r>
      <w:r w:rsidRPr="002E616D">
        <w:rPr>
          <w:rFonts w:eastAsiaTheme="minorHAnsi" w:cs="Arial"/>
          <w:lang w:eastAsia="en-US"/>
        </w:rPr>
        <w:t xml:space="preserve"> 2018</w:t>
      </w:r>
      <w:r w:rsidR="00F94AD2">
        <w:rPr>
          <w:rFonts w:eastAsiaTheme="minorHAnsi" w:cs="Arial"/>
          <w:lang w:eastAsia="en-US"/>
        </w:rPr>
        <w:t>-19</w:t>
      </w:r>
      <w:r w:rsidRPr="002E616D">
        <w:rPr>
          <w:rFonts w:eastAsiaTheme="minorHAnsi" w:cs="Arial"/>
          <w:lang w:eastAsia="en-US"/>
        </w:rPr>
        <w:t xml:space="preserve">. The allocation </w:t>
      </w:r>
      <w:r w:rsidR="000F6914">
        <w:rPr>
          <w:rFonts w:eastAsiaTheme="minorHAnsi" w:cs="Arial"/>
          <w:lang w:eastAsia="en-US"/>
        </w:rPr>
        <w:t>of funding for the EYPP for 2019</w:t>
      </w:r>
      <w:r w:rsidR="00F94AD2">
        <w:rPr>
          <w:rFonts w:eastAsiaTheme="minorHAnsi" w:cs="Arial"/>
          <w:lang w:eastAsia="en-US"/>
        </w:rPr>
        <w:t>-20</w:t>
      </w:r>
      <w:r w:rsidRPr="002E616D">
        <w:rPr>
          <w:rFonts w:eastAsiaTheme="minorHAnsi" w:cs="Arial"/>
          <w:lang w:eastAsia="en-US"/>
        </w:rPr>
        <w:t xml:space="preserve"> is </w:t>
      </w:r>
      <w:r w:rsidRPr="0080222D">
        <w:rPr>
          <w:rFonts w:eastAsiaTheme="minorHAnsi" w:cs="Arial"/>
          <w:b/>
          <w:lang w:eastAsia="en-US"/>
        </w:rPr>
        <w:t>£</w:t>
      </w:r>
      <w:r w:rsidR="00F94AD2" w:rsidRPr="0080222D">
        <w:rPr>
          <w:rFonts w:eastAsiaTheme="minorHAnsi" w:cs="Arial"/>
          <w:b/>
          <w:lang w:eastAsia="en-US"/>
        </w:rPr>
        <w:t>0.298m</w:t>
      </w:r>
      <w:r w:rsidRPr="002E616D">
        <w:rPr>
          <w:rFonts w:eastAsiaTheme="minorHAnsi" w:cs="Arial"/>
          <w:lang w:eastAsia="en-US"/>
        </w:rPr>
        <w:t>. This equates to 53p hour.</w:t>
      </w:r>
    </w:p>
    <w:p w14:paraId="027C87E1" w14:textId="77777777" w:rsidR="007454EE" w:rsidRDefault="007454EE" w:rsidP="002E616D">
      <w:pPr>
        <w:pStyle w:val="ListParagraph"/>
        <w:tabs>
          <w:tab w:val="num" w:pos="792"/>
        </w:tabs>
        <w:spacing w:after="120"/>
        <w:ind w:left="792"/>
        <w:jc w:val="both"/>
        <w:rPr>
          <w:rFonts w:eastAsiaTheme="minorHAnsi" w:cs="Arial"/>
          <w:lang w:eastAsia="en-US"/>
        </w:rPr>
      </w:pPr>
    </w:p>
    <w:p w14:paraId="027C87E2" w14:textId="77777777" w:rsidR="002E616D" w:rsidRPr="002E616D" w:rsidRDefault="002E616D" w:rsidP="007454EE">
      <w:pPr>
        <w:pStyle w:val="ListParagraph"/>
        <w:tabs>
          <w:tab w:val="num" w:pos="792"/>
        </w:tabs>
        <w:spacing w:after="120"/>
        <w:jc w:val="both"/>
        <w:rPr>
          <w:rFonts w:eastAsiaTheme="minorHAnsi" w:cs="Arial"/>
          <w:lang w:eastAsia="en-US"/>
        </w:rPr>
      </w:pPr>
      <w:r w:rsidRPr="002E616D">
        <w:rPr>
          <w:rFonts w:ascii="TrebuchetMS,Bold" w:eastAsiaTheme="minorHAnsi" w:hAnsi="TrebuchetMS,Bold" w:cs="TrebuchetMS,Bold"/>
          <w:b/>
          <w:bCs/>
          <w:lang w:eastAsia="en-US"/>
        </w:rPr>
        <w:t>Disability Access Fund (DAF)</w:t>
      </w:r>
    </w:p>
    <w:p w14:paraId="027C87E3" w14:textId="77777777" w:rsidR="002E616D" w:rsidRPr="002E616D" w:rsidRDefault="002E616D" w:rsidP="002E616D">
      <w:pPr>
        <w:pStyle w:val="ListParagraph"/>
        <w:tabs>
          <w:tab w:val="num" w:pos="792"/>
        </w:tabs>
        <w:spacing w:after="120"/>
        <w:jc w:val="both"/>
        <w:rPr>
          <w:rFonts w:eastAsiaTheme="minorHAnsi" w:cs="Arial"/>
          <w:lang w:eastAsia="en-US"/>
        </w:rPr>
      </w:pPr>
    </w:p>
    <w:p w14:paraId="027C87E4" w14:textId="77777777" w:rsidR="008C0296" w:rsidRPr="00DA1AA3" w:rsidRDefault="008C0296" w:rsidP="00A54C0B">
      <w:pPr>
        <w:pStyle w:val="ListParagraph"/>
        <w:numPr>
          <w:ilvl w:val="1"/>
          <w:numId w:val="1"/>
        </w:numPr>
        <w:tabs>
          <w:tab w:val="num" w:pos="720"/>
        </w:tabs>
        <w:spacing w:after="120"/>
        <w:ind w:left="720" w:hanging="720"/>
        <w:rPr>
          <w:rFonts w:ascii="TrebuchetMS" w:eastAsiaTheme="minorHAnsi" w:hAnsi="TrebuchetMS" w:cs="TrebuchetMS"/>
          <w:lang w:eastAsia="en-US"/>
        </w:rPr>
      </w:pPr>
      <w:r w:rsidRPr="00146147">
        <w:rPr>
          <w:rFonts w:ascii="TrebuchetMS" w:eastAsiaTheme="minorHAnsi" w:hAnsi="TrebuchetMS" w:cs="TrebuchetMS"/>
          <w:lang w:eastAsia="en-US"/>
        </w:rPr>
        <w:t>The national rate for DAF is £615 per eligible child per year.</w:t>
      </w:r>
      <w:r w:rsidR="00DA1AA3" w:rsidRPr="00146147">
        <w:rPr>
          <w:rFonts w:ascii="TrebuchetMS" w:eastAsiaTheme="minorHAnsi" w:hAnsi="TrebuchetMS" w:cs="TrebuchetMS"/>
          <w:lang w:eastAsia="en-US"/>
        </w:rPr>
        <w:t xml:space="preserve">  </w:t>
      </w:r>
      <w:r w:rsidRPr="00146147">
        <w:rPr>
          <w:rFonts w:ascii="TrebuchetMS" w:eastAsiaTheme="minorHAnsi" w:hAnsi="TrebuchetMS" w:cs="TrebuchetMS"/>
          <w:lang w:eastAsia="en-US"/>
        </w:rPr>
        <w:t>The funding allocation for 2019</w:t>
      </w:r>
      <w:r w:rsidR="00F94AD2" w:rsidRPr="00146147">
        <w:rPr>
          <w:rFonts w:ascii="TrebuchetMS" w:eastAsiaTheme="minorHAnsi" w:hAnsi="TrebuchetMS" w:cs="TrebuchetMS"/>
          <w:lang w:eastAsia="en-US"/>
        </w:rPr>
        <w:t>-20</w:t>
      </w:r>
      <w:r w:rsidRPr="00146147">
        <w:rPr>
          <w:rFonts w:ascii="TrebuchetMS" w:eastAsiaTheme="minorHAnsi" w:hAnsi="TrebuchetMS" w:cs="TrebuchetMS"/>
          <w:lang w:eastAsia="en-US"/>
        </w:rPr>
        <w:t xml:space="preserve"> will be an illustrative allocation based on an estimate of the number of three and four year olds who are not in Reception that are claiming the Disability Living Allowance (DLA).</w:t>
      </w:r>
      <w:r w:rsidR="00DA1AA3" w:rsidRPr="00DA1AA3">
        <w:rPr>
          <w:rFonts w:ascii="TrebuchetMS" w:eastAsiaTheme="minorHAnsi" w:hAnsi="TrebuchetMS" w:cs="TrebuchetMS"/>
          <w:lang w:eastAsia="en-US"/>
        </w:rPr>
        <w:t xml:space="preserve">   </w:t>
      </w:r>
      <w:r w:rsidRPr="00DA1AA3">
        <w:rPr>
          <w:rFonts w:ascii="TrebuchetMS" w:eastAsiaTheme="minorHAnsi" w:hAnsi="TrebuchetMS" w:cs="TrebuchetMS"/>
          <w:lang w:eastAsia="en-US"/>
        </w:rPr>
        <w:t>For each local authority, their total February 201</w:t>
      </w:r>
      <w:r w:rsidR="00F94AD2" w:rsidRPr="00DA1AA3">
        <w:rPr>
          <w:rFonts w:ascii="TrebuchetMS" w:eastAsiaTheme="minorHAnsi" w:hAnsi="TrebuchetMS" w:cs="TrebuchetMS"/>
          <w:lang w:eastAsia="en-US"/>
        </w:rPr>
        <w:t>8</w:t>
      </w:r>
      <w:r w:rsidRPr="00DA1AA3">
        <w:rPr>
          <w:rFonts w:ascii="TrebuchetMS" w:eastAsiaTheme="minorHAnsi" w:hAnsi="TrebuchetMS" w:cs="TrebuchetMS"/>
          <w:lang w:eastAsia="en-US"/>
        </w:rPr>
        <w:t xml:space="preserve"> DLA claimant count of three and four year old children, using data from the Department for Work and Pensions (DWP), will be adjusted to remove an estimated number of children in reception. This will give an estimate of the number of three and four year olds eligible to take up DAF in the local authority area.</w:t>
      </w:r>
    </w:p>
    <w:p w14:paraId="027C87E5" w14:textId="77777777" w:rsidR="002E616D" w:rsidRPr="002E616D" w:rsidRDefault="002E616D" w:rsidP="002E616D">
      <w:pPr>
        <w:pStyle w:val="ListParagraph"/>
        <w:tabs>
          <w:tab w:val="num" w:pos="792"/>
        </w:tabs>
        <w:spacing w:after="120"/>
        <w:jc w:val="both"/>
        <w:rPr>
          <w:rFonts w:eastAsiaTheme="minorHAnsi" w:cs="Arial"/>
          <w:lang w:eastAsia="en-US"/>
        </w:rPr>
      </w:pPr>
    </w:p>
    <w:p w14:paraId="027C87E6" w14:textId="77777777" w:rsidR="00C2469E" w:rsidRPr="00C2469E" w:rsidRDefault="0062262A" w:rsidP="00C2469E">
      <w:pPr>
        <w:pStyle w:val="ListParagraph"/>
        <w:tabs>
          <w:tab w:val="num" w:pos="792"/>
        </w:tabs>
        <w:spacing w:after="120"/>
        <w:jc w:val="both"/>
        <w:rPr>
          <w:rFonts w:eastAsiaTheme="minorHAnsi" w:cs="Arial"/>
          <w:lang w:eastAsia="en-US"/>
        </w:rPr>
      </w:pPr>
      <w:r>
        <w:rPr>
          <w:rFonts w:ascii="TrebuchetMS,Bold" w:eastAsiaTheme="minorHAnsi" w:hAnsi="TrebuchetMS,Bold" w:cs="TrebuchetMS,Bold"/>
          <w:b/>
          <w:bCs/>
          <w:lang w:eastAsia="en-US"/>
        </w:rPr>
        <w:t>SEND Inclusion Fund</w:t>
      </w:r>
    </w:p>
    <w:p w14:paraId="027C87E7" w14:textId="77777777" w:rsidR="00933A1C" w:rsidRDefault="00C2469E" w:rsidP="00C2469E">
      <w:pPr>
        <w:pStyle w:val="ListParagraph"/>
        <w:numPr>
          <w:ilvl w:val="1"/>
          <w:numId w:val="1"/>
        </w:numPr>
        <w:tabs>
          <w:tab w:val="num" w:pos="720"/>
        </w:tabs>
        <w:spacing w:after="120"/>
        <w:ind w:left="720" w:hanging="720"/>
        <w:jc w:val="both"/>
        <w:rPr>
          <w:rFonts w:eastAsiaTheme="minorHAnsi" w:cs="Arial"/>
          <w:lang w:eastAsia="en-US"/>
        </w:rPr>
      </w:pPr>
      <w:r w:rsidRPr="00C2469E">
        <w:rPr>
          <w:rFonts w:eastAsiaTheme="minorHAnsi" w:cs="Arial"/>
          <w:lang w:eastAsia="en-US"/>
        </w:rPr>
        <w:t xml:space="preserve">Outside of the limits on central retention, the DFE </w:t>
      </w:r>
      <w:r>
        <w:rPr>
          <w:rFonts w:eastAsiaTheme="minorHAnsi" w:cs="Arial"/>
          <w:lang w:eastAsia="en-US"/>
        </w:rPr>
        <w:t>will</w:t>
      </w:r>
      <w:r w:rsidRPr="00C2469E">
        <w:rPr>
          <w:rFonts w:eastAsiaTheme="minorHAnsi" w:cs="Arial"/>
          <w:lang w:eastAsia="en-US"/>
        </w:rPr>
        <w:t xml:space="preserve"> require all local authorities to hold a centrally managed SEN Inclusion Fund to provide additional funding to providers to improve outcomes for 3 and 4 year old children with special educational needs and disabilities using funding </w:t>
      </w:r>
      <w:r w:rsidR="004B195D" w:rsidRPr="00C2469E">
        <w:rPr>
          <w:rFonts w:eastAsiaTheme="minorHAnsi" w:cs="Arial"/>
          <w:lang w:eastAsia="en-US"/>
        </w:rPr>
        <w:t>from Early</w:t>
      </w:r>
      <w:r w:rsidRPr="00C2469E">
        <w:rPr>
          <w:rFonts w:eastAsiaTheme="minorHAnsi" w:cs="Arial"/>
          <w:lang w:eastAsia="en-US"/>
        </w:rPr>
        <w:t xml:space="preserve"> Years block.</w:t>
      </w:r>
    </w:p>
    <w:p w14:paraId="027C87E8" w14:textId="77777777" w:rsidR="00C2469E" w:rsidRDefault="00C2469E" w:rsidP="00C2469E">
      <w:pPr>
        <w:pStyle w:val="ListParagraph"/>
        <w:tabs>
          <w:tab w:val="num" w:pos="792"/>
        </w:tabs>
        <w:spacing w:after="120"/>
        <w:jc w:val="both"/>
        <w:rPr>
          <w:rFonts w:eastAsiaTheme="minorHAnsi" w:cs="Arial"/>
          <w:lang w:eastAsia="en-US"/>
        </w:rPr>
      </w:pPr>
    </w:p>
    <w:p w14:paraId="027C87E9" w14:textId="77777777" w:rsidR="00C2469E" w:rsidRPr="00C2469E" w:rsidRDefault="00C2469E" w:rsidP="00C2469E">
      <w:pPr>
        <w:pStyle w:val="ListParagraph"/>
        <w:numPr>
          <w:ilvl w:val="1"/>
          <w:numId w:val="1"/>
        </w:numPr>
        <w:tabs>
          <w:tab w:val="num" w:pos="720"/>
        </w:tabs>
        <w:spacing w:after="120"/>
        <w:ind w:left="720" w:hanging="720"/>
        <w:jc w:val="both"/>
        <w:rPr>
          <w:rFonts w:eastAsiaTheme="minorHAnsi" w:cs="Arial"/>
          <w:lang w:eastAsia="en-US"/>
        </w:rPr>
      </w:pPr>
      <w:r w:rsidRPr="00C2469E">
        <w:rPr>
          <w:rFonts w:eastAsiaTheme="minorHAnsi" w:cs="Arial"/>
          <w:lang w:eastAsia="en-US"/>
        </w:rPr>
        <w:t xml:space="preserve">The methodology for the inclusion fund is based on an hour rate of </w:t>
      </w:r>
      <w:r w:rsidRPr="004B195D">
        <w:rPr>
          <w:rFonts w:eastAsiaTheme="minorHAnsi" w:cs="Arial"/>
          <w:b/>
          <w:lang w:eastAsia="en-US"/>
        </w:rPr>
        <w:t>£0.20</w:t>
      </w:r>
      <w:r w:rsidRPr="00C2469E">
        <w:rPr>
          <w:rFonts w:eastAsiaTheme="minorHAnsi" w:cs="Arial"/>
          <w:lang w:eastAsia="en-US"/>
        </w:rPr>
        <w:t xml:space="preserve"> </w:t>
      </w:r>
      <w:r w:rsidRPr="004B195D">
        <w:rPr>
          <w:rFonts w:eastAsiaTheme="minorHAnsi" w:cs="Arial"/>
          <w:b/>
          <w:lang w:eastAsia="en-US"/>
        </w:rPr>
        <w:t>per hour</w:t>
      </w:r>
      <w:r w:rsidRPr="00C2469E">
        <w:rPr>
          <w:rFonts w:eastAsiaTheme="minorHAnsi" w:cs="Arial"/>
          <w:lang w:eastAsia="en-US"/>
        </w:rPr>
        <w:t xml:space="preserve">, using the 3 and 4 years old pupil data his would equate to around </w:t>
      </w:r>
      <w:r w:rsidRPr="00C2469E">
        <w:rPr>
          <w:rFonts w:eastAsiaTheme="minorHAnsi" w:cs="Arial"/>
          <w:b/>
          <w:lang w:eastAsia="en-US"/>
        </w:rPr>
        <w:t>£595k</w:t>
      </w:r>
      <w:r w:rsidRPr="00C2469E">
        <w:rPr>
          <w:rFonts w:eastAsiaTheme="minorHAnsi" w:cs="Arial"/>
          <w:lang w:eastAsia="en-US"/>
        </w:rPr>
        <w:t xml:space="preserve"> for the SEN inclusion fund</w:t>
      </w:r>
    </w:p>
    <w:p w14:paraId="027C87EA" w14:textId="77777777" w:rsidR="00C2469E" w:rsidRPr="00C2469E" w:rsidRDefault="00C2469E" w:rsidP="00C2469E">
      <w:pPr>
        <w:pStyle w:val="ListParagraph"/>
        <w:spacing w:after="120"/>
        <w:ind w:left="360"/>
        <w:jc w:val="both"/>
        <w:rPr>
          <w:rFonts w:eastAsiaTheme="minorHAnsi" w:cs="Arial"/>
          <w:lang w:eastAsia="en-US"/>
        </w:rPr>
      </w:pPr>
    </w:p>
    <w:p w14:paraId="027C87EB" w14:textId="77777777" w:rsidR="008C0296" w:rsidRPr="00681282" w:rsidRDefault="00933A1C" w:rsidP="00681282">
      <w:pPr>
        <w:pStyle w:val="ListParagraph"/>
        <w:numPr>
          <w:ilvl w:val="0"/>
          <w:numId w:val="1"/>
        </w:numPr>
        <w:rPr>
          <w:rFonts w:eastAsiaTheme="minorHAnsi" w:cs="Arial"/>
          <w:lang w:eastAsia="en-US"/>
        </w:rPr>
      </w:pPr>
      <w:r w:rsidRPr="008C0296">
        <w:rPr>
          <w:rFonts w:eastAsiaTheme="minorHAnsi" w:cs="Arial"/>
          <w:lang w:eastAsia="en-US"/>
        </w:rPr>
        <w:tab/>
      </w:r>
      <w:r w:rsidR="00681282" w:rsidRPr="00681282">
        <w:rPr>
          <w:rFonts w:eastAsiaTheme="minorHAnsi" w:cs="Arial"/>
          <w:b/>
          <w:bCs/>
          <w:lang w:eastAsia="en-US"/>
        </w:rPr>
        <w:t>2019</w:t>
      </w:r>
      <w:r w:rsidR="00216119">
        <w:rPr>
          <w:rFonts w:eastAsiaTheme="minorHAnsi" w:cs="Arial"/>
          <w:b/>
          <w:bCs/>
          <w:lang w:eastAsia="en-US"/>
        </w:rPr>
        <w:t>-20</w:t>
      </w:r>
      <w:r w:rsidR="00681282" w:rsidRPr="00681282">
        <w:rPr>
          <w:rFonts w:eastAsiaTheme="minorHAnsi" w:cs="Arial"/>
          <w:b/>
          <w:bCs/>
          <w:lang w:eastAsia="en-US"/>
        </w:rPr>
        <w:t xml:space="preserve"> Early Years’ Formula and Central retained budget.</w:t>
      </w:r>
    </w:p>
    <w:p w14:paraId="027C87EC" w14:textId="77777777" w:rsidR="00933A1C" w:rsidRPr="00933A1C" w:rsidRDefault="00933A1C" w:rsidP="008C0296">
      <w:pPr>
        <w:pStyle w:val="ListParagraph"/>
        <w:tabs>
          <w:tab w:val="num" w:pos="792"/>
        </w:tabs>
        <w:spacing w:after="120"/>
        <w:ind w:left="360"/>
        <w:jc w:val="both"/>
        <w:rPr>
          <w:rFonts w:eastAsiaTheme="minorHAnsi" w:cs="Arial"/>
          <w:b/>
          <w:lang w:eastAsia="en-US"/>
        </w:rPr>
      </w:pPr>
    </w:p>
    <w:p w14:paraId="027C87ED" w14:textId="77777777" w:rsidR="002D08F4" w:rsidRPr="00216119" w:rsidRDefault="00EF2A91" w:rsidP="002D08F4">
      <w:pPr>
        <w:pStyle w:val="ListParagraph"/>
        <w:numPr>
          <w:ilvl w:val="1"/>
          <w:numId w:val="1"/>
        </w:numPr>
        <w:tabs>
          <w:tab w:val="num" w:pos="720"/>
        </w:tabs>
        <w:spacing w:after="120"/>
        <w:ind w:left="720" w:hanging="720"/>
        <w:jc w:val="both"/>
        <w:rPr>
          <w:rFonts w:eastAsiaTheme="minorHAnsi" w:cs="Arial"/>
          <w:lang w:eastAsia="en-US"/>
        </w:rPr>
      </w:pPr>
      <w:r>
        <w:rPr>
          <w:rFonts w:ascii="TrebuchetMS" w:eastAsiaTheme="minorHAnsi" w:hAnsi="TrebuchetMS" w:cs="TrebuchetMS"/>
          <w:lang w:eastAsia="en-US"/>
        </w:rPr>
        <w:t>Last year schools forum were required to approve the central retained budgets in appendix A, maximum limit in 201</w:t>
      </w:r>
      <w:r w:rsidR="00216119">
        <w:rPr>
          <w:rFonts w:ascii="TrebuchetMS" w:eastAsiaTheme="minorHAnsi" w:hAnsi="TrebuchetMS" w:cs="TrebuchetMS"/>
          <w:lang w:eastAsia="en-US"/>
        </w:rPr>
        <w:t>9</w:t>
      </w:r>
      <w:r w:rsidR="007D566A">
        <w:rPr>
          <w:rFonts w:ascii="TrebuchetMS" w:eastAsiaTheme="minorHAnsi" w:hAnsi="TrebuchetMS" w:cs="TrebuchetMS"/>
          <w:lang w:eastAsia="en-US"/>
        </w:rPr>
        <w:t>-</w:t>
      </w:r>
      <w:r w:rsidR="00216119">
        <w:rPr>
          <w:rFonts w:ascii="TrebuchetMS" w:eastAsiaTheme="minorHAnsi" w:hAnsi="TrebuchetMS" w:cs="TrebuchetMS"/>
          <w:lang w:eastAsia="en-US"/>
        </w:rPr>
        <w:t xml:space="preserve">20 is </w:t>
      </w:r>
      <w:r>
        <w:rPr>
          <w:rFonts w:ascii="TrebuchetMS" w:eastAsiaTheme="minorHAnsi" w:hAnsi="TrebuchetMS" w:cs="TrebuchetMS"/>
          <w:lang w:eastAsia="en-US"/>
        </w:rPr>
        <w:t>5%.</w:t>
      </w:r>
    </w:p>
    <w:p w14:paraId="027C87EE" w14:textId="77777777" w:rsidR="002D08F4" w:rsidRPr="002D08F4" w:rsidRDefault="002D08F4" w:rsidP="002D08F4">
      <w:pPr>
        <w:pStyle w:val="ListParagraph"/>
        <w:tabs>
          <w:tab w:val="num" w:pos="792"/>
        </w:tabs>
        <w:spacing w:after="120"/>
        <w:jc w:val="both"/>
        <w:rPr>
          <w:rFonts w:eastAsiaTheme="minorHAnsi" w:cs="Arial"/>
          <w:lang w:eastAsia="en-US"/>
        </w:rPr>
      </w:pPr>
    </w:p>
    <w:p w14:paraId="027C87EF" w14:textId="77777777" w:rsidR="00933A1C" w:rsidRDefault="002D08F4" w:rsidP="002D08F4">
      <w:pPr>
        <w:pStyle w:val="ListParagraph"/>
        <w:numPr>
          <w:ilvl w:val="1"/>
          <w:numId w:val="1"/>
        </w:numPr>
        <w:tabs>
          <w:tab w:val="num" w:pos="720"/>
        </w:tabs>
        <w:spacing w:after="120"/>
        <w:ind w:left="720" w:hanging="720"/>
        <w:jc w:val="both"/>
        <w:rPr>
          <w:rFonts w:eastAsiaTheme="minorHAnsi" w:cs="Arial"/>
          <w:lang w:eastAsia="en-US"/>
        </w:rPr>
      </w:pPr>
      <w:r>
        <w:rPr>
          <w:rFonts w:eastAsiaTheme="minorHAnsi" w:cs="Arial"/>
          <w:lang w:eastAsia="en-US"/>
        </w:rPr>
        <w:t>Approv</w:t>
      </w:r>
      <w:r w:rsidR="00FF1236">
        <w:rPr>
          <w:rFonts w:eastAsiaTheme="minorHAnsi" w:cs="Arial"/>
          <w:lang w:eastAsia="en-US"/>
        </w:rPr>
        <w:t>al</w:t>
      </w:r>
      <w:r>
        <w:rPr>
          <w:rFonts w:eastAsiaTheme="minorHAnsi" w:cs="Arial"/>
          <w:lang w:eastAsia="en-US"/>
        </w:rPr>
        <w:t xml:space="preserve"> </w:t>
      </w:r>
      <w:r w:rsidR="00216119">
        <w:rPr>
          <w:rFonts w:eastAsiaTheme="minorHAnsi" w:cs="Arial"/>
          <w:lang w:eastAsia="en-US"/>
        </w:rPr>
        <w:t>is require</w:t>
      </w:r>
      <w:r w:rsidR="00DA1AA3">
        <w:rPr>
          <w:rFonts w:eastAsiaTheme="minorHAnsi" w:cs="Arial"/>
          <w:lang w:eastAsia="en-US"/>
        </w:rPr>
        <w:t>d</w:t>
      </w:r>
      <w:r w:rsidR="00216119">
        <w:rPr>
          <w:rFonts w:eastAsiaTheme="minorHAnsi" w:cs="Arial"/>
          <w:lang w:eastAsia="en-US"/>
        </w:rPr>
        <w:t xml:space="preserve"> for </w:t>
      </w:r>
      <w:r>
        <w:rPr>
          <w:rFonts w:eastAsiaTheme="minorHAnsi" w:cs="Arial"/>
          <w:lang w:eastAsia="en-US"/>
        </w:rPr>
        <w:t>the c</w:t>
      </w:r>
      <w:r w:rsidR="00933A1C" w:rsidRPr="002D08F4">
        <w:rPr>
          <w:rFonts w:eastAsiaTheme="minorHAnsi" w:cs="Arial"/>
          <w:lang w:eastAsia="en-US"/>
        </w:rPr>
        <w:t xml:space="preserve">entral retained funding level of </w:t>
      </w:r>
      <w:r w:rsidR="00CB5D54" w:rsidRPr="00216119">
        <w:rPr>
          <w:rFonts w:eastAsiaTheme="minorHAnsi" w:cs="Arial"/>
          <w:b/>
          <w:lang w:eastAsia="en-US"/>
        </w:rPr>
        <w:t>5</w:t>
      </w:r>
      <w:r w:rsidR="00E16A38" w:rsidRPr="00216119">
        <w:rPr>
          <w:rFonts w:eastAsiaTheme="minorHAnsi" w:cs="Arial"/>
          <w:b/>
          <w:lang w:eastAsia="en-US"/>
        </w:rPr>
        <w:t>%</w:t>
      </w:r>
      <w:r w:rsidR="00E16A38">
        <w:rPr>
          <w:rFonts w:eastAsiaTheme="minorHAnsi" w:cs="Arial"/>
          <w:lang w:eastAsia="en-US"/>
        </w:rPr>
        <w:t xml:space="preserve">, </w:t>
      </w:r>
      <w:r>
        <w:rPr>
          <w:rFonts w:eastAsiaTheme="minorHAnsi" w:cs="Arial"/>
          <w:lang w:eastAsia="en-US"/>
        </w:rPr>
        <w:t xml:space="preserve">which </w:t>
      </w:r>
      <w:r w:rsidR="00D162BC" w:rsidRPr="002D08F4">
        <w:rPr>
          <w:rFonts w:eastAsiaTheme="minorHAnsi" w:cs="Arial"/>
          <w:lang w:eastAsia="en-US"/>
        </w:rPr>
        <w:t xml:space="preserve">equates to </w:t>
      </w:r>
      <w:r w:rsidR="00CB5D54" w:rsidRPr="00216119">
        <w:rPr>
          <w:rFonts w:eastAsiaTheme="minorHAnsi" w:cs="Arial"/>
          <w:b/>
          <w:lang w:eastAsia="en-US"/>
        </w:rPr>
        <w:t>£1.2</w:t>
      </w:r>
      <w:r w:rsidR="00216119" w:rsidRPr="00216119">
        <w:rPr>
          <w:rFonts w:eastAsiaTheme="minorHAnsi" w:cs="Arial"/>
          <w:b/>
          <w:lang w:eastAsia="en-US"/>
        </w:rPr>
        <w:t>65</w:t>
      </w:r>
      <w:r w:rsidR="00CB5D54" w:rsidRPr="00216119">
        <w:rPr>
          <w:rFonts w:eastAsiaTheme="minorHAnsi" w:cs="Arial"/>
          <w:b/>
          <w:lang w:eastAsia="en-US"/>
        </w:rPr>
        <w:t>m</w:t>
      </w:r>
      <w:r w:rsidR="00216119">
        <w:rPr>
          <w:rFonts w:eastAsiaTheme="minorHAnsi" w:cs="Arial"/>
          <w:lang w:eastAsia="en-US"/>
        </w:rPr>
        <w:t>.</w:t>
      </w:r>
    </w:p>
    <w:p w14:paraId="027C87F0" w14:textId="77777777" w:rsidR="002438C7" w:rsidRDefault="002438C7" w:rsidP="002438C7">
      <w:pPr>
        <w:pStyle w:val="ListParagraph"/>
        <w:tabs>
          <w:tab w:val="num" w:pos="792"/>
        </w:tabs>
        <w:spacing w:after="120"/>
        <w:jc w:val="both"/>
        <w:rPr>
          <w:rFonts w:eastAsiaTheme="minorHAnsi" w:cs="Arial"/>
          <w:lang w:eastAsia="en-US"/>
        </w:rPr>
      </w:pPr>
    </w:p>
    <w:p w14:paraId="027C87F1" w14:textId="77777777" w:rsidR="006C27F7" w:rsidRDefault="006C27F7" w:rsidP="002D08F4">
      <w:pPr>
        <w:pStyle w:val="ListParagraph"/>
        <w:numPr>
          <w:ilvl w:val="1"/>
          <w:numId w:val="1"/>
        </w:numPr>
        <w:tabs>
          <w:tab w:val="num" w:pos="720"/>
        </w:tabs>
        <w:spacing w:after="120"/>
        <w:ind w:left="720" w:hanging="720"/>
        <w:jc w:val="both"/>
        <w:rPr>
          <w:rFonts w:eastAsiaTheme="minorHAnsi" w:cs="Arial"/>
          <w:lang w:eastAsia="en-US"/>
        </w:rPr>
      </w:pPr>
      <w:r w:rsidRPr="00A54C0B">
        <w:rPr>
          <w:rFonts w:eastAsiaTheme="minorHAnsi" w:cs="Arial"/>
          <w:b/>
          <w:lang w:eastAsia="en-US"/>
        </w:rPr>
        <w:t>Appendix A</w:t>
      </w:r>
      <w:r w:rsidRPr="00A54C0B">
        <w:rPr>
          <w:rFonts w:eastAsiaTheme="minorHAnsi" w:cs="Arial"/>
          <w:lang w:eastAsia="en-US"/>
        </w:rPr>
        <w:t xml:space="preserve"> </w:t>
      </w:r>
      <w:r w:rsidR="00681282" w:rsidRPr="00A54C0B">
        <w:rPr>
          <w:rFonts w:eastAsiaTheme="minorHAnsi" w:cs="Arial"/>
          <w:lang w:eastAsia="en-US"/>
        </w:rPr>
        <w:t>below</w:t>
      </w:r>
      <w:r w:rsidRPr="00A54C0B">
        <w:rPr>
          <w:rFonts w:eastAsiaTheme="minorHAnsi" w:cs="Arial"/>
          <w:lang w:eastAsia="en-US"/>
        </w:rPr>
        <w:t xml:space="preserve"> shows the detail of </w:t>
      </w:r>
      <w:r w:rsidR="00216119" w:rsidRPr="00A54C0B">
        <w:rPr>
          <w:rFonts w:eastAsiaTheme="minorHAnsi" w:cs="Arial"/>
          <w:lang w:eastAsia="en-US"/>
        </w:rPr>
        <w:t>its use</w:t>
      </w:r>
      <w:r w:rsidR="002438C7" w:rsidRPr="00A54C0B">
        <w:rPr>
          <w:rFonts w:eastAsiaTheme="minorHAnsi" w:cs="Arial"/>
          <w:lang w:eastAsia="en-US"/>
        </w:rPr>
        <w:t>.</w:t>
      </w:r>
      <w:r w:rsidRPr="00A54C0B">
        <w:rPr>
          <w:rFonts w:eastAsiaTheme="minorHAnsi" w:cs="Arial"/>
          <w:lang w:eastAsia="en-US"/>
        </w:rPr>
        <w:t xml:space="preserve"> </w:t>
      </w:r>
    </w:p>
    <w:p w14:paraId="027C87F2" w14:textId="77777777" w:rsidR="00B82D09" w:rsidRPr="00B82D09" w:rsidRDefault="00B82D09" w:rsidP="00B82D09">
      <w:pPr>
        <w:spacing w:after="120"/>
        <w:jc w:val="both"/>
        <w:rPr>
          <w:rFonts w:eastAsiaTheme="minorHAnsi" w:cs="Arial"/>
          <w:lang w:eastAsia="en-US"/>
        </w:rPr>
      </w:pPr>
      <w:r w:rsidRPr="00B82D09">
        <w:rPr>
          <w:rFonts w:eastAsiaTheme="minorHAnsi" w:cs="Arial"/>
          <w:lang w:eastAsia="en-US"/>
        </w:rPr>
        <w:t xml:space="preserve">The following teams within the Integrated Early Years’ Service are </w:t>
      </w:r>
      <w:r w:rsidRPr="00B82D09">
        <w:rPr>
          <w:rFonts w:eastAsiaTheme="minorHAnsi" w:cs="Arial"/>
          <w:b/>
          <w:lang w:eastAsia="en-US"/>
        </w:rPr>
        <w:t>part funded</w:t>
      </w:r>
      <w:r w:rsidRPr="00B82D09">
        <w:rPr>
          <w:rFonts w:eastAsiaTheme="minorHAnsi" w:cs="Arial"/>
          <w:lang w:eastAsia="en-US"/>
        </w:rPr>
        <w:t xml:space="preserve"> by the EY DSG. (In 2017-18, this proportion was generally 20%).  For 2019-20 it is as follows:</w:t>
      </w:r>
    </w:p>
    <w:p w14:paraId="027C87F3" w14:textId="77777777" w:rsidR="00B82D09" w:rsidRPr="00B82D09" w:rsidRDefault="00B82D09" w:rsidP="00B82D09">
      <w:pPr>
        <w:numPr>
          <w:ilvl w:val="2"/>
          <w:numId w:val="3"/>
        </w:numPr>
        <w:spacing w:after="120"/>
        <w:contextualSpacing/>
        <w:jc w:val="both"/>
        <w:rPr>
          <w:rFonts w:eastAsiaTheme="minorHAnsi" w:cs="Arial"/>
          <w:lang w:eastAsia="en-US"/>
        </w:rPr>
      </w:pPr>
      <w:r w:rsidRPr="00B82D09">
        <w:rPr>
          <w:rFonts w:eastAsiaTheme="minorHAnsi" w:cs="Arial"/>
          <w:lang w:eastAsia="en-US"/>
        </w:rPr>
        <w:t>Strategic quality team (20/80) split</w:t>
      </w:r>
    </w:p>
    <w:p w14:paraId="027C87F4" w14:textId="77777777" w:rsidR="00B82D09" w:rsidRPr="00B82D09" w:rsidRDefault="00B82D09" w:rsidP="00B82D09">
      <w:pPr>
        <w:numPr>
          <w:ilvl w:val="2"/>
          <w:numId w:val="3"/>
        </w:numPr>
        <w:spacing w:after="120"/>
        <w:contextualSpacing/>
        <w:jc w:val="both"/>
        <w:rPr>
          <w:rFonts w:eastAsiaTheme="minorHAnsi" w:cs="Arial"/>
          <w:lang w:eastAsia="en-US"/>
        </w:rPr>
      </w:pPr>
      <w:r w:rsidRPr="00B82D09">
        <w:rPr>
          <w:rFonts w:eastAsiaTheme="minorHAnsi" w:cs="Arial"/>
          <w:lang w:eastAsia="en-US"/>
        </w:rPr>
        <w:t>Inclusion team (20/80) split</w:t>
      </w:r>
    </w:p>
    <w:p w14:paraId="027C87F5" w14:textId="77777777" w:rsidR="00B82D09" w:rsidRPr="00B82D09" w:rsidRDefault="00B82D09" w:rsidP="00B82D09">
      <w:pPr>
        <w:numPr>
          <w:ilvl w:val="2"/>
          <w:numId w:val="3"/>
        </w:numPr>
        <w:spacing w:after="120"/>
        <w:contextualSpacing/>
        <w:jc w:val="both"/>
        <w:rPr>
          <w:rFonts w:eastAsiaTheme="minorHAnsi" w:cs="Arial"/>
          <w:lang w:eastAsia="en-US"/>
        </w:rPr>
      </w:pPr>
      <w:r w:rsidRPr="00B82D09">
        <w:rPr>
          <w:rFonts w:eastAsiaTheme="minorHAnsi" w:cs="Arial"/>
          <w:lang w:eastAsia="en-US"/>
        </w:rPr>
        <w:t>Workforce development (50/50) split</w:t>
      </w:r>
    </w:p>
    <w:p w14:paraId="027C87F6" w14:textId="77777777" w:rsidR="00B82D09" w:rsidRPr="00B82D09" w:rsidRDefault="00B82D09" w:rsidP="00B82D09">
      <w:pPr>
        <w:numPr>
          <w:ilvl w:val="2"/>
          <w:numId w:val="3"/>
        </w:numPr>
        <w:spacing w:after="120"/>
        <w:contextualSpacing/>
        <w:jc w:val="both"/>
        <w:rPr>
          <w:rFonts w:eastAsiaTheme="minorHAnsi" w:cs="Arial"/>
          <w:lang w:eastAsia="en-US"/>
        </w:rPr>
      </w:pPr>
      <w:r w:rsidRPr="00B82D09">
        <w:rPr>
          <w:rFonts w:eastAsiaTheme="minorHAnsi" w:cs="Arial"/>
          <w:lang w:eastAsia="en-US"/>
        </w:rPr>
        <w:t>Parenting education (20/80) split</w:t>
      </w:r>
    </w:p>
    <w:p w14:paraId="027C87F7" w14:textId="77777777" w:rsidR="00B82D09" w:rsidRPr="00B82D09" w:rsidRDefault="00B82D09" w:rsidP="00B82D09">
      <w:pPr>
        <w:spacing w:after="120"/>
        <w:jc w:val="both"/>
        <w:rPr>
          <w:rFonts w:eastAsiaTheme="minorHAnsi" w:cs="Arial"/>
          <w:lang w:eastAsia="en-US"/>
        </w:rPr>
      </w:pPr>
      <w:r w:rsidRPr="00B82D09">
        <w:rPr>
          <w:rFonts w:eastAsiaTheme="minorHAnsi" w:cs="Arial"/>
          <w:lang w:eastAsia="en-US"/>
        </w:rPr>
        <w:t xml:space="preserve">The teams work closely with all ECEC settings, schools in particular benefit from an unusually high level of additional support.  Teachers and head teachers from other </w:t>
      </w:r>
      <w:r w:rsidRPr="00B82D09">
        <w:rPr>
          <w:rFonts w:eastAsiaTheme="minorHAnsi" w:cs="Arial"/>
          <w:lang w:eastAsia="en-US"/>
        </w:rPr>
        <w:lastRenderedPageBreak/>
        <w:t>LAs regularly remark on this.  The retained funding contributes to the fulfilment of the following statutory duties:</w:t>
      </w:r>
    </w:p>
    <w:p w14:paraId="027C87F8" w14:textId="77777777" w:rsidR="00B82D09" w:rsidRPr="00B82D09" w:rsidRDefault="00B82D09" w:rsidP="00B82D09">
      <w:pPr>
        <w:numPr>
          <w:ilvl w:val="0"/>
          <w:numId w:val="5"/>
        </w:numPr>
        <w:ind w:left="360"/>
        <w:contextualSpacing/>
        <w:rPr>
          <w:rFonts w:eastAsiaTheme="minorHAnsi" w:cs="Arial"/>
          <w:lang w:eastAsia="en-US"/>
        </w:rPr>
      </w:pPr>
      <w:r w:rsidRPr="00B82D09">
        <w:rPr>
          <w:rFonts w:eastAsiaTheme="minorHAnsi" w:cs="Arial"/>
          <w:lang w:eastAsia="en-US"/>
        </w:rPr>
        <w:t>QA of early learning funding streams;</w:t>
      </w:r>
    </w:p>
    <w:p w14:paraId="027C87F9" w14:textId="77777777" w:rsidR="00B82D09" w:rsidRPr="00B82D09" w:rsidRDefault="00B82D09" w:rsidP="00B82D09">
      <w:pPr>
        <w:numPr>
          <w:ilvl w:val="0"/>
          <w:numId w:val="5"/>
        </w:numPr>
        <w:ind w:left="360"/>
        <w:contextualSpacing/>
        <w:rPr>
          <w:rFonts w:eastAsiaTheme="minorHAnsi" w:cs="Arial"/>
          <w:lang w:eastAsia="en-US"/>
        </w:rPr>
      </w:pPr>
      <w:r w:rsidRPr="00B82D09">
        <w:rPr>
          <w:rFonts w:eastAsiaTheme="minorHAnsi" w:cs="Arial"/>
          <w:lang w:eastAsia="en-US"/>
        </w:rPr>
        <w:t>Validation of EYFSP data through moderation – where eligible children attend, this extends to childcare provision;</w:t>
      </w:r>
    </w:p>
    <w:p w14:paraId="027C87FA" w14:textId="77777777" w:rsidR="00B82D09" w:rsidRPr="00B82D09" w:rsidRDefault="00B82D09" w:rsidP="00B82D09">
      <w:pPr>
        <w:numPr>
          <w:ilvl w:val="0"/>
          <w:numId w:val="5"/>
        </w:numPr>
        <w:ind w:left="360"/>
        <w:contextualSpacing/>
        <w:rPr>
          <w:rFonts w:eastAsiaTheme="minorHAnsi" w:cs="Arial"/>
          <w:lang w:eastAsia="en-US"/>
        </w:rPr>
      </w:pPr>
      <w:r w:rsidRPr="00B82D09">
        <w:rPr>
          <w:rFonts w:eastAsiaTheme="minorHAnsi" w:cs="Arial"/>
          <w:lang w:eastAsia="en-US"/>
        </w:rPr>
        <w:t xml:space="preserve">Workforce development - </w:t>
      </w:r>
      <w:proofErr w:type="spellStart"/>
      <w:r w:rsidRPr="00B82D09">
        <w:rPr>
          <w:rFonts w:eastAsiaTheme="minorHAnsi" w:cs="Arial"/>
          <w:lang w:eastAsia="en-US"/>
        </w:rPr>
        <w:t>EYFSCo</w:t>
      </w:r>
      <w:proofErr w:type="spellEnd"/>
      <w:r w:rsidRPr="00B82D09">
        <w:rPr>
          <w:rFonts w:eastAsiaTheme="minorHAnsi" w:cs="Arial"/>
          <w:lang w:eastAsia="en-US"/>
        </w:rPr>
        <w:t xml:space="preserve"> and PVI joint termly meetings; highly subsidised training for all ECEC settings; </w:t>
      </w:r>
    </w:p>
    <w:p w14:paraId="027C87FB" w14:textId="77777777" w:rsidR="00B82D09" w:rsidRPr="00B82D09" w:rsidRDefault="00B82D09" w:rsidP="00B82D09">
      <w:pPr>
        <w:numPr>
          <w:ilvl w:val="0"/>
          <w:numId w:val="5"/>
        </w:numPr>
        <w:ind w:left="360"/>
        <w:contextualSpacing/>
        <w:rPr>
          <w:rFonts w:eastAsiaTheme="minorHAnsi" w:cs="Arial"/>
          <w:lang w:eastAsia="en-US"/>
        </w:rPr>
      </w:pPr>
      <w:r w:rsidRPr="00B82D09">
        <w:rPr>
          <w:rFonts w:eastAsiaTheme="minorHAnsi" w:cs="Arial"/>
          <w:lang w:eastAsia="en-US"/>
        </w:rPr>
        <w:t xml:space="preserve">Improvement of quality in early childhood education and care settings through planning, provision and brokerage of training, in response to needs identified by the school during moderation and in response to LA and locality level analysis of EY data. </w:t>
      </w:r>
    </w:p>
    <w:p w14:paraId="027C87FC" w14:textId="77777777" w:rsidR="00B82D09" w:rsidRPr="00B82D09" w:rsidRDefault="00B82D09" w:rsidP="00B82D09">
      <w:pPr>
        <w:ind w:left="360"/>
        <w:rPr>
          <w:rFonts w:eastAsiaTheme="minorHAnsi" w:cs="Arial"/>
          <w:lang w:eastAsia="en-US"/>
        </w:rPr>
      </w:pPr>
    </w:p>
    <w:p w14:paraId="027C87FD" w14:textId="77777777" w:rsidR="00987F2C" w:rsidRDefault="00B82D09" w:rsidP="00B82D09">
      <w:pPr>
        <w:spacing w:after="120"/>
        <w:rPr>
          <w:rFonts w:eastAsiaTheme="minorHAnsi" w:cs="Arial"/>
          <w:lang w:eastAsia="en-US"/>
        </w:rPr>
      </w:pPr>
      <w:r w:rsidRPr="00B82D09">
        <w:rPr>
          <w:rFonts w:eastAsiaTheme="minorHAnsi" w:cs="Arial"/>
          <w:lang w:eastAsia="en-US"/>
        </w:rPr>
        <w:t xml:space="preserve">Please note that the functions listed above are those specifically relevant to schools.  They are by no means an exhaustive description of the statutory early years’ functions themselves.   </w:t>
      </w:r>
    </w:p>
    <w:p w14:paraId="027C87FE" w14:textId="77777777" w:rsidR="00814B4C" w:rsidRPr="00A54C0B" w:rsidRDefault="00814B4C" w:rsidP="00A54C0B">
      <w:pPr>
        <w:spacing w:after="120"/>
        <w:ind w:left="360"/>
        <w:rPr>
          <w:rFonts w:eastAsiaTheme="minorHAnsi" w:cs="Arial"/>
          <w:b/>
          <w:lang w:eastAsia="en-US"/>
        </w:rPr>
      </w:pPr>
      <w:r w:rsidRPr="00A54C0B">
        <w:rPr>
          <w:rFonts w:eastAsiaTheme="minorHAnsi" w:cs="Arial"/>
          <w:b/>
          <w:lang w:eastAsia="en-US"/>
        </w:rPr>
        <w:t>LA Day Care Nurseries</w:t>
      </w:r>
    </w:p>
    <w:p w14:paraId="027C87FF" w14:textId="77777777" w:rsidR="00987F2C" w:rsidRPr="00146147" w:rsidRDefault="00987F2C" w:rsidP="00A54C0B">
      <w:pPr>
        <w:ind w:left="360"/>
        <w:rPr>
          <w:rFonts w:eastAsiaTheme="minorHAnsi" w:cs="Arial"/>
          <w:lang w:eastAsia="en-US"/>
        </w:rPr>
      </w:pPr>
      <w:r>
        <w:rPr>
          <w:rFonts w:eastAsiaTheme="minorHAnsi" w:cs="Arial"/>
          <w:lang w:eastAsia="en-US"/>
        </w:rPr>
        <w:t>The Council must follow specific organisational change procedures to implement the staffing changes contingent on the phased closure of the three LA run day care settings.  Ofsted has closed both Mary Sambrook Day Care (01.09.18) and John Smith Day Care (21.12.18).  Overland Day Care remains in operation until the end of July 2019.  There are 25 childcare workers</w:t>
      </w:r>
      <w:r w:rsidR="00A54C0B">
        <w:rPr>
          <w:rFonts w:eastAsiaTheme="minorHAnsi" w:cs="Arial"/>
          <w:lang w:eastAsia="en-US"/>
        </w:rPr>
        <w:t xml:space="preserve"> employed by the Council</w:t>
      </w:r>
      <w:r>
        <w:rPr>
          <w:rFonts w:eastAsiaTheme="minorHAnsi" w:cs="Arial"/>
          <w:lang w:eastAsia="en-US"/>
        </w:rPr>
        <w:t xml:space="preserve">, two admin staff and 18 children.  </w:t>
      </w:r>
      <w:proofErr w:type="gramStart"/>
      <w:r>
        <w:rPr>
          <w:rFonts w:eastAsiaTheme="minorHAnsi" w:cs="Arial"/>
          <w:lang w:eastAsia="en-US"/>
        </w:rPr>
        <w:t xml:space="preserve">Staff </w:t>
      </w:r>
      <w:r w:rsidR="00AC29D6">
        <w:rPr>
          <w:rFonts w:eastAsiaTheme="minorHAnsi" w:cs="Arial"/>
          <w:lang w:eastAsia="en-US"/>
        </w:rPr>
        <w:t xml:space="preserve"> </w:t>
      </w:r>
      <w:r>
        <w:rPr>
          <w:rFonts w:eastAsiaTheme="minorHAnsi" w:cs="Arial"/>
          <w:lang w:eastAsia="en-US"/>
        </w:rPr>
        <w:t>are</w:t>
      </w:r>
      <w:proofErr w:type="gramEnd"/>
      <w:r w:rsidR="00A54C0B">
        <w:rPr>
          <w:rFonts w:eastAsiaTheme="minorHAnsi" w:cs="Arial"/>
          <w:lang w:eastAsia="en-US"/>
        </w:rPr>
        <w:t xml:space="preserve"> </w:t>
      </w:r>
      <w:r w:rsidR="00AC29D6">
        <w:rPr>
          <w:rFonts w:eastAsiaTheme="minorHAnsi" w:cs="Arial"/>
          <w:lang w:eastAsia="en-US"/>
        </w:rPr>
        <w:t xml:space="preserve"> </w:t>
      </w:r>
      <w:r w:rsidR="00A54C0B">
        <w:rPr>
          <w:rFonts w:eastAsiaTheme="minorHAnsi" w:cs="Arial"/>
          <w:lang w:eastAsia="en-US"/>
        </w:rPr>
        <w:t>being</w:t>
      </w:r>
      <w:r>
        <w:rPr>
          <w:rFonts w:eastAsiaTheme="minorHAnsi" w:cs="Arial"/>
          <w:lang w:eastAsia="en-US"/>
        </w:rPr>
        <w:t xml:space="preserve"> offered employment experiences in other areas of IEYS to develop their skills, knowledge and understanding.</w:t>
      </w:r>
      <w:r w:rsidR="00814B4C">
        <w:rPr>
          <w:rFonts w:eastAsiaTheme="minorHAnsi" w:cs="Arial"/>
          <w:lang w:eastAsia="en-US"/>
        </w:rPr>
        <w:t xml:space="preserve">  The employment costs will continue until the completion of the organisational change process by the Council.  This </w:t>
      </w:r>
      <w:r w:rsidR="00A54C0B">
        <w:rPr>
          <w:rFonts w:eastAsiaTheme="minorHAnsi" w:cs="Arial"/>
          <w:lang w:eastAsia="en-US"/>
        </w:rPr>
        <w:t xml:space="preserve">situation </w:t>
      </w:r>
      <w:r w:rsidR="00814B4C">
        <w:rPr>
          <w:rFonts w:eastAsiaTheme="minorHAnsi" w:cs="Arial"/>
          <w:lang w:eastAsia="en-US"/>
        </w:rPr>
        <w:t xml:space="preserve">is likely to </w:t>
      </w:r>
      <w:r w:rsidR="00A54C0B">
        <w:rPr>
          <w:rFonts w:eastAsiaTheme="minorHAnsi" w:cs="Arial"/>
          <w:lang w:eastAsia="en-US"/>
        </w:rPr>
        <w:t xml:space="preserve">continue until </w:t>
      </w:r>
      <w:r w:rsidR="00814B4C">
        <w:rPr>
          <w:rFonts w:eastAsiaTheme="minorHAnsi" w:cs="Arial"/>
          <w:lang w:eastAsia="en-US"/>
        </w:rPr>
        <w:t>at least until July 2019.</w:t>
      </w:r>
    </w:p>
    <w:p w14:paraId="027C8800" w14:textId="77777777" w:rsidR="00E3025A" w:rsidRDefault="00E3025A" w:rsidP="00A54C0B">
      <w:pPr>
        <w:pStyle w:val="ListParagraph"/>
        <w:tabs>
          <w:tab w:val="num" w:pos="792"/>
        </w:tabs>
        <w:spacing w:after="120"/>
        <w:ind w:left="0"/>
        <w:jc w:val="both"/>
        <w:rPr>
          <w:rFonts w:eastAsiaTheme="minorHAnsi" w:cs="Arial"/>
          <w:highlight w:val="yellow"/>
          <w:lang w:eastAsia="en-US"/>
        </w:rPr>
      </w:pPr>
    </w:p>
    <w:p w14:paraId="027C8801"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02"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03" w14:textId="77777777" w:rsidR="00AC29D6" w:rsidRPr="00AC29D6" w:rsidRDefault="00AC29D6" w:rsidP="00AC29D6">
      <w:pPr>
        <w:pStyle w:val="ListParagraph"/>
        <w:tabs>
          <w:tab w:val="num" w:pos="792"/>
        </w:tabs>
        <w:spacing w:after="120"/>
        <w:jc w:val="both"/>
        <w:rPr>
          <w:rFonts w:eastAsiaTheme="minorHAnsi" w:cs="Arial"/>
          <w:bCs/>
          <w:lang w:eastAsia="en-US"/>
        </w:rPr>
      </w:pPr>
      <w:r w:rsidRPr="00AC29D6">
        <w:rPr>
          <w:rFonts w:eastAsiaTheme="minorHAnsi" w:cs="Arial"/>
          <w:b/>
          <w:bCs/>
          <w:lang w:eastAsia="en-US"/>
        </w:rPr>
        <w:t>Background Papers</w:t>
      </w:r>
      <w:r w:rsidRPr="00AC29D6">
        <w:rPr>
          <w:rFonts w:eastAsiaTheme="minorHAnsi" w:cs="Arial"/>
          <w:bCs/>
          <w:lang w:eastAsia="en-US"/>
        </w:rPr>
        <w:t>;</w:t>
      </w:r>
    </w:p>
    <w:p w14:paraId="027C8804" w14:textId="77777777" w:rsidR="00AC29D6" w:rsidRDefault="00AC29D6" w:rsidP="00AC29D6">
      <w:r>
        <w:tab/>
      </w:r>
      <w:hyperlink r:id="rId12" w:history="1">
        <w:r w:rsidRPr="00E70E98">
          <w:rPr>
            <w:rStyle w:val="Hyperlink"/>
          </w:rPr>
          <w:t>https://www.gov.uk/government/publications/early-years-national-funding-</w:t>
        </w:r>
        <w:r w:rsidRPr="00E70E98">
          <w:rPr>
            <w:rStyle w:val="Hyperlink"/>
          </w:rPr>
          <w:tab/>
          <w:t>formula-allocations-and-guidance</w:t>
        </w:r>
      </w:hyperlink>
    </w:p>
    <w:p w14:paraId="027C8805" w14:textId="77777777" w:rsidR="00AC29D6" w:rsidRPr="00AC29D6" w:rsidRDefault="00AC29D6" w:rsidP="00AC29D6">
      <w:pPr>
        <w:pStyle w:val="ListParagraph"/>
        <w:tabs>
          <w:tab w:val="num" w:pos="792"/>
        </w:tabs>
        <w:spacing w:after="120"/>
        <w:jc w:val="both"/>
        <w:rPr>
          <w:rFonts w:eastAsiaTheme="minorHAnsi" w:cs="Arial"/>
          <w:bCs/>
          <w:lang w:eastAsia="en-US"/>
        </w:rPr>
      </w:pPr>
    </w:p>
    <w:p w14:paraId="027C8806"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07"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08"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09"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0A"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0B"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0C"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0D"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0E"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0F"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10"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11"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12"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13"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14"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15"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16" w14:textId="77777777" w:rsidR="00B82D09" w:rsidRDefault="00B82D09" w:rsidP="00A54C0B">
      <w:pPr>
        <w:pStyle w:val="ListParagraph"/>
        <w:tabs>
          <w:tab w:val="num" w:pos="792"/>
        </w:tabs>
        <w:spacing w:after="120"/>
        <w:ind w:left="0"/>
        <w:jc w:val="both"/>
        <w:rPr>
          <w:rFonts w:eastAsiaTheme="minorHAnsi" w:cs="Arial"/>
          <w:highlight w:val="yellow"/>
          <w:lang w:eastAsia="en-US"/>
        </w:rPr>
      </w:pPr>
    </w:p>
    <w:p w14:paraId="027C8817" w14:textId="77777777" w:rsidR="00B82D09" w:rsidRPr="007D566A" w:rsidRDefault="00B82D09" w:rsidP="00A54C0B">
      <w:pPr>
        <w:pStyle w:val="ListParagraph"/>
        <w:tabs>
          <w:tab w:val="num" w:pos="792"/>
        </w:tabs>
        <w:spacing w:after="120"/>
        <w:ind w:left="0"/>
        <w:jc w:val="both"/>
        <w:rPr>
          <w:rFonts w:eastAsiaTheme="minorHAnsi" w:cs="Arial"/>
          <w:highlight w:val="yellow"/>
          <w:lang w:eastAsia="en-US"/>
        </w:rPr>
      </w:pPr>
    </w:p>
    <w:tbl>
      <w:tblPr>
        <w:tblStyle w:val="TableGrid"/>
        <w:tblW w:w="8662" w:type="dxa"/>
        <w:tblLook w:val="04A0" w:firstRow="1" w:lastRow="0" w:firstColumn="1" w:lastColumn="0" w:noHBand="0" w:noVBand="1"/>
      </w:tblPr>
      <w:tblGrid>
        <w:gridCol w:w="6252"/>
        <w:gridCol w:w="1276"/>
        <w:gridCol w:w="1134"/>
      </w:tblGrid>
      <w:tr w:rsidR="00B82D09" w:rsidRPr="00B82D09" w14:paraId="027C881B" w14:textId="77777777" w:rsidTr="004B4CD0">
        <w:trPr>
          <w:trHeight w:val="324"/>
        </w:trPr>
        <w:tc>
          <w:tcPr>
            <w:tcW w:w="6252" w:type="dxa"/>
            <w:noWrap/>
            <w:hideMark/>
          </w:tcPr>
          <w:p w14:paraId="027C8818" w14:textId="77777777" w:rsidR="00B82D09" w:rsidRPr="00B82D09" w:rsidRDefault="00B82D09" w:rsidP="00B82D09">
            <w:pPr>
              <w:rPr>
                <w:rFonts w:ascii="Calibri" w:hAnsi="Calibri"/>
                <w:b/>
                <w:bCs/>
                <w:color w:val="000000"/>
              </w:rPr>
            </w:pPr>
            <w:r w:rsidRPr="00B82D09">
              <w:rPr>
                <w:rFonts w:ascii="Calibri" w:hAnsi="Calibri"/>
                <w:b/>
                <w:bCs/>
                <w:color w:val="000000"/>
              </w:rPr>
              <w:t>Appendix 1:</w:t>
            </w:r>
          </w:p>
        </w:tc>
        <w:tc>
          <w:tcPr>
            <w:tcW w:w="1276" w:type="dxa"/>
            <w:noWrap/>
            <w:hideMark/>
          </w:tcPr>
          <w:p w14:paraId="027C8819" w14:textId="77777777" w:rsidR="00B82D09" w:rsidRPr="00B82D09" w:rsidRDefault="00B82D09" w:rsidP="00B82D09">
            <w:pPr>
              <w:rPr>
                <w:rFonts w:ascii="Calibri" w:hAnsi="Calibri"/>
                <w:color w:val="000000"/>
                <w:sz w:val="22"/>
                <w:szCs w:val="22"/>
              </w:rPr>
            </w:pPr>
          </w:p>
        </w:tc>
        <w:tc>
          <w:tcPr>
            <w:tcW w:w="1134" w:type="dxa"/>
            <w:noWrap/>
            <w:hideMark/>
          </w:tcPr>
          <w:p w14:paraId="027C881A" w14:textId="77777777" w:rsidR="00B82D09" w:rsidRPr="00B82D09" w:rsidRDefault="00B82D09" w:rsidP="00B82D09">
            <w:pPr>
              <w:rPr>
                <w:rFonts w:ascii="Calibri" w:hAnsi="Calibri"/>
                <w:color w:val="000000"/>
                <w:sz w:val="22"/>
                <w:szCs w:val="22"/>
              </w:rPr>
            </w:pPr>
          </w:p>
        </w:tc>
      </w:tr>
      <w:tr w:rsidR="00B82D09" w:rsidRPr="00B82D09" w14:paraId="027C881F" w14:textId="77777777" w:rsidTr="004B4CD0">
        <w:trPr>
          <w:trHeight w:val="300"/>
        </w:trPr>
        <w:tc>
          <w:tcPr>
            <w:tcW w:w="6252" w:type="dxa"/>
            <w:noWrap/>
            <w:hideMark/>
          </w:tcPr>
          <w:p w14:paraId="027C881C" w14:textId="77777777" w:rsidR="00B82D09" w:rsidRPr="00B82D09" w:rsidRDefault="00B82D09" w:rsidP="00B82D09">
            <w:pPr>
              <w:rPr>
                <w:rFonts w:cs="Arial"/>
                <w:color w:val="000000"/>
                <w:sz w:val="22"/>
                <w:szCs w:val="22"/>
              </w:rPr>
            </w:pPr>
            <w:r w:rsidRPr="00B82D09">
              <w:rPr>
                <w:rFonts w:cs="Arial"/>
                <w:color w:val="000000"/>
                <w:sz w:val="22"/>
                <w:szCs w:val="22"/>
              </w:rPr>
              <w:t>Early Years Retained Allocation</w:t>
            </w:r>
          </w:p>
        </w:tc>
        <w:tc>
          <w:tcPr>
            <w:tcW w:w="1276" w:type="dxa"/>
            <w:noWrap/>
            <w:hideMark/>
          </w:tcPr>
          <w:p w14:paraId="027C881D" w14:textId="77777777" w:rsidR="00B82D09" w:rsidRPr="00B82D09" w:rsidRDefault="00B82D09" w:rsidP="00B82D09">
            <w:pPr>
              <w:jc w:val="center"/>
              <w:rPr>
                <w:rFonts w:cs="Arial"/>
                <w:b/>
                <w:bCs/>
                <w:color w:val="000000"/>
                <w:sz w:val="22"/>
                <w:szCs w:val="22"/>
              </w:rPr>
            </w:pPr>
            <w:r w:rsidRPr="00B82D09">
              <w:rPr>
                <w:rFonts w:cs="Arial"/>
                <w:b/>
                <w:bCs/>
                <w:color w:val="000000"/>
                <w:sz w:val="22"/>
                <w:szCs w:val="22"/>
              </w:rPr>
              <w:t>2018-19</w:t>
            </w:r>
          </w:p>
        </w:tc>
        <w:tc>
          <w:tcPr>
            <w:tcW w:w="1134" w:type="dxa"/>
            <w:noWrap/>
            <w:hideMark/>
          </w:tcPr>
          <w:p w14:paraId="027C881E" w14:textId="77777777" w:rsidR="00B82D09" w:rsidRPr="00B82D09" w:rsidRDefault="00B82D09" w:rsidP="00B82D09">
            <w:pPr>
              <w:jc w:val="center"/>
              <w:rPr>
                <w:rFonts w:cs="Arial"/>
                <w:b/>
                <w:bCs/>
                <w:color w:val="000000"/>
                <w:sz w:val="22"/>
                <w:szCs w:val="22"/>
              </w:rPr>
            </w:pPr>
            <w:r w:rsidRPr="00B82D09">
              <w:rPr>
                <w:rFonts w:cs="Arial"/>
                <w:b/>
                <w:bCs/>
                <w:color w:val="000000"/>
                <w:sz w:val="22"/>
                <w:szCs w:val="22"/>
              </w:rPr>
              <w:t>2019-20</w:t>
            </w:r>
          </w:p>
        </w:tc>
      </w:tr>
      <w:tr w:rsidR="00B82D09" w:rsidRPr="00B82D09" w14:paraId="027C8823" w14:textId="77777777" w:rsidTr="004B4CD0">
        <w:trPr>
          <w:trHeight w:val="300"/>
        </w:trPr>
        <w:tc>
          <w:tcPr>
            <w:tcW w:w="6252" w:type="dxa"/>
            <w:noWrap/>
            <w:hideMark/>
          </w:tcPr>
          <w:p w14:paraId="027C8820" w14:textId="77777777" w:rsidR="00B82D09" w:rsidRPr="00B82D09" w:rsidRDefault="00B82D09" w:rsidP="00B82D09">
            <w:pPr>
              <w:rPr>
                <w:rFonts w:cs="Arial"/>
                <w:color w:val="000000"/>
                <w:sz w:val="22"/>
                <w:szCs w:val="22"/>
              </w:rPr>
            </w:pPr>
            <w:r w:rsidRPr="00B82D09">
              <w:rPr>
                <w:rFonts w:cs="Arial"/>
                <w:color w:val="000000"/>
                <w:sz w:val="22"/>
                <w:szCs w:val="22"/>
              </w:rPr>
              <w:t> </w:t>
            </w:r>
          </w:p>
        </w:tc>
        <w:tc>
          <w:tcPr>
            <w:tcW w:w="1276" w:type="dxa"/>
            <w:noWrap/>
            <w:hideMark/>
          </w:tcPr>
          <w:p w14:paraId="027C8821"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£000</w:t>
            </w:r>
          </w:p>
        </w:tc>
        <w:tc>
          <w:tcPr>
            <w:tcW w:w="1134" w:type="dxa"/>
            <w:noWrap/>
            <w:hideMark/>
          </w:tcPr>
          <w:p w14:paraId="027C8822"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£000</w:t>
            </w:r>
          </w:p>
        </w:tc>
      </w:tr>
      <w:tr w:rsidR="00B82D09" w:rsidRPr="00B82D09" w14:paraId="027C8827" w14:textId="77777777" w:rsidTr="004B4CD0">
        <w:trPr>
          <w:trHeight w:val="300"/>
        </w:trPr>
        <w:tc>
          <w:tcPr>
            <w:tcW w:w="6252" w:type="dxa"/>
            <w:noWrap/>
            <w:hideMark/>
          </w:tcPr>
          <w:p w14:paraId="027C8824" w14:textId="77777777" w:rsidR="00B82D09" w:rsidRPr="00B82D09" w:rsidRDefault="00B82D09" w:rsidP="00B82D09">
            <w:pPr>
              <w:rPr>
                <w:rFonts w:cs="Arial"/>
                <w:color w:val="000000"/>
                <w:sz w:val="22"/>
                <w:szCs w:val="22"/>
              </w:rPr>
            </w:pPr>
            <w:r w:rsidRPr="00B82D09">
              <w:rPr>
                <w:rFonts w:cs="Arial"/>
                <w:color w:val="000000"/>
                <w:sz w:val="22"/>
                <w:szCs w:val="22"/>
              </w:rPr>
              <w:t>Total Centre  Retained Amount DSG</w:t>
            </w:r>
          </w:p>
        </w:tc>
        <w:tc>
          <w:tcPr>
            <w:tcW w:w="1276" w:type="dxa"/>
            <w:noWrap/>
            <w:hideMark/>
          </w:tcPr>
          <w:p w14:paraId="027C8825" w14:textId="77777777" w:rsidR="00B82D09" w:rsidRPr="00B82D09" w:rsidRDefault="00B82D09" w:rsidP="00B82D09">
            <w:pPr>
              <w:rPr>
                <w:rFonts w:cs="Arial"/>
                <w:color w:val="000000"/>
                <w:sz w:val="22"/>
                <w:szCs w:val="22"/>
              </w:rPr>
            </w:pPr>
            <w:r w:rsidRPr="00B82D09">
              <w:rPr>
                <w:rFonts w:cs="Arial"/>
                <w:color w:val="000000"/>
                <w:sz w:val="22"/>
                <w:szCs w:val="22"/>
              </w:rPr>
              <w:t xml:space="preserve">             1,238 </w:t>
            </w:r>
          </w:p>
        </w:tc>
        <w:tc>
          <w:tcPr>
            <w:tcW w:w="1134" w:type="dxa"/>
            <w:noWrap/>
            <w:hideMark/>
          </w:tcPr>
          <w:p w14:paraId="027C8826" w14:textId="77777777" w:rsidR="00B82D09" w:rsidRPr="00B82D09" w:rsidRDefault="00B82D09" w:rsidP="00B82D09">
            <w:pPr>
              <w:rPr>
                <w:rFonts w:cs="Arial"/>
                <w:b/>
                <w:bCs/>
                <w:color w:val="000000"/>
                <w:sz w:val="22"/>
                <w:szCs w:val="22"/>
              </w:rPr>
            </w:pPr>
            <w:r w:rsidRPr="00B82D09">
              <w:rPr>
                <w:rFonts w:cs="Arial"/>
                <w:b/>
                <w:bCs/>
                <w:color w:val="000000"/>
                <w:sz w:val="22"/>
                <w:szCs w:val="22"/>
              </w:rPr>
              <w:t xml:space="preserve">             1,265 </w:t>
            </w:r>
          </w:p>
        </w:tc>
      </w:tr>
      <w:tr w:rsidR="00B82D09" w:rsidRPr="00B82D09" w14:paraId="027C882B" w14:textId="77777777" w:rsidTr="004B4CD0">
        <w:trPr>
          <w:trHeight w:val="300"/>
        </w:trPr>
        <w:tc>
          <w:tcPr>
            <w:tcW w:w="6252" w:type="dxa"/>
            <w:noWrap/>
            <w:hideMark/>
          </w:tcPr>
          <w:p w14:paraId="027C8828" w14:textId="77777777" w:rsidR="00B82D09" w:rsidRPr="00B82D09" w:rsidRDefault="00B82D09" w:rsidP="00B82D09">
            <w:pPr>
              <w:rPr>
                <w:rFonts w:ascii="Calibri" w:hAnsi="Calibri"/>
                <w:color w:val="000000"/>
                <w:sz w:val="22"/>
                <w:szCs w:val="22"/>
              </w:rPr>
            </w:pPr>
            <w:r w:rsidRPr="00B82D09">
              <w:rPr>
                <w:rFonts w:ascii="Calibri" w:hAnsi="Calibri"/>
                <w:color w:val="000000"/>
                <w:sz w:val="22"/>
                <w:szCs w:val="22"/>
              </w:rPr>
              <w:t> </w:t>
            </w:r>
          </w:p>
        </w:tc>
        <w:tc>
          <w:tcPr>
            <w:tcW w:w="1276" w:type="dxa"/>
            <w:noWrap/>
            <w:hideMark/>
          </w:tcPr>
          <w:p w14:paraId="027C8829" w14:textId="77777777" w:rsidR="00B82D09" w:rsidRPr="00B82D09" w:rsidRDefault="00B82D09" w:rsidP="00B82D09">
            <w:pPr>
              <w:rPr>
                <w:rFonts w:ascii="Calibri" w:hAnsi="Calibri"/>
                <w:color w:val="000000"/>
                <w:sz w:val="22"/>
                <w:szCs w:val="22"/>
              </w:rPr>
            </w:pPr>
            <w:r w:rsidRPr="00B82D09">
              <w:rPr>
                <w:rFonts w:ascii="Calibri" w:hAnsi="Calibri"/>
                <w:color w:val="000000"/>
                <w:sz w:val="22"/>
                <w:szCs w:val="22"/>
              </w:rPr>
              <w:t> </w:t>
            </w:r>
          </w:p>
        </w:tc>
        <w:tc>
          <w:tcPr>
            <w:tcW w:w="1134" w:type="dxa"/>
            <w:noWrap/>
            <w:hideMark/>
          </w:tcPr>
          <w:p w14:paraId="027C882A" w14:textId="77777777" w:rsidR="00B82D09" w:rsidRPr="00B82D09" w:rsidRDefault="00B82D09" w:rsidP="00B82D09">
            <w:pPr>
              <w:rPr>
                <w:rFonts w:ascii="Calibri" w:hAnsi="Calibri"/>
                <w:color w:val="000000"/>
                <w:sz w:val="22"/>
                <w:szCs w:val="22"/>
              </w:rPr>
            </w:pPr>
            <w:r w:rsidRPr="00B82D09">
              <w:rPr>
                <w:rFonts w:ascii="Calibri" w:hAnsi="Calibri"/>
                <w:color w:val="000000"/>
                <w:sz w:val="22"/>
                <w:szCs w:val="22"/>
              </w:rPr>
              <w:t> </w:t>
            </w:r>
          </w:p>
        </w:tc>
      </w:tr>
      <w:tr w:rsidR="00B82D09" w:rsidRPr="00B82D09" w14:paraId="027C882F" w14:textId="77777777" w:rsidTr="004B4CD0">
        <w:trPr>
          <w:trHeight w:val="300"/>
        </w:trPr>
        <w:tc>
          <w:tcPr>
            <w:tcW w:w="6252" w:type="dxa"/>
            <w:noWrap/>
            <w:hideMark/>
          </w:tcPr>
          <w:p w14:paraId="027C882C" w14:textId="77777777" w:rsidR="00B82D09" w:rsidRPr="00B82D09" w:rsidRDefault="00B82D09" w:rsidP="00B82D09">
            <w:pPr>
              <w:rPr>
                <w:rFonts w:cs="Arial"/>
                <w:color w:val="000000"/>
                <w:sz w:val="22"/>
                <w:szCs w:val="22"/>
              </w:rPr>
            </w:pPr>
            <w:r w:rsidRPr="00B82D09">
              <w:rPr>
                <w:rFonts w:cs="Arial"/>
                <w:color w:val="000000"/>
                <w:sz w:val="22"/>
                <w:szCs w:val="22"/>
              </w:rPr>
              <w:t xml:space="preserve">Head of Integrated Early </w:t>
            </w:r>
            <w:proofErr w:type="spellStart"/>
            <w:r w:rsidRPr="00B82D09">
              <w:rPr>
                <w:rFonts w:cs="Arial"/>
                <w:color w:val="000000"/>
                <w:sz w:val="22"/>
                <w:szCs w:val="22"/>
              </w:rPr>
              <w:t>Years Service</w:t>
            </w:r>
            <w:proofErr w:type="spellEnd"/>
            <w:r w:rsidRPr="00B82D09">
              <w:rPr>
                <w:rFonts w:cs="Arial"/>
                <w:color w:val="000000"/>
                <w:sz w:val="22"/>
                <w:szCs w:val="22"/>
              </w:rPr>
              <w:t xml:space="preserve"> (X0.7)</w:t>
            </w:r>
          </w:p>
        </w:tc>
        <w:tc>
          <w:tcPr>
            <w:tcW w:w="1276" w:type="dxa"/>
            <w:noWrap/>
            <w:hideMark/>
          </w:tcPr>
          <w:p w14:paraId="027C882D"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44</w:t>
            </w:r>
          </w:p>
        </w:tc>
        <w:tc>
          <w:tcPr>
            <w:tcW w:w="1134" w:type="dxa"/>
            <w:noWrap/>
            <w:hideMark/>
          </w:tcPr>
          <w:p w14:paraId="027C882E"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41</w:t>
            </w:r>
          </w:p>
        </w:tc>
      </w:tr>
      <w:tr w:rsidR="00B82D09" w:rsidRPr="00B82D09" w14:paraId="027C8833" w14:textId="77777777" w:rsidTr="004B4CD0">
        <w:trPr>
          <w:trHeight w:val="300"/>
        </w:trPr>
        <w:tc>
          <w:tcPr>
            <w:tcW w:w="6252" w:type="dxa"/>
            <w:noWrap/>
            <w:hideMark/>
          </w:tcPr>
          <w:p w14:paraId="027C8830" w14:textId="77777777" w:rsidR="00B82D09" w:rsidRPr="00B82D09" w:rsidRDefault="00B82D09" w:rsidP="00B82D09">
            <w:pPr>
              <w:rPr>
                <w:rFonts w:cs="Arial"/>
                <w:color w:val="000000"/>
                <w:sz w:val="22"/>
                <w:szCs w:val="22"/>
              </w:rPr>
            </w:pPr>
            <w:r w:rsidRPr="00B82D09">
              <w:rPr>
                <w:rFonts w:cs="Arial"/>
                <w:color w:val="000000"/>
                <w:sz w:val="22"/>
                <w:szCs w:val="22"/>
              </w:rPr>
              <w:t>Early Intervention Manager (X0.3)</w:t>
            </w:r>
          </w:p>
        </w:tc>
        <w:tc>
          <w:tcPr>
            <w:tcW w:w="1276" w:type="dxa"/>
            <w:noWrap/>
            <w:hideMark/>
          </w:tcPr>
          <w:p w14:paraId="027C8831"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18</w:t>
            </w:r>
          </w:p>
        </w:tc>
        <w:tc>
          <w:tcPr>
            <w:tcW w:w="1134" w:type="dxa"/>
            <w:noWrap/>
            <w:hideMark/>
          </w:tcPr>
          <w:p w14:paraId="027C8832"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17</w:t>
            </w:r>
          </w:p>
        </w:tc>
      </w:tr>
      <w:tr w:rsidR="00B82D09" w:rsidRPr="00B82D09" w14:paraId="027C8837" w14:textId="77777777" w:rsidTr="004B4CD0">
        <w:trPr>
          <w:trHeight w:val="300"/>
        </w:trPr>
        <w:tc>
          <w:tcPr>
            <w:tcW w:w="6252" w:type="dxa"/>
            <w:noWrap/>
            <w:hideMark/>
          </w:tcPr>
          <w:p w14:paraId="027C8834" w14:textId="77777777" w:rsidR="00B82D09" w:rsidRPr="00B82D09" w:rsidRDefault="00B82D09" w:rsidP="00B82D09">
            <w:pPr>
              <w:rPr>
                <w:rFonts w:ascii="Calibri" w:hAnsi="Calibri"/>
                <w:color w:val="000000"/>
                <w:sz w:val="22"/>
                <w:szCs w:val="22"/>
              </w:rPr>
            </w:pPr>
            <w:r w:rsidRPr="00B82D09">
              <w:rPr>
                <w:rFonts w:ascii="Calibri" w:hAnsi="Calibri"/>
                <w:color w:val="000000"/>
                <w:sz w:val="22"/>
                <w:szCs w:val="22"/>
              </w:rPr>
              <w:t> </w:t>
            </w:r>
          </w:p>
        </w:tc>
        <w:tc>
          <w:tcPr>
            <w:tcW w:w="1276" w:type="dxa"/>
            <w:noWrap/>
            <w:hideMark/>
          </w:tcPr>
          <w:p w14:paraId="027C8835"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c>
          <w:tcPr>
            <w:tcW w:w="1134" w:type="dxa"/>
            <w:noWrap/>
            <w:hideMark/>
          </w:tcPr>
          <w:p w14:paraId="027C8836"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r>
      <w:tr w:rsidR="00B82D09" w:rsidRPr="00B82D09" w14:paraId="027C883B" w14:textId="77777777" w:rsidTr="004B4CD0">
        <w:trPr>
          <w:trHeight w:val="300"/>
        </w:trPr>
        <w:tc>
          <w:tcPr>
            <w:tcW w:w="6252" w:type="dxa"/>
            <w:noWrap/>
            <w:hideMark/>
          </w:tcPr>
          <w:p w14:paraId="027C8838" w14:textId="77777777" w:rsidR="00B82D09" w:rsidRPr="00B82D09" w:rsidRDefault="00B82D09" w:rsidP="00B82D09">
            <w:pPr>
              <w:rPr>
                <w:rFonts w:cs="Arial"/>
                <w:b/>
                <w:bCs/>
                <w:color w:val="000000"/>
                <w:sz w:val="22"/>
                <w:szCs w:val="22"/>
              </w:rPr>
            </w:pPr>
            <w:r w:rsidRPr="00B82D09">
              <w:rPr>
                <w:rFonts w:cs="Arial"/>
                <w:b/>
                <w:bCs/>
                <w:color w:val="000000"/>
                <w:sz w:val="22"/>
                <w:szCs w:val="22"/>
              </w:rPr>
              <w:t xml:space="preserve">Business Support and Child Sufficiency Team </w:t>
            </w:r>
          </w:p>
        </w:tc>
        <w:tc>
          <w:tcPr>
            <w:tcW w:w="1276" w:type="dxa"/>
            <w:noWrap/>
            <w:hideMark/>
          </w:tcPr>
          <w:p w14:paraId="027C8839"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c>
          <w:tcPr>
            <w:tcW w:w="1134" w:type="dxa"/>
            <w:noWrap/>
            <w:hideMark/>
          </w:tcPr>
          <w:p w14:paraId="027C883A"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r>
      <w:tr w:rsidR="00B82D09" w:rsidRPr="00B82D09" w14:paraId="027C883F" w14:textId="77777777" w:rsidTr="004B4CD0">
        <w:trPr>
          <w:trHeight w:val="300"/>
        </w:trPr>
        <w:tc>
          <w:tcPr>
            <w:tcW w:w="6252" w:type="dxa"/>
            <w:noWrap/>
            <w:hideMark/>
          </w:tcPr>
          <w:p w14:paraId="027C883C" w14:textId="77777777" w:rsidR="00B82D09" w:rsidRPr="00B82D09" w:rsidRDefault="00B82D09" w:rsidP="00B82D09">
            <w:pPr>
              <w:rPr>
                <w:rFonts w:cs="Arial"/>
                <w:color w:val="000000"/>
                <w:sz w:val="22"/>
                <w:szCs w:val="22"/>
              </w:rPr>
            </w:pPr>
            <w:r w:rsidRPr="00B82D09">
              <w:rPr>
                <w:rFonts w:cs="Arial"/>
                <w:color w:val="000000"/>
                <w:sz w:val="22"/>
                <w:szCs w:val="22"/>
              </w:rPr>
              <w:t>Team Manager</w:t>
            </w:r>
          </w:p>
        </w:tc>
        <w:tc>
          <w:tcPr>
            <w:tcW w:w="1276" w:type="dxa"/>
            <w:noWrap/>
            <w:hideMark/>
          </w:tcPr>
          <w:p w14:paraId="027C883D"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41</w:t>
            </w:r>
          </w:p>
        </w:tc>
        <w:tc>
          <w:tcPr>
            <w:tcW w:w="1134" w:type="dxa"/>
            <w:noWrap/>
            <w:hideMark/>
          </w:tcPr>
          <w:p w14:paraId="027C883E"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39</w:t>
            </w:r>
          </w:p>
        </w:tc>
      </w:tr>
      <w:tr w:rsidR="00B82D09" w:rsidRPr="00B82D09" w14:paraId="027C8843" w14:textId="77777777" w:rsidTr="004B4CD0">
        <w:trPr>
          <w:trHeight w:val="300"/>
        </w:trPr>
        <w:tc>
          <w:tcPr>
            <w:tcW w:w="6252" w:type="dxa"/>
            <w:noWrap/>
            <w:hideMark/>
          </w:tcPr>
          <w:p w14:paraId="027C8840" w14:textId="77777777" w:rsidR="00B82D09" w:rsidRPr="00B82D09" w:rsidRDefault="00B82D09" w:rsidP="00B82D09">
            <w:pPr>
              <w:rPr>
                <w:rFonts w:cs="Arial"/>
                <w:color w:val="000000"/>
                <w:sz w:val="22"/>
                <w:szCs w:val="22"/>
              </w:rPr>
            </w:pPr>
            <w:r w:rsidRPr="00B82D09">
              <w:rPr>
                <w:rFonts w:cs="Arial"/>
                <w:color w:val="000000"/>
                <w:sz w:val="22"/>
                <w:szCs w:val="22"/>
              </w:rPr>
              <w:t>Business support and Cohesion Manager</w:t>
            </w:r>
          </w:p>
        </w:tc>
        <w:tc>
          <w:tcPr>
            <w:tcW w:w="1276" w:type="dxa"/>
            <w:noWrap/>
            <w:hideMark/>
          </w:tcPr>
          <w:p w14:paraId="027C8841"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37</w:t>
            </w:r>
          </w:p>
        </w:tc>
        <w:tc>
          <w:tcPr>
            <w:tcW w:w="1134" w:type="dxa"/>
            <w:noWrap/>
            <w:hideMark/>
          </w:tcPr>
          <w:p w14:paraId="027C8842"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35</w:t>
            </w:r>
          </w:p>
        </w:tc>
      </w:tr>
      <w:tr w:rsidR="00B82D09" w:rsidRPr="00B82D09" w14:paraId="027C8847" w14:textId="77777777" w:rsidTr="004B4CD0">
        <w:trPr>
          <w:trHeight w:val="300"/>
        </w:trPr>
        <w:tc>
          <w:tcPr>
            <w:tcW w:w="6252" w:type="dxa"/>
            <w:noWrap/>
            <w:hideMark/>
          </w:tcPr>
          <w:p w14:paraId="027C8844" w14:textId="77777777" w:rsidR="00B82D09" w:rsidRPr="00B82D09" w:rsidRDefault="00B82D09" w:rsidP="00B82D09">
            <w:pPr>
              <w:rPr>
                <w:rFonts w:cs="Arial"/>
                <w:color w:val="000000"/>
                <w:sz w:val="22"/>
                <w:szCs w:val="22"/>
              </w:rPr>
            </w:pPr>
            <w:r w:rsidRPr="00B82D09">
              <w:rPr>
                <w:rFonts w:cs="Arial"/>
                <w:color w:val="000000"/>
                <w:sz w:val="22"/>
                <w:szCs w:val="22"/>
              </w:rPr>
              <w:t>Child Sufficiency Monitoring officer</w:t>
            </w:r>
          </w:p>
        </w:tc>
        <w:tc>
          <w:tcPr>
            <w:tcW w:w="1276" w:type="dxa"/>
            <w:noWrap/>
            <w:hideMark/>
          </w:tcPr>
          <w:p w14:paraId="027C8845"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32</w:t>
            </w:r>
          </w:p>
        </w:tc>
        <w:tc>
          <w:tcPr>
            <w:tcW w:w="1134" w:type="dxa"/>
            <w:noWrap/>
            <w:hideMark/>
          </w:tcPr>
          <w:p w14:paraId="027C8846"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30</w:t>
            </w:r>
          </w:p>
        </w:tc>
      </w:tr>
      <w:tr w:rsidR="00B82D09" w:rsidRPr="00B82D09" w14:paraId="027C884B" w14:textId="77777777" w:rsidTr="004B4CD0">
        <w:trPr>
          <w:trHeight w:val="300"/>
        </w:trPr>
        <w:tc>
          <w:tcPr>
            <w:tcW w:w="6252" w:type="dxa"/>
            <w:noWrap/>
            <w:hideMark/>
          </w:tcPr>
          <w:p w14:paraId="027C8848" w14:textId="77777777" w:rsidR="00B82D09" w:rsidRPr="00B82D09" w:rsidRDefault="00B82D09" w:rsidP="00B82D09">
            <w:pPr>
              <w:rPr>
                <w:rFonts w:cs="Arial"/>
                <w:color w:val="000000"/>
                <w:sz w:val="22"/>
                <w:szCs w:val="22"/>
              </w:rPr>
            </w:pPr>
            <w:r w:rsidRPr="00B82D09">
              <w:rPr>
                <w:rFonts w:cs="Arial"/>
                <w:color w:val="000000"/>
                <w:sz w:val="22"/>
                <w:szCs w:val="22"/>
              </w:rPr>
              <w:t>Child Sufficiency and Business Support Officer (X4)</w:t>
            </w:r>
          </w:p>
        </w:tc>
        <w:tc>
          <w:tcPr>
            <w:tcW w:w="1276" w:type="dxa"/>
            <w:noWrap/>
            <w:hideMark/>
          </w:tcPr>
          <w:p w14:paraId="027C8849"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96</w:t>
            </w:r>
          </w:p>
        </w:tc>
        <w:tc>
          <w:tcPr>
            <w:tcW w:w="1134" w:type="dxa"/>
            <w:noWrap/>
            <w:hideMark/>
          </w:tcPr>
          <w:p w14:paraId="027C884A"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91</w:t>
            </w:r>
          </w:p>
        </w:tc>
      </w:tr>
      <w:tr w:rsidR="00B82D09" w:rsidRPr="00B82D09" w14:paraId="027C884F" w14:textId="77777777" w:rsidTr="004B4CD0">
        <w:trPr>
          <w:trHeight w:val="300"/>
        </w:trPr>
        <w:tc>
          <w:tcPr>
            <w:tcW w:w="6252" w:type="dxa"/>
            <w:noWrap/>
            <w:hideMark/>
          </w:tcPr>
          <w:p w14:paraId="027C884C" w14:textId="77777777" w:rsidR="00B82D09" w:rsidRPr="00B82D09" w:rsidRDefault="00B82D09" w:rsidP="00B82D09">
            <w:pPr>
              <w:rPr>
                <w:rFonts w:ascii="Calibri" w:hAnsi="Calibri"/>
                <w:color w:val="000000"/>
                <w:sz w:val="22"/>
                <w:szCs w:val="22"/>
              </w:rPr>
            </w:pPr>
            <w:r w:rsidRPr="00B82D09">
              <w:rPr>
                <w:rFonts w:ascii="Calibri" w:hAnsi="Calibri"/>
                <w:color w:val="000000"/>
                <w:sz w:val="22"/>
                <w:szCs w:val="22"/>
              </w:rPr>
              <w:t> </w:t>
            </w:r>
          </w:p>
        </w:tc>
        <w:tc>
          <w:tcPr>
            <w:tcW w:w="1276" w:type="dxa"/>
            <w:noWrap/>
            <w:hideMark/>
          </w:tcPr>
          <w:p w14:paraId="027C884D"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c>
          <w:tcPr>
            <w:tcW w:w="1134" w:type="dxa"/>
            <w:noWrap/>
            <w:hideMark/>
          </w:tcPr>
          <w:p w14:paraId="027C884E"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r>
      <w:tr w:rsidR="00B82D09" w:rsidRPr="00B82D09" w14:paraId="027C8853" w14:textId="77777777" w:rsidTr="004B4CD0">
        <w:trPr>
          <w:trHeight w:val="300"/>
        </w:trPr>
        <w:tc>
          <w:tcPr>
            <w:tcW w:w="6252" w:type="dxa"/>
            <w:noWrap/>
            <w:hideMark/>
          </w:tcPr>
          <w:p w14:paraId="027C8850" w14:textId="77777777" w:rsidR="00B82D09" w:rsidRPr="00B82D09" w:rsidRDefault="00B82D09" w:rsidP="00B82D09">
            <w:pPr>
              <w:rPr>
                <w:rFonts w:cs="Arial"/>
                <w:b/>
                <w:bCs/>
                <w:color w:val="000000"/>
                <w:sz w:val="22"/>
                <w:szCs w:val="22"/>
              </w:rPr>
            </w:pPr>
            <w:r w:rsidRPr="00B82D09">
              <w:rPr>
                <w:rFonts w:cs="Arial"/>
                <w:b/>
                <w:bCs/>
                <w:color w:val="000000"/>
                <w:sz w:val="22"/>
                <w:szCs w:val="22"/>
              </w:rPr>
              <w:t>Early Help Area Inclusion Coordinators: support for early years settings</w:t>
            </w:r>
          </w:p>
        </w:tc>
        <w:tc>
          <w:tcPr>
            <w:tcW w:w="1276" w:type="dxa"/>
            <w:noWrap/>
            <w:hideMark/>
          </w:tcPr>
          <w:p w14:paraId="027C8851"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c>
          <w:tcPr>
            <w:tcW w:w="1134" w:type="dxa"/>
            <w:noWrap/>
            <w:hideMark/>
          </w:tcPr>
          <w:p w14:paraId="027C8852"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r>
      <w:tr w:rsidR="00B82D09" w:rsidRPr="00B82D09" w14:paraId="027C8857" w14:textId="77777777" w:rsidTr="004B4CD0">
        <w:trPr>
          <w:trHeight w:val="300"/>
        </w:trPr>
        <w:tc>
          <w:tcPr>
            <w:tcW w:w="6252" w:type="dxa"/>
            <w:noWrap/>
            <w:hideMark/>
          </w:tcPr>
          <w:p w14:paraId="027C8854" w14:textId="77777777" w:rsidR="00B82D09" w:rsidRPr="00B82D09" w:rsidRDefault="00B82D09" w:rsidP="00B82D09">
            <w:pPr>
              <w:rPr>
                <w:rFonts w:cs="Arial"/>
                <w:color w:val="000000"/>
                <w:sz w:val="22"/>
                <w:szCs w:val="22"/>
              </w:rPr>
            </w:pPr>
            <w:r w:rsidRPr="00B82D09">
              <w:rPr>
                <w:rFonts w:cs="Arial"/>
                <w:color w:val="000000"/>
                <w:sz w:val="22"/>
                <w:szCs w:val="22"/>
              </w:rPr>
              <w:t xml:space="preserve">Early Help Manager and Senior Inclusion Coordinators: </w:t>
            </w:r>
          </w:p>
        </w:tc>
        <w:tc>
          <w:tcPr>
            <w:tcW w:w="1276" w:type="dxa"/>
            <w:noWrap/>
            <w:hideMark/>
          </w:tcPr>
          <w:p w14:paraId="027C8855"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54</w:t>
            </w:r>
          </w:p>
        </w:tc>
        <w:tc>
          <w:tcPr>
            <w:tcW w:w="1134" w:type="dxa"/>
            <w:noWrap/>
            <w:hideMark/>
          </w:tcPr>
          <w:p w14:paraId="027C8856"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51</w:t>
            </w:r>
          </w:p>
        </w:tc>
      </w:tr>
      <w:tr w:rsidR="00B82D09" w:rsidRPr="00B82D09" w14:paraId="027C885B" w14:textId="77777777" w:rsidTr="004B4CD0">
        <w:trPr>
          <w:trHeight w:val="300"/>
        </w:trPr>
        <w:tc>
          <w:tcPr>
            <w:tcW w:w="6252" w:type="dxa"/>
            <w:noWrap/>
            <w:hideMark/>
          </w:tcPr>
          <w:p w14:paraId="027C8858" w14:textId="77777777" w:rsidR="00B82D09" w:rsidRPr="00B82D09" w:rsidRDefault="00B82D09" w:rsidP="00B82D09">
            <w:pPr>
              <w:rPr>
                <w:rFonts w:cs="Arial"/>
                <w:color w:val="000000"/>
                <w:sz w:val="22"/>
                <w:szCs w:val="22"/>
              </w:rPr>
            </w:pPr>
            <w:r w:rsidRPr="00B82D09">
              <w:rPr>
                <w:rFonts w:cs="Arial"/>
                <w:color w:val="000000"/>
                <w:sz w:val="22"/>
                <w:szCs w:val="22"/>
              </w:rPr>
              <w:t>Early Help Area Inclusion Coordinators (X3)</w:t>
            </w:r>
          </w:p>
        </w:tc>
        <w:tc>
          <w:tcPr>
            <w:tcW w:w="1276" w:type="dxa"/>
            <w:noWrap/>
            <w:hideMark/>
          </w:tcPr>
          <w:p w14:paraId="027C8859"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144</w:t>
            </w:r>
          </w:p>
        </w:tc>
        <w:tc>
          <w:tcPr>
            <w:tcW w:w="1134" w:type="dxa"/>
            <w:noWrap/>
            <w:hideMark/>
          </w:tcPr>
          <w:p w14:paraId="027C885A"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136</w:t>
            </w:r>
          </w:p>
        </w:tc>
      </w:tr>
      <w:tr w:rsidR="00B82D09" w:rsidRPr="00B82D09" w14:paraId="027C885F" w14:textId="77777777" w:rsidTr="004B4CD0">
        <w:trPr>
          <w:trHeight w:val="300"/>
        </w:trPr>
        <w:tc>
          <w:tcPr>
            <w:tcW w:w="6252" w:type="dxa"/>
            <w:noWrap/>
            <w:hideMark/>
          </w:tcPr>
          <w:p w14:paraId="027C885C" w14:textId="77777777" w:rsidR="00B82D09" w:rsidRPr="00B82D09" w:rsidRDefault="00B82D09" w:rsidP="00B82D09">
            <w:pPr>
              <w:rPr>
                <w:rFonts w:cs="Arial"/>
                <w:color w:val="000000"/>
                <w:sz w:val="22"/>
                <w:szCs w:val="22"/>
              </w:rPr>
            </w:pPr>
            <w:r w:rsidRPr="00B82D09">
              <w:rPr>
                <w:rFonts w:cs="Arial"/>
                <w:color w:val="000000"/>
                <w:sz w:val="22"/>
                <w:szCs w:val="22"/>
              </w:rPr>
              <w:t>Early help: Quality Assurance Teachers (X2)</w:t>
            </w:r>
          </w:p>
        </w:tc>
        <w:tc>
          <w:tcPr>
            <w:tcW w:w="1276" w:type="dxa"/>
            <w:noWrap/>
            <w:hideMark/>
          </w:tcPr>
          <w:p w14:paraId="027C885D"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96</w:t>
            </w:r>
          </w:p>
        </w:tc>
        <w:tc>
          <w:tcPr>
            <w:tcW w:w="1134" w:type="dxa"/>
            <w:noWrap/>
            <w:hideMark/>
          </w:tcPr>
          <w:p w14:paraId="027C885E"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91</w:t>
            </w:r>
          </w:p>
        </w:tc>
      </w:tr>
      <w:tr w:rsidR="00B82D09" w:rsidRPr="00B82D09" w14:paraId="027C8863" w14:textId="77777777" w:rsidTr="004B4CD0">
        <w:trPr>
          <w:trHeight w:val="300"/>
        </w:trPr>
        <w:tc>
          <w:tcPr>
            <w:tcW w:w="6252" w:type="dxa"/>
            <w:noWrap/>
            <w:hideMark/>
          </w:tcPr>
          <w:p w14:paraId="027C8860" w14:textId="77777777" w:rsidR="00B82D09" w:rsidRPr="00B82D09" w:rsidRDefault="00B82D09" w:rsidP="00B82D09">
            <w:pPr>
              <w:rPr>
                <w:rFonts w:ascii="Calibri" w:hAnsi="Calibri"/>
                <w:color w:val="000000"/>
                <w:sz w:val="22"/>
                <w:szCs w:val="22"/>
              </w:rPr>
            </w:pPr>
            <w:r w:rsidRPr="00B82D09">
              <w:rPr>
                <w:rFonts w:ascii="Calibri" w:hAnsi="Calibri"/>
                <w:color w:val="000000"/>
                <w:sz w:val="22"/>
                <w:szCs w:val="22"/>
              </w:rPr>
              <w:t> </w:t>
            </w:r>
          </w:p>
        </w:tc>
        <w:tc>
          <w:tcPr>
            <w:tcW w:w="1276" w:type="dxa"/>
            <w:noWrap/>
            <w:hideMark/>
          </w:tcPr>
          <w:p w14:paraId="027C8861"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c>
          <w:tcPr>
            <w:tcW w:w="1134" w:type="dxa"/>
            <w:noWrap/>
            <w:hideMark/>
          </w:tcPr>
          <w:p w14:paraId="027C8862"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r>
      <w:tr w:rsidR="00B82D09" w:rsidRPr="00B82D09" w14:paraId="027C8867" w14:textId="77777777" w:rsidTr="004B4CD0">
        <w:trPr>
          <w:trHeight w:val="300"/>
        </w:trPr>
        <w:tc>
          <w:tcPr>
            <w:tcW w:w="6252" w:type="dxa"/>
            <w:noWrap/>
            <w:hideMark/>
          </w:tcPr>
          <w:p w14:paraId="027C8864" w14:textId="77777777" w:rsidR="00B82D09" w:rsidRPr="00B82D09" w:rsidRDefault="00B82D09" w:rsidP="00B82D09">
            <w:pPr>
              <w:rPr>
                <w:rFonts w:cs="Arial"/>
                <w:color w:val="000000"/>
                <w:sz w:val="22"/>
                <w:szCs w:val="22"/>
              </w:rPr>
            </w:pPr>
            <w:r w:rsidRPr="00B82D09">
              <w:rPr>
                <w:rFonts w:cs="Arial"/>
                <w:color w:val="000000"/>
                <w:sz w:val="22"/>
                <w:szCs w:val="22"/>
              </w:rPr>
              <w:t>4. Quality Assurance PVI's</w:t>
            </w:r>
          </w:p>
        </w:tc>
        <w:tc>
          <w:tcPr>
            <w:tcW w:w="1276" w:type="dxa"/>
            <w:noWrap/>
            <w:hideMark/>
          </w:tcPr>
          <w:p w14:paraId="027C8865"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c>
          <w:tcPr>
            <w:tcW w:w="1134" w:type="dxa"/>
            <w:noWrap/>
            <w:hideMark/>
          </w:tcPr>
          <w:p w14:paraId="027C8866"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r>
      <w:tr w:rsidR="00B82D09" w:rsidRPr="00B82D09" w14:paraId="027C886B" w14:textId="77777777" w:rsidTr="004B4CD0">
        <w:trPr>
          <w:trHeight w:val="300"/>
        </w:trPr>
        <w:tc>
          <w:tcPr>
            <w:tcW w:w="6252" w:type="dxa"/>
            <w:noWrap/>
            <w:hideMark/>
          </w:tcPr>
          <w:p w14:paraId="027C8868" w14:textId="77777777" w:rsidR="00B82D09" w:rsidRPr="00B82D09" w:rsidRDefault="00B82D09" w:rsidP="00B82D09">
            <w:pPr>
              <w:rPr>
                <w:rFonts w:cs="Arial"/>
                <w:color w:val="000000"/>
                <w:sz w:val="22"/>
                <w:szCs w:val="22"/>
              </w:rPr>
            </w:pPr>
            <w:r w:rsidRPr="00B82D09">
              <w:rPr>
                <w:rFonts w:cs="Arial"/>
                <w:color w:val="000000"/>
                <w:sz w:val="22"/>
                <w:szCs w:val="22"/>
              </w:rPr>
              <w:t>Strategic Quality Manager</w:t>
            </w:r>
          </w:p>
        </w:tc>
        <w:tc>
          <w:tcPr>
            <w:tcW w:w="1276" w:type="dxa"/>
            <w:noWrap/>
            <w:hideMark/>
          </w:tcPr>
          <w:p w14:paraId="027C8869"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41</w:t>
            </w:r>
          </w:p>
        </w:tc>
        <w:tc>
          <w:tcPr>
            <w:tcW w:w="1134" w:type="dxa"/>
            <w:noWrap/>
            <w:hideMark/>
          </w:tcPr>
          <w:p w14:paraId="027C886A"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39</w:t>
            </w:r>
          </w:p>
        </w:tc>
      </w:tr>
      <w:tr w:rsidR="00B82D09" w:rsidRPr="00B82D09" w14:paraId="027C886F" w14:textId="77777777" w:rsidTr="004B4CD0">
        <w:trPr>
          <w:trHeight w:val="300"/>
        </w:trPr>
        <w:tc>
          <w:tcPr>
            <w:tcW w:w="6252" w:type="dxa"/>
            <w:noWrap/>
            <w:hideMark/>
          </w:tcPr>
          <w:p w14:paraId="027C886C" w14:textId="77777777" w:rsidR="00B82D09" w:rsidRPr="00B82D09" w:rsidRDefault="00B82D09" w:rsidP="00B82D09">
            <w:pPr>
              <w:rPr>
                <w:rFonts w:cs="Arial"/>
                <w:color w:val="000000"/>
                <w:sz w:val="22"/>
                <w:szCs w:val="22"/>
              </w:rPr>
            </w:pPr>
            <w:r w:rsidRPr="00B82D09">
              <w:rPr>
                <w:rFonts w:cs="Arial"/>
                <w:color w:val="000000"/>
                <w:sz w:val="22"/>
                <w:szCs w:val="22"/>
              </w:rPr>
              <w:t>Early Years Advisors (X4)</w:t>
            </w:r>
          </w:p>
        </w:tc>
        <w:tc>
          <w:tcPr>
            <w:tcW w:w="1276" w:type="dxa"/>
            <w:noWrap/>
            <w:hideMark/>
          </w:tcPr>
          <w:p w14:paraId="027C886D"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138</w:t>
            </w:r>
          </w:p>
        </w:tc>
        <w:tc>
          <w:tcPr>
            <w:tcW w:w="1134" w:type="dxa"/>
            <w:noWrap/>
            <w:hideMark/>
          </w:tcPr>
          <w:p w14:paraId="027C886E"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130</w:t>
            </w:r>
          </w:p>
        </w:tc>
      </w:tr>
      <w:tr w:rsidR="00B82D09" w:rsidRPr="00B82D09" w14:paraId="027C8873" w14:textId="77777777" w:rsidTr="004B4CD0">
        <w:trPr>
          <w:trHeight w:val="300"/>
        </w:trPr>
        <w:tc>
          <w:tcPr>
            <w:tcW w:w="6252" w:type="dxa"/>
            <w:noWrap/>
            <w:hideMark/>
          </w:tcPr>
          <w:p w14:paraId="027C8870" w14:textId="77777777" w:rsidR="00B82D09" w:rsidRPr="00B82D09" w:rsidRDefault="00B82D09" w:rsidP="00B82D09">
            <w:pPr>
              <w:rPr>
                <w:rFonts w:ascii="Calibri" w:hAnsi="Calibri"/>
                <w:color w:val="000000"/>
                <w:sz w:val="22"/>
                <w:szCs w:val="22"/>
              </w:rPr>
            </w:pPr>
            <w:r w:rsidRPr="00B82D09">
              <w:rPr>
                <w:rFonts w:ascii="Calibri" w:hAnsi="Calibri"/>
                <w:color w:val="000000"/>
                <w:sz w:val="22"/>
                <w:szCs w:val="22"/>
              </w:rPr>
              <w:t> </w:t>
            </w:r>
          </w:p>
        </w:tc>
        <w:tc>
          <w:tcPr>
            <w:tcW w:w="1276" w:type="dxa"/>
            <w:noWrap/>
            <w:hideMark/>
          </w:tcPr>
          <w:p w14:paraId="027C8871"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c>
          <w:tcPr>
            <w:tcW w:w="1134" w:type="dxa"/>
            <w:noWrap/>
            <w:hideMark/>
          </w:tcPr>
          <w:p w14:paraId="027C8872"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r>
      <w:tr w:rsidR="00B82D09" w:rsidRPr="00B82D09" w14:paraId="027C8877" w14:textId="77777777" w:rsidTr="004B4CD0">
        <w:trPr>
          <w:trHeight w:val="300"/>
        </w:trPr>
        <w:tc>
          <w:tcPr>
            <w:tcW w:w="6252" w:type="dxa"/>
            <w:noWrap/>
            <w:hideMark/>
          </w:tcPr>
          <w:p w14:paraId="027C8874" w14:textId="77777777" w:rsidR="00B82D09" w:rsidRPr="00B82D09" w:rsidRDefault="00B82D09" w:rsidP="00B82D09">
            <w:pPr>
              <w:rPr>
                <w:rFonts w:cs="Arial"/>
                <w:b/>
                <w:bCs/>
                <w:color w:val="000000"/>
                <w:sz w:val="22"/>
                <w:szCs w:val="22"/>
              </w:rPr>
            </w:pPr>
            <w:r w:rsidRPr="00B82D09">
              <w:rPr>
                <w:rFonts w:cs="Arial"/>
                <w:b/>
                <w:bCs/>
                <w:color w:val="000000"/>
                <w:sz w:val="22"/>
                <w:szCs w:val="22"/>
              </w:rPr>
              <w:t>Workforce Development</w:t>
            </w:r>
          </w:p>
        </w:tc>
        <w:tc>
          <w:tcPr>
            <w:tcW w:w="1276" w:type="dxa"/>
            <w:noWrap/>
            <w:hideMark/>
          </w:tcPr>
          <w:p w14:paraId="027C8875"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c>
          <w:tcPr>
            <w:tcW w:w="1134" w:type="dxa"/>
            <w:noWrap/>
            <w:hideMark/>
          </w:tcPr>
          <w:p w14:paraId="027C8876"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r>
      <w:tr w:rsidR="00B82D09" w:rsidRPr="00B82D09" w14:paraId="027C887B" w14:textId="77777777" w:rsidTr="004B4CD0">
        <w:trPr>
          <w:trHeight w:val="300"/>
        </w:trPr>
        <w:tc>
          <w:tcPr>
            <w:tcW w:w="6252" w:type="dxa"/>
            <w:noWrap/>
            <w:hideMark/>
          </w:tcPr>
          <w:p w14:paraId="027C8878" w14:textId="77777777" w:rsidR="00B82D09" w:rsidRPr="00B82D09" w:rsidRDefault="00B82D09" w:rsidP="00B82D09">
            <w:pPr>
              <w:rPr>
                <w:rFonts w:cs="Arial"/>
                <w:color w:val="000000"/>
                <w:sz w:val="22"/>
                <w:szCs w:val="22"/>
              </w:rPr>
            </w:pPr>
            <w:r w:rsidRPr="00B82D09">
              <w:rPr>
                <w:rFonts w:cs="Arial"/>
                <w:color w:val="000000"/>
                <w:sz w:val="22"/>
                <w:szCs w:val="22"/>
              </w:rPr>
              <w:t>Community and Workforce Development Manager</w:t>
            </w:r>
          </w:p>
        </w:tc>
        <w:tc>
          <w:tcPr>
            <w:tcW w:w="1276" w:type="dxa"/>
            <w:noWrap/>
            <w:hideMark/>
          </w:tcPr>
          <w:p w14:paraId="027C8879"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31</w:t>
            </w:r>
          </w:p>
        </w:tc>
        <w:tc>
          <w:tcPr>
            <w:tcW w:w="1134" w:type="dxa"/>
            <w:noWrap/>
            <w:hideMark/>
          </w:tcPr>
          <w:p w14:paraId="027C887A"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29</w:t>
            </w:r>
          </w:p>
        </w:tc>
      </w:tr>
      <w:tr w:rsidR="00B82D09" w:rsidRPr="00B82D09" w14:paraId="027C887F" w14:textId="77777777" w:rsidTr="004B4CD0">
        <w:trPr>
          <w:trHeight w:val="300"/>
        </w:trPr>
        <w:tc>
          <w:tcPr>
            <w:tcW w:w="6252" w:type="dxa"/>
            <w:noWrap/>
            <w:hideMark/>
          </w:tcPr>
          <w:p w14:paraId="027C887C" w14:textId="77777777" w:rsidR="00B82D09" w:rsidRPr="00B82D09" w:rsidRDefault="00B82D09" w:rsidP="00B82D09">
            <w:pPr>
              <w:rPr>
                <w:rFonts w:cs="Arial"/>
                <w:color w:val="000000"/>
                <w:sz w:val="22"/>
                <w:szCs w:val="22"/>
              </w:rPr>
            </w:pPr>
            <w:r w:rsidRPr="00B82D09">
              <w:rPr>
                <w:rFonts w:cs="Arial"/>
                <w:color w:val="000000"/>
                <w:sz w:val="22"/>
                <w:szCs w:val="22"/>
              </w:rPr>
              <w:t>Workforce development Worker</w:t>
            </w:r>
          </w:p>
        </w:tc>
        <w:tc>
          <w:tcPr>
            <w:tcW w:w="1276" w:type="dxa"/>
            <w:noWrap/>
            <w:hideMark/>
          </w:tcPr>
          <w:p w14:paraId="027C887D"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26</w:t>
            </w:r>
          </w:p>
        </w:tc>
        <w:tc>
          <w:tcPr>
            <w:tcW w:w="1134" w:type="dxa"/>
            <w:noWrap/>
            <w:hideMark/>
          </w:tcPr>
          <w:p w14:paraId="027C887E"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25</w:t>
            </w:r>
          </w:p>
        </w:tc>
      </w:tr>
      <w:tr w:rsidR="00B82D09" w:rsidRPr="00B82D09" w14:paraId="027C8883" w14:textId="77777777" w:rsidTr="004B4CD0">
        <w:trPr>
          <w:trHeight w:val="300"/>
        </w:trPr>
        <w:tc>
          <w:tcPr>
            <w:tcW w:w="6252" w:type="dxa"/>
            <w:noWrap/>
            <w:hideMark/>
          </w:tcPr>
          <w:p w14:paraId="027C8880" w14:textId="77777777" w:rsidR="00B82D09" w:rsidRPr="00B82D09" w:rsidRDefault="00B82D09" w:rsidP="00B82D09">
            <w:pPr>
              <w:rPr>
                <w:rFonts w:ascii="Calibri" w:hAnsi="Calibri"/>
                <w:color w:val="000000"/>
                <w:sz w:val="22"/>
                <w:szCs w:val="22"/>
              </w:rPr>
            </w:pPr>
            <w:r w:rsidRPr="00B82D09">
              <w:rPr>
                <w:rFonts w:ascii="Calibri" w:hAnsi="Calibri"/>
                <w:color w:val="000000"/>
                <w:sz w:val="22"/>
                <w:szCs w:val="22"/>
              </w:rPr>
              <w:t> </w:t>
            </w:r>
          </w:p>
        </w:tc>
        <w:tc>
          <w:tcPr>
            <w:tcW w:w="1276" w:type="dxa"/>
            <w:noWrap/>
            <w:hideMark/>
          </w:tcPr>
          <w:p w14:paraId="027C8881"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c>
          <w:tcPr>
            <w:tcW w:w="1134" w:type="dxa"/>
            <w:noWrap/>
            <w:hideMark/>
          </w:tcPr>
          <w:p w14:paraId="027C8882"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r>
      <w:tr w:rsidR="00B82D09" w:rsidRPr="00B82D09" w14:paraId="027C8887" w14:textId="77777777" w:rsidTr="004B4CD0">
        <w:trPr>
          <w:trHeight w:val="300"/>
        </w:trPr>
        <w:tc>
          <w:tcPr>
            <w:tcW w:w="6252" w:type="dxa"/>
            <w:noWrap/>
            <w:hideMark/>
          </w:tcPr>
          <w:p w14:paraId="027C8884" w14:textId="77777777" w:rsidR="00B82D09" w:rsidRPr="00B82D09" w:rsidRDefault="00B82D09" w:rsidP="00B82D09">
            <w:pPr>
              <w:rPr>
                <w:rFonts w:cs="Arial"/>
                <w:color w:val="000000"/>
                <w:sz w:val="22"/>
                <w:szCs w:val="22"/>
              </w:rPr>
            </w:pPr>
            <w:r w:rsidRPr="00B82D09">
              <w:rPr>
                <w:rFonts w:cs="Arial"/>
                <w:color w:val="000000"/>
                <w:sz w:val="22"/>
                <w:szCs w:val="22"/>
              </w:rPr>
              <w:t>Total</w:t>
            </w:r>
          </w:p>
        </w:tc>
        <w:tc>
          <w:tcPr>
            <w:tcW w:w="1276" w:type="dxa"/>
            <w:noWrap/>
            <w:hideMark/>
          </w:tcPr>
          <w:p w14:paraId="027C8885"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799</w:t>
            </w:r>
          </w:p>
        </w:tc>
        <w:tc>
          <w:tcPr>
            <w:tcW w:w="1134" w:type="dxa"/>
            <w:noWrap/>
            <w:hideMark/>
          </w:tcPr>
          <w:p w14:paraId="027C8886"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755</w:t>
            </w:r>
          </w:p>
        </w:tc>
      </w:tr>
      <w:tr w:rsidR="00B82D09" w:rsidRPr="00B82D09" w14:paraId="027C888B" w14:textId="77777777" w:rsidTr="004B4CD0">
        <w:trPr>
          <w:trHeight w:val="288"/>
        </w:trPr>
        <w:tc>
          <w:tcPr>
            <w:tcW w:w="6252" w:type="dxa"/>
            <w:noWrap/>
            <w:hideMark/>
          </w:tcPr>
          <w:p w14:paraId="027C8888" w14:textId="77777777" w:rsidR="00B82D09" w:rsidRPr="00B82D09" w:rsidRDefault="00B82D09" w:rsidP="00B82D09">
            <w:pPr>
              <w:rPr>
                <w:rFonts w:ascii="Calibri" w:hAnsi="Calibri"/>
                <w:color w:val="000000"/>
                <w:sz w:val="22"/>
                <w:szCs w:val="22"/>
              </w:rPr>
            </w:pPr>
          </w:p>
        </w:tc>
        <w:tc>
          <w:tcPr>
            <w:tcW w:w="1276" w:type="dxa"/>
            <w:noWrap/>
            <w:hideMark/>
          </w:tcPr>
          <w:p w14:paraId="027C8889" w14:textId="77777777" w:rsidR="00B82D09" w:rsidRPr="00B82D09" w:rsidRDefault="00B82D09" w:rsidP="00B82D09">
            <w:pPr>
              <w:rPr>
                <w:rFonts w:ascii="Calibri" w:hAnsi="Calibri"/>
                <w:color w:val="000000"/>
                <w:sz w:val="22"/>
                <w:szCs w:val="22"/>
              </w:rPr>
            </w:pPr>
          </w:p>
        </w:tc>
        <w:tc>
          <w:tcPr>
            <w:tcW w:w="1134" w:type="dxa"/>
            <w:noWrap/>
            <w:hideMark/>
          </w:tcPr>
          <w:p w14:paraId="027C888A" w14:textId="77777777" w:rsidR="00B82D09" w:rsidRPr="00B82D09" w:rsidRDefault="00B82D09" w:rsidP="00B82D09">
            <w:pPr>
              <w:rPr>
                <w:rFonts w:ascii="Calibri" w:hAnsi="Calibri"/>
                <w:color w:val="000000"/>
                <w:sz w:val="22"/>
                <w:szCs w:val="22"/>
              </w:rPr>
            </w:pPr>
          </w:p>
        </w:tc>
      </w:tr>
      <w:tr w:rsidR="00B82D09" w:rsidRPr="00B82D09" w14:paraId="027C888F" w14:textId="77777777" w:rsidTr="004B4CD0">
        <w:trPr>
          <w:trHeight w:val="324"/>
        </w:trPr>
        <w:tc>
          <w:tcPr>
            <w:tcW w:w="6252" w:type="dxa"/>
            <w:noWrap/>
            <w:hideMark/>
          </w:tcPr>
          <w:p w14:paraId="027C888C" w14:textId="77777777" w:rsidR="00B82D09" w:rsidRPr="00B82D09" w:rsidRDefault="00B82D09" w:rsidP="00B82D09">
            <w:pPr>
              <w:rPr>
                <w:rFonts w:ascii="Calibri" w:hAnsi="Calibri"/>
                <w:b/>
                <w:bCs/>
                <w:color w:val="000000"/>
              </w:rPr>
            </w:pPr>
            <w:r w:rsidRPr="00B82D09">
              <w:rPr>
                <w:rFonts w:ascii="Calibri" w:hAnsi="Calibri"/>
                <w:b/>
                <w:bCs/>
                <w:color w:val="000000"/>
              </w:rPr>
              <w:t xml:space="preserve">Appendix 2: </w:t>
            </w:r>
          </w:p>
        </w:tc>
        <w:tc>
          <w:tcPr>
            <w:tcW w:w="1276" w:type="dxa"/>
            <w:noWrap/>
            <w:hideMark/>
          </w:tcPr>
          <w:p w14:paraId="027C888D" w14:textId="77777777" w:rsidR="00B82D09" w:rsidRPr="00B82D09" w:rsidRDefault="00B82D09" w:rsidP="00B82D09">
            <w:pPr>
              <w:rPr>
                <w:rFonts w:ascii="Calibri" w:hAnsi="Calibri"/>
                <w:color w:val="000000"/>
                <w:sz w:val="22"/>
                <w:szCs w:val="22"/>
              </w:rPr>
            </w:pPr>
          </w:p>
        </w:tc>
        <w:tc>
          <w:tcPr>
            <w:tcW w:w="1134" w:type="dxa"/>
            <w:noWrap/>
            <w:hideMark/>
          </w:tcPr>
          <w:p w14:paraId="027C888E" w14:textId="77777777" w:rsidR="00B82D09" w:rsidRPr="00B82D09" w:rsidRDefault="00B82D09" w:rsidP="00B82D09">
            <w:pPr>
              <w:rPr>
                <w:rFonts w:ascii="Calibri" w:hAnsi="Calibri"/>
                <w:color w:val="000000"/>
                <w:sz w:val="22"/>
                <w:szCs w:val="22"/>
              </w:rPr>
            </w:pPr>
          </w:p>
        </w:tc>
      </w:tr>
      <w:tr w:rsidR="00B82D09" w:rsidRPr="00B82D09" w14:paraId="027C8893" w14:textId="77777777" w:rsidTr="004B4CD0">
        <w:trPr>
          <w:trHeight w:val="300"/>
        </w:trPr>
        <w:tc>
          <w:tcPr>
            <w:tcW w:w="6252" w:type="dxa"/>
            <w:noWrap/>
            <w:hideMark/>
          </w:tcPr>
          <w:p w14:paraId="027C8890" w14:textId="77777777" w:rsidR="00B82D09" w:rsidRPr="00B82D09" w:rsidRDefault="00B82D09" w:rsidP="00B82D09">
            <w:pPr>
              <w:rPr>
                <w:rFonts w:cs="Arial"/>
                <w:b/>
                <w:bCs/>
                <w:color w:val="000000"/>
                <w:sz w:val="22"/>
                <w:szCs w:val="22"/>
              </w:rPr>
            </w:pPr>
            <w:r w:rsidRPr="00B82D09">
              <w:rPr>
                <w:rFonts w:cs="Arial"/>
                <w:b/>
                <w:bCs/>
                <w:color w:val="000000"/>
                <w:sz w:val="22"/>
                <w:szCs w:val="22"/>
              </w:rPr>
              <w:t>LA day nurseries</w:t>
            </w:r>
          </w:p>
        </w:tc>
        <w:tc>
          <w:tcPr>
            <w:tcW w:w="1276" w:type="dxa"/>
            <w:noWrap/>
            <w:hideMark/>
          </w:tcPr>
          <w:p w14:paraId="027C8891"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c>
          <w:tcPr>
            <w:tcW w:w="1134" w:type="dxa"/>
            <w:noWrap/>
            <w:hideMark/>
          </w:tcPr>
          <w:p w14:paraId="027C8892" w14:textId="77777777" w:rsidR="00B82D09" w:rsidRPr="00B82D09" w:rsidRDefault="00B82D09" w:rsidP="00B82D09">
            <w:pPr>
              <w:rPr>
                <w:rFonts w:cs="Arial"/>
                <w:b/>
                <w:bCs/>
                <w:color w:val="000000"/>
                <w:sz w:val="22"/>
                <w:szCs w:val="22"/>
              </w:rPr>
            </w:pPr>
            <w:r w:rsidRPr="00B82D09">
              <w:rPr>
                <w:rFonts w:cs="Arial"/>
                <w:b/>
                <w:bCs/>
                <w:color w:val="000000"/>
                <w:sz w:val="22"/>
                <w:szCs w:val="22"/>
              </w:rPr>
              <w:t> </w:t>
            </w:r>
          </w:p>
        </w:tc>
      </w:tr>
      <w:tr w:rsidR="00B82D09" w:rsidRPr="00B82D09" w14:paraId="027C8897" w14:textId="77777777" w:rsidTr="004B4CD0">
        <w:trPr>
          <w:trHeight w:val="300"/>
        </w:trPr>
        <w:tc>
          <w:tcPr>
            <w:tcW w:w="6252" w:type="dxa"/>
            <w:noWrap/>
            <w:hideMark/>
          </w:tcPr>
          <w:p w14:paraId="027C8894" w14:textId="77777777" w:rsidR="00B82D09" w:rsidRPr="00B82D09" w:rsidRDefault="00B82D09" w:rsidP="00B82D09">
            <w:pPr>
              <w:rPr>
                <w:rFonts w:cs="Arial"/>
                <w:color w:val="000000"/>
                <w:sz w:val="22"/>
                <w:szCs w:val="22"/>
              </w:rPr>
            </w:pPr>
            <w:r w:rsidRPr="00B82D09">
              <w:rPr>
                <w:rFonts w:cs="Arial"/>
                <w:color w:val="000000"/>
                <w:sz w:val="22"/>
                <w:szCs w:val="22"/>
              </w:rPr>
              <w:t>Day-care Nursery Manager</w:t>
            </w:r>
          </w:p>
        </w:tc>
        <w:tc>
          <w:tcPr>
            <w:tcW w:w="1276" w:type="dxa"/>
            <w:noWrap/>
            <w:hideMark/>
          </w:tcPr>
          <w:p w14:paraId="027C8895"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40</w:t>
            </w:r>
          </w:p>
        </w:tc>
        <w:tc>
          <w:tcPr>
            <w:tcW w:w="1134" w:type="dxa"/>
            <w:noWrap/>
            <w:hideMark/>
          </w:tcPr>
          <w:p w14:paraId="027C8896"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0</w:t>
            </w:r>
          </w:p>
        </w:tc>
      </w:tr>
      <w:tr w:rsidR="00B82D09" w:rsidRPr="00B82D09" w14:paraId="027C889B" w14:textId="77777777" w:rsidTr="004B4CD0">
        <w:trPr>
          <w:trHeight w:val="300"/>
        </w:trPr>
        <w:tc>
          <w:tcPr>
            <w:tcW w:w="6252" w:type="dxa"/>
            <w:noWrap/>
            <w:hideMark/>
          </w:tcPr>
          <w:p w14:paraId="027C8898" w14:textId="77777777" w:rsidR="00B82D09" w:rsidRPr="00B82D09" w:rsidRDefault="00B82D09" w:rsidP="00B82D09">
            <w:pPr>
              <w:rPr>
                <w:rFonts w:cs="Arial"/>
                <w:color w:val="000000"/>
                <w:sz w:val="22"/>
                <w:szCs w:val="22"/>
              </w:rPr>
            </w:pPr>
            <w:r w:rsidRPr="00B82D09">
              <w:rPr>
                <w:rFonts w:cs="Arial"/>
                <w:color w:val="000000"/>
                <w:sz w:val="22"/>
                <w:szCs w:val="22"/>
              </w:rPr>
              <w:t>John Smith (Staffing + Running Costs)</w:t>
            </w:r>
          </w:p>
        </w:tc>
        <w:tc>
          <w:tcPr>
            <w:tcW w:w="1276" w:type="dxa"/>
            <w:noWrap/>
            <w:hideMark/>
          </w:tcPr>
          <w:p w14:paraId="027C8899"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165</w:t>
            </w:r>
          </w:p>
        </w:tc>
        <w:tc>
          <w:tcPr>
            <w:tcW w:w="1134" w:type="dxa"/>
            <w:noWrap/>
            <w:hideMark/>
          </w:tcPr>
          <w:p w14:paraId="027C889A"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0</w:t>
            </w:r>
          </w:p>
        </w:tc>
      </w:tr>
      <w:tr w:rsidR="00B82D09" w:rsidRPr="00B82D09" w14:paraId="027C889F" w14:textId="77777777" w:rsidTr="004B4CD0">
        <w:trPr>
          <w:trHeight w:val="300"/>
        </w:trPr>
        <w:tc>
          <w:tcPr>
            <w:tcW w:w="6252" w:type="dxa"/>
            <w:noWrap/>
            <w:hideMark/>
          </w:tcPr>
          <w:p w14:paraId="027C889C" w14:textId="77777777" w:rsidR="00B82D09" w:rsidRPr="00B82D09" w:rsidRDefault="00B82D09" w:rsidP="00B82D09">
            <w:pPr>
              <w:rPr>
                <w:rFonts w:cs="Arial"/>
                <w:color w:val="000000"/>
                <w:sz w:val="22"/>
                <w:szCs w:val="22"/>
              </w:rPr>
            </w:pPr>
            <w:r w:rsidRPr="00B82D09">
              <w:rPr>
                <w:rFonts w:cs="Arial"/>
                <w:color w:val="000000"/>
                <w:sz w:val="22"/>
                <w:szCs w:val="22"/>
              </w:rPr>
              <w:t>Mary Sambrook (Staffing + Running Costs)</w:t>
            </w:r>
          </w:p>
        </w:tc>
        <w:tc>
          <w:tcPr>
            <w:tcW w:w="1276" w:type="dxa"/>
            <w:noWrap/>
            <w:hideMark/>
          </w:tcPr>
          <w:p w14:paraId="027C889D"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148</w:t>
            </w:r>
          </w:p>
        </w:tc>
        <w:tc>
          <w:tcPr>
            <w:tcW w:w="1134" w:type="dxa"/>
            <w:noWrap/>
            <w:hideMark/>
          </w:tcPr>
          <w:p w14:paraId="027C889E"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0</w:t>
            </w:r>
          </w:p>
        </w:tc>
      </w:tr>
      <w:tr w:rsidR="00B82D09" w:rsidRPr="00B82D09" w14:paraId="027C88A3" w14:textId="77777777" w:rsidTr="004B4CD0">
        <w:trPr>
          <w:trHeight w:val="300"/>
        </w:trPr>
        <w:tc>
          <w:tcPr>
            <w:tcW w:w="6252" w:type="dxa"/>
            <w:noWrap/>
            <w:hideMark/>
          </w:tcPr>
          <w:p w14:paraId="027C88A0" w14:textId="77777777" w:rsidR="00B82D09" w:rsidRPr="00B82D09" w:rsidRDefault="00B82D09" w:rsidP="00B82D09">
            <w:pPr>
              <w:rPr>
                <w:rFonts w:cs="Arial"/>
                <w:color w:val="000000"/>
                <w:sz w:val="22"/>
                <w:szCs w:val="22"/>
              </w:rPr>
            </w:pPr>
            <w:r w:rsidRPr="00B82D09">
              <w:rPr>
                <w:rFonts w:cs="Arial"/>
                <w:color w:val="000000"/>
                <w:sz w:val="22"/>
                <w:szCs w:val="22"/>
              </w:rPr>
              <w:t>Overland (Staffing + Running Costs)</w:t>
            </w:r>
          </w:p>
        </w:tc>
        <w:tc>
          <w:tcPr>
            <w:tcW w:w="1276" w:type="dxa"/>
            <w:noWrap/>
            <w:hideMark/>
          </w:tcPr>
          <w:p w14:paraId="027C88A1"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187</w:t>
            </w:r>
          </w:p>
        </w:tc>
        <w:tc>
          <w:tcPr>
            <w:tcW w:w="1134" w:type="dxa"/>
            <w:noWrap/>
            <w:hideMark/>
          </w:tcPr>
          <w:p w14:paraId="027C88A2"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0</w:t>
            </w:r>
          </w:p>
        </w:tc>
      </w:tr>
      <w:tr w:rsidR="00B82D09" w:rsidRPr="00B82D09" w14:paraId="027C88A7" w14:textId="77777777" w:rsidTr="004B4CD0">
        <w:trPr>
          <w:trHeight w:val="300"/>
        </w:trPr>
        <w:tc>
          <w:tcPr>
            <w:tcW w:w="6252" w:type="dxa"/>
            <w:noWrap/>
            <w:hideMark/>
          </w:tcPr>
          <w:p w14:paraId="027C88A4" w14:textId="77777777" w:rsidR="00B82D09" w:rsidRPr="00B82D09" w:rsidRDefault="00B82D09" w:rsidP="00B82D09">
            <w:pPr>
              <w:rPr>
                <w:rFonts w:cs="Arial"/>
                <w:color w:val="000000"/>
                <w:sz w:val="22"/>
                <w:szCs w:val="22"/>
              </w:rPr>
            </w:pPr>
            <w:r w:rsidRPr="00B82D09">
              <w:rPr>
                <w:rFonts w:cs="Arial"/>
                <w:color w:val="000000"/>
                <w:sz w:val="22"/>
                <w:szCs w:val="22"/>
              </w:rPr>
              <w:t xml:space="preserve">Total </w:t>
            </w:r>
          </w:p>
        </w:tc>
        <w:tc>
          <w:tcPr>
            <w:tcW w:w="1276" w:type="dxa"/>
            <w:noWrap/>
            <w:hideMark/>
          </w:tcPr>
          <w:p w14:paraId="027C88A5"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540</w:t>
            </w:r>
          </w:p>
        </w:tc>
        <w:tc>
          <w:tcPr>
            <w:tcW w:w="1134" w:type="dxa"/>
            <w:noWrap/>
            <w:hideMark/>
          </w:tcPr>
          <w:p w14:paraId="027C88A6"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0</w:t>
            </w:r>
          </w:p>
        </w:tc>
      </w:tr>
      <w:tr w:rsidR="00B82D09" w:rsidRPr="00B82D09" w14:paraId="027C88AB" w14:textId="77777777" w:rsidTr="004B4CD0">
        <w:trPr>
          <w:trHeight w:val="300"/>
        </w:trPr>
        <w:tc>
          <w:tcPr>
            <w:tcW w:w="6252" w:type="dxa"/>
            <w:noWrap/>
            <w:hideMark/>
          </w:tcPr>
          <w:p w14:paraId="027C88A8" w14:textId="77777777" w:rsidR="00B82D09" w:rsidRPr="00B82D09" w:rsidRDefault="00B82D09" w:rsidP="00B82D09">
            <w:pPr>
              <w:rPr>
                <w:rFonts w:ascii="Calibri" w:hAnsi="Calibri"/>
                <w:color w:val="000000"/>
                <w:sz w:val="22"/>
                <w:szCs w:val="22"/>
              </w:rPr>
            </w:pPr>
          </w:p>
        </w:tc>
        <w:tc>
          <w:tcPr>
            <w:tcW w:w="1276" w:type="dxa"/>
            <w:noWrap/>
            <w:hideMark/>
          </w:tcPr>
          <w:p w14:paraId="027C88A9" w14:textId="77777777" w:rsidR="00B82D09" w:rsidRPr="00B82D09" w:rsidRDefault="00B82D09" w:rsidP="00B82D09">
            <w:pPr>
              <w:rPr>
                <w:rFonts w:ascii="Calibri" w:hAnsi="Calibri"/>
                <w:color w:val="000000"/>
                <w:sz w:val="22"/>
                <w:szCs w:val="22"/>
              </w:rPr>
            </w:pPr>
          </w:p>
        </w:tc>
        <w:tc>
          <w:tcPr>
            <w:tcW w:w="1134" w:type="dxa"/>
            <w:noWrap/>
            <w:hideMark/>
          </w:tcPr>
          <w:p w14:paraId="027C88AA" w14:textId="77777777" w:rsidR="00B82D09" w:rsidRPr="00B82D09" w:rsidRDefault="00B82D09" w:rsidP="00B82D09">
            <w:pPr>
              <w:rPr>
                <w:rFonts w:ascii="Calibri" w:hAnsi="Calibri"/>
                <w:color w:val="000000"/>
                <w:sz w:val="22"/>
                <w:szCs w:val="22"/>
              </w:rPr>
            </w:pPr>
          </w:p>
        </w:tc>
      </w:tr>
      <w:tr w:rsidR="00B82D09" w:rsidRPr="00B82D09" w14:paraId="027C88AF" w14:textId="77777777" w:rsidTr="004B4CD0">
        <w:trPr>
          <w:trHeight w:val="300"/>
        </w:trPr>
        <w:tc>
          <w:tcPr>
            <w:tcW w:w="6252" w:type="dxa"/>
            <w:noWrap/>
            <w:hideMark/>
          </w:tcPr>
          <w:p w14:paraId="027C88AC" w14:textId="77777777" w:rsidR="00B82D09" w:rsidRPr="00B82D09" w:rsidRDefault="00B82D09" w:rsidP="00B82D09">
            <w:pPr>
              <w:rPr>
                <w:rFonts w:cs="Arial"/>
                <w:color w:val="000000"/>
                <w:sz w:val="22"/>
                <w:szCs w:val="22"/>
              </w:rPr>
            </w:pPr>
            <w:r w:rsidRPr="00B82D09">
              <w:rPr>
                <w:rFonts w:cs="Arial"/>
                <w:color w:val="000000"/>
                <w:sz w:val="22"/>
                <w:szCs w:val="22"/>
              </w:rPr>
              <w:t xml:space="preserve">Unallocated Funding </w:t>
            </w:r>
          </w:p>
        </w:tc>
        <w:tc>
          <w:tcPr>
            <w:tcW w:w="1276" w:type="dxa"/>
            <w:noWrap/>
            <w:hideMark/>
          </w:tcPr>
          <w:p w14:paraId="027C88AD" w14:textId="77777777" w:rsidR="00B82D09" w:rsidRPr="00B82D09" w:rsidRDefault="00B82D09" w:rsidP="00B82D09">
            <w:pPr>
              <w:rPr>
                <w:rFonts w:ascii="Calibri" w:hAnsi="Calibri"/>
                <w:color w:val="000000"/>
                <w:sz w:val="22"/>
                <w:szCs w:val="22"/>
              </w:rPr>
            </w:pPr>
            <w:r w:rsidRPr="00B82D09">
              <w:rPr>
                <w:rFonts w:ascii="Calibri" w:hAnsi="Calibri"/>
                <w:color w:val="000000"/>
                <w:sz w:val="22"/>
                <w:szCs w:val="22"/>
              </w:rPr>
              <w:t> </w:t>
            </w:r>
          </w:p>
        </w:tc>
        <w:tc>
          <w:tcPr>
            <w:tcW w:w="1134" w:type="dxa"/>
            <w:noWrap/>
            <w:hideMark/>
          </w:tcPr>
          <w:p w14:paraId="027C88AE"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510</w:t>
            </w:r>
          </w:p>
        </w:tc>
      </w:tr>
      <w:tr w:rsidR="00B82D09" w:rsidRPr="00B82D09" w14:paraId="027C88B3" w14:textId="77777777" w:rsidTr="004B4CD0">
        <w:trPr>
          <w:trHeight w:val="300"/>
        </w:trPr>
        <w:tc>
          <w:tcPr>
            <w:tcW w:w="6252" w:type="dxa"/>
            <w:noWrap/>
            <w:hideMark/>
          </w:tcPr>
          <w:p w14:paraId="027C88B0" w14:textId="77777777" w:rsidR="00B82D09" w:rsidRPr="00B82D09" w:rsidRDefault="00B82D09" w:rsidP="00B82D09">
            <w:pPr>
              <w:rPr>
                <w:rFonts w:cs="Arial"/>
                <w:color w:val="000000"/>
                <w:sz w:val="22"/>
                <w:szCs w:val="22"/>
              </w:rPr>
            </w:pPr>
            <w:r w:rsidRPr="00B82D09">
              <w:rPr>
                <w:rFonts w:cs="Arial"/>
                <w:color w:val="000000"/>
                <w:sz w:val="22"/>
                <w:szCs w:val="22"/>
              </w:rPr>
              <w:lastRenderedPageBreak/>
              <w:t>Balance to be found from additional in-year savings</w:t>
            </w:r>
          </w:p>
        </w:tc>
        <w:tc>
          <w:tcPr>
            <w:tcW w:w="1276" w:type="dxa"/>
            <w:noWrap/>
            <w:hideMark/>
          </w:tcPr>
          <w:p w14:paraId="027C88B1"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-100</w:t>
            </w:r>
          </w:p>
        </w:tc>
        <w:tc>
          <w:tcPr>
            <w:tcW w:w="1134" w:type="dxa"/>
            <w:noWrap/>
            <w:hideMark/>
          </w:tcPr>
          <w:p w14:paraId="027C88B2" w14:textId="77777777" w:rsidR="00B82D09" w:rsidRPr="00B82D09" w:rsidRDefault="00B82D09" w:rsidP="00B82D09">
            <w:pPr>
              <w:jc w:val="right"/>
              <w:rPr>
                <w:rFonts w:cs="Arial"/>
                <w:b/>
                <w:bCs/>
                <w:color w:val="000000"/>
                <w:sz w:val="22"/>
                <w:szCs w:val="22"/>
              </w:rPr>
            </w:pPr>
            <w:r w:rsidRPr="00B82D09">
              <w:rPr>
                <w:rFonts w:cs="Arial"/>
                <w:b/>
                <w:bCs/>
                <w:color w:val="000000"/>
                <w:sz w:val="22"/>
                <w:szCs w:val="22"/>
              </w:rPr>
              <w:t>0</w:t>
            </w:r>
          </w:p>
        </w:tc>
      </w:tr>
    </w:tbl>
    <w:p w14:paraId="027C88B4" w14:textId="77777777" w:rsidR="001F57B5" w:rsidRPr="006C27F7" w:rsidRDefault="001F57B5" w:rsidP="006C27F7">
      <w:pPr>
        <w:spacing w:after="120"/>
        <w:ind w:left="360"/>
        <w:jc w:val="both"/>
        <w:rPr>
          <w:rFonts w:eastAsiaTheme="minorHAnsi" w:cs="Arial"/>
          <w:lang w:eastAsia="en-US"/>
        </w:rPr>
      </w:pPr>
    </w:p>
    <w:p w14:paraId="027C88B5" w14:textId="77777777" w:rsidR="00B033DE" w:rsidRDefault="00B033DE" w:rsidP="00B033DE">
      <w:pPr>
        <w:pStyle w:val="ListParagraph"/>
        <w:spacing w:after="120"/>
        <w:ind w:left="792"/>
        <w:jc w:val="both"/>
        <w:rPr>
          <w:rFonts w:eastAsiaTheme="minorHAnsi" w:cs="Arial"/>
          <w:lang w:eastAsia="en-US"/>
        </w:rPr>
      </w:pPr>
    </w:p>
    <w:p w14:paraId="027C88B6" w14:textId="77777777" w:rsidR="00681282" w:rsidRPr="00681282" w:rsidRDefault="00681282" w:rsidP="00681282">
      <w:pPr>
        <w:pStyle w:val="ListParagraph"/>
        <w:spacing w:after="120"/>
        <w:ind w:left="360"/>
        <w:jc w:val="both"/>
        <w:rPr>
          <w:rFonts w:eastAsiaTheme="minorHAnsi" w:cs="Arial"/>
          <w:lang w:eastAsia="en-US"/>
        </w:rPr>
      </w:pPr>
      <w:r w:rsidRPr="00681282">
        <w:rPr>
          <w:rFonts w:eastAsiaTheme="minorHAnsi" w:cs="Arial"/>
          <w:b/>
          <w:bCs/>
          <w:lang w:eastAsia="en-US"/>
        </w:rPr>
        <w:t xml:space="preserve">Background Papers and Contact Officer Details </w:t>
      </w:r>
    </w:p>
    <w:p w14:paraId="027C88B7" w14:textId="77777777" w:rsidR="00681282" w:rsidRPr="00681282" w:rsidRDefault="00681282" w:rsidP="00935918">
      <w:pPr>
        <w:pStyle w:val="ListParagraph"/>
        <w:spacing w:after="120"/>
        <w:ind w:left="360"/>
        <w:jc w:val="both"/>
        <w:rPr>
          <w:rFonts w:eastAsiaTheme="minorHAnsi" w:cs="Arial"/>
          <w:lang w:eastAsia="en-US"/>
        </w:rPr>
      </w:pPr>
      <w:r w:rsidRPr="00681282">
        <w:rPr>
          <w:rFonts w:eastAsiaTheme="minorHAnsi" w:cs="Arial"/>
          <w:lang w:eastAsia="en-US"/>
        </w:rPr>
        <w:t xml:space="preserve">List of background papers held by </w:t>
      </w:r>
      <w:r w:rsidR="00935918">
        <w:rPr>
          <w:rFonts w:eastAsiaTheme="minorHAnsi" w:cs="Arial"/>
          <w:lang w:eastAsia="en-US"/>
        </w:rPr>
        <w:t>Sailesh Patel</w:t>
      </w:r>
      <w:r w:rsidRPr="00681282">
        <w:rPr>
          <w:rFonts w:eastAsiaTheme="minorHAnsi" w:cs="Arial"/>
          <w:lang w:eastAsia="en-US"/>
        </w:rPr>
        <w:t xml:space="preserve"> on Schools Forum File: </w:t>
      </w:r>
    </w:p>
    <w:p w14:paraId="027C88B8" w14:textId="77777777" w:rsidR="00681282" w:rsidRPr="00681282" w:rsidRDefault="00681282" w:rsidP="00935918">
      <w:pPr>
        <w:pStyle w:val="ListParagraph"/>
        <w:spacing w:after="120"/>
        <w:ind w:left="360"/>
        <w:jc w:val="both"/>
        <w:rPr>
          <w:rFonts w:eastAsiaTheme="minorHAnsi" w:cs="Arial"/>
          <w:lang w:eastAsia="en-US"/>
        </w:rPr>
      </w:pPr>
      <w:r w:rsidRPr="00681282">
        <w:rPr>
          <w:rFonts w:eastAsiaTheme="minorHAnsi" w:cs="Arial"/>
          <w:lang w:eastAsia="en-US"/>
        </w:rPr>
        <w:t>1. Schools revenue funding 201</w:t>
      </w:r>
      <w:r w:rsidR="00CD5077">
        <w:rPr>
          <w:rFonts w:eastAsiaTheme="minorHAnsi" w:cs="Arial"/>
          <w:lang w:eastAsia="en-US"/>
        </w:rPr>
        <w:t>9 to 2020</w:t>
      </w:r>
      <w:r w:rsidRPr="00681282">
        <w:rPr>
          <w:rFonts w:eastAsiaTheme="minorHAnsi" w:cs="Arial"/>
          <w:lang w:eastAsia="en-US"/>
        </w:rPr>
        <w:t xml:space="preserve"> Operational guide, September 201</w:t>
      </w:r>
      <w:r w:rsidR="00CD5077">
        <w:rPr>
          <w:rFonts w:eastAsiaTheme="minorHAnsi" w:cs="Arial"/>
          <w:lang w:eastAsia="en-US"/>
        </w:rPr>
        <w:t>8</w:t>
      </w:r>
      <w:r w:rsidRPr="00681282">
        <w:rPr>
          <w:rFonts w:eastAsiaTheme="minorHAnsi" w:cs="Arial"/>
          <w:lang w:eastAsia="en-US"/>
        </w:rPr>
        <w:t xml:space="preserve"> </w:t>
      </w:r>
    </w:p>
    <w:p w14:paraId="027C88B9" w14:textId="77777777" w:rsidR="00681282" w:rsidRPr="00681282" w:rsidRDefault="00681282" w:rsidP="00935918">
      <w:pPr>
        <w:pStyle w:val="ListParagraph"/>
        <w:spacing w:after="120"/>
        <w:ind w:left="360"/>
        <w:jc w:val="both"/>
        <w:rPr>
          <w:rFonts w:eastAsiaTheme="minorHAnsi" w:cs="Arial"/>
          <w:lang w:eastAsia="en-US"/>
        </w:rPr>
      </w:pPr>
      <w:r w:rsidRPr="00681282">
        <w:rPr>
          <w:rFonts w:eastAsiaTheme="minorHAnsi" w:cs="Arial"/>
          <w:lang w:eastAsia="en-US"/>
        </w:rPr>
        <w:t>2. DSG allocations by Local Authority for 201</w:t>
      </w:r>
      <w:r w:rsidR="00216119">
        <w:rPr>
          <w:rFonts w:eastAsiaTheme="minorHAnsi" w:cs="Arial"/>
          <w:lang w:eastAsia="en-US"/>
        </w:rPr>
        <w:t>9-20</w:t>
      </w:r>
      <w:r w:rsidRPr="00681282">
        <w:rPr>
          <w:rFonts w:eastAsiaTheme="minorHAnsi" w:cs="Arial"/>
          <w:lang w:eastAsia="en-US"/>
        </w:rPr>
        <w:t xml:space="preserve"> </w:t>
      </w:r>
    </w:p>
    <w:p w14:paraId="027C88BA" w14:textId="77777777" w:rsidR="00F84169" w:rsidRDefault="00F84169" w:rsidP="00F84169">
      <w:pPr>
        <w:pStyle w:val="ListParagraph"/>
        <w:spacing w:after="120"/>
        <w:ind w:left="792"/>
        <w:jc w:val="both"/>
        <w:rPr>
          <w:rFonts w:eastAsiaTheme="minorHAnsi" w:cs="Arial"/>
          <w:lang w:eastAsia="en-US"/>
        </w:rPr>
      </w:pPr>
    </w:p>
    <w:sectPr w:rsidR="00F84169" w:rsidSect="00636B4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B7485" w14:textId="77777777" w:rsidR="00561F2B" w:rsidRDefault="00561F2B" w:rsidP="00F55F84">
      <w:r>
        <w:separator/>
      </w:r>
    </w:p>
  </w:endnote>
  <w:endnote w:type="continuationSeparator" w:id="0">
    <w:p w14:paraId="64D7C20F" w14:textId="77777777" w:rsidR="00561F2B" w:rsidRDefault="00561F2B" w:rsidP="00F5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C88C1" w14:textId="77777777" w:rsidR="0061029D" w:rsidRDefault="0061029D">
    <w:pPr>
      <w:pStyle w:val="Footer"/>
      <w:jc w:val="center"/>
    </w:pPr>
  </w:p>
  <w:p w14:paraId="027C88C2" w14:textId="77777777" w:rsidR="00FE08EE" w:rsidRDefault="00FE08EE" w:rsidP="00FE08EE">
    <w:pPr>
      <w:pStyle w:val="Footer"/>
      <w:pBdr>
        <w:top w:val="single" w:sz="4" w:space="1" w:color="auto"/>
      </w:pBdr>
      <w:jc w:val="center"/>
      <w:rPr>
        <w:b/>
      </w:rPr>
    </w:pPr>
    <w:r w:rsidRPr="00F00DA9">
      <w:rPr>
        <w:b/>
      </w:rPr>
      <w:t xml:space="preserve">Schools Forum Meeting </w:t>
    </w:r>
    <w:r>
      <w:rPr>
        <w:b/>
      </w:rPr>
      <w:t>1</w:t>
    </w:r>
    <w:r w:rsidR="00083DE7">
      <w:rPr>
        <w:b/>
      </w:rPr>
      <w:t>6</w:t>
    </w:r>
    <w:r w:rsidRPr="00F00DA9">
      <w:rPr>
        <w:b/>
      </w:rPr>
      <w:t xml:space="preserve"> </w:t>
    </w:r>
    <w:r>
      <w:rPr>
        <w:b/>
      </w:rPr>
      <w:t>Jan 201</w:t>
    </w:r>
    <w:r w:rsidR="00083DE7">
      <w:rPr>
        <w:b/>
      </w:rPr>
      <w:t>9</w:t>
    </w:r>
    <w:r>
      <w:rPr>
        <w:b/>
      </w:rPr>
      <w:t xml:space="preserve"> – Early Years Funding 20</w:t>
    </w:r>
    <w:r w:rsidR="00083DE7">
      <w:rPr>
        <w:b/>
      </w:rPr>
      <w:t>19-20</w:t>
    </w:r>
  </w:p>
  <w:p w14:paraId="027C88C3" w14:textId="77777777" w:rsidR="00FE08EE" w:rsidRPr="00F00DA9" w:rsidRDefault="00FE08EE" w:rsidP="00FE08EE">
    <w:pPr>
      <w:pStyle w:val="Footer"/>
      <w:pBdr>
        <w:top w:val="single" w:sz="4" w:space="1" w:color="auto"/>
      </w:pBdr>
      <w:jc w:val="center"/>
      <w:rPr>
        <w:b/>
      </w:rPr>
    </w:pPr>
    <w:r w:rsidRPr="00F00DA9">
      <w:rPr>
        <w:b/>
      </w:rPr>
      <w:t xml:space="preserve">Page </w:t>
    </w:r>
    <w:r w:rsidRPr="00F00DA9">
      <w:rPr>
        <w:b/>
      </w:rPr>
      <w:fldChar w:fldCharType="begin"/>
    </w:r>
    <w:r w:rsidRPr="00F00DA9">
      <w:rPr>
        <w:b/>
      </w:rPr>
      <w:instrText xml:space="preserve"> PAGE  \* Arabic  \* MERGEFORMAT </w:instrText>
    </w:r>
    <w:r w:rsidRPr="00F00DA9">
      <w:rPr>
        <w:b/>
      </w:rPr>
      <w:fldChar w:fldCharType="separate"/>
    </w:r>
    <w:r w:rsidR="0002114C">
      <w:rPr>
        <w:b/>
        <w:noProof/>
      </w:rPr>
      <w:t>5</w:t>
    </w:r>
    <w:r w:rsidRPr="00F00DA9">
      <w:rPr>
        <w:b/>
      </w:rPr>
      <w:fldChar w:fldCharType="end"/>
    </w:r>
    <w:r w:rsidRPr="00F00DA9">
      <w:rPr>
        <w:b/>
      </w:rPr>
      <w:t xml:space="preserve"> of </w:t>
    </w:r>
    <w:r w:rsidRPr="00F00DA9">
      <w:rPr>
        <w:b/>
      </w:rPr>
      <w:fldChar w:fldCharType="begin"/>
    </w:r>
    <w:r w:rsidRPr="00F00DA9">
      <w:rPr>
        <w:b/>
      </w:rPr>
      <w:instrText xml:space="preserve"> NUMPAGES  \* Arabic  \* MERGEFORMAT </w:instrText>
    </w:r>
    <w:r w:rsidRPr="00F00DA9">
      <w:rPr>
        <w:b/>
      </w:rPr>
      <w:fldChar w:fldCharType="separate"/>
    </w:r>
    <w:r w:rsidR="0002114C">
      <w:rPr>
        <w:b/>
        <w:noProof/>
      </w:rPr>
      <w:t>7</w:t>
    </w:r>
    <w:r w:rsidRPr="00F00DA9">
      <w:rPr>
        <w:b/>
      </w:rPr>
      <w:fldChar w:fldCharType="end"/>
    </w:r>
  </w:p>
  <w:p w14:paraId="027C88C4" w14:textId="77777777" w:rsidR="0061029D" w:rsidRDefault="0061029D" w:rsidP="00FE08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9D8CC" w14:textId="77777777" w:rsidR="00561F2B" w:rsidRDefault="00561F2B" w:rsidP="00F55F84">
      <w:r>
        <w:separator/>
      </w:r>
    </w:p>
  </w:footnote>
  <w:footnote w:type="continuationSeparator" w:id="0">
    <w:p w14:paraId="443FDC85" w14:textId="77777777" w:rsidR="00561F2B" w:rsidRDefault="00561F2B" w:rsidP="00F55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86734"/>
    <w:multiLevelType w:val="hybridMultilevel"/>
    <w:tmpl w:val="F0800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12C5B"/>
    <w:multiLevelType w:val="multilevel"/>
    <w:tmpl w:val="0809001F"/>
    <w:numStyleLink w:val="111111"/>
  </w:abstractNum>
  <w:abstractNum w:abstractNumId="2" w15:restartNumberingAfterBreak="0">
    <w:nsid w:val="62AD6484"/>
    <w:multiLevelType w:val="hybridMultilevel"/>
    <w:tmpl w:val="B2120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3E5FC8"/>
    <w:multiLevelType w:val="hybridMultilevel"/>
    <w:tmpl w:val="A99430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2572DB8C">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56BB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2">
    <w:abstractNumId w:val="4"/>
  </w:num>
  <w:num w:numId="3">
    <w:abstractNumId w:val="3"/>
  </w:num>
  <w:num w:numId="4">
    <w:abstractNumId w:val="2"/>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3D2"/>
    <w:rsid w:val="0001181A"/>
    <w:rsid w:val="0001392D"/>
    <w:rsid w:val="00017D32"/>
    <w:rsid w:val="0002114C"/>
    <w:rsid w:val="00026F13"/>
    <w:rsid w:val="0003465C"/>
    <w:rsid w:val="0003468C"/>
    <w:rsid w:val="00035273"/>
    <w:rsid w:val="00035F02"/>
    <w:rsid w:val="00037030"/>
    <w:rsid w:val="00044D1D"/>
    <w:rsid w:val="00044F0B"/>
    <w:rsid w:val="00050200"/>
    <w:rsid w:val="00057513"/>
    <w:rsid w:val="00066973"/>
    <w:rsid w:val="00070637"/>
    <w:rsid w:val="00077242"/>
    <w:rsid w:val="0008179C"/>
    <w:rsid w:val="00083DE7"/>
    <w:rsid w:val="0008442F"/>
    <w:rsid w:val="00092C50"/>
    <w:rsid w:val="000A03D2"/>
    <w:rsid w:val="000A194F"/>
    <w:rsid w:val="000A4FAF"/>
    <w:rsid w:val="000B6916"/>
    <w:rsid w:val="000C6718"/>
    <w:rsid w:val="000E04A9"/>
    <w:rsid w:val="000E2311"/>
    <w:rsid w:val="000E547E"/>
    <w:rsid w:val="000E5B7D"/>
    <w:rsid w:val="000E7B47"/>
    <w:rsid w:val="000F0756"/>
    <w:rsid w:val="000F6914"/>
    <w:rsid w:val="001232C1"/>
    <w:rsid w:val="001302D9"/>
    <w:rsid w:val="00133A74"/>
    <w:rsid w:val="00135DCA"/>
    <w:rsid w:val="00140DDE"/>
    <w:rsid w:val="00142F3F"/>
    <w:rsid w:val="00146147"/>
    <w:rsid w:val="00155472"/>
    <w:rsid w:val="00161361"/>
    <w:rsid w:val="00165D57"/>
    <w:rsid w:val="00177571"/>
    <w:rsid w:val="001924CD"/>
    <w:rsid w:val="00195E85"/>
    <w:rsid w:val="001A5280"/>
    <w:rsid w:val="001D07DF"/>
    <w:rsid w:val="001E2C43"/>
    <w:rsid w:val="001E7B1D"/>
    <w:rsid w:val="001F3F96"/>
    <w:rsid w:val="001F57B5"/>
    <w:rsid w:val="00216119"/>
    <w:rsid w:val="0022246B"/>
    <w:rsid w:val="00222A73"/>
    <w:rsid w:val="00235C5A"/>
    <w:rsid w:val="00236C4D"/>
    <w:rsid w:val="002438C7"/>
    <w:rsid w:val="002450A9"/>
    <w:rsid w:val="00267FA8"/>
    <w:rsid w:val="00273BF5"/>
    <w:rsid w:val="002800F1"/>
    <w:rsid w:val="00282A1C"/>
    <w:rsid w:val="00290DBF"/>
    <w:rsid w:val="0029423D"/>
    <w:rsid w:val="0029580A"/>
    <w:rsid w:val="002A3321"/>
    <w:rsid w:val="002A4483"/>
    <w:rsid w:val="002A74A8"/>
    <w:rsid w:val="002B0F8B"/>
    <w:rsid w:val="002B6AEA"/>
    <w:rsid w:val="002C153C"/>
    <w:rsid w:val="002C2D67"/>
    <w:rsid w:val="002D08F4"/>
    <w:rsid w:val="002E616D"/>
    <w:rsid w:val="002E790A"/>
    <w:rsid w:val="002F012C"/>
    <w:rsid w:val="002F463B"/>
    <w:rsid w:val="00314FE9"/>
    <w:rsid w:val="00325869"/>
    <w:rsid w:val="00331387"/>
    <w:rsid w:val="00331AE6"/>
    <w:rsid w:val="003410FF"/>
    <w:rsid w:val="00344AD3"/>
    <w:rsid w:val="00363192"/>
    <w:rsid w:val="00372A39"/>
    <w:rsid w:val="003802CD"/>
    <w:rsid w:val="00384A01"/>
    <w:rsid w:val="00386D4E"/>
    <w:rsid w:val="003870CC"/>
    <w:rsid w:val="0039331A"/>
    <w:rsid w:val="00396A2F"/>
    <w:rsid w:val="003A16A3"/>
    <w:rsid w:val="003A3FBD"/>
    <w:rsid w:val="003A6693"/>
    <w:rsid w:val="003B081D"/>
    <w:rsid w:val="003B1DA3"/>
    <w:rsid w:val="003B53F9"/>
    <w:rsid w:val="003C2BCB"/>
    <w:rsid w:val="003C70A0"/>
    <w:rsid w:val="003C7568"/>
    <w:rsid w:val="003D556F"/>
    <w:rsid w:val="003E2083"/>
    <w:rsid w:val="003E242A"/>
    <w:rsid w:val="003E570A"/>
    <w:rsid w:val="003F11C9"/>
    <w:rsid w:val="003F3B18"/>
    <w:rsid w:val="003F438E"/>
    <w:rsid w:val="0040189C"/>
    <w:rsid w:val="00410D40"/>
    <w:rsid w:val="00431E95"/>
    <w:rsid w:val="00443D68"/>
    <w:rsid w:val="00444331"/>
    <w:rsid w:val="00470613"/>
    <w:rsid w:val="00472FAD"/>
    <w:rsid w:val="00476D88"/>
    <w:rsid w:val="00486D40"/>
    <w:rsid w:val="00486F63"/>
    <w:rsid w:val="004921EB"/>
    <w:rsid w:val="00497533"/>
    <w:rsid w:val="004A0CC8"/>
    <w:rsid w:val="004B195D"/>
    <w:rsid w:val="004B4CD0"/>
    <w:rsid w:val="004B7AB3"/>
    <w:rsid w:val="004C3C95"/>
    <w:rsid w:val="004D3786"/>
    <w:rsid w:val="004F064B"/>
    <w:rsid w:val="005003D3"/>
    <w:rsid w:val="00500E06"/>
    <w:rsid w:val="005016A3"/>
    <w:rsid w:val="005018F8"/>
    <w:rsid w:val="0050568A"/>
    <w:rsid w:val="00510916"/>
    <w:rsid w:val="00517BFC"/>
    <w:rsid w:val="00521228"/>
    <w:rsid w:val="0055535F"/>
    <w:rsid w:val="00560055"/>
    <w:rsid w:val="00561F2B"/>
    <w:rsid w:val="00562DC7"/>
    <w:rsid w:val="00566DB9"/>
    <w:rsid w:val="00571953"/>
    <w:rsid w:val="00572D3D"/>
    <w:rsid w:val="005739B1"/>
    <w:rsid w:val="00573AA9"/>
    <w:rsid w:val="0058668B"/>
    <w:rsid w:val="005927E3"/>
    <w:rsid w:val="005A3BF3"/>
    <w:rsid w:val="005B3867"/>
    <w:rsid w:val="005B5A0E"/>
    <w:rsid w:val="005D4E4A"/>
    <w:rsid w:val="005E5F4E"/>
    <w:rsid w:val="005E7FA6"/>
    <w:rsid w:val="0060004D"/>
    <w:rsid w:val="00604EFA"/>
    <w:rsid w:val="0061029D"/>
    <w:rsid w:val="006123A3"/>
    <w:rsid w:val="006142FA"/>
    <w:rsid w:val="00616AAF"/>
    <w:rsid w:val="0062032F"/>
    <w:rsid w:val="006213D3"/>
    <w:rsid w:val="0062262A"/>
    <w:rsid w:val="00626B59"/>
    <w:rsid w:val="00630ADC"/>
    <w:rsid w:val="006316DD"/>
    <w:rsid w:val="00636B4C"/>
    <w:rsid w:val="00640C51"/>
    <w:rsid w:val="006443BC"/>
    <w:rsid w:val="00645E8A"/>
    <w:rsid w:val="006505DA"/>
    <w:rsid w:val="006514A1"/>
    <w:rsid w:val="00651E5D"/>
    <w:rsid w:val="00655AD0"/>
    <w:rsid w:val="006641DA"/>
    <w:rsid w:val="00674152"/>
    <w:rsid w:val="00681282"/>
    <w:rsid w:val="00686243"/>
    <w:rsid w:val="00687DC6"/>
    <w:rsid w:val="00687F7E"/>
    <w:rsid w:val="006C27F7"/>
    <w:rsid w:val="006D4D50"/>
    <w:rsid w:val="006E2E8A"/>
    <w:rsid w:val="006E3BAE"/>
    <w:rsid w:val="006E6AEC"/>
    <w:rsid w:val="006F3930"/>
    <w:rsid w:val="006F6FCA"/>
    <w:rsid w:val="00700BF3"/>
    <w:rsid w:val="00720231"/>
    <w:rsid w:val="00721870"/>
    <w:rsid w:val="0073175E"/>
    <w:rsid w:val="00733897"/>
    <w:rsid w:val="00740A9E"/>
    <w:rsid w:val="00744BC4"/>
    <w:rsid w:val="007454EE"/>
    <w:rsid w:val="00751FE2"/>
    <w:rsid w:val="00773474"/>
    <w:rsid w:val="00780FEA"/>
    <w:rsid w:val="00781CCC"/>
    <w:rsid w:val="00790E14"/>
    <w:rsid w:val="0079154A"/>
    <w:rsid w:val="007933BF"/>
    <w:rsid w:val="00793532"/>
    <w:rsid w:val="007A0085"/>
    <w:rsid w:val="007A3E01"/>
    <w:rsid w:val="007C0FE0"/>
    <w:rsid w:val="007C6E8E"/>
    <w:rsid w:val="007D566A"/>
    <w:rsid w:val="007E0B16"/>
    <w:rsid w:val="007E0BFA"/>
    <w:rsid w:val="007E10E9"/>
    <w:rsid w:val="007E2C32"/>
    <w:rsid w:val="007E4E75"/>
    <w:rsid w:val="007E6A13"/>
    <w:rsid w:val="007E6E0D"/>
    <w:rsid w:val="007F7F39"/>
    <w:rsid w:val="0080222D"/>
    <w:rsid w:val="00811C8D"/>
    <w:rsid w:val="008133E6"/>
    <w:rsid w:val="00814B4C"/>
    <w:rsid w:val="00830BB1"/>
    <w:rsid w:val="008350C3"/>
    <w:rsid w:val="0083533A"/>
    <w:rsid w:val="00854030"/>
    <w:rsid w:val="00866EF1"/>
    <w:rsid w:val="00874763"/>
    <w:rsid w:val="00887445"/>
    <w:rsid w:val="00890D2D"/>
    <w:rsid w:val="008918FC"/>
    <w:rsid w:val="00891DBB"/>
    <w:rsid w:val="008B0282"/>
    <w:rsid w:val="008B0365"/>
    <w:rsid w:val="008B303D"/>
    <w:rsid w:val="008C0296"/>
    <w:rsid w:val="008C0752"/>
    <w:rsid w:val="008C3DD7"/>
    <w:rsid w:val="008D0399"/>
    <w:rsid w:val="008E343C"/>
    <w:rsid w:val="008F56DD"/>
    <w:rsid w:val="008F743E"/>
    <w:rsid w:val="0090596C"/>
    <w:rsid w:val="00920F83"/>
    <w:rsid w:val="00927C58"/>
    <w:rsid w:val="0093287C"/>
    <w:rsid w:val="00933A1C"/>
    <w:rsid w:val="00935918"/>
    <w:rsid w:val="00940C78"/>
    <w:rsid w:val="00947264"/>
    <w:rsid w:val="00947CA5"/>
    <w:rsid w:val="00956C3A"/>
    <w:rsid w:val="009643C7"/>
    <w:rsid w:val="009652EF"/>
    <w:rsid w:val="009671C7"/>
    <w:rsid w:val="009713DA"/>
    <w:rsid w:val="0097430D"/>
    <w:rsid w:val="009865D2"/>
    <w:rsid w:val="00987F2C"/>
    <w:rsid w:val="009921B9"/>
    <w:rsid w:val="009A14C9"/>
    <w:rsid w:val="009B55BB"/>
    <w:rsid w:val="009C6A66"/>
    <w:rsid w:val="009D04BC"/>
    <w:rsid w:val="009D66A1"/>
    <w:rsid w:val="009E1B91"/>
    <w:rsid w:val="009E58EC"/>
    <w:rsid w:val="009F4E4A"/>
    <w:rsid w:val="00A0157C"/>
    <w:rsid w:val="00A11FCC"/>
    <w:rsid w:val="00A12501"/>
    <w:rsid w:val="00A2362C"/>
    <w:rsid w:val="00A25E70"/>
    <w:rsid w:val="00A3055D"/>
    <w:rsid w:val="00A53003"/>
    <w:rsid w:val="00A53C11"/>
    <w:rsid w:val="00A54C0B"/>
    <w:rsid w:val="00A66D8E"/>
    <w:rsid w:val="00A67CFB"/>
    <w:rsid w:val="00A71E45"/>
    <w:rsid w:val="00A7406B"/>
    <w:rsid w:val="00A7553D"/>
    <w:rsid w:val="00A77571"/>
    <w:rsid w:val="00A817E1"/>
    <w:rsid w:val="00A87039"/>
    <w:rsid w:val="00AA7486"/>
    <w:rsid w:val="00AB482B"/>
    <w:rsid w:val="00AC29D6"/>
    <w:rsid w:val="00AC465D"/>
    <w:rsid w:val="00AE2E5C"/>
    <w:rsid w:val="00AE409E"/>
    <w:rsid w:val="00B01A06"/>
    <w:rsid w:val="00B031B0"/>
    <w:rsid w:val="00B033DE"/>
    <w:rsid w:val="00B13D57"/>
    <w:rsid w:val="00B15E6C"/>
    <w:rsid w:val="00B168E5"/>
    <w:rsid w:val="00B22A7E"/>
    <w:rsid w:val="00B23C19"/>
    <w:rsid w:val="00B30A58"/>
    <w:rsid w:val="00B52A92"/>
    <w:rsid w:val="00B549DD"/>
    <w:rsid w:val="00B646B9"/>
    <w:rsid w:val="00B669E3"/>
    <w:rsid w:val="00B7205C"/>
    <w:rsid w:val="00B73B9A"/>
    <w:rsid w:val="00B75E98"/>
    <w:rsid w:val="00B772C9"/>
    <w:rsid w:val="00B82D09"/>
    <w:rsid w:val="00B90EF5"/>
    <w:rsid w:val="00BA63E4"/>
    <w:rsid w:val="00BC3E39"/>
    <w:rsid w:val="00BC5136"/>
    <w:rsid w:val="00BC5571"/>
    <w:rsid w:val="00BC79BB"/>
    <w:rsid w:val="00BF30C7"/>
    <w:rsid w:val="00BF52D6"/>
    <w:rsid w:val="00C045CD"/>
    <w:rsid w:val="00C10EB5"/>
    <w:rsid w:val="00C15648"/>
    <w:rsid w:val="00C2469E"/>
    <w:rsid w:val="00C25774"/>
    <w:rsid w:val="00C27688"/>
    <w:rsid w:val="00C34C28"/>
    <w:rsid w:val="00C42DE2"/>
    <w:rsid w:val="00C63A18"/>
    <w:rsid w:val="00C67A60"/>
    <w:rsid w:val="00C67AB9"/>
    <w:rsid w:val="00C80A20"/>
    <w:rsid w:val="00C80A37"/>
    <w:rsid w:val="00C83285"/>
    <w:rsid w:val="00C90C83"/>
    <w:rsid w:val="00C9245A"/>
    <w:rsid w:val="00CB5D54"/>
    <w:rsid w:val="00CC577F"/>
    <w:rsid w:val="00CC76CA"/>
    <w:rsid w:val="00CD5077"/>
    <w:rsid w:val="00CE737D"/>
    <w:rsid w:val="00CF5158"/>
    <w:rsid w:val="00CF620C"/>
    <w:rsid w:val="00D06B90"/>
    <w:rsid w:val="00D13141"/>
    <w:rsid w:val="00D160C5"/>
    <w:rsid w:val="00D162BC"/>
    <w:rsid w:val="00D200E4"/>
    <w:rsid w:val="00D26896"/>
    <w:rsid w:val="00D34656"/>
    <w:rsid w:val="00D51139"/>
    <w:rsid w:val="00D578DC"/>
    <w:rsid w:val="00D93303"/>
    <w:rsid w:val="00D93D0B"/>
    <w:rsid w:val="00DA1AA3"/>
    <w:rsid w:val="00DA563D"/>
    <w:rsid w:val="00DB0BDF"/>
    <w:rsid w:val="00DC20A7"/>
    <w:rsid w:val="00DC3A17"/>
    <w:rsid w:val="00DC6A10"/>
    <w:rsid w:val="00DD368F"/>
    <w:rsid w:val="00DD48B2"/>
    <w:rsid w:val="00DD7D2F"/>
    <w:rsid w:val="00DE32EE"/>
    <w:rsid w:val="00DE40EA"/>
    <w:rsid w:val="00E16A38"/>
    <w:rsid w:val="00E20024"/>
    <w:rsid w:val="00E21C41"/>
    <w:rsid w:val="00E22E59"/>
    <w:rsid w:val="00E26636"/>
    <w:rsid w:val="00E3025A"/>
    <w:rsid w:val="00E31D34"/>
    <w:rsid w:val="00E31F61"/>
    <w:rsid w:val="00E450E1"/>
    <w:rsid w:val="00E4566B"/>
    <w:rsid w:val="00E45B9B"/>
    <w:rsid w:val="00E54478"/>
    <w:rsid w:val="00E57885"/>
    <w:rsid w:val="00E61E66"/>
    <w:rsid w:val="00E84134"/>
    <w:rsid w:val="00E870F9"/>
    <w:rsid w:val="00E9344D"/>
    <w:rsid w:val="00E93A2E"/>
    <w:rsid w:val="00E95DAA"/>
    <w:rsid w:val="00E97DF2"/>
    <w:rsid w:val="00EA1188"/>
    <w:rsid w:val="00EA2953"/>
    <w:rsid w:val="00EB1E16"/>
    <w:rsid w:val="00EB5503"/>
    <w:rsid w:val="00EB5A58"/>
    <w:rsid w:val="00EC0786"/>
    <w:rsid w:val="00EC1BA2"/>
    <w:rsid w:val="00EC385A"/>
    <w:rsid w:val="00EE7902"/>
    <w:rsid w:val="00EF2A91"/>
    <w:rsid w:val="00F17FD6"/>
    <w:rsid w:val="00F20089"/>
    <w:rsid w:val="00F24D54"/>
    <w:rsid w:val="00F252E9"/>
    <w:rsid w:val="00F258E3"/>
    <w:rsid w:val="00F304B5"/>
    <w:rsid w:val="00F43D1F"/>
    <w:rsid w:val="00F473BA"/>
    <w:rsid w:val="00F55F84"/>
    <w:rsid w:val="00F62438"/>
    <w:rsid w:val="00F7260C"/>
    <w:rsid w:val="00F72A76"/>
    <w:rsid w:val="00F82AF5"/>
    <w:rsid w:val="00F84164"/>
    <w:rsid w:val="00F84169"/>
    <w:rsid w:val="00F85954"/>
    <w:rsid w:val="00F90CAF"/>
    <w:rsid w:val="00F94AD2"/>
    <w:rsid w:val="00FA3CA8"/>
    <w:rsid w:val="00FA406B"/>
    <w:rsid w:val="00FA416E"/>
    <w:rsid w:val="00FA59A2"/>
    <w:rsid w:val="00FB2452"/>
    <w:rsid w:val="00FB54EF"/>
    <w:rsid w:val="00FB5A29"/>
    <w:rsid w:val="00FB7807"/>
    <w:rsid w:val="00FB7FEB"/>
    <w:rsid w:val="00FC7D83"/>
    <w:rsid w:val="00FD2062"/>
    <w:rsid w:val="00FD4EC6"/>
    <w:rsid w:val="00FE08C8"/>
    <w:rsid w:val="00FE08EE"/>
    <w:rsid w:val="00FE32CF"/>
    <w:rsid w:val="00FF0230"/>
    <w:rsid w:val="00FF1236"/>
    <w:rsid w:val="00FF218E"/>
    <w:rsid w:val="00FF4551"/>
    <w:rsid w:val="00FF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C878E"/>
  <w15:docId w15:val="{ED32A2B3-324D-4237-88E5-BAE00543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2"/>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4B4CD0"/>
    <w:pPr>
      <w:pBdr>
        <w:top w:val="single" w:sz="4" w:space="1" w:color="auto"/>
        <w:left w:val="single" w:sz="4" w:space="4" w:color="auto"/>
        <w:bottom w:val="single" w:sz="4" w:space="1" w:color="auto"/>
        <w:right w:val="single" w:sz="4" w:space="4" w:color="auto"/>
      </w:pBdr>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A03D2"/>
    <w:pPr>
      <w:numPr>
        <w:numId w:val="2"/>
      </w:numPr>
    </w:pPr>
  </w:style>
  <w:style w:type="paragraph" w:styleId="ListParagraph">
    <w:name w:val="List Paragraph"/>
    <w:basedOn w:val="Normal"/>
    <w:uiPriority w:val="34"/>
    <w:qFormat/>
    <w:rsid w:val="000A03D2"/>
    <w:pPr>
      <w:ind w:left="720"/>
      <w:contextualSpacing/>
    </w:pPr>
  </w:style>
  <w:style w:type="table" w:customStyle="1" w:styleId="TableGrid1">
    <w:name w:val="Table Grid1"/>
    <w:basedOn w:val="TableNormal"/>
    <w:next w:val="TableGrid"/>
    <w:uiPriority w:val="59"/>
    <w:rsid w:val="000A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A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640C51"/>
  </w:style>
  <w:style w:type="paragraph" w:styleId="BodyTextIndent">
    <w:name w:val="Body Text Indent"/>
    <w:basedOn w:val="Normal"/>
    <w:link w:val="BodyTextIndentChar"/>
    <w:uiPriority w:val="99"/>
    <w:rsid w:val="00C27688"/>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rsid w:val="00C27688"/>
    <w:rPr>
      <w:rFonts w:ascii="Arial" w:eastAsia="Times New Roman" w:hAnsi="Arial" w:cs="Times New Roman"/>
      <w:szCs w:val="20"/>
      <w:lang w:val="en-US"/>
    </w:rPr>
  </w:style>
  <w:style w:type="paragraph" w:styleId="Header">
    <w:name w:val="header"/>
    <w:basedOn w:val="Normal"/>
    <w:link w:val="HeaderChar"/>
    <w:unhideWhenUsed/>
    <w:rsid w:val="00F55F84"/>
    <w:pPr>
      <w:tabs>
        <w:tab w:val="center" w:pos="4513"/>
        <w:tab w:val="right" w:pos="9026"/>
      </w:tabs>
    </w:pPr>
  </w:style>
  <w:style w:type="character" w:customStyle="1" w:styleId="HeaderChar">
    <w:name w:val="Header Char"/>
    <w:basedOn w:val="DefaultParagraphFont"/>
    <w:link w:val="Header"/>
    <w:rsid w:val="00F55F84"/>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F55F84"/>
    <w:pPr>
      <w:tabs>
        <w:tab w:val="center" w:pos="4513"/>
        <w:tab w:val="right" w:pos="9026"/>
      </w:tabs>
    </w:pPr>
  </w:style>
  <w:style w:type="character" w:customStyle="1" w:styleId="FooterChar">
    <w:name w:val="Footer Char"/>
    <w:basedOn w:val="DefaultParagraphFont"/>
    <w:link w:val="Footer"/>
    <w:uiPriority w:val="99"/>
    <w:rsid w:val="00F55F84"/>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E343C"/>
    <w:rPr>
      <w:rFonts w:ascii="Tahoma" w:hAnsi="Tahoma" w:cs="Tahoma"/>
      <w:sz w:val="16"/>
      <w:szCs w:val="16"/>
    </w:rPr>
  </w:style>
  <w:style w:type="character" w:customStyle="1" w:styleId="BalloonTextChar">
    <w:name w:val="Balloon Text Char"/>
    <w:basedOn w:val="DefaultParagraphFont"/>
    <w:link w:val="BalloonText"/>
    <w:uiPriority w:val="99"/>
    <w:semiHidden/>
    <w:rsid w:val="008E343C"/>
    <w:rPr>
      <w:rFonts w:ascii="Tahoma" w:eastAsia="Times New Roman" w:hAnsi="Tahoma" w:cs="Tahoma"/>
      <w:sz w:val="16"/>
      <w:szCs w:val="16"/>
      <w:lang w:eastAsia="en-GB"/>
    </w:rPr>
  </w:style>
  <w:style w:type="paragraph" w:styleId="NoSpacing">
    <w:name w:val="No Spacing"/>
    <w:uiPriority w:val="1"/>
    <w:qFormat/>
    <w:rsid w:val="00E45B9B"/>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F17F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7FD6"/>
    <w:rPr>
      <w:rFonts w:asciiTheme="majorHAnsi" w:eastAsiaTheme="majorEastAsia" w:hAnsiTheme="majorHAnsi" w:cstheme="majorBidi"/>
      <w:color w:val="17365D" w:themeColor="text2" w:themeShade="BF"/>
      <w:spacing w:val="5"/>
      <w:kern w:val="28"/>
      <w:sz w:val="52"/>
      <w:szCs w:val="52"/>
      <w:lang w:eastAsia="en-GB"/>
    </w:rPr>
  </w:style>
  <w:style w:type="character" w:styleId="CommentReference">
    <w:name w:val="annotation reference"/>
    <w:basedOn w:val="DefaultParagraphFont"/>
    <w:uiPriority w:val="99"/>
    <w:semiHidden/>
    <w:unhideWhenUsed/>
    <w:rsid w:val="003C7568"/>
    <w:rPr>
      <w:sz w:val="16"/>
      <w:szCs w:val="16"/>
    </w:rPr>
  </w:style>
  <w:style w:type="paragraph" w:styleId="CommentText">
    <w:name w:val="annotation text"/>
    <w:basedOn w:val="Normal"/>
    <w:link w:val="CommentTextChar"/>
    <w:uiPriority w:val="99"/>
    <w:semiHidden/>
    <w:unhideWhenUsed/>
    <w:rsid w:val="003C7568"/>
    <w:rPr>
      <w:sz w:val="20"/>
      <w:szCs w:val="20"/>
    </w:rPr>
  </w:style>
  <w:style w:type="character" w:customStyle="1" w:styleId="CommentTextChar">
    <w:name w:val="Comment Text Char"/>
    <w:basedOn w:val="DefaultParagraphFont"/>
    <w:link w:val="CommentText"/>
    <w:uiPriority w:val="99"/>
    <w:semiHidden/>
    <w:rsid w:val="003C756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C7568"/>
    <w:rPr>
      <w:b/>
      <w:bCs/>
    </w:rPr>
  </w:style>
  <w:style w:type="character" w:customStyle="1" w:styleId="CommentSubjectChar">
    <w:name w:val="Comment Subject Char"/>
    <w:basedOn w:val="CommentTextChar"/>
    <w:link w:val="CommentSubject"/>
    <w:uiPriority w:val="99"/>
    <w:semiHidden/>
    <w:rsid w:val="003C7568"/>
    <w:rPr>
      <w:rFonts w:ascii="Arial" w:eastAsia="Times New Roman" w:hAnsi="Arial" w:cs="Times New Roman"/>
      <w:b/>
      <w:bCs/>
      <w:sz w:val="20"/>
      <w:szCs w:val="20"/>
      <w:lang w:eastAsia="en-GB"/>
    </w:rPr>
  </w:style>
  <w:style w:type="character" w:styleId="Hyperlink">
    <w:name w:val="Hyperlink"/>
    <w:basedOn w:val="DefaultParagraphFont"/>
    <w:uiPriority w:val="99"/>
    <w:unhideWhenUsed/>
    <w:rsid w:val="00AC29D6"/>
    <w:rPr>
      <w:color w:val="0000FF" w:themeColor="hyperlink"/>
      <w:u w:val="single"/>
    </w:rPr>
  </w:style>
  <w:style w:type="character" w:customStyle="1" w:styleId="Heading1Char">
    <w:name w:val="Heading 1 Char"/>
    <w:basedOn w:val="DefaultParagraphFont"/>
    <w:link w:val="Heading1"/>
    <w:uiPriority w:val="9"/>
    <w:rsid w:val="004B4CD0"/>
    <w:rPr>
      <w:rFonts w:ascii="Arial" w:eastAsia="Times New Roman"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8590">
      <w:bodyDiv w:val="1"/>
      <w:marLeft w:val="0"/>
      <w:marRight w:val="0"/>
      <w:marTop w:val="0"/>
      <w:marBottom w:val="0"/>
      <w:divBdr>
        <w:top w:val="none" w:sz="0" w:space="0" w:color="auto"/>
        <w:left w:val="none" w:sz="0" w:space="0" w:color="auto"/>
        <w:bottom w:val="none" w:sz="0" w:space="0" w:color="auto"/>
        <w:right w:val="none" w:sz="0" w:space="0" w:color="auto"/>
      </w:divBdr>
    </w:div>
    <w:div w:id="136650290">
      <w:bodyDiv w:val="1"/>
      <w:marLeft w:val="0"/>
      <w:marRight w:val="0"/>
      <w:marTop w:val="0"/>
      <w:marBottom w:val="0"/>
      <w:divBdr>
        <w:top w:val="none" w:sz="0" w:space="0" w:color="auto"/>
        <w:left w:val="none" w:sz="0" w:space="0" w:color="auto"/>
        <w:bottom w:val="none" w:sz="0" w:space="0" w:color="auto"/>
        <w:right w:val="none" w:sz="0" w:space="0" w:color="auto"/>
      </w:divBdr>
    </w:div>
    <w:div w:id="325016460">
      <w:bodyDiv w:val="1"/>
      <w:marLeft w:val="0"/>
      <w:marRight w:val="0"/>
      <w:marTop w:val="0"/>
      <w:marBottom w:val="0"/>
      <w:divBdr>
        <w:top w:val="none" w:sz="0" w:space="0" w:color="auto"/>
        <w:left w:val="none" w:sz="0" w:space="0" w:color="auto"/>
        <w:bottom w:val="none" w:sz="0" w:space="0" w:color="auto"/>
        <w:right w:val="none" w:sz="0" w:space="0" w:color="auto"/>
      </w:divBdr>
    </w:div>
    <w:div w:id="423959719">
      <w:bodyDiv w:val="1"/>
      <w:marLeft w:val="0"/>
      <w:marRight w:val="0"/>
      <w:marTop w:val="0"/>
      <w:marBottom w:val="0"/>
      <w:divBdr>
        <w:top w:val="none" w:sz="0" w:space="0" w:color="auto"/>
        <w:left w:val="none" w:sz="0" w:space="0" w:color="auto"/>
        <w:bottom w:val="none" w:sz="0" w:space="0" w:color="auto"/>
        <w:right w:val="none" w:sz="0" w:space="0" w:color="auto"/>
      </w:divBdr>
    </w:div>
    <w:div w:id="577247298">
      <w:bodyDiv w:val="1"/>
      <w:marLeft w:val="0"/>
      <w:marRight w:val="0"/>
      <w:marTop w:val="0"/>
      <w:marBottom w:val="0"/>
      <w:divBdr>
        <w:top w:val="none" w:sz="0" w:space="0" w:color="auto"/>
        <w:left w:val="none" w:sz="0" w:space="0" w:color="auto"/>
        <w:bottom w:val="none" w:sz="0" w:space="0" w:color="auto"/>
        <w:right w:val="none" w:sz="0" w:space="0" w:color="auto"/>
      </w:divBdr>
    </w:div>
    <w:div w:id="623803513">
      <w:bodyDiv w:val="1"/>
      <w:marLeft w:val="0"/>
      <w:marRight w:val="0"/>
      <w:marTop w:val="0"/>
      <w:marBottom w:val="0"/>
      <w:divBdr>
        <w:top w:val="none" w:sz="0" w:space="0" w:color="auto"/>
        <w:left w:val="none" w:sz="0" w:space="0" w:color="auto"/>
        <w:bottom w:val="none" w:sz="0" w:space="0" w:color="auto"/>
        <w:right w:val="none" w:sz="0" w:space="0" w:color="auto"/>
      </w:divBdr>
    </w:div>
    <w:div w:id="750588406">
      <w:bodyDiv w:val="1"/>
      <w:marLeft w:val="0"/>
      <w:marRight w:val="0"/>
      <w:marTop w:val="0"/>
      <w:marBottom w:val="0"/>
      <w:divBdr>
        <w:top w:val="none" w:sz="0" w:space="0" w:color="auto"/>
        <w:left w:val="none" w:sz="0" w:space="0" w:color="auto"/>
        <w:bottom w:val="none" w:sz="0" w:space="0" w:color="auto"/>
        <w:right w:val="none" w:sz="0" w:space="0" w:color="auto"/>
      </w:divBdr>
    </w:div>
    <w:div w:id="958336436">
      <w:bodyDiv w:val="1"/>
      <w:marLeft w:val="0"/>
      <w:marRight w:val="0"/>
      <w:marTop w:val="0"/>
      <w:marBottom w:val="0"/>
      <w:divBdr>
        <w:top w:val="none" w:sz="0" w:space="0" w:color="auto"/>
        <w:left w:val="none" w:sz="0" w:space="0" w:color="auto"/>
        <w:bottom w:val="none" w:sz="0" w:space="0" w:color="auto"/>
        <w:right w:val="none" w:sz="0" w:space="0" w:color="auto"/>
      </w:divBdr>
    </w:div>
    <w:div w:id="1002781170">
      <w:bodyDiv w:val="1"/>
      <w:marLeft w:val="0"/>
      <w:marRight w:val="0"/>
      <w:marTop w:val="0"/>
      <w:marBottom w:val="0"/>
      <w:divBdr>
        <w:top w:val="none" w:sz="0" w:space="0" w:color="auto"/>
        <w:left w:val="none" w:sz="0" w:space="0" w:color="auto"/>
        <w:bottom w:val="none" w:sz="0" w:space="0" w:color="auto"/>
        <w:right w:val="none" w:sz="0" w:space="0" w:color="auto"/>
      </w:divBdr>
    </w:div>
    <w:div w:id="1039205032">
      <w:bodyDiv w:val="1"/>
      <w:marLeft w:val="0"/>
      <w:marRight w:val="0"/>
      <w:marTop w:val="0"/>
      <w:marBottom w:val="0"/>
      <w:divBdr>
        <w:top w:val="none" w:sz="0" w:space="0" w:color="auto"/>
        <w:left w:val="none" w:sz="0" w:space="0" w:color="auto"/>
        <w:bottom w:val="none" w:sz="0" w:space="0" w:color="auto"/>
        <w:right w:val="none" w:sz="0" w:space="0" w:color="auto"/>
      </w:divBdr>
    </w:div>
    <w:div w:id="1104614358">
      <w:bodyDiv w:val="1"/>
      <w:marLeft w:val="0"/>
      <w:marRight w:val="0"/>
      <w:marTop w:val="0"/>
      <w:marBottom w:val="0"/>
      <w:divBdr>
        <w:top w:val="none" w:sz="0" w:space="0" w:color="auto"/>
        <w:left w:val="none" w:sz="0" w:space="0" w:color="auto"/>
        <w:bottom w:val="none" w:sz="0" w:space="0" w:color="auto"/>
        <w:right w:val="none" w:sz="0" w:space="0" w:color="auto"/>
      </w:divBdr>
    </w:div>
    <w:div w:id="1120077769">
      <w:bodyDiv w:val="1"/>
      <w:marLeft w:val="0"/>
      <w:marRight w:val="0"/>
      <w:marTop w:val="0"/>
      <w:marBottom w:val="0"/>
      <w:divBdr>
        <w:top w:val="none" w:sz="0" w:space="0" w:color="auto"/>
        <w:left w:val="none" w:sz="0" w:space="0" w:color="auto"/>
        <w:bottom w:val="none" w:sz="0" w:space="0" w:color="auto"/>
        <w:right w:val="none" w:sz="0" w:space="0" w:color="auto"/>
      </w:divBdr>
    </w:div>
    <w:div w:id="1580095121">
      <w:bodyDiv w:val="1"/>
      <w:marLeft w:val="0"/>
      <w:marRight w:val="0"/>
      <w:marTop w:val="0"/>
      <w:marBottom w:val="0"/>
      <w:divBdr>
        <w:top w:val="none" w:sz="0" w:space="0" w:color="auto"/>
        <w:left w:val="none" w:sz="0" w:space="0" w:color="auto"/>
        <w:bottom w:val="none" w:sz="0" w:space="0" w:color="auto"/>
        <w:right w:val="none" w:sz="0" w:space="0" w:color="auto"/>
      </w:divBdr>
    </w:div>
    <w:div w:id="1794329845">
      <w:bodyDiv w:val="1"/>
      <w:marLeft w:val="0"/>
      <w:marRight w:val="0"/>
      <w:marTop w:val="0"/>
      <w:marBottom w:val="0"/>
      <w:divBdr>
        <w:top w:val="none" w:sz="0" w:space="0" w:color="auto"/>
        <w:left w:val="none" w:sz="0" w:space="0" w:color="auto"/>
        <w:bottom w:val="none" w:sz="0" w:space="0" w:color="auto"/>
        <w:right w:val="none" w:sz="0" w:space="0" w:color="auto"/>
      </w:divBdr>
    </w:div>
    <w:div w:id="1852376861">
      <w:bodyDiv w:val="1"/>
      <w:marLeft w:val="0"/>
      <w:marRight w:val="0"/>
      <w:marTop w:val="0"/>
      <w:marBottom w:val="0"/>
      <w:divBdr>
        <w:top w:val="none" w:sz="0" w:space="0" w:color="auto"/>
        <w:left w:val="none" w:sz="0" w:space="0" w:color="auto"/>
        <w:bottom w:val="none" w:sz="0" w:space="0" w:color="auto"/>
        <w:right w:val="none" w:sz="0" w:space="0" w:color="auto"/>
      </w:divBdr>
    </w:div>
    <w:div w:id="18738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arly-years-national-funding-%09formula-allocations-and-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2A90-56B1-4EA5-9F43-3C96C36CB53A}">
  <ds:schemaRefs>
    <ds:schemaRef ds:uri="http://schemas.microsoft.com/office/2006/documentManagement/types"/>
    <ds:schemaRef ds:uri="f22d7286-dd96-43f1-addf-1aa01b239435"/>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FBB67BE-4971-4AD1-908E-E9BE92E77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BE354-82DF-4A2C-82EF-9289394B746A}">
  <ds:schemaRefs>
    <ds:schemaRef ds:uri="http://schemas.microsoft.com/sharepoint/v3/contenttype/forms"/>
  </ds:schemaRefs>
</ds:datastoreItem>
</file>

<file path=customXml/itemProps4.xml><?xml version="1.0" encoding="utf-8"?>
<ds:datastoreItem xmlns:ds="http://schemas.openxmlformats.org/officeDocument/2006/customXml" ds:itemID="{A804BC49-5A98-439A-ACB1-5939D3CA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Block Funding 2019-20</dc:title>
  <dc:creator>David Tully</dc:creator>
  <cp:lastModifiedBy>Phillip Nduoyo</cp:lastModifiedBy>
  <cp:revision>6</cp:revision>
  <cp:lastPrinted>2019-01-10T13:45:00Z</cp:lastPrinted>
  <dcterms:created xsi:type="dcterms:W3CDTF">2019-01-09T09:09:00Z</dcterms:created>
  <dcterms:modified xsi:type="dcterms:W3CDTF">2021-01-13T10:20:00Z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3151200</vt:r8>
  </property>
</Properties>
</file>