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60C" w14:textId="042F2500" w:rsidR="00AA79F3" w:rsidRPr="007C4F08" w:rsidRDefault="00000000" w:rsidP="007C4F08">
      <w:pPr>
        <w:pStyle w:val="Title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33E67">
            <w:t>24-25 DSG report</w:t>
          </w:r>
        </w:sdtContent>
      </w:sdt>
    </w:p>
    <w:p w14:paraId="585C3F42" w14:textId="01D4DE89" w:rsidR="006449E3" w:rsidRPr="00BE6FB3" w:rsidRDefault="00340436" w:rsidP="006449E3">
      <w:pPr>
        <w:pStyle w:val="Subtitle"/>
        <w:rPr>
          <w:szCs w:val="28"/>
        </w:rPr>
      </w:pPr>
      <w:r>
        <w:rPr>
          <w:szCs w:val="28"/>
        </w:rPr>
        <w:t>Dedicated Schools Budget (DSG)</w:t>
      </w:r>
      <w:r w:rsidR="006449E3">
        <w:rPr>
          <w:sz w:val="32"/>
          <w:szCs w:val="32"/>
        </w:rPr>
        <w:t xml:space="preserve"> proposals </w:t>
      </w:r>
      <w:r w:rsidR="006449E3">
        <w:rPr>
          <w:szCs w:val="28"/>
        </w:rPr>
        <w:t>2024-25</w:t>
      </w:r>
    </w:p>
    <w:p w14:paraId="65F39F2A" w14:textId="77777777" w:rsidR="006449E3" w:rsidRPr="00070438" w:rsidRDefault="006449E3" w:rsidP="006449E3"/>
    <w:sdt>
      <w:sdtPr>
        <w:alias w:val="Publish Date"/>
        <w:tag w:val=""/>
        <w:id w:val="1260947853"/>
        <w:placeholder>
          <w:docPart w:val="E2D47577E792421EAFB0E55A48BCB92F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1-17T00:00:00Z">
          <w:dateFormat w:val="dd/MM/yyyy"/>
          <w:lid w:val="en-GB"/>
          <w:storeMappedDataAs w:val="dateTime"/>
          <w:calendar w:val="gregorian"/>
        </w:date>
      </w:sdtPr>
      <w:sdtContent>
        <w:p w14:paraId="4E2E0671" w14:textId="76D4D5F0" w:rsidR="006449E3" w:rsidRPr="00CC4CE1" w:rsidRDefault="007541A8" w:rsidP="006449E3">
          <w:r>
            <w:t>1</w:t>
          </w:r>
          <w:r w:rsidR="00340436">
            <w:t>7</w:t>
          </w:r>
          <w:r>
            <w:t>/01/2024</w:t>
          </w:r>
        </w:p>
      </w:sdtContent>
    </w:sdt>
    <w:p w14:paraId="56BA0460" w14:textId="77777777" w:rsidR="006449E3" w:rsidRDefault="006449E3" w:rsidP="006449E3"/>
    <w:p w14:paraId="3946C339" w14:textId="77777777" w:rsidR="006449E3" w:rsidRDefault="006449E3" w:rsidP="006449E3"/>
    <w:p w14:paraId="6ABC2E35" w14:textId="77777777" w:rsidR="006449E3" w:rsidRPr="00437FB4" w:rsidRDefault="006449E3" w:rsidP="006449E3">
      <w:pPr>
        <w:pStyle w:val="ListParagraph"/>
        <w:rPr>
          <w:rFonts w:cs="Arial"/>
          <w:color w:val="000000"/>
        </w:rPr>
      </w:pPr>
    </w:p>
    <w:p w14:paraId="5045928D" w14:textId="77777777" w:rsidR="006449E3" w:rsidRPr="00340436" w:rsidRDefault="006449E3" w:rsidP="00340436">
      <w:pPr>
        <w:rPr>
          <w:bCs/>
          <w:sz w:val="22"/>
          <w:szCs w:val="22"/>
        </w:rPr>
      </w:pPr>
      <w:r w:rsidRPr="00CC3A17">
        <w:rPr>
          <w:b/>
        </w:rPr>
        <w:t xml:space="preserve">Executive </w:t>
      </w:r>
      <w:r w:rsidRPr="00340436">
        <w:rPr>
          <w:b/>
        </w:rPr>
        <w:t>Summary</w:t>
      </w:r>
    </w:p>
    <w:p w14:paraId="18140943" w14:textId="3EEEC86D" w:rsidR="006449E3" w:rsidRPr="00D30C23" w:rsidRDefault="006449E3" w:rsidP="00D30C23">
      <w:pPr>
        <w:rPr>
          <w:bCs/>
          <w:sz w:val="22"/>
          <w:szCs w:val="22"/>
        </w:rPr>
      </w:pPr>
      <w:r w:rsidRPr="00D30C23">
        <w:rPr>
          <w:bCs/>
          <w:sz w:val="22"/>
          <w:szCs w:val="22"/>
        </w:rPr>
        <w:t xml:space="preserve">This report sets out the </w:t>
      </w:r>
      <w:r w:rsidR="00340436" w:rsidRPr="00340436">
        <w:rPr>
          <w:bCs/>
          <w:sz w:val="22"/>
          <w:szCs w:val="22"/>
        </w:rPr>
        <w:t>Dedicated Schools Budget (DSG</w:t>
      </w:r>
      <w:r w:rsidR="00340436">
        <w:rPr>
          <w:bCs/>
          <w:sz w:val="22"/>
          <w:szCs w:val="22"/>
        </w:rPr>
        <w:t>) announced in December</w:t>
      </w:r>
      <w:r w:rsidR="00340436" w:rsidRPr="00D30C23">
        <w:rPr>
          <w:bCs/>
          <w:sz w:val="22"/>
          <w:szCs w:val="22"/>
        </w:rPr>
        <w:t xml:space="preserve"> </w:t>
      </w:r>
      <w:r w:rsidRPr="00D30C23">
        <w:rPr>
          <w:bCs/>
          <w:sz w:val="22"/>
          <w:szCs w:val="22"/>
        </w:rPr>
        <w:t>for the financial year 202</w:t>
      </w:r>
      <w:r w:rsidR="00340436">
        <w:rPr>
          <w:bCs/>
          <w:sz w:val="22"/>
          <w:szCs w:val="22"/>
        </w:rPr>
        <w:t>4</w:t>
      </w:r>
      <w:r w:rsidRPr="00D30C23">
        <w:rPr>
          <w:bCs/>
          <w:sz w:val="22"/>
          <w:szCs w:val="22"/>
        </w:rPr>
        <w:t>-2</w:t>
      </w:r>
      <w:r w:rsidR="00340436">
        <w:rPr>
          <w:bCs/>
          <w:sz w:val="22"/>
          <w:szCs w:val="22"/>
        </w:rPr>
        <w:t>5</w:t>
      </w:r>
      <w:r w:rsidRPr="00D30C23">
        <w:rPr>
          <w:bCs/>
          <w:sz w:val="22"/>
          <w:szCs w:val="22"/>
        </w:rPr>
        <w:t xml:space="preserve"> </w:t>
      </w:r>
    </w:p>
    <w:p w14:paraId="53B4013E" w14:textId="77777777" w:rsidR="006449E3" w:rsidRPr="0004045E" w:rsidRDefault="006449E3" w:rsidP="006449E3">
      <w:pPr>
        <w:spacing w:after="120"/>
        <w:rPr>
          <w:b/>
        </w:rPr>
      </w:pPr>
    </w:p>
    <w:p w14:paraId="3BA08050" w14:textId="77777777" w:rsidR="006449E3" w:rsidRPr="00CC3A17" w:rsidRDefault="006449E3" w:rsidP="006449E3">
      <w:pPr>
        <w:spacing w:after="120"/>
        <w:rPr>
          <w:b/>
        </w:rPr>
      </w:pPr>
      <w:r w:rsidRPr="00CC3A17">
        <w:rPr>
          <w:b/>
        </w:rPr>
        <w:t xml:space="preserve">Details of recommendations and timescales for decisions: </w:t>
      </w:r>
    </w:p>
    <w:p w14:paraId="6A186196" w14:textId="78D0DEB6" w:rsidR="00CC4CE1" w:rsidRDefault="006449E3" w:rsidP="006449E3">
      <w:r>
        <w:rPr>
          <w:bCs/>
          <w:sz w:val="22"/>
          <w:szCs w:val="22"/>
        </w:rPr>
        <w:t xml:space="preserve">Schools Forum are asked to </w:t>
      </w:r>
      <w:r w:rsidR="00340436">
        <w:rPr>
          <w:bCs/>
          <w:sz w:val="22"/>
          <w:szCs w:val="22"/>
        </w:rPr>
        <w:t xml:space="preserve">note the </w:t>
      </w:r>
      <w:proofErr w:type="gramStart"/>
      <w:r w:rsidR="00340436">
        <w:rPr>
          <w:bCs/>
          <w:sz w:val="22"/>
          <w:szCs w:val="22"/>
        </w:rPr>
        <w:t>report</w:t>
      </w:r>
      <w:proofErr w:type="gramEnd"/>
    </w:p>
    <w:p w14:paraId="668674A3" w14:textId="77777777" w:rsidR="00710735" w:rsidRPr="00437FB4" w:rsidRDefault="00710735" w:rsidP="00710735">
      <w:pPr>
        <w:pStyle w:val="ListParagraph"/>
        <w:rPr>
          <w:rFonts w:cs="Arial"/>
          <w:color w:val="000000"/>
        </w:rPr>
      </w:pPr>
    </w:p>
    <w:p w14:paraId="3F4EFDBD" w14:textId="0DF42411" w:rsidR="00CC4CE1" w:rsidRDefault="00CC4CE1" w:rsidP="00534043">
      <w:pPr>
        <w:pStyle w:val="NoSpacing"/>
        <w:sectPr w:rsidR="00CC4CE1" w:rsidSect="007B40D8">
          <w:headerReference w:type="default" r:id="rId12"/>
          <w:pgSz w:w="11906" w:h="16838"/>
          <w:pgMar w:top="3544" w:right="1440" w:bottom="1440" w:left="1440" w:header="708" w:footer="708" w:gutter="0"/>
          <w:cols w:space="708"/>
          <w:docGrid w:linePitch="360"/>
        </w:sectPr>
      </w:pPr>
    </w:p>
    <w:p w14:paraId="00772E5A" w14:textId="474E6E2A" w:rsidR="00D23BA2" w:rsidRDefault="00D23BA2" w:rsidP="001A610F">
      <w:pPr>
        <w:pStyle w:val="TOCHeading"/>
        <w:spacing w:before="0" w:line="240" w:lineRule="auto"/>
      </w:pPr>
    </w:p>
    <w:p w14:paraId="1187ECB4" w14:textId="77777777" w:rsidR="006449E3" w:rsidRPr="00165DB6" w:rsidRDefault="006449E3" w:rsidP="006449E3">
      <w:pPr>
        <w:pStyle w:val="ListParagraph"/>
        <w:numPr>
          <w:ilvl w:val="0"/>
          <w:numId w:val="4"/>
        </w:numPr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  <w:r w:rsidRPr="00165DB6">
        <w:rPr>
          <w:rFonts w:eastAsiaTheme="minorEastAsia" w:cs="Arial"/>
          <w:b/>
          <w:bCs/>
          <w:color w:val="319B31"/>
          <w:sz w:val="28"/>
          <w:szCs w:val="28"/>
        </w:rPr>
        <w:t>Background</w:t>
      </w:r>
    </w:p>
    <w:p w14:paraId="26906A71" w14:textId="77777777" w:rsidR="006449E3" w:rsidRPr="00CC3A17" w:rsidRDefault="006449E3" w:rsidP="006449E3">
      <w:pPr>
        <w:jc w:val="both"/>
      </w:pPr>
    </w:p>
    <w:p w14:paraId="49E52B52" w14:textId="5C86F441" w:rsidR="00C719D5" w:rsidRPr="00C719D5" w:rsidRDefault="00795319" w:rsidP="006449E3">
      <w:pPr>
        <w:pStyle w:val="ListParagraph"/>
        <w:numPr>
          <w:ilvl w:val="1"/>
          <w:numId w:val="4"/>
        </w:numPr>
        <w:ind w:left="567" w:hanging="567"/>
        <w:jc w:val="both"/>
      </w:pPr>
      <w:r>
        <w:rPr>
          <w:rFonts w:cs="Arial"/>
        </w:rPr>
        <w:t xml:space="preserve">The </w:t>
      </w:r>
      <w:r w:rsidR="00C719D5">
        <w:rPr>
          <w:rFonts w:cs="Arial"/>
        </w:rPr>
        <w:t xml:space="preserve">Dedicated schools Grant allocations for 3 blocks were announce on the 19 December 2023.  The </w:t>
      </w:r>
      <w:r w:rsidR="00330D82">
        <w:rPr>
          <w:rFonts w:cs="Arial"/>
        </w:rPr>
        <w:t>S</w:t>
      </w:r>
      <w:r w:rsidR="00C719D5">
        <w:rPr>
          <w:rFonts w:cs="Arial"/>
        </w:rPr>
        <w:t xml:space="preserve">chools and </w:t>
      </w:r>
      <w:r w:rsidR="00330D82">
        <w:rPr>
          <w:rFonts w:cs="Arial"/>
        </w:rPr>
        <w:t>C</w:t>
      </w:r>
      <w:r w:rsidR="00C719D5">
        <w:rPr>
          <w:rFonts w:cs="Arial"/>
        </w:rPr>
        <w:t>entra</w:t>
      </w:r>
      <w:r w:rsidR="00330D82">
        <w:rPr>
          <w:rFonts w:cs="Arial"/>
        </w:rPr>
        <w:t>l</w:t>
      </w:r>
      <w:r w:rsidR="00C719D5">
        <w:rPr>
          <w:rFonts w:cs="Arial"/>
        </w:rPr>
        <w:t xml:space="preserve"> </w:t>
      </w:r>
      <w:r w:rsidR="00330D82">
        <w:rPr>
          <w:rFonts w:cs="Arial"/>
        </w:rPr>
        <w:t>S</w:t>
      </w:r>
      <w:r w:rsidR="00C719D5">
        <w:rPr>
          <w:rFonts w:cs="Arial"/>
        </w:rPr>
        <w:t xml:space="preserve">chools </w:t>
      </w:r>
      <w:r w:rsidR="00330D82">
        <w:rPr>
          <w:rFonts w:cs="Arial"/>
        </w:rPr>
        <w:t xml:space="preserve">Services </w:t>
      </w:r>
      <w:r w:rsidR="00C719D5">
        <w:rPr>
          <w:rFonts w:cs="Arial"/>
        </w:rPr>
        <w:t>block</w:t>
      </w:r>
      <w:r w:rsidR="00330D82">
        <w:rPr>
          <w:rFonts w:cs="Arial"/>
        </w:rPr>
        <w:t>s</w:t>
      </w:r>
      <w:r w:rsidR="00C719D5">
        <w:rPr>
          <w:rFonts w:cs="Arial"/>
        </w:rPr>
        <w:t xml:space="preserve"> are now fixed for the year; the </w:t>
      </w:r>
      <w:r w:rsidR="00330D82">
        <w:rPr>
          <w:rFonts w:cs="Arial"/>
        </w:rPr>
        <w:t>H</w:t>
      </w:r>
      <w:r w:rsidR="00C719D5">
        <w:rPr>
          <w:rFonts w:cs="Arial"/>
        </w:rPr>
        <w:t xml:space="preserve">igh Needs block will be updated for minor formula headings in 2024; and the </w:t>
      </w:r>
      <w:r w:rsidR="00330D82">
        <w:rPr>
          <w:rFonts w:cs="Arial"/>
        </w:rPr>
        <w:t>E</w:t>
      </w:r>
      <w:r w:rsidR="00C719D5">
        <w:rPr>
          <w:rFonts w:cs="Arial"/>
        </w:rPr>
        <w:t xml:space="preserve">arly </w:t>
      </w:r>
      <w:r w:rsidR="00330D82">
        <w:rPr>
          <w:rFonts w:cs="Arial"/>
        </w:rPr>
        <w:t>Y</w:t>
      </w:r>
      <w:r w:rsidR="00C719D5">
        <w:rPr>
          <w:rFonts w:cs="Arial"/>
        </w:rPr>
        <w:t xml:space="preserve">ears block </w:t>
      </w:r>
      <w:r w:rsidR="00330D82">
        <w:rPr>
          <w:rFonts w:cs="Arial"/>
        </w:rPr>
        <w:t xml:space="preserve">funding rates have been announced, but pupil numbers will </w:t>
      </w:r>
      <w:r w:rsidR="00C719D5">
        <w:rPr>
          <w:rFonts w:cs="Arial"/>
        </w:rPr>
        <w:t>be announced in 2024.</w:t>
      </w:r>
    </w:p>
    <w:p w14:paraId="2F81488F" w14:textId="77777777" w:rsidR="00330D82" w:rsidRDefault="00330D82" w:rsidP="00330D82">
      <w:pPr>
        <w:pStyle w:val="ListParagraph"/>
        <w:ind w:left="360"/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</w:p>
    <w:tbl>
      <w:tblPr>
        <w:tblW w:w="8978" w:type="dxa"/>
        <w:tblLook w:val="04A0" w:firstRow="1" w:lastRow="0" w:firstColumn="1" w:lastColumn="0" w:noHBand="0" w:noVBand="1"/>
      </w:tblPr>
      <w:tblGrid>
        <w:gridCol w:w="3964"/>
        <w:gridCol w:w="1559"/>
        <w:gridCol w:w="1329"/>
        <w:gridCol w:w="1417"/>
        <w:gridCol w:w="709"/>
      </w:tblGrid>
      <w:tr w:rsidR="00330D82" w:rsidRPr="00330D82" w14:paraId="69F3CA41" w14:textId="77777777" w:rsidTr="0096120B">
        <w:trPr>
          <w:trHeight w:val="5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502C" w14:textId="77777777" w:rsidR="00330D82" w:rsidRPr="00330D82" w:rsidRDefault="00330D82" w:rsidP="0096120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DSG before academy recoupment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0A0" w14:textId="2A362CE3" w:rsidR="00330D82" w:rsidRPr="00330D82" w:rsidRDefault="00255417" w:rsidP="0096120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2023/24</w:t>
            </w:r>
            <w:r w:rsidR="00330D82" w:rsidRPr="00330D82">
              <w:rPr>
                <w:rFonts w:eastAsia="Times New Roman"/>
                <w:color w:val="000000"/>
                <w:sz w:val="20"/>
                <w:szCs w:val="20"/>
              </w:rPr>
              <w:br/>
              <w:t>£s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69D" w14:textId="6BDBD990" w:rsidR="00330D82" w:rsidRPr="00330D82" w:rsidRDefault="00255417" w:rsidP="0096120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2024/25</w:t>
            </w:r>
            <w:r w:rsidR="00330D82" w:rsidRPr="00330D82">
              <w:rPr>
                <w:rFonts w:eastAsia="Times New Roman"/>
                <w:color w:val="000000"/>
                <w:sz w:val="20"/>
                <w:szCs w:val="20"/>
              </w:rPr>
              <w:br/>
              <w:t>£s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050E" w14:textId="77777777" w:rsidR="00330D82" w:rsidRPr="00330D82" w:rsidRDefault="00330D82" w:rsidP="0096120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variance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2D7" w14:textId="77777777" w:rsidR="00330D82" w:rsidRPr="00330D82" w:rsidRDefault="00330D82" w:rsidP="0096120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</w:tr>
      <w:tr w:rsidR="00330D82" w:rsidRPr="00330D82" w14:paraId="5E8A6061" w14:textId="77777777" w:rsidTr="0096120B">
        <w:trPr>
          <w:trHeight w:val="2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6C05E" w:fill="F2F2F2"/>
            <w:vAlign w:val="center"/>
            <w:hideMark/>
          </w:tcPr>
          <w:p w14:paraId="48A30BE2" w14:textId="77777777" w:rsidR="00330D82" w:rsidRPr="00330D82" w:rsidRDefault="00330D82" w:rsidP="0096120B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Schools block (SB)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C900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295,264,535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E0F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303,863,963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CCBF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8,599,428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972D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3%</w:t>
            </w:r>
          </w:p>
        </w:tc>
      </w:tr>
      <w:tr w:rsidR="00330D82" w:rsidRPr="00330D82" w14:paraId="561F8192" w14:textId="77777777" w:rsidTr="0096120B">
        <w:trPr>
          <w:trHeight w:val="26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6C05E" w:fill="F2F2F2"/>
            <w:vAlign w:val="center"/>
            <w:hideMark/>
          </w:tcPr>
          <w:p w14:paraId="7DA04A91" w14:textId="77777777" w:rsidR="00330D82" w:rsidRPr="00330D82" w:rsidRDefault="00330D82" w:rsidP="0096120B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Central school services block (CSSB)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9B02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3,157,278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58CB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2,906,445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3F03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-250,833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12B4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-8%</w:t>
            </w:r>
          </w:p>
        </w:tc>
      </w:tr>
      <w:tr w:rsidR="00330D82" w:rsidRPr="00330D82" w14:paraId="4DA29D1A" w14:textId="77777777" w:rsidTr="0096120B">
        <w:trPr>
          <w:trHeight w:val="26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6C05E" w:fill="F2F2F2"/>
            <w:vAlign w:val="center"/>
            <w:hideMark/>
          </w:tcPr>
          <w:p w14:paraId="11BAAA77" w14:textId="77777777" w:rsidR="00330D82" w:rsidRPr="00330D82" w:rsidRDefault="00330D82" w:rsidP="0096120B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High needs block (HNB)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4456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82,471,653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7E6C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85,992,740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AD47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3,521,087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7E7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4%</w:t>
            </w:r>
          </w:p>
        </w:tc>
      </w:tr>
      <w:tr w:rsidR="00330D82" w:rsidRPr="00330D82" w14:paraId="7651308D" w14:textId="77777777" w:rsidTr="0096120B">
        <w:trPr>
          <w:trHeight w:val="26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6C05E" w:fill="F2F2F2"/>
            <w:vAlign w:val="center"/>
            <w:hideMark/>
          </w:tcPr>
          <w:p w14:paraId="7271D385" w14:textId="77777777" w:rsidR="00330D82" w:rsidRPr="00330D82" w:rsidRDefault="00330D82" w:rsidP="0096120B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Early years block (EYB)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96CC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30,163,367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BECB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40,509,862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2B70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10,346,495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62A5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34%</w:t>
            </w:r>
          </w:p>
        </w:tc>
      </w:tr>
      <w:tr w:rsidR="00330D82" w:rsidRPr="00330D82" w14:paraId="287B9DDD" w14:textId="77777777" w:rsidTr="0096120B">
        <w:trPr>
          <w:trHeight w:val="26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C05E" w:fill="F2F2F2"/>
            <w:vAlign w:val="center"/>
            <w:hideMark/>
          </w:tcPr>
          <w:p w14:paraId="23C07E8C" w14:textId="77777777" w:rsidR="00330D82" w:rsidRPr="00330D82" w:rsidRDefault="00330D82" w:rsidP="0096120B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DSG allocation (£s)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74F0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411,056,833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D7E2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433,273,010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186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22,216,177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32E6" w14:textId="77777777" w:rsidR="00330D82" w:rsidRPr="00330D82" w:rsidRDefault="00330D82" w:rsidP="0096120B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30D82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</w:tr>
    </w:tbl>
    <w:p w14:paraId="2963E7E0" w14:textId="77777777" w:rsidR="00330D82" w:rsidRDefault="00330D82" w:rsidP="00330D82">
      <w:pPr>
        <w:jc w:val="both"/>
        <w:rPr>
          <w:b/>
          <w:bCs/>
          <w:color w:val="319B31"/>
          <w:sz w:val="28"/>
          <w:szCs w:val="28"/>
        </w:rPr>
      </w:pPr>
    </w:p>
    <w:p w14:paraId="7D7D0C61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56DB193E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58B3F708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500A23B0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3D8CDE5E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693DB959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127FA69D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77A104C2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7D70C183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080A4DD8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07A9E73D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7CDB99CA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33FB2F84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1EC2D958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385C660E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372E0F3F" w14:textId="77777777" w:rsidR="00533E67" w:rsidRDefault="00533E67" w:rsidP="00330D82">
      <w:pPr>
        <w:jc w:val="both"/>
        <w:rPr>
          <w:b/>
          <w:bCs/>
          <w:color w:val="319B31"/>
          <w:sz w:val="28"/>
          <w:szCs w:val="28"/>
        </w:rPr>
      </w:pPr>
    </w:p>
    <w:p w14:paraId="256D4694" w14:textId="77777777" w:rsidR="00340436" w:rsidRDefault="00340436" w:rsidP="00340436">
      <w:pPr>
        <w:pStyle w:val="ListParagraph"/>
      </w:pPr>
    </w:p>
    <w:p w14:paraId="412B692B" w14:textId="3A8CFCA9" w:rsidR="006449E3" w:rsidRDefault="00C719D5" w:rsidP="006449E3">
      <w:pPr>
        <w:pStyle w:val="ListParagraph"/>
        <w:numPr>
          <w:ilvl w:val="0"/>
          <w:numId w:val="4"/>
        </w:numPr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  <w:r>
        <w:rPr>
          <w:rFonts w:eastAsiaTheme="minorEastAsia" w:cs="Arial"/>
          <w:b/>
          <w:bCs/>
          <w:color w:val="319B31"/>
          <w:sz w:val="28"/>
          <w:szCs w:val="28"/>
        </w:rPr>
        <w:lastRenderedPageBreak/>
        <w:t xml:space="preserve">Main points </w:t>
      </w:r>
      <w:r w:rsidR="006449E3" w:rsidRPr="00165DB6">
        <w:rPr>
          <w:rFonts w:eastAsiaTheme="minorEastAsia" w:cs="Arial"/>
          <w:b/>
          <w:bCs/>
          <w:color w:val="319B31"/>
          <w:sz w:val="28"/>
          <w:szCs w:val="28"/>
        </w:rPr>
        <w:t>for 2024-25</w:t>
      </w:r>
    </w:p>
    <w:p w14:paraId="6BEF8D1C" w14:textId="77777777" w:rsidR="00330D82" w:rsidRDefault="00330D82" w:rsidP="00330D82">
      <w:pPr>
        <w:pStyle w:val="ListParagraph"/>
        <w:ind w:left="360"/>
        <w:jc w:val="both"/>
        <w:rPr>
          <w:rFonts w:eastAsiaTheme="minorEastAsia" w:cs="Arial"/>
          <w:b/>
          <w:bCs/>
          <w:color w:val="319B31"/>
          <w:sz w:val="28"/>
          <w:szCs w:val="28"/>
        </w:rPr>
      </w:pPr>
    </w:p>
    <w:p w14:paraId="7AE5300A" w14:textId="06805DA9" w:rsidR="005B5EFA" w:rsidRPr="005B5EFA" w:rsidRDefault="005B5EFA" w:rsidP="005B5EFA">
      <w:pPr>
        <w:jc w:val="both"/>
        <w:rPr>
          <w:b/>
          <w:bCs/>
          <w:color w:val="319B31"/>
          <w:sz w:val="28"/>
          <w:szCs w:val="28"/>
        </w:rPr>
      </w:pPr>
      <w:r>
        <w:rPr>
          <w:b/>
          <w:bCs/>
          <w:color w:val="319B31"/>
          <w:sz w:val="28"/>
          <w:szCs w:val="28"/>
        </w:rPr>
        <w:t>Schools Block</w:t>
      </w:r>
    </w:p>
    <w:p w14:paraId="54C29861" w14:textId="3E42D051" w:rsidR="005B5EFA" w:rsidRDefault="005B5EFA" w:rsidP="005B5EFA">
      <w:pPr>
        <w:pStyle w:val="ListParagraph"/>
        <w:numPr>
          <w:ilvl w:val="1"/>
          <w:numId w:val="4"/>
        </w:numPr>
        <w:ind w:left="567" w:hanging="567"/>
        <w:jc w:val="both"/>
      </w:pPr>
      <w:r>
        <w:rPr>
          <w:rFonts w:cs="Arial"/>
        </w:rPr>
        <w:t>The schools budget planning stage is coming to an end</w:t>
      </w:r>
      <w:r w:rsidRPr="004D5C22">
        <w:t xml:space="preserve"> </w:t>
      </w:r>
      <w:r>
        <w:t>with the submission of the Authority Pro-Forma tool (APT</w:t>
      </w:r>
      <w:r w:rsidRPr="00255417">
        <w:t xml:space="preserve">) </w:t>
      </w:r>
      <w:r w:rsidR="00255417" w:rsidRPr="00255417">
        <w:t>by</w:t>
      </w:r>
      <w:r w:rsidRPr="00255417">
        <w:t xml:space="preserve"> the </w:t>
      </w:r>
      <w:r w:rsidR="00255417" w:rsidRPr="00255417">
        <w:t>22</w:t>
      </w:r>
      <w:r>
        <w:t xml:space="preserve"> January.  This will be challenged and ultimately agreed by the Education Services Funding Agency (ESFA) before we can confirm the final schools block budget share for 2024-25. This budget will not alter in year.</w:t>
      </w:r>
    </w:p>
    <w:p w14:paraId="7642D46D" w14:textId="77777777" w:rsidR="005B5EFA" w:rsidRDefault="005B5EFA" w:rsidP="005B5EFA">
      <w:pPr>
        <w:pStyle w:val="ListParagraph"/>
        <w:ind w:left="567"/>
        <w:jc w:val="both"/>
      </w:pPr>
    </w:p>
    <w:p w14:paraId="226910B5" w14:textId="77777777" w:rsidR="00330D82" w:rsidRDefault="005B5EFA" w:rsidP="005B5EFA">
      <w:pPr>
        <w:pStyle w:val="ListParagraph"/>
        <w:numPr>
          <w:ilvl w:val="1"/>
          <w:numId w:val="4"/>
        </w:numPr>
        <w:ind w:left="567" w:hanging="567"/>
        <w:jc w:val="both"/>
        <w:rPr>
          <w:rFonts w:cs="Arial"/>
        </w:rPr>
      </w:pPr>
      <w:r w:rsidRPr="00340436">
        <w:rPr>
          <w:rFonts w:cs="Arial"/>
        </w:rPr>
        <w:t xml:space="preserve">The </w:t>
      </w:r>
      <w:r>
        <w:rPr>
          <w:rFonts w:cs="Arial"/>
        </w:rPr>
        <w:t xml:space="preserve">mainstream school roll has reduced since last year, which will lead to potential reduction in budgets.  </w:t>
      </w:r>
    </w:p>
    <w:p w14:paraId="33B2C7A5" w14:textId="77777777" w:rsidR="00330D82" w:rsidRPr="00330D82" w:rsidRDefault="00330D82" w:rsidP="00330D82">
      <w:pPr>
        <w:pStyle w:val="ListParagraph"/>
        <w:rPr>
          <w:rFonts w:cs="Arial"/>
        </w:rPr>
      </w:pPr>
    </w:p>
    <w:p w14:paraId="41D97CF1" w14:textId="62557D6A" w:rsidR="005B5EFA" w:rsidRDefault="005B5EFA" w:rsidP="005B5EFA">
      <w:pPr>
        <w:pStyle w:val="ListParagraph"/>
        <w:numPr>
          <w:ilvl w:val="1"/>
          <w:numId w:val="4"/>
        </w:numPr>
        <w:ind w:left="567" w:hanging="567"/>
        <w:jc w:val="both"/>
        <w:rPr>
          <w:rFonts w:cs="Arial"/>
        </w:rPr>
      </w:pPr>
      <w:r w:rsidRPr="00340436">
        <w:rPr>
          <w:rFonts w:cs="Arial"/>
        </w:rPr>
        <w:t xml:space="preserve">Schools Finance Team have completed modelling of </w:t>
      </w:r>
      <w:r>
        <w:rPr>
          <w:rFonts w:cs="Arial"/>
        </w:rPr>
        <w:t>allocations</w:t>
      </w:r>
      <w:r w:rsidRPr="00340436">
        <w:rPr>
          <w:rFonts w:cs="Arial"/>
        </w:rPr>
        <w:t xml:space="preserve"> for individual schools and schools will receive indicative budgets soon. </w:t>
      </w:r>
    </w:p>
    <w:p w14:paraId="07907401" w14:textId="77777777" w:rsidR="005B5EFA" w:rsidRPr="00340436" w:rsidRDefault="005B5EFA" w:rsidP="005B5EFA">
      <w:pPr>
        <w:pStyle w:val="ListParagraph"/>
        <w:ind w:left="567"/>
        <w:jc w:val="both"/>
        <w:rPr>
          <w:rFonts w:cs="Arial"/>
        </w:rPr>
      </w:pPr>
    </w:p>
    <w:p w14:paraId="5F0387EB" w14:textId="0D30C05C" w:rsidR="00340436" w:rsidRPr="00340436" w:rsidRDefault="00340436" w:rsidP="00340436">
      <w:pPr>
        <w:pStyle w:val="ListParagraph"/>
        <w:numPr>
          <w:ilvl w:val="1"/>
          <w:numId w:val="4"/>
        </w:numPr>
        <w:ind w:left="567" w:hanging="567"/>
        <w:jc w:val="both"/>
      </w:pPr>
      <w:r>
        <w:rPr>
          <w:rFonts w:cs="Arial"/>
        </w:rPr>
        <w:t xml:space="preserve">The opening of the school at London Docks was delayed, with building taking place throughout 2023-24.  </w:t>
      </w:r>
      <w:r w:rsidRPr="00255417">
        <w:rPr>
          <w:rFonts w:cs="Arial"/>
        </w:rPr>
        <w:t>The new pupils starting in September 2024</w:t>
      </w:r>
      <w:r>
        <w:rPr>
          <w:rFonts w:cs="Arial"/>
        </w:rPr>
        <w:t xml:space="preserve"> have been included </w:t>
      </w:r>
      <w:r w:rsidR="00C719D5">
        <w:rPr>
          <w:rFonts w:cs="Arial"/>
        </w:rPr>
        <w:t xml:space="preserve">in the APT, as well as </w:t>
      </w:r>
      <w:r>
        <w:rPr>
          <w:rFonts w:cs="Arial"/>
        </w:rPr>
        <w:t>part of the growth</w:t>
      </w:r>
      <w:r w:rsidR="00C719D5">
        <w:rPr>
          <w:rFonts w:cs="Arial"/>
        </w:rPr>
        <w:t xml:space="preserve"> which is likely to </w:t>
      </w:r>
      <w:r>
        <w:rPr>
          <w:rFonts w:cs="Arial"/>
        </w:rPr>
        <w:t>use up all the budget allocated for the Growth Fund. Previously, any surplus in the growth fund was transferred to the High Needs block.</w:t>
      </w:r>
      <w:r w:rsidR="0038344C" w:rsidRPr="0038344C">
        <w:rPr>
          <w:rFonts w:cs="Arial"/>
        </w:rPr>
        <w:t xml:space="preserve"> </w:t>
      </w:r>
      <w:r w:rsidR="0038344C">
        <w:rPr>
          <w:rFonts w:cs="Arial"/>
        </w:rPr>
        <w:t xml:space="preserve">The 2024-25 Schools block growth allocation reduced by -14%.  </w:t>
      </w:r>
    </w:p>
    <w:p w14:paraId="331EF320" w14:textId="77777777" w:rsidR="00340436" w:rsidRPr="00340436" w:rsidRDefault="00340436" w:rsidP="00340436">
      <w:pPr>
        <w:pStyle w:val="ListParagraph"/>
        <w:ind w:left="567"/>
        <w:jc w:val="both"/>
      </w:pPr>
    </w:p>
    <w:p w14:paraId="174DF774" w14:textId="2CAD94B5" w:rsidR="005B5EFA" w:rsidRPr="0038344C" w:rsidRDefault="0074683F" w:rsidP="00785E86">
      <w:pPr>
        <w:pStyle w:val="ListParagraph"/>
        <w:numPr>
          <w:ilvl w:val="1"/>
          <w:numId w:val="4"/>
        </w:numPr>
        <w:ind w:left="567" w:hanging="567"/>
        <w:jc w:val="both"/>
      </w:pPr>
      <w:r>
        <w:rPr>
          <w:rFonts w:cs="Arial"/>
        </w:rPr>
        <w:t xml:space="preserve">The Mainstream </w:t>
      </w:r>
      <w:r w:rsidR="0038344C">
        <w:rPr>
          <w:rFonts w:cs="Arial"/>
        </w:rPr>
        <w:t>S</w:t>
      </w:r>
      <w:r>
        <w:rPr>
          <w:rFonts w:cs="Arial"/>
        </w:rPr>
        <w:t xml:space="preserve">chool </w:t>
      </w:r>
      <w:r w:rsidR="0038344C">
        <w:rPr>
          <w:rFonts w:cs="Arial"/>
        </w:rPr>
        <w:t>A</w:t>
      </w:r>
      <w:r>
        <w:rPr>
          <w:rFonts w:cs="Arial"/>
        </w:rPr>
        <w:t xml:space="preserve">dditional </w:t>
      </w:r>
      <w:r w:rsidR="0038344C">
        <w:rPr>
          <w:rFonts w:cs="Arial"/>
        </w:rPr>
        <w:t>G</w:t>
      </w:r>
      <w:r>
        <w:rPr>
          <w:rFonts w:cs="Arial"/>
        </w:rPr>
        <w:t xml:space="preserve">rant </w:t>
      </w:r>
      <w:r w:rsidR="0038344C">
        <w:rPr>
          <w:rFonts w:cs="Arial"/>
        </w:rPr>
        <w:t xml:space="preserve">(£9.4 mill) from 2023-24 </w:t>
      </w:r>
      <w:r>
        <w:rPr>
          <w:rFonts w:cs="Arial"/>
        </w:rPr>
        <w:t xml:space="preserve">has been added to the </w:t>
      </w:r>
      <w:proofErr w:type="gramStart"/>
      <w:r>
        <w:rPr>
          <w:rFonts w:cs="Arial"/>
        </w:rPr>
        <w:t>schools</w:t>
      </w:r>
      <w:proofErr w:type="gramEnd"/>
      <w:r>
        <w:rPr>
          <w:rFonts w:cs="Arial"/>
        </w:rPr>
        <w:t xml:space="preserve"> budget baseline for 2024-25</w:t>
      </w:r>
      <w:r w:rsidR="0038344C">
        <w:rPr>
          <w:rFonts w:cs="Arial"/>
        </w:rPr>
        <w:t>, leading to a 4% increase in the per-pupil unit of funding.</w:t>
      </w:r>
      <w:r w:rsidR="00D23BA2">
        <w:rPr>
          <w:rFonts w:cs="Arial"/>
        </w:rPr>
        <w:t xml:space="preserve"> </w:t>
      </w:r>
    </w:p>
    <w:p w14:paraId="362CFBF6" w14:textId="77777777" w:rsidR="0038344C" w:rsidRDefault="0038344C" w:rsidP="0038344C">
      <w:pPr>
        <w:pStyle w:val="ListParagraph"/>
      </w:pPr>
    </w:p>
    <w:p w14:paraId="2C8CF202" w14:textId="77777777" w:rsidR="0038344C" w:rsidRDefault="0038344C" w:rsidP="0038344C">
      <w:pPr>
        <w:pStyle w:val="ListParagraph"/>
        <w:ind w:left="567"/>
        <w:jc w:val="both"/>
      </w:pPr>
    </w:p>
    <w:p w14:paraId="09E63FB8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3909A233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3E9069A6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262A9607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4F3AEF23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2BB518F6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492A9671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30458ED3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4689E073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3766D05E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08017E24" w14:textId="77777777" w:rsidR="00533E67" w:rsidRDefault="00533E67" w:rsidP="005B5EFA">
      <w:pPr>
        <w:jc w:val="both"/>
        <w:rPr>
          <w:b/>
          <w:bCs/>
          <w:color w:val="319B31"/>
          <w:sz w:val="28"/>
          <w:szCs w:val="28"/>
        </w:rPr>
      </w:pPr>
    </w:p>
    <w:p w14:paraId="17FD95D7" w14:textId="7E546DB4" w:rsidR="00795319" w:rsidRPr="005B5EFA" w:rsidRDefault="005B5EFA" w:rsidP="005B5EFA">
      <w:pPr>
        <w:jc w:val="both"/>
        <w:rPr>
          <w:b/>
          <w:bCs/>
          <w:color w:val="319B31"/>
          <w:sz w:val="28"/>
          <w:szCs w:val="28"/>
        </w:rPr>
      </w:pPr>
      <w:r w:rsidRPr="005B5EFA">
        <w:rPr>
          <w:b/>
          <w:bCs/>
          <w:color w:val="319B31"/>
          <w:sz w:val="28"/>
          <w:szCs w:val="28"/>
        </w:rPr>
        <w:lastRenderedPageBreak/>
        <w:t>Hi</w:t>
      </w:r>
      <w:r>
        <w:rPr>
          <w:b/>
          <w:bCs/>
          <w:color w:val="319B31"/>
          <w:sz w:val="28"/>
          <w:szCs w:val="28"/>
        </w:rPr>
        <w:t>g</w:t>
      </w:r>
      <w:r w:rsidRPr="005B5EFA">
        <w:rPr>
          <w:b/>
          <w:bCs/>
          <w:color w:val="319B31"/>
          <w:sz w:val="28"/>
          <w:szCs w:val="28"/>
        </w:rPr>
        <w:t>h Needs Block</w:t>
      </w:r>
    </w:p>
    <w:p w14:paraId="47E49010" w14:textId="77777777" w:rsidR="00D23BA2" w:rsidRPr="00D23BA2" w:rsidRDefault="004C019F" w:rsidP="0032119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</w:pPr>
      <w:r w:rsidRPr="00D23BA2">
        <w:rPr>
          <w:rFonts w:cs="Arial"/>
        </w:rPr>
        <w:t>The</w:t>
      </w:r>
      <w:r w:rsidR="00C719D5" w:rsidRPr="00D23BA2">
        <w:rPr>
          <w:rFonts w:cs="Arial"/>
        </w:rPr>
        <w:t xml:space="preserve"> </w:t>
      </w:r>
      <w:r w:rsidR="00795319" w:rsidRPr="00D23BA2">
        <w:rPr>
          <w:rFonts w:cs="Arial"/>
        </w:rPr>
        <w:t xml:space="preserve">High Needs Block </w:t>
      </w:r>
      <w:r w:rsidR="0038344C" w:rsidRPr="00D23BA2">
        <w:rPr>
          <w:rFonts w:cs="Arial"/>
        </w:rPr>
        <w:t>formula has increased by 9%, as have the number</w:t>
      </w:r>
      <w:r w:rsidR="00D23BA2" w:rsidRPr="00D23BA2">
        <w:rPr>
          <w:rFonts w:cs="Arial"/>
        </w:rPr>
        <w:t xml:space="preserve"> of pupils in special schools and academies.</w:t>
      </w:r>
    </w:p>
    <w:p w14:paraId="1D9457C3" w14:textId="77777777" w:rsidR="00D23BA2" w:rsidRDefault="00D23BA2" w:rsidP="00D23BA2">
      <w:pPr>
        <w:pStyle w:val="ListParagraph"/>
        <w:widowControl w:val="0"/>
        <w:autoSpaceDE w:val="0"/>
        <w:autoSpaceDN w:val="0"/>
        <w:adjustRightInd w:val="0"/>
        <w:ind w:left="567"/>
        <w:jc w:val="both"/>
      </w:pPr>
    </w:p>
    <w:p w14:paraId="3F1A7827" w14:textId="483A4C64" w:rsidR="00795319" w:rsidRPr="00C719D5" w:rsidRDefault="00D23BA2" w:rsidP="0032119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</w:pPr>
      <w:r w:rsidRPr="00D23BA2">
        <w:rPr>
          <w:rFonts w:cs="Arial"/>
        </w:rPr>
        <w:t>The HN</w:t>
      </w:r>
      <w:r w:rsidR="0038344C" w:rsidRPr="00D23BA2">
        <w:rPr>
          <w:rFonts w:cs="Arial"/>
        </w:rPr>
        <w:t xml:space="preserve"> </w:t>
      </w:r>
      <w:r w:rsidR="0074683F" w:rsidRPr="00D23BA2">
        <w:rPr>
          <w:rFonts w:cs="Arial"/>
        </w:rPr>
        <w:t xml:space="preserve">deficit was reduced at the end of </w:t>
      </w:r>
      <w:r>
        <w:rPr>
          <w:rFonts w:cs="Arial"/>
        </w:rPr>
        <w:t>20</w:t>
      </w:r>
      <w:r w:rsidR="0074683F" w:rsidRPr="00D23BA2">
        <w:rPr>
          <w:rFonts w:cs="Arial"/>
        </w:rPr>
        <w:t xml:space="preserve">22-23, </w:t>
      </w:r>
      <w:r>
        <w:rPr>
          <w:rFonts w:cs="Arial"/>
        </w:rPr>
        <w:t xml:space="preserve">with a cumulative deficit of -£13 mill. Carried into 2023-24.  Projections </w:t>
      </w:r>
      <w:r w:rsidR="0074683F" w:rsidRPr="00D23BA2">
        <w:rPr>
          <w:rFonts w:cs="Arial"/>
        </w:rPr>
        <w:t>are to stay within budget for 2023-24</w:t>
      </w:r>
      <w:r>
        <w:rPr>
          <w:rFonts w:cs="Arial"/>
        </w:rPr>
        <w:t>.</w:t>
      </w:r>
    </w:p>
    <w:p w14:paraId="2154B6B3" w14:textId="77777777" w:rsidR="00C719D5" w:rsidRDefault="00C719D5" w:rsidP="005B5EFA"/>
    <w:p w14:paraId="7D7F1558" w14:textId="59AAB7D3" w:rsidR="005B5EFA" w:rsidRPr="005B5EFA" w:rsidRDefault="005B5EFA" w:rsidP="005B5EFA">
      <w:pPr>
        <w:rPr>
          <w:b/>
          <w:bCs/>
          <w:color w:val="319B31"/>
          <w:sz w:val="28"/>
          <w:szCs w:val="28"/>
        </w:rPr>
      </w:pPr>
      <w:r w:rsidRPr="005B5EFA">
        <w:rPr>
          <w:b/>
          <w:bCs/>
          <w:color w:val="319B31"/>
          <w:sz w:val="28"/>
          <w:szCs w:val="28"/>
        </w:rPr>
        <w:t>Early Years and Central Schools Services Block</w:t>
      </w:r>
      <w:r>
        <w:rPr>
          <w:b/>
          <w:bCs/>
          <w:color w:val="319B31"/>
          <w:sz w:val="28"/>
          <w:szCs w:val="28"/>
        </w:rPr>
        <w:t>s</w:t>
      </w:r>
    </w:p>
    <w:p w14:paraId="268E1B0C" w14:textId="77777777" w:rsidR="008B7266" w:rsidRPr="008B7266" w:rsidRDefault="00330D82" w:rsidP="00330D8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567" w:hanging="578"/>
        <w:jc w:val="both"/>
      </w:pPr>
      <w:r>
        <w:rPr>
          <w:rFonts w:cs="Arial"/>
        </w:rPr>
        <w:t>T</w:t>
      </w:r>
      <w:r w:rsidR="004C019F">
        <w:rPr>
          <w:rFonts w:cs="Arial"/>
        </w:rPr>
        <w:t xml:space="preserve">he Early Years Block (EYB) </w:t>
      </w:r>
      <w:r w:rsidR="00D23BA2">
        <w:rPr>
          <w:rFonts w:cs="Arial"/>
        </w:rPr>
        <w:t xml:space="preserve">unit of funding </w:t>
      </w:r>
      <w:r w:rsidR="00855BD2">
        <w:rPr>
          <w:rFonts w:cs="Arial"/>
        </w:rPr>
        <w:t xml:space="preserve">for </w:t>
      </w:r>
      <w:proofErr w:type="gramStart"/>
      <w:r w:rsidR="00855BD2">
        <w:rPr>
          <w:rFonts w:cs="Arial"/>
        </w:rPr>
        <w:t>3 and 4 year</w:t>
      </w:r>
      <w:r w:rsidR="008B7266">
        <w:rPr>
          <w:rFonts w:cs="Arial"/>
        </w:rPr>
        <w:t>-</w:t>
      </w:r>
      <w:r w:rsidR="00855BD2">
        <w:rPr>
          <w:rFonts w:cs="Arial"/>
        </w:rPr>
        <w:t>olds</w:t>
      </w:r>
      <w:proofErr w:type="gramEnd"/>
      <w:r w:rsidR="00855BD2">
        <w:rPr>
          <w:rFonts w:cs="Arial"/>
        </w:rPr>
        <w:t xml:space="preserve"> </w:t>
      </w:r>
      <w:r w:rsidR="00D23BA2">
        <w:rPr>
          <w:rFonts w:cs="Arial"/>
        </w:rPr>
        <w:t>has been inflated by 4%</w:t>
      </w:r>
      <w:r w:rsidR="00855BD2">
        <w:rPr>
          <w:rFonts w:cs="Arial"/>
        </w:rPr>
        <w:t xml:space="preserve">.  </w:t>
      </w:r>
    </w:p>
    <w:p w14:paraId="6D87B9FC" w14:textId="77777777" w:rsidR="008B7266" w:rsidRPr="008B7266" w:rsidRDefault="008B7266" w:rsidP="008B7266">
      <w:pPr>
        <w:pStyle w:val="ListParagraph"/>
        <w:widowControl w:val="0"/>
        <w:autoSpaceDE w:val="0"/>
        <w:autoSpaceDN w:val="0"/>
        <w:adjustRightInd w:val="0"/>
        <w:ind w:left="567"/>
        <w:jc w:val="both"/>
      </w:pPr>
    </w:p>
    <w:p w14:paraId="3CC95843" w14:textId="36F74EAB" w:rsidR="00D23BA2" w:rsidRPr="008B7266" w:rsidRDefault="00855BD2" w:rsidP="00330D82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567" w:hanging="578"/>
        <w:jc w:val="both"/>
      </w:pPr>
      <w:r>
        <w:rPr>
          <w:rFonts w:cs="Arial"/>
        </w:rPr>
        <w:t xml:space="preserve">The </w:t>
      </w:r>
      <w:proofErr w:type="gramStart"/>
      <w:r>
        <w:rPr>
          <w:rFonts w:cs="Arial"/>
        </w:rPr>
        <w:t>2 year</w:t>
      </w:r>
      <w:r w:rsidR="008B7266">
        <w:rPr>
          <w:rFonts w:cs="Arial"/>
        </w:rPr>
        <w:t>-</w:t>
      </w:r>
      <w:r>
        <w:rPr>
          <w:rFonts w:cs="Arial"/>
        </w:rPr>
        <w:t>old</w:t>
      </w:r>
      <w:proofErr w:type="gramEnd"/>
      <w:r>
        <w:rPr>
          <w:rFonts w:cs="Arial"/>
        </w:rPr>
        <w:t xml:space="preserve"> funding has been extended to </w:t>
      </w:r>
      <w:r w:rsidR="00164BDC">
        <w:rPr>
          <w:rFonts w:cs="Arial"/>
        </w:rPr>
        <w:t xml:space="preserve">mirror the 3 and 4 year old formula structure, </w:t>
      </w:r>
      <w:r w:rsidR="008B7266">
        <w:rPr>
          <w:rFonts w:cs="Arial"/>
        </w:rPr>
        <w:t>and new funding added for under 2’s.  A</w:t>
      </w:r>
      <w:r w:rsidR="00164BDC">
        <w:rPr>
          <w:rFonts w:cs="Arial"/>
        </w:rPr>
        <w:t>s a result</w:t>
      </w:r>
      <w:r w:rsidR="008B7266">
        <w:rPr>
          <w:rFonts w:cs="Arial"/>
        </w:rPr>
        <w:t>,</w:t>
      </w:r>
      <w:r w:rsidR="00164BDC">
        <w:rPr>
          <w:rFonts w:cs="Arial"/>
        </w:rPr>
        <w:t xml:space="preserve"> the provisional allocation has increase</w:t>
      </w:r>
      <w:r w:rsidR="00892360">
        <w:rPr>
          <w:rFonts w:cs="Arial"/>
        </w:rPr>
        <w:t xml:space="preserve">d by </w:t>
      </w:r>
      <w:r w:rsidR="00700774">
        <w:rPr>
          <w:rFonts w:cs="Arial"/>
        </w:rPr>
        <w:t xml:space="preserve">£10.3 mill or </w:t>
      </w:r>
      <w:r w:rsidR="008B7266">
        <w:rPr>
          <w:rFonts w:cs="Arial"/>
        </w:rPr>
        <w:t>34</w:t>
      </w:r>
      <w:r w:rsidR="00892360">
        <w:rPr>
          <w:rFonts w:cs="Arial"/>
        </w:rPr>
        <w:t xml:space="preserve">% </w:t>
      </w:r>
      <w:r w:rsidR="008B7266">
        <w:rPr>
          <w:rFonts w:cs="Arial"/>
        </w:rPr>
        <w:t xml:space="preserve">overall </w:t>
      </w:r>
      <w:r w:rsidR="00892360">
        <w:rPr>
          <w:rFonts w:cs="Arial"/>
        </w:rPr>
        <w:t>using the 2023-24 pupil count data</w:t>
      </w:r>
      <w:r w:rsidR="008B7266">
        <w:rPr>
          <w:rFonts w:cs="Arial"/>
        </w:rPr>
        <w:t xml:space="preserve">.  Final allocations will be confirmed with the </w:t>
      </w:r>
      <w:r w:rsidR="00330D82">
        <w:rPr>
          <w:rFonts w:cs="Arial"/>
        </w:rPr>
        <w:t>January census</w:t>
      </w:r>
      <w:r w:rsidR="00D23BA2">
        <w:rPr>
          <w:rFonts w:cs="Arial"/>
        </w:rPr>
        <w:t xml:space="preserve">. </w:t>
      </w:r>
    </w:p>
    <w:p w14:paraId="41B86F9D" w14:textId="77777777" w:rsidR="008B7266" w:rsidRPr="00D23BA2" w:rsidRDefault="008B7266" w:rsidP="008B7266">
      <w:pPr>
        <w:pStyle w:val="ListParagraph"/>
        <w:widowControl w:val="0"/>
        <w:autoSpaceDE w:val="0"/>
        <w:autoSpaceDN w:val="0"/>
        <w:adjustRightInd w:val="0"/>
        <w:ind w:left="567"/>
        <w:jc w:val="both"/>
      </w:pPr>
    </w:p>
    <w:tbl>
      <w:tblPr>
        <w:tblW w:w="9068" w:type="dxa"/>
        <w:tblLook w:val="04A0" w:firstRow="1" w:lastRow="0" w:firstColumn="1" w:lastColumn="0" w:noHBand="0" w:noVBand="1"/>
      </w:tblPr>
      <w:tblGrid>
        <w:gridCol w:w="3681"/>
        <w:gridCol w:w="1345"/>
        <w:gridCol w:w="1276"/>
        <w:gridCol w:w="1348"/>
        <w:gridCol w:w="1418"/>
      </w:tblGrid>
      <w:tr w:rsidR="008B7266" w:rsidRPr="008B7266" w14:paraId="25804A18" w14:textId="77777777" w:rsidTr="00700774">
        <w:trPr>
          <w:trHeight w:val="2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58F3" w14:textId="2AF5497A" w:rsidR="008B7266" w:rsidRPr="008B7266" w:rsidRDefault="008B7266" w:rsidP="008B7266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Indicative 2024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 Early years block allocations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53D5" w14:textId="77777777" w:rsidR="008B7266" w:rsidRDefault="008B7266" w:rsidP="008B726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3&amp;4 YO</w:t>
            </w:r>
          </w:p>
          <w:p w14:paraId="6A7C0CFC" w14:textId="51415B30" w:rsidR="00700774" w:rsidRPr="008B7266" w:rsidRDefault="00700774" w:rsidP="008B726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£000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3B61" w14:textId="77777777" w:rsidR="008B7266" w:rsidRDefault="008B7266" w:rsidP="008B726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YO</w:t>
            </w:r>
          </w:p>
          <w:p w14:paraId="340B0DEB" w14:textId="1B424426" w:rsidR="00700774" w:rsidRPr="008B7266" w:rsidRDefault="00700774" w:rsidP="008B726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£000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3482" w14:textId="77777777" w:rsidR="008B7266" w:rsidRDefault="008B7266" w:rsidP="008B726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Under 2 YO</w:t>
            </w:r>
          </w:p>
          <w:p w14:paraId="2721B934" w14:textId="52E8792C" w:rsidR="00700774" w:rsidRPr="008B7266" w:rsidRDefault="00700774" w:rsidP="008B726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£000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D88E" w14:textId="77777777" w:rsidR="008B7266" w:rsidRDefault="008B7266" w:rsidP="008B726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2024-25</w:t>
            </w:r>
          </w:p>
          <w:p w14:paraId="53CAC8A5" w14:textId="0709A27B" w:rsidR="00700774" w:rsidRPr="008B7266" w:rsidRDefault="00700774" w:rsidP="008B726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£000</w:t>
            </w:r>
          </w:p>
        </w:tc>
      </w:tr>
      <w:tr w:rsidR="00700774" w:rsidRPr="008B7266" w14:paraId="494EBC47" w14:textId="77777777" w:rsidTr="00700774">
        <w:trPr>
          <w:trHeight w:val="2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40A0" w14:textId="3300C173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>niversal entitlement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2606" w14:textId="2080E7D8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21,353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7D3C" w14:textId="34F8F486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475" w14:textId="49D2E0CE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184B" w14:textId="3F5E3E98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21,353 </w:t>
            </w:r>
          </w:p>
        </w:tc>
      </w:tr>
      <w:tr w:rsidR="00700774" w:rsidRPr="008B7266" w14:paraId="54755B08" w14:textId="77777777" w:rsidTr="00700774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D11F" w14:textId="5544E7FE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 xml:space="preserve">dditional 15 hrs eligible </w:t>
            </w:r>
            <w:proofErr w:type="spellStart"/>
            <w:r w:rsidRPr="008B7266">
              <w:rPr>
                <w:rFonts w:eastAsia="Times New Roman"/>
                <w:color w:val="000000"/>
                <w:sz w:val="20"/>
                <w:szCs w:val="20"/>
              </w:rPr>
              <w:t>w</w:t>
            </w:r>
            <w:r>
              <w:rPr>
                <w:rFonts w:eastAsia="Times New Roman"/>
                <w:color w:val="000000"/>
                <w:sz w:val="20"/>
                <w:szCs w:val="20"/>
              </w:rPr>
              <w:t>kg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>parents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097" w14:textId="5854D47D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5,173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D449" w14:textId="508932DB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4,095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CFC9" w14:textId="16F68D60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0EA3" w14:textId="3A41DD1A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9,268 </w:t>
            </w:r>
          </w:p>
        </w:tc>
      </w:tr>
      <w:tr w:rsidR="00700774" w:rsidRPr="008B7266" w14:paraId="4BFA3A71" w14:textId="77777777" w:rsidTr="00700774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1740" w14:textId="01FD4ED6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>isadvantaged funding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C7D1" w14:textId="2A336F0D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8766" w14:textId="0BD8233E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5,536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322B" w14:textId="301AC041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2,840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547D" w14:textId="0D4ABF2F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8,376 </w:t>
            </w:r>
          </w:p>
        </w:tc>
      </w:tr>
      <w:tr w:rsidR="00700774" w:rsidRPr="008B7266" w14:paraId="779D5770" w14:textId="77777777" w:rsidTr="00700774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C98" w14:textId="522E6271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>arly years pupil premium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4E1C" w14:textId="00266509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7F89" w14:textId="568E5C63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177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BE3" w14:textId="459B6BDA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9106" w14:textId="74675571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479 </w:t>
            </w:r>
          </w:p>
        </w:tc>
      </w:tr>
      <w:tr w:rsidR="00700774" w:rsidRPr="008B7266" w14:paraId="63BE0217" w14:textId="77777777" w:rsidTr="00700774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5D5E" w14:textId="77777777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8B7266">
              <w:rPr>
                <w:rFonts w:eastAsia="Times New Roman"/>
                <w:color w:val="000000"/>
                <w:sz w:val="20"/>
                <w:szCs w:val="20"/>
              </w:rPr>
              <w:t>Disability access fund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DEC0" w14:textId="7E7BB491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5266" w14:textId="0C331DA9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0D6A" w14:textId="10C92B8C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66CF" w14:textId="41064972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256 </w:t>
            </w:r>
          </w:p>
        </w:tc>
      </w:tr>
      <w:tr w:rsidR="00700774" w:rsidRPr="008B7266" w14:paraId="6036A383" w14:textId="77777777" w:rsidTr="00700774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25F8" w14:textId="21004F0E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</w:t>
            </w:r>
            <w:r w:rsidRPr="008B7266">
              <w:rPr>
                <w:rFonts w:eastAsia="Times New Roman"/>
                <w:color w:val="000000"/>
                <w:sz w:val="20"/>
                <w:szCs w:val="20"/>
              </w:rPr>
              <w:t>aintained nursery schools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4700" w14:textId="0D844777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779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B5C6" w14:textId="3A40693D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40A0" w14:textId="56908BC6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0FD8" w14:textId="2FB865BC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779 </w:t>
            </w:r>
          </w:p>
        </w:tc>
      </w:tr>
      <w:tr w:rsidR="00700774" w:rsidRPr="008B7266" w14:paraId="6FF9C2D7" w14:textId="77777777" w:rsidTr="00700774">
        <w:trPr>
          <w:trHeight w:val="2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D4D3" w14:textId="01BF436A" w:rsidR="00700774" w:rsidRPr="008B7266" w:rsidRDefault="00700774" w:rsidP="00700774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Indicative EYB</w:t>
            </w:r>
            <w:r w:rsidRPr="008B726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24-25)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C46" w14:textId="04442D42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774">
              <w:rPr>
                <w:b/>
                <w:bCs/>
                <w:color w:val="000000"/>
                <w:sz w:val="20"/>
                <w:szCs w:val="20"/>
              </w:rPr>
              <w:t xml:space="preserve">  27,778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B70D" w14:textId="0D32D2B0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774">
              <w:rPr>
                <w:b/>
                <w:bCs/>
                <w:color w:val="000000"/>
                <w:sz w:val="20"/>
                <w:szCs w:val="20"/>
              </w:rPr>
              <w:t xml:space="preserve">  9,856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74D1" w14:textId="5708868C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774">
              <w:rPr>
                <w:b/>
                <w:bCs/>
                <w:color w:val="000000"/>
                <w:sz w:val="20"/>
                <w:szCs w:val="20"/>
              </w:rPr>
              <w:t xml:space="preserve">  2,876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62F3" w14:textId="17A29207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00774">
              <w:rPr>
                <w:b/>
                <w:bCs/>
                <w:color w:val="000000"/>
                <w:sz w:val="20"/>
                <w:szCs w:val="20"/>
              </w:rPr>
              <w:t xml:space="preserve">  40,510 </w:t>
            </w:r>
          </w:p>
        </w:tc>
      </w:tr>
      <w:tr w:rsidR="00700774" w:rsidRPr="008B7266" w14:paraId="6100F7E6" w14:textId="77777777" w:rsidTr="00700774">
        <w:trPr>
          <w:trHeight w:val="2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4DAB" w14:textId="02468F97" w:rsidR="00700774" w:rsidRPr="008B7266" w:rsidRDefault="00700774" w:rsidP="007007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774">
              <w:rPr>
                <w:rFonts w:eastAsia="Times New Roman"/>
                <w:color w:val="000000"/>
                <w:sz w:val="20"/>
                <w:szCs w:val="20"/>
              </w:rPr>
              <w:t>EYB 23-24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8757" w14:textId="48DC197C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26,483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F5DD" w14:textId="7A606B10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3,681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F049" w14:textId="54092A5A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E18F" w14:textId="73A75A8C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30,163 </w:t>
            </w:r>
          </w:p>
        </w:tc>
      </w:tr>
      <w:tr w:rsidR="00700774" w:rsidRPr="008B7266" w14:paraId="3F1DD59C" w14:textId="77777777" w:rsidTr="00700774">
        <w:trPr>
          <w:trHeight w:val="2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214C" w14:textId="67F2A217" w:rsidR="00700774" w:rsidRPr="008B7266" w:rsidRDefault="00700774" w:rsidP="00700774">
            <w:pPr>
              <w:spacing w:after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Indicative increase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C48" w14:textId="035E921D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1,295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40BF" w14:textId="5FB7A43D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6,176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AA04" w14:textId="50AAF183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2,876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31FF" w14:textId="212237B4" w:rsidR="00700774" w:rsidRPr="008B7266" w:rsidRDefault="00700774" w:rsidP="00700774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10,346 </w:t>
            </w:r>
          </w:p>
        </w:tc>
      </w:tr>
    </w:tbl>
    <w:p w14:paraId="610579FA" w14:textId="77777777" w:rsidR="00D23BA2" w:rsidRPr="00D23BA2" w:rsidRDefault="00D23BA2" w:rsidP="00D23BA2">
      <w:pPr>
        <w:pStyle w:val="ListParagraph"/>
        <w:widowControl w:val="0"/>
        <w:autoSpaceDE w:val="0"/>
        <w:autoSpaceDN w:val="0"/>
        <w:adjustRightInd w:val="0"/>
        <w:ind w:left="567"/>
        <w:jc w:val="both"/>
      </w:pPr>
    </w:p>
    <w:p w14:paraId="5EE20E8A" w14:textId="3678D9B6" w:rsidR="00C719D5" w:rsidRPr="00340436" w:rsidRDefault="00330D82" w:rsidP="00672A60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</w:pPr>
      <w:r>
        <w:rPr>
          <w:rFonts w:cs="Arial"/>
        </w:rPr>
        <w:t xml:space="preserve">Proposals for Early Years Block </w:t>
      </w:r>
      <w:r w:rsidR="004C019F">
        <w:rPr>
          <w:rFonts w:cs="Arial"/>
        </w:rPr>
        <w:t>and a</w:t>
      </w:r>
      <w:r w:rsidR="00C719D5">
        <w:rPr>
          <w:rFonts w:cs="Arial"/>
        </w:rPr>
        <w:t>greement of t</w:t>
      </w:r>
      <w:r w:rsidR="00C719D5" w:rsidRPr="00340436">
        <w:rPr>
          <w:rFonts w:cs="Arial"/>
        </w:rPr>
        <w:t xml:space="preserve">he </w:t>
      </w:r>
      <w:r w:rsidR="00C719D5">
        <w:rPr>
          <w:rFonts w:cs="Arial"/>
        </w:rPr>
        <w:t xml:space="preserve">Central Schools Services Block (CSSB) </w:t>
      </w:r>
      <w:r w:rsidR="00700774">
        <w:rPr>
          <w:rFonts w:cs="Arial"/>
        </w:rPr>
        <w:t>are</w:t>
      </w:r>
      <w:r w:rsidR="00C719D5">
        <w:rPr>
          <w:rFonts w:cs="Arial"/>
        </w:rPr>
        <w:t xml:space="preserve"> elsewhere on this meeting agenda</w:t>
      </w:r>
      <w:r w:rsidR="004C019F">
        <w:rPr>
          <w:rFonts w:cs="Arial"/>
        </w:rPr>
        <w:t>.</w:t>
      </w:r>
    </w:p>
    <w:p w14:paraId="0221EBF8" w14:textId="77777777" w:rsidR="0038344C" w:rsidRDefault="0038344C" w:rsidP="0038344C"/>
    <w:sectPr w:rsidR="0038344C" w:rsidSect="00D23BA2">
      <w:headerReference w:type="first" r:id="rId13"/>
      <w:pgSz w:w="11906" w:h="16838"/>
      <w:pgMar w:top="226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5EB3" w14:textId="77777777" w:rsidR="00FE161E" w:rsidRDefault="00FE161E" w:rsidP="00101F8B">
      <w:r>
        <w:separator/>
      </w:r>
    </w:p>
    <w:p w14:paraId="431AAF20" w14:textId="77777777" w:rsidR="00FE161E" w:rsidRDefault="00FE161E" w:rsidP="00101F8B"/>
    <w:p w14:paraId="71BD3E02" w14:textId="77777777" w:rsidR="00FE161E" w:rsidRDefault="00FE161E" w:rsidP="00101F8B"/>
    <w:p w14:paraId="0400B556" w14:textId="77777777" w:rsidR="00FE161E" w:rsidRDefault="00FE161E" w:rsidP="00101F8B"/>
    <w:p w14:paraId="2A395938" w14:textId="77777777" w:rsidR="00FE161E" w:rsidRDefault="00FE161E" w:rsidP="00101F8B"/>
    <w:p w14:paraId="75207CED" w14:textId="77777777" w:rsidR="00FE161E" w:rsidRDefault="00FE161E" w:rsidP="00101F8B"/>
  </w:endnote>
  <w:endnote w:type="continuationSeparator" w:id="0">
    <w:p w14:paraId="2471F653" w14:textId="77777777" w:rsidR="00FE161E" w:rsidRDefault="00FE161E" w:rsidP="00101F8B">
      <w:r>
        <w:continuationSeparator/>
      </w:r>
    </w:p>
    <w:p w14:paraId="4303A73E" w14:textId="77777777" w:rsidR="00FE161E" w:rsidRDefault="00FE161E" w:rsidP="00101F8B"/>
    <w:p w14:paraId="7E33CE3C" w14:textId="77777777" w:rsidR="00FE161E" w:rsidRDefault="00FE161E" w:rsidP="00101F8B"/>
    <w:p w14:paraId="247BD666" w14:textId="77777777" w:rsidR="00FE161E" w:rsidRDefault="00FE161E" w:rsidP="00101F8B"/>
    <w:p w14:paraId="3DDCD19C" w14:textId="77777777" w:rsidR="00FE161E" w:rsidRDefault="00FE161E" w:rsidP="00101F8B"/>
    <w:p w14:paraId="5B621D3F" w14:textId="77777777" w:rsidR="00FE161E" w:rsidRDefault="00FE161E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E0A4" w14:textId="77777777" w:rsidR="00FE161E" w:rsidRDefault="00FE161E" w:rsidP="00101F8B">
      <w:r>
        <w:separator/>
      </w:r>
    </w:p>
    <w:p w14:paraId="59A4CD0B" w14:textId="77777777" w:rsidR="00FE161E" w:rsidRDefault="00FE161E" w:rsidP="00101F8B"/>
    <w:p w14:paraId="225AF431" w14:textId="77777777" w:rsidR="00FE161E" w:rsidRDefault="00FE161E" w:rsidP="00101F8B"/>
    <w:p w14:paraId="1656C36F" w14:textId="77777777" w:rsidR="00FE161E" w:rsidRDefault="00FE161E" w:rsidP="00101F8B"/>
    <w:p w14:paraId="199445AE" w14:textId="77777777" w:rsidR="00FE161E" w:rsidRDefault="00FE161E" w:rsidP="00101F8B"/>
    <w:p w14:paraId="6841DB35" w14:textId="77777777" w:rsidR="00FE161E" w:rsidRDefault="00FE161E" w:rsidP="00101F8B"/>
  </w:footnote>
  <w:footnote w:type="continuationSeparator" w:id="0">
    <w:p w14:paraId="690146EC" w14:textId="77777777" w:rsidR="00FE161E" w:rsidRDefault="00FE161E" w:rsidP="00101F8B">
      <w:r>
        <w:continuationSeparator/>
      </w:r>
    </w:p>
    <w:p w14:paraId="710AAB91" w14:textId="77777777" w:rsidR="00FE161E" w:rsidRDefault="00FE161E" w:rsidP="00101F8B"/>
    <w:p w14:paraId="4164BFBA" w14:textId="77777777" w:rsidR="00FE161E" w:rsidRDefault="00FE161E" w:rsidP="00101F8B"/>
    <w:p w14:paraId="511C2BB2" w14:textId="77777777" w:rsidR="00FE161E" w:rsidRDefault="00FE161E" w:rsidP="00101F8B"/>
    <w:p w14:paraId="40C51F6F" w14:textId="77777777" w:rsidR="00FE161E" w:rsidRDefault="00FE161E" w:rsidP="00101F8B"/>
    <w:p w14:paraId="6553C202" w14:textId="77777777" w:rsidR="00FE161E" w:rsidRDefault="00FE161E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9089" w14:textId="4FE65EB4" w:rsidR="00DC0596" w:rsidRDefault="00DC0596" w:rsidP="00101F8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959EBB" wp14:editId="49EF8B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E95" w14:textId="77777777" w:rsidR="00DC0596" w:rsidRDefault="00DC0596" w:rsidP="00101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9EB"/>
    <w:multiLevelType w:val="hybridMultilevel"/>
    <w:tmpl w:val="C3C0388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F084A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96B89"/>
    <w:multiLevelType w:val="hybridMultilevel"/>
    <w:tmpl w:val="6A326B74"/>
    <w:lvl w:ilvl="0" w:tplc="AFE6970E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54C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D76FB6"/>
    <w:multiLevelType w:val="multilevel"/>
    <w:tmpl w:val="746CC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825DE4"/>
    <w:multiLevelType w:val="multilevel"/>
    <w:tmpl w:val="6D8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991B0B"/>
    <w:multiLevelType w:val="hybridMultilevel"/>
    <w:tmpl w:val="37A40070"/>
    <w:lvl w:ilvl="0" w:tplc="2E40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ED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84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4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02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4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2B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0B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D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8" w15:restartNumberingAfterBreak="0">
    <w:nsid w:val="7F053BA7"/>
    <w:multiLevelType w:val="hybridMultilevel"/>
    <w:tmpl w:val="8E0E268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729034499">
    <w:abstractNumId w:val="7"/>
  </w:num>
  <w:num w:numId="2" w16cid:durableId="1085416488">
    <w:abstractNumId w:val="1"/>
  </w:num>
  <w:num w:numId="3" w16cid:durableId="437601456">
    <w:abstractNumId w:val="6"/>
  </w:num>
  <w:num w:numId="4" w16cid:durableId="1147864144">
    <w:abstractNumId w:val="3"/>
  </w:num>
  <w:num w:numId="5" w16cid:durableId="228931103">
    <w:abstractNumId w:val="5"/>
  </w:num>
  <w:num w:numId="6" w16cid:durableId="517277591">
    <w:abstractNumId w:val="0"/>
  </w:num>
  <w:num w:numId="7" w16cid:durableId="2018382021">
    <w:abstractNumId w:val="4"/>
  </w:num>
  <w:num w:numId="8" w16cid:durableId="751241525">
    <w:abstractNumId w:val="2"/>
  </w:num>
  <w:num w:numId="9" w16cid:durableId="17141174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358F3"/>
    <w:rsid w:val="00043B69"/>
    <w:rsid w:val="000461EB"/>
    <w:rsid w:val="00061321"/>
    <w:rsid w:val="00070438"/>
    <w:rsid w:val="00080CA2"/>
    <w:rsid w:val="00097F8B"/>
    <w:rsid w:val="000A6D45"/>
    <w:rsid w:val="00101F8B"/>
    <w:rsid w:val="00114878"/>
    <w:rsid w:val="001218FC"/>
    <w:rsid w:val="001357FA"/>
    <w:rsid w:val="00164BDC"/>
    <w:rsid w:val="001702A6"/>
    <w:rsid w:val="00173D7C"/>
    <w:rsid w:val="001A1D05"/>
    <w:rsid w:val="001A610F"/>
    <w:rsid w:val="001C4B05"/>
    <w:rsid w:val="001D65D6"/>
    <w:rsid w:val="001E0A89"/>
    <w:rsid w:val="00255417"/>
    <w:rsid w:val="00260028"/>
    <w:rsid w:val="00284556"/>
    <w:rsid w:val="00297396"/>
    <w:rsid w:val="002D4C18"/>
    <w:rsid w:val="002E5D1E"/>
    <w:rsid w:val="002F4BBA"/>
    <w:rsid w:val="00330D82"/>
    <w:rsid w:val="00340436"/>
    <w:rsid w:val="0035404E"/>
    <w:rsid w:val="0038344C"/>
    <w:rsid w:val="00393CC3"/>
    <w:rsid w:val="00400E83"/>
    <w:rsid w:val="00405F87"/>
    <w:rsid w:val="004369A3"/>
    <w:rsid w:val="004A383F"/>
    <w:rsid w:val="004C019F"/>
    <w:rsid w:val="004C2A70"/>
    <w:rsid w:val="00533E67"/>
    <w:rsid w:val="00534043"/>
    <w:rsid w:val="00554054"/>
    <w:rsid w:val="0056439C"/>
    <w:rsid w:val="00590437"/>
    <w:rsid w:val="00591BD2"/>
    <w:rsid w:val="005B33BF"/>
    <w:rsid w:val="005B5EFA"/>
    <w:rsid w:val="005B66E8"/>
    <w:rsid w:val="005D512C"/>
    <w:rsid w:val="005E57A5"/>
    <w:rsid w:val="005F24B4"/>
    <w:rsid w:val="005F5665"/>
    <w:rsid w:val="006449E3"/>
    <w:rsid w:val="006A6700"/>
    <w:rsid w:val="00700774"/>
    <w:rsid w:val="00706DDF"/>
    <w:rsid w:val="00710735"/>
    <w:rsid w:val="0074683F"/>
    <w:rsid w:val="007541A8"/>
    <w:rsid w:val="00774185"/>
    <w:rsid w:val="00795319"/>
    <w:rsid w:val="007A7837"/>
    <w:rsid w:val="007B40D8"/>
    <w:rsid w:val="007C2AD8"/>
    <w:rsid w:val="007C4F08"/>
    <w:rsid w:val="007D14A6"/>
    <w:rsid w:val="007D7EAD"/>
    <w:rsid w:val="007E17B4"/>
    <w:rsid w:val="008158A3"/>
    <w:rsid w:val="00833E72"/>
    <w:rsid w:val="00855BD2"/>
    <w:rsid w:val="00860FA8"/>
    <w:rsid w:val="00862D9C"/>
    <w:rsid w:val="00880FFC"/>
    <w:rsid w:val="00882E8C"/>
    <w:rsid w:val="00892360"/>
    <w:rsid w:val="008B22EF"/>
    <w:rsid w:val="008B70E7"/>
    <w:rsid w:val="008B7266"/>
    <w:rsid w:val="00911FE9"/>
    <w:rsid w:val="009126DF"/>
    <w:rsid w:val="00993A92"/>
    <w:rsid w:val="009B7A7E"/>
    <w:rsid w:val="009C5F90"/>
    <w:rsid w:val="009D4245"/>
    <w:rsid w:val="00A42A0F"/>
    <w:rsid w:val="00A76FF5"/>
    <w:rsid w:val="00AA0001"/>
    <w:rsid w:val="00AA189C"/>
    <w:rsid w:val="00AA79F3"/>
    <w:rsid w:val="00AC4CA6"/>
    <w:rsid w:val="00AC75ED"/>
    <w:rsid w:val="00AD2661"/>
    <w:rsid w:val="00B07D2D"/>
    <w:rsid w:val="00B1304B"/>
    <w:rsid w:val="00B35780"/>
    <w:rsid w:val="00B76EFE"/>
    <w:rsid w:val="00BA63ED"/>
    <w:rsid w:val="00BC54B3"/>
    <w:rsid w:val="00BD478B"/>
    <w:rsid w:val="00BE6FB3"/>
    <w:rsid w:val="00BF0E43"/>
    <w:rsid w:val="00C162AA"/>
    <w:rsid w:val="00C25800"/>
    <w:rsid w:val="00C47839"/>
    <w:rsid w:val="00C719D5"/>
    <w:rsid w:val="00C95F0C"/>
    <w:rsid w:val="00C967EF"/>
    <w:rsid w:val="00C96D96"/>
    <w:rsid w:val="00CC1D78"/>
    <w:rsid w:val="00CC4CE1"/>
    <w:rsid w:val="00CC64C3"/>
    <w:rsid w:val="00CC7966"/>
    <w:rsid w:val="00CD61DB"/>
    <w:rsid w:val="00D23BA2"/>
    <w:rsid w:val="00D25A65"/>
    <w:rsid w:val="00D30C23"/>
    <w:rsid w:val="00D40DE5"/>
    <w:rsid w:val="00D45506"/>
    <w:rsid w:val="00D82CA3"/>
    <w:rsid w:val="00DC0596"/>
    <w:rsid w:val="00DC5F80"/>
    <w:rsid w:val="00DD4093"/>
    <w:rsid w:val="00E028F3"/>
    <w:rsid w:val="00E056E4"/>
    <w:rsid w:val="00E216A5"/>
    <w:rsid w:val="00E242D4"/>
    <w:rsid w:val="00E42FAF"/>
    <w:rsid w:val="00E57759"/>
    <w:rsid w:val="00E93171"/>
    <w:rsid w:val="00EB6CAC"/>
    <w:rsid w:val="00EC0FFA"/>
    <w:rsid w:val="00EC546E"/>
    <w:rsid w:val="00F17A44"/>
    <w:rsid w:val="00F27FAC"/>
    <w:rsid w:val="00F5083F"/>
    <w:rsid w:val="00F70DB4"/>
    <w:rsid w:val="00F86322"/>
    <w:rsid w:val="00F935EB"/>
    <w:rsid w:val="00FC421E"/>
    <w:rsid w:val="00FE161E"/>
    <w:rsid w:val="00FE2563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710735"/>
    <w:pPr>
      <w:spacing w:after="0"/>
      <w:ind w:left="720"/>
      <w:contextualSpacing/>
    </w:pPr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60F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F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E0A89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B35780"/>
    <w:pPr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E2D47577E792421EAFB0E55A48BC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F888-0040-4C97-97AE-2BF7432D7707}"/>
      </w:docPartPr>
      <w:docPartBody>
        <w:p w:rsidR="00CA530B" w:rsidRDefault="00434FA4" w:rsidP="00434FA4">
          <w:pPr>
            <w:pStyle w:val="E2D47577E792421EAFB0E55A48BCB92F"/>
          </w:pPr>
          <w:r w:rsidRPr="005C5489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1F3F17"/>
    <w:rsid w:val="003873F8"/>
    <w:rsid w:val="00417A06"/>
    <w:rsid w:val="00434FA4"/>
    <w:rsid w:val="0055015F"/>
    <w:rsid w:val="0069790C"/>
    <w:rsid w:val="00CA530B"/>
    <w:rsid w:val="00D1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FA4"/>
    <w:rPr>
      <w:color w:val="808080"/>
    </w:rPr>
  </w:style>
  <w:style w:type="paragraph" w:customStyle="1" w:styleId="E2D47577E792421EAFB0E55A48BCB92F">
    <w:name w:val="E2D47577E792421EAFB0E55A48BCB92F"/>
    <w:rsid w:val="00434F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2024-01-17T00:00:00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ec781b-51b2-41f5-8977-d833afa0cdb5" xsi:nil="true"/>
    <Date xmlns="deec781b-51b2-41f5-8977-d833afa0cdb5" xsi:nil="true"/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  <L xmlns="deec781b-51b2-41f5-8977-d833afa0cd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27" ma:contentTypeDescription="Create a new document." ma:contentTypeScope="" ma:versionID="4c3f3537e68ad7ee1e86c472f698cf1f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e930d8b8389c0971ce3580f3ec9d3170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" minOccurs="0"/>
                <xsd:element ref="ns2:eaa51672-e18c-4904-822f-49e1c3d33f7cCountryOrRegion" minOccurs="0"/>
                <xsd:element ref="ns2:eaa51672-e18c-4904-822f-49e1c3d33f7cState" minOccurs="0"/>
                <xsd:element ref="ns2:eaa51672-e18c-4904-822f-49e1c3d33f7cCity" minOccurs="0"/>
                <xsd:element ref="ns2:eaa51672-e18c-4904-822f-49e1c3d33f7cPostalCode" minOccurs="0"/>
                <xsd:element ref="ns2:eaa51672-e18c-4904-822f-49e1c3d33f7cStreet" minOccurs="0"/>
                <xsd:element ref="ns2:eaa51672-e18c-4904-822f-49e1c3d33f7cGeoLoc" minOccurs="0"/>
                <xsd:element ref="ns2:eaa51672-e18c-4904-822f-49e1c3d33f7cDispName" minOccurs="0"/>
                <xsd:element ref="ns2:_Flow_SignoffStatu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4" nillable="true" ma:displayName="L" ma:format="Dropdown" ma:internalName="L">
      <xsd:simpleType>
        <xsd:restriction base="dms:Unknown"/>
      </xsd:simpleType>
    </xsd:element>
    <xsd:element name="eaa51672-e18c-4904-822f-49e1c3d33f7cCountryOrRegion" ma:index="25" nillable="true" ma:displayName="L: Country/Region" ma:internalName="CountryOrRegion" ma:readOnly="true">
      <xsd:simpleType>
        <xsd:restriction base="dms:Text"/>
      </xsd:simpleType>
    </xsd:element>
    <xsd:element name="eaa51672-e18c-4904-822f-49e1c3d33f7cState" ma:index="26" nillable="true" ma:displayName="L: State" ma:internalName="State" ma:readOnly="true">
      <xsd:simpleType>
        <xsd:restriction base="dms:Text"/>
      </xsd:simpleType>
    </xsd:element>
    <xsd:element name="eaa51672-e18c-4904-822f-49e1c3d33f7cCity" ma:index="27" nillable="true" ma:displayName="L: City" ma:internalName="City" ma:readOnly="true">
      <xsd:simpleType>
        <xsd:restriction base="dms:Text"/>
      </xsd:simpleType>
    </xsd:element>
    <xsd:element name="eaa51672-e18c-4904-822f-49e1c3d33f7cPostalCode" ma:index="28" nillable="true" ma:displayName="L: Postal Code" ma:internalName="PostalCode" ma:readOnly="true">
      <xsd:simpleType>
        <xsd:restriction base="dms:Text"/>
      </xsd:simpleType>
    </xsd:element>
    <xsd:element name="eaa51672-e18c-4904-822f-49e1c3d33f7cStreet" ma:index="29" nillable="true" ma:displayName="L: Street" ma:internalName="Street" ma:readOnly="true">
      <xsd:simpleType>
        <xsd:restriction base="dms:Text"/>
      </xsd:simpleType>
    </xsd:element>
    <xsd:element name="eaa51672-e18c-4904-822f-49e1c3d33f7cGeoLoc" ma:index="30" nillable="true" ma:displayName="L: Coordinates" ma:internalName="GeoLoc" ma:readOnly="true">
      <xsd:simpleType>
        <xsd:restriction base="dms:Unknown"/>
      </xsd:simpleType>
    </xsd:element>
    <xsd:element name="eaa51672-e18c-4904-822f-49e1c3d33f7cDispName" ma:index="31" nillable="true" ma:displayName="L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3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  <ds:schemaRef ds:uri="deec781b-51b2-41f5-8977-d833afa0cdb5"/>
    <ds:schemaRef ds:uri="30d79745-92fc-4b4e-a213-f975f2a6d945"/>
  </ds:schemaRefs>
</ds:datastoreItem>
</file>

<file path=customXml/itemProps3.xml><?xml version="1.0" encoding="utf-8"?>
<ds:datastoreItem xmlns:ds="http://schemas.openxmlformats.org/officeDocument/2006/customXml" ds:itemID="{1E1BC75A-595D-4D64-B014-5BA4FE25A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2718B-8237-4547-B3A0-40513FA9F5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3068</Characters>
  <Application>Microsoft Office Word</Application>
  <DocSecurity>0</DocSecurity>
  <Lines>186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Tower Hamlets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24-25 DSG report</dc:title>
  <dc:subject>
  </dc:subject>
  <dc:creator>Sara Walsingham</dc:creator>
  <cp:keywords>
  </cp:keywords>
  <dc:description>
  </dc:description>
  <cp:lastModifiedBy>Phillip Nduoyo</cp:lastModifiedBy>
  <cp:revision>3</cp:revision>
  <dcterms:created xsi:type="dcterms:W3CDTF">2024-01-09T11:27:00Z</dcterms:created>
  <dcterms:modified xsi:type="dcterms:W3CDTF">2024-01-23T13:42:00Z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MediaServiceImageTags">
    <vt:lpwstr/>
  </property>
  <property fmtid="{D5CDD505-2E9C-101B-9397-08002B2CF9AE}" pid="4" name="GrammarlyDocumentId">
    <vt:lpwstr>14c48e4def523224fe4494d1fb6d2a0e4b4642ef9b8957ff712fb4fa91fe4e9c</vt:lpwstr>
  </property>
</Properties>
</file>