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460C" w14:textId="6D53D407" w:rsidR="00AA79F3" w:rsidRPr="007C4F08" w:rsidRDefault="00000000" w:rsidP="007C4F08">
      <w:pPr>
        <w:pStyle w:val="Title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57DF5">
            <w:t>CSSB report</w:t>
          </w:r>
        </w:sdtContent>
      </w:sdt>
    </w:p>
    <w:p w14:paraId="65F39F2A" w14:textId="384E5283" w:rsidR="006449E3" w:rsidRDefault="00FB4819" w:rsidP="006449E3">
      <w:pPr>
        <w:rPr>
          <w:b/>
          <w:bCs/>
          <w:color w:val="319B31"/>
          <w:sz w:val="28"/>
          <w:szCs w:val="28"/>
        </w:rPr>
      </w:pPr>
      <w:r w:rsidRPr="000157DD">
        <w:rPr>
          <w:b/>
          <w:bCs/>
          <w:color w:val="319B31"/>
          <w:sz w:val="28"/>
          <w:szCs w:val="28"/>
        </w:rPr>
        <w:t>Agreement of Central Schools Services Block 2024-25</w:t>
      </w:r>
    </w:p>
    <w:p w14:paraId="315310F1" w14:textId="4375AD6C" w:rsidR="00FB4819" w:rsidRPr="00070438" w:rsidRDefault="00FB4819" w:rsidP="006449E3">
      <w:r>
        <w:rPr>
          <w:b/>
          <w:bCs/>
          <w:color w:val="319B31"/>
          <w:sz w:val="28"/>
          <w:szCs w:val="28"/>
        </w:rPr>
        <w:t>(deferred from last meeting)</w:t>
      </w:r>
    </w:p>
    <w:sdt>
      <w:sdtPr>
        <w:alias w:val="Publish Date"/>
        <w:tag w:val=""/>
        <w:id w:val="1260947853"/>
        <w:placeholder>
          <w:docPart w:val="E2D47577E792421EAFB0E55A48BCB92F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1-17T00:00:00Z">
          <w:dateFormat w:val="dd/MM/yyyy"/>
          <w:lid w:val="en-GB"/>
          <w:storeMappedDataAs w:val="dateTime"/>
          <w:calendar w:val="gregorian"/>
        </w:date>
      </w:sdtPr>
      <w:sdtContent>
        <w:p w14:paraId="4E2E0671" w14:textId="3D221573" w:rsidR="006449E3" w:rsidRPr="00CC4CE1" w:rsidRDefault="007541A8" w:rsidP="006449E3">
          <w:r>
            <w:t>1</w:t>
          </w:r>
          <w:r w:rsidR="000C624B">
            <w:t>7</w:t>
          </w:r>
          <w:r>
            <w:t>/01/2024</w:t>
          </w:r>
        </w:p>
      </w:sdtContent>
    </w:sdt>
    <w:p w14:paraId="56BA0460" w14:textId="77777777" w:rsidR="006449E3" w:rsidRDefault="006449E3" w:rsidP="006449E3"/>
    <w:p w14:paraId="3946C339" w14:textId="77777777" w:rsidR="006449E3" w:rsidRDefault="006449E3" w:rsidP="006449E3"/>
    <w:p w14:paraId="6ABC2E35" w14:textId="77777777" w:rsidR="006449E3" w:rsidRPr="00437FB4" w:rsidRDefault="006449E3" w:rsidP="006449E3">
      <w:pPr>
        <w:pStyle w:val="ListParagraph"/>
        <w:rPr>
          <w:rFonts w:cs="Arial"/>
          <w:color w:val="000000"/>
        </w:rPr>
      </w:pPr>
    </w:p>
    <w:p w14:paraId="1F9ACF1E" w14:textId="77777777" w:rsidR="00FB4819" w:rsidRDefault="00FB4819" w:rsidP="00FB4819">
      <w:pPr>
        <w:spacing w:after="120"/>
        <w:rPr>
          <w:b/>
        </w:rPr>
      </w:pPr>
      <w:r w:rsidRPr="00CC3A17">
        <w:rPr>
          <w:b/>
        </w:rPr>
        <w:t>Executive Summary</w:t>
      </w:r>
    </w:p>
    <w:p w14:paraId="110864A1" w14:textId="77777777" w:rsidR="00FB4819" w:rsidRPr="00C85A66" w:rsidRDefault="00FB4819" w:rsidP="00FB4819">
      <w:r>
        <w:rPr>
          <w:sz w:val="22"/>
          <w:szCs w:val="22"/>
        </w:rPr>
        <w:t>This</w:t>
      </w:r>
      <w:r w:rsidRPr="00A276F0">
        <w:rPr>
          <w:sz w:val="22"/>
          <w:szCs w:val="22"/>
        </w:rPr>
        <w:t xml:space="preserve"> report outlin</w:t>
      </w:r>
      <w:r>
        <w:rPr>
          <w:sz w:val="22"/>
          <w:szCs w:val="22"/>
        </w:rPr>
        <w:t>es</w:t>
      </w:r>
      <w:r w:rsidRPr="00A276F0">
        <w:rPr>
          <w:sz w:val="22"/>
          <w:szCs w:val="22"/>
        </w:rPr>
        <w:t xml:space="preserve"> the policy and allocation estimates for the </w:t>
      </w:r>
      <w:r>
        <w:rPr>
          <w:sz w:val="22"/>
          <w:szCs w:val="22"/>
        </w:rPr>
        <w:t xml:space="preserve">2024-2025 </w:t>
      </w:r>
      <w:r w:rsidRPr="00A276F0">
        <w:rPr>
          <w:sz w:val="22"/>
          <w:szCs w:val="22"/>
        </w:rPr>
        <w:t>Central Schools Service Block (CSSB) of the Dedicated Schools Grant (DSG).  Schools Forum are asked to agree the proposed budgets in principle, allowing budget setting to proceed</w:t>
      </w:r>
      <w:r>
        <w:t>.</w:t>
      </w:r>
    </w:p>
    <w:p w14:paraId="0A0926D8" w14:textId="77777777" w:rsidR="00FB4819" w:rsidRPr="0004045E" w:rsidRDefault="00FB4819" w:rsidP="00FB4819">
      <w:pPr>
        <w:spacing w:after="120"/>
        <w:rPr>
          <w:b/>
        </w:rPr>
      </w:pPr>
    </w:p>
    <w:p w14:paraId="1C23E258" w14:textId="77777777" w:rsidR="00FB4819" w:rsidRPr="00CC3A17" w:rsidRDefault="00FB4819" w:rsidP="00FB4819">
      <w:pPr>
        <w:spacing w:after="120"/>
        <w:rPr>
          <w:b/>
        </w:rPr>
      </w:pPr>
      <w:r w:rsidRPr="00CC3A17">
        <w:rPr>
          <w:b/>
        </w:rPr>
        <w:t xml:space="preserve">Details of recommendations and timescales for decisions: </w:t>
      </w:r>
    </w:p>
    <w:p w14:paraId="27AF1473" w14:textId="77777777" w:rsidR="00FB4819" w:rsidRDefault="00FB4819" w:rsidP="00FB4819">
      <w:r>
        <w:rPr>
          <w:bCs/>
          <w:sz w:val="22"/>
          <w:szCs w:val="22"/>
        </w:rPr>
        <w:t xml:space="preserve">Schools Forum are asked to </w:t>
      </w:r>
      <w:r w:rsidRPr="00171387">
        <w:rPr>
          <w:bCs/>
          <w:sz w:val="22"/>
          <w:szCs w:val="22"/>
        </w:rPr>
        <w:t>consider and agree</w:t>
      </w:r>
      <w:r>
        <w:rPr>
          <w:bCs/>
          <w:sz w:val="22"/>
          <w:szCs w:val="22"/>
        </w:rPr>
        <w:t xml:space="preserve"> the </w:t>
      </w:r>
      <w:proofErr w:type="gramStart"/>
      <w:r>
        <w:rPr>
          <w:bCs/>
          <w:sz w:val="22"/>
          <w:szCs w:val="22"/>
        </w:rPr>
        <w:t>proposals</w:t>
      </w:r>
      <w:proofErr w:type="gramEnd"/>
    </w:p>
    <w:p w14:paraId="668674A3" w14:textId="77777777" w:rsidR="00710735" w:rsidRPr="00437FB4" w:rsidRDefault="00710735" w:rsidP="00710735">
      <w:pPr>
        <w:pStyle w:val="ListParagraph"/>
        <w:rPr>
          <w:rFonts w:cs="Arial"/>
          <w:color w:val="000000"/>
        </w:rPr>
      </w:pPr>
    </w:p>
    <w:p w14:paraId="4F357D7C" w14:textId="77777777" w:rsidR="00710735" w:rsidRDefault="00710735" w:rsidP="00710735">
      <w:pPr>
        <w:spacing w:line="259" w:lineRule="auto"/>
        <w:rPr>
          <w:color w:val="000000"/>
        </w:rPr>
      </w:pPr>
      <w:r>
        <w:rPr>
          <w:color w:val="000000"/>
        </w:rPr>
        <w:br w:type="page"/>
      </w:r>
    </w:p>
    <w:p w14:paraId="3F4EFDBD" w14:textId="0DF42411" w:rsidR="00CC4CE1" w:rsidRDefault="00CC4CE1" w:rsidP="00534043">
      <w:pPr>
        <w:pStyle w:val="NoSpacing"/>
        <w:sectPr w:rsidR="00CC4CE1" w:rsidSect="007B40D8">
          <w:headerReference w:type="default" r:id="rId12"/>
          <w:pgSz w:w="11906" w:h="16838"/>
          <w:pgMar w:top="3544" w:right="1440" w:bottom="1440" w:left="1440" w:header="708" w:footer="708" w:gutter="0"/>
          <w:cols w:space="708"/>
          <w:docGrid w:linePitch="360"/>
        </w:sectPr>
      </w:pPr>
    </w:p>
    <w:p w14:paraId="00772E5A" w14:textId="0F1F6CB0" w:rsidR="00101F8B" w:rsidRDefault="00101F8B" w:rsidP="001A610F">
      <w:pPr>
        <w:pStyle w:val="TOCHeading"/>
        <w:spacing w:before="0" w:line="240" w:lineRule="auto"/>
      </w:pPr>
    </w:p>
    <w:p w14:paraId="1187ECB4" w14:textId="77777777" w:rsidR="006449E3" w:rsidRPr="00165DB6" w:rsidRDefault="006449E3" w:rsidP="006449E3">
      <w:pPr>
        <w:pStyle w:val="ListParagraph"/>
        <w:numPr>
          <w:ilvl w:val="0"/>
          <w:numId w:val="4"/>
        </w:numPr>
        <w:jc w:val="both"/>
        <w:rPr>
          <w:rFonts w:eastAsiaTheme="minorEastAsia" w:cs="Arial"/>
          <w:b/>
          <w:bCs/>
          <w:color w:val="319B31"/>
          <w:sz w:val="28"/>
          <w:szCs w:val="28"/>
        </w:rPr>
      </w:pPr>
      <w:r w:rsidRPr="00165DB6">
        <w:rPr>
          <w:rFonts w:eastAsiaTheme="minorEastAsia" w:cs="Arial"/>
          <w:b/>
          <w:bCs/>
          <w:color w:val="319B31"/>
          <w:sz w:val="28"/>
          <w:szCs w:val="28"/>
        </w:rPr>
        <w:t>Background</w:t>
      </w:r>
    </w:p>
    <w:p w14:paraId="26906A71" w14:textId="77777777" w:rsidR="006449E3" w:rsidRPr="00CC3A17" w:rsidRDefault="006449E3" w:rsidP="006449E3">
      <w:pPr>
        <w:jc w:val="both"/>
      </w:pPr>
    </w:p>
    <w:p w14:paraId="62F25A7F" w14:textId="210008EC" w:rsidR="00FB4819" w:rsidRPr="000157DD" w:rsidRDefault="00FB4819" w:rsidP="00FB4819">
      <w:pPr>
        <w:pStyle w:val="ListParagraph"/>
        <w:numPr>
          <w:ilvl w:val="1"/>
          <w:numId w:val="4"/>
        </w:numPr>
        <w:ind w:left="567" w:hanging="567"/>
        <w:jc w:val="both"/>
      </w:pPr>
      <w:r w:rsidRPr="000157DD">
        <w:t xml:space="preserve">Schools Forum were </w:t>
      </w:r>
      <w:r>
        <w:t>informe</w:t>
      </w:r>
      <w:r w:rsidRPr="000157DD">
        <w:t xml:space="preserve">d on </w:t>
      </w:r>
      <w:r>
        <w:t xml:space="preserve">inflation regarding the </w:t>
      </w:r>
      <w:r w:rsidRPr="000157DD">
        <w:t>Central School Services Block (CSSB) in the report presented in October 202</w:t>
      </w:r>
      <w:r>
        <w:t>3</w:t>
      </w:r>
      <w:r w:rsidRPr="000157DD">
        <w:t xml:space="preserve">.  </w:t>
      </w:r>
      <w:r w:rsidR="00BE2626">
        <w:t xml:space="preserve">The block is issued according to the CSSB National Formula Funding (NFF) regime.  </w:t>
      </w:r>
      <w:r>
        <w:t xml:space="preserve">The final pupil numbers available in December 2023 </w:t>
      </w:r>
      <w:r w:rsidR="006A1108">
        <w:t xml:space="preserve">are now published with the </w:t>
      </w:r>
      <w:r>
        <w:t>final block allocation</w:t>
      </w:r>
      <w:r w:rsidR="006A1108">
        <w:t xml:space="preserve"> confirmed</w:t>
      </w:r>
      <w:r>
        <w:t xml:space="preserve">.  </w:t>
      </w:r>
    </w:p>
    <w:p w14:paraId="06869EB2" w14:textId="77777777" w:rsidR="00FB4819" w:rsidRPr="000157DD" w:rsidRDefault="00FB4819" w:rsidP="00FB4819">
      <w:pPr>
        <w:pStyle w:val="ListParagraph"/>
        <w:ind w:left="567"/>
        <w:jc w:val="both"/>
      </w:pPr>
    </w:p>
    <w:p w14:paraId="7582BCFF" w14:textId="77777777" w:rsidR="00FB4819" w:rsidRPr="000157DD" w:rsidRDefault="00FB4819" w:rsidP="00FB4819">
      <w:pPr>
        <w:pStyle w:val="ListParagraph"/>
        <w:numPr>
          <w:ilvl w:val="1"/>
          <w:numId w:val="4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>
        <w:t>These proposals are to be considered, and we seek agreement in principle.</w:t>
      </w:r>
      <w:r w:rsidRPr="000157DD">
        <w:rPr>
          <w:rFonts w:cs="Arial"/>
          <w:color w:val="000000"/>
          <w:sz w:val="22"/>
          <w:szCs w:val="22"/>
        </w:rPr>
        <w:t xml:space="preserve"> </w:t>
      </w:r>
    </w:p>
    <w:p w14:paraId="33997487" w14:textId="77777777" w:rsidR="00FB4819" w:rsidRPr="000157DD" w:rsidRDefault="00FB4819" w:rsidP="00FB4819">
      <w:pPr>
        <w:pStyle w:val="ListParagraph"/>
        <w:rPr>
          <w:rFonts w:cs="Arial"/>
          <w:color w:val="000000"/>
          <w:sz w:val="22"/>
          <w:szCs w:val="22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3964"/>
        <w:gridCol w:w="1276"/>
        <w:gridCol w:w="1701"/>
        <w:gridCol w:w="1134"/>
        <w:gridCol w:w="985"/>
      </w:tblGrid>
      <w:tr w:rsidR="00FB4819" w:rsidRPr="000157DD" w14:paraId="695721BD" w14:textId="77777777" w:rsidTr="004A1BE1">
        <w:trPr>
          <w:trHeight w:val="2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3C7B" w14:textId="77777777" w:rsidR="00FB4819" w:rsidRPr="000157DD" w:rsidRDefault="00FB4819" w:rsidP="004A1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Table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0191" w14:textId="77777777" w:rsidR="00FB4819" w:rsidRPr="000157DD" w:rsidRDefault="00FB4819" w:rsidP="004A1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NFF funding 2023-24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EB12" w14:textId="77777777" w:rsidR="00FB4819" w:rsidRPr="000157DD" w:rsidRDefault="00FB4819" w:rsidP="004A1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Provisional NFF funding 2024-25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F1C0" w14:textId="77777777" w:rsidR="00FB4819" w:rsidRPr="000157DD" w:rsidRDefault="00FB4819" w:rsidP="004A1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variance (£)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60EEA" w14:textId="77777777" w:rsidR="00FB4819" w:rsidRPr="000157DD" w:rsidRDefault="00FB4819" w:rsidP="004A1B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variance (%)</w:t>
            </w:r>
          </w:p>
        </w:tc>
      </w:tr>
      <w:tr w:rsidR="006A1108" w:rsidRPr="000157DD" w14:paraId="5872EDEE" w14:textId="77777777" w:rsidTr="006A1108">
        <w:trPr>
          <w:trHeight w:val="2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4931" w14:textId="77777777" w:rsidR="006A1108" w:rsidRPr="000157DD" w:rsidRDefault="006A1108" w:rsidP="006A11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Per-pupil rate for ongoing responsibilities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CE78" w14:textId="0A95BCA8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£53.24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9A20" w14:textId="383FB4B9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£53.39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90DF" w14:textId="7DD989C4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£0.15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28D49" w14:textId="665866D5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0.28%</w:t>
            </w:r>
          </w:p>
        </w:tc>
      </w:tr>
      <w:tr w:rsidR="006A1108" w:rsidRPr="000157DD" w14:paraId="7896E1EE" w14:textId="77777777" w:rsidTr="006A1108">
        <w:trPr>
          <w:trHeight w:val="36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9715" w14:textId="2FA820B8" w:rsidR="006A1108" w:rsidRPr="000157DD" w:rsidRDefault="006A1108" w:rsidP="006A110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DSG schools' block pupil count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CF61" w14:textId="497E8930" w:rsidR="006A1108" w:rsidRPr="000157DD" w:rsidRDefault="006A1108" w:rsidP="006A110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9268" w14:textId="3FFED6CB" w:rsidR="006A1108" w:rsidRPr="000157DD" w:rsidRDefault="006A1108" w:rsidP="006A110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2827" w14:textId="77777777" w:rsidR="006A1108" w:rsidRPr="006A1108" w:rsidRDefault="006A1108" w:rsidP="006A1108">
            <w:pPr>
              <w:spacing w:after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A11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-536.00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7546" w14:textId="45E84A79" w:rsidR="006A1108" w:rsidRPr="006A1108" w:rsidRDefault="006A1108" w:rsidP="006A1108">
            <w:pPr>
              <w:spacing w:after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-1.41%</w:t>
            </w:r>
          </w:p>
        </w:tc>
      </w:tr>
      <w:tr w:rsidR="006A1108" w:rsidRPr="000157DD" w14:paraId="6634E247" w14:textId="77777777" w:rsidTr="00C63381">
        <w:trPr>
          <w:trHeight w:val="2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700E" w14:textId="77777777" w:rsidR="006A1108" w:rsidRPr="000157DD" w:rsidRDefault="006A1108" w:rsidP="006A11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funding for ongoing responsibilities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A806" w14:textId="5EED8D52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£2,017,769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BA6FA" w14:textId="4B6E7A27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£1,994,838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19286" w14:textId="051C8909" w:rsidR="006A1108" w:rsidRPr="005616E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-£22,932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EE004" w14:textId="4F5F0C28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-1.14%</w:t>
            </w:r>
          </w:p>
        </w:tc>
      </w:tr>
      <w:tr w:rsidR="006A1108" w:rsidRPr="000157DD" w14:paraId="44D5B976" w14:textId="77777777" w:rsidTr="00C63381">
        <w:trPr>
          <w:trHeight w:val="2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9C0E" w14:textId="77777777" w:rsidR="006A1108" w:rsidRPr="000157DD" w:rsidRDefault="006A1108" w:rsidP="006A11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funding for historic commitments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8BE4" w14:textId="2CC2663B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£1,139,508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9C9E" w14:textId="6C1AEA06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£911,607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03DBB" w14:textId="5463B274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-£227,901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CEAB9" w14:textId="202A171F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-20.00%</w:t>
            </w:r>
          </w:p>
        </w:tc>
      </w:tr>
      <w:tr w:rsidR="006A1108" w:rsidRPr="000157DD" w14:paraId="5ECF6463" w14:textId="77777777" w:rsidTr="00C63381">
        <w:trPr>
          <w:trHeight w:val="2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C041" w14:textId="77777777" w:rsidR="006A1108" w:rsidRPr="000157DD" w:rsidRDefault="006A1108" w:rsidP="006A110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 CSSB funding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5607" w14:textId="016A8161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£3,157,277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3146" w14:textId="7A3085E7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£2,906,445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FFF08" w14:textId="0957D2CE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-£250,833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79D03" w14:textId="4E513B4F" w:rsidR="006A1108" w:rsidRPr="000157DD" w:rsidRDefault="006A1108" w:rsidP="006A11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-7.94%</w:t>
            </w:r>
          </w:p>
        </w:tc>
      </w:tr>
    </w:tbl>
    <w:p w14:paraId="554B242C" w14:textId="77777777" w:rsidR="00FB4819" w:rsidRPr="000157DD" w:rsidRDefault="00FB4819" w:rsidP="00FB4819">
      <w:pPr>
        <w:pStyle w:val="ListParagraph"/>
        <w:ind w:left="567"/>
        <w:jc w:val="both"/>
      </w:pPr>
    </w:p>
    <w:p w14:paraId="3EB78FA4" w14:textId="4182F3E0" w:rsidR="00FB4819" w:rsidRDefault="00FB4819" w:rsidP="00FB4819">
      <w:pPr>
        <w:pStyle w:val="ListParagraph"/>
        <w:numPr>
          <w:ilvl w:val="1"/>
          <w:numId w:val="4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0157DD">
        <w:t>The CSSB allocation for financial year 202</w:t>
      </w:r>
      <w:r>
        <w:t>4-</w:t>
      </w:r>
      <w:r w:rsidRPr="000157DD">
        <w:t>2</w:t>
      </w:r>
      <w:r>
        <w:t>5</w:t>
      </w:r>
      <w:r w:rsidRPr="000157DD">
        <w:t xml:space="preserve"> uses the October 202</w:t>
      </w:r>
      <w:r>
        <w:t>3</w:t>
      </w:r>
      <w:r w:rsidRPr="000157DD">
        <w:t xml:space="preserve"> roll across all </w:t>
      </w:r>
      <w:r w:rsidR="006A1108">
        <w:t xml:space="preserve">mainstream </w:t>
      </w:r>
      <w:r w:rsidRPr="000157DD">
        <w:t>schools and academies</w:t>
      </w:r>
      <w:r w:rsidR="006A1108">
        <w:t>, including High Needs places in units attached to those schools</w:t>
      </w:r>
      <w:r w:rsidRPr="000157DD">
        <w:t xml:space="preserve">.  </w:t>
      </w:r>
    </w:p>
    <w:p w14:paraId="230E5062" w14:textId="77777777" w:rsidR="00FB4819" w:rsidRDefault="00FB4819" w:rsidP="00FB4819">
      <w:pPr>
        <w:pStyle w:val="ListParagraph"/>
        <w:ind w:left="567"/>
        <w:jc w:val="both"/>
        <w:rPr>
          <w:rFonts w:cs="Arial"/>
          <w:color w:val="000000"/>
          <w:sz w:val="22"/>
          <w:szCs w:val="22"/>
        </w:rPr>
      </w:pPr>
    </w:p>
    <w:p w14:paraId="772E9637" w14:textId="77777777" w:rsidR="00FB4819" w:rsidRDefault="00FB4819" w:rsidP="00FB4819">
      <w:pPr>
        <w:pStyle w:val="ListParagraph"/>
        <w:numPr>
          <w:ilvl w:val="1"/>
          <w:numId w:val="4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Two elements comprise the CSSB, which can be combined to meet locally determined priorities.</w:t>
      </w:r>
    </w:p>
    <w:p w14:paraId="5145BB48" w14:textId="77777777" w:rsidR="00FB4819" w:rsidRPr="00D12A8A" w:rsidRDefault="00FB4819" w:rsidP="00FB4819">
      <w:pPr>
        <w:pStyle w:val="ListParagraph"/>
        <w:rPr>
          <w:rFonts w:cs="Arial"/>
          <w:color w:val="000000"/>
          <w:sz w:val="22"/>
          <w:szCs w:val="22"/>
        </w:rPr>
      </w:pPr>
    </w:p>
    <w:p w14:paraId="7B2EAA5F" w14:textId="29954BE6" w:rsidR="00FB4819" w:rsidRDefault="00FB4819" w:rsidP="00FB4819">
      <w:pPr>
        <w:pStyle w:val="ListParagraph"/>
        <w:ind w:left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“On-going responsibilities” is formula driven, based on pupil numbers and a per pupil rate that is inflated according to the CSSB/NFF.   </w:t>
      </w:r>
      <w:r w:rsidR="006A1108">
        <w:rPr>
          <w:rFonts w:cs="Arial"/>
          <w:color w:val="000000"/>
          <w:sz w:val="22"/>
          <w:szCs w:val="22"/>
        </w:rPr>
        <w:t>With the reduction in pupil numbers from the base used last year the budget has also reduce (-1.14%)</w:t>
      </w:r>
    </w:p>
    <w:p w14:paraId="484AE9F5" w14:textId="77777777" w:rsidR="00FB4819" w:rsidRDefault="00FB4819" w:rsidP="00FB4819">
      <w:pPr>
        <w:pStyle w:val="ListParagraph"/>
        <w:ind w:left="567"/>
        <w:jc w:val="both"/>
        <w:rPr>
          <w:rFonts w:cs="Arial"/>
          <w:color w:val="000000"/>
          <w:sz w:val="22"/>
          <w:szCs w:val="22"/>
        </w:rPr>
      </w:pPr>
    </w:p>
    <w:p w14:paraId="7CFE481F" w14:textId="2AAC8D26" w:rsidR="00FB4819" w:rsidRPr="009626AA" w:rsidRDefault="00FB4819" w:rsidP="00FB4819">
      <w:pPr>
        <w:pStyle w:val="ListParagraph"/>
        <w:ind w:left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“Historic commitments” funding is subject to an annual -20% reduction, encouraging local authorities to cease expenditure.  The</w:t>
      </w:r>
      <w:r w:rsidRPr="00D12A8A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principle historic commitment is related to on-going redundancy costs for staff that left schools in 2013-14, which is not reducing at the same -20% rate as the income. </w:t>
      </w:r>
      <w:r w:rsidR="00C57DF5">
        <w:rPr>
          <w:rFonts w:cs="Arial"/>
          <w:color w:val="000000"/>
          <w:sz w:val="22"/>
          <w:szCs w:val="22"/>
        </w:rPr>
        <w:br/>
      </w:r>
      <w:r w:rsidR="00C57DF5">
        <w:rPr>
          <w:rFonts w:cs="Arial"/>
          <w:color w:val="000000"/>
          <w:sz w:val="22"/>
          <w:szCs w:val="22"/>
        </w:rPr>
        <w:br/>
      </w:r>
      <w:r w:rsidR="00C57DF5">
        <w:rPr>
          <w:rFonts w:cs="Arial"/>
          <w:color w:val="000000"/>
          <w:sz w:val="22"/>
          <w:szCs w:val="22"/>
        </w:rPr>
        <w:br/>
      </w:r>
      <w:r w:rsidR="00C57DF5">
        <w:rPr>
          <w:rFonts w:cs="Arial"/>
          <w:color w:val="000000"/>
          <w:sz w:val="22"/>
          <w:szCs w:val="22"/>
        </w:rPr>
        <w:br/>
      </w:r>
      <w:r w:rsidR="00C57DF5">
        <w:rPr>
          <w:rFonts w:cs="Arial"/>
          <w:color w:val="000000"/>
          <w:sz w:val="22"/>
          <w:szCs w:val="22"/>
        </w:rPr>
        <w:br/>
      </w:r>
      <w:r w:rsidR="00C57DF5">
        <w:rPr>
          <w:rFonts w:cs="Arial"/>
          <w:color w:val="000000"/>
          <w:sz w:val="22"/>
          <w:szCs w:val="22"/>
        </w:rPr>
        <w:br/>
      </w:r>
      <w:r w:rsidR="00C57DF5">
        <w:rPr>
          <w:rFonts w:cs="Arial"/>
          <w:color w:val="000000"/>
          <w:sz w:val="22"/>
          <w:szCs w:val="22"/>
        </w:rPr>
        <w:br/>
      </w:r>
      <w:r w:rsidR="00C57DF5">
        <w:rPr>
          <w:rFonts w:cs="Arial"/>
          <w:color w:val="000000"/>
          <w:sz w:val="22"/>
          <w:szCs w:val="22"/>
        </w:rPr>
        <w:br/>
      </w:r>
      <w:r w:rsidR="00C57DF5">
        <w:rPr>
          <w:rFonts w:cs="Arial"/>
          <w:color w:val="000000"/>
          <w:sz w:val="22"/>
          <w:szCs w:val="22"/>
        </w:rPr>
        <w:br/>
      </w:r>
      <w:r w:rsidR="00C57DF5">
        <w:rPr>
          <w:rFonts w:cs="Arial"/>
          <w:color w:val="000000"/>
          <w:sz w:val="22"/>
          <w:szCs w:val="22"/>
        </w:rPr>
        <w:br/>
      </w:r>
      <w:r w:rsidR="00C57DF5">
        <w:rPr>
          <w:rFonts w:cs="Arial"/>
          <w:color w:val="000000"/>
          <w:sz w:val="22"/>
          <w:szCs w:val="22"/>
        </w:rPr>
        <w:br/>
      </w:r>
      <w:r w:rsidR="00C57DF5">
        <w:rPr>
          <w:rFonts w:cs="Arial"/>
          <w:color w:val="000000"/>
          <w:sz w:val="22"/>
          <w:szCs w:val="22"/>
        </w:rPr>
        <w:br/>
      </w:r>
    </w:p>
    <w:p w14:paraId="4221D196" w14:textId="77777777" w:rsidR="00FB4819" w:rsidRDefault="00FB4819" w:rsidP="00FB4819">
      <w:pPr>
        <w:pStyle w:val="ListParagraph"/>
        <w:ind w:left="567"/>
        <w:jc w:val="both"/>
      </w:pPr>
    </w:p>
    <w:p w14:paraId="267238F1" w14:textId="77777777" w:rsidR="00FB4819" w:rsidRDefault="00FB4819" w:rsidP="00FB4819">
      <w:pPr>
        <w:pStyle w:val="ListParagraph"/>
        <w:ind w:left="360"/>
        <w:jc w:val="both"/>
        <w:rPr>
          <w:rFonts w:eastAsiaTheme="minorEastAsia" w:cs="Arial"/>
          <w:b/>
          <w:bCs/>
          <w:color w:val="319B31"/>
          <w:sz w:val="28"/>
          <w:szCs w:val="28"/>
        </w:rPr>
      </w:pPr>
    </w:p>
    <w:p w14:paraId="06FF3A0A" w14:textId="77777777" w:rsidR="00FB4819" w:rsidRPr="000157DD" w:rsidRDefault="00FB4819" w:rsidP="00FB4819">
      <w:pPr>
        <w:pStyle w:val="ListParagraph"/>
        <w:numPr>
          <w:ilvl w:val="0"/>
          <w:numId w:val="4"/>
        </w:numPr>
        <w:jc w:val="both"/>
        <w:rPr>
          <w:rFonts w:eastAsiaTheme="minorEastAsia" w:cs="Arial"/>
          <w:b/>
          <w:bCs/>
          <w:color w:val="319B31"/>
          <w:sz w:val="28"/>
          <w:szCs w:val="28"/>
        </w:rPr>
      </w:pPr>
      <w:r>
        <w:rPr>
          <w:rFonts w:eastAsiaTheme="minorEastAsia" w:cs="Arial"/>
          <w:b/>
          <w:bCs/>
          <w:color w:val="319B31"/>
          <w:sz w:val="28"/>
          <w:szCs w:val="28"/>
        </w:rPr>
        <w:t>Proposals</w:t>
      </w:r>
      <w:r w:rsidRPr="000157DD">
        <w:rPr>
          <w:rFonts w:eastAsiaTheme="minorEastAsia" w:cs="Arial"/>
          <w:b/>
          <w:bCs/>
          <w:color w:val="319B31"/>
          <w:sz w:val="28"/>
          <w:szCs w:val="28"/>
        </w:rPr>
        <w:t xml:space="preserve"> </w:t>
      </w:r>
    </w:p>
    <w:p w14:paraId="086245DD" w14:textId="77777777" w:rsidR="00FB4819" w:rsidRPr="000562F4" w:rsidRDefault="00FB4819" w:rsidP="00FB4819">
      <w:pPr>
        <w:pStyle w:val="ListParagraph"/>
        <w:rPr>
          <w:rFonts w:cs="Arial"/>
          <w:color w:val="000000"/>
          <w:sz w:val="22"/>
          <w:szCs w:val="22"/>
        </w:rPr>
      </w:pPr>
    </w:p>
    <w:p w14:paraId="3D1ED38D" w14:textId="0CCFE10B" w:rsidR="00FB4819" w:rsidRPr="00371DA0" w:rsidRDefault="00FB4819" w:rsidP="00FB4819">
      <w:pPr>
        <w:pStyle w:val="ListParagraph"/>
        <w:numPr>
          <w:ilvl w:val="1"/>
          <w:numId w:val="4"/>
        </w:numPr>
        <w:ind w:left="567" w:hanging="567"/>
        <w:jc w:val="both"/>
        <w:rPr>
          <w:sz w:val="22"/>
          <w:szCs w:val="22"/>
        </w:rPr>
      </w:pPr>
      <w:r w:rsidRPr="00371DA0">
        <w:rPr>
          <w:color w:val="221F1F"/>
          <w:sz w:val="22"/>
          <w:szCs w:val="22"/>
        </w:rPr>
        <w:t xml:space="preserve">Despite the </w:t>
      </w:r>
      <w:r w:rsidR="00CA579B">
        <w:rPr>
          <w:color w:val="221F1F"/>
          <w:sz w:val="22"/>
          <w:szCs w:val="22"/>
        </w:rPr>
        <w:t>(-</w:t>
      </w:r>
      <w:r w:rsidR="006A1108">
        <w:rPr>
          <w:color w:val="221F1F"/>
          <w:sz w:val="22"/>
          <w:szCs w:val="22"/>
        </w:rPr>
        <w:t>8</w:t>
      </w:r>
      <w:r w:rsidR="00CA579B">
        <w:rPr>
          <w:color w:val="221F1F"/>
          <w:sz w:val="22"/>
          <w:szCs w:val="22"/>
        </w:rPr>
        <w:t xml:space="preserve">%) </w:t>
      </w:r>
      <w:r w:rsidRPr="00371DA0">
        <w:rPr>
          <w:color w:val="221F1F"/>
          <w:sz w:val="22"/>
          <w:szCs w:val="22"/>
        </w:rPr>
        <w:t xml:space="preserve">reduction in overall grant certain expenditure budgets require growth in 2024-25:  the Admissions budget contribution has been increased by 2%; </w:t>
      </w:r>
      <w:r w:rsidRPr="00371DA0">
        <w:rPr>
          <w:sz w:val="22"/>
          <w:szCs w:val="22"/>
        </w:rPr>
        <w:t>the estimated increase of the Copyright license fee has been calculated using the same percentage increase experienced between 2022-23 and 2023-24 (1</w:t>
      </w:r>
      <w:r w:rsidR="00CA579B">
        <w:rPr>
          <w:sz w:val="22"/>
          <w:szCs w:val="22"/>
        </w:rPr>
        <w:t>4</w:t>
      </w:r>
      <w:r w:rsidRPr="00371DA0">
        <w:rPr>
          <w:sz w:val="22"/>
          <w:szCs w:val="22"/>
        </w:rPr>
        <w:t>%) or c £3</w:t>
      </w:r>
      <w:r w:rsidR="005C70B8">
        <w:rPr>
          <w:sz w:val="22"/>
          <w:szCs w:val="22"/>
        </w:rPr>
        <w:t>5</w:t>
      </w:r>
      <w:r w:rsidRPr="00371DA0">
        <w:rPr>
          <w:sz w:val="22"/>
          <w:szCs w:val="22"/>
        </w:rPr>
        <w:t>k</w:t>
      </w:r>
      <w:r w:rsidR="005C70B8">
        <w:rPr>
          <w:sz w:val="22"/>
          <w:szCs w:val="22"/>
        </w:rPr>
        <w:t>.  The DfE will confirm the final charge imminently.</w:t>
      </w:r>
      <w:r w:rsidRPr="00371DA0">
        <w:rPr>
          <w:sz w:val="22"/>
          <w:szCs w:val="22"/>
        </w:rPr>
        <w:t xml:space="preserve"> </w:t>
      </w:r>
    </w:p>
    <w:p w14:paraId="62A69EC3" w14:textId="77777777" w:rsidR="00FB4819" w:rsidRPr="00371DA0" w:rsidRDefault="00FB4819" w:rsidP="00FB4819">
      <w:pPr>
        <w:pStyle w:val="ListParagraph"/>
        <w:ind w:left="567"/>
        <w:jc w:val="both"/>
        <w:rPr>
          <w:sz w:val="22"/>
          <w:szCs w:val="22"/>
        </w:rPr>
      </w:pPr>
    </w:p>
    <w:p w14:paraId="2C42D930" w14:textId="4E7B2C3F" w:rsidR="008E6A00" w:rsidRPr="008E6A00" w:rsidRDefault="00FB4819" w:rsidP="00FB4819">
      <w:pPr>
        <w:pStyle w:val="ListParagraph"/>
        <w:numPr>
          <w:ilvl w:val="1"/>
          <w:numId w:val="4"/>
        </w:numPr>
        <w:ind w:left="567" w:hanging="567"/>
        <w:jc w:val="both"/>
        <w:rPr>
          <w:sz w:val="22"/>
          <w:szCs w:val="22"/>
        </w:rPr>
      </w:pPr>
      <w:r w:rsidRPr="00371DA0">
        <w:rPr>
          <w:color w:val="221F1F"/>
          <w:sz w:val="22"/>
          <w:szCs w:val="22"/>
        </w:rPr>
        <w:t>The budgets that will be re</w:t>
      </w:r>
      <w:r w:rsidR="005C70B8">
        <w:rPr>
          <w:color w:val="221F1F"/>
          <w:sz w:val="22"/>
          <w:szCs w:val="22"/>
        </w:rPr>
        <w:t>mov</w:t>
      </w:r>
      <w:r w:rsidRPr="00371DA0">
        <w:rPr>
          <w:color w:val="221F1F"/>
          <w:sz w:val="22"/>
          <w:szCs w:val="22"/>
        </w:rPr>
        <w:t xml:space="preserve">ed </w:t>
      </w:r>
      <w:r w:rsidR="005C70B8">
        <w:rPr>
          <w:color w:val="221F1F"/>
          <w:sz w:val="22"/>
          <w:szCs w:val="22"/>
        </w:rPr>
        <w:t>to meet the reduced cash limit,</w:t>
      </w:r>
      <w:r w:rsidRPr="00371DA0">
        <w:rPr>
          <w:color w:val="221F1F"/>
          <w:sz w:val="22"/>
          <w:szCs w:val="22"/>
        </w:rPr>
        <w:t xml:space="preserve"> contribut</w:t>
      </w:r>
      <w:r w:rsidR="005C70B8">
        <w:rPr>
          <w:color w:val="221F1F"/>
          <w:sz w:val="22"/>
          <w:szCs w:val="22"/>
        </w:rPr>
        <w:t>e to</w:t>
      </w:r>
      <w:r w:rsidRPr="00371DA0">
        <w:rPr>
          <w:color w:val="221F1F"/>
          <w:sz w:val="22"/>
          <w:szCs w:val="22"/>
        </w:rPr>
        <w:t xml:space="preserve"> supporting centrally managed </w:t>
      </w:r>
      <w:r w:rsidR="008E6A00">
        <w:rPr>
          <w:color w:val="221F1F"/>
          <w:sz w:val="22"/>
          <w:szCs w:val="22"/>
        </w:rPr>
        <w:t>services in High Needs</w:t>
      </w:r>
      <w:r w:rsidR="00CA579B">
        <w:rPr>
          <w:color w:val="221F1F"/>
          <w:sz w:val="22"/>
          <w:szCs w:val="22"/>
        </w:rPr>
        <w:t>, and</w:t>
      </w:r>
      <w:r w:rsidR="008E6A00">
        <w:rPr>
          <w:color w:val="221F1F"/>
          <w:sz w:val="22"/>
          <w:szCs w:val="22"/>
        </w:rPr>
        <w:t xml:space="preserve"> </w:t>
      </w:r>
      <w:r w:rsidRPr="00371DA0">
        <w:rPr>
          <w:color w:val="221F1F"/>
          <w:sz w:val="22"/>
          <w:szCs w:val="22"/>
        </w:rPr>
        <w:t>to central teaching staff pay and pensions awards</w:t>
      </w:r>
      <w:r w:rsidR="008E6A00">
        <w:rPr>
          <w:color w:val="221F1F"/>
          <w:sz w:val="22"/>
          <w:szCs w:val="22"/>
        </w:rPr>
        <w:t xml:space="preserve">.  </w:t>
      </w:r>
    </w:p>
    <w:p w14:paraId="1B92DD22" w14:textId="77777777" w:rsidR="008E6A00" w:rsidRPr="008E6A00" w:rsidRDefault="008E6A00" w:rsidP="008E6A00">
      <w:pPr>
        <w:pStyle w:val="ListParagraph"/>
        <w:rPr>
          <w:color w:val="221F1F"/>
          <w:sz w:val="22"/>
          <w:szCs w:val="22"/>
        </w:rPr>
      </w:pPr>
    </w:p>
    <w:p w14:paraId="75F232BE" w14:textId="1AB12BC5" w:rsidR="00FB4819" w:rsidRPr="00020786" w:rsidRDefault="008E6A00" w:rsidP="00FB4819">
      <w:pPr>
        <w:pStyle w:val="ListParagraph"/>
        <w:numPr>
          <w:ilvl w:val="1"/>
          <w:numId w:val="4"/>
        </w:numPr>
        <w:ind w:left="567" w:hanging="567"/>
        <w:jc w:val="both"/>
        <w:rPr>
          <w:sz w:val="22"/>
          <w:szCs w:val="22"/>
        </w:rPr>
      </w:pPr>
      <w:r w:rsidRPr="00020786">
        <w:rPr>
          <w:color w:val="221F1F"/>
          <w:sz w:val="22"/>
          <w:szCs w:val="22"/>
        </w:rPr>
        <w:t xml:space="preserve">Other budgets have </w:t>
      </w:r>
      <w:r w:rsidR="005C70B8" w:rsidRPr="00020786">
        <w:rPr>
          <w:color w:val="221F1F"/>
          <w:sz w:val="22"/>
          <w:szCs w:val="22"/>
        </w:rPr>
        <w:t xml:space="preserve">largely </w:t>
      </w:r>
      <w:r w:rsidRPr="00020786">
        <w:rPr>
          <w:color w:val="221F1F"/>
          <w:sz w:val="22"/>
          <w:szCs w:val="22"/>
        </w:rPr>
        <w:t>rem</w:t>
      </w:r>
      <w:r w:rsidR="00CA579B" w:rsidRPr="00020786">
        <w:rPr>
          <w:color w:val="221F1F"/>
          <w:sz w:val="22"/>
          <w:szCs w:val="22"/>
        </w:rPr>
        <w:t>a</w:t>
      </w:r>
      <w:r w:rsidRPr="00020786">
        <w:rPr>
          <w:color w:val="221F1F"/>
          <w:sz w:val="22"/>
          <w:szCs w:val="22"/>
        </w:rPr>
        <w:t xml:space="preserve">ined static as contributions to statutory services affecting all schools continue.  </w:t>
      </w:r>
      <w:r w:rsidR="005C70B8" w:rsidRPr="00020786">
        <w:rPr>
          <w:color w:val="221F1F"/>
          <w:sz w:val="22"/>
          <w:szCs w:val="22"/>
        </w:rPr>
        <w:t xml:space="preserve">The </w:t>
      </w:r>
      <w:r w:rsidR="00BE2626" w:rsidRPr="00020786">
        <w:rPr>
          <w:color w:val="221F1F"/>
          <w:sz w:val="22"/>
          <w:szCs w:val="22"/>
        </w:rPr>
        <w:t>historic costs for prior year school pensions</w:t>
      </w:r>
      <w:r w:rsidR="005C70B8" w:rsidRPr="00020786">
        <w:rPr>
          <w:color w:val="221F1F"/>
          <w:sz w:val="22"/>
          <w:szCs w:val="22"/>
        </w:rPr>
        <w:t xml:space="preserve"> </w:t>
      </w:r>
      <w:proofErr w:type="gramStart"/>
      <w:r w:rsidR="005C70B8" w:rsidRPr="00020786">
        <w:rPr>
          <w:color w:val="221F1F"/>
          <w:sz w:val="22"/>
          <w:szCs w:val="22"/>
        </w:rPr>
        <w:t>has</w:t>
      </w:r>
      <w:proofErr w:type="gramEnd"/>
      <w:r w:rsidR="005C70B8" w:rsidRPr="00020786">
        <w:rPr>
          <w:color w:val="221F1F"/>
          <w:sz w:val="22"/>
          <w:szCs w:val="22"/>
        </w:rPr>
        <w:t xml:space="preserve"> been increased to bring the budget more in line with the actual cost.  This budget is of particular concern</w:t>
      </w:r>
      <w:r w:rsidRPr="00020786">
        <w:rPr>
          <w:color w:val="221F1F"/>
          <w:sz w:val="22"/>
          <w:szCs w:val="22"/>
        </w:rPr>
        <w:t xml:space="preserve">, </w:t>
      </w:r>
      <w:r w:rsidR="005C70B8" w:rsidRPr="00020786">
        <w:rPr>
          <w:color w:val="221F1F"/>
          <w:sz w:val="22"/>
          <w:szCs w:val="22"/>
        </w:rPr>
        <w:t>because</w:t>
      </w:r>
      <w:r w:rsidR="00CA579B" w:rsidRPr="00020786">
        <w:rPr>
          <w:color w:val="221F1F"/>
          <w:sz w:val="22"/>
          <w:szCs w:val="22"/>
        </w:rPr>
        <w:t xml:space="preserve"> as part of the historic budget is </w:t>
      </w:r>
      <w:r w:rsidRPr="00020786">
        <w:rPr>
          <w:color w:val="221F1F"/>
          <w:sz w:val="22"/>
          <w:szCs w:val="22"/>
        </w:rPr>
        <w:t>not reducing according to the DfE planned timeline</w:t>
      </w:r>
      <w:r w:rsidR="00CA579B" w:rsidRPr="00020786">
        <w:rPr>
          <w:color w:val="221F1F"/>
          <w:sz w:val="22"/>
          <w:szCs w:val="22"/>
        </w:rPr>
        <w:t xml:space="preserve"> (-20% annually)</w:t>
      </w:r>
      <w:r w:rsidRPr="00020786">
        <w:rPr>
          <w:color w:val="221F1F"/>
          <w:sz w:val="22"/>
          <w:szCs w:val="22"/>
        </w:rPr>
        <w:t xml:space="preserve">.  If current CSSB regulations continue, the council will need to identify other resources to meet these historic costs, as meeting the pension liability is a statutory responsibility. </w:t>
      </w:r>
    </w:p>
    <w:p w14:paraId="6791A9BE" w14:textId="77777777" w:rsidR="00FB4819" w:rsidRPr="0077257C" w:rsidRDefault="00FB4819" w:rsidP="00FB4819">
      <w:pPr>
        <w:pStyle w:val="ListParagraph"/>
        <w:rPr>
          <w:color w:val="221F1F"/>
          <w:sz w:val="22"/>
          <w:szCs w:val="22"/>
          <w:highlight w:val="cyan"/>
        </w:rPr>
      </w:pPr>
    </w:p>
    <w:p w14:paraId="5A29CEA4" w14:textId="456E7B9E" w:rsidR="00FB4819" w:rsidRPr="00C07885" w:rsidRDefault="00FB4819" w:rsidP="00FB4819">
      <w:pPr>
        <w:pStyle w:val="ListParagraph"/>
        <w:numPr>
          <w:ilvl w:val="1"/>
          <w:numId w:val="4"/>
        </w:numPr>
        <w:ind w:left="567" w:hanging="567"/>
        <w:jc w:val="both"/>
        <w:rPr>
          <w:rFonts w:cs="Arial"/>
          <w:color w:val="000000"/>
          <w:sz w:val="22"/>
          <w:szCs w:val="22"/>
        </w:rPr>
      </w:pPr>
      <w:r w:rsidRPr="00371DA0">
        <w:rPr>
          <w:sz w:val="22"/>
          <w:szCs w:val="22"/>
        </w:rPr>
        <w:t>To</w:t>
      </w:r>
      <w:r w:rsidRPr="00371DA0">
        <w:rPr>
          <w:color w:val="221F1F"/>
          <w:sz w:val="22"/>
          <w:szCs w:val="22"/>
        </w:rPr>
        <w:t xml:space="preserve"> reconcile to the overall reduction in grant, both ongoing responsibilities</w:t>
      </w:r>
      <w:r w:rsidRPr="00371DA0">
        <w:rPr>
          <w:sz w:val="22"/>
          <w:szCs w:val="22"/>
        </w:rPr>
        <w:t xml:space="preserve"> </w:t>
      </w:r>
      <w:r w:rsidRPr="00371DA0">
        <w:rPr>
          <w:color w:val="221F1F"/>
          <w:sz w:val="22"/>
          <w:szCs w:val="22"/>
        </w:rPr>
        <w:t xml:space="preserve">and historic liability budgets </w:t>
      </w:r>
      <w:r w:rsidRPr="00371DA0">
        <w:rPr>
          <w:sz w:val="22"/>
          <w:szCs w:val="22"/>
        </w:rPr>
        <w:t xml:space="preserve">have been targeted to achieve the required saving.  </w:t>
      </w:r>
      <w:r w:rsidRPr="00371DA0">
        <w:rPr>
          <w:rFonts w:cs="Arial"/>
          <w:color w:val="000000"/>
          <w:sz w:val="22"/>
          <w:szCs w:val="22"/>
        </w:rPr>
        <w:t xml:space="preserve">The proposals are budgeting an </w:t>
      </w:r>
      <w:r w:rsidRPr="005C70B8">
        <w:rPr>
          <w:rFonts w:cs="Arial"/>
          <w:color w:val="000000"/>
          <w:sz w:val="22"/>
          <w:szCs w:val="22"/>
        </w:rPr>
        <w:t>additional £</w:t>
      </w:r>
      <w:r w:rsidR="00C77BCF" w:rsidRPr="005C70B8">
        <w:rPr>
          <w:rFonts w:cs="Arial"/>
          <w:color w:val="000000"/>
          <w:sz w:val="22"/>
          <w:szCs w:val="22"/>
        </w:rPr>
        <w:t>3</w:t>
      </w:r>
      <w:r w:rsidR="005C70B8" w:rsidRPr="005C70B8">
        <w:rPr>
          <w:rFonts w:cs="Arial"/>
          <w:color w:val="000000"/>
          <w:sz w:val="22"/>
          <w:szCs w:val="22"/>
        </w:rPr>
        <w:t>01</w:t>
      </w:r>
      <w:r w:rsidRPr="005C70B8">
        <w:rPr>
          <w:rFonts w:cs="Arial"/>
          <w:color w:val="000000"/>
          <w:sz w:val="22"/>
          <w:szCs w:val="22"/>
        </w:rPr>
        <w:t>k</w:t>
      </w:r>
      <w:r w:rsidRPr="00371DA0">
        <w:rPr>
          <w:rFonts w:cs="Arial"/>
          <w:color w:val="000000"/>
          <w:sz w:val="22"/>
          <w:szCs w:val="22"/>
        </w:rPr>
        <w:t xml:space="preserve"> against historic commitments</w:t>
      </w:r>
      <w:r w:rsidR="008E6A00">
        <w:rPr>
          <w:rFonts w:cs="Arial"/>
          <w:color w:val="000000"/>
          <w:sz w:val="22"/>
          <w:szCs w:val="22"/>
        </w:rPr>
        <w:t xml:space="preserve"> (to protect histori</w:t>
      </w:r>
      <w:r w:rsidR="00CA579B">
        <w:rPr>
          <w:rFonts w:cs="Arial"/>
          <w:color w:val="000000"/>
          <w:sz w:val="22"/>
          <w:szCs w:val="22"/>
        </w:rPr>
        <w:t>c</w:t>
      </w:r>
      <w:r w:rsidR="008E6A00">
        <w:rPr>
          <w:rFonts w:cs="Arial"/>
          <w:color w:val="000000"/>
          <w:sz w:val="22"/>
          <w:szCs w:val="22"/>
        </w:rPr>
        <w:t xml:space="preserve"> pension costs)</w:t>
      </w:r>
      <w:r w:rsidRPr="00371DA0">
        <w:rPr>
          <w:rFonts w:cs="Arial"/>
          <w:color w:val="000000"/>
          <w:sz w:val="22"/>
          <w:szCs w:val="22"/>
        </w:rPr>
        <w:t xml:space="preserve">, as the expense of on-going responsibilities.  </w:t>
      </w:r>
      <w:r w:rsidR="00C77BCF">
        <w:rPr>
          <w:rFonts w:cs="Arial"/>
          <w:color w:val="000000"/>
          <w:sz w:val="22"/>
          <w:szCs w:val="22"/>
        </w:rPr>
        <w:t>The historic bud</w:t>
      </w:r>
      <w:r w:rsidR="00866E26">
        <w:rPr>
          <w:rFonts w:cs="Arial"/>
          <w:color w:val="000000"/>
          <w:sz w:val="22"/>
          <w:szCs w:val="22"/>
        </w:rPr>
        <w:t>g</w:t>
      </w:r>
      <w:r w:rsidR="00C77BCF">
        <w:rPr>
          <w:rFonts w:cs="Arial"/>
          <w:color w:val="000000"/>
          <w:sz w:val="22"/>
          <w:szCs w:val="22"/>
        </w:rPr>
        <w:t>et</w:t>
      </w:r>
      <w:r w:rsidR="00866E26">
        <w:rPr>
          <w:rFonts w:cs="Arial"/>
          <w:color w:val="000000"/>
          <w:sz w:val="22"/>
          <w:szCs w:val="22"/>
        </w:rPr>
        <w:t>s</w:t>
      </w:r>
      <w:r w:rsidR="00C77BCF">
        <w:rPr>
          <w:rFonts w:cs="Arial"/>
          <w:color w:val="000000"/>
          <w:sz w:val="22"/>
          <w:szCs w:val="22"/>
        </w:rPr>
        <w:t xml:space="preserve"> element </w:t>
      </w:r>
      <w:r w:rsidR="00866E26">
        <w:rPr>
          <w:rFonts w:cs="Arial"/>
          <w:color w:val="000000"/>
          <w:sz w:val="22"/>
          <w:szCs w:val="22"/>
        </w:rPr>
        <w:t>represents 3</w:t>
      </w:r>
      <w:r w:rsidR="005C70B8">
        <w:rPr>
          <w:rFonts w:cs="Arial"/>
          <w:color w:val="000000"/>
          <w:sz w:val="22"/>
          <w:szCs w:val="22"/>
        </w:rPr>
        <w:t>3</w:t>
      </w:r>
      <w:r w:rsidR="00866E26">
        <w:rPr>
          <w:rFonts w:cs="Arial"/>
          <w:color w:val="000000"/>
          <w:sz w:val="22"/>
          <w:szCs w:val="22"/>
        </w:rPr>
        <w:t xml:space="preserve">% </w:t>
      </w:r>
      <w:proofErr w:type="gramStart"/>
      <w:r w:rsidR="005750DF">
        <w:rPr>
          <w:rFonts w:cs="Arial"/>
          <w:color w:val="000000"/>
          <w:sz w:val="22"/>
          <w:szCs w:val="22"/>
        </w:rPr>
        <w:t>in excess of</w:t>
      </w:r>
      <w:proofErr w:type="gramEnd"/>
      <w:r w:rsidR="00866E26">
        <w:rPr>
          <w:rFonts w:cs="Arial"/>
          <w:color w:val="000000"/>
          <w:sz w:val="22"/>
          <w:szCs w:val="22"/>
        </w:rPr>
        <w:t xml:space="preserve"> the allocation</w:t>
      </w:r>
      <w:r w:rsidRPr="00371DA0">
        <w:rPr>
          <w:rFonts w:cs="Arial"/>
          <w:color w:val="000000"/>
          <w:sz w:val="22"/>
          <w:szCs w:val="22"/>
        </w:rPr>
        <w:t>, which in the long term will need to be reviewed as it is not sustainable</w:t>
      </w:r>
      <w:r w:rsidRPr="00C07885">
        <w:rPr>
          <w:rFonts w:cs="Arial"/>
          <w:color w:val="000000"/>
          <w:sz w:val="22"/>
          <w:szCs w:val="22"/>
        </w:rPr>
        <w:t>.</w:t>
      </w:r>
    </w:p>
    <w:p w14:paraId="10E943A5" w14:textId="77777777" w:rsidR="00FB4819" w:rsidRPr="00C07885" w:rsidRDefault="00FB4819" w:rsidP="00FB4819">
      <w:pPr>
        <w:pStyle w:val="ListParagraph"/>
        <w:ind w:left="567"/>
        <w:jc w:val="both"/>
        <w:rPr>
          <w:sz w:val="22"/>
          <w:szCs w:val="22"/>
        </w:rPr>
      </w:pPr>
    </w:p>
    <w:p w14:paraId="5FD4D127" w14:textId="77777777" w:rsidR="00FB4819" w:rsidRPr="00C07885" w:rsidRDefault="00FB4819" w:rsidP="00FB4819">
      <w:pPr>
        <w:pStyle w:val="ListParagraph"/>
        <w:autoSpaceDE w:val="0"/>
        <w:autoSpaceDN w:val="0"/>
        <w:adjustRightInd w:val="0"/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1357"/>
        <w:gridCol w:w="1356"/>
        <w:gridCol w:w="1665"/>
        <w:gridCol w:w="1150"/>
      </w:tblGrid>
      <w:tr w:rsidR="00CA579B" w:rsidRPr="00C07885" w14:paraId="18A8EA79" w14:textId="7243A2C1" w:rsidTr="007E1DB5">
        <w:trPr>
          <w:trHeight w:val="580"/>
        </w:trPr>
        <w:tc>
          <w:tcPr>
            <w:tcW w:w="3534" w:type="dxa"/>
            <w:shd w:val="clear" w:color="auto" w:fill="auto"/>
            <w:vAlign w:val="center"/>
            <w:hideMark/>
          </w:tcPr>
          <w:p w14:paraId="0268B890" w14:textId="77777777" w:rsidR="00CA579B" w:rsidRPr="00371DA0" w:rsidRDefault="00CA579B" w:rsidP="004A1BE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>Recommended Distribution of On-going responsibilities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7D154D" w14:textId="77777777" w:rsidR="00CA579B" w:rsidRPr="007E1DB5" w:rsidRDefault="00CA579B" w:rsidP="007E1DB5">
            <w:pPr>
              <w:spacing w:after="0"/>
              <w:jc w:val="center"/>
              <w:rPr>
                <w:sz w:val="20"/>
                <w:szCs w:val="20"/>
              </w:rPr>
            </w:pPr>
            <w:r w:rsidRPr="007E1DB5">
              <w:rPr>
                <w:b/>
                <w:bCs/>
                <w:color w:val="221F1F"/>
                <w:sz w:val="20"/>
                <w:szCs w:val="20"/>
              </w:rPr>
              <w:t>2022-23 outturn</w:t>
            </w:r>
          </w:p>
        </w:tc>
        <w:tc>
          <w:tcPr>
            <w:tcW w:w="1417" w:type="dxa"/>
            <w:vAlign w:val="bottom"/>
          </w:tcPr>
          <w:p w14:paraId="07A6EC2B" w14:textId="77777777" w:rsidR="00CA579B" w:rsidRPr="007E1DB5" w:rsidRDefault="00CA579B" w:rsidP="007E1DB5">
            <w:pPr>
              <w:spacing w:after="0"/>
              <w:jc w:val="center"/>
              <w:rPr>
                <w:sz w:val="20"/>
                <w:szCs w:val="20"/>
              </w:rPr>
            </w:pPr>
            <w:r w:rsidRPr="007E1DB5">
              <w:rPr>
                <w:b/>
                <w:bCs/>
                <w:color w:val="221F1F"/>
                <w:sz w:val="20"/>
                <w:szCs w:val="20"/>
              </w:rPr>
              <w:t>2023-24 budget</w:t>
            </w:r>
          </w:p>
        </w:tc>
        <w:tc>
          <w:tcPr>
            <w:tcW w:w="1843" w:type="dxa"/>
            <w:vAlign w:val="bottom"/>
          </w:tcPr>
          <w:p w14:paraId="29BED2C7" w14:textId="77777777" w:rsidR="00CA579B" w:rsidRPr="007E1DB5" w:rsidRDefault="00CA579B" w:rsidP="007E1DB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DB5">
              <w:rPr>
                <w:b/>
                <w:bCs/>
                <w:color w:val="000000"/>
                <w:sz w:val="20"/>
                <w:szCs w:val="20"/>
              </w:rPr>
              <w:t>2024-25 proposed budget</w:t>
            </w:r>
          </w:p>
        </w:tc>
        <w:tc>
          <w:tcPr>
            <w:tcW w:w="850" w:type="dxa"/>
            <w:vAlign w:val="bottom"/>
          </w:tcPr>
          <w:p w14:paraId="27C7B442" w14:textId="28B80D2C" w:rsidR="00CA579B" w:rsidRPr="00C07885" w:rsidRDefault="00CA579B" w:rsidP="007E1DB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movement</w:t>
            </w:r>
          </w:p>
        </w:tc>
      </w:tr>
      <w:tr w:rsidR="00CA579B" w:rsidRPr="00C07885" w14:paraId="714E7916" w14:textId="327BB619" w:rsidTr="00CA579B">
        <w:trPr>
          <w:trHeight w:val="290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2337F029" w14:textId="77777777" w:rsidR="00CA579B" w:rsidRPr="00C07885" w:rsidRDefault="00CA579B" w:rsidP="007B3A9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07885">
              <w:rPr>
                <w:color w:val="221F1F"/>
                <w:sz w:val="20"/>
                <w:szCs w:val="20"/>
              </w:rPr>
              <w:t>School admissions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052452" w14:textId="77777777" w:rsidR="00CA579B" w:rsidRPr="00C07885" w:rsidRDefault="00CA579B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573,964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44F25F2" w14:textId="77777777" w:rsidR="00CA579B" w:rsidRPr="00C07885" w:rsidRDefault="00CA579B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749,000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B6F8BAF" w14:textId="37DE2C19" w:rsidR="00CA579B" w:rsidRPr="00371DA0" w:rsidRDefault="00CA579B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763,980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F05AE4E" w14:textId="3AB0FFC1" w:rsidR="00CA579B" w:rsidRPr="00371DA0" w:rsidRDefault="00CA579B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2%</w:t>
            </w:r>
          </w:p>
        </w:tc>
      </w:tr>
      <w:tr w:rsidR="00CA579B" w:rsidRPr="00C07885" w14:paraId="4DA702C3" w14:textId="316E26E5" w:rsidTr="00CA579B">
        <w:trPr>
          <w:trHeight w:val="300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6A8829E4" w14:textId="77777777" w:rsidR="00CA579B" w:rsidRPr="00C07885" w:rsidRDefault="00CA579B" w:rsidP="007B3A9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07885">
              <w:rPr>
                <w:color w:val="221F1F"/>
                <w:sz w:val="20"/>
                <w:szCs w:val="20"/>
              </w:rPr>
              <w:t>Servicing of Schools forums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BBF50F" w14:textId="77777777" w:rsidR="00CA579B" w:rsidRPr="00C07885" w:rsidRDefault="00CA579B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35,900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9B50323" w14:textId="77777777" w:rsidR="00CA579B" w:rsidRPr="00C07885" w:rsidRDefault="00CA579B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35,000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0462284" w14:textId="614E9020" w:rsidR="00CA579B" w:rsidRPr="00371DA0" w:rsidRDefault="00CA579B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35,000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9D6D9EF" w14:textId="3350697A" w:rsidR="00CA579B" w:rsidRPr="00371DA0" w:rsidRDefault="00CA579B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-</w:t>
            </w:r>
          </w:p>
        </w:tc>
      </w:tr>
      <w:tr w:rsidR="00CA579B" w:rsidRPr="00C07885" w14:paraId="5DFF521B" w14:textId="22D054C3" w:rsidTr="00CA579B">
        <w:trPr>
          <w:trHeight w:val="290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1B21C065" w14:textId="77777777" w:rsidR="00CA579B" w:rsidRPr="00C07885" w:rsidRDefault="00CA579B" w:rsidP="007B3A9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07885">
              <w:rPr>
                <w:color w:val="221F1F"/>
                <w:sz w:val="20"/>
                <w:szCs w:val="20"/>
              </w:rPr>
              <w:t>Copyright licenses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DE9617" w14:textId="77777777" w:rsidR="00CA579B" w:rsidRPr="00C07885" w:rsidRDefault="00CA579B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212,047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E30E16D" w14:textId="77777777" w:rsidR="00CA579B" w:rsidRPr="00C07885" w:rsidRDefault="00CA579B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245,191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444C9D3" w14:textId="1DFBFBAF" w:rsidR="00CA579B" w:rsidRPr="00371DA0" w:rsidRDefault="00CA579B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280,191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5073D7" w14:textId="30F019C9" w:rsidR="00CA579B" w:rsidRPr="00371DA0" w:rsidRDefault="00CA579B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14%</w:t>
            </w:r>
          </w:p>
        </w:tc>
      </w:tr>
      <w:tr w:rsidR="00CA579B" w:rsidRPr="00C07885" w14:paraId="0D6937B3" w14:textId="0A446EB8" w:rsidTr="00CA579B">
        <w:trPr>
          <w:trHeight w:val="290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26FDC754" w14:textId="77777777" w:rsidR="00CA579B" w:rsidRPr="00C07885" w:rsidRDefault="00CA579B" w:rsidP="007B3A9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07885">
              <w:rPr>
                <w:color w:val="221F1F"/>
                <w:sz w:val="20"/>
                <w:szCs w:val="20"/>
              </w:rPr>
              <w:t xml:space="preserve">Former ESG Duties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49C1B" w14:textId="77777777" w:rsidR="00CA579B" w:rsidRPr="00C07885" w:rsidRDefault="00CA579B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653,333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775B9A9" w14:textId="77777777" w:rsidR="00CA579B" w:rsidRPr="00C07885" w:rsidRDefault="00CA579B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615,000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A6059FD" w14:textId="66F33D2B" w:rsidR="00CA579B" w:rsidRPr="00371DA0" w:rsidRDefault="00CA579B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615,000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E58392B" w14:textId="76089DFB" w:rsidR="00CA579B" w:rsidRPr="00371DA0" w:rsidRDefault="00C77BCF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-</w:t>
            </w:r>
          </w:p>
        </w:tc>
      </w:tr>
      <w:tr w:rsidR="00CA579B" w:rsidRPr="00C07885" w14:paraId="554ECF1D" w14:textId="421750B0" w:rsidTr="00CA579B">
        <w:trPr>
          <w:trHeight w:val="290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188A7A03" w14:textId="77777777" w:rsidR="00CA579B" w:rsidRPr="00C07885" w:rsidRDefault="00CA579B" w:rsidP="007B3A9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C07885">
              <w:rPr>
                <w:color w:val="000000"/>
                <w:sz w:val="20"/>
                <w:szCs w:val="20"/>
              </w:rPr>
              <w:t>Central Teachers pay and pensions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79079" w14:textId="77777777" w:rsidR="00CA579B" w:rsidRPr="00C07885" w:rsidRDefault="00CA579B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197,000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CEE1B17" w14:textId="77777777" w:rsidR="00CA579B" w:rsidRPr="00C07885" w:rsidRDefault="00CA579B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197,000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59236D9" w14:textId="11BA5D4A" w:rsidR="00CA579B" w:rsidRPr="00371DA0" w:rsidRDefault="00CA579B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37F3626" w14:textId="36CB62A9" w:rsidR="00CA579B" w:rsidRPr="00371DA0" w:rsidRDefault="00C77BCF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-100%</w:t>
            </w:r>
          </w:p>
        </w:tc>
      </w:tr>
      <w:tr w:rsidR="00CA579B" w:rsidRPr="000F2077" w14:paraId="4F13491F" w14:textId="6C380F5C" w:rsidTr="00CA579B">
        <w:trPr>
          <w:trHeight w:val="290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4B6C72C9" w14:textId="77777777" w:rsidR="00CA579B" w:rsidRPr="00C07885" w:rsidRDefault="00CA579B" w:rsidP="007B3A9D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>Total Ongoing Duties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7C6E66" w14:textId="77777777" w:rsidR="00CA579B" w:rsidRPr="00C07885" w:rsidRDefault="00CA579B" w:rsidP="007B3A9D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>1,672,244</w:t>
            </w:r>
          </w:p>
        </w:tc>
        <w:tc>
          <w:tcPr>
            <w:tcW w:w="1417" w:type="dxa"/>
            <w:vAlign w:val="center"/>
          </w:tcPr>
          <w:p w14:paraId="32A40FAE" w14:textId="77777777" w:rsidR="00CA579B" w:rsidRPr="00C07885" w:rsidRDefault="00CA579B" w:rsidP="007B3A9D">
            <w:pPr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>1,841,191</w:t>
            </w:r>
          </w:p>
        </w:tc>
        <w:tc>
          <w:tcPr>
            <w:tcW w:w="1843" w:type="dxa"/>
            <w:vAlign w:val="center"/>
          </w:tcPr>
          <w:p w14:paraId="5AFA4AC5" w14:textId="3394BEB1" w:rsidR="00CA579B" w:rsidRPr="00371DA0" w:rsidRDefault="00CA579B" w:rsidP="007B3A9D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 w:rsidRPr="00371DA0">
              <w:rPr>
                <w:b/>
                <w:bCs/>
                <w:color w:val="221F1F"/>
                <w:sz w:val="22"/>
                <w:szCs w:val="22"/>
              </w:rPr>
              <w:t>1,</w:t>
            </w:r>
            <w:r>
              <w:rPr>
                <w:b/>
                <w:bCs/>
                <w:color w:val="221F1F"/>
                <w:sz w:val="22"/>
                <w:szCs w:val="22"/>
              </w:rPr>
              <w:t>694,</w:t>
            </w:r>
            <w:r w:rsidRPr="00371DA0">
              <w:rPr>
                <w:b/>
                <w:bCs/>
                <w:color w:val="221F1F"/>
                <w:sz w:val="22"/>
                <w:szCs w:val="22"/>
              </w:rPr>
              <w:t>1</w:t>
            </w:r>
            <w:r>
              <w:rPr>
                <w:b/>
                <w:bCs/>
                <w:color w:val="221F1F"/>
                <w:sz w:val="22"/>
                <w:szCs w:val="22"/>
              </w:rPr>
              <w:t>7</w:t>
            </w:r>
            <w:r w:rsidRPr="00371DA0">
              <w:rPr>
                <w:b/>
                <w:bCs/>
                <w:color w:val="221F1F"/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</w:tcPr>
          <w:p w14:paraId="3DB2307C" w14:textId="223448BC" w:rsidR="00CA579B" w:rsidRPr="00371DA0" w:rsidRDefault="00C77BCF" w:rsidP="007B3A9D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>
              <w:rPr>
                <w:b/>
                <w:bCs/>
                <w:color w:val="221F1F"/>
                <w:sz w:val="22"/>
                <w:szCs w:val="22"/>
              </w:rPr>
              <w:t>-8%</w:t>
            </w:r>
          </w:p>
        </w:tc>
      </w:tr>
    </w:tbl>
    <w:p w14:paraId="31E91722" w14:textId="18EDA92C" w:rsidR="00FB4819" w:rsidRPr="000F2077" w:rsidRDefault="00C57DF5" w:rsidP="00FB4819">
      <w:pPr>
        <w:autoSpaceDE w:val="0"/>
        <w:autoSpaceDN w:val="0"/>
        <w:adjustRightInd w:val="0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br/>
      </w:r>
      <w:r>
        <w:rPr>
          <w:color w:val="000000"/>
          <w:sz w:val="22"/>
          <w:szCs w:val="22"/>
          <w:highlight w:val="yellow"/>
        </w:rPr>
        <w:lastRenderedPageBreak/>
        <w:br/>
      </w:r>
      <w:r>
        <w:rPr>
          <w:color w:val="000000"/>
          <w:sz w:val="22"/>
          <w:szCs w:val="22"/>
          <w:highlight w:val="yellow"/>
        </w:rPr>
        <w:br/>
      </w:r>
    </w:p>
    <w:p w14:paraId="56294A44" w14:textId="5A77E19C" w:rsidR="00FB4819" w:rsidRPr="000157DD" w:rsidRDefault="00FB4819" w:rsidP="00FB4819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0157DD">
        <w:rPr>
          <w:color w:val="000000"/>
          <w:sz w:val="22"/>
          <w:szCs w:val="22"/>
        </w:rPr>
        <w:t>istoric Responsibilities allocated on the previous budget less 20%</w:t>
      </w:r>
      <w:r w:rsidR="007B3A9D">
        <w:rPr>
          <w:color w:val="000000"/>
          <w:sz w:val="22"/>
          <w:szCs w:val="22"/>
        </w:rPr>
        <w:t>, matching the outturn from 2022-23 if commitments have been shown to reduce</w:t>
      </w:r>
      <w:r w:rsidRPr="000157DD">
        <w:rPr>
          <w:color w:val="000000"/>
          <w:sz w:val="22"/>
          <w:szCs w:val="22"/>
        </w:rPr>
        <w:t>:</w:t>
      </w:r>
    </w:p>
    <w:p w14:paraId="09130785" w14:textId="77777777" w:rsidR="00FB4819" w:rsidRPr="000F2077" w:rsidRDefault="00FB4819" w:rsidP="00FB4819">
      <w:pPr>
        <w:pStyle w:val="ListParagraph"/>
        <w:autoSpaceDE w:val="0"/>
        <w:autoSpaceDN w:val="0"/>
        <w:adjustRightInd w:val="0"/>
        <w:ind w:left="1418"/>
        <w:rPr>
          <w:rFonts w:cs="Arial"/>
          <w:color w:val="000000"/>
          <w:sz w:val="22"/>
          <w:szCs w:val="22"/>
          <w:highlight w:val="yellow"/>
        </w:rPr>
      </w:pPr>
    </w:p>
    <w:tbl>
      <w:tblPr>
        <w:tblW w:w="9011" w:type="dxa"/>
        <w:tblInd w:w="5" w:type="dxa"/>
        <w:tblLook w:val="04A0" w:firstRow="1" w:lastRow="0" w:firstColumn="1" w:lastColumn="0" w:noHBand="0" w:noVBand="1"/>
      </w:tblPr>
      <w:tblGrid>
        <w:gridCol w:w="3534"/>
        <w:gridCol w:w="1560"/>
        <w:gridCol w:w="1245"/>
        <w:gridCol w:w="1522"/>
        <w:gridCol w:w="1150"/>
      </w:tblGrid>
      <w:tr w:rsidR="00C77BCF" w:rsidRPr="000F2077" w14:paraId="0ADF1C03" w14:textId="32A8D582" w:rsidTr="007E1DB5">
        <w:trPr>
          <w:trHeight w:val="74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339C" w14:textId="77777777" w:rsidR="00C77BCF" w:rsidRPr="00B33242" w:rsidRDefault="00C77BCF" w:rsidP="004A1BE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16ED">
              <w:rPr>
                <w:b/>
                <w:bCs/>
                <w:color w:val="000000"/>
                <w:sz w:val="22"/>
                <w:szCs w:val="22"/>
              </w:rPr>
              <w:t>Recommended Distribution of Historic Commitments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CDA6" w14:textId="7722FA53" w:rsidR="00C77BCF" w:rsidRPr="007E1DB5" w:rsidRDefault="00C77BCF" w:rsidP="007E1DB5">
            <w:pPr>
              <w:spacing w:after="0"/>
              <w:jc w:val="center"/>
              <w:rPr>
                <w:b/>
                <w:bCs/>
                <w:color w:val="221F1F"/>
                <w:sz w:val="20"/>
                <w:szCs w:val="20"/>
              </w:rPr>
            </w:pPr>
            <w:r w:rsidRPr="007E1DB5">
              <w:rPr>
                <w:b/>
                <w:bCs/>
                <w:color w:val="221F1F"/>
                <w:sz w:val="20"/>
                <w:szCs w:val="20"/>
              </w:rPr>
              <w:t>2022-23 outturn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A3B4F" w14:textId="1C5F760D" w:rsidR="00C77BCF" w:rsidRPr="007E1DB5" w:rsidRDefault="00C77BCF" w:rsidP="007E1DB5">
            <w:pPr>
              <w:spacing w:after="0"/>
              <w:jc w:val="center"/>
              <w:rPr>
                <w:b/>
                <w:bCs/>
                <w:color w:val="221F1F"/>
                <w:sz w:val="20"/>
                <w:szCs w:val="20"/>
              </w:rPr>
            </w:pPr>
            <w:r w:rsidRPr="007E1DB5">
              <w:rPr>
                <w:b/>
                <w:bCs/>
                <w:color w:val="221F1F"/>
                <w:sz w:val="20"/>
                <w:szCs w:val="20"/>
              </w:rPr>
              <w:t>2023-24 budget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23604" w14:textId="77777777" w:rsidR="00C77BCF" w:rsidRPr="007E1DB5" w:rsidRDefault="00C77BCF" w:rsidP="007E1DB5">
            <w:pPr>
              <w:spacing w:after="0"/>
              <w:jc w:val="center"/>
              <w:rPr>
                <w:b/>
                <w:bCs/>
                <w:color w:val="221F1F"/>
                <w:sz w:val="20"/>
                <w:szCs w:val="20"/>
              </w:rPr>
            </w:pPr>
            <w:r w:rsidRPr="007E1DB5">
              <w:rPr>
                <w:b/>
                <w:bCs/>
                <w:color w:val="221F1F"/>
                <w:sz w:val="20"/>
                <w:szCs w:val="20"/>
              </w:rPr>
              <w:t>2024-25 proposed budget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3B6E5" w14:textId="74816950" w:rsidR="00C77BCF" w:rsidRPr="007E1DB5" w:rsidRDefault="00C77BCF" w:rsidP="007E1DB5">
            <w:pPr>
              <w:spacing w:after="0"/>
              <w:jc w:val="center"/>
              <w:rPr>
                <w:color w:val="221F1F"/>
                <w:sz w:val="20"/>
                <w:szCs w:val="20"/>
              </w:rPr>
            </w:pPr>
            <w:r w:rsidRPr="007E1DB5">
              <w:rPr>
                <w:color w:val="221F1F"/>
                <w:sz w:val="20"/>
                <w:szCs w:val="20"/>
              </w:rPr>
              <w:t>% movement</w:t>
            </w:r>
          </w:p>
        </w:tc>
      </w:tr>
      <w:tr w:rsidR="006F32FD" w:rsidRPr="000F2077" w14:paraId="4B1EE7B2" w14:textId="1717842A" w:rsidTr="006F32FD">
        <w:trPr>
          <w:trHeight w:val="2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496D" w14:textId="77777777" w:rsidR="006F32FD" w:rsidRPr="005616ED" w:rsidRDefault="006F32FD" w:rsidP="007B3A9D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5616ED">
              <w:rPr>
                <w:color w:val="221F1F"/>
                <w:sz w:val="20"/>
                <w:szCs w:val="20"/>
              </w:rPr>
              <w:t>EPS contribution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A621" w14:textId="4B87552D" w:rsidR="006F32FD" w:rsidRDefault="006F32FD" w:rsidP="007B3A9D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188,000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55D2D" w14:textId="77777777" w:rsidR="006F32FD" w:rsidRPr="00371DA0" w:rsidRDefault="006F32FD" w:rsidP="007B3A9D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 w:rsidRPr="00371D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funded from HNB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CF70F" w14:textId="5607CA09" w:rsidR="006F32FD" w:rsidRPr="00371DA0" w:rsidRDefault="006F32FD" w:rsidP="007B3A9D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 w:rsidRPr="00371DA0">
              <w:rPr>
                <w:rFonts w:ascii="Calibri" w:hAnsi="Calibri" w:cs="Calibri"/>
                <w:color w:val="000000"/>
                <w:sz w:val="22"/>
                <w:szCs w:val="22"/>
              </w:rPr>
              <w:t>funded from HNB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60AB5" w14:textId="77777777" w:rsidR="006F32FD" w:rsidRPr="00371DA0" w:rsidRDefault="006F32FD" w:rsidP="007B3A9D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7BCF" w:rsidRPr="000F2077" w14:paraId="4A5FE8AC" w14:textId="693BD9E5" w:rsidTr="00866E26">
        <w:trPr>
          <w:trHeight w:val="2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6B35" w14:textId="77777777" w:rsidR="00C77BCF" w:rsidRPr="005616ED" w:rsidRDefault="00C77BCF" w:rsidP="007B3A9D">
            <w:pPr>
              <w:spacing w:after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616ED">
              <w:rPr>
                <w:color w:val="221F1F"/>
                <w:sz w:val="20"/>
                <w:szCs w:val="20"/>
              </w:rPr>
              <w:t>Children in Public Care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BE65" w14:textId="21DB7E49" w:rsidR="00C77BCF" w:rsidRPr="00B33242" w:rsidRDefault="00C77BCF" w:rsidP="007B3A9D">
            <w:pPr>
              <w:spacing w:after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398,099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297F" w14:textId="0A3791AD" w:rsidR="00C77BCF" w:rsidRPr="00C07885" w:rsidRDefault="00C77BCF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 xml:space="preserve">370,000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1A9E8" w14:textId="10DC4755" w:rsidR="00C77BCF" w:rsidRPr="00371DA0" w:rsidRDefault="00C77BCF" w:rsidP="007B3A9D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370,000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3280B" w14:textId="040EE0B5" w:rsidR="00C77BCF" w:rsidRPr="00371DA0" w:rsidRDefault="00C77BCF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-</w:t>
            </w:r>
          </w:p>
        </w:tc>
      </w:tr>
      <w:tr w:rsidR="00C77BCF" w:rsidRPr="000F2077" w14:paraId="639C3A99" w14:textId="0EA9C809" w:rsidTr="00866E26">
        <w:trPr>
          <w:trHeight w:val="2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DB96" w14:textId="77777777" w:rsidR="00C77BCF" w:rsidRPr="005616ED" w:rsidRDefault="00C77BCF" w:rsidP="007B3A9D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616ED">
              <w:rPr>
                <w:color w:val="221F1F"/>
                <w:sz w:val="20"/>
                <w:szCs w:val="20"/>
              </w:rPr>
              <w:t>Clothing Grant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DFCE" w14:textId="7C886F50" w:rsidR="00C77BCF" w:rsidRPr="00B56373" w:rsidRDefault="00C77BCF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201,000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EBA1" w14:textId="363E2C55" w:rsidR="00C77BCF" w:rsidRPr="00C07885" w:rsidRDefault="00C77BCF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 xml:space="preserve">201,000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F5AD4" w14:textId="6DA9452B" w:rsidR="00C77BCF" w:rsidRPr="00371DA0" w:rsidRDefault="00C77BCF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371DA0">
              <w:rPr>
                <w:color w:val="221F1F"/>
                <w:sz w:val="22"/>
                <w:szCs w:val="22"/>
              </w:rPr>
              <w:t xml:space="preserve">201,000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BCC6D" w14:textId="49CF3853" w:rsidR="00C77BCF" w:rsidRPr="00371DA0" w:rsidRDefault="00C77BCF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-</w:t>
            </w:r>
          </w:p>
        </w:tc>
      </w:tr>
      <w:tr w:rsidR="00C77BCF" w:rsidRPr="000F2077" w14:paraId="71AA04AF" w14:textId="271CFB68" w:rsidTr="00866E26">
        <w:trPr>
          <w:trHeight w:val="2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F9A3" w14:textId="77777777" w:rsidR="00C77BCF" w:rsidRPr="005616ED" w:rsidRDefault="00C77BCF" w:rsidP="007B3A9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616ED">
              <w:rPr>
                <w:color w:val="221F1F"/>
                <w:sz w:val="20"/>
                <w:szCs w:val="20"/>
              </w:rPr>
              <w:t>In-Reach/Out-Reach Work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DE4C" w14:textId="19234421" w:rsidR="00C77BCF" w:rsidRDefault="00C77BCF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531,104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DBA7" w14:textId="01B92146" w:rsidR="00C77BCF" w:rsidRPr="00C07885" w:rsidRDefault="00C77BCF" w:rsidP="007B3A9D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 xml:space="preserve">116,932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091E6" w14:textId="7C2532FC" w:rsidR="00C77BCF" w:rsidRPr="007E1DB5" w:rsidRDefault="00C77BCF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7E1DB5">
              <w:rPr>
                <w:color w:val="221F1F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903D" w14:textId="3D789B40" w:rsidR="00C77BCF" w:rsidRPr="007E1DB5" w:rsidRDefault="00C77BCF" w:rsidP="007B3A9D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7E1DB5">
              <w:rPr>
                <w:color w:val="221F1F"/>
                <w:sz w:val="22"/>
                <w:szCs w:val="22"/>
              </w:rPr>
              <w:t>-100%</w:t>
            </w:r>
          </w:p>
        </w:tc>
      </w:tr>
      <w:tr w:rsidR="007E1DB5" w:rsidRPr="000F2077" w14:paraId="00EE554F" w14:textId="247D4FF5" w:rsidTr="007E1DB5">
        <w:trPr>
          <w:trHeight w:val="2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ABD1" w14:textId="77777777" w:rsidR="007E1DB5" w:rsidRPr="005616ED" w:rsidRDefault="007E1DB5" w:rsidP="007E1DB5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color w:val="221F1F"/>
                <w:sz w:val="20"/>
                <w:szCs w:val="20"/>
              </w:rPr>
              <w:t>Pri</w:t>
            </w:r>
            <w:proofErr w:type="spellEnd"/>
            <w:r>
              <w:rPr>
                <w:color w:val="221F1F"/>
                <w:sz w:val="20"/>
                <w:szCs w:val="20"/>
              </w:rPr>
              <w:t xml:space="preserve">. </w:t>
            </w:r>
            <w:r w:rsidRPr="00582208">
              <w:rPr>
                <w:color w:val="221F1F"/>
                <w:sz w:val="20"/>
                <w:szCs w:val="20"/>
              </w:rPr>
              <w:t>on-going severance costs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7A0C" w14:textId="04A3246D" w:rsidR="007E1DB5" w:rsidRPr="00B56373" w:rsidRDefault="007E1DB5" w:rsidP="007E1DB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409,343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AE16B" w14:textId="24845D6E" w:rsidR="007E1DB5" w:rsidRPr="00C07885" w:rsidRDefault="007E1DB5" w:rsidP="007E1DB5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 xml:space="preserve">313,624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B584" w14:textId="70C11EAE" w:rsidR="007E1DB5" w:rsidRPr="007E1DB5" w:rsidRDefault="007E1DB5" w:rsidP="007E1DB5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7E1DB5">
              <w:rPr>
                <w:color w:val="221F1F"/>
                <w:sz w:val="22"/>
                <w:szCs w:val="22"/>
              </w:rPr>
              <w:t>334,983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1292A" w14:textId="742748BE" w:rsidR="007E1DB5" w:rsidRPr="007E1DB5" w:rsidRDefault="007E1DB5" w:rsidP="007E1DB5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7</w:t>
            </w:r>
            <w:r w:rsidRPr="007E1DB5">
              <w:rPr>
                <w:color w:val="221F1F"/>
                <w:sz w:val="22"/>
                <w:szCs w:val="22"/>
              </w:rPr>
              <w:t>%</w:t>
            </w:r>
          </w:p>
        </w:tc>
      </w:tr>
      <w:tr w:rsidR="007E1DB5" w:rsidRPr="000F2077" w14:paraId="7BC2BD0C" w14:textId="18528674" w:rsidTr="007E1DB5">
        <w:trPr>
          <w:trHeight w:val="2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6EB2" w14:textId="77777777" w:rsidR="007E1DB5" w:rsidRPr="005616ED" w:rsidRDefault="007E1DB5" w:rsidP="007E1DB5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>Sec.</w:t>
            </w:r>
            <w:r w:rsidRPr="00582208">
              <w:rPr>
                <w:color w:val="221F1F"/>
                <w:sz w:val="20"/>
                <w:szCs w:val="20"/>
              </w:rPr>
              <w:t xml:space="preserve"> on-going severance costs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88F2" w14:textId="1A21B47C" w:rsidR="007E1DB5" w:rsidRPr="00B56373" w:rsidRDefault="007E1DB5" w:rsidP="007E1DB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287,769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C6888" w14:textId="1535C519" w:rsidR="007E1DB5" w:rsidRPr="00C07885" w:rsidRDefault="007E1DB5" w:rsidP="007E1DB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 xml:space="preserve">238,366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30138" w14:textId="41F58889" w:rsidR="007E1DB5" w:rsidRPr="007E1DB5" w:rsidRDefault="007E1DB5" w:rsidP="007E1DB5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7E1DB5">
              <w:rPr>
                <w:color w:val="221F1F"/>
                <w:sz w:val="22"/>
                <w:szCs w:val="22"/>
              </w:rPr>
              <w:t>254,599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CCE68" w14:textId="639CF441" w:rsidR="007E1DB5" w:rsidRPr="007E1DB5" w:rsidRDefault="007E1DB5" w:rsidP="007E1DB5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7</w:t>
            </w:r>
            <w:r w:rsidRPr="007E1DB5">
              <w:rPr>
                <w:color w:val="221F1F"/>
                <w:sz w:val="22"/>
                <w:szCs w:val="22"/>
              </w:rPr>
              <w:t>%</w:t>
            </w:r>
          </w:p>
        </w:tc>
      </w:tr>
      <w:tr w:rsidR="007E1DB5" w:rsidRPr="000F2077" w14:paraId="102FD6B1" w14:textId="42179AF6" w:rsidTr="007E1DB5">
        <w:trPr>
          <w:trHeight w:val="26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B715D" w14:textId="77777777" w:rsidR="007E1DB5" w:rsidRPr="007B3A9D" w:rsidRDefault="007E1DB5" w:rsidP="007E1DB5">
            <w:pPr>
              <w:spacing w:after="0"/>
              <w:rPr>
                <w:color w:val="221F1F"/>
                <w:sz w:val="22"/>
                <w:szCs w:val="22"/>
              </w:rPr>
            </w:pPr>
            <w:proofErr w:type="spellStart"/>
            <w:r w:rsidRPr="007B3A9D">
              <w:rPr>
                <w:color w:val="221F1F"/>
                <w:sz w:val="20"/>
                <w:szCs w:val="20"/>
              </w:rPr>
              <w:t>Spcl</w:t>
            </w:r>
            <w:proofErr w:type="spellEnd"/>
            <w:r w:rsidRPr="007B3A9D">
              <w:rPr>
                <w:color w:val="221F1F"/>
                <w:sz w:val="20"/>
                <w:szCs w:val="20"/>
              </w:rPr>
              <w:t>. on-going severance costs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EE4E" w14:textId="52F61E00" w:rsidR="007E1DB5" w:rsidRPr="007B3A9D" w:rsidRDefault="007E1DB5" w:rsidP="007E1DB5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>51,691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E102" w14:textId="46E9B8CC" w:rsidR="007E1DB5" w:rsidRPr="007B3A9D" w:rsidRDefault="007E1DB5" w:rsidP="007E1DB5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C07885">
              <w:rPr>
                <w:color w:val="221F1F"/>
                <w:sz w:val="22"/>
                <w:szCs w:val="22"/>
              </w:rPr>
              <w:t>76,165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6C5D3" w14:textId="6EB27BAF" w:rsidR="007E1DB5" w:rsidRPr="007E1DB5" w:rsidRDefault="007E1DB5" w:rsidP="007E1DB5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7E1DB5">
              <w:rPr>
                <w:color w:val="221F1F"/>
                <w:sz w:val="22"/>
                <w:szCs w:val="22"/>
              </w:rPr>
              <w:t>51,691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99C6" w14:textId="34C20BD0" w:rsidR="007E1DB5" w:rsidRPr="007E1DB5" w:rsidRDefault="007E1DB5" w:rsidP="007E1DB5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7E1DB5">
              <w:rPr>
                <w:color w:val="221F1F"/>
                <w:sz w:val="22"/>
                <w:szCs w:val="22"/>
              </w:rPr>
              <w:t>-3</w:t>
            </w:r>
            <w:r>
              <w:rPr>
                <w:color w:val="221F1F"/>
                <w:sz w:val="22"/>
                <w:szCs w:val="22"/>
              </w:rPr>
              <w:t>2</w:t>
            </w:r>
            <w:r w:rsidRPr="007E1DB5">
              <w:rPr>
                <w:color w:val="221F1F"/>
                <w:sz w:val="22"/>
                <w:szCs w:val="22"/>
              </w:rPr>
              <w:t>%</w:t>
            </w:r>
          </w:p>
        </w:tc>
      </w:tr>
      <w:tr w:rsidR="007E1DB5" w:rsidRPr="000F2077" w14:paraId="0DDF9B26" w14:textId="3EC867DE" w:rsidTr="007E1DB5">
        <w:trPr>
          <w:trHeight w:val="47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1022" w14:textId="77777777" w:rsidR="007E1DB5" w:rsidRDefault="007E1DB5" w:rsidP="007E1DB5">
            <w:pPr>
              <w:spacing w:after="0"/>
              <w:rPr>
                <w:color w:val="221F1F"/>
                <w:sz w:val="22"/>
                <w:szCs w:val="22"/>
              </w:rPr>
            </w:pPr>
            <w:r>
              <w:rPr>
                <w:b/>
                <w:bCs/>
                <w:color w:val="221F1F"/>
                <w:sz w:val="22"/>
                <w:szCs w:val="22"/>
              </w:rPr>
              <w:t>Total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Historic commitments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A06F" w14:textId="10EB66D0" w:rsidR="007E1DB5" w:rsidRDefault="007E1DB5" w:rsidP="007E1DB5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>
              <w:rPr>
                <w:b/>
                <w:bCs/>
                <w:color w:val="221F1F"/>
                <w:sz w:val="22"/>
                <w:szCs w:val="22"/>
              </w:rPr>
              <w:t xml:space="preserve">2,067,007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ADBC" w14:textId="5E738613" w:rsidR="007E1DB5" w:rsidRPr="00C07885" w:rsidRDefault="007E1DB5" w:rsidP="007E1DB5">
            <w:pPr>
              <w:spacing w:after="0"/>
              <w:jc w:val="center"/>
              <w:rPr>
                <w:color w:val="221F1F"/>
                <w:sz w:val="22"/>
                <w:szCs w:val="22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 xml:space="preserve">1,316,087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BDAA3" w14:textId="3A1202AC" w:rsidR="007E1DB5" w:rsidRPr="007E1DB5" w:rsidRDefault="007E1DB5" w:rsidP="007E1DB5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 w:rsidRPr="007E1DB5">
              <w:rPr>
                <w:b/>
                <w:bCs/>
                <w:color w:val="221F1F"/>
                <w:sz w:val="22"/>
                <w:szCs w:val="22"/>
              </w:rPr>
              <w:t>1,212,274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77F5" w14:textId="1234B9B8" w:rsidR="007E1DB5" w:rsidRPr="00371DA0" w:rsidRDefault="007E1DB5" w:rsidP="007E1DB5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>
              <w:rPr>
                <w:b/>
                <w:bCs/>
                <w:color w:val="221F1F"/>
                <w:sz w:val="22"/>
                <w:szCs w:val="22"/>
              </w:rPr>
              <w:t>-8%</w:t>
            </w:r>
          </w:p>
        </w:tc>
      </w:tr>
      <w:tr w:rsidR="00C77BCF" w:rsidRPr="005616ED" w14:paraId="62ABE822" w14:textId="22384399" w:rsidTr="007B3A9D">
        <w:trPr>
          <w:trHeight w:val="47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C510" w14:textId="77777777" w:rsidR="00C77BCF" w:rsidRPr="005616ED" w:rsidRDefault="00C77BCF" w:rsidP="007B3A9D">
            <w:pPr>
              <w:spacing w:after="0"/>
              <w:rPr>
                <w:b/>
                <w:bCs/>
                <w:color w:val="221F1F"/>
                <w:sz w:val="22"/>
                <w:szCs w:val="22"/>
              </w:rPr>
            </w:pPr>
            <w:r w:rsidRPr="005616ED">
              <w:rPr>
                <w:b/>
                <w:bCs/>
                <w:color w:val="221F1F"/>
                <w:sz w:val="22"/>
                <w:szCs w:val="22"/>
              </w:rPr>
              <w:t>Total CSSB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E2DC" w14:textId="31D40039" w:rsidR="00C77BCF" w:rsidRPr="005616ED" w:rsidRDefault="00C77BCF" w:rsidP="007B3A9D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 w:rsidRPr="005616ED">
              <w:rPr>
                <w:b/>
                <w:bCs/>
                <w:color w:val="221F1F"/>
                <w:sz w:val="22"/>
                <w:szCs w:val="22"/>
              </w:rPr>
              <w:t xml:space="preserve">3,739,250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E8EA" w14:textId="2D194933" w:rsidR="00C77BCF" w:rsidRPr="00C07885" w:rsidRDefault="00C77BCF" w:rsidP="007B3A9D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 w:rsidRPr="00C07885">
              <w:rPr>
                <w:b/>
                <w:bCs/>
                <w:color w:val="221F1F"/>
                <w:sz w:val="22"/>
                <w:szCs w:val="22"/>
              </w:rPr>
              <w:t xml:space="preserve">3,157,278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2E6E" w14:textId="685D374A" w:rsidR="00C77BCF" w:rsidRPr="00371DA0" w:rsidRDefault="00C77BCF" w:rsidP="007B3A9D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 w:rsidRPr="00371DA0">
              <w:rPr>
                <w:b/>
                <w:bCs/>
                <w:color w:val="221F1F"/>
                <w:sz w:val="22"/>
                <w:szCs w:val="22"/>
              </w:rPr>
              <w:t>2,9</w:t>
            </w:r>
            <w:r w:rsidR="007E1DB5">
              <w:rPr>
                <w:b/>
                <w:bCs/>
                <w:color w:val="221F1F"/>
                <w:sz w:val="22"/>
                <w:szCs w:val="22"/>
              </w:rPr>
              <w:t>06</w:t>
            </w:r>
            <w:r w:rsidRPr="00371DA0">
              <w:rPr>
                <w:b/>
                <w:bCs/>
                <w:color w:val="221F1F"/>
                <w:sz w:val="22"/>
                <w:szCs w:val="22"/>
              </w:rPr>
              <w:t>,</w:t>
            </w:r>
            <w:r w:rsidR="007E1DB5">
              <w:rPr>
                <w:b/>
                <w:bCs/>
                <w:color w:val="221F1F"/>
                <w:sz w:val="22"/>
                <w:szCs w:val="22"/>
              </w:rPr>
              <w:t>445</w:t>
            </w:r>
            <w:r w:rsidRPr="00371DA0">
              <w:rPr>
                <w:b/>
                <w:bCs/>
                <w:color w:val="221F1F"/>
                <w:sz w:val="22"/>
                <w:szCs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FC67" w14:textId="682D7DE9" w:rsidR="00C77BCF" w:rsidRPr="00371DA0" w:rsidRDefault="00C77BCF" w:rsidP="007B3A9D">
            <w:pPr>
              <w:spacing w:after="0"/>
              <w:jc w:val="center"/>
              <w:rPr>
                <w:b/>
                <w:bCs/>
                <w:color w:val="221F1F"/>
                <w:sz w:val="22"/>
                <w:szCs w:val="22"/>
              </w:rPr>
            </w:pPr>
            <w:r>
              <w:rPr>
                <w:b/>
                <w:bCs/>
                <w:color w:val="221F1F"/>
                <w:sz w:val="22"/>
                <w:szCs w:val="22"/>
              </w:rPr>
              <w:t>-</w:t>
            </w:r>
            <w:r w:rsidR="007E1DB5">
              <w:rPr>
                <w:b/>
                <w:bCs/>
                <w:color w:val="221F1F"/>
                <w:sz w:val="22"/>
                <w:szCs w:val="22"/>
              </w:rPr>
              <w:t>8</w:t>
            </w:r>
            <w:r>
              <w:rPr>
                <w:b/>
                <w:bCs/>
                <w:color w:val="221F1F"/>
                <w:sz w:val="22"/>
                <w:szCs w:val="22"/>
              </w:rPr>
              <w:t>%</w:t>
            </w:r>
          </w:p>
        </w:tc>
      </w:tr>
    </w:tbl>
    <w:p w14:paraId="366BB419" w14:textId="77777777" w:rsidR="00E57759" w:rsidRDefault="00E57759" w:rsidP="00FB4819">
      <w:pPr>
        <w:pStyle w:val="ListParagraph"/>
        <w:ind w:left="567"/>
        <w:jc w:val="both"/>
      </w:pPr>
    </w:p>
    <w:sectPr w:rsidR="00E57759" w:rsidSect="00C57DF5">
      <w:headerReference w:type="first" r:id="rId13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BB59" w14:textId="77777777" w:rsidR="00920BDA" w:rsidRDefault="00920BDA" w:rsidP="00101F8B">
      <w:r>
        <w:separator/>
      </w:r>
    </w:p>
    <w:p w14:paraId="48DD1222" w14:textId="77777777" w:rsidR="00920BDA" w:rsidRDefault="00920BDA" w:rsidP="00101F8B"/>
    <w:p w14:paraId="640D8328" w14:textId="77777777" w:rsidR="00920BDA" w:rsidRDefault="00920BDA" w:rsidP="00101F8B"/>
    <w:p w14:paraId="756D8971" w14:textId="77777777" w:rsidR="00920BDA" w:rsidRDefault="00920BDA" w:rsidP="00101F8B"/>
    <w:p w14:paraId="063EB42F" w14:textId="77777777" w:rsidR="00920BDA" w:rsidRDefault="00920BDA" w:rsidP="00101F8B"/>
    <w:p w14:paraId="2E931391" w14:textId="77777777" w:rsidR="00920BDA" w:rsidRDefault="00920BDA" w:rsidP="00101F8B"/>
  </w:endnote>
  <w:endnote w:type="continuationSeparator" w:id="0">
    <w:p w14:paraId="690D0C72" w14:textId="77777777" w:rsidR="00920BDA" w:rsidRDefault="00920BDA" w:rsidP="00101F8B">
      <w:r>
        <w:continuationSeparator/>
      </w:r>
    </w:p>
    <w:p w14:paraId="34A367CD" w14:textId="77777777" w:rsidR="00920BDA" w:rsidRDefault="00920BDA" w:rsidP="00101F8B"/>
    <w:p w14:paraId="7BD1FD02" w14:textId="77777777" w:rsidR="00920BDA" w:rsidRDefault="00920BDA" w:rsidP="00101F8B"/>
    <w:p w14:paraId="41E43840" w14:textId="77777777" w:rsidR="00920BDA" w:rsidRDefault="00920BDA" w:rsidP="00101F8B"/>
    <w:p w14:paraId="6B4ED945" w14:textId="77777777" w:rsidR="00920BDA" w:rsidRDefault="00920BDA" w:rsidP="00101F8B"/>
    <w:p w14:paraId="4AF22D18" w14:textId="77777777" w:rsidR="00920BDA" w:rsidRDefault="00920BDA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F336" w14:textId="77777777" w:rsidR="00920BDA" w:rsidRDefault="00920BDA" w:rsidP="00101F8B">
      <w:r>
        <w:separator/>
      </w:r>
    </w:p>
    <w:p w14:paraId="6FDE4378" w14:textId="77777777" w:rsidR="00920BDA" w:rsidRDefault="00920BDA" w:rsidP="00101F8B"/>
    <w:p w14:paraId="3CCF3F2A" w14:textId="77777777" w:rsidR="00920BDA" w:rsidRDefault="00920BDA" w:rsidP="00101F8B"/>
    <w:p w14:paraId="75B70FBD" w14:textId="77777777" w:rsidR="00920BDA" w:rsidRDefault="00920BDA" w:rsidP="00101F8B"/>
    <w:p w14:paraId="0AE3AB91" w14:textId="77777777" w:rsidR="00920BDA" w:rsidRDefault="00920BDA" w:rsidP="00101F8B"/>
    <w:p w14:paraId="5B398E59" w14:textId="77777777" w:rsidR="00920BDA" w:rsidRDefault="00920BDA" w:rsidP="00101F8B"/>
  </w:footnote>
  <w:footnote w:type="continuationSeparator" w:id="0">
    <w:p w14:paraId="6AB9C9BE" w14:textId="77777777" w:rsidR="00920BDA" w:rsidRDefault="00920BDA" w:rsidP="00101F8B">
      <w:r>
        <w:continuationSeparator/>
      </w:r>
    </w:p>
    <w:p w14:paraId="747D789A" w14:textId="77777777" w:rsidR="00920BDA" w:rsidRDefault="00920BDA" w:rsidP="00101F8B"/>
    <w:p w14:paraId="0C88B272" w14:textId="77777777" w:rsidR="00920BDA" w:rsidRDefault="00920BDA" w:rsidP="00101F8B"/>
    <w:p w14:paraId="733274AF" w14:textId="77777777" w:rsidR="00920BDA" w:rsidRDefault="00920BDA" w:rsidP="00101F8B"/>
    <w:p w14:paraId="71B36365" w14:textId="77777777" w:rsidR="00920BDA" w:rsidRDefault="00920BDA" w:rsidP="00101F8B"/>
    <w:p w14:paraId="09F9036B" w14:textId="77777777" w:rsidR="00920BDA" w:rsidRDefault="00920BDA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9089" w14:textId="4FE65EB4" w:rsidR="00DC0596" w:rsidRDefault="00DC0596" w:rsidP="00101F8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959EBB" wp14:editId="49EF8BC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1335"/>
          <wp:effectExtent l="0" t="0" r="9525" b="571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DE95" w14:textId="77777777" w:rsidR="00DC0596" w:rsidRDefault="00DC0596" w:rsidP="00101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9EB"/>
    <w:multiLevelType w:val="hybridMultilevel"/>
    <w:tmpl w:val="C3C0388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F084A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96B89"/>
    <w:multiLevelType w:val="hybridMultilevel"/>
    <w:tmpl w:val="6A326B74"/>
    <w:lvl w:ilvl="0" w:tplc="AFE6970E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54C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D76F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825DE4"/>
    <w:multiLevelType w:val="multilevel"/>
    <w:tmpl w:val="6D80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991B0B"/>
    <w:multiLevelType w:val="hybridMultilevel"/>
    <w:tmpl w:val="37A40070"/>
    <w:lvl w:ilvl="0" w:tplc="2E40A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ED8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8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4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0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4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B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0B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D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8" w15:restartNumberingAfterBreak="0">
    <w:nsid w:val="7F053BA7"/>
    <w:multiLevelType w:val="hybridMultilevel"/>
    <w:tmpl w:val="8E0E268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729034499">
    <w:abstractNumId w:val="7"/>
  </w:num>
  <w:num w:numId="2" w16cid:durableId="1085416488">
    <w:abstractNumId w:val="1"/>
  </w:num>
  <w:num w:numId="3" w16cid:durableId="437601456">
    <w:abstractNumId w:val="6"/>
  </w:num>
  <w:num w:numId="4" w16cid:durableId="1147864144">
    <w:abstractNumId w:val="3"/>
  </w:num>
  <w:num w:numId="5" w16cid:durableId="228931103">
    <w:abstractNumId w:val="5"/>
  </w:num>
  <w:num w:numId="6" w16cid:durableId="517277591">
    <w:abstractNumId w:val="0"/>
  </w:num>
  <w:num w:numId="7" w16cid:durableId="2018382021">
    <w:abstractNumId w:val="4"/>
  </w:num>
  <w:num w:numId="8" w16cid:durableId="751241525">
    <w:abstractNumId w:val="2"/>
  </w:num>
  <w:num w:numId="9" w16cid:durableId="1714117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20786"/>
    <w:rsid w:val="000358F3"/>
    <w:rsid w:val="00043B69"/>
    <w:rsid w:val="000461EB"/>
    <w:rsid w:val="00061321"/>
    <w:rsid w:val="00070438"/>
    <w:rsid w:val="00080CA2"/>
    <w:rsid w:val="00097F8B"/>
    <w:rsid w:val="000A6D45"/>
    <w:rsid w:val="000C624B"/>
    <w:rsid w:val="00101F8B"/>
    <w:rsid w:val="00114878"/>
    <w:rsid w:val="001218FC"/>
    <w:rsid w:val="001357FA"/>
    <w:rsid w:val="001702A6"/>
    <w:rsid w:val="00173D7C"/>
    <w:rsid w:val="001A1D05"/>
    <w:rsid w:val="001A610F"/>
    <w:rsid w:val="001C4B05"/>
    <w:rsid w:val="001D65D6"/>
    <w:rsid w:val="001E0A89"/>
    <w:rsid w:val="00260028"/>
    <w:rsid w:val="00284556"/>
    <w:rsid w:val="00297396"/>
    <w:rsid w:val="002E5D1E"/>
    <w:rsid w:val="002F4BBA"/>
    <w:rsid w:val="0035404E"/>
    <w:rsid w:val="00393CC3"/>
    <w:rsid w:val="00400E83"/>
    <w:rsid w:val="00405F87"/>
    <w:rsid w:val="004369A3"/>
    <w:rsid w:val="004A383F"/>
    <w:rsid w:val="004C2A70"/>
    <w:rsid w:val="004E3571"/>
    <w:rsid w:val="00534043"/>
    <w:rsid w:val="00554054"/>
    <w:rsid w:val="0056439C"/>
    <w:rsid w:val="005750DF"/>
    <w:rsid w:val="00590437"/>
    <w:rsid w:val="00591BD2"/>
    <w:rsid w:val="005B33BF"/>
    <w:rsid w:val="005B66E8"/>
    <w:rsid w:val="005C70B8"/>
    <w:rsid w:val="005D512C"/>
    <w:rsid w:val="005E57A5"/>
    <w:rsid w:val="005F24B4"/>
    <w:rsid w:val="005F5665"/>
    <w:rsid w:val="006449E3"/>
    <w:rsid w:val="006A1108"/>
    <w:rsid w:val="006A6700"/>
    <w:rsid w:val="006F32FD"/>
    <w:rsid w:val="00706DDF"/>
    <w:rsid w:val="00710735"/>
    <w:rsid w:val="007541A8"/>
    <w:rsid w:val="00774185"/>
    <w:rsid w:val="007A7837"/>
    <w:rsid w:val="007B3A9D"/>
    <w:rsid w:val="007B40D8"/>
    <w:rsid w:val="007C2AD8"/>
    <w:rsid w:val="007C4F08"/>
    <w:rsid w:val="007D14A6"/>
    <w:rsid w:val="007D7EAD"/>
    <w:rsid w:val="007E17B4"/>
    <w:rsid w:val="007E1DB5"/>
    <w:rsid w:val="008158A3"/>
    <w:rsid w:val="00833E72"/>
    <w:rsid w:val="00860FA8"/>
    <w:rsid w:val="00862D9C"/>
    <w:rsid w:val="00866E26"/>
    <w:rsid w:val="00880FFC"/>
    <w:rsid w:val="00882E8C"/>
    <w:rsid w:val="008B22EF"/>
    <w:rsid w:val="008B70E7"/>
    <w:rsid w:val="008E6A00"/>
    <w:rsid w:val="00911FE9"/>
    <w:rsid w:val="009126DF"/>
    <w:rsid w:val="00920BDA"/>
    <w:rsid w:val="00993A92"/>
    <w:rsid w:val="009B7A7E"/>
    <w:rsid w:val="009C5F90"/>
    <w:rsid w:val="009D4245"/>
    <w:rsid w:val="009E0C03"/>
    <w:rsid w:val="00A42A0F"/>
    <w:rsid w:val="00A76FF5"/>
    <w:rsid w:val="00AA0001"/>
    <w:rsid w:val="00AA189C"/>
    <w:rsid w:val="00AA79F3"/>
    <w:rsid w:val="00AC4CA6"/>
    <w:rsid w:val="00AC75ED"/>
    <w:rsid w:val="00AD2661"/>
    <w:rsid w:val="00B07D2D"/>
    <w:rsid w:val="00B1304B"/>
    <w:rsid w:val="00B35780"/>
    <w:rsid w:val="00B76EFE"/>
    <w:rsid w:val="00BA63ED"/>
    <w:rsid w:val="00BC54B3"/>
    <w:rsid w:val="00BD478B"/>
    <w:rsid w:val="00BE2626"/>
    <w:rsid w:val="00BE6FB3"/>
    <w:rsid w:val="00BF0E43"/>
    <w:rsid w:val="00C162AA"/>
    <w:rsid w:val="00C25800"/>
    <w:rsid w:val="00C47839"/>
    <w:rsid w:val="00C57DF5"/>
    <w:rsid w:val="00C77BCF"/>
    <w:rsid w:val="00C95F0C"/>
    <w:rsid w:val="00C967EF"/>
    <w:rsid w:val="00C96D96"/>
    <w:rsid w:val="00CA579B"/>
    <w:rsid w:val="00CC1D78"/>
    <w:rsid w:val="00CC4CE1"/>
    <w:rsid w:val="00CC64C3"/>
    <w:rsid w:val="00CC7966"/>
    <w:rsid w:val="00D25A65"/>
    <w:rsid w:val="00D30C23"/>
    <w:rsid w:val="00D40DE5"/>
    <w:rsid w:val="00D45506"/>
    <w:rsid w:val="00D82CA3"/>
    <w:rsid w:val="00DC0596"/>
    <w:rsid w:val="00DC5F80"/>
    <w:rsid w:val="00DD4093"/>
    <w:rsid w:val="00E028F3"/>
    <w:rsid w:val="00E056E4"/>
    <w:rsid w:val="00E216A5"/>
    <w:rsid w:val="00E242D4"/>
    <w:rsid w:val="00E42FAF"/>
    <w:rsid w:val="00E57759"/>
    <w:rsid w:val="00E93171"/>
    <w:rsid w:val="00EB6CAC"/>
    <w:rsid w:val="00EC0FFA"/>
    <w:rsid w:val="00EC546E"/>
    <w:rsid w:val="00F17A44"/>
    <w:rsid w:val="00F27FAC"/>
    <w:rsid w:val="00F5083F"/>
    <w:rsid w:val="00F70DB4"/>
    <w:rsid w:val="00F86322"/>
    <w:rsid w:val="00F935EB"/>
    <w:rsid w:val="00FB4819"/>
    <w:rsid w:val="00FC421E"/>
    <w:rsid w:val="00FE2563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710735"/>
    <w:pPr>
      <w:spacing w:after="0"/>
      <w:ind w:left="720"/>
      <w:contextualSpacing/>
    </w:pPr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60F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F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E0A89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B35780"/>
    <w:pPr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  <w:docPart>
      <w:docPartPr>
        <w:name w:val="E2D47577E792421EAFB0E55A48BC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F888-0040-4C97-97AE-2BF7432D7707}"/>
      </w:docPartPr>
      <w:docPartBody>
        <w:p w:rsidR="00CA530B" w:rsidRDefault="00434FA4" w:rsidP="00434FA4">
          <w:pPr>
            <w:pStyle w:val="E2D47577E792421EAFB0E55A48BCB92F"/>
          </w:pPr>
          <w:r w:rsidRPr="005C5489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2F3930"/>
    <w:rsid w:val="003873F8"/>
    <w:rsid w:val="00417A06"/>
    <w:rsid w:val="00434FA4"/>
    <w:rsid w:val="0055015F"/>
    <w:rsid w:val="0069790C"/>
    <w:rsid w:val="00CA530B"/>
    <w:rsid w:val="00D1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FA4"/>
    <w:rPr>
      <w:color w:val="808080"/>
    </w:rPr>
  </w:style>
  <w:style w:type="paragraph" w:customStyle="1" w:styleId="F93A0AF8D98D43EBA26FD45CB20064F5">
    <w:name w:val="F93A0AF8D98D43EBA26FD45CB20064F5"/>
    <w:rsid w:val="00417A06"/>
  </w:style>
  <w:style w:type="paragraph" w:customStyle="1" w:styleId="DC23A012A93046959A2B51BF45500DE3">
    <w:name w:val="DC23A012A93046959A2B51BF45500DE3"/>
    <w:rsid w:val="00417A06"/>
  </w:style>
  <w:style w:type="paragraph" w:customStyle="1" w:styleId="E2D47577E792421EAFB0E55A48BCB92F">
    <w:name w:val="E2D47577E792421EAFB0E55A48BCB92F"/>
    <w:rsid w:val="00434F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27" ma:contentTypeDescription="Create a new document." ma:contentTypeScope="" ma:versionID="4c3f3537e68ad7ee1e86c472f698cf1f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e930d8b8389c0971ce3580f3ec9d3170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" minOccurs="0"/>
                <xsd:element ref="ns2:eaa51672-e18c-4904-822f-49e1c3d33f7cCountryOrRegion" minOccurs="0"/>
                <xsd:element ref="ns2:eaa51672-e18c-4904-822f-49e1c3d33f7cState" minOccurs="0"/>
                <xsd:element ref="ns2:eaa51672-e18c-4904-822f-49e1c3d33f7cCity" minOccurs="0"/>
                <xsd:element ref="ns2:eaa51672-e18c-4904-822f-49e1c3d33f7cPostalCode" minOccurs="0"/>
                <xsd:element ref="ns2:eaa51672-e18c-4904-822f-49e1c3d33f7cStreet" minOccurs="0"/>
                <xsd:element ref="ns2:eaa51672-e18c-4904-822f-49e1c3d33f7cGeoLoc" minOccurs="0"/>
                <xsd:element ref="ns2:eaa51672-e18c-4904-822f-49e1c3d33f7cDispName" minOccurs="0"/>
                <xsd:element ref="ns2:_Flow_SignoffStatu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" ma:index="24" nillable="true" ma:displayName="L" ma:format="Dropdown" ma:internalName="L">
      <xsd:simpleType>
        <xsd:restriction base="dms:Unknown"/>
      </xsd:simpleType>
    </xsd:element>
    <xsd:element name="eaa51672-e18c-4904-822f-49e1c3d33f7cCountryOrRegion" ma:index="25" nillable="true" ma:displayName="L: Country/Region" ma:internalName="CountryOrRegion" ma:readOnly="true">
      <xsd:simpleType>
        <xsd:restriction base="dms:Text"/>
      </xsd:simpleType>
    </xsd:element>
    <xsd:element name="eaa51672-e18c-4904-822f-49e1c3d33f7cState" ma:index="26" nillable="true" ma:displayName="L: State" ma:internalName="State" ma:readOnly="true">
      <xsd:simpleType>
        <xsd:restriction base="dms:Text"/>
      </xsd:simpleType>
    </xsd:element>
    <xsd:element name="eaa51672-e18c-4904-822f-49e1c3d33f7cCity" ma:index="27" nillable="true" ma:displayName="L: City" ma:internalName="City" ma:readOnly="true">
      <xsd:simpleType>
        <xsd:restriction base="dms:Text"/>
      </xsd:simpleType>
    </xsd:element>
    <xsd:element name="eaa51672-e18c-4904-822f-49e1c3d33f7cPostalCode" ma:index="28" nillable="true" ma:displayName="L: Postal Code" ma:internalName="PostalCode" ma:readOnly="true">
      <xsd:simpleType>
        <xsd:restriction base="dms:Text"/>
      </xsd:simpleType>
    </xsd:element>
    <xsd:element name="eaa51672-e18c-4904-822f-49e1c3d33f7cStreet" ma:index="29" nillable="true" ma:displayName="L: Street" ma:internalName="Street" ma:readOnly="true">
      <xsd:simpleType>
        <xsd:restriction base="dms:Text"/>
      </xsd:simpleType>
    </xsd:element>
    <xsd:element name="eaa51672-e18c-4904-822f-49e1c3d33f7cGeoLoc" ma:index="30" nillable="true" ma:displayName="L: Coordinates" ma:internalName="GeoLoc" ma:readOnly="true">
      <xsd:simpleType>
        <xsd:restriction base="dms:Unknown"/>
      </xsd:simpleType>
    </xsd:element>
    <xsd:element name="eaa51672-e18c-4904-822f-49e1c3d33f7cDispName" ma:index="31" nillable="true" ma:displayName="L: Name" ma:internalName="DispName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3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ec781b-51b2-41f5-8977-d833afa0cdb5" xsi:nil="true"/>
    <Date xmlns="deec781b-51b2-41f5-8977-d833afa0cdb5" xsi:nil="true"/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  <L xmlns="deec781b-51b2-41f5-8977-d833afa0cdb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B2718B-8237-4547-B3A0-40513FA9F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1BC75A-595D-4D64-B014-5BA4FE25A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35BB0-DC53-48EC-828C-DC21853A3766}">
  <ds:schemaRefs>
    <ds:schemaRef ds:uri="http://schemas.microsoft.com/office/2006/metadata/properties"/>
    <ds:schemaRef ds:uri="http://schemas.microsoft.com/office/infopath/2007/PartnerControls"/>
    <ds:schemaRef ds:uri="deec781b-51b2-41f5-8977-d833afa0cdb5"/>
    <ds:schemaRef ds:uri="30d79745-92fc-4b4e-a213-f975f2a6d945"/>
  </ds:schemaRefs>
</ds:datastoreItem>
</file>

<file path=customXml/itemProps5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4299</Characters>
  <Application>Microsoft Office Word</Application>
  <DocSecurity>0</DocSecurity>
  <Lines>252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Forum Report</vt:lpstr>
    </vt:vector>
  </TitlesOfParts>
  <Company>Tower Hamlets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CSSB report</dc:title>
  <dc:subject>
  </dc:subject>
  <dc:creator>Sara Walsingham</dc:creator>
  <cp:keywords>
  </cp:keywords>
  <dc:description>
  </dc:description>
  <cp:lastModifiedBy>Phillip Nduoyo</cp:lastModifiedBy>
  <cp:revision>4</cp:revision>
  <dcterms:created xsi:type="dcterms:W3CDTF">2024-01-09T11:26:00Z</dcterms:created>
  <dcterms:modified xsi:type="dcterms:W3CDTF">2024-01-23T13:44:00Z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MediaServiceImageTags">
    <vt:lpwstr/>
  </property>
  <property fmtid="{D5CDD505-2E9C-101B-9397-08002B2CF9AE}" pid="4" name="GrammarlyDocumentId">
    <vt:lpwstr>796cc25b380720ac522ba8d87bbb7293c534c60173bcb6dd2bee2eabd3f83f39</vt:lpwstr>
  </property>
</Properties>
</file>