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12676D68"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1562D5">
            <w:t>Schools Forum Report</w:t>
          </w:r>
        </w:sdtContent>
      </w:sdt>
    </w:p>
    <w:p w14:paraId="585C3F42" w14:textId="6613EF8C" w:rsidR="006449E3" w:rsidRPr="00BE6FB3" w:rsidRDefault="006449E3" w:rsidP="006449E3">
      <w:pPr>
        <w:pStyle w:val="Subtitle"/>
        <w:rPr>
          <w:szCs w:val="28"/>
        </w:rPr>
      </w:pPr>
      <w:r w:rsidRPr="00BE6FB3">
        <w:rPr>
          <w:szCs w:val="28"/>
        </w:rPr>
        <w:t>S</w:t>
      </w:r>
      <w:r>
        <w:rPr>
          <w:szCs w:val="28"/>
        </w:rPr>
        <w:t>chools B</w:t>
      </w:r>
      <w:r w:rsidR="00061321">
        <w:rPr>
          <w:szCs w:val="28"/>
        </w:rPr>
        <w:t>l</w:t>
      </w:r>
      <w:r>
        <w:rPr>
          <w:szCs w:val="28"/>
        </w:rPr>
        <w:t xml:space="preserve">ock </w:t>
      </w:r>
      <w:r>
        <w:rPr>
          <w:sz w:val="32"/>
          <w:szCs w:val="32"/>
        </w:rPr>
        <w:t xml:space="preserve">De-Delegation proposals </w:t>
      </w:r>
      <w:r>
        <w:rPr>
          <w:szCs w:val="28"/>
        </w:rPr>
        <w:t>2024-25</w:t>
      </w:r>
      <w:r w:rsidR="009F6F61">
        <w:rPr>
          <w:szCs w:val="28"/>
        </w:rPr>
        <w:t xml:space="preserve"> (Version 2)</w:t>
      </w:r>
    </w:p>
    <w:p w14:paraId="65F39F2A" w14:textId="3DA0DEBE" w:rsidR="006449E3" w:rsidRPr="00070438" w:rsidRDefault="00BB3EE4" w:rsidP="006449E3">
      <w:r>
        <w:t>(deferred from December)</w:t>
      </w:r>
    </w:p>
    <w:sdt>
      <w:sdtPr>
        <w:alias w:val="Publish Date"/>
        <w:tag w:val=""/>
        <w:id w:val="1260947853"/>
        <w:placeholder>
          <w:docPart w:val="E2D47577E792421EAFB0E55A48BCB92F"/>
        </w:placeholder>
        <w:dataBinding w:prefixMappings="xmlns:ns0='http://schemas.microsoft.com/office/2006/coverPageProps' " w:xpath="/ns0:CoverPageProperties[1]/ns0:PublishDate[1]" w:storeItemID="{55AF091B-3C7A-41E3-B477-F2FDAA23CFDA}"/>
        <w:date w:fullDate="2024-01-17T00:00:00Z">
          <w:dateFormat w:val="dd/MM/yyyy"/>
          <w:lid w:val="en-GB"/>
          <w:storeMappedDataAs w:val="dateTime"/>
          <w:calendar w:val="gregorian"/>
        </w:date>
      </w:sdtPr>
      <w:sdtContent>
        <w:p w14:paraId="4E2E0671" w14:textId="6201A571" w:rsidR="006449E3" w:rsidRPr="00CC4CE1" w:rsidRDefault="007541A8" w:rsidP="006449E3">
          <w:r>
            <w:t>1</w:t>
          </w:r>
          <w:r w:rsidR="00BB3EE4">
            <w:t>7</w:t>
          </w:r>
          <w:r>
            <w:t>/01/2024</w:t>
          </w:r>
        </w:p>
      </w:sdtContent>
    </w:sdt>
    <w:p w14:paraId="56BA0460" w14:textId="77777777" w:rsidR="006449E3" w:rsidRDefault="006449E3" w:rsidP="006449E3"/>
    <w:p w14:paraId="3946C339" w14:textId="77777777" w:rsidR="006449E3" w:rsidRDefault="006449E3" w:rsidP="006449E3"/>
    <w:p w14:paraId="6ABC2E35" w14:textId="77777777" w:rsidR="006449E3" w:rsidRPr="00437FB4" w:rsidRDefault="006449E3" w:rsidP="006449E3">
      <w:pPr>
        <w:pStyle w:val="ListParagraph"/>
        <w:rPr>
          <w:rFonts w:cs="Arial"/>
          <w:color w:val="000000"/>
        </w:rPr>
      </w:pPr>
    </w:p>
    <w:p w14:paraId="5045928D" w14:textId="77777777" w:rsidR="006449E3" w:rsidRDefault="006449E3" w:rsidP="006449E3">
      <w:pPr>
        <w:spacing w:after="120"/>
        <w:rPr>
          <w:b/>
        </w:rPr>
      </w:pPr>
      <w:r w:rsidRPr="00CC3A17">
        <w:rPr>
          <w:b/>
        </w:rPr>
        <w:t>Executive Summary</w:t>
      </w:r>
    </w:p>
    <w:p w14:paraId="18140943" w14:textId="79EBC810" w:rsidR="006449E3" w:rsidRPr="00D30C23" w:rsidRDefault="006449E3" w:rsidP="00D30C23">
      <w:pPr>
        <w:rPr>
          <w:bCs/>
          <w:sz w:val="22"/>
          <w:szCs w:val="22"/>
        </w:rPr>
      </w:pPr>
      <w:r w:rsidRPr="00D30C23">
        <w:rPr>
          <w:bCs/>
          <w:sz w:val="22"/>
          <w:szCs w:val="22"/>
        </w:rPr>
        <w:t>This report sets out a the de delegated services for the financial year 2023-24, and asks Schools Forum to agree maintaining the services for the 2024-25 funding year</w:t>
      </w:r>
      <w:r w:rsidR="00BB3EE4">
        <w:rPr>
          <w:bCs/>
          <w:sz w:val="22"/>
          <w:szCs w:val="22"/>
        </w:rPr>
        <w:t>.</w:t>
      </w:r>
    </w:p>
    <w:p w14:paraId="53B4013E" w14:textId="77777777" w:rsidR="006449E3" w:rsidRPr="0004045E" w:rsidRDefault="006449E3" w:rsidP="006449E3">
      <w:pPr>
        <w:spacing w:after="120"/>
        <w:rPr>
          <w:b/>
        </w:rPr>
      </w:pPr>
    </w:p>
    <w:p w14:paraId="3BA08050" w14:textId="77777777" w:rsidR="006449E3" w:rsidRPr="00CC3A17" w:rsidRDefault="006449E3" w:rsidP="006449E3">
      <w:pPr>
        <w:spacing w:after="120"/>
        <w:rPr>
          <w:b/>
        </w:rPr>
      </w:pPr>
      <w:r w:rsidRPr="00CC3A17">
        <w:rPr>
          <w:b/>
        </w:rPr>
        <w:t xml:space="preserve">Details of recommendations and timescales for decisions: </w:t>
      </w:r>
    </w:p>
    <w:p w14:paraId="6A186196" w14:textId="53F5F217" w:rsidR="00CC4CE1" w:rsidRDefault="006449E3" w:rsidP="006449E3">
      <w:r>
        <w:rPr>
          <w:bCs/>
          <w:sz w:val="22"/>
          <w:szCs w:val="22"/>
        </w:rPr>
        <w:t xml:space="preserve">Schools Forum are asked to </w:t>
      </w:r>
      <w:r w:rsidRPr="00171387">
        <w:rPr>
          <w:bCs/>
          <w:sz w:val="22"/>
          <w:szCs w:val="22"/>
        </w:rPr>
        <w:t>consider and agree</w:t>
      </w:r>
      <w:r>
        <w:rPr>
          <w:bCs/>
          <w:sz w:val="22"/>
          <w:szCs w:val="22"/>
        </w:rPr>
        <w:t xml:space="preserve"> the proposals</w:t>
      </w:r>
      <w:r w:rsidR="00D30C23">
        <w:rPr>
          <w:bCs/>
          <w:sz w:val="22"/>
          <w:szCs w:val="22"/>
        </w:rPr>
        <w:t xml:space="preserve"> for 2024-25 mainstream de-delegation, and new special school equivalent charging</w:t>
      </w:r>
      <w:r w:rsidR="00BB3EE4">
        <w:rPr>
          <w:bCs/>
          <w:sz w:val="22"/>
          <w:szCs w:val="22"/>
        </w:rPr>
        <w:t xml:space="preserve">. </w:t>
      </w:r>
    </w:p>
    <w:p w14:paraId="668674A3" w14:textId="77777777" w:rsidR="00710735" w:rsidRPr="00437FB4" w:rsidRDefault="00710735" w:rsidP="00710735">
      <w:pPr>
        <w:pStyle w:val="ListParagraph"/>
        <w:rPr>
          <w:rFonts w:cs="Arial"/>
          <w:color w:val="000000"/>
        </w:rPr>
      </w:pPr>
    </w:p>
    <w:p w14:paraId="4F357D7C" w14:textId="77777777" w:rsidR="00710735" w:rsidRDefault="00710735" w:rsidP="00710735">
      <w:pPr>
        <w:spacing w:line="259" w:lineRule="auto"/>
        <w:rPr>
          <w:color w:val="000000"/>
        </w:rPr>
      </w:pPr>
      <w:r>
        <w:rPr>
          <w:color w:val="000000"/>
        </w:rPr>
        <w:br w:type="page"/>
      </w:r>
    </w:p>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p w14:paraId="00772E5A" w14:textId="0F1F6CB0" w:rsidR="00101F8B" w:rsidRDefault="00101F8B" w:rsidP="001A610F">
      <w:pPr>
        <w:pStyle w:val="TOCHeading"/>
        <w:spacing w:before="0" w:line="240" w:lineRule="auto"/>
      </w:pPr>
    </w:p>
    <w:p w14:paraId="1187ECB4" w14:textId="77777777" w:rsidR="006449E3" w:rsidRPr="00165DB6" w:rsidRDefault="006449E3" w:rsidP="006449E3">
      <w:pPr>
        <w:pStyle w:val="ListParagraph"/>
        <w:numPr>
          <w:ilvl w:val="0"/>
          <w:numId w:val="4"/>
        </w:numPr>
        <w:jc w:val="both"/>
        <w:rPr>
          <w:rFonts w:eastAsiaTheme="minorEastAsia" w:cs="Arial"/>
          <w:b/>
          <w:bCs/>
          <w:color w:val="319B31"/>
          <w:sz w:val="28"/>
          <w:szCs w:val="28"/>
        </w:rPr>
      </w:pPr>
      <w:r w:rsidRPr="00165DB6">
        <w:rPr>
          <w:rFonts w:eastAsiaTheme="minorEastAsia" w:cs="Arial"/>
          <w:b/>
          <w:bCs/>
          <w:color w:val="319B31"/>
          <w:sz w:val="28"/>
          <w:szCs w:val="28"/>
        </w:rPr>
        <w:t>Background</w:t>
      </w:r>
    </w:p>
    <w:p w14:paraId="26906A71" w14:textId="77777777" w:rsidR="006449E3" w:rsidRPr="00CC3A17" w:rsidRDefault="006449E3" w:rsidP="006449E3">
      <w:pPr>
        <w:jc w:val="both"/>
      </w:pPr>
    </w:p>
    <w:p w14:paraId="0BDCAA51" w14:textId="77777777" w:rsidR="00350183" w:rsidRDefault="006449E3" w:rsidP="006449E3">
      <w:pPr>
        <w:pStyle w:val="ListParagraph"/>
        <w:numPr>
          <w:ilvl w:val="1"/>
          <w:numId w:val="4"/>
        </w:numPr>
        <w:ind w:left="567" w:hanging="567"/>
        <w:jc w:val="both"/>
      </w:pPr>
      <w:r w:rsidRPr="004D5C22">
        <w:t xml:space="preserve">At budget setting time each year, Schools Forum will be asked to approve the de-delegation of funding for centrally provided support </w:t>
      </w:r>
      <w:r w:rsidRPr="002A0922">
        <w:t>based on a per pupil formula</w:t>
      </w:r>
      <w:r>
        <w:t xml:space="preserve">, </w:t>
      </w:r>
      <w:r w:rsidRPr="004C64E9">
        <w:t xml:space="preserve">considered to be a fair way of accounting for the size of the school and its budget. </w:t>
      </w:r>
      <w:r w:rsidR="00BB3EE4">
        <w:t xml:space="preserve"> </w:t>
      </w:r>
    </w:p>
    <w:p w14:paraId="39623867" w14:textId="77777777" w:rsidR="00350183" w:rsidRDefault="00350183" w:rsidP="00350183">
      <w:pPr>
        <w:pStyle w:val="ListParagraph"/>
        <w:ind w:left="567"/>
        <w:jc w:val="both"/>
      </w:pPr>
    </w:p>
    <w:p w14:paraId="0D503B9C" w14:textId="44D34BBA" w:rsidR="006449E3" w:rsidRDefault="00BB3EE4" w:rsidP="006449E3">
      <w:pPr>
        <w:pStyle w:val="ListParagraph"/>
        <w:numPr>
          <w:ilvl w:val="1"/>
          <w:numId w:val="4"/>
        </w:numPr>
        <w:ind w:left="567" w:hanging="567"/>
        <w:jc w:val="both"/>
      </w:pPr>
      <w:r>
        <w:t xml:space="preserve">This report was presented in December, but the meeting was in-quorate and not </w:t>
      </w:r>
      <w:r w:rsidR="001562D5">
        <w:t xml:space="preserve">able to </w:t>
      </w:r>
      <w:r>
        <w:t>make a decision.  The loca</w:t>
      </w:r>
      <w:r w:rsidR="00A443AA">
        <w:t>l authority has progressed with a working assumption, due to the statutory deadline for submitting the Authority Pro-forma Tool (APT) to the DfE and issuing budgets.</w:t>
      </w:r>
      <w:r w:rsidR="006449E3" w:rsidRPr="004C64E9">
        <w:t xml:space="preserve"> </w:t>
      </w:r>
    </w:p>
    <w:p w14:paraId="5A0B78E2" w14:textId="77777777" w:rsidR="006449E3" w:rsidRDefault="006449E3" w:rsidP="006449E3">
      <w:pPr>
        <w:pStyle w:val="ListParagraph"/>
        <w:ind w:left="567"/>
        <w:jc w:val="both"/>
      </w:pPr>
    </w:p>
    <w:p w14:paraId="7D9CC5B8" w14:textId="09235AD0" w:rsidR="00350183" w:rsidRDefault="00350183" w:rsidP="00E242D4">
      <w:pPr>
        <w:pStyle w:val="ListParagraph"/>
        <w:numPr>
          <w:ilvl w:val="1"/>
          <w:numId w:val="4"/>
        </w:numPr>
        <w:ind w:left="567" w:hanging="567"/>
        <w:jc w:val="both"/>
      </w:pPr>
      <w:r>
        <w:t>Headteachers have been consulted on these proposals, in meeting held on 10 January 2024.  The outcome of this consultation will be reported verbally.</w:t>
      </w:r>
    </w:p>
    <w:p w14:paraId="220ECE44" w14:textId="77777777" w:rsidR="00E216A5" w:rsidRDefault="00E216A5" w:rsidP="00E216A5">
      <w:pPr>
        <w:pStyle w:val="ListParagraph"/>
      </w:pPr>
    </w:p>
    <w:p w14:paraId="0661D828" w14:textId="77777777" w:rsidR="001562D5" w:rsidRDefault="001562D5" w:rsidP="001562D5">
      <w:pPr>
        <w:pStyle w:val="ListParagraph"/>
        <w:numPr>
          <w:ilvl w:val="1"/>
          <w:numId w:val="4"/>
        </w:numPr>
        <w:ind w:left="567" w:hanging="567"/>
        <w:jc w:val="both"/>
      </w:pPr>
      <w:r>
        <w:t>The National Funding Formula (NFF) settlement increase of 1.9% on 2023-24 (</w:t>
      </w:r>
      <w:r w:rsidRPr="00FE2563">
        <w:t xml:space="preserve">0.5% </w:t>
      </w:r>
      <w:r>
        <w:t xml:space="preserve">minimum baseline </w:t>
      </w:r>
      <w:r w:rsidRPr="00FE2563">
        <w:t>plus a 1.4%</w:t>
      </w:r>
      <w:r>
        <w:t>) has been applied to the proposed de-delegation budget rate.  The 1.9% ex</w:t>
      </w:r>
      <w:r w:rsidRPr="00FE2563">
        <w:t xml:space="preserve">cludes the </w:t>
      </w:r>
      <w:r>
        <w:t xml:space="preserve">additional </w:t>
      </w:r>
      <w:r w:rsidRPr="00FE2563">
        <w:t>transfer of the Maintained Schools Additional Grant (MSAG)</w:t>
      </w:r>
      <w:r>
        <w:t xml:space="preserve"> also added to the 2023-24 Schools’ Budget baseline. </w:t>
      </w:r>
    </w:p>
    <w:p w14:paraId="33578F90" w14:textId="77777777" w:rsidR="006449E3" w:rsidRDefault="006449E3" w:rsidP="006449E3">
      <w:pPr>
        <w:pStyle w:val="ListParagraph"/>
        <w:ind w:left="567"/>
        <w:jc w:val="both"/>
      </w:pPr>
    </w:p>
    <w:p w14:paraId="6070A2AE" w14:textId="77777777" w:rsidR="002221A6" w:rsidRDefault="002221A6" w:rsidP="006449E3">
      <w:pPr>
        <w:pStyle w:val="ListParagraph"/>
        <w:ind w:left="567"/>
        <w:jc w:val="both"/>
      </w:pPr>
    </w:p>
    <w:p w14:paraId="008EEB30" w14:textId="77777777" w:rsidR="002221A6" w:rsidRDefault="002221A6" w:rsidP="006449E3">
      <w:pPr>
        <w:pStyle w:val="ListParagraph"/>
        <w:ind w:left="567"/>
        <w:jc w:val="both"/>
      </w:pPr>
    </w:p>
    <w:p w14:paraId="412B692B" w14:textId="77777777" w:rsidR="006449E3" w:rsidRDefault="006449E3" w:rsidP="006449E3">
      <w:pPr>
        <w:pStyle w:val="ListParagraph"/>
        <w:numPr>
          <w:ilvl w:val="0"/>
          <w:numId w:val="4"/>
        </w:numPr>
        <w:jc w:val="both"/>
        <w:rPr>
          <w:rFonts w:eastAsiaTheme="minorEastAsia" w:cs="Arial"/>
          <w:b/>
          <w:bCs/>
          <w:color w:val="319B31"/>
          <w:sz w:val="28"/>
          <w:szCs w:val="28"/>
        </w:rPr>
      </w:pPr>
      <w:r w:rsidRPr="00165DB6">
        <w:rPr>
          <w:rFonts w:eastAsiaTheme="minorEastAsia" w:cs="Arial"/>
          <w:b/>
          <w:bCs/>
          <w:color w:val="319B31"/>
          <w:sz w:val="28"/>
          <w:szCs w:val="28"/>
        </w:rPr>
        <w:t>Proposals for 2024-25</w:t>
      </w:r>
    </w:p>
    <w:p w14:paraId="396E7901" w14:textId="77777777" w:rsidR="006449E3" w:rsidRPr="00165DB6" w:rsidRDefault="006449E3" w:rsidP="006449E3">
      <w:pPr>
        <w:pStyle w:val="ListParagraph"/>
        <w:ind w:left="360"/>
        <w:jc w:val="both"/>
        <w:rPr>
          <w:rFonts w:eastAsiaTheme="minorEastAsia" w:cs="Arial"/>
          <w:b/>
          <w:bCs/>
          <w:color w:val="319B31"/>
          <w:sz w:val="28"/>
          <w:szCs w:val="28"/>
        </w:rPr>
      </w:pPr>
    </w:p>
    <w:p w14:paraId="2485BEAA" w14:textId="77777777" w:rsidR="00A42A0F" w:rsidRDefault="00A42A0F" w:rsidP="00A42A0F">
      <w:pPr>
        <w:pStyle w:val="ListParagraph"/>
        <w:ind w:left="567"/>
        <w:jc w:val="both"/>
      </w:pPr>
    </w:p>
    <w:p w14:paraId="08EE83F1" w14:textId="21BD446A" w:rsidR="001562D5" w:rsidRDefault="001562D5" w:rsidP="001562D5">
      <w:pPr>
        <w:pStyle w:val="ListParagraph"/>
        <w:numPr>
          <w:ilvl w:val="1"/>
          <w:numId w:val="4"/>
        </w:numPr>
        <w:ind w:left="567" w:hanging="567"/>
        <w:jc w:val="both"/>
      </w:pPr>
      <w:r>
        <w:t>The final de delegation budget is determined on the October 2023 pupil numbers for maintained schools only.  These have confirmed an overall reduction in roll of 3% on receipt of the APT, with table 1 showing the variance per phase.</w:t>
      </w:r>
    </w:p>
    <w:p w14:paraId="726C7673" w14:textId="77777777" w:rsidR="001562D5" w:rsidRDefault="001562D5" w:rsidP="001562D5">
      <w:pPr>
        <w:pStyle w:val="ListParagraph"/>
        <w:ind w:left="567"/>
        <w:jc w:val="both"/>
      </w:pPr>
    </w:p>
    <w:tbl>
      <w:tblPr>
        <w:tblW w:w="834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520"/>
        <w:gridCol w:w="1420"/>
        <w:gridCol w:w="1160"/>
        <w:gridCol w:w="1540"/>
      </w:tblGrid>
      <w:tr w:rsidR="001562D5" w:rsidRPr="001562D5" w14:paraId="246A5A61" w14:textId="77777777" w:rsidTr="002221A6">
        <w:trPr>
          <w:trHeight w:val="288"/>
        </w:trPr>
        <w:tc>
          <w:tcPr>
            <w:tcW w:w="2700" w:type="dxa"/>
            <w:shd w:val="clear" w:color="auto" w:fill="auto"/>
            <w:noWrap/>
            <w:vAlign w:val="bottom"/>
            <w:hideMark/>
          </w:tcPr>
          <w:p w14:paraId="0537DF48" w14:textId="77777777" w:rsidR="001562D5" w:rsidRDefault="001562D5" w:rsidP="001562D5">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Table 1</w:t>
            </w:r>
          </w:p>
          <w:p w14:paraId="782D5DD3" w14:textId="77777777" w:rsidR="002221A6" w:rsidRDefault="002221A6" w:rsidP="001562D5">
            <w:pPr>
              <w:spacing w:after="0"/>
              <w:rPr>
                <w:rFonts w:ascii="Calibri" w:eastAsia="Times New Roman" w:hAnsi="Calibri" w:cs="Calibri"/>
                <w:color w:val="000000"/>
                <w:sz w:val="22"/>
                <w:szCs w:val="22"/>
              </w:rPr>
            </w:pPr>
          </w:p>
          <w:p w14:paraId="58A94969" w14:textId="2846BDD4" w:rsidR="001562D5" w:rsidRPr="001562D5" w:rsidRDefault="001562D5" w:rsidP="001562D5">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D</w:t>
            </w:r>
            <w:r w:rsidRPr="001562D5">
              <w:rPr>
                <w:rFonts w:ascii="Calibri" w:eastAsia="Times New Roman" w:hAnsi="Calibri" w:cs="Calibri"/>
                <w:color w:val="000000"/>
                <w:sz w:val="22"/>
                <w:szCs w:val="22"/>
              </w:rPr>
              <w:t>e-delegation</w:t>
            </w:r>
            <w:r>
              <w:rPr>
                <w:rFonts w:ascii="Calibri" w:eastAsia="Times New Roman" w:hAnsi="Calibri" w:cs="Calibri"/>
                <w:color w:val="000000"/>
                <w:sz w:val="22"/>
                <w:szCs w:val="22"/>
              </w:rPr>
              <w:t xml:space="preserve"> roll</w:t>
            </w:r>
          </w:p>
        </w:tc>
        <w:tc>
          <w:tcPr>
            <w:tcW w:w="1520" w:type="dxa"/>
            <w:shd w:val="clear" w:color="auto" w:fill="auto"/>
            <w:noWrap/>
            <w:vAlign w:val="center"/>
            <w:hideMark/>
          </w:tcPr>
          <w:p w14:paraId="717233EF" w14:textId="77777777"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2023-24</w:t>
            </w:r>
          </w:p>
        </w:tc>
        <w:tc>
          <w:tcPr>
            <w:tcW w:w="1420" w:type="dxa"/>
            <w:shd w:val="clear" w:color="auto" w:fill="auto"/>
            <w:noWrap/>
            <w:vAlign w:val="center"/>
            <w:hideMark/>
          </w:tcPr>
          <w:p w14:paraId="32564A33" w14:textId="77777777"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2024-25</w:t>
            </w:r>
          </w:p>
        </w:tc>
        <w:tc>
          <w:tcPr>
            <w:tcW w:w="1160" w:type="dxa"/>
            <w:shd w:val="clear" w:color="auto" w:fill="auto"/>
            <w:noWrap/>
            <w:vAlign w:val="center"/>
            <w:hideMark/>
          </w:tcPr>
          <w:p w14:paraId="3369585A" w14:textId="1016EF98" w:rsidR="001562D5" w:rsidRPr="001562D5" w:rsidRDefault="001562D5" w:rsidP="001562D5">
            <w:pPr>
              <w:spacing w:after="0"/>
              <w:jc w:val="center"/>
              <w:rPr>
                <w:rFonts w:ascii="Calibri" w:eastAsia="Times New Roman" w:hAnsi="Calibri" w:cs="Calibri"/>
                <w:color w:val="000000"/>
                <w:sz w:val="22"/>
                <w:szCs w:val="22"/>
              </w:rPr>
            </w:pPr>
            <w:r>
              <w:rPr>
                <w:rFonts w:ascii="Calibri" w:eastAsia="Times New Roman" w:hAnsi="Calibri" w:cs="Calibri"/>
                <w:color w:val="000000"/>
                <w:sz w:val="22"/>
                <w:szCs w:val="22"/>
              </w:rPr>
              <w:t>Variance</w:t>
            </w:r>
          </w:p>
        </w:tc>
        <w:tc>
          <w:tcPr>
            <w:tcW w:w="1540" w:type="dxa"/>
            <w:shd w:val="clear" w:color="auto" w:fill="auto"/>
            <w:noWrap/>
            <w:vAlign w:val="center"/>
            <w:hideMark/>
          </w:tcPr>
          <w:p w14:paraId="6B6F35A8" w14:textId="3A0590E4" w:rsidR="001562D5" w:rsidRPr="001562D5" w:rsidRDefault="001562D5" w:rsidP="001562D5">
            <w:pPr>
              <w:spacing w:after="0"/>
              <w:jc w:val="center"/>
              <w:rPr>
                <w:rFonts w:ascii="Calibri" w:eastAsia="Times New Roman" w:hAnsi="Calibri" w:cs="Calibri"/>
                <w:color w:val="000000"/>
                <w:sz w:val="22"/>
                <w:szCs w:val="22"/>
              </w:rPr>
            </w:pPr>
            <w:r w:rsidRPr="002221A6">
              <w:rPr>
                <w:rFonts w:ascii="Calibri" w:eastAsia="Times New Roman" w:hAnsi="Calibri" w:cs="Calibri"/>
                <w:color w:val="000000"/>
                <w:sz w:val="22"/>
                <w:szCs w:val="22"/>
              </w:rPr>
              <w:t>Percentage variance</w:t>
            </w:r>
          </w:p>
        </w:tc>
      </w:tr>
      <w:tr w:rsidR="001562D5" w:rsidRPr="001562D5" w14:paraId="010E758B" w14:textId="77777777" w:rsidTr="002221A6">
        <w:trPr>
          <w:trHeight w:val="288"/>
        </w:trPr>
        <w:tc>
          <w:tcPr>
            <w:tcW w:w="2700" w:type="dxa"/>
            <w:shd w:val="clear" w:color="auto" w:fill="auto"/>
            <w:noWrap/>
            <w:vAlign w:val="center"/>
            <w:hideMark/>
          </w:tcPr>
          <w:p w14:paraId="1F1A07E4" w14:textId="761169E5" w:rsidR="001562D5" w:rsidRPr="001562D5" w:rsidRDefault="001562D5" w:rsidP="001562D5">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Maintained primary</w:t>
            </w:r>
          </w:p>
        </w:tc>
        <w:tc>
          <w:tcPr>
            <w:tcW w:w="1520" w:type="dxa"/>
            <w:shd w:val="clear" w:color="auto" w:fill="auto"/>
            <w:noWrap/>
            <w:vAlign w:val="center"/>
            <w:hideMark/>
          </w:tcPr>
          <w:p w14:paraId="44AD88B3" w14:textId="68AA1AB5"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18</w:t>
            </w:r>
            <w:r>
              <w:rPr>
                <w:rFonts w:ascii="Calibri" w:eastAsia="Times New Roman" w:hAnsi="Calibri" w:cs="Calibri"/>
                <w:color w:val="000000"/>
                <w:sz w:val="22"/>
                <w:szCs w:val="22"/>
              </w:rPr>
              <w:t>,</w:t>
            </w:r>
            <w:r w:rsidRPr="001562D5">
              <w:rPr>
                <w:rFonts w:ascii="Calibri" w:eastAsia="Times New Roman" w:hAnsi="Calibri" w:cs="Calibri"/>
                <w:color w:val="000000"/>
                <w:sz w:val="22"/>
                <w:szCs w:val="22"/>
              </w:rPr>
              <w:t>677</w:t>
            </w:r>
          </w:p>
        </w:tc>
        <w:tc>
          <w:tcPr>
            <w:tcW w:w="1420" w:type="dxa"/>
            <w:shd w:val="clear" w:color="auto" w:fill="auto"/>
            <w:noWrap/>
            <w:vAlign w:val="center"/>
            <w:hideMark/>
          </w:tcPr>
          <w:p w14:paraId="714628FC" w14:textId="62C412B2"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17</w:t>
            </w:r>
            <w:r>
              <w:rPr>
                <w:rFonts w:ascii="Calibri" w:eastAsia="Times New Roman" w:hAnsi="Calibri" w:cs="Calibri"/>
                <w:color w:val="000000"/>
                <w:sz w:val="22"/>
                <w:szCs w:val="22"/>
              </w:rPr>
              <w:t>,</w:t>
            </w:r>
            <w:r w:rsidRPr="001562D5">
              <w:rPr>
                <w:rFonts w:ascii="Calibri" w:eastAsia="Times New Roman" w:hAnsi="Calibri" w:cs="Calibri"/>
                <w:color w:val="000000"/>
                <w:sz w:val="22"/>
                <w:szCs w:val="22"/>
              </w:rPr>
              <w:t>879</w:t>
            </w:r>
          </w:p>
        </w:tc>
        <w:tc>
          <w:tcPr>
            <w:tcW w:w="1160" w:type="dxa"/>
            <w:shd w:val="clear" w:color="auto" w:fill="auto"/>
            <w:noWrap/>
            <w:vAlign w:val="center"/>
            <w:hideMark/>
          </w:tcPr>
          <w:p w14:paraId="2B9F3C04" w14:textId="77777777"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-798</w:t>
            </w:r>
          </w:p>
        </w:tc>
        <w:tc>
          <w:tcPr>
            <w:tcW w:w="1540" w:type="dxa"/>
            <w:shd w:val="clear" w:color="auto" w:fill="auto"/>
            <w:noWrap/>
            <w:vAlign w:val="center"/>
            <w:hideMark/>
          </w:tcPr>
          <w:p w14:paraId="16CE3D32" w14:textId="77777777"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-4%</w:t>
            </w:r>
          </w:p>
        </w:tc>
      </w:tr>
      <w:tr w:rsidR="001562D5" w:rsidRPr="001562D5" w14:paraId="565E0EBD" w14:textId="77777777" w:rsidTr="002221A6">
        <w:trPr>
          <w:trHeight w:val="288"/>
        </w:trPr>
        <w:tc>
          <w:tcPr>
            <w:tcW w:w="2700" w:type="dxa"/>
            <w:shd w:val="clear" w:color="auto" w:fill="auto"/>
            <w:noWrap/>
            <w:vAlign w:val="center"/>
            <w:hideMark/>
          </w:tcPr>
          <w:p w14:paraId="22C008D3" w14:textId="1A206AB3" w:rsidR="001562D5" w:rsidRPr="001562D5" w:rsidRDefault="001562D5" w:rsidP="001562D5">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Maintained secondary</w:t>
            </w:r>
          </w:p>
        </w:tc>
        <w:tc>
          <w:tcPr>
            <w:tcW w:w="1520" w:type="dxa"/>
            <w:shd w:val="clear" w:color="auto" w:fill="auto"/>
            <w:noWrap/>
            <w:vAlign w:val="center"/>
            <w:hideMark/>
          </w:tcPr>
          <w:p w14:paraId="3C1F4A64" w14:textId="60CF8F1B"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9</w:t>
            </w:r>
            <w:r>
              <w:rPr>
                <w:rFonts w:ascii="Calibri" w:eastAsia="Times New Roman" w:hAnsi="Calibri" w:cs="Calibri"/>
                <w:color w:val="000000"/>
                <w:sz w:val="22"/>
                <w:szCs w:val="22"/>
              </w:rPr>
              <w:t>,</w:t>
            </w:r>
            <w:r w:rsidRPr="001562D5">
              <w:rPr>
                <w:rFonts w:ascii="Calibri" w:eastAsia="Times New Roman" w:hAnsi="Calibri" w:cs="Calibri"/>
                <w:color w:val="000000"/>
                <w:sz w:val="22"/>
                <w:szCs w:val="22"/>
              </w:rPr>
              <w:t>364</w:t>
            </w:r>
          </w:p>
        </w:tc>
        <w:tc>
          <w:tcPr>
            <w:tcW w:w="1420" w:type="dxa"/>
            <w:shd w:val="clear" w:color="auto" w:fill="auto"/>
            <w:noWrap/>
            <w:vAlign w:val="center"/>
            <w:hideMark/>
          </w:tcPr>
          <w:p w14:paraId="4291E5C8" w14:textId="2FDD95AE"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9</w:t>
            </w:r>
            <w:r>
              <w:rPr>
                <w:rFonts w:ascii="Calibri" w:eastAsia="Times New Roman" w:hAnsi="Calibri" w:cs="Calibri"/>
                <w:color w:val="000000"/>
                <w:sz w:val="22"/>
                <w:szCs w:val="22"/>
              </w:rPr>
              <w:t>,</w:t>
            </w:r>
            <w:r w:rsidRPr="001562D5">
              <w:rPr>
                <w:rFonts w:ascii="Calibri" w:eastAsia="Times New Roman" w:hAnsi="Calibri" w:cs="Calibri"/>
                <w:color w:val="000000"/>
                <w:sz w:val="22"/>
                <w:szCs w:val="22"/>
              </w:rPr>
              <w:t>267</w:t>
            </w:r>
          </w:p>
        </w:tc>
        <w:tc>
          <w:tcPr>
            <w:tcW w:w="1160" w:type="dxa"/>
            <w:shd w:val="clear" w:color="auto" w:fill="auto"/>
            <w:noWrap/>
            <w:vAlign w:val="center"/>
            <w:hideMark/>
          </w:tcPr>
          <w:p w14:paraId="7229037E" w14:textId="77777777"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-97</w:t>
            </w:r>
          </w:p>
        </w:tc>
        <w:tc>
          <w:tcPr>
            <w:tcW w:w="1540" w:type="dxa"/>
            <w:shd w:val="clear" w:color="auto" w:fill="auto"/>
            <w:noWrap/>
            <w:vAlign w:val="center"/>
            <w:hideMark/>
          </w:tcPr>
          <w:p w14:paraId="2A77F0CF" w14:textId="77777777" w:rsidR="001562D5" w:rsidRPr="001562D5" w:rsidRDefault="001562D5" w:rsidP="001562D5">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-1%</w:t>
            </w:r>
          </w:p>
        </w:tc>
      </w:tr>
      <w:tr w:rsidR="001562D5" w:rsidRPr="001562D5" w14:paraId="2219FEBF" w14:textId="77777777" w:rsidTr="002221A6">
        <w:trPr>
          <w:trHeight w:val="288"/>
        </w:trPr>
        <w:tc>
          <w:tcPr>
            <w:tcW w:w="2700" w:type="dxa"/>
            <w:shd w:val="clear" w:color="auto" w:fill="auto"/>
            <w:noWrap/>
            <w:vAlign w:val="center"/>
            <w:hideMark/>
          </w:tcPr>
          <w:p w14:paraId="716844D2" w14:textId="77777777" w:rsidR="001562D5" w:rsidRPr="001562D5" w:rsidRDefault="001562D5" w:rsidP="002221A6">
            <w:pPr>
              <w:spacing w:after="0"/>
              <w:jc w:val="center"/>
              <w:rPr>
                <w:rFonts w:ascii="Calibri" w:eastAsia="Times New Roman" w:hAnsi="Calibri" w:cs="Calibri"/>
                <w:color w:val="000000"/>
                <w:sz w:val="22"/>
                <w:szCs w:val="22"/>
              </w:rPr>
            </w:pPr>
          </w:p>
        </w:tc>
        <w:tc>
          <w:tcPr>
            <w:tcW w:w="1520" w:type="dxa"/>
            <w:shd w:val="clear" w:color="auto" w:fill="auto"/>
            <w:noWrap/>
            <w:vAlign w:val="center"/>
            <w:hideMark/>
          </w:tcPr>
          <w:p w14:paraId="4825162A" w14:textId="15B1FA98" w:rsidR="001562D5" w:rsidRPr="001562D5" w:rsidRDefault="001562D5" w:rsidP="002221A6">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28</w:t>
            </w:r>
            <w:r>
              <w:rPr>
                <w:rFonts w:ascii="Calibri" w:eastAsia="Times New Roman" w:hAnsi="Calibri" w:cs="Calibri"/>
                <w:color w:val="000000"/>
                <w:sz w:val="22"/>
                <w:szCs w:val="22"/>
              </w:rPr>
              <w:t>,</w:t>
            </w:r>
            <w:r w:rsidRPr="001562D5">
              <w:rPr>
                <w:rFonts w:ascii="Calibri" w:eastAsia="Times New Roman" w:hAnsi="Calibri" w:cs="Calibri"/>
                <w:color w:val="000000"/>
                <w:sz w:val="22"/>
                <w:szCs w:val="22"/>
              </w:rPr>
              <w:t>041</w:t>
            </w:r>
          </w:p>
        </w:tc>
        <w:tc>
          <w:tcPr>
            <w:tcW w:w="1420" w:type="dxa"/>
            <w:shd w:val="clear" w:color="auto" w:fill="auto"/>
            <w:noWrap/>
            <w:vAlign w:val="center"/>
            <w:hideMark/>
          </w:tcPr>
          <w:p w14:paraId="6665EFCE" w14:textId="67E74F64" w:rsidR="001562D5" w:rsidRPr="001562D5" w:rsidRDefault="001562D5" w:rsidP="002221A6">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27</w:t>
            </w:r>
            <w:r>
              <w:rPr>
                <w:rFonts w:ascii="Calibri" w:eastAsia="Times New Roman" w:hAnsi="Calibri" w:cs="Calibri"/>
                <w:color w:val="000000"/>
                <w:sz w:val="22"/>
                <w:szCs w:val="22"/>
              </w:rPr>
              <w:t>,</w:t>
            </w:r>
            <w:r w:rsidRPr="001562D5">
              <w:rPr>
                <w:rFonts w:ascii="Calibri" w:eastAsia="Times New Roman" w:hAnsi="Calibri" w:cs="Calibri"/>
                <w:color w:val="000000"/>
                <w:sz w:val="22"/>
                <w:szCs w:val="22"/>
              </w:rPr>
              <w:t>146</w:t>
            </w:r>
          </w:p>
        </w:tc>
        <w:tc>
          <w:tcPr>
            <w:tcW w:w="1160" w:type="dxa"/>
            <w:shd w:val="clear" w:color="auto" w:fill="auto"/>
            <w:noWrap/>
            <w:vAlign w:val="center"/>
            <w:hideMark/>
          </w:tcPr>
          <w:p w14:paraId="6FADA30D" w14:textId="77777777" w:rsidR="001562D5" w:rsidRPr="001562D5" w:rsidRDefault="001562D5" w:rsidP="002221A6">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-895</w:t>
            </w:r>
          </w:p>
        </w:tc>
        <w:tc>
          <w:tcPr>
            <w:tcW w:w="1540" w:type="dxa"/>
            <w:shd w:val="clear" w:color="auto" w:fill="auto"/>
            <w:noWrap/>
            <w:vAlign w:val="center"/>
            <w:hideMark/>
          </w:tcPr>
          <w:p w14:paraId="7355152B" w14:textId="77777777" w:rsidR="001562D5" w:rsidRPr="001562D5" w:rsidRDefault="001562D5" w:rsidP="002221A6">
            <w:pPr>
              <w:spacing w:after="0"/>
              <w:jc w:val="center"/>
              <w:rPr>
                <w:rFonts w:ascii="Calibri" w:eastAsia="Times New Roman" w:hAnsi="Calibri" w:cs="Calibri"/>
                <w:color w:val="000000"/>
                <w:sz w:val="22"/>
                <w:szCs w:val="22"/>
              </w:rPr>
            </w:pPr>
            <w:r w:rsidRPr="001562D5">
              <w:rPr>
                <w:rFonts w:ascii="Calibri" w:eastAsia="Times New Roman" w:hAnsi="Calibri" w:cs="Calibri"/>
                <w:color w:val="000000"/>
                <w:sz w:val="22"/>
                <w:szCs w:val="22"/>
              </w:rPr>
              <w:t>-3%</w:t>
            </w:r>
          </w:p>
        </w:tc>
      </w:tr>
    </w:tbl>
    <w:p w14:paraId="1BFEFDE3" w14:textId="77777777" w:rsidR="001562D5" w:rsidRDefault="001562D5" w:rsidP="002221A6">
      <w:pPr>
        <w:pStyle w:val="ListParagraph"/>
        <w:ind w:left="567"/>
        <w:jc w:val="center"/>
      </w:pPr>
    </w:p>
    <w:p w14:paraId="08ECC2F1" w14:textId="6A176BA0" w:rsidR="002221A6" w:rsidRDefault="00A42A0F" w:rsidP="006449E3">
      <w:pPr>
        <w:pStyle w:val="ListParagraph"/>
        <w:numPr>
          <w:ilvl w:val="1"/>
          <w:numId w:val="4"/>
        </w:numPr>
        <w:ind w:left="567" w:hanging="567"/>
        <w:jc w:val="both"/>
      </w:pPr>
      <w:r>
        <w:t xml:space="preserve">The </w:t>
      </w:r>
      <w:r w:rsidR="006449E3">
        <w:t xml:space="preserve">2023-24 de-delegation rates are listed in table </w:t>
      </w:r>
      <w:r w:rsidR="001562D5">
        <w:t>2</w:t>
      </w:r>
      <w:r w:rsidR="006449E3">
        <w:t xml:space="preserve"> as well as the </w:t>
      </w:r>
      <w:r w:rsidR="001562D5">
        <w:t xml:space="preserve">actual budgets.  The </w:t>
      </w:r>
      <w:r w:rsidR="006449E3">
        <w:t>proposed per</w:t>
      </w:r>
      <w:r w:rsidR="001562D5">
        <w:t>-</w:t>
      </w:r>
      <w:r w:rsidR="006449E3">
        <w:t xml:space="preserve">pupil proposed </w:t>
      </w:r>
      <w:r w:rsidR="001562D5">
        <w:t xml:space="preserve">for </w:t>
      </w:r>
      <w:r w:rsidR="006449E3">
        <w:t>2024-25</w:t>
      </w:r>
      <w:r w:rsidR="002D20A3">
        <w:t xml:space="preserve">, </w:t>
      </w:r>
      <w:r w:rsidR="001562D5">
        <w:t>and the corresponding budgets, taking into account the 2024-25 roll. F</w:t>
      </w:r>
      <w:r w:rsidR="002D20A3">
        <w:t>or all budget</w:t>
      </w:r>
      <w:r w:rsidR="001562D5">
        <w:t xml:space="preserve"> heading</w:t>
      </w:r>
      <w:r w:rsidR="002D20A3">
        <w:t xml:space="preserve">s </w:t>
      </w:r>
      <w:r w:rsidR="001562D5">
        <w:t xml:space="preserve">the NFF 1.9% increase has been applied, </w:t>
      </w:r>
      <w:r w:rsidR="002221A6">
        <w:t xml:space="preserve">with the </w:t>
      </w:r>
      <w:r w:rsidR="002D20A3">
        <w:t>except</w:t>
      </w:r>
      <w:r w:rsidR="002221A6">
        <w:t>ion of</w:t>
      </w:r>
      <w:r w:rsidR="002D20A3">
        <w:t xml:space="preserve"> school improvement (see 2.</w:t>
      </w:r>
      <w:r w:rsidR="00A61E28">
        <w:t>4</w:t>
      </w:r>
      <w:r w:rsidR="002D20A3">
        <w:t>.5 below)</w:t>
      </w:r>
      <w:r w:rsidR="007A7837">
        <w:t xml:space="preserve">.  </w:t>
      </w:r>
    </w:p>
    <w:p w14:paraId="485B0148" w14:textId="77777777" w:rsidR="002221A6" w:rsidRDefault="002221A6" w:rsidP="002221A6">
      <w:pPr>
        <w:pStyle w:val="ListParagraph"/>
        <w:ind w:left="567"/>
        <w:jc w:val="both"/>
      </w:pPr>
    </w:p>
    <w:p w14:paraId="47F71F0F" w14:textId="054BB796" w:rsidR="006449E3" w:rsidRDefault="007A7837" w:rsidP="006449E3">
      <w:pPr>
        <w:pStyle w:val="ListParagraph"/>
        <w:numPr>
          <w:ilvl w:val="1"/>
          <w:numId w:val="4"/>
        </w:numPr>
        <w:ind w:left="567" w:hanging="567"/>
        <w:jc w:val="both"/>
      </w:pPr>
      <w:r>
        <w:t>Overall this is a -</w:t>
      </w:r>
      <w:r w:rsidR="00A61E28">
        <w:t>9.18</w:t>
      </w:r>
      <w:r>
        <w:t>% reduction in de</w:t>
      </w:r>
      <w:r w:rsidR="002221A6">
        <w:t>-</w:t>
      </w:r>
      <w:r>
        <w:t>delegation (with 2023-24 equivalent pupil numbers</w:t>
      </w:r>
      <w:r w:rsidR="002221A6">
        <w:t xml:space="preserve"> it would have been a -6.</w:t>
      </w:r>
      <w:r w:rsidR="00F579B6">
        <w:t>2</w:t>
      </w:r>
      <w:r w:rsidR="002221A6">
        <w:t>2% reduction</w:t>
      </w:r>
      <w:r>
        <w:t>).</w:t>
      </w:r>
      <w:r w:rsidR="002221A6">
        <w:t xml:space="preserve"> Reducing the total value from £2 million to £1.8 million, including the Education Services budget.</w:t>
      </w:r>
    </w:p>
    <w:p w14:paraId="5FD89102" w14:textId="77777777" w:rsidR="00B513C2" w:rsidRDefault="00B513C2" w:rsidP="00B513C2">
      <w:pPr>
        <w:pStyle w:val="ListParagraph"/>
      </w:pPr>
    </w:p>
    <w:p w14:paraId="150AF152" w14:textId="77777777" w:rsidR="00B513C2" w:rsidRDefault="00B513C2" w:rsidP="00B513C2">
      <w:pPr>
        <w:jc w:val="both"/>
      </w:pPr>
    </w:p>
    <w:p w14:paraId="6E6F5505" w14:textId="14E03872" w:rsidR="006449E3" w:rsidRPr="00403D43" w:rsidRDefault="00B513C2" w:rsidP="00403D43">
      <w:pPr>
        <w:spacing w:line="259" w:lineRule="auto"/>
        <w:rPr>
          <w:rFonts w:eastAsia="Times New Roman" w:cs="Times New Roman"/>
        </w:rPr>
      </w:pPr>
      <w:r>
        <w:rPr>
          <w:rFonts w:eastAsia="Times New Roman" w:cs="Times New Roman"/>
        </w:rPr>
        <w:lastRenderedPageBreak/>
        <w:t>Table 2</w:t>
      </w:r>
    </w:p>
    <w:tbl>
      <w:tblPr>
        <w:tblW w:w="8921" w:type="dxa"/>
        <w:tblLook w:val="04A0" w:firstRow="1" w:lastRow="0" w:firstColumn="1" w:lastColumn="0" w:noHBand="0" w:noVBand="1"/>
      </w:tblPr>
      <w:tblGrid>
        <w:gridCol w:w="2700"/>
        <w:gridCol w:w="1520"/>
        <w:gridCol w:w="1582"/>
        <w:gridCol w:w="1458"/>
        <w:gridCol w:w="1661"/>
      </w:tblGrid>
      <w:tr w:rsidR="00B513C2" w:rsidRPr="007A7837" w14:paraId="6E5F83C7" w14:textId="77777777" w:rsidTr="0001422E">
        <w:trPr>
          <w:trHeight w:val="348"/>
        </w:trPr>
        <w:tc>
          <w:tcPr>
            <w:tcW w:w="2700" w:type="dxa"/>
            <w:tcBorders>
              <w:top w:val="nil"/>
              <w:left w:val="single" w:sz="8" w:space="0" w:color="auto"/>
              <w:bottom w:val="single" w:sz="8" w:space="0" w:color="auto"/>
              <w:right w:val="single" w:sz="8" w:space="0" w:color="auto"/>
            </w:tcBorders>
            <w:shd w:val="clear" w:color="auto" w:fill="auto"/>
            <w:noWrap/>
            <w:vAlign w:val="center"/>
          </w:tcPr>
          <w:p w14:paraId="45FC3776" w14:textId="670E0790" w:rsidR="00B513C2" w:rsidRPr="007A7837" w:rsidRDefault="00B513C2" w:rsidP="0001422E">
            <w:pPr>
              <w:spacing w:after="0"/>
              <w:rPr>
                <w:rFonts w:ascii="Calibri" w:eastAsia="Times New Roman" w:hAnsi="Calibri" w:cs="Calibri"/>
                <w:color w:val="000000"/>
                <w:sz w:val="22"/>
                <w:szCs w:val="22"/>
              </w:rPr>
            </w:pPr>
            <w:r w:rsidRPr="007A7837">
              <w:rPr>
                <w:rFonts w:ascii="Segoe UI" w:eastAsia="Times New Roman" w:hAnsi="Segoe UI" w:cs="Segoe UI"/>
                <w:color w:val="000000"/>
                <w:sz w:val="22"/>
                <w:szCs w:val="22"/>
              </w:rPr>
              <w:t>De-delegation budgets</w:t>
            </w:r>
          </w:p>
        </w:tc>
        <w:tc>
          <w:tcPr>
            <w:tcW w:w="1520" w:type="dxa"/>
            <w:tcBorders>
              <w:top w:val="nil"/>
              <w:left w:val="nil"/>
              <w:bottom w:val="single" w:sz="8" w:space="0" w:color="auto"/>
              <w:right w:val="single" w:sz="8" w:space="0" w:color="auto"/>
            </w:tcBorders>
            <w:shd w:val="clear" w:color="000000" w:fill="CCFFFF"/>
            <w:noWrap/>
            <w:vAlign w:val="center"/>
          </w:tcPr>
          <w:p w14:paraId="77E87CE2" w14:textId="1EB7B90A" w:rsidR="00B513C2" w:rsidRPr="007A7837" w:rsidRDefault="00B513C2" w:rsidP="0001422E">
            <w:pPr>
              <w:spacing w:after="0"/>
              <w:jc w:val="center"/>
              <w:rPr>
                <w:rFonts w:ascii="Calibri" w:hAnsi="Calibri" w:cs="Calibri"/>
                <w:color w:val="000000"/>
                <w:sz w:val="20"/>
                <w:szCs w:val="20"/>
              </w:rPr>
            </w:pPr>
            <w:r w:rsidRPr="007A7837">
              <w:rPr>
                <w:rFonts w:ascii="Segoe UI" w:eastAsia="Times New Roman" w:hAnsi="Segoe UI" w:cs="Segoe UI"/>
                <w:color w:val="000000"/>
                <w:sz w:val="20"/>
                <w:szCs w:val="20"/>
              </w:rPr>
              <w:t>23-24</w:t>
            </w:r>
            <w:r w:rsidRPr="007A7837">
              <w:rPr>
                <w:rFonts w:ascii="Segoe UI" w:eastAsia="Times New Roman" w:hAnsi="Segoe UI" w:cs="Segoe UI"/>
                <w:color w:val="000000"/>
                <w:sz w:val="20"/>
                <w:szCs w:val="20"/>
              </w:rPr>
              <w:br/>
              <w:t>per pupil rate</w:t>
            </w:r>
          </w:p>
        </w:tc>
        <w:tc>
          <w:tcPr>
            <w:tcW w:w="1582" w:type="dxa"/>
            <w:tcBorders>
              <w:top w:val="nil"/>
              <w:left w:val="nil"/>
              <w:bottom w:val="single" w:sz="8" w:space="0" w:color="auto"/>
              <w:right w:val="single" w:sz="8" w:space="0" w:color="auto"/>
            </w:tcBorders>
            <w:shd w:val="clear" w:color="auto" w:fill="auto"/>
            <w:noWrap/>
            <w:vAlign w:val="center"/>
          </w:tcPr>
          <w:p w14:paraId="2D0BF432" w14:textId="34E65CED" w:rsidR="00B513C2" w:rsidRPr="007A7837" w:rsidRDefault="00B513C2" w:rsidP="0001422E">
            <w:pPr>
              <w:spacing w:after="0"/>
              <w:jc w:val="center"/>
              <w:rPr>
                <w:rFonts w:ascii="Segoe UI" w:hAnsi="Segoe UI" w:cs="Segoe UI"/>
                <w:color w:val="000000"/>
                <w:sz w:val="20"/>
                <w:szCs w:val="20"/>
              </w:rPr>
            </w:pPr>
            <w:r w:rsidRPr="007A7837">
              <w:rPr>
                <w:rFonts w:ascii="Segoe UI" w:eastAsia="Times New Roman" w:hAnsi="Segoe UI" w:cs="Segoe UI"/>
                <w:color w:val="000000"/>
                <w:sz w:val="20"/>
                <w:szCs w:val="20"/>
              </w:rPr>
              <w:t>23-24 de-delegation</w:t>
            </w:r>
          </w:p>
        </w:tc>
        <w:tc>
          <w:tcPr>
            <w:tcW w:w="1458" w:type="dxa"/>
            <w:tcBorders>
              <w:top w:val="nil"/>
              <w:left w:val="nil"/>
              <w:bottom w:val="single" w:sz="8" w:space="0" w:color="auto"/>
              <w:right w:val="single" w:sz="8" w:space="0" w:color="auto"/>
            </w:tcBorders>
            <w:shd w:val="clear" w:color="000000" w:fill="CCFFFF"/>
            <w:noWrap/>
            <w:vAlign w:val="center"/>
          </w:tcPr>
          <w:p w14:paraId="3EA3F303" w14:textId="61FBA128" w:rsidR="00B513C2" w:rsidRPr="007A7837" w:rsidRDefault="00B513C2" w:rsidP="0001422E">
            <w:pPr>
              <w:spacing w:after="0"/>
              <w:jc w:val="center"/>
              <w:rPr>
                <w:rFonts w:ascii="Calibri" w:hAnsi="Calibri" w:cs="Calibri"/>
                <w:sz w:val="20"/>
                <w:szCs w:val="20"/>
              </w:rPr>
            </w:pPr>
            <w:r w:rsidRPr="007A7837">
              <w:rPr>
                <w:rFonts w:ascii="Segoe UI" w:eastAsia="Times New Roman" w:hAnsi="Segoe UI" w:cs="Segoe UI"/>
                <w:sz w:val="20"/>
                <w:szCs w:val="20"/>
              </w:rPr>
              <w:t xml:space="preserve">24-25 per pupil rate </w:t>
            </w:r>
            <w:r w:rsidRPr="007A7837">
              <w:rPr>
                <w:rFonts w:ascii="Segoe UI" w:eastAsia="Times New Roman" w:hAnsi="Segoe UI" w:cs="Segoe UI"/>
                <w:sz w:val="20"/>
                <w:szCs w:val="20"/>
              </w:rPr>
              <w:br/>
            </w:r>
            <w:r>
              <w:rPr>
                <w:rFonts w:ascii="Segoe UI" w:eastAsia="Times New Roman" w:hAnsi="Segoe UI" w:cs="Segoe UI"/>
                <w:sz w:val="20"/>
                <w:szCs w:val="20"/>
              </w:rPr>
              <w:t>(@</w:t>
            </w:r>
            <w:r w:rsidRPr="007A7837">
              <w:rPr>
                <w:rFonts w:ascii="Segoe UI" w:eastAsia="Times New Roman" w:hAnsi="Segoe UI" w:cs="Segoe UI"/>
                <w:sz w:val="20"/>
                <w:szCs w:val="20"/>
              </w:rPr>
              <w:t xml:space="preserve"> 1.9%</w:t>
            </w:r>
            <w:r>
              <w:rPr>
                <w:rFonts w:ascii="Segoe UI" w:eastAsia="Times New Roman" w:hAnsi="Segoe UI" w:cs="Segoe UI"/>
                <w:sz w:val="20"/>
                <w:szCs w:val="20"/>
              </w:rPr>
              <w:t>)</w:t>
            </w:r>
          </w:p>
        </w:tc>
        <w:tc>
          <w:tcPr>
            <w:tcW w:w="1661" w:type="dxa"/>
            <w:tcBorders>
              <w:top w:val="nil"/>
              <w:left w:val="nil"/>
              <w:bottom w:val="single" w:sz="8" w:space="0" w:color="auto"/>
              <w:right w:val="single" w:sz="8" w:space="0" w:color="auto"/>
            </w:tcBorders>
            <w:shd w:val="clear" w:color="auto" w:fill="auto"/>
            <w:noWrap/>
            <w:vAlign w:val="center"/>
          </w:tcPr>
          <w:p w14:paraId="32AE938E" w14:textId="6094201D" w:rsidR="00B513C2" w:rsidRDefault="00B513C2" w:rsidP="0001422E">
            <w:pPr>
              <w:spacing w:after="0"/>
              <w:jc w:val="center"/>
              <w:rPr>
                <w:rFonts w:ascii="Segoe UI" w:hAnsi="Segoe UI" w:cs="Segoe UI"/>
                <w:color w:val="000000"/>
                <w:sz w:val="20"/>
                <w:szCs w:val="20"/>
              </w:rPr>
            </w:pPr>
            <w:r w:rsidRPr="007A7837">
              <w:rPr>
                <w:rFonts w:ascii="Segoe UI" w:eastAsia="Times New Roman" w:hAnsi="Segoe UI" w:cs="Segoe UI"/>
                <w:sz w:val="20"/>
                <w:szCs w:val="20"/>
              </w:rPr>
              <w:t>24-25 proposed de-delegation</w:t>
            </w:r>
          </w:p>
        </w:tc>
      </w:tr>
      <w:tr w:rsidR="00403D43" w:rsidRPr="007A7837" w14:paraId="78B84B26" w14:textId="77777777" w:rsidTr="0001422E">
        <w:trPr>
          <w:trHeight w:val="348"/>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2BB1FF44" w14:textId="77777777" w:rsidR="00403D43" w:rsidRPr="007A7837" w:rsidRDefault="00403D43" w:rsidP="0001422E">
            <w:pPr>
              <w:spacing w:after="0"/>
              <w:rPr>
                <w:rFonts w:ascii="Calibri" w:eastAsia="Times New Roman" w:hAnsi="Calibri" w:cs="Calibri"/>
                <w:color w:val="000000"/>
                <w:sz w:val="22"/>
                <w:szCs w:val="22"/>
              </w:rPr>
            </w:pPr>
            <w:r w:rsidRPr="007A7837">
              <w:rPr>
                <w:rFonts w:ascii="Calibri" w:eastAsia="Times New Roman" w:hAnsi="Calibri" w:cs="Calibri"/>
                <w:color w:val="000000"/>
                <w:sz w:val="22"/>
                <w:szCs w:val="22"/>
              </w:rPr>
              <w:t>Contingencies</w:t>
            </w:r>
          </w:p>
        </w:tc>
        <w:tc>
          <w:tcPr>
            <w:tcW w:w="1520" w:type="dxa"/>
            <w:tcBorders>
              <w:top w:val="nil"/>
              <w:left w:val="nil"/>
              <w:bottom w:val="single" w:sz="8" w:space="0" w:color="auto"/>
              <w:right w:val="single" w:sz="8" w:space="0" w:color="auto"/>
            </w:tcBorders>
            <w:shd w:val="clear" w:color="000000" w:fill="CCFFFF"/>
            <w:noWrap/>
            <w:vAlign w:val="center"/>
            <w:hideMark/>
          </w:tcPr>
          <w:p w14:paraId="669AA2FA" w14:textId="77777777" w:rsidR="00403D43" w:rsidRPr="007A7837" w:rsidRDefault="00403D43" w:rsidP="0001422E">
            <w:pPr>
              <w:spacing w:after="0"/>
              <w:jc w:val="center"/>
              <w:rPr>
                <w:rFonts w:ascii="Calibri" w:eastAsia="Times New Roman" w:hAnsi="Calibri" w:cs="Calibri"/>
                <w:color w:val="000000"/>
                <w:sz w:val="20"/>
                <w:szCs w:val="20"/>
              </w:rPr>
            </w:pPr>
            <w:r w:rsidRPr="007A7837">
              <w:rPr>
                <w:rFonts w:ascii="Calibri" w:hAnsi="Calibri" w:cs="Calibri"/>
                <w:color w:val="000000"/>
                <w:sz w:val="20"/>
                <w:szCs w:val="20"/>
              </w:rPr>
              <w:t>£15.89</w:t>
            </w:r>
          </w:p>
        </w:tc>
        <w:tc>
          <w:tcPr>
            <w:tcW w:w="1582" w:type="dxa"/>
            <w:tcBorders>
              <w:top w:val="nil"/>
              <w:left w:val="nil"/>
              <w:bottom w:val="single" w:sz="8" w:space="0" w:color="auto"/>
              <w:right w:val="single" w:sz="8" w:space="0" w:color="auto"/>
            </w:tcBorders>
            <w:shd w:val="clear" w:color="auto" w:fill="auto"/>
            <w:noWrap/>
            <w:vAlign w:val="center"/>
            <w:hideMark/>
          </w:tcPr>
          <w:p w14:paraId="556B3167" w14:textId="77777777" w:rsidR="00403D43" w:rsidRPr="007A7837" w:rsidRDefault="00403D43" w:rsidP="0001422E">
            <w:pPr>
              <w:spacing w:after="0"/>
              <w:jc w:val="center"/>
              <w:rPr>
                <w:rFonts w:ascii="Segoe UI" w:eastAsia="Times New Roman" w:hAnsi="Segoe UI" w:cs="Segoe UI"/>
                <w:color w:val="000000"/>
                <w:sz w:val="20"/>
                <w:szCs w:val="20"/>
              </w:rPr>
            </w:pPr>
            <w:r w:rsidRPr="007A7837">
              <w:rPr>
                <w:rFonts w:ascii="Segoe UI" w:hAnsi="Segoe UI" w:cs="Segoe UI"/>
                <w:color w:val="000000"/>
                <w:sz w:val="20"/>
                <w:szCs w:val="20"/>
              </w:rPr>
              <w:t xml:space="preserve"> £</w:t>
            </w:r>
            <w:r>
              <w:rPr>
                <w:rFonts w:ascii="Segoe UI" w:hAnsi="Segoe UI" w:cs="Segoe UI"/>
                <w:color w:val="000000"/>
                <w:sz w:val="20"/>
                <w:szCs w:val="20"/>
              </w:rPr>
              <w:t xml:space="preserve"> </w:t>
            </w:r>
            <w:r w:rsidRPr="007A7837">
              <w:rPr>
                <w:rFonts w:ascii="Segoe UI" w:hAnsi="Segoe UI" w:cs="Segoe UI"/>
                <w:color w:val="000000"/>
                <w:sz w:val="20"/>
                <w:szCs w:val="20"/>
              </w:rPr>
              <w:t xml:space="preserve">445,571 </w:t>
            </w:r>
          </w:p>
        </w:tc>
        <w:tc>
          <w:tcPr>
            <w:tcW w:w="1458" w:type="dxa"/>
            <w:tcBorders>
              <w:top w:val="nil"/>
              <w:left w:val="nil"/>
              <w:bottom w:val="single" w:sz="8" w:space="0" w:color="auto"/>
              <w:right w:val="single" w:sz="8" w:space="0" w:color="auto"/>
            </w:tcBorders>
            <w:shd w:val="clear" w:color="000000" w:fill="CCFFFF"/>
            <w:noWrap/>
            <w:vAlign w:val="center"/>
            <w:hideMark/>
          </w:tcPr>
          <w:p w14:paraId="0C531B6E" w14:textId="77777777" w:rsidR="00403D43" w:rsidRPr="007A7837" w:rsidRDefault="00403D43" w:rsidP="0001422E">
            <w:pPr>
              <w:spacing w:after="0"/>
              <w:jc w:val="center"/>
              <w:rPr>
                <w:rFonts w:ascii="Calibri" w:eastAsia="Times New Roman" w:hAnsi="Calibri" w:cs="Calibri"/>
                <w:sz w:val="20"/>
                <w:szCs w:val="20"/>
              </w:rPr>
            </w:pPr>
            <w:r w:rsidRPr="007A7837">
              <w:rPr>
                <w:rFonts w:ascii="Calibri" w:hAnsi="Calibri" w:cs="Calibri"/>
                <w:sz w:val="20"/>
                <w:szCs w:val="20"/>
              </w:rPr>
              <w:t>£16.19</w:t>
            </w:r>
          </w:p>
        </w:tc>
        <w:tc>
          <w:tcPr>
            <w:tcW w:w="1661" w:type="dxa"/>
            <w:tcBorders>
              <w:top w:val="nil"/>
              <w:left w:val="nil"/>
              <w:bottom w:val="single" w:sz="8" w:space="0" w:color="auto"/>
              <w:right w:val="single" w:sz="8" w:space="0" w:color="auto"/>
            </w:tcBorders>
            <w:shd w:val="clear" w:color="auto" w:fill="auto"/>
            <w:noWrap/>
            <w:vAlign w:val="center"/>
            <w:hideMark/>
          </w:tcPr>
          <w:p w14:paraId="6B500AB9" w14:textId="77777777" w:rsidR="00403D43" w:rsidRPr="002221A6" w:rsidRDefault="00403D43" w:rsidP="0001422E">
            <w:pPr>
              <w:spacing w:after="0"/>
              <w:jc w:val="center"/>
              <w:rPr>
                <w:rFonts w:ascii="Segoe UI" w:hAnsi="Segoe UI" w:cs="Segoe UI"/>
                <w:color w:val="000000"/>
                <w:sz w:val="20"/>
                <w:szCs w:val="20"/>
              </w:rPr>
            </w:pPr>
            <w:r>
              <w:rPr>
                <w:rFonts w:ascii="Segoe UI" w:hAnsi="Segoe UI" w:cs="Segoe UI"/>
                <w:color w:val="000000"/>
                <w:sz w:val="20"/>
                <w:szCs w:val="20"/>
              </w:rPr>
              <w:t xml:space="preserve">£ </w:t>
            </w:r>
            <w:r w:rsidRPr="002221A6">
              <w:rPr>
                <w:rFonts w:ascii="Segoe UI" w:hAnsi="Segoe UI" w:cs="Segoe UI"/>
                <w:color w:val="000000"/>
                <w:sz w:val="20"/>
                <w:szCs w:val="20"/>
              </w:rPr>
              <w:t>439,546</w:t>
            </w:r>
          </w:p>
        </w:tc>
      </w:tr>
      <w:tr w:rsidR="00403D43" w:rsidRPr="007A7837" w14:paraId="2E35FD50" w14:textId="77777777" w:rsidTr="0001422E">
        <w:trPr>
          <w:trHeight w:val="348"/>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5127D907" w14:textId="77777777" w:rsidR="00403D43" w:rsidRPr="007A7837" w:rsidRDefault="00403D43" w:rsidP="0001422E">
            <w:pPr>
              <w:spacing w:after="0"/>
              <w:rPr>
                <w:rFonts w:ascii="Calibri" w:eastAsia="Times New Roman" w:hAnsi="Calibri" w:cs="Calibri"/>
                <w:color w:val="000000"/>
                <w:sz w:val="22"/>
                <w:szCs w:val="22"/>
              </w:rPr>
            </w:pPr>
            <w:r w:rsidRPr="007A7837">
              <w:rPr>
                <w:rFonts w:ascii="Calibri" w:eastAsia="Times New Roman" w:hAnsi="Calibri" w:cs="Calibri"/>
                <w:color w:val="000000"/>
                <w:sz w:val="22"/>
                <w:szCs w:val="22"/>
              </w:rPr>
              <w:t>Free school meals eligibility</w:t>
            </w:r>
          </w:p>
        </w:tc>
        <w:tc>
          <w:tcPr>
            <w:tcW w:w="1520" w:type="dxa"/>
            <w:tcBorders>
              <w:top w:val="nil"/>
              <w:left w:val="nil"/>
              <w:bottom w:val="single" w:sz="8" w:space="0" w:color="auto"/>
              <w:right w:val="single" w:sz="8" w:space="0" w:color="auto"/>
            </w:tcBorders>
            <w:shd w:val="clear" w:color="000000" w:fill="CCFFFF"/>
            <w:noWrap/>
            <w:vAlign w:val="center"/>
            <w:hideMark/>
          </w:tcPr>
          <w:p w14:paraId="00BDD4DD" w14:textId="77777777" w:rsidR="00403D43" w:rsidRPr="007A7837" w:rsidRDefault="00403D43" w:rsidP="0001422E">
            <w:pPr>
              <w:spacing w:after="0"/>
              <w:jc w:val="center"/>
              <w:rPr>
                <w:rFonts w:ascii="Calibri" w:eastAsia="Times New Roman" w:hAnsi="Calibri" w:cs="Calibri"/>
                <w:color w:val="000000"/>
                <w:sz w:val="20"/>
                <w:szCs w:val="20"/>
              </w:rPr>
            </w:pPr>
            <w:r w:rsidRPr="007A7837">
              <w:rPr>
                <w:rFonts w:ascii="Calibri" w:hAnsi="Calibri" w:cs="Calibri"/>
                <w:color w:val="000000"/>
                <w:sz w:val="20"/>
                <w:szCs w:val="20"/>
              </w:rPr>
              <w:t>£4.10</w:t>
            </w:r>
          </w:p>
        </w:tc>
        <w:tc>
          <w:tcPr>
            <w:tcW w:w="1582" w:type="dxa"/>
            <w:tcBorders>
              <w:top w:val="nil"/>
              <w:left w:val="nil"/>
              <w:bottom w:val="single" w:sz="8" w:space="0" w:color="auto"/>
              <w:right w:val="single" w:sz="8" w:space="0" w:color="auto"/>
            </w:tcBorders>
            <w:shd w:val="clear" w:color="auto" w:fill="auto"/>
            <w:noWrap/>
            <w:vAlign w:val="center"/>
            <w:hideMark/>
          </w:tcPr>
          <w:p w14:paraId="0D9BC44E" w14:textId="77777777" w:rsidR="00403D43" w:rsidRPr="007A7837" w:rsidRDefault="00403D43" w:rsidP="0001422E">
            <w:pPr>
              <w:spacing w:after="0"/>
              <w:jc w:val="center"/>
              <w:rPr>
                <w:rFonts w:ascii="Segoe UI" w:eastAsia="Times New Roman" w:hAnsi="Segoe UI" w:cs="Segoe UI"/>
                <w:color w:val="000000"/>
                <w:sz w:val="20"/>
                <w:szCs w:val="20"/>
              </w:rPr>
            </w:pPr>
            <w:r w:rsidRPr="007A7837">
              <w:rPr>
                <w:rFonts w:ascii="Segoe UI" w:hAnsi="Segoe UI" w:cs="Segoe UI"/>
                <w:color w:val="000000"/>
                <w:sz w:val="20"/>
                <w:szCs w:val="20"/>
              </w:rPr>
              <w:t xml:space="preserve"> £</w:t>
            </w:r>
            <w:r>
              <w:rPr>
                <w:rFonts w:ascii="Segoe UI" w:hAnsi="Segoe UI" w:cs="Segoe UI"/>
                <w:color w:val="000000"/>
                <w:sz w:val="20"/>
                <w:szCs w:val="20"/>
              </w:rPr>
              <w:t xml:space="preserve"> </w:t>
            </w:r>
            <w:r w:rsidRPr="007A7837">
              <w:rPr>
                <w:rFonts w:ascii="Segoe UI" w:hAnsi="Segoe UI" w:cs="Segoe UI"/>
                <w:color w:val="000000"/>
                <w:sz w:val="20"/>
                <w:szCs w:val="20"/>
              </w:rPr>
              <w:t xml:space="preserve">114,968 </w:t>
            </w:r>
          </w:p>
        </w:tc>
        <w:tc>
          <w:tcPr>
            <w:tcW w:w="1458" w:type="dxa"/>
            <w:tcBorders>
              <w:top w:val="nil"/>
              <w:left w:val="nil"/>
              <w:bottom w:val="single" w:sz="8" w:space="0" w:color="auto"/>
              <w:right w:val="single" w:sz="8" w:space="0" w:color="auto"/>
            </w:tcBorders>
            <w:shd w:val="clear" w:color="000000" w:fill="CCFFFF"/>
            <w:noWrap/>
            <w:vAlign w:val="center"/>
            <w:hideMark/>
          </w:tcPr>
          <w:p w14:paraId="2BC6A9A6" w14:textId="77777777" w:rsidR="00403D43" w:rsidRPr="007A7837" w:rsidRDefault="00403D43" w:rsidP="0001422E">
            <w:pPr>
              <w:spacing w:after="0"/>
              <w:jc w:val="center"/>
              <w:rPr>
                <w:rFonts w:ascii="Calibri" w:eastAsia="Times New Roman" w:hAnsi="Calibri" w:cs="Calibri"/>
                <w:sz w:val="20"/>
                <w:szCs w:val="20"/>
              </w:rPr>
            </w:pPr>
            <w:r w:rsidRPr="007A7837">
              <w:rPr>
                <w:rFonts w:ascii="Calibri" w:hAnsi="Calibri" w:cs="Calibri"/>
                <w:sz w:val="20"/>
                <w:szCs w:val="20"/>
              </w:rPr>
              <w:t>£4.18</w:t>
            </w:r>
          </w:p>
        </w:tc>
        <w:tc>
          <w:tcPr>
            <w:tcW w:w="1661" w:type="dxa"/>
            <w:tcBorders>
              <w:top w:val="nil"/>
              <w:left w:val="nil"/>
              <w:bottom w:val="single" w:sz="8" w:space="0" w:color="auto"/>
              <w:right w:val="single" w:sz="8" w:space="0" w:color="auto"/>
            </w:tcBorders>
            <w:shd w:val="clear" w:color="auto" w:fill="auto"/>
            <w:noWrap/>
            <w:vAlign w:val="center"/>
            <w:hideMark/>
          </w:tcPr>
          <w:p w14:paraId="7F6704F4" w14:textId="77777777" w:rsidR="00403D43" w:rsidRPr="002221A6" w:rsidRDefault="00403D43" w:rsidP="0001422E">
            <w:pPr>
              <w:spacing w:after="0"/>
              <w:jc w:val="center"/>
              <w:rPr>
                <w:rFonts w:ascii="Segoe UI" w:hAnsi="Segoe UI" w:cs="Segoe UI"/>
                <w:color w:val="000000"/>
                <w:sz w:val="20"/>
                <w:szCs w:val="20"/>
              </w:rPr>
            </w:pPr>
            <w:r>
              <w:rPr>
                <w:rFonts w:ascii="Segoe UI" w:hAnsi="Segoe UI" w:cs="Segoe UI"/>
                <w:color w:val="000000"/>
                <w:sz w:val="20"/>
                <w:szCs w:val="20"/>
              </w:rPr>
              <w:t xml:space="preserve">£ </w:t>
            </w:r>
            <w:r w:rsidRPr="002221A6">
              <w:rPr>
                <w:rFonts w:ascii="Segoe UI" w:hAnsi="Segoe UI" w:cs="Segoe UI"/>
                <w:color w:val="000000"/>
                <w:sz w:val="20"/>
                <w:szCs w:val="20"/>
              </w:rPr>
              <w:t>113,413</w:t>
            </w:r>
          </w:p>
        </w:tc>
      </w:tr>
      <w:tr w:rsidR="00403D43" w:rsidRPr="007A7837" w14:paraId="5234F62D" w14:textId="77777777" w:rsidTr="0001422E">
        <w:trPr>
          <w:trHeight w:val="348"/>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6843C140" w14:textId="77777777" w:rsidR="00403D43" w:rsidRPr="007A7837" w:rsidRDefault="00403D43" w:rsidP="0001422E">
            <w:pPr>
              <w:spacing w:after="0"/>
              <w:rPr>
                <w:rFonts w:ascii="Calibri" w:eastAsia="Times New Roman" w:hAnsi="Calibri" w:cs="Calibri"/>
                <w:color w:val="000000"/>
                <w:sz w:val="22"/>
                <w:szCs w:val="22"/>
              </w:rPr>
            </w:pPr>
            <w:r w:rsidRPr="007A7837">
              <w:rPr>
                <w:rFonts w:ascii="Calibri" w:eastAsia="Times New Roman" w:hAnsi="Calibri" w:cs="Calibri"/>
                <w:color w:val="000000"/>
                <w:sz w:val="22"/>
                <w:szCs w:val="22"/>
              </w:rPr>
              <w:t>Staff costs supply cover</w:t>
            </w:r>
          </w:p>
        </w:tc>
        <w:tc>
          <w:tcPr>
            <w:tcW w:w="1520" w:type="dxa"/>
            <w:tcBorders>
              <w:top w:val="nil"/>
              <w:left w:val="nil"/>
              <w:bottom w:val="single" w:sz="8" w:space="0" w:color="auto"/>
              <w:right w:val="single" w:sz="8" w:space="0" w:color="auto"/>
            </w:tcBorders>
            <w:shd w:val="clear" w:color="000000" w:fill="CCFFFF"/>
            <w:noWrap/>
            <w:vAlign w:val="center"/>
            <w:hideMark/>
          </w:tcPr>
          <w:p w14:paraId="0A599044" w14:textId="77777777" w:rsidR="00403D43" w:rsidRPr="007A7837" w:rsidRDefault="00403D43" w:rsidP="0001422E">
            <w:pPr>
              <w:spacing w:after="0"/>
              <w:jc w:val="center"/>
              <w:rPr>
                <w:rFonts w:ascii="Calibri" w:eastAsia="Times New Roman" w:hAnsi="Calibri" w:cs="Calibri"/>
                <w:color w:val="000000"/>
                <w:sz w:val="20"/>
                <w:szCs w:val="20"/>
              </w:rPr>
            </w:pPr>
            <w:r w:rsidRPr="007A7837">
              <w:rPr>
                <w:rFonts w:ascii="Calibri" w:hAnsi="Calibri" w:cs="Calibri"/>
                <w:color w:val="000000"/>
                <w:sz w:val="20"/>
                <w:szCs w:val="20"/>
              </w:rPr>
              <w:t>£5.23</w:t>
            </w:r>
          </w:p>
        </w:tc>
        <w:tc>
          <w:tcPr>
            <w:tcW w:w="1582" w:type="dxa"/>
            <w:tcBorders>
              <w:top w:val="nil"/>
              <w:left w:val="nil"/>
              <w:bottom w:val="single" w:sz="8" w:space="0" w:color="auto"/>
              <w:right w:val="single" w:sz="8" w:space="0" w:color="auto"/>
            </w:tcBorders>
            <w:shd w:val="clear" w:color="auto" w:fill="auto"/>
            <w:noWrap/>
            <w:vAlign w:val="center"/>
            <w:hideMark/>
          </w:tcPr>
          <w:p w14:paraId="29003647" w14:textId="77777777" w:rsidR="00403D43" w:rsidRPr="007A7837" w:rsidRDefault="00403D43" w:rsidP="0001422E">
            <w:pPr>
              <w:spacing w:after="0"/>
              <w:jc w:val="center"/>
              <w:rPr>
                <w:rFonts w:ascii="Segoe UI" w:eastAsia="Times New Roman" w:hAnsi="Segoe UI" w:cs="Segoe UI"/>
                <w:color w:val="000000"/>
                <w:sz w:val="20"/>
                <w:szCs w:val="20"/>
              </w:rPr>
            </w:pPr>
            <w:r w:rsidRPr="007A7837">
              <w:rPr>
                <w:rFonts w:ascii="Segoe UI" w:hAnsi="Segoe UI" w:cs="Segoe UI"/>
                <w:color w:val="000000"/>
                <w:sz w:val="20"/>
                <w:szCs w:val="20"/>
              </w:rPr>
              <w:t xml:space="preserve"> £</w:t>
            </w:r>
            <w:r>
              <w:rPr>
                <w:rFonts w:ascii="Segoe UI" w:hAnsi="Segoe UI" w:cs="Segoe UI"/>
                <w:color w:val="000000"/>
                <w:sz w:val="20"/>
                <w:szCs w:val="20"/>
              </w:rPr>
              <w:t xml:space="preserve"> </w:t>
            </w:r>
            <w:r w:rsidRPr="007A7837">
              <w:rPr>
                <w:rFonts w:ascii="Segoe UI" w:hAnsi="Segoe UI" w:cs="Segoe UI"/>
                <w:color w:val="000000"/>
                <w:sz w:val="20"/>
                <w:szCs w:val="20"/>
              </w:rPr>
              <w:t xml:space="preserve">146,654 </w:t>
            </w:r>
          </w:p>
        </w:tc>
        <w:tc>
          <w:tcPr>
            <w:tcW w:w="1458" w:type="dxa"/>
            <w:tcBorders>
              <w:top w:val="nil"/>
              <w:left w:val="nil"/>
              <w:bottom w:val="single" w:sz="8" w:space="0" w:color="auto"/>
              <w:right w:val="single" w:sz="8" w:space="0" w:color="auto"/>
            </w:tcBorders>
            <w:shd w:val="clear" w:color="000000" w:fill="CCFFFF"/>
            <w:noWrap/>
            <w:vAlign w:val="center"/>
            <w:hideMark/>
          </w:tcPr>
          <w:p w14:paraId="082F16C4" w14:textId="77777777" w:rsidR="00403D43" w:rsidRPr="007A7837" w:rsidRDefault="00403D43" w:rsidP="0001422E">
            <w:pPr>
              <w:spacing w:after="0"/>
              <w:jc w:val="center"/>
              <w:rPr>
                <w:rFonts w:ascii="Calibri" w:eastAsia="Times New Roman" w:hAnsi="Calibri" w:cs="Calibri"/>
                <w:sz w:val="20"/>
                <w:szCs w:val="20"/>
              </w:rPr>
            </w:pPr>
            <w:r w:rsidRPr="007A7837">
              <w:rPr>
                <w:rFonts w:ascii="Calibri" w:hAnsi="Calibri" w:cs="Calibri"/>
                <w:sz w:val="20"/>
                <w:szCs w:val="20"/>
              </w:rPr>
              <w:t>£5.33</w:t>
            </w:r>
          </w:p>
        </w:tc>
        <w:tc>
          <w:tcPr>
            <w:tcW w:w="1661" w:type="dxa"/>
            <w:tcBorders>
              <w:top w:val="nil"/>
              <w:left w:val="nil"/>
              <w:bottom w:val="single" w:sz="8" w:space="0" w:color="auto"/>
              <w:right w:val="single" w:sz="8" w:space="0" w:color="auto"/>
            </w:tcBorders>
            <w:shd w:val="clear" w:color="auto" w:fill="auto"/>
            <w:noWrap/>
            <w:vAlign w:val="center"/>
            <w:hideMark/>
          </w:tcPr>
          <w:p w14:paraId="11890FEF" w14:textId="77777777" w:rsidR="00403D43" w:rsidRPr="002221A6" w:rsidRDefault="00403D43" w:rsidP="0001422E">
            <w:pPr>
              <w:spacing w:after="0"/>
              <w:jc w:val="center"/>
              <w:rPr>
                <w:rFonts w:ascii="Segoe UI" w:hAnsi="Segoe UI" w:cs="Segoe UI"/>
                <w:color w:val="000000"/>
                <w:sz w:val="20"/>
                <w:szCs w:val="20"/>
              </w:rPr>
            </w:pPr>
            <w:r>
              <w:rPr>
                <w:rFonts w:ascii="Segoe UI" w:hAnsi="Segoe UI" w:cs="Segoe UI"/>
                <w:color w:val="000000"/>
                <w:sz w:val="20"/>
                <w:szCs w:val="20"/>
              </w:rPr>
              <w:t xml:space="preserve">£ </w:t>
            </w:r>
            <w:r w:rsidRPr="002221A6">
              <w:rPr>
                <w:rFonts w:ascii="Segoe UI" w:hAnsi="Segoe UI" w:cs="Segoe UI"/>
                <w:color w:val="000000"/>
                <w:sz w:val="20"/>
                <w:szCs w:val="20"/>
              </w:rPr>
              <w:t>144,671</w:t>
            </w:r>
          </w:p>
        </w:tc>
      </w:tr>
      <w:tr w:rsidR="00403D43" w:rsidRPr="007A7837" w14:paraId="5CB77C86" w14:textId="77777777" w:rsidTr="0001422E">
        <w:trPr>
          <w:trHeight w:val="348"/>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54D4F895" w14:textId="77777777" w:rsidR="00403D43" w:rsidRPr="007A7837" w:rsidRDefault="00403D43" w:rsidP="0001422E">
            <w:pPr>
              <w:spacing w:after="0"/>
              <w:rPr>
                <w:rFonts w:ascii="Calibri" w:eastAsia="Times New Roman" w:hAnsi="Calibri" w:cs="Calibri"/>
                <w:color w:val="000000"/>
                <w:sz w:val="22"/>
                <w:szCs w:val="22"/>
              </w:rPr>
            </w:pPr>
            <w:r w:rsidRPr="007A7837">
              <w:rPr>
                <w:rFonts w:ascii="Calibri" w:eastAsia="Times New Roman" w:hAnsi="Calibri" w:cs="Calibri"/>
                <w:color w:val="000000"/>
                <w:sz w:val="22"/>
                <w:szCs w:val="22"/>
              </w:rPr>
              <w:t>Behaviour support services</w:t>
            </w:r>
            <w:r>
              <w:rPr>
                <w:rFonts w:ascii="Calibri" w:eastAsia="Times New Roman" w:hAnsi="Calibri" w:cs="Calibri"/>
                <w:color w:val="000000"/>
                <w:sz w:val="22"/>
                <w:szCs w:val="22"/>
              </w:rPr>
              <w:t xml:space="preserve"> </w:t>
            </w:r>
            <w:r w:rsidRPr="00D959F4">
              <w:rPr>
                <w:rFonts w:ascii="Calibri" w:eastAsia="Times New Roman" w:hAnsi="Calibri" w:cs="Calibri"/>
                <w:b/>
                <w:bCs/>
                <w:color w:val="000000"/>
                <w:sz w:val="22"/>
                <w:szCs w:val="22"/>
              </w:rPr>
              <w:t>(Primary Pupils</w:t>
            </w:r>
            <w:r>
              <w:rPr>
                <w:rFonts w:ascii="Calibri" w:eastAsia="Times New Roman" w:hAnsi="Calibri" w:cs="Calibri"/>
                <w:b/>
                <w:bCs/>
                <w:color w:val="000000"/>
                <w:sz w:val="22"/>
                <w:szCs w:val="22"/>
              </w:rPr>
              <w:t>*</w:t>
            </w:r>
            <w:r w:rsidRPr="00D959F4">
              <w:rPr>
                <w:rFonts w:ascii="Calibri" w:eastAsia="Times New Roman" w:hAnsi="Calibri" w:cs="Calibri"/>
                <w:b/>
                <w:bCs/>
                <w:color w:val="000000"/>
                <w:sz w:val="22"/>
                <w:szCs w:val="22"/>
              </w:rPr>
              <w:t>)</w:t>
            </w:r>
          </w:p>
        </w:tc>
        <w:tc>
          <w:tcPr>
            <w:tcW w:w="1520" w:type="dxa"/>
            <w:tcBorders>
              <w:top w:val="nil"/>
              <w:left w:val="nil"/>
              <w:bottom w:val="single" w:sz="8" w:space="0" w:color="auto"/>
              <w:right w:val="single" w:sz="8" w:space="0" w:color="auto"/>
            </w:tcBorders>
            <w:shd w:val="clear" w:color="000000" w:fill="CCFFFF"/>
            <w:noWrap/>
            <w:vAlign w:val="center"/>
            <w:hideMark/>
          </w:tcPr>
          <w:p w14:paraId="09515CF9" w14:textId="77777777" w:rsidR="00403D43" w:rsidRPr="007A7837" w:rsidRDefault="00403D43" w:rsidP="0001422E">
            <w:pPr>
              <w:spacing w:after="0"/>
              <w:jc w:val="center"/>
              <w:rPr>
                <w:rFonts w:ascii="Calibri" w:eastAsia="Times New Roman" w:hAnsi="Calibri" w:cs="Calibri"/>
                <w:color w:val="000000"/>
                <w:sz w:val="20"/>
                <w:szCs w:val="20"/>
              </w:rPr>
            </w:pPr>
            <w:r w:rsidRPr="007A7837">
              <w:rPr>
                <w:rFonts w:ascii="Calibri" w:hAnsi="Calibri" w:cs="Calibri"/>
                <w:color w:val="000000"/>
                <w:sz w:val="20"/>
                <w:szCs w:val="20"/>
              </w:rPr>
              <w:t>£4.40</w:t>
            </w:r>
          </w:p>
        </w:tc>
        <w:tc>
          <w:tcPr>
            <w:tcW w:w="1582" w:type="dxa"/>
            <w:tcBorders>
              <w:top w:val="nil"/>
              <w:left w:val="nil"/>
              <w:bottom w:val="single" w:sz="8" w:space="0" w:color="auto"/>
              <w:right w:val="single" w:sz="8" w:space="0" w:color="auto"/>
            </w:tcBorders>
            <w:shd w:val="clear" w:color="auto" w:fill="auto"/>
            <w:noWrap/>
            <w:vAlign w:val="center"/>
            <w:hideMark/>
          </w:tcPr>
          <w:p w14:paraId="11688511" w14:textId="77777777" w:rsidR="00403D43" w:rsidRPr="007A7837" w:rsidRDefault="00403D43" w:rsidP="0001422E">
            <w:pPr>
              <w:spacing w:after="0"/>
              <w:jc w:val="center"/>
              <w:rPr>
                <w:rFonts w:ascii="Segoe UI" w:eastAsia="Times New Roman" w:hAnsi="Segoe UI" w:cs="Segoe UI"/>
                <w:color w:val="000000"/>
                <w:sz w:val="20"/>
                <w:szCs w:val="20"/>
              </w:rPr>
            </w:pPr>
            <w:r w:rsidRPr="007A7837">
              <w:rPr>
                <w:rFonts w:ascii="Segoe UI" w:hAnsi="Segoe UI" w:cs="Segoe UI"/>
                <w:color w:val="000000"/>
                <w:sz w:val="20"/>
                <w:szCs w:val="20"/>
              </w:rPr>
              <w:t xml:space="preserve"> £</w:t>
            </w:r>
            <w:r>
              <w:rPr>
                <w:rFonts w:ascii="Segoe UI" w:hAnsi="Segoe UI" w:cs="Segoe UI"/>
                <w:color w:val="000000"/>
                <w:sz w:val="20"/>
                <w:szCs w:val="20"/>
              </w:rPr>
              <w:t xml:space="preserve">  82,179</w:t>
            </w:r>
            <w:r w:rsidRPr="007A7837">
              <w:rPr>
                <w:rFonts w:ascii="Segoe UI" w:hAnsi="Segoe UI" w:cs="Segoe UI"/>
                <w:color w:val="000000"/>
                <w:sz w:val="20"/>
                <w:szCs w:val="20"/>
              </w:rPr>
              <w:t xml:space="preserve"> </w:t>
            </w:r>
          </w:p>
        </w:tc>
        <w:tc>
          <w:tcPr>
            <w:tcW w:w="1458" w:type="dxa"/>
            <w:tcBorders>
              <w:top w:val="nil"/>
              <w:left w:val="nil"/>
              <w:bottom w:val="single" w:sz="8" w:space="0" w:color="auto"/>
              <w:right w:val="single" w:sz="8" w:space="0" w:color="auto"/>
            </w:tcBorders>
            <w:shd w:val="clear" w:color="000000" w:fill="CCFFFF"/>
            <w:noWrap/>
            <w:vAlign w:val="center"/>
            <w:hideMark/>
          </w:tcPr>
          <w:p w14:paraId="71C59106" w14:textId="77777777" w:rsidR="00403D43" w:rsidRPr="007A7837" w:rsidRDefault="00403D43" w:rsidP="0001422E">
            <w:pPr>
              <w:spacing w:after="0"/>
              <w:jc w:val="center"/>
              <w:rPr>
                <w:rFonts w:ascii="Calibri" w:eastAsia="Times New Roman" w:hAnsi="Calibri" w:cs="Calibri"/>
                <w:sz w:val="20"/>
                <w:szCs w:val="20"/>
              </w:rPr>
            </w:pPr>
            <w:r w:rsidRPr="007A7837">
              <w:rPr>
                <w:rFonts w:ascii="Calibri" w:hAnsi="Calibri" w:cs="Calibri"/>
                <w:sz w:val="20"/>
                <w:szCs w:val="20"/>
              </w:rPr>
              <w:t>£4.48</w:t>
            </w:r>
          </w:p>
        </w:tc>
        <w:tc>
          <w:tcPr>
            <w:tcW w:w="1661" w:type="dxa"/>
            <w:tcBorders>
              <w:top w:val="nil"/>
              <w:left w:val="nil"/>
              <w:bottom w:val="single" w:sz="8" w:space="0" w:color="auto"/>
              <w:right w:val="single" w:sz="8" w:space="0" w:color="auto"/>
            </w:tcBorders>
            <w:shd w:val="clear" w:color="auto" w:fill="auto"/>
            <w:noWrap/>
            <w:vAlign w:val="center"/>
            <w:hideMark/>
          </w:tcPr>
          <w:p w14:paraId="435987B1" w14:textId="77777777" w:rsidR="00403D43" w:rsidRPr="002221A6" w:rsidRDefault="00403D43" w:rsidP="0001422E">
            <w:pPr>
              <w:spacing w:after="0"/>
              <w:jc w:val="center"/>
              <w:rPr>
                <w:rFonts w:ascii="Segoe UI" w:hAnsi="Segoe UI" w:cs="Segoe UI"/>
                <w:color w:val="000000"/>
                <w:sz w:val="20"/>
                <w:szCs w:val="20"/>
              </w:rPr>
            </w:pPr>
            <w:r>
              <w:rPr>
                <w:rFonts w:ascii="Segoe UI" w:hAnsi="Segoe UI" w:cs="Segoe UI"/>
                <w:color w:val="000000"/>
                <w:sz w:val="20"/>
                <w:szCs w:val="20"/>
              </w:rPr>
              <w:t>£ 80,162</w:t>
            </w:r>
          </w:p>
        </w:tc>
      </w:tr>
      <w:tr w:rsidR="00403D43" w:rsidRPr="007A7837" w14:paraId="254EC28B" w14:textId="77777777" w:rsidTr="0001422E">
        <w:trPr>
          <w:trHeight w:val="348"/>
        </w:trPr>
        <w:tc>
          <w:tcPr>
            <w:tcW w:w="2700" w:type="dxa"/>
            <w:tcBorders>
              <w:top w:val="nil"/>
              <w:left w:val="single" w:sz="8" w:space="0" w:color="auto"/>
              <w:bottom w:val="single" w:sz="8" w:space="0" w:color="auto"/>
              <w:right w:val="single" w:sz="8" w:space="0" w:color="auto"/>
            </w:tcBorders>
            <w:shd w:val="clear" w:color="auto" w:fill="auto"/>
            <w:noWrap/>
            <w:vAlign w:val="center"/>
          </w:tcPr>
          <w:p w14:paraId="0630F7C0" w14:textId="77777777" w:rsidR="00403D43" w:rsidRPr="007A7837" w:rsidRDefault="00403D43" w:rsidP="0001422E">
            <w:pPr>
              <w:spacing w:after="0"/>
              <w:rPr>
                <w:rFonts w:ascii="Calibri" w:eastAsia="Times New Roman" w:hAnsi="Calibri" w:cs="Calibri"/>
                <w:color w:val="000000"/>
                <w:sz w:val="22"/>
                <w:szCs w:val="22"/>
              </w:rPr>
            </w:pPr>
            <w:r w:rsidRPr="007A7837">
              <w:rPr>
                <w:rFonts w:ascii="Calibri" w:eastAsia="Times New Roman" w:hAnsi="Calibri" w:cs="Calibri"/>
                <w:color w:val="000000"/>
                <w:sz w:val="22"/>
                <w:szCs w:val="22"/>
              </w:rPr>
              <w:t>Behaviour support services</w:t>
            </w:r>
            <w:r>
              <w:rPr>
                <w:rFonts w:ascii="Calibri" w:eastAsia="Times New Roman" w:hAnsi="Calibri" w:cs="Calibri"/>
                <w:color w:val="000000"/>
                <w:sz w:val="22"/>
                <w:szCs w:val="22"/>
              </w:rPr>
              <w:t xml:space="preserve"> </w:t>
            </w:r>
            <w:r w:rsidRPr="00D959F4">
              <w:rPr>
                <w:rFonts w:ascii="Calibri" w:eastAsia="Times New Roman" w:hAnsi="Calibri" w:cs="Calibri"/>
                <w:b/>
                <w:bCs/>
                <w:color w:val="000000"/>
                <w:sz w:val="22"/>
                <w:szCs w:val="22"/>
              </w:rPr>
              <w:t>(Secondary Pupils</w:t>
            </w:r>
            <w:r>
              <w:rPr>
                <w:rFonts w:ascii="Calibri" w:eastAsia="Times New Roman" w:hAnsi="Calibri" w:cs="Calibri"/>
                <w:b/>
                <w:bCs/>
                <w:color w:val="000000"/>
                <w:sz w:val="22"/>
                <w:szCs w:val="22"/>
              </w:rPr>
              <w:t>**</w:t>
            </w:r>
            <w:r w:rsidRPr="00D959F4">
              <w:rPr>
                <w:rFonts w:ascii="Calibri" w:eastAsia="Times New Roman" w:hAnsi="Calibri" w:cs="Calibri"/>
                <w:b/>
                <w:bCs/>
                <w:color w:val="000000"/>
                <w:sz w:val="22"/>
                <w:szCs w:val="22"/>
              </w:rPr>
              <w:t>)</w:t>
            </w:r>
          </w:p>
        </w:tc>
        <w:tc>
          <w:tcPr>
            <w:tcW w:w="1520" w:type="dxa"/>
            <w:tcBorders>
              <w:top w:val="nil"/>
              <w:left w:val="nil"/>
              <w:bottom w:val="single" w:sz="8" w:space="0" w:color="auto"/>
              <w:right w:val="single" w:sz="8" w:space="0" w:color="auto"/>
            </w:tcBorders>
            <w:shd w:val="clear" w:color="000000" w:fill="CCFFFF"/>
            <w:noWrap/>
            <w:vAlign w:val="center"/>
          </w:tcPr>
          <w:p w14:paraId="1F9D36C7" w14:textId="77777777" w:rsidR="00403D43" w:rsidRPr="007A7837" w:rsidRDefault="00403D43" w:rsidP="0001422E">
            <w:pPr>
              <w:spacing w:after="0"/>
              <w:jc w:val="center"/>
              <w:rPr>
                <w:rFonts w:ascii="Calibri" w:hAnsi="Calibri" w:cs="Calibri"/>
                <w:color w:val="000000"/>
                <w:sz w:val="20"/>
                <w:szCs w:val="20"/>
              </w:rPr>
            </w:pPr>
            <w:r>
              <w:rPr>
                <w:rFonts w:ascii="Calibri" w:hAnsi="Calibri" w:cs="Calibri"/>
                <w:color w:val="000000"/>
                <w:sz w:val="20"/>
                <w:szCs w:val="20"/>
              </w:rPr>
              <w:t>£7.57</w:t>
            </w:r>
          </w:p>
        </w:tc>
        <w:tc>
          <w:tcPr>
            <w:tcW w:w="1582" w:type="dxa"/>
            <w:tcBorders>
              <w:top w:val="nil"/>
              <w:left w:val="nil"/>
              <w:bottom w:val="single" w:sz="8" w:space="0" w:color="auto"/>
              <w:right w:val="single" w:sz="8" w:space="0" w:color="auto"/>
            </w:tcBorders>
            <w:shd w:val="clear" w:color="auto" w:fill="auto"/>
            <w:noWrap/>
            <w:vAlign w:val="center"/>
          </w:tcPr>
          <w:p w14:paraId="6D4B2258" w14:textId="77777777" w:rsidR="00403D43" w:rsidRPr="007A7837" w:rsidRDefault="00403D43" w:rsidP="0001422E">
            <w:pPr>
              <w:spacing w:after="0"/>
              <w:jc w:val="center"/>
              <w:rPr>
                <w:rFonts w:ascii="Segoe UI" w:hAnsi="Segoe UI" w:cs="Segoe UI"/>
                <w:color w:val="000000"/>
                <w:sz w:val="20"/>
                <w:szCs w:val="20"/>
              </w:rPr>
            </w:pPr>
            <w:r>
              <w:rPr>
                <w:rFonts w:ascii="Segoe UI" w:hAnsi="Segoe UI" w:cs="Segoe UI"/>
                <w:color w:val="000000"/>
                <w:sz w:val="20"/>
                <w:szCs w:val="20"/>
              </w:rPr>
              <w:t>£  70,885</w:t>
            </w:r>
          </w:p>
        </w:tc>
        <w:tc>
          <w:tcPr>
            <w:tcW w:w="1458" w:type="dxa"/>
            <w:tcBorders>
              <w:top w:val="nil"/>
              <w:left w:val="nil"/>
              <w:bottom w:val="single" w:sz="8" w:space="0" w:color="auto"/>
              <w:right w:val="single" w:sz="8" w:space="0" w:color="auto"/>
            </w:tcBorders>
            <w:shd w:val="clear" w:color="000000" w:fill="CCFFFF"/>
            <w:noWrap/>
            <w:vAlign w:val="center"/>
          </w:tcPr>
          <w:p w14:paraId="767170B1" w14:textId="77777777" w:rsidR="00403D43" w:rsidRPr="007A7837" w:rsidRDefault="00403D43" w:rsidP="0001422E">
            <w:pPr>
              <w:spacing w:after="0"/>
              <w:jc w:val="center"/>
              <w:rPr>
                <w:rFonts w:ascii="Calibri" w:hAnsi="Calibri" w:cs="Calibri"/>
                <w:sz w:val="20"/>
                <w:szCs w:val="20"/>
              </w:rPr>
            </w:pPr>
            <w:r>
              <w:rPr>
                <w:rFonts w:ascii="Calibri" w:hAnsi="Calibri" w:cs="Calibri"/>
                <w:sz w:val="20"/>
                <w:szCs w:val="20"/>
              </w:rPr>
              <w:t>£7.71</w:t>
            </w:r>
          </w:p>
        </w:tc>
        <w:tc>
          <w:tcPr>
            <w:tcW w:w="1661" w:type="dxa"/>
            <w:tcBorders>
              <w:top w:val="nil"/>
              <w:left w:val="nil"/>
              <w:bottom w:val="single" w:sz="8" w:space="0" w:color="auto"/>
              <w:right w:val="single" w:sz="8" w:space="0" w:color="auto"/>
            </w:tcBorders>
            <w:shd w:val="clear" w:color="auto" w:fill="auto"/>
            <w:noWrap/>
            <w:vAlign w:val="center"/>
          </w:tcPr>
          <w:p w14:paraId="78FD37B3" w14:textId="77777777" w:rsidR="00403D43" w:rsidRDefault="00403D43" w:rsidP="0001422E">
            <w:pPr>
              <w:spacing w:after="0"/>
              <w:jc w:val="center"/>
              <w:rPr>
                <w:rFonts w:ascii="Segoe UI" w:hAnsi="Segoe UI" w:cs="Segoe UI"/>
                <w:color w:val="000000"/>
                <w:sz w:val="20"/>
                <w:szCs w:val="20"/>
              </w:rPr>
            </w:pPr>
            <w:r>
              <w:rPr>
                <w:rFonts w:ascii="Segoe UI" w:hAnsi="Segoe UI" w:cs="Segoe UI"/>
                <w:color w:val="000000"/>
                <w:sz w:val="20"/>
                <w:szCs w:val="20"/>
              </w:rPr>
              <w:t>£ 71,484</w:t>
            </w:r>
          </w:p>
        </w:tc>
      </w:tr>
      <w:tr w:rsidR="00403D43" w:rsidRPr="007A7837" w14:paraId="487D46D1" w14:textId="77777777" w:rsidTr="0001422E">
        <w:trPr>
          <w:trHeight w:val="348"/>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598A135B" w14:textId="77777777" w:rsidR="00403D43" w:rsidRPr="007A7837" w:rsidRDefault="00403D43" w:rsidP="0001422E">
            <w:pPr>
              <w:spacing w:after="0"/>
              <w:rPr>
                <w:rFonts w:ascii="Calibri" w:eastAsia="Times New Roman" w:hAnsi="Calibri" w:cs="Calibri"/>
                <w:color w:val="000000"/>
                <w:sz w:val="22"/>
                <w:szCs w:val="22"/>
              </w:rPr>
            </w:pPr>
            <w:r w:rsidRPr="007A7837">
              <w:rPr>
                <w:rFonts w:ascii="Calibri" w:eastAsia="Times New Roman" w:hAnsi="Calibri" w:cs="Calibri"/>
                <w:color w:val="000000"/>
                <w:sz w:val="22"/>
                <w:szCs w:val="22"/>
              </w:rPr>
              <w:t>School improvement services</w:t>
            </w:r>
          </w:p>
        </w:tc>
        <w:tc>
          <w:tcPr>
            <w:tcW w:w="1520" w:type="dxa"/>
            <w:tcBorders>
              <w:top w:val="nil"/>
              <w:left w:val="nil"/>
              <w:bottom w:val="single" w:sz="8" w:space="0" w:color="auto"/>
              <w:right w:val="single" w:sz="8" w:space="0" w:color="auto"/>
            </w:tcBorders>
            <w:shd w:val="clear" w:color="000000" w:fill="CCFFFF"/>
            <w:noWrap/>
            <w:vAlign w:val="center"/>
            <w:hideMark/>
          </w:tcPr>
          <w:p w14:paraId="21156121" w14:textId="77777777" w:rsidR="00403D43" w:rsidRPr="007A7837" w:rsidRDefault="00403D43" w:rsidP="0001422E">
            <w:pPr>
              <w:spacing w:after="0"/>
              <w:jc w:val="center"/>
              <w:rPr>
                <w:rFonts w:ascii="Calibri" w:eastAsia="Times New Roman" w:hAnsi="Calibri" w:cs="Calibri"/>
                <w:color w:val="000000"/>
                <w:sz w:val="20"/>
                <w:szCs w:val="20"/>
              </w:rPr>
            </w:pPr>
            <w:r w:rsidRPr="007A7837">
              <w:rPr>
                <w:rFonts w:ascii="Calibri" w:hAnsi="Calibri" w:cs="Calibri"/>
                <w:color w:val="000000"/>
                <w:sz w:val="20"/>
                <w:szCs w:val="20"/>
              </w:rPr>
              <w:t>£11.77</w:t>
            </w:r>
          </w:p>
        </w:tc>
        <w:tc>
          <w:tcPr>
            <w:tcW w:w="1582" w:type="dxa"/>
            <w:tcBorders>
              <w:top w:val="nil"/>
              <w:left w:val="nil"/>
              <w:bottom w:val="single" w:sz="8" w:space="0" w:color="auto"/>
              <w:right w:val="single" w:sz="8" w:space="0" w:color="auto"/>
            </w:tcBorders>
            <w:shd w:val="clear" w:color="auto" w:fill="auto"/>
            <w:noWrap/>
            <w:vAlign w:val="center"/>
            <w:hideMark/>
          </w:tcPr>
          <w:p w14:paraId="4C3BE503" w14:textId="77777777" w:rsidR="00403D43" w:rsidRPr="007A7837" w:rsidRDefault="00403D43" w:rsidP="0001422E">
            <w:pPr>
              <w:spacing w:after="0"/>
              <w:jc w:val="center"/>
              <w:rPr>
                <w:rFonts w:ascii="Segoe UI" w:eastAsia="Times New Roman" w:hAnsi="Segoe UI" w:cs="Segoe UI"/>
                <w:color w:val="000000"/>
                <w:sz w:val="20"/>
                <w:szCs w:val="20"/>
              </w:rPr>
            </w:pPr>
            <w:r w:rsidRPr="007A7837">
              <w:rPr>
                <w:rFonts w:ascii="Segoe UI" w:hAnsi="Segoe UI" w:cs="Segoe UI"/>
                <w:color w:val="000000"/>
                <w:sz w:val="20"/>
                <w:szCs w:val="20"/>
              </w:rPr>
              <w:t xml:space="preserve"> £</w:t>
            </w:r>
            <w:r>
              <w:rPr>
                <w:rFonts w:ascii="Segoe UI" w:hAnsi="Segoe UI" w:cs="Segoe UI"/>
                <w:color w:val="000000"/>
                <w:sz w:val="20"/>
                <w:szCs w:val="20"/>
              </w:rPr>
              <w:t xml:space="preserve"> </w:t>
            </w:r>
            <w:r w:rsidRPr="007A7837">
              <w:rPr>
                <w:rFonts w:ascii="Segoe UI" w:hAnsi="Segoe UI" w:cs="Segoe UI"/>
                <w:color w:val="000000"/>
                <w:sz w:val="20"/>
                <w:szCs w:val="20"/>
              </w:rPr>
              <w:t xml:space="preserve">330,043 </w:t>
            </w:r>
          </w:p>
        </w:tc>
        <w:tc>
          <w:tcPr>
            <w:tcW w:w="1458" w:type="dxa"/>
            <w:tcBorders>
              <w:top w:val="nil"/>
              <w:left w:val="nil"/>
              <w:bottom w:val="single" w:sz="8" w:space="0" w:color="auto"/>
              <w:right w:val="single" w:sz="8" w:space="0" w:color="auto"/>
            </w:tcBorders>
            <w:shd w:val="clear" w:color="000000" w:fill="CCFFFF"/>
            <w:noWrap/>
            <w:vAlign w:val="center"/>
            <w:hideMark/>
          </w:tcPr>
          <w:p w14:paraId="30CD7C82" w14:textId="77777777" w:rsidR="00403D43" w:rsidRPr="007A7837" w:rsidRDefault="00403D43" w:rsidP="0001422E">
            <w:pPr>
              <w:spacing w:after="0"/>
              <w:jc w:val="center"/>
              <w:rPr>
                <w:rFonts w:ascii="Calibri" w:eastAsia="Times New Roman" w:hAnsi="Calibri" w:cs="Calibri"/>
                <w:sz w:val="20"/>
                <w:szCs w:val="20"/>
              </w:rPr>
            </w:pPr>
            <w:r w:rsidRPr="007A7837">
              <w:rPr>
                <w:rFonts w:ascii="Calibri" w:hAnsi="Calibri" w:cs="Calibri"/>
                <w:sz w:val="20"/>
                <w:szCs w:val="20"/>
              </w:rPr>
              <w:t>£6.20</w:t>
            </w:r>
          </w:p>
        </w:tc>
        <w:tc>
          <w:tcPr>
            <w:tcW w:w="1661" w:type="dxa"/>
            <w:tcBorders>
              <w:top w:val="nil"/>
              <w:left w:val="nil"/>
              <w:bottom w:val="single" w:sz="8" w:space="0" w:color="auto"/>
              <w:right w:val="single" w:sz="8" w:space="0" w:color="auto"/>
            </w:tcBorders>
            <w:shd w:val="clear" w:color="auto" w:fill="auto"/>
            <w:noWrap/>
            <w:vAlign w:val="center"/>
            <w:hideMark/>
          </w:tcPr>
          <w:p w14:paraId="562E4797" w14:textId="77777777" w:rsidR="00403D43" w:rsidRPr="002221A6" w:rsidRDefault="00403D43" w:rsidP="0001422E">
            <w:pPr>
              <w:spacing w:after="0"/>
              <w:jc w:val="center"/>
              <w:rPr>
                <w:rFonts w:ascii="Segoe UI" w:hAnsi="Segoe UI" w:cs="Segoe UI"/>
                <w:color w:val="000000"/>
                <w:sz w:val="20"/>
                <w:szCs w:val="20"/>
              </w:rPr>
            </w:pPr>
            <w:r>
              <w:rPr>
                <w:rFonts w:ascii="Segoe UI" w:hAnsi="Segoe UI" w:cs="Segoe UI"/>
                <w:color w:val="000000"/>
                <w:sz w:val="20"/>
                <w:szCs w:val="20"/>
              </w:rPr>
              <w:t xml:space="preserve">£ </w:t>
            </w:r>
            <w:r w:rsidRPr="002221A6">
              <w:rPr>
                <w:rFonts w:ascii="Segoe UI" w:hAnsi="Segoe UI" w:cs="Segoe UI"/>
                <w:color w:val="000000"/>
                <w:sz w:val="20"/>
                <w:szCs w:val="20"/>
              </w:rPr>
              <w:t>168,305</w:t>
            </w:r>
          </w:p>
        </w:tc>
      </w:tr>
      <w:tr w:rsidR="00403D43" w:rsidRPr="007A7837" w14:paraId="6DF54056" w14:textId="77777777" w:rsidTr="0001422E">
        <w:trPr>
          <w:trHeight w:val="348"/>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0912AD66" w14:textId="77777777" w:rsidR="00403D43" w:rsidRPr="007A7837" w:rsidRDefault="00403D43" w:rsidP="0001422E">
            <w:pPr>
              <w:spacing w:after="0"/>
              <w:rPr>
                <w:rFonts w:ascii="Calibri" w:eastAsia="Times New Roman" w:hAnsi="Calibri" w:cs="Calibri"/>
                <w:b/>
                <w:bCs/>
                <w:color w:val="000000"/>
                <w:sz w:val="22"/>
                <w:szCs w:val="22"/>
              </w:rPr>
            </w:pPr>
            <w:r w:rsidRPr="007A7837">
              <w:rPr>
                <w:rFonts w:ascii="Calibri" w:eastAsia="Times New Roman" w:hAnsi="Calibri" w:cs="Calibri"/>
                <w:b/>
                <w:bCs/>
                <w:color w:val="000000"/>
                <w:sz w:val="22"/>
                <w:szCs w:val="22"/>
              </w:rPr>
              <w:t>total De Delegation</w:t>
            </w:r>
          </w:p>
        </w:tc>
        <w:tc>
          <w:tcPr>
            <w:tcW w:w="1520" w:type="dxa"/>
            <w:tcBorders>
              <w:top w:val="nil"/>
              <w:left w:val="nil"/>
              <w:bottom w:val="single" w:sz="8" w:space="0" w:color="auto"/>
              <w:right w:val="single" w:sz="8" w:space="0" w:color="auto"/>
            </w:tcBorders>
            <w:shd w:val="clear" w:color="000000" w:fill="ACB9CA"/>
            <w:noWrap/>
            <w:vAlign w:val="center"/>
            <w:hideMark/>
          </w:tcPr>
          <w:p w14:paraId="2C92E3FE" w14:textId="77777777" w:rsidR="00403D43" w:rsidRPr="00B4291B" w:rsidRDefault="00403D43" w:rsidP="0001422E">
            <w:pPr>
              <w:spacing w:after="0"/>
              <w:jc w:val="center"/>
              <w:rPr>
                <w:rFonts w:ascii="Calibri" w:hAnsi="Calibri" w:cs="Calibri"/>
                <w:color w:val="000000"/>
                <w:sz w:val="20"/>
                <w:szCs w:val="20"/>
              </w:rPr>
            </w:pPr>
            <w:r w:rsidRPr="00B4291B">
              <w:rPr>
                <w:rFonts w:ascii="Calibri" w:hAnsi="Calibri" w:cs="Calibri"/>
                <w:color w:val="000000"/>
                <w:sz w:val="20"/>
                <w:szCs w:val="20"/>
              </w:rPr>
              <w:t>£41.39</w:t>
            </w:r>
            <w:r w:rsidRPr="00B4291B">
              <w:rPr>
                <w:rFonts w:ascii="Calibri" w:hAnsi="Calibri" w:cs="Calibri"/>
                <w:b/>
                <w:bCs/>
                <w:color w:val="000000"/>
                <w:sz w:val="20"/>
                <w:szCs w:val="20"/>
              </w:rPr>
              <w:t xml:space="preserve"> (Pri</w:t>
            </w:r>
            <w:r>
              <w:rPr>
                <w:rFonts w:ascii="Calibri" w:hAnsi="Calibri" w:cs="Calibri"/>
                <w:b/>
                <w:bCs/>
                <w:color w:val="000000"/>
                <w:sz w:val="20"/>
                <w:szCs w:val="20"/>
              </w:rPr>
              <w:t>*</w:t>
            </w:r>
            <w:r w:rsidRPr="00B4291B">
              <w:rPr>
                <w:rFonts w:ascii="Calibri" w:hAnsi="Calibri" w:cs="Calibri"/>
                <w:b/>
                <w:bCs/>
                <w:color w:val="000000"/>
                <w:sz w:val="20"/>
                <w:szCs w:val="20"/>
              </w:rPr>
              <w:t>)</w:t>
            </w:r>
          </w:p>
          <w:p w14:paraId="1A415B1F" w14:textId="77777777" w:rsidR="00403D43" w:rsidRPr="007A7837" w:rsidRDefault="00403D43" w:rsidP="0001422E">
            <w:pPr>
              <w:spacing w:after="0"/>
              <w:jc w:val="center"/>
              <w:rPr>
                <w:rFonts w:ascii="Calibri" w:eastAsia="Times New Roman" w:hAnsi="Calibri" w:cs="Calibri"/>
                <w:i/>
                <w:iCs/>
                <w:color w:val="000000"/>
                <w:sz w:val="20"/>
                <w:szCs w:val="20"/>
              </w:rPr>
            </w:pPr>
            <w:r w:rsidRPr="00B4291B">
              <w:rPr>
                <w:rFonts w:ascii="Calibri" w:hAnsi="Calibri" w:cs="Calibri"/>
                <w:color w:val="000000"/>
                <w:sz w:val="20"/>
                <w:szCs w:val="20"/>
              </w:rPr>
              <w:t xml:space="preserve">£44.56 </w:t>
            </w:r>
            <w:r w:rsidRPr="00B4291B">
              <w:rPr>
                <w:rFonts w:ascii="Calibri" w:hAnsi="Calibri" w:cs="Calibri"/>
                <w:b/>
                <w:bCs/>
                <w:color w:val="000000"/>
                <w:sz w:val="20"/>
                <w:szCs w:val="20"/>
              </w:rPr>
              <w:t>(Sec</w:t>
            </w:r>
            <w:r>
              <w:rPr>
                <w:rFonts w:ascii="Calibri" w:hAnsi="Calibri" w:cs="Calibri"/>
                <w:b/>
                <w:bCs/>
                <w:color w:val="000000"/>
                <w:sz w:val="20"/>
                <w:szCs w:val="20"/>
              </w:rPr>
              <w:t>**</w:t>
            </w:r>
            <w:r w:rsidRPr="00B4291B">
              <w:rPr>
                <w:rFonts w:ascii="Calibri" w:hAnsi="Calibri" w:cs="Calibri"/>
                <w:b/>
                <w:bCs/>
                <w:color w:val="000000"/>
                <w:sz w:val="20"/>
                <w:szCs w:val="20"/>
              </w:rPr>
              <w:t>)</w:t>
            </w:r>
          </w:p>
        </w:tc>
        <w:tc>
          <w:tcPr>
            <w:tcW w:w="1582" w:type="dxa"/>
            <w:tcBorders>
              <w:top w:val="nil"/>
              <w:left w:val="nil"/>
              <w:bottom w:val="single" w:sz="8" w:space="0" w:color="auto"/>
              <w:right w:val="single" w:sz="8" w:space="0" w:color="auto"/>
            </w:tcBorders>
            <w:shd w:val="clear" w:color="auto" w:fill="auto"/>
            <w:noWrap/>
            <w:vAlign w:val="center"/>
            <w:hideMark/>
          </w:tcPr>
          <w:p w14:paraId="5851718D" w14:textId="77777777" w:rsidR="00403D43" w:rsidRPr="007A7837" w:rsidRDefault="00403D43" w:rsidP="0001422E">
            <w:pPr>
              <w:spacing w:after="0"/>
              <w:jc w:val="center"/>
              <w:rPr>
                <w:rFonts w:ascii="Segoe UI" w:eastAsia="Times New Roman" w:hAnsi="Segoe UI" w:cs="Segoe UI"/>
                <w:b/>
                <w:bCs/>
                <w:color w:val="000000"/>
                <w:sz w:val="20"/>
                <w:szCs w:val="20"/>
              </w:rPr>
            </w:pPr>
            <w:r w:rsidRPr="007A7837">
              <w:rPr>
                <w:rFonts w:ascii="Segoe UI" w:hAnsi="Segoe UI" w:cs="Segoe UI"/>
                <w:b/>
                <w:bCs/>
                <w:color w:val="000000"/>
                <w:sz w:val="20"/>
                <w:szCs w:val="20"/>
              </w:rPr>
              <w:t xml:space="preserve"> £</w:t>
            </w:r>
            <w:r>
              <w:rPr>
                <w:rFonts w:ascii="Segoe UI" w:hAnsi="Segoe UI" w:cs="Segoe UI"/>
                <w:b/>
                <w:bCs/>
                <w:color w:val="000000"/>
                <w:sz w:val="20"/>
                <w:szCs w:val="20"/>
              </w:rPr>
              <w:t xml:space="preserve"> </w:t>
            </w:r>
            <w:r w:rsidRPr="007A7837">
              <w:rPr>
                <w:rFonts w:ascii="Segoe UI" w:hAnsi="Segoe UI" w:cs="Segoe UI"/>
                <w:b/>
                <w:bCs/>
                <w:color w:val="000000"/>
                <w:sz w:val="20"/>
                <w:szCs w:val="20"/>
              </w:rPr>
              <w:t xml:space="preserve">1,190,301 </w:t>
            </w:r>
          </w:p>
        </w:tc>
        <w:tc>
          <w:tcPr>
            <w:tcW w:w="1458" w:type="dxa"/>
            <w:tcBorders>
              <w:top w:val="nil"/>
              <w:left w:val="nil"/>
              <w:bottom w:val="single" w:sz="8" w:space="0" w:color="auto"/>
              <w:right w:val="single" w:sz="8" w:space="0" w:color="auto"/>
            </w:tcBorders>
            <w:shd w:val="clear" w:color="000000" w:fill="ACB9CA"/>
            <w:noWrap/>
            <w:vAlign w:val="center"/>
            <w:hideMark/>
          </w:tcPr>
          <w:p w14:paraId="477E1E64" w14:textId="77777777" w:rsidR="00403D43" w:rsidRPr="008A242C" w:rsidRDefault="00403D43" w:rsidP="0001422E">
            <w:pPr>
              <w:spacing w:after="0"/>
              <w:jc w:val="center"/>
              <w:rPr>
                <w:rFonts w:ascii="Calibri" w:hAnsi="Calibri" w:cs="Calibri"/>
                <w:color w:val="000000"/>
                <w:sz w:val="20"/>
                <w:szCs w:val="20"/>
              </w:rPr>
            </w:pPr>
            <w:r w:rsidRPr="008A242C">
              <w:rPr>
                <w:rFonts w:ascii="Calibri" w:hAnsi="Calibri" w:cs="Calibri"/>
                <w:color w:val="000000"/>
                <w:sz w:val="20"/>
                <w:szCs w:val="20"/>
              </w:rPr>
              <w:t xml:space="preserve">£36.38 </w:t>
            </w:r>
            <w:r w:rsidRPr="008A242C">
              <w:rPr>
                <w:rFonts w:ascii="Calibri" w:hAnsi="Calibri" w:cs="Calibri"/>
                <w:b/>
                <w:bCs/>
                <w:color w:val="000000"/>
                <w:sz w:val="20"/>
                <w:szCs w:val="20"/>
              </w:rPr>
              <w:t>(Pri*)</w:t>
            </w:r>
          </w:p>
          <w:p w14:paraId="4C60B8F2" w14:textId="77777777" w:rsidR="00403D43" w:rsidRPr="007A7837" w:rsidRDefault="00403D43" w:rsidP="0001422E">
            <w:pPr>
              <w:spacing w:after="0"/>
              <w:jc w:val="center"/>
              <w:rPr>
                <w:rFonts w:ascii="Calibri" w:eastAsia="Times New Roman" w:hAnsi="Calibri" w:cs="Calibri"/>
                <w:i/>
                <w:iCs/>
                <w:color w:val="000000"/>
                <w:sz w:val="20"/>
                <w:szCs w:val="20"/>
              </w:rPr>
            </w:pPr>
            <w:r w:rsidRPr="008A242C">
              <w:rPr>
                <w:rFonts w:ascii="Calibri" w:eastAsia="Times New Roman" w:hAnsi="Calibri" w:cs="Calibri"/>
                <w:color w:val="000000"/>
                <w:sz w:val="20"/>
                <w:szCs w:val="20"/>
              </w:rPr>
              <w:t>£39.61</w:t>
            </w:r>
            <w:r w:rsidRPr="008A242C">
              <w:rPr>
                <w:rFonts w:ascii="Calibri" w:eastAsia="Times New Roman" w:hAnsi="Calibri" w:cs="Calibri"/>
                <w:b/>
                <w:bCs/>
                <w:color w:val="000000"/>
                <w:sz w:val="20"/>
                <w:szCs w:val="20"/>
              </w:rPr>
              <w:t xml:space="preserve"> (Sec**)</w:t>
            </w:r>
          </w:p>
        </w:tc>
        <w:tc>
          <w:tcPr>
            <w:tcW w:w="1661" w:type="dxa"/>
            <w:tcBorders>
              <w:top w:val="nil"/>
              <w:left w:val="nil"/>
              <w:bottom w:val="single" w:sz="8" w:space="0" w:color="auto"/>
              <w:right w:val="single" w:sz="8" w:space="0" w:color="auto"/>
            </w:tcBorders>
            <w:shd w:val="clear" w:color="auto" w:fill="auto"/>
            <w:noWrap/>
            <w:vAlign w:val="center"/>
            <w:hideMark/>
          </w:tcPr>
          <w:p w14:paraId="35A3F4DB" w14:textId="77777777" w:rsidR="00403D43" w:rsidRPr="002221A6" w:rsidRDefault="00403D43" w:rsidP="0001422E">
            <w:pPr>
              <w:spacing w:after="0"/>
              <w:jc w:val="center"/>
              <w:rPr>
                <w:rFonts w:ascii="Segoe UI" w:hAnsi="Segoe UI" w:cs="Segoe UI"/>
                <w:b/>
                <w:bCs/>
                <w:color w:val="000000"/>
                <w:sz w:val="20"/>
                <w:szCs w:val="20"/>
              </w:rPr>
            </w:pPr>
            <w:r>
              <w:rPr>
                <w:rFonts w:ascii="Segoe UI" w:hAnsi="Segoe UI" w:cs="Segoe UI"/>
                <w:b/>
                <w:bCs/>
                <w:color w:val="000000"/>
                <w:sz w:val="20"/>
                <w:szCs w:val="20"/>
              </w:rPr>
              <w:t>£ 1,017,581</w:t>
            </w:r>
          </w:p>
        </w:tc>
      </w:tr>
      <w:tr w:rsidR="00403D43" w:rsidRPr="007A7837" w14:paraId="16315BA1" w14:textId="77777777" w:rsidTr="0001422E">
        <w:trPr>
          <w:trHeight w:val="348"/>
        </w:trPr>
        <w:tc>
          <w:tcPr>
            <w:tcW w:w="2700" w:type="dxa"/>
            <w:tcBorders>
              <w:top w:val="nil"/>
              <w:left w:val="single" w:sz="8" w:space="0" w:color="auto"/>
              <w:bottom w:val="nil"/>
              <w:right w:val="single" w:sz="8" w:space="0" w:color="auto"/>
            </w:tcBorders>
            <w:shd w:val="clear" w:color="auto" w:fill="auto"/>
            <w:noWrap/>
            <w:vAlign w:val="center"/>
            <w:hideMark/>
          </w:tcPr>
          <w:p w14:paraId="74B207B8" w14:textId="77777777" w:rsidR="00403D43" w:rsidRPr="007A7837" w:rsidRDefault="00403D43" w:rsidP="0001422E">
            <w:pPr>
              <w:spacing w:after="0"/>
              <w:rPr>
                <w:rFonts w:ascii="Calibri" w:eastAsia="Times New Roman" w:hAnsi="Calibri" w:cs="Calibri"/>
                <w:b/>
                <w:bCs/>
                <w:color w:val="000000"/>
                <w:sz w:val="22"/>
                <w:szCs w:val="22"/>
              </w:rPr>
            </w:pPr>
            <w:r w:rsidRPr="007A7837">
              <w:rPr>
                <w:rFonts w:ascii="Calibri" w:eastAsia="Times New Roman" w:hAnsi="Calibri" w:cs="Calibri"/>
                <w:b/>
                <w:bCs/>
                <w:color w:val="000000"/>
                <w:sz w:val="22"/>
                <w:szCs w:val="22"/>
              </w:rPr>
              <w:t>Education Services</w:t>
            </w:r>
          </w:p>
        </w:tc>
        <w:tc>
          <w:tcPr>
            <w:tcW w:w="1520" w:type="dxa"/>
            <w:tcBorders>
              <w:top w:val="nil"/>
              <w:left w:val="nil"/>
              <w:bottom w:val="nil"/>
              <w:right w:val="single" w:sz="8" w:space="0" w:color="auto"/>
            </w:tcBorders>
            <w:shd w:val="clear" w:color="000000" w:fill="CCCCFF"/>
            <w:noWrap/>
            <w:vAlign w:val="center"/>
            <w:hideMark/>
          </w:tcPr>
          <w:p w14:paraId="6CDF0E02" w14:textId="77777777" w:rsidR="00403D43" w:rsidRPr="007A7837" w:rsidRDefault="00403D43" w:rsidP="0001422E">
            <w:pPr>
              <w:spacing w:after="0"/>
              <w:jc w:val="center"/>
              <w:rPr>
                <w:rFonts w:ascii="Calibri" w:eastAsia="Times New Roman" w:hAnsi="Calibri" w:cs="Calibri"/>
                <w:color w:val="000000"/>
                <w:sz w:val="20"/>
                <w:szCs w:val="20"/>
              </w:rPr>
            </w:pPr>
            <w:r w:rsidRPr="007A7837">
              <w:rPr>
                <w:rFonts w:ascii="Calibri" w:hAnsi="Calibri" w:cs="Calibri"/>
                <w:color w:val="000000"/>
                <w:sz w:val="20"/>
                <w:szCs w:val="20"/>
              </w:rPr>
              <w:t>£28.89</w:t>
            </w:r>
          </w:p>
        </w:tc>
        <w:tc>
          <w:tcPr>
            <w:tcW w:w="1582" w:type="dxa"/>
            <w:tcBorders>
              <w:top w:val="nil"/>
              <w:left w:val="nil"/>
              <w:bottom w:val="nil"/>
              <w:right w:val="single" w:sz="8" w:space="0" w:color="auto"/>
            </w:tcBorders>
            <w:shd w:val="clear" w:color="auto" w:fill="auto"/>
            <w:noWrap/>
            <w:vAlign w:val="center"/>
            <w:hideMark/>
          </w:tcPr>
          <w:p w14:paraId="44295FC8" w14:textId="77777777" w:rsidR="00403D43" w:rsidRPr="002221A6" w:rsidRDefault="00403D43" w:rsidP="0001422E">
            <w:pPr>
              <w:spacing w:after="0"/>
              <w:jc w:val="center"/>
              <w:rPr>
                <w:rFonts w:ascii="Segoe UI" w:eastAsia="Times New Roman" w:hAnsi="Segoe UI" w:cs="Segoe UI"/>
                <w:color w:val="000000"/>
                <w:sz w:val="20"/>
                <w:szCs w:val="20"/>
              </w:rPr>
            </w:pPr>
            <w:r w:rsidRPr="002221A6">
              <w:rPr>
                <w:rFonts w:ascii="Segoe UI" w:hAnsi="Segoe UI" w:cs="Segoe UI"/>
                <w:color w:val="000000"/>
                <w:sz w:val="20"/>
                <w:szCs w:val="20"/>
              </w:rPr>
              <w:t xml:space="preserve"> £</w:t>
            </w:r>
            <w:r>
              <w:rPr>
                <w:rFonts w:ascii="Segoe UI" w:hAnsi="Segoe UI" w:cs="Segoe UI"/>
                <w:color w:val="000000"/>
                <w:sz w:val="20"/>
                <w:szCs w:val="20"/>
              </w:rPr>
              <w:t xml:space="preserve"> </w:t>
            </w:r>
            <w:r w:rsidRPr="002221A6">
              <w:rPr>
                <w:rFonts w:ascii="Segoe UI" w:hAnsi="Segoe UI" w:cs="Segoe UI"/>
                <w:color w:val="000000"/>
                <w:sz w:val="20"/>
                <w:szCs w:val="20"/>
              </w:rPr>
              <w:t xml:space="preserve">810,104 </w:t>
            </w:r>
          </w:p>
        </w:tc>
        <w:tc>
          <w:tcPr>
            <w:tcW w:w="1458" w:type="dxa"/>
            <w:tcBorders>
              <w:top w:val="nil"/>
              <w:left w:val="nil"/>
              <w:bottom w:val="nil"/>
              <w:right w:val="single" w:sz="8" w:space="0" w:color="auto"/>
            </w:tcBorders>
            <w:shd w:val="clear" w:color="000000" w:fill="CCCCFF"/>
            <w:noWrap/>
            <w:vAlign w:val="center"/>
            <w:hideMark/>
          </w:tcPr>
          <w:p w14:paraId="024C5BA5" w14:textId="77777777" w:rsidR="00403D43" w:rsidRPr="007A7837" w:rsidRDefault="00403D43" w:rsidP="0001422E">
            <w:pPr>
              <w:spacing w:after="0"/>
              <w:jc w:val="center"/>
              <w:rPr>
                <w:rFonts w:ascii="Calibri" w:eastAsia="Times New Roman" w:hAnsi="Calibri" w:cs="Calibri"/>
                <w:color w:val="000000"/>
                <w:sz w:val="20"/>
                <w:szCs w:val="20"/>
              </w:rPr>
            </w:pPr>
            <w:r w:rsidRPr="007A7837">
              <w:rPr>
                <w:rFonts w:ascii="Calibri" w:hAnsi="Calibri" w:cs="Calibri"/>
                <w:color w:val="000000"/>
                <w:sz w:val="20"/>
                <w:szCs w:val="20"/>
              </w:rPr>
              <w:t>£29.44</w:t>
            </w:r>
          </w:p>
        </w:tc>
        <w:tc>
          <w:tcPr>
            <w:tcW w:w="1661" w:type="dxa"/>
            <w:tcBorders>
              <w:top w:val="nil"/>
              <w:left w:val="nil"/>
              <w:bottom w:val="nil"/>
              <w:right w:val="single" w:sz="8" w:space="0" w:color="auto"/>
            </w:tcBorders>
            <w:shd w:val="clear" w:color="auto" w:fill="auto"/>
            <w:noWrap/>
            <w:vAlign w:val="center"/>
            <w:hideMark/>
          </w:tcPr>
          <w:p w14:paraId="46647034" w14:textId="77777777" w:rsidR="00403D43" w:rsidRPr="002221A6" w:rsidRDefault="00403D43" w:rsidP="0001422E">
            <w:pPr>
              <w:spacing w:after="0"/>
              <w:jc w:val="center"/>
              <w:rPr>
                <w:rFonts w:ascii="Segoe UI" w:hAnsi="Segoe UI" w:cs="Segoe UI"/>
                <w:color w:val="000000"/>
                <w:sz w:val="20"/>
                <w:szCs w:val="20"/>
              </w:rPr>
            </w:pPr>
            <w:r>
              <w:rPr>
                <w:rFonts w:ascii="Segoe UI" w:hAnsi="Segoe UI" w:cs="Segoe UI"/>
                <w:color w:val="000000"/>
                <w:sz w:val="20"/>
                <w:szCs w:val="20"/>
              </w:rPr>
              <w:t xml:space="preserve">£ </w:t>
            </w:r>
            <w:r w:rsidRPr="002221A6">
              <w:rPr>
                <w:rFonts w:ascii="Segoe UI" w:hAnsi="Segoe UI" w:cs="Segoe UI"/>
                <w:color w:val="000000"/>
                <w:sz w:val="20"/>
                <w:szCs w:val="20"/>
              </w:rPr>
              <w:t>799,149</w:t>
            </w:r>
          </w:p>
        </w:tc>
      </w:tr>
      <w:tr w:rsidR="00403D43" w:rsidRPr="007A7837" w14:paraId="02BA8913" w14:textId="77777777" w:rsidTr="0001422E">
        <w:trPr>
          <w:trHeight w:val="348"/>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4E6B5" w14:textId="77777777" w:rsidR="00403D43" w:rsidRPr="007A7837" w:rsidRDefault="00403D43" w:rsidP="0001422E">
            <w:pPr>
              <w:spacing w:after="0"/>
              <w:rPr>
                <w:rFonts w:ascii="Calibri" w:eastAsia="Times New Roman" w:hAnsi="Calibri" w:cs="Calibri"/>
                <w:color w:val="000000"/>
                <w:sz w:val="22"/>
                <w:szCs w:val="22"/>
              </w:rPr>
            </w:pPr>
            <w:r w:rsidRPr="007A7837">
              <w:rPr>
                <w:rFonts w:ascii="Calibri" w:eastAsia="Times New Roman" w:hAnsi="Calibri" w:cs="Calibri"/>
                <w:color w:val="000000"/>
                <w:sz w:val="22"/>
                <w:szCs w:val="22"/>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163A8F0" w14:textId="77777777" w:rsidR="00403D43" w:rsidRPr="007A7837" w:rsidRDefault="00403D43" w:rsidP="0001422E">
            <w:pPr>
              <w:spacing w:after="0"/>
              <w:rPr>
                <w:rFonts w:ascii="Calibri" w:eastAsia="Times New Roman" w:hAnsi="Calibri" w:cs="Calibri"/>
                <w:color w:val="000000"/>
                <w:sz w:val="20"/>
                <w:szCs w:val="20"/>
              </w:rPr>
            </w:pPr>
            <w:r w:rsidRPr="007A7837">
              <w:rPr>
                <w:rFonts w:ascii="Calibri" w:hAnsi="Calibri" w:cs="Calibri"/>
                <w:color w:val="000000"/>
                <w:sz w:val="20"/>
                <w:szCs w:val="20"/>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14:paraId="5754CA57" w14:textId="77777777" w:rsidR="00403D43" w:rsidRPr="002221A6" w:rsidRDefault="00403D43" w:rsidP="0001422E">
            <w:pPr>
              <w:spacing w:after="0"/>
              <w:jc w:val="center"/>
              <w:rPr>
                <w:rFonts w:ascii="Calibri" w:eastAsia="Times New Roman" w:hAnsi="Calibri" w:cs="Calibri"/>
                <w:b/>
                <w:bCs/>
                <w:color w:val="000000"/>
                <w:sz w:val="20"/>
                <w:szCs w:val="20"/>
              </w:rPr>
            </w:pPr>
            <w:r w:rsidRPr="002221A6">
              <w:rPr>
                <w:rFonts w:ascii="Segoe UI" w:hAnsi="Segoe UI" w:cs="Segoe UI"/>
                <w:b/>
                <w:bCs/>
                <w:color w:val="000000"/>
                <w:sz w:val="20"/>
                <w:szCs w:val="20"/>
              </w:rPr>
              <w:t>£</w:t>
            </w:r>
            <w:r>
              <w:rPr>
                <w:rFonts w:ascii="Segoe UI" w:hAnsi="Segoe UI" w:cs="Segoe UI"/>
                <w:b/>
                <w:bCs/>
                <w:color w:val="000000"/>
                <w:sz w:val="20"/>
                <w:szCs w:val="20"/>
              </w:rPr>
              <w:t xml:space="preserve"> </w:t>
            </w:r>
            <w:r w:rsidRPr="002221A6">
              <w:rPr>
                <w:rFonts w:ascii="Segoe UI" w:hAnsi="Segoe UI" w:cs="Segoe UI"/>
                <w:b/>
                <w:bCs/>
                <w:color w:val="000000"/>
                <w:sz w:val="20"/>
                <w:szCs w:val="20"/>
              </w:rPr>
              <w:t>2,000,405</w:t>
            </w:r>
            <w:r>
              <w:rPr>
                <w:rFonts w:ascii="Segoe UI" w:hAnsi="Segoe UI" w:cs="Segoe UI"/>
                <w:b/>
                <w:bCs/>
                <w:color w:val="000000"/>
                <w:sz w:val="20"/>
                <w:szCs w:val="20"/>
              </w:rPr>
              <w:t xml:space="preserve"> </w:t>
            </w:r>
            <w:r w:rsidRPr="002221A6">
              <w:rPr>
                <w:rFonts w:ascii="Segoe UI" w:hAnsi="Segoe UI" w:cs="Segoe UI"/>
                <w:b/>
                <w:bCs/>
                <w:color w:val="000000"/>
                <w:sz w:val="20"/>
                <w:szCs w:val="20"/>
              </w:rPr>
              <w:t xml:space="preserve"> </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6AE34C8F" w14:textId="77777777" w:rsidR="00403D43" w:rsidRPr="007A7837" w:rsidRDefault="00403D43" w:rsidP="0001422E">
            <w:pPr>
              <w:spacing w:after="0"/>
              <w:rPr>
                <w:rFonts w:ascii="Calibri" w:eastAsia="Times New Roman" w:hAnsi="Calibri" w:cs="Calibri"/>
                <w:color w:val="000000"/>
                <w:sz w:val="20"/>
                <w:szCs w:val="20"/>
              </w:rPr>
            </w:pPr>
            <w:r w:rsidRPr="007A7837">
              <w:rPr>
                <w:rFonts w:ascii="Calibri" w:hAnsi="Calibri" w:cs="Calibri"/>
                <w:color w:val="000000"/>
                <w:sz w:val="20"/>
                <w:szCs w:val="20"/>
              </w:rPr>
              <w:t> </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2CFD0BCD" w14:textId="77777777" w:rsidR="00403D43" w:rsidRPr="002221A6" w:rsidRDefault="00403D43" w:rsidP="0001422E">
            <w:pPr>
              <w:spacing w:after="0"/>
              <w:jc w:val="center"/>
              <w:rPr>
                <w:rFonts w:ascii="Segoe UI" w:hAnsi="Segoe UI" w:cs="Segoe UI"/>
                <w:b/>
                <w:bCs/>
                <w:color w:val="000000"/>
                <w:sz w:val="20"/>
                <w:szCs w:val="20"/>
              </w:rPr>
            </w:pPr>
            <w:r w:rsidRPr="002221A6">
              <w:rPr>
                <w:rFonts w:ascii="Segoe UI" w:hAnsi="Segoe UI" w:cs="Segoe UI"/>
                <w:b/>
                <w:bCs/>
                <w:color w:val="000000"/>
                <w:sz w:val="20"/>
                <w:szCs w:val="20"/>
              </w:rPr>
              <w:t>£ 1,</w:t>
            </w:r>
            <w:r>
              <w:rPr>
                <w:rFonts w:ascii="Segoe UI" w:hAnsi="Segoe UI" w:cs="Segoe UI"/>
                <w:b/>
                <w:bCs/>
                <w:color w:val="000000"/>
                <w:sz w:val="20"/>
                <w:szCs w:val="20"/>
              </w:rPr>
              <w:t>816,730</w:t>
            </w:r>
          </w:p>
        </w:tc>
      </w:tr>
    </w:tbl>
    <w:p w14:paraId="21AA0DF5" w14:textId="77777777" w:rsidR="00403D43" w:rsidRDefault="00403D43" w:rsidP="006449E3">
      <w:pPr>
        <w:pStyle w:val="ListParagraph"/>
        <w:ind w:left="567"/>
        <w:jc w:val="both"/>
      </w:pPr>
    </w:p>
    <w:p w14:paraId="0D3776BF" w14:textId="77777777" w:rsidR="001A610F" w:rsidRDefault="001A610F" w:rsidP="001A610F">
      <w:pPr>
        <w:pStyle w:val="ListParagraph"/>
        <w:ind w:left="567"/>
        <w:jc w:val="both"/>
      </w:pPr>
    </w:p>
    <w:p w14:paraId="23D33C8E" w14:textId="77777777" w:rsidR="001A610F" w:rsidRPr="00F70DB4" w:rsidRDefault="001A610F" w:rsidP="001A610F">
      <w:pPr>
        <w:pStyle w:val="ListParagraph"/>
        <w:numPr>
          <w:ilvl w:val="1"/>
          <w:numId w:val="4"/>
        </w:numPr>
        <w:ind w:left="567" w:hanging="567"/>
        <w:jc w:val="both"/>
        <w:rPr>
          <w:color w:val="000000"/>
        </w:rPr>
      </w:pPr>
      <w:r>
        <w:t>The de-delegated services are for maintained primary and secondary schools only, services offered to schools under de-delegation arrangements are:</w:t>
      </w:r>
    </w:p>
    <w:p w14:paraId="43B296E4" w14:textId="77777777" w:rsidR="00350183" w:rsidRPr="00EC0FFA" w:rsidRDefault="00350183" w:rsidP="00350183">
      <w:pPr>
        <w:pStyle w:val="ListParagraph"/>
        <w:ind w:left="567"/>
        <w:jc w:val="both"/>
        <w:rPr>
          <w:color w:val="000000"/>
        </w:rPr>
      </w:pPr>
    </w:p>
    <w:p w14:paraId="35538BCF" w14:textId="77777777" w:rsidR="00350183" w:rsidRDefault="00350183" w:rsidP="00350183">
      <w:pPr>
        <w:pStyle w:val="ListParagraph"/>
        <w:numPr>
          <w:ilvl w:val="2"/>
          <w:numId w:val="4"/>
        </w:numPr>
        <w:ind w:left="1276" w:hanging="709"/>
        <w:jc w:val="both"/>
      </w:pPr>
      <w:r w:rsidRPr="004C2A70">
        <w:rPr>
          <w:b/>
          <w:bCs/>
          <w:color w:val="000000"/>
        </w:rPr>
        <w:t>School specific contingency</w:t>
      </w:r>
      <w:r>
        <w:rPr>
          <w:color w:val="000000"/>
        </w:rPr>
        <w:t xml:space="preserve"> (</w:t>
      </w:r>
      <w:r w:rsidRPr="00A76FF5">
        <w:rPr>
          <w:color w:val="000000"/>
        </w:rPr>
        <w:t>including schools in financial difficulties and deficits of closing schools)</w:t>
      </w:r>
      <w:r>
        <w:rPr>
          <w:color w:val="000000"/>
        </w:rPr>
        <w:t xml:space="preserve"> </w:t>
      </w:r>
      <w:r>
        <w:t xml:space="preserve">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  </w:t>
      </w:r>
    </w:p>
    <w:p w14:paraId="61275C03" w14:textId="77777777" w:rsidR="00350183" w:rsidRDefault="00350183" w:rsidP="00350183">
      <w:pPr>
        <w:pStyle w:val="ListParagraph"/>
        <w:ind w:left="1276"/>
        <w:jc w:val="both"/>
        <w:rPr>
          <w:color w:val="000000"/>
        </w:rPr>
      </w:pPr>
    </w:p>
    <w:p w14:paraId="3E01DACC" w14:textId="6CB3278D" w:rsidR="00350183" w:rsidRPr="00A76FF5" w:rsidRDefault="00350183" w:rsidP="00350183">
      <w:pPr>
        <w:pStyle w:val="ListParagraph"/>
        <w:numPr>
          <w:ilvl w:val="2"/>
          <w:numId w:val="4"/>
        </w:numPr>
        <w:ind w:left="1276" w:hanging="709"/>
        <w:jc w:val="both"/>
        <w:rPr>
          <w:color w:val="000000"/>
        </w:rPr>
      </w:pPr>
      <w:r w:rsidRPr="004C2A70">
        <w:rPr>
          <w:b/>
          <w:bCs/>
          <w:color w:val="000000"/>
        </w:rPr>
        <w:t>Behaviour support services</w:t>
      </w:r>
      <w:r w:rsidRPr="001E0A89">
        <w:rPr>
          <w:color w:val="000000"/>
        </w:rPr>
        <w:t xml:space="preserve"> are offered to schools dealing with challenging </w:t>
      </w:r>
      <w:r w:rsidRPr="001E0A89">
        <w:t>behaviour; mental health and parental conflict; and increase in complexity due to lack of specialist advice.  The team also providing training and support for attendanc</w:t>
      </w:r>
      <w:r>
        <w:t>e issues.  The funding is both statutory, via bought-in service level agreement (SLA), and the de-delegated budget supporting the provision.</w:t>
      </w:r>
      <w:r w:rsidRPr="001E0A89">
        <w:rPr>
          <w:color w:val="000000"/>
        </w:rPr>
        <w:t xml:space="preserve"> </w:t>
      </w:r>
      <w:r>
        <w:rPr>
          <w:color w:val="000000"/>
        </w:rPr>
        <w:t xml:space="preserve"> </w:t>
      </w:r>
      <w:r w:rsidR="00467134">
        <w:rPr>
          <w:color w:val="000000"/>
        </w:rPr>
        <w:t xml:space="preserve">The de-delegation rates charged reflects the different levels of intervention required in primary and secondary school phases.  </w:t>
      </w:r>
    </w:p>
    <w:p w14:paraId="683399AD" w14:textId="77777777" w:rsidR="00350183" w:rsidRPr="001E0A89" w:rsidRDefault="00350183" w:rsidP="00350183">
      <w:pPr>
        <w:pStyle w:val="ListParagraph"/>
        <w:ind w:left="1276"/>
        <w:jc w:val="both"/>
      </w:pPr>
    </w:p>
    <w:p w14:paraId="1E9B6C53" w14:textId="77777777" w:rsidR="00350183" w:rsidRDefault="00350183" w:rsidP="00350183">
      <w:pPr>
        <w:pStyle w:val="ListParagraph"/>
        <w:numPr>
          <w:ilvl w:val="2"/>
          <w:numId w:val="4"/>
        </w:numPr>
        <w:spacing w:before="120" w:after="120"/>
        <w:ind w:left="1276" w:hanging="709"/>
        <w:jc w:val="both"/>
      </w:pPr>
      <w:r w:rsidRPr="004C2A70">
        <w:rPr>
          <w:b/>
          <w:bCs/>
          <w:color w:val="000000"/>
        </w:rPr>
        <w:t>Free school meals eligibility</w:t>
      </w:r>
      <w:r w:rsidRPr="000461EB">
        <w:rPr>
          <w:color w:val="000000"/>
        </w:rPr>
        <w:t xml:space="preserve"> – the </w:t>
      </w:r>
      <w:r>
        <w:rPr>
          <w:color w:val="000000"/>
        </w:rPr>
        <w:t xml:space="preserve">education service has a service level agreement (SLA) with the Housing Benefit service, who manage the </w:t>
      </w:r>
      <w:r>
        <w:t>eligibility</w:t>
      </w:r>
      <w:r w:rsidRPr="000461EB">
        <w:rPr>
          <w:color w:val="000000"/>
        </w:rPr>
        <w:t xml:space="preserve"> assessment</w:t>
      </w:r>
      <w:r>
        <w:rPr>
          <w:color w:val="000000"/>
        </w:rPr>
        <w:t>/</w:t>
      </w:r>
      <w:r w:rsidRPr="000461EB">
        <w:rPr>
          <w:color w:val="000000"/>
        </w:rPr>
        <w:t xml:space="preserve">checking </w:t>
      </w:r>
      <w:r>
        <w:rPr>
          <w:color w:val="000000"/>
        </w:rPr>
        <w:t xml:space="preserve">of </w:t>
      </w:r>
      <w:r>
        <w:t>pupils for free school meals and notifies individual schools on a regular basis of their pupils’ eligibility.  Providing this service centrally means that efficiencies can be gained.  Administration at individual school level would be burdensome as entitlement checking would have to be done manually.  The service also conducts campaigns on behalf of schools, resulting in increased take up.</w:t>
      </w:r>
    </w:p>
    <w:p w14:paraId="4B9763E6" w14:textId="77777777" w:rsidR="00350183" w:rsidRDefault="00350183" w:rsidP="00350183">
      <w:pPr>
        <w:pStyle w:val="ListParagraph"/>
        <w:ind w:left="1276"/>
        <w:jc w:val="both"/>
        <w:rPr>
          <w:color w:val="000000"/>
        </w:rPr>
      </w:pPr>
    </w:p>
    <w:p w14:paraId="09E04DCB" w14:textId="77777777" w:rsidR="00350183" w:rsidRPr="00A76FF5" w:rsidRDefault="00350183" w:rsidP="00350183">
      <w:pPr>
        <w:pStyle w:val="ListParagraph"/>
        <w:ind w:left="1276"/>
        <w:jc w:val="both"/>
        <w:rPr>
          <w:color w:val="000000"/>
        </w:rPr>
      </w:pPr>
      <w:r>
        <w:rPr>
          <w:color w:val="000000"/>
        </w:rPr>
        <w:t>The de delegation total will meet the cost of the SLA</w:t>
      </w:r>
    </w:p>
    <w:p w14:paraId="7D15130C" w14:textId="77777777" w:rsidR="00350183" w:rsidRDefault="00350183" w:rsidP="00350183">
      <w:pPr>
        <w:pStyle w:val="ListParagraph"/>
        <w:spacing w:before="120" w:after="120"/>
        <w:ind w:left="1276"/>
        <w:jc w:val="both"/>
        <w:rPr>
          <w:color w:val="000000"/>
        </w:rPr>
      </w:pPr>
    </w:p>
    <w:p w14:paraId="2C88BD4E" w14:textId="77777777" w:rsidR="00350183" w:rsidRPr="00E028F3" w:rsidRDefault="00350183" w:rsidP="00350183">
      <w:pPr>
        <w:pStyle w:val="ListParagraph"/>
        <w:numPr>
          <w:ilvl w:val="2"/>
          <w:numId w:val="4"/>
        </w:numPr>
        <w:spacing w:before="120" w:after="120"/>
        <w:ind w:left="1276" w:hanging="709"/>
        <w:jc w:val="both"/>
        <w:rPr>
          <w:color w:val="000000"/>
        </w:rPr>
      </w:pPr>
      <w:r w:rsidRPr="00C96D96">
        <w:rPr>
          <w:b/>
          <w:bCs/>
          <w:color w:val="000000"/>
        </w:rPr>
        <w:lastRenderedPageBreak/>
        <w:t>Staff costs supply cover (for trade union and public duties)</w:t>
      </w:r>
      <w:r>
        <w:rPr>
          <w:color w:val="000000"/>
        </w:rPr>
        <w:t xml:space="preserve"> is manged as part of the Trades Union Facilities Agreement (</w:t>
      </w:r>
      <w:r w:rsidRPr="00E028F3">
        <w:rPr>
          <w:color w:val="000000"/>
        </w:rPr>
        <w:t>T</w:t>
      </w:r>
      <w:r>
        <w:rPr>
          <w:color w:val="000000"/>
        </w:rPr>
        <w:t>UFA), which</w:t>
      </w:r>
      <w:r w:rsidRPr="00E028F3">
        <w:rPr>
          <w:color w:val="000000"/>
        </w:rPr>
        <w:t xml:space="preserve"> ensures that representatives are available to enable </w:t>
      </w:r>
      <w:r>
        <w:rPr>
          <w:color w:val="000000"/>
        </w:rPr>
        <w:t>s</w:t>
      </w:r>
      <w:r w:rsidRPr="00E028F3">
        <w:rPr>
          <w:color w:val="000000"/>
        </w:rPr>
        <w:t xml:space="preserve">chools to participate in collective bargaining and consultation processes.  By accompanying staff to formal meetings enables </w:t>
      </w:r>
      <w:r>
        <w:rPr>
          <w:color w:val="000000"/>
        </w:rPr>
        <w:t>s</w:t>
      </w:r>
      <w:r w:rsidRPr="00E028F3">
        <w:rPr>
          <w:color w:val="000000"/>
        </w:rPr>
        <w:t xml:space="preserve">chools to progress formal actions under HR Procedures.  </w:t>
      </w:r>
    </w:p>
    <w:p w14:paraId="14D31C40" w14:textId="77777777" w:rsidR="00350183" w:rsidRPr="00E028F3" w:rsidRDefault="00350183" w:rsidP="00350183">
      <w:pPr>
        <w:pStyle w:val="ListParagraph"/>
        <w:spacing w:before="120" w:after="120"/>
        <w:ind w:left="1276"/>
        <w:jc w:val="both"/>
        <w:rPr>
          <w:color w:val="000000"/>
        </w:rPr>
      </w:pPr>
    </w:p>
    <w:p w14:paraId="01EF7E99" w14:textId="77777777" w:rsidR="00350183" w:rsidRDefault="00350183" w:rsidP="00350183">
      <w:pPr>
        <w:pStyle w:val="ListParagraph"/>
        <w:spacing w:before="120" w:after="120"/>
        <w:ind w:left="1276"/>
        <w:jc w:val="both"/>
      </w:pPr>
      <w:r w:rsidRPr="00E028F3">
        <w:rPr>
          <w:color w:val="000000"/>
        </w:rPr>
        <w:t xml:space="preserve">Holding the budget centrally enables schools to share the costs of supply cover to support the TU facilities time agreement and ensures that individual </w:t>
      </w:r>
      <w:r>
        <w:t>schools who employ TU reps are not disadvantaged.</w:t>
      </w:r>
    </w:p>
    <w:p w14:paraId="5BD861A9" w14:textId="77777777" w:rsidR="00350183" w:rsidRDefault="00350183" w:rsidP="00350183">
      <w:pPr>
        <w:pStyle w:val="ListParagraph"/>
        <w:spacing w:before="120" w:after="120"/>
        <w:ind w:left="1276"/>
        <w:jc w:val="both"/>
      </w:pPr>
    </w:p>
    <w:p w14:paraId="17278570" w14:textId="77777777" w:rsidR="00350183" w:rsidRDefault="00350183" w:rsidP="00350183">
      <w:pPr>
        <w:pStyle w:val="ListParagraph"/>
        <w:numPr>
          <w:ilvl w:val="2"/>
          <w:numId w:val="4"/>
        </w:numPr>
        <w:spacing w:before="120" w:after="120"/>
        <w:ind w:left="1276" w:hanging="709"/>
        <w:jc w:val="both"/>
        <w:rPr>
          <w:color w:val="000000"/>
        </w:rPr>
      </w:pPr>
      <w:r w:rsidRPr="00D25A65">
        <w:rPr>
          <w:b/>
          <w:bCs/>
          <w:color w:val="000000"/>
        </w:rPr>
        <w:t>School improvement</w:t>
      </w:r>
      <w:r w:rsidRPr="00A76FF5">
        <w:rPr>
          <w:color w:val="000000"/>
        </w:rPr>
        <w:t xml:space="preserve"> services</w:t>
      </w:r>
      <w:r>
        <w:rPr>
          <w:color w:val="000000"/>
        </w:rPr>
        <w:t xml:space="preserve"> are provided for schools</w:t>
      </w:r>
      <w:r w:rsidRPr="00E028F3">
        <w:rPr>
          <w:color w:val="000000"/>
        </w:rPr>
        <w:t xml:space="preserve"> following the phasing out of the Schools Moderation and Brokering grant. </w:t>
      </w:r>
      <w:r w:rsidRPr="00D25A65">
        <w:rPr>
          <w:color w:val="000000"/>
        </w:rPr>
        <w:t>This allows the local authority to monitor and support performance of maintained schools, broker school improvement provision and provide intervention to raise standards</w:t>
      </w:r>
      <w:r>
        <w:rPr>
          <w:color w:val="000000"/>
        </w:rPr>
        <w:t xml:space="preserve"> and </w:t>
      </w:r>
      <w:r w:rsidRPr="00D25A65">
        <w:rPr>
          <w:color w:val="000000"/>
        </w:rPr>
        <w:t>is fully passported to T</w:t>
      </w:r>
      <w:r>
        <w:rPr>
          <w:color w:val="000000"/>
        </w:rPr>
        <w:t>ower Hamlets Education Partnership (T</w:t>
      </w:r>
      <w:r w:rsidRPr="00D25A65">
        <w:rPr>
          <w:color w:val="000000"/>
        </w:rPr>
        <w:t>HEP</w:t>
      </w:r>
      <w:r>
        <w:rPr>
          <w:color w:val="000000"/>
        </w:rPr>
        <w:t>)</w:t>
      </w:r>
      <w:r w:rsidRPr="00D25A65">
        <w:rPr>
          <w:color w:val="000000"/>
        </w:rPr>
        <w:t xml:space="preserve">.  </w:t>
      </w:r>
    </w:p>
    <w:p w14:paraId="6236D986" w14:textId="77777777" w:rsidR="00350183" w:rsidRDefault="00350183" w:rsidP="00350183">
      <w:pPr>
        <w:pStyle w:val="ListParagraph"/>
        <w:spacing w:before="120" w:after="120"/>
        <w:ind w:left="1276"/>
        <w:jc w:val="both"/>
        <w:rPr>
          <w:b/>
          <w:bCs/>
          <w:color w:val="000000"/>
        </w:rPr>
      </w:pPr>
    </w:p>
    <w:p w14:paraId="5441FF52" w14:textId="19BEBE7E" w:rsidR="00350183" w:rsidRDefault="00350183" w:rsidP="00350183">
      <w:pPr>
        <w:pStyle w:val="ListParagraph"/>
        <w:spacing w:before="120" w:after="120"/>
        <w:ind w:left="1276"/>
        <w:jc w:val="both"/>
        <w:rPr>
          <w:color w:val="000000"/>
        </w:rPr>
      </w:pPr>
      <w:r>
        <w:rPr>
          <w:color w:val="000000"/>
        </w:rPr>
        <w:t xml:space="preserve">Following discussions with </w:t>
      </w:r>
      <w:r w:rsidRPr="00D25A65">
        <w:rPr>
          <w:color w:val="000000"/>
        </w:rPr>
        <w:t>T</w:t>
      </w:r>
      <w:r>
        <w:rPr>
          <w:color w:val="000000"/>
        </w:rPr>
        <w:t>HEP. It has been agreed to cap the de- de</w:t>
      </w:r>
      <w:r w:rsidRPr="00D25A65">
        <w:rPr>
          <w:color w:val="000000"/>
        </w:rPr>
        <w:t xml:space="preserve">legation of this budget </w:t>
      </w:r>
      <w:r>
        <w:rPr>
          <w:color w:val="000000"/>
        </w:rPr>
        <w:t>to £6.20 per pupil, which will cover two school visits per year.  In addition to the this, the local authority will contribute a further £153k, which includes £53k for statutory functions.  The fee structure of the SLA has also been revised. These last two elements apply to all schools and academies.</w:t>
      </w:r>
    </w:p>
    <w:p w14:paraId="02ECD086" w14:textId="77777777" w:rsidR="00350183" w:rsidRPr="00EF6BD6" w:rsidRDefault="00350183" w:rsidP="00350183">
      <w:pPr>
        <w:pStyle w:val="ListParagraph"/>
        <w:spacing w:before="120" w:after="120"/>
        <w:ind w:left="1276"/>
        <w:jc w:val="both"/>
      </w:pPr>
    </w:p>
    <w:p w14:paraId="1D0DC30D" w14:textId="05027249" w:rsidR="00EF6BD6" w:rsidRDefault="002221A6" w:rsidP="00EF6BD6">
      <w:pPr>
        <w:pStyle w:val="ListParagraph"/>
        <w:numPr>
          <w:ilvl w:val="2"/>
          <w:numId w:val="4"/>
        </w:numPr>
        <w:spacing w:before="120" w:after="120"/>
        <w:ind w:left="1276" w:hanging="709"/>
        <w:jc w:val="both"/>
      </w:pPr>
      <w:r w:rsidRPr="00EF6BD6">
        <w:rPr>
          <w:b/>
          <w:bCs/>
        </w:rPr>
        <w:t>Education</w:t>
      </w:r>
      <w:r w:rsidR="007A58F9" w:rsidRPr="00EF6BD6">
        <w:rPr>
          <w:b/>
          <w:bCs/>
        </w:rPr>
        <w:t xml:space="preserve"> functions</w:t>
      </w:r>
      <w:r w:rsidR="007A58F9" w:rsidRPr="00EF6BD6">
        <w:t> </w:t>
      </w:r>
      <w:r w:rsidRPr="00EF6BD6">
        <w:t xml:space="preserve">are provided for schools following the </w:t>
      </w:r>
      <w:r w:rsidR="007A58F9" w:rsidRPr="00EF6BD6">
        <w:t>ending of the Education Services Grant</w:t>
      </w:r>
      <w:r w:rsidR="00EF6BD6">
        <w:t xml:space="preserve"> (2017/18)</w:t>
      </w:r>
      <w:r w:rsidR="007A58F9" w:rsidRPr="00EF6BD6">
        <w:t xml:space="preserve">, they include former general duties contained in the grant and statutory responsibilities for maintained schools only.  Despite not being categorised as de-delegation, they are recouped from schools to allow the duties to be performed. </w:t>
      </w:r>
      <w:r w:rsidR="00EF6BD6" w:rsidRPr="00EF6BD6">
        <w:t xml:space="preserve">The rates represent a contribution only to costs and do not fully represent the full cost to the LA of providing statutory services. </w:t>
      </w:r>
    </w:p>
    <w:p w14:paraId="006FA79A" w14:textId="77777777" w:rsidR="00EF6BD6" w:rsidRDefault="00EF6BD6" w:rsidP="00EF6BD6">
      <w:pPr>
        <w:pStyle w:val="ListParagraph"/>
        <w:spacing w:before="120" w:after="120"/>
        <w:ind w:left="1276"/>
        <w:jc w:val="both"/>
      </w:pPr>
    </w:p>
    <w:p w14:paraId="5F47D8BC" w14:textId="56CA6DEF" w:rsidR="00EF6BD6" w:rsidRPr="00EF6BD6" w:rsidRDefault="00EF6BD6" w:rsidP="00EF6BD6">
      <w:pPr>
        <w:pStyle w:val="ListParagraph"/>
        <w:spacing w:before="120" w:after="120"/>
        <w:ind w:left="1276"/>
        <w:jc w:val="both"/>
      </w:pPr>
      <w:r w:rsidRPr="00EF6BD6">
        <w:t xml:space="preserve">These are services that Academies would be required to fund from their equivalent grant allocation. Services include finance monitoring and support, external and internal audit, legal and HR support.  </w:t>
      </w:r>
    </w:p>
    <w:p w14:paraId="6D529846" w14:textId="43523A9E" w:rsidR="002221A6" w:rsidRDefault="002221A6" w:rsidP="00EF6BD6">
      <w:pPr>
        <w:pStyle w:val="ListParagraph"/>
        <w:spacing w:before="120" w:after="120"/>
        <w:ind w:left="1276"/>
        <w:jc w:val="both"/>
        <w:rPr>
          <w:color w:val="000000"/>
        </w:rPr>
      </w:pPr>
    </w:p>
    <w:p w14:paraId="5F26C4A3" w14:textId="77777777" w:rsidR="002221A6" w:rsidRDefault="002221A6" w:rsidP="00350183">
      <w:pPr>
        <w:pStyle w:val="ListParagraph"/>
        <w:spacing w:before="120" w:after="120"/>
        <w:ind w:left="1276"/>
        <w:jc w:val="both"/>
        <w:rPr>
          <w:color w:val="000000"/>
        </w:rPr>
      </w:pPr>
    </w:p>
    <w:p w14:paraId="52084F17" w14:textId="77777777" w:rsidR="00350183" w:rsidRDefault="00350183" w:rsidP="00350183">
      <w:pPr>
        <w:pStyle w:val="ListParagraph"/>
        <w:numPr>
          <w:ilvl w:val="0"/>
          <w:numId w:val="4"/>
        </w:numPr>
        <w:jc w:val="both"/>
      </w:pPr>
      <w:r>
        <w:t xml:space="preserve">Extending de-delegation to </w:t>
      </w:r>
      <w:r w:rsidRPr="00C95F0C">
        <w:rPr>
          <w:b/>
          <w:bCs/>
        </w:rPr>
        <w:t>special schools and alternative provision</w:t>
      </w:r>
      <w:r>
        <w:t>.</w:t>
      </w:r>
    </w:p>
    <w:p w14:paraId="23CEF7DB" w14:textId="77777777" w:rsidR="00350183" w:rsidRDefault="00350183" w:rsidP="00350183">
      <w:pPr>
        <w:pStyle w:val="ListParagraph"/>
        <w:ind w:left="360"/>
        <w:jc w:val="both"/>
      </w:pPr>
    </w:p>
    <w:p w14:paraId="56075683" w14:textId="77777777" w:rsidR="00350183" w:rsidRDefault="00350183" w:rsidP="00350183">
      <w:pPr>
        <w:pStyle w:val="ListParagraph"/>
        <w:numPr>
          <w:ilvl w:val="1"/>
          <w:numId w:val="4"/>
        </w:numPr>
        <w:ind w:left="567" w:hanging="567"/>
        <w:jc w:val="both"/>
      </w:pPr>
      <w:r>
        <w:t>Schools block “de-delegation” d</w:t>
      </w:r>
      <w:r w:rsidRPr="00A76FF5">
        <w:t xml:space="preserve">oes not apply to </w:t>
      </w:r>
      <w:r w:rsidRPr="00C95F0C">
        <w:t>special schools or PRUs</w:t>
      </w:r>
      <w:r>
        <w:t xml:space="preserve"> funded from the High Needs block, but the DfE have an expectation that similar services should be offered to special schools on a chargeable basis.  Not having done this in the past has led to confusion in the central support offer, therefore we are proposing to extend the same services to special schools excluding behaviour support - which is accounted for in the place /top-up funding of the High Needs base.   </w:t>
      </w:r>
    </w:p>
    <w:p w14:paraId="728EC424" w14:textId="77777777" w:rsidR="00350183" w:rsidRDefault="00350183" w:rsidP="00350183">
      <w:pPr>
        <w:pStyle w:val="ListParagraph"/>
        <w:ind w:left="567"/>
        <w:jc w:val="both"/>
      </w:pPr>
    </w:p>
    <w:p w14:paraId="6A079023" w14:textId="77777777" w:rsidR="00350183" w:rsidRPr="00972627" w:rsidRDefault="00350183" w:rsidP="00350183">
      <w:pPr>
        <w:pStyle w:val="ListParagraph"/>
        <w:numPr>
          <w:ilvl w:val="2"/>
          <w:numId w:val="4"/>
        </w:numPr>
        <w:spacing w:before="120" w:after="120"/>
        <w:ind w:left="1276" w:hanging="709"/>
        <w:jc w:val="both"/>
        <w:rPr>
          <w:color w:val="000000"/>
        </w:rPr>
      </w:pPr>
      <w:r>
        <w:t xml:space="preserve">From 2024-25 the charge for special schools would use the mainstream rate multiplied by the number of places (weighted x 3) rather than pupil numbers.  The weighting is less than the overall funding differential </w:t>
      </w:r>
      <w:r>
        <w:lastRenderedPageBreak/>
        <w:t>between mainstream &amp; special phases, but more in the region of DfE grant funding differential.  The charge will be fixed for the year.</w:t>
      </w:r>
    </w:p>
    <w:p w14:paraId="6F05F09D" w14:textId="77777777" w:rsidR="00972627" w:rsidRPr="00833E72" w:rsidRDefault="00972627" w:rsidP="00972627">
      <w:pPr>
        <w:pStyle w:val="ListParagraph"/>
        <w:spacing w:before="120" w:after="120"/>
        <w:ind w:left="1276"/>
        <w:jc w:val="both"/>
        <w:rPr>
          <w:color w:val="000000"/>
        </w:rPr>
      </w:pPr>
    </w:p>
    <w:p w14:paraId="3F3180AE" w14:textId="2A92CBCC" w:rsidR="00350183" w:rsidRDefault="00972627" w:rsidP="00972627">
      <w:pPr>
        <w:pStyle w:val="ListParagraph"/>
        <w:ind w:left="0"/>
        <w:jc w:val="both"/>
      </w:pPr>
      <w:r>
        <w:t>Table 3</w:t>
      </w:r>
    </w:p>
    <w:tbl>
      <w:tblPr>
        <w:tblW w:w="8930" w:type="dxa"/>
        <w:tblInd w:w="-10" w:type="dxa"/>
        <w:tblLook w:val="04A0" w:firstRow="1" w:lastRow="0" w:firstColumn="1" w:lastColumn="0" w:noHBand="0" w:noVBand="1"/>
      </w:tblPr>
      <w:tblGrid>
        <w:gridCol w:w="4253"/>
        <w:gridCol w:w="1418"/>
        <w:gridCol w:w="1700"/>
        <w:gridCol w:w="1559"/>
      </w:tblGrid>
      <w:tr w:rsidR="00972627" w:rsidRPr="00F70DB4" w14:paraId="56063057" w14:textId="77777777" w:rsidTr="00C042EF">
        <w:trPr>
          <w:trHeight w:val="935"/>
        </w:trPr>
        <w:tc>
          <w:tcPr>
            <w:tcW w:w="4253" w:type="dxa"/>
            <w:tcBorders>
              <w:top w:val="single" w:sz="8" w:space="0" w:color="auto"/>
              <w:left w:val="single" w:sz="8" w:space="0" w:color="auto"/>
              <w:right w:val="single" w:sz="4" w:space="0" w:color="auto"/>
            </w:tcBorders>
            <w:shd w:val="clear" w:color="auto" w:fill="auto"/>
            <w:noWrap/>
            <w:vAlign w:val="center"/>
            <w:hideMark/>
          </w:tcPr>
          <w:p w14:paraId="2E4C4F4A" w14:textId="77777777" w:rsidR="00972627" w:rsidRDefault="00972627" w:rsidP="004E019C">
            <w:pPr>
              <w:spacing w:after="0"/>
              <w:rPr>
                <w:rFonts w:ascii="Segoe UI" w:eastAsia="Times New Roman" w:hAnsi="Segoe UI" w:cs="Segoe UI"/>
                <w:color w:val="000000"/>
                <w:sz w:val="22"/>
                <w:szCs w:val="22"/>
              </w:rPr>
            </w:pPr>
            <w:r>
              <w:rPr>
                <w:rFonts w:ascii="Segoe UI" w:eastAsia="Times New Roman" w:hAnsi="Segoe UI" w:cs="Segoe UI"/>
                <w:color w:val="000000"/>
                <w:sz w:val="22"/>
                <w:szCs w:val="22"/>
              </w:rPr>
              <w:t>P</w:t>
            </w:r>
            <w:r w:rsidRPr="00F70DB4">
              <w:rPr>
                <w:rFonts w:ascii="Segoe UI" w:eastAsia="Times New Roman" w:hAnsi="Segoe UI" w:cs="Segoe UI"/>
                <w:color w:val="000000"/>
                <w:sz w:val="22"/>
                <w:szCs w:val="22"/>
              </w:rPr>
              <w:t xml:space="preserve">roposed Special school equivalent </w:t>
            </w:r>
          </w:p>
          <w:p w14:paraId="6922779D" w14:textId="408A8BAC" w:rsidR="00972627" w:rsidRPr="00F70DB4" w:rsidRDefault="00972627" w:rsidP="004E019C">
            <w:pPr>
              <w:spacing w:after="0"/>
              <w:rPr>
                <w:rFonts w:ascii="Segoe UI" w:eastAsia="Times New Roman" w:hAnsi="Segoe UI" w:cs="Segoe UI"/>
                <w:color w:val="000000"/>
                <w:sz w:val="22"/>
                <w:szCs w:val="22"/>
              </w:rPr>
            </w:pPr>
            <w:r>
              <w:rPr>
                <w:rFonts w:ascii="Segoe UI" w:eastAsia="Times New Roman" w:hAnsi="Segoe UI" w:cs="Segoe UI"/>
                <w:color w:val="000000"/>
                <w:sz w:val="22"/>
                <w:szCs w:val="22"/>
              </w:rPr>
              <w:t>d</w:t>
            </w:r>
            <w:r w:rsidRPr="00F70DB4">
              <w:rPr>
                <w:rFonts w:ascii="Segoe UI" w:eastAsia="Times New Roman" w:hAnsi="Segoe UI" w:cs="Segoe UI"/>
                <w:color w:val="000000"/>
                <w:sz w:val="22"/>
                <w:szCs w:val="22"/>
              </w:rPr>
              <w:t>e-delegation charges</w:t>
            </w:r>
            <w:r>
              <w:rPr>
                <w:rFonts w:ascii="Segoe UI" w:eastAsia="Times New Roman" w:hAnsi="Segoe UI" w:cs="Segoe UI"/>
                <w:color w:val="000000"/>
                <w:sz w:val="22"/>
                <w:szCs w:val="22"/>
              </w:rPr>
              <w:t xml:space="preserve"> for 2024-25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AB28" w14:textId="77777777" w:rsidR="00972627" w:rsidRPr="00F70DB4" w:rsidRDefault="00972627" w:rsidP="004E019C">
            <w:pPr>
              <w:spacing w:after="0"/>
              <w:jc w:val="center"/>
              <w:rPr>
                <w:rFonts w:ascii="Segoe UI" w:eastAsia="Times New Roman" w:hAnsi="Segoe UI" w:cs="Segoe UI"/>
                <w:sz w:val="22"/>
                <w:szCs w:val="22"/>
              </w:rPr>
            </w:pPr>
            <w:r w:rsidRPr="00F70DB4">
              <w:rPr>
                <w:rFonts w:ascii="Segoe UI" w:eastAsia="Times New Roman" w:hAnsi="Segoe UI" w:cs="Segoe UI"/>
                <w:sz w:val="22"/>
                <w:szCs w:val="22"/>
              </w:rPr>
              <w:t xml:space="preserve">proposed </w:t>
            </w:r>
            <w:r>
              <w:rPr>
                <w:rFonts w:ascii="Segoe UI" w:eastAsia="Times New Roman" w:hAnsi="Segoe UI" w:cs="Segoe UI"/>
                <w:sz w:val="22"/>
                <w:szCs w:val="22"/>
              </w:rPr>
              <w:t>place values (as above)</w:t>
            </w:r>
          </w:p>
        </w:tc>
        <w:tc>
          <w:tcPr>
            <w:tcW w:w="1700" w:type="dxa"/>
            <w:tcBorders>
              <w:top w:val="single" w:sz="4" w:space="0" w:color="auto"/>
              <w:left w:val="single" w:sz="4" w:space="0" w:color="auto"/>
              <w:right w:val="single" w:sz="4" w:space="0" w:color="auto"/>
            </w:tcBorders>
          </w:tcPr>
          <w:p w14:paraId="06EA18B2" w14:textId="77777777" w:rsidR="00972627" w:rsidRPr="00F70DB4" w:rsidRDefault="00972627" w:rsidP="004E019C">
            <w:pPr>
              <w:spacing w:after="0"/>
              <w:jc w:val="center"/>
              <w:rPr>
                <w:rFonts w:ascii="Segoe UI" w:eastAsia="Times New Roman" w:hAnsi="Segoe UI" w:cs="Segoe UI"/>
                <w:sz w:val="22"/>
                <w:szCs w:val="22"/>
              </w:rPr>
            </w:pPr>
            <w:r>
              <w:rPr>
                <w:rFonts w:ascii="Segoe UI" w:eastAsia="Times New Roman" w:hAnsi="Segoe UI" w:cs="Segoe UI"/>
                <w:sz w:val="22"/>
                <w:szCs w:val="22"/>
              </w:rPr>
              <w:t>23-24</w:t>
            </w:r>
          </w:p>
          <w:p w14:paraId="26DA17AB" w14:textId="5DC2233A" w:rsidR="00972627" w:rsidRPr="00F70DB4" w:rsidRDefault="00972627" w:rsidP="004E019C">
            <w:pPr>
              <w:spacing w:after="0"/>
              <w:jc w:val="center"/>
              <w:rPr>
                <w:rFonts w:ascii="Segoe UI" w:eastAsia="Times New Roman" w:hAnsi="Segoe UI" w:cs="Segoe UI"/>
                <w:sz w:val="22"/>
                <w:szCs w:val="22"/>
              </w:rPr>
            </w:pPr>
            <w:r>
              <w:rPr>
                <w:rFonts w:ascii="Segoe UI" w:eastAsia="Times New Roman" w:hAnsi="Segoe UI" w:cs="Segoe UI"/>
                <w:sz w:val="22"/>
                <w:szCs w:val="22"/>
              </w:rPr>
              <w:t>place N</w:t>
            </w:r>
            <w:r w:rsidRPr="007C2AD8">
              <w:rPr>
                <w:rFonts w:ascii="Segoe UI" w:eastAsia="Times New Roman" w:hAnsi="Segoe UI" w:cs="Segoe UI"/>
                <w:sz w:val="22"/>
                <w:szCs w:val="22"/>
                <w:u w:val="single"/>
              </w:rPr>
              <w:t>o</w:t>
            </w:r>
            <w:r>
              <w:rPr>
                <w:rFonts w:ascii="Segoe UI" w:eastAsia="Times New Roman" w:hAnsi="Segoe UI" w:cs="Segoe UI"/>
                <w:sz w:val="22"/>
                <w:szCs w:val="22"/>
                <w:u w:val="single"/>
              </w:rPr>
              <w:t>’</w:t>
            </w:r>
            <w:r>
              <w:rPr>
                <w:rFonts w:ascii="Segoe UI" w:eastAsia="Times New Roman" w:hAnsi="Segoe UI" w:cs="Segoe UI"/>
                <w:sz w:val="22"/>
                <w:szCs w:val="22"/>
              </w:rPr>
              <w:t>s x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B172" w14:textId="77777777" w:rsidR="00972627" w:rsidRPr="00F70DB4" w:rsidRDefault="00972627" w:rsidP="004E019C">
            <w:pPr>
              <w:spacing w:after="0"/>
              <w:jc w:val="center"/>
              <w:rPr>
                <w:rFonts w:ascii="Segoe UI" w:eastAsia="Times New Roman" w:hAnsi="Segoe UI" w:cs="Segoe UI"/>
                <w:sz w:val="22"/>
                <w:szCs w:val="22"/>
              </w:rPr>
            </w:pPr>
            <w:r w:rsidRPr="00F70DB4">
              <w:rPr>
                <w:rFonts w:ascii="Segoe UI" w:eastAsia="Times New Roman" w:hAnsi="Segoe UI" w:cs="Segoe UI"/>
                <w:sz w:val="22"/>
                <w:szCs w:val="22"/>
              </w:rPr>
              <w:t>P</w:t>
            </w:r>
            <w:r>
              <w:rPr>
                <w:rFonts w:ascii="Segoe UI" w:eastAsia="Times New Roman" w:hAnsi="Segoe UI" w:cs="Segoe UI"/>
                <w:sz w:val="22"/>
                <w:szCs w:val="22"/>
              </w:rPr>
              <w:t>roposed charge 24-25</w:t>
            </w:r>
          </w:p>
        </w:tc>
      </w:tr>
      <w:tr w:rsidR="00350183" w:rsidRPr="00F70DB4" w14:paraId="76776F6D" w14:textId="77777777" w:rsidTr="00EF6BD6">
        <w:trPr>
          <w:trHeight w:val="340"/>
        </w:trPr>
        <w:tc>
          <w:tcPr>
            <w:tcW w:w="4253" w:type="dxa"/>
            <w:tcBorders>
              <w:top w:val="nil"/>
              <w:left w:val="single" w:sz="8" w:space="0" w:color="auto"/>
              <w:bottom w:val="single" w:sz="8" w:space="0" w:color="auto"/>
              <w:right w:val="single" w:sz="4" w:space="0" w:color="auto"/>
            </w:tcBorders>
            <w:shd w:val="clear" w:color="auto" w:fill="auto"/>
            <w:noWrap/>
            <w:vAlign w:val="center"/>
            <w:hideMark/>
          </w:tcPr>
          <w:p w14:paraId="3FCED555" w14:textId="77777777" w:rsidR="00350183" w:rsidRPr="00F70DB4" w:rsidRDefault="00350183" w:rsidP="004E019C">
            <w:pPr>
              <w:spacing w:after="0"/>
              <w:rPr>
                <w:rFonts w:ascii="Calibri" w:eastAsia="Times New Roman" w:hAnsi="Calibri" w:cs="Calibri"/>
                <w:color w:val="000000"/>
                <w:sz w:val="22"/>
                <w:szCs w:val="22"/>
              </w:rPr>
            </w:pPr>
            <w:r w:rsidRPr="00F70DB4">
              <w:rPr>
                <w:rFonts w:ascii="Calibri" w:eastAsia="Times New Roman" w:hAnsi="Calibri" w:cs="Calibri"/>
                <w:color w:val="000000"/>
                <w:sz w:val="22"/>
                <w:szCs w:val="22"/>
              </w:rPr>
              <w:t>Contingencies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AF6AA" w14:textId="77777777" w:rsidR="00350183" w:rsidRPr="00C95F0C" w:rsidRDefault="00350183" w:rsidP="004E019C">
            <w:pPr>
              <w:spacing w:after="0"/>
              <w:jc w:val="center"/>
              <w:rPr>
                <w:rFonts w:ascii="Calibri" w:eastAsia="Times New Roman" w:hAnsi="Calibri" w:cs="Calibri"/>
                <w:sz w:val="22"/>
                <w:szCs w:val="22"/>
              </w:rPr>
            </w:pPr>
            <w:r w:rsidRPr="00C95F0C">
              <w:rPr>
                <w:rFonts w:ascii="Calibri" w:hAnsi="Calibri" w:cs="Calibri"/>
                <w:sz w:val="22"/>
                <w:szCs w:val="22"/>
              </w:rPr>
              <w:t>£16.19</w:t>
            </w:r>
          </w:p>
        </w:tc>
        <w:tc>
          <w:tcPr>
            <w:tcW w:w="1700" w:type="dxa"/>
            <w:tcBorders>
              <w:top w:val="single" w:sz="4" w:space="0" w:color="auto"/>
              <w:left w:val="single" w:sz="4" w:space="0" w:color="auto"/>
              <w:right w:val="single" w:sz="4" w:space="0" w:color="auto"/>
            </w:tcBorders>
            <w:vAlign w:val="center"/>
          </w:tcPr>
          <w:p w14:paraId="7735E153" w14:textId="77777777" w:rsidR="00350183" w:rsidRDefault="00350183" w:rsidP="004E019C">
            <w:pPr>
              <w:spacing w:after="0"/>
              <w:rPr>
                <w:rFonts w:ascii="Calibri" w:hAnsi="Calibri" w:cs="Calibri"/>
                <w:color w:val="000000"/>
                <w:sz w:val="22"/>
                <w:szCs w:val="22"/>
              </w:rPr>
            </w:pPr>
            <w:r>
              <w:rPr>
                <w:rFonts w:ascii="Calibri" w:hAnsi="Calibri" w:cs="Calibri"/>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219DF" w14:textId="77777777" w:rsidR="00350183" w:rsidRPr="00F70DB4" w:rsidRDefault="00350183" w:rsidP="004E019C">
            <w:pPr>
              <w:spacing w:after="0"/>
              <w:jc w:val="center"/>
              <w:rPr>
                <w:rFonts w:ascii="Calibri" w:eastAsia="Times New Roman" w:hAnsi="Calibri" w:cs="Calibri"/>
                <w:sz w:val="22"/>
                <w:szCs w:val="22"/>
              </w:rPr>
            </w:pPr>
            <w:r>
              <w:rPr>
                <w:rFonts w:ascii="Calibri" w:hAnsi="Calibri" w:cs="Calibri"/>
                <w:color w:val="000000"/>
                <w:sz w:val="22"/>
                <w:szCs w:val="22"/>
              </w:rPr>
              <w:t>£47,847</w:t>
            </w:r>
          </w:p>
        </w:tc>
      </w:tr>
      <w:tr w:rsidR="00350183" w:rsidRPr="00F70DB4" w14:paraId="15A6214A" w14:textId="77777777" w:rsidTr="00EF6BD6">
        <w:trPr>
          <w:trHeight w:val="340"/>
        </w:trPr>
        <w:tc>
          <w:tcPr>
            <w:tcW w:w="4253" w:type="dxa"/>
            <w:tcBorders>
              <w:top w:val="nil"/>
              <w:left w:val="single" w:sz="8" w:space="0" w:color="auto"/>
              <w:bottom w:val="single" w:sz="8" w:space="0" w:color="auto"/>
              <w:right w:val="single" w:sz="4" w:space="0" w:color="auto"/>
            </w:tcBorders>
            <w:shd w:val="clear" w:color="auto" w:fill="auto"/>
            <w:noWrap/>
            <w:vAlign w:val="center"/>
            <w:hideMark/>
          </w:tcPr>
          <w:p w14:paraId="5EFAAC9F" w14:textId="77777777" w:rsidR="00350183" w:rsidRPr="00F70DB4" w:rsidRDefault="00350183" w:rsidP="004E019C">
            <w:pPr>
              <w:spacing w:after="0"/>
              <w:rPr>
                <w:rFonts w:ascii="Calibri" w:eastAsia="Times New Roman" w:hAnsi="Calibri" w:cs="Calibri"/>
                <w:color w:val="000000"/>
                <w:sz w:val="22"/>
                <w:szCs w:val="22"/>
              </w:rPr>
            </w:pPr>
            <w:r w:rsidRPr="00F70DB4">
              <w:rPr>
                <w:rFonts w:ascii="Calibri" w:eastAsia="Times New Roman" w:hAnsi="Calibri" w:cs="Calibri"/>
                <w:color w:val="000000"/>
                <w:sz w:val="22"/>
                <w:szCs w:val="22"/>
              </w:rPr>
              <w:t>Free school meals eligibility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D2BB3" w14:textId="77777777" w:rsidR="00350183" w:rsidRPr="00C95F0C" w:rsidRDefault="00350183" w:rsidP="004E019C">
            <w:pPr>
              <w:spacing w:after="0"/>
              <w:jc w:val="center"/>
              <w:rPr>
                <w:rFonts w:ascii="Calibri" w:eastAsia="Times New Roman" w:hAnsi="Calibri" w:cs="Calibri"/>
                <w:sz w:val="22"/>
                <w:szCs w:val="22"/>
              </w:rPr>
            </w:pPr>
            <w:r w:rsidRPr="00C95F0C">
              <w:rPr>
                <w:rFonts w:ascii="Calibri" w:hAnsi="Calibri" w:cs="Calibri"/>
                <w:sz w:val="22"/>
                <w:szCs w:val="22"/>
              </w:rPr>
              <w:t>£4.18</w:t>
            </w:r>
          </w:p>
        </w:tc>
        <w:tc>
          <w:tcPr>
            <w:tcW w:w="1700" w:type="dxa"/>
            <w:tcBorders>
              <w:left w:val="single" w:sz="4" w:space="0" w:color="auto"/>
              <w:right w:val="single" w:sz="4" w:space="0" w:color="auto"/>
            </w:tcBorders>
            <w:vAlign w:val="center"/>
          </w:tcPr>
          <w:p w14:paraId="614246FF" w14:textId="77777777" w:rsidR="00350183" w:rsidRDefault="00350183" w:rsidP="004E019C">
            <w:pPr>
              <w:spacing w:after="0"/>
              <w:rPr>
                <w:rFonts w:ascii="Calibri" w:hAnsi="Calibri" w:cs="Calibri"/>
                <w:color w:val="000000"/>
                <w:sz w:val="22"/>
                <w:szCs w:val="22"/>
              </w:rPr>
            </w:pPr>
            <w:r>
              <w:rPr>
                <w:rFonts w:ascii="Calibri" w:hAnsi="Calibri" w:cs="Calibri"/>
                <w:color w:val="000000"/>
                <w:sz w:val="22"/>
                <w:szCs w:val="22"/>
              </w:rPr>
              <w:t xml:space="preserve">}      985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7DBA" w14:textId="77777777" w:rsidR="00350183" w:rsidRPr="00F70DB4" w:rsidRDefault="00350183" w:rsidP="004E019C">
            <w:pPr>
              <w:spacing w:after="0"/>
              <w:jc w:val="center"/>
              <w:rPr>
                <w:rFonts w:ascii="Calibri" w:eastAsia="Times New Roman" w:hAnsi="Calibri" w:cs="Calibri"/>
                <w:sz w:val="22"/>
                <w:szCs w:val="22"/>
              </w:rPr>
            </w:pPr>
            <w:r>
              <w:rPr>
                <w:rFonts w:ascii="Calibri" w:hAnsi="Calibri" w:cs="Calibri"/>
                <w:color w:val="000000"/>
                <w:sz w:val="22"/>
                <w:szCs w:val="22"/>
              </w:rPr>
              <w:t>£12,346</w:t>
            </w:r>
          </w:p>
        </w:tc>
      </w:tr>
      <w:tr w:rsidR="00350183" w:rsidRPr="00F70DB4" w14:paraId="37CF009E" w14:textId="77777777" w:rsidTr="00EF6BD6">
        <w:trPr>
          <w:trHeight w:val="340"/>
        </w:trPr>
        <w:tc>
          <w:tcPr>
            <w:tcW w:w="4253" w:type="dxa"/>
            <w:tcBorders>
              <w:top w:val="nil"/>
              <w:left w:val="single" w:sz="8" w:space="0" w:color="auto"/>
              <w:bottom w:val="single" w:sz="8" w:space="0" w:color="auto"/>
              <w:right w:val="single" w:sz="4" w:space="0" w:color="auto"/>
            </w:tcBorders>
            <w:shd w:val="clear" w:color="auto" w:fill="auto"/>
            <w:noWrap/>
            <w:vAlign w:val="center"/>
            <w:hideMark/>
          </w:tcPr>
          <w:p w14:paraId="2157C9C2" w14:textId="77777777" w:rsidR="00350183" w:rsidRPr="00F70DB4" w:rsidRDefault="00350183" w:rsidP="004E019C">
            <w:pPr>
              <w:spacing w:after="0"/>
              <w:rPr>
                <w:rFonts w:ascii="Calibri" w:eastAsia="Times New Roman" w:hAnsi="Calibri" w:cs="Calibri"/>
                <w:color w:val="000000"/>
                <w:sz w:val="22"/>
                <w:szCs w:val="22"/>
              </w:rPr>
            </w:pPr>
            <w:r w:rsidRPr="00F70DB4">
              <w:rPr>
                <w:rFonts w:ascii="Calibri" w:eastAsia="Times New Roman" w:hAnsi="Calibri" w:cs="Calibri"/>
                <w:color w:val="000000"/>
                <w:sz w:val="22"/>
                <w:szCs w:val="22"/>
              </w:rPr>
              <w:t>Staff costs supply cover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3E1F5" w14:textId="77777777" w:rsidR="00350183" w:rsidRPr="00C95F0C" w:rsidRDefault="00350183" w:rsidP="004E019C">
            <w:pPr>
              <w:spacing w:after="0"/>
              <w:jc w:val="center"/>
              <w:rPr>
                <w:rFonts w:ascii="Calibri" w:eastAsia="Times New Roman" w:hAnsi="Calibri" w:cs="Calibri"/>
                <w:sz w:val="22"/>
                <w:szCs w:val="22"/>
              </w:rPr>
            </w:pPr>
            <w:r w:rsidRPr="00C95F0C">
              <w:rPr>
                <w:rFonts w:ascii="Calibri" w:hAnsi="Calibri" w:cs="Calibri"/>
                <w:sz w:val="22"/>
                <w:szCs w:val="22"/>
              </w:rPr>
              <w:t>£5.33</w:t>
            </w:r>
          </w:p>
        </w:tc>
        <w:tc>
          <w:tcPr>
            <w:tcW w:w="1700" w:type="dxa"/>
            <w:tcBorders>
              <w:left w:val="single" w:sz="4" w:space="0" w:color="auto"/>
              <w:right w:val="single" w:sz="4" w:space="0" w:color="auto"/>
            </w:tcBorders>
            <w:vAlign w:val="center"/>
          </w:tcPr>
          <w:p w14:paraId="24603C9D" w14:textId="77777777" w:rsidR="00350183" w:rsidRDefault="00350183" w:rsidP="004E019C">
            <w:pPr>
              <w:spacing w:after="0"/>
              <w:rPr>
                <w:rFonts w:ascii="Calibri" w:hAnsi="Calibri" w:cs="Calibri"/>
                <w:color w:val="000000"/>
                <w:sz w:val="22"/>
                <w:szCs w:val="22"/>
              </w:rPr>
            </w:pPr>
            <w:r>
              <w:rPr>
                <w:rFonts w:ascii="Calibri" w:hAnsi="Calibri" w:cs="Calibri"/>
                <w:color w:val="000000"/>
                <w:sz w:val="22"/>
                <w:szCs w:val="22"/>
              </w:rPr>
              <w:t>}   Places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06E3" w14:textId="77777777" w:rsidR="00350183" w:rsidRPr="00F70DB4" w:rsidRDefault="00350183" w:rsidP="004E019C">
            <w:pPr>
              <w:spacing w:after="0"/>
              <w:jc w:val="center"/>
              <w:rPr>
                <w:rFonts w:ascii="Calibri" w:eastAsia="Times New Roman" w:hAnsi="Calibri" w:cs="Calibri"/>
                <w:sz w:val="22"/>
                <w:szCs w:val="22"/>
              </w:rPr>
            </w:pPr>
            <w:r>
              <w:rPr>
                <w:rFonts w:ascii="Calibri" w:hAnsi="Calibri" w:cs="Calibri"/>
                <w:color w:val="000000"/>
                <w:sz w:val="22"/>
                <w:szCs w:val="22"/>
              </w:rPr>
              <w:t>£15,748</w:t>
            </w:r>
          </w:p>
        </w:tc>
      </w:tr>
      <w:tr w:rsidR="00350183" w:rsidRPr="00F70DB4" w14:paraId="21C6DBE3" w14:textId="77777777" w:rsidTr="00EF6BD6">
        <w:trPr>
          <w:trHeight w:val="340"/>
        </w:trPr>
        <w:tc>
          <w:tcPr>
            <w:tcW w:w="4253" w:type="dxa"/>
            <w:tcBorders>
              <w:top w:val="nil"/>
              <w:left w:val="single" w:sz="8" w:space="0" w:color="auto"/>
              <w:bottom w:val="single" w:sz="8" w:space="0" w:color="auto"/>
              <w:right w:val="single" w:sz="4" w:space="0" w:color="auto"/>
            </w:tcBorders>
            <w:shd w:val="clear" w:color="auto" w:fill="auto"/>
            <w:noWrap/>
            <w:vAlign w:val="center"/>
            <w:hideMark/>
          </w:tcPr>
          <w:p w14:paraId="1B57722F" w14:textId="77777777" w:rsidR="00350183" w:rsidRPr="00F70DB4" w:rsidRDefault="00350183" w:rsidP="004E019C">
            <w:pPr>
              <w:spacing w:after="0"/>
              <w:rPr>
                <w:rFonts w:ascii="Calibri" w:eastAsia="Times New Roman" w:hAnsi="Calibri" w:cs="Calibri"/>
                <w:color w:val="000000"/>
                <w:sz w:val="22"/>
                <w:szCs w:val="22"/>
              </w:rPr>
            </w:pPr>
            <w:r w:rsidRPr="00F70DB4">
              <w:rPr>
                <w:rFonts w:ascii="Calibri" w:eastAsia="Times New Roman" w:hAnsi="Calibri" w:cs="Calibri"/>
                <w:color w:val="000000"/>
                <w:sz w:val="22"/>
                <w:szCs w:val="22"/>
              </w:rPr>
              <w:t>School improvement services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4452D" w14:textId="77777777" w:rsidR="00350183" w:rsidRPr="00C95F0C" w:rsidRDefault="00350183" w:rsidP="004E019C">
            <w:pPr>
              <w:spacing w:after="0"/>
              <w:jc w:val="center"/>
              <w:rPr>
                <w:rFonts w:ascii="Calibri" w:eastAsia="Times New Roman" w:hAnsi="Calibri" w:cs="Calibri"/>
                <w:sz w:val="22"/>
                <w:szCs w:val="22"/>
              </w:rPr>
            </w:pPr>
            <w:r w:rsidRPr="00C95F0C">
              <w:rPr>
                <w:rFonts w:ascii="Calibri" w:eastAsia="Times New Roman" w:hAnsi="Calibri" w:cs="Calibri"/>
                <w:sz w:val="22"/>
                <w:szCs w:val="22"/>
              </w:rPr>
              <w:t>£6.20</w:t>
            </w:r>
          </w:p>
        </w:tc>
        <w:tc>
          <w:tcPr>
            <w:tcW w:w="1700" w:type="dxa"/>
            <w:tcBorders>
              <w:left w:val="single" w:sz="4" w:space="0" w:color="auto"/>
              <w:bottom w:val="single" w:sz="4" w:space="0" w:color="auto"/>
              <w:right w:val="single" w:sz="4" w:space="0" w:color="auto"/>
            </w:tcBorders>
            <w:vAlign w:val="center"/>
          </w:tcPr>
          <w:p w14:paraId="789E897D" w14:textId="77777777" w:rsidR="00350183" w:rsidRDefault="00350183" w:rsidP="004E019C">
            <w:pPr>
              <w:spacing w:after="0"/>
              <w:rPr>
                <w:rFonts w:ascii="Calibri" w:eastAsia="Times New Roman" w:hAnsi="Calibri" w:cs="Calibri"/>
                <w:sz w:val="22"/>
                <w:szCs w:val="22"/>
              </w:rPr>
            </w:pPr>
            <w:r>
              <w:rPr>
                <w:rFonts w:ascii="Calibri" w:eastAsia="Times New Roman" w:hAnsi="Calibri" w:cs="Calibri"/>
                <w:sz w:val="22"/>
                <w:szCs w:val="22"/>
              </w:rPr>
              <w:t>}      X 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D7ED0" w14:textId="77777777" w:rsidR="00350183" w:rsidRPr="00F70DB4" w:rsidRDefault="00350183" w:rsidP="004E019C">
            <w:pPr>
              <w:spacing w:after="0"/>
              <w:jc w:val="center"/>
              <w:rPr>
                <w:rFonts w:ascii="Calibri" w:eastAsia="Times New Roman" w:hAnsi="Calibri" w:cs="Calibri"/>
                <w:sz w:val="22"/>
                <w:szCs w:val="22"/>
              </w:rPr>
            </w:pPr>
            <w:r>
              <w:rPr>
                <w:rFonts w:ascii="Calibri" w:eastAsia="Times New Roman" w:hAnsi="Calibri" w:cs="Calibri"/>
                <w:sz w:val="22"/>
                <w:szCs w:val="22"/>
              </w:rPr>
              <w:t>£18</w:t>
            </w:r>
            <w:r w:rsidRPr="00F70DB4">
              <w:rPr>
                <w:rFonts w:ascii="Calibri" w:eastAsia="Times New Roman" w:hAnsi="Calibri" w:cs="Calibri"/>
                <w:sz w:val="22"/>
                <w:szCs w:val="22"/>
              </w:rPr>
              <w:t>,</w:t>
            </w:r>
            <w:r>
              <w:rPr>
                <w:rFonts w:ascii="Calibri" w:eastAsia="Times New Roman" w:hAnsi="Calibri" w:cs="Calibri"/>
                <w:sz w:val="22"/>
                <w:szCs w:val="22"/>
              </w:rPr>
              <w:t>321</w:t>
            </w:r>
          </w:p>
        </w:tc>
      </w:tr>
      <w:tr w:rsidR="00350183" w:rsidRPr="00F70DB4" w14:paraId="454A3E25" w14:textId="77777777" w:rsidTr="00EF6BD6">
        <w:trPr>
          <w:trHeight w:val="340"/>
        </w:trPr>
        <w:tc>
          <w:tcPr>
            <w:tcW w:w="4253" w:type="dxa"/>
            <w:tcBorders>
              <w:top w:val="nil"/>
              <w:left w:val="single" w:sz="8" w:space="0" w:color="auto"/>
              <w:bottom w:val="single" w:sz="8" w:space="0" w:color="auto"/>
              <w:right w:val="single" w:sz="4" w:space="0" w:color="auto"/>
            </w:tcBorders>
            <w:shd w:val="clear" w:color="auto" w:fill="auto"/>
            <w:noWrap/>
            <w:vAlign w:val="center"/>
            <w:hideMark/>
          </w:tcPr>
          <w:p w14:paraId="64EE63B6" w14:textId="77777777" w:rsidR="00350183" w:rsidRPr="00F70DB4" w:rsidRDefault="00350183" w:rsidP="004E019C">
            <w:pPr>
              <w:spacing w:after="0"/>
              <w:rPr>
                <w:rFonts w:ascii="Calibri" w:eastAsia="Times New Roman" w:hAnsi="Calibri" w:cs="Calibri"/>
                <w:b/>
                <w:bCs/>
                <w:color w:val="000000"/>
                <w:sz w:val="22"/>
                <w:szCs w:val="22"/>
              </w:rPr>
            </w:pPr>
            <w:r w:rsidRPr="00F70DB4">
              <w:rPr>
                <w:rFonts w:ascii="Calibri" w:eastAsia="Times New Roman" w:hAnsi="Calibri" w:cs="Calibri"/>
                <w:b/>
                <w:bCs/>
                <w:color w:val="000000"/>
                <w:sz w:val="22"/>
                <w:szCs w:val="22"/>
              </w:rPr>
              <w:t>total De Delegation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2B90" w14:textId="77777777" w:rsidR="00350183" w:rsidRPr="00F70DB4" w:rsidRDefault="00350183" w:rsidP="004E019C">
            <w:pPr>
              <w:spacing w:after="0"/>
              <w:jc w:val="center"/>
              <w:rPr>
                <w:rFonts w:ascii="Calibri" w:eastAsia="Times New Roman" w:hAnsi="Calibri" w:cs="Calibri"/>
                <w:b/>
                <w:bCs/>
                <w:sz w:val="20"/>
                <w:szCs w:val="20"/>
              </w:rPr>
            </w:pPr>
            <w:r w:rsidRPr="00F70DB4">
              <w:rPr>
                <w:rFonts w:ascii="Segoe UI" w:eastAsia="Times New Roman" w:hAnsi="Segoe UI" w:cs="Segoe UI"/>
                <w:b/>
                <w:bCs/>
                <w:sz w:val="20"/>
                <w:szCs w:val="20"/>
              </w:rPr>
              <w:t xml:space="preserve">   </w:t>
            </w:r>
            <w:r w:rsidRPr="008B22EF">
              <w:rPr>
                <w:rFonts w:ascii="Segoe UI" w:eastAsia="Times New Roman" w:hAnsi="Segoe UI" w:cs="Segoe UI"/>
                <w:b/>
                <w:bCs/>
                <w:sz w:val="20"/>
                <w:szCs w:val="20"/>
              </w:rPr>
              <w:t>£</w:t>
            </w:r>
            <w:r>
              <w:rPr>
                <w:rFonts w:ascii="Segoe UI" w:eastAsia="Times New Roman" w:hAnsi="Segoe UI" w:cs="Segoe UI"/>
                <w:b/>
                <w:bCs/>
                <w:sz w:val="20"/>
                <w:szCs w:val="20"/>
              </w:rPr>
              <w:t>31.90</w:t>
            </w:r>
            <w:r w:rsidRPr="00F70DB4">
              <w:rPr>
                <w:rFonts w:ascii="Segoe UI" w:eastAsia="Times New Roman" w:hAnsi="Segoe UI" w:cs="Segoe UI"/>
                <w:b/>
                <w:bCs/>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14:paraId="0BB8031D" w14:textId="77777777" w:rsidR="00350183" w:rsidRPr="008B22EF" w:rsidRDefault="00350183" w:rsidP="004E019C">
            <w:pPr>
              <w:spacing w:after="0"/>
              <w:jc w:val="center"/>
              <w:rPr>
                <w:rFonts w:ascii="Segoe UI" w:eastAsia="Times New Roman" w:hAnsi="Segoe UI" w:cs="Segoe UI"/>
                <w:b/>
                <w:bCs/>
                <w:sz w:val="20"/>
                <w:szCs w:val="20"/>
              </w:rPr>
            </w:pPr>
            <w:r>
              <w:rPr>
                <w:rFonts w:ascii="Segoe UI" w:eastAsia="Times New Roman" w:hAnsi="Segoe UI" w:cs="Segoe UI"/>
                <w:b/>
                <w:bCs/>
                <w:sz w:val="20"/>
                <w:szCs w:val="20"/>
              </w:rPr>
              <w:t>2,955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C342C" w14:textId="77777777" w:rsidR="00350183" w:rsidRPr="00F70DB4" w:rsidRDefault="00350183" w:rsidP="004E019C">
            <w:pPr>
              <w:spacing w:after="0"/>
              <w:jc w:val="center"/>
              <w:rPr>
                <w:rFonts w:ascii="Calibri" w:eastAsia="Times New Roman" w:hAnsi="Calibri" w:cs="Calibri"/>
                <w:b/>
                <w:bCs/>
                <w:sz w:val="20"/>
                <w:szCs w:val="20"/>
              </w:rPr>
            </w:pPr>
            <w:r w:rsidRPr="008B22EF">
              <w:rPr>
                <w:rFonts w:ascii="Segoe UI" w:eastAsia="Times New Roman" w:hAnsi="Segoe UI" w:cs="Segoe UI"/>
                <w:b/>
                <w:bCs/>
                <w:sz w:val="20"/>
                <w:szCs w:val="20"/>
              </w:rPr>
              <w:t>£</w:t>
            </w:r>
            <w:r>
              <w:rPr>
                <w:rFonts w:ascii="Segoe UI" w:eastAsia="Times New Roman" w:hAnsi="Segoe UI" w:cs="Segoe UI"/>
                <w:b/>
                <w:bCs/>
                <w:sz w:val="20"/>
                <w:szCs w:val="20"/>
              </w:rPr>
              <w:t>94</w:t>
            </w:r>
            <w:r w:rsidRPr="00F70DB4">
              <w:rPr>
                <w:rFonts w:ascii="Segoe UI" w:eastAsia="Times New Roman" w:hAnsi="Segoe UI" w:cs="Segoe UI"/>
                <w:b/>
                <w:bCs/>
                <w:sz w:val="20"/>
                <w:szCs w:val="20"/>
              </w:rPr>
              <w:t>,</w:t>
            </w:r>
            <w:r>
              <w:rPr>
                <w:rFonts w:ascii="Segoe UI" w:eastAsia="Times New Roman" w:hAnsi="Segoe UI" w:cs="Segoe UI"/>
                <w:b/>
                <w:bCs/>
                <w:sz w:val="20"/>
                <w:szCs w:val="20"/>
              </w:rPr>
              <w:t>262</w:t>
            </w:r>
          </w:p>
        </w:tc>
      </w:tr>
    </w:tbl>
    <w:p w14:paraId="4C3EFA31" w14:textId="77777777" w:rsidR="00350183" w:rsidRDefault="00350183" w:rsidP="00350183">
      <w:pPr>
        <w:pStyle w:val="ListParagraph"/>
        <w:ind w:left="567"/>
        <w:jc w:val="both"/>
      </w:pPr>
    </w:p>
    <w:p w14:paraId="27110118" w14:textId="77777777" w:rsidR="00350183" w:rsidRPr="004C2A70" w:rsidRDefault="00350183" w:rsidP="00350183">
      <w:pPr>
        <w:pStyle w:val="ListParagraph"/>
        <w:spacing w:before="120" w:after="120"/>
        <w:ind w:left="1276"/>
        <w:jc w:val="both"/>
        <w:rPr>
          <w:color w:val="000000"/>
        </w:rPr>
      </w:pPr>
    </w:p>
    <w:p w14:paraId="0F4AA9FB" w14:textId="55C617CC" w:rsidR="00972627" w:rsidRDefault="00350183" w:rsidP="00972627">
      <w:pPr>
        <w:pStyle w:val="ListParagraph"/>
        <w:numPr>
          <w:ilvl w:val="2"/>
          <w:numId w:val="4"/>
        </w:numPr>
        <w:spacing w:before="120" w:after="120"/>
        <w:ind w:left="1276" w:hanging="709"/>
        <w:jc w:val="both"/>
      </w:pPr>
      <w:r>
        <w:t xml:space="preserve">Using the notional de-delegation rate for mainstream schools in this paper, and the 2023-24 weighted place numbers the proposed charge per school would represent less than 1% of the place allocation, as shown in table </w:t>
      </w:r>
      <w:r w:rsidR="00EF6BD6">
        <w:t>4.</w:t>
      </w:r>
    </w:p>
    <w:tbl>
      <w:tblPr>
        <w:tblpPr w:leftFromText="180" w:rightFromText="180" w:vertAnchor="text" w:horzAnchor="margin" w:tblpXSpec="right" w:tblpY="206"/>
        <w:tblW w:w="9016" w:type="dxa"/>
        <w:tblLook w:val="04A0" w:firstRow="1" w:lastRow="0" w:firstColumn="1" w:lastColumn="0" w:noHBand="0" w:noVBand="1"/>
      </w:tblPr>
      <w:tblGrid>
        <w:gridCol w:w="4106"/>
        <w:gridCol w:w="1559"/>
        <w:gridCol w:w="1498"/>
        <w:gridCol w:w="1853"/>
      </w:tblGrid>
      <w:tr w:rsidR="00350183" w14:paraId="3E7DE970" w14:textId="77777777" w:rsidTr="004E019C">
        <w:trPr>
          <w:trHeight w:val="56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6C5B" w14:textId="6405A96F" w:rsidR="00350183" w:rsidRDefault="00350183" w:rsidP="004E019C">
            <w:pPr>
              <w:spacing w:after="0"/>
              <w:rPr>
                <w:rFonts w:ascii="Calibri" w:hAnsi="Calibri" w:cs="Calibri"/>
                <w:color w:val="000000"/>
                <w:sz w:val="22"/>
                <w:szCs w:val="22"/>
              </w:rPr>
            </w:pPr>
            <w:r>
              <w:rPr>
                <w:rFonts w:ascii="Calibri" w:hAnsi="Calibri" w:cs="Calibri"/>
                <w:color w:val="000000"/>
                <w:sz w:val="22"/>
                <w:szCs w:val="22"/>
              </w:rPr>
              <w:t xml:space="preserve">Table </w:t>
            </w:r>
            <w:r w:rsidR="00EF6BD6">
              <w:rPr>
                <w:rFonts w:ascii="Calibri" w:hAnsi="Calibri" w:cs="Calibri"/>
                <w:color w:val="000000"/>
                <w:sz w:val="22"/>
                <w:szCs w:val="22"/>
              </w:rPr>
              <w:t>4</w:t>
            </w:r>
          </w:p>
          <w:p w14:paraId="3913B40C" w14:textId="77777777" w:rsidR="00EF6BD6" w:rsidRDefault="00EF6BD6" w:rsidP="004E019C">
            <w:pPr>
              <w:spacing w:after="0"/>
              <w:rPr>
                <w:rFonts w:ascii="Calibri" w:hAnsi="Calibri" w:cs="Calibri"/>
                <w:color w:val="000000"/>
                <w:sz w:val="22"/>
                <w:szCs w:val="22"/>
              </w:rPr>
            </w:pPr>
          </w:p>
          <w:p w14:paraId="2463C6E9" w14:textId="77777777" w:rsidR="00350183" w:rsidRDefault="00350183" w:rsidP="004E019C">
            <w:pPr>
              <w:spacing w:after="0"/>
              <w:rPr>
                <w:rFonts w:ascii="Calibri" w:eastAsia="Times New Roman" w:hAnsi="Calibri" w:cs="Calibri"/>
                <w:color w:val="000000"/>
                <w:sz w:val="22"/>
                <w:szCs w:val="22"/>
              </w:rPr>
            </w:pPr>
            <w:r>
              <w:rPr>
                <w:rFonts w:ascii="Calibri" w:hAnsi="Calibri" w:cs="Calibri"/>
                <w:color w:val="000000"/>
                <w:sz w:val="22"/>
                <w:szCs w:val="22"/>
              </w:rPr>
              <w:t>Special school notional charging totals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2A90B"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 xml:space="preserve">Places </w:t>
            </w:r>
          </w:p>
          <w:p w14:paraId="06ABE105"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(2023-24)</w:t>
            </w:r>
          </w:p>
        </w:tc>
        <w:tc>
          <w:tcPr>
            <w:tcW w:w="1498" w:type="dxa"/>
            <w:tcBorders>
              <w:top w:val="single" w:sz="4" w:space="0" w:color="auto"/>
              <w:left w:val="nil"/>
              <w:bottom w:val="single" w:sz="4" w:space="0" w:color="auto"/>
              <w:right w:val="single" w:sz="4" w:space="0" w:color="auto"/>
            </w:tcBorders>
          </w:tcPr>
          <w:p w14:paraId="448F5663" w14:textId="77777777" w:rsidR="00EF6BD6" w:rsidRDefault="00EF6BD6" w:rsidP="004E019C">
            <w:pPr>
              <w:spacing w:after="0"/>
              <w:jc w:val="center"/>
              <w:rPr>
                <w:rFonts w:ascii="Calibri" w:hAnsi="Calibri" w:cs="Calibri"/>
                <w:color w:val="000000"/>
                <w:sz w:val="22"/>
                <w:szCs w:val="22"/>
              </w:rPr>
            </w:pPr>
          </w:p>
          <w:p w14:paraId="0AE41E03" w14:textId="43EF0B3F"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Places (weighted x 3)</w:t>
            </w:r>
          </w:p>
        </w:tc>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01E79" w14:textId="77777777" w:rsidR="00350183" w:rsidRDefault="00350183" w:rsidP="004E019C">
            <w:pPr>
              <w:spacing w:after="0"/>
              <w:jc w:val="center"/>
              <w:rPr>
                <w:rFonts w:ascii="Calibri" w:hAnsi="Calibri" w:cs="Calibri"/>
                <w:color w:val="000000"/>
                <w:sz w:val="22"/>
                <w:szCs w:val="22"/>
              </w:rPr>
            </w:pPr>
            <w:r w:rsidRPr="00F70DB4">
              <w:rPr>
                <w:rFonts w:ascii="Segoe UI" w:eastAsia="Times New Roman" w:hAnsi="Segoe UI" w:cs="Segoe UI"/>
                <w:sz w:val="22"/>
                <w:szCs w:val="22"/>
              </w:rPr>
              <w:t>P</w:t>
            </w:r>
            <w:r>
              <w:rPr>
                <w:rFonts w:ascii="Segoe UI" w:eastAsia="Times New Roman" w:hAnsi="Segoe UI" w:cs="Segoe UI"/>
                <w:sz w:val="22"/>
                <w:szCs w:val="22"/>
              </w:rPr>
              <w:t xml:space="preserve">roposed per school charge </w:t>
            </w:r>
          </w:p>
        </w:tc>
      </w:tr>
      <w:tr w:rsidR="00350183" w14:paraId="4DBF4EB0" w14:textId="77777777" w:rsidTr="004E019C">
        <w:trPr>
          <w:trHeight w:val="3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F7153A9" w14:textId="77777777" w:rsidR="00350183" w:rsidRDefault="00350183" w:rsidP="004E019C">
            <w:pPr>
              <w:spacing w:after="0"/>
              <w:rPr>
                <w:rFonts w:ascii="Segoe UI" w:hAnsi="Segoe UI" w:cs="Segoe UI"/>
                <w:color w:val="000000"/>
                <w:sz w:val="22"/>
                <w:szCs w:val="22"/>
              </w:rPr>
            </w:pPr>
            <w:r>
              <w:rPr>
                <w:rFonts w:ascii="Segoe UI" w:hAnsi="Segoe UI" w:cs="Segoe UI"/>
                <w:color w:val="000000"/>
                <w:sz w:val="22"/>
                <w:szCs w:val="22"/>
              </w:rPr>
              <w:t>Beatrice Tate</w:t>
            </w:r>
          </w:p>
        </w:tc>
        <w:tc>
          <w:tcPr>
            <w:tcW w:w="1559" w:type="dxa"/>
            <w:tcBorders>
              <w:top w:val="nil"/>
              <w:left w:val="nil"/>
              <w:bottom w:val="single" w:sz="4" w:space="0" w:color="auto"/>
              <w:right w:val="single" w:sz="4" w:space="0" w:color="auto"/>
            </w:tcBorders>
            <w:shd w:val="clear" w:color="auto" w:fill="auto"/>
            <w:noWrap/>
            <w:vAlign w:val="bottom"/>
            <w:hideMark/>
          </w:tcPr>
          <w:p w14:paraId="39A382C4"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125</w:t>
            </w:r>
          </w:p>
        </w:tc>
        <w:tc>
          <w:tcPr>
            <w:tcW w:w="1498" w:type="dxa"/>
            <w:tcBorders>
              <w:top w:val="single" w:sz="4" w:space="0" w:color="auto"/>
              <w:left w:val="nil"/>
              <w:bottom w:val="single" w:sz="4" w:space="0" w:color="auto"/>
              <w:right w:val="single" w:sz="4" w:space="0" w:color="auto"/>
            </w:tcBorders>
            <w:vAlign w:val="bottom"/>
          </w:tcPr>
          <w:p w14:paraId="50DC6328"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375</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1D4DA16"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£11,962</w:t>
            </w:r>
          </w:p>
        </w:tc>
      </w:tr>
      <w:tr w:rsidR="00350183" w14:paraId="230ACE9D" w14:textId="77777777" w:rsidTr="004E019C">
        <w:trPr>
          <w:trHeight w:val="3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F3AA7D4" w14:textId="77777777" w:rsidR="00350183" w:rsidRDefault="00350183" w:rsidP="004E019C">
            <w:pPr>
              <w:spacing w:after="0"/>
              <w:rPr>
                <w:rFonts w:ascii="Segoe UI" w:hAnsi="Segoe UI" w:cs="Segoe UI"/>
                <w:color w:val="000000"/>
                <w:sz w:val="22"/>
                <w:szCs w:val="22"/>
              </w:rPr>
            </w:pPr>
            <w:r>
              <w:rPr>
                <w:rFonts w:ascii="Segoe UI" w:hAnsi="Segoe UI" w:cs="Segoe UI"/>
                <w:color w:val="000000"/>
                <w:sz w:val="22"/>
                <w:szCs w:val="22"/>
              </w:rPr>
              <w:t>Bowden House (res &amp; day)</w:t>
            </w:r>
          </w:p>
        </w:tc>
        <w:tc>
          <w:tcPr>
            <w:tcW w:w="1559" w:type="dxa"/>
            <w:tcBorders>
              <w:top w:val="nil"/>
              <w:left w:val="nil"/>
              <w:bottom w:val="single" w:sz="4" w:space="0" w:color="auto"/>
              <w:right w:val="single" w:sz="4" w:space="0" w:color="auto"/>
            </w:tcBorders>
            <w:shd w:val="clear" w:color="auto" w:fill="auto"/>
            <w:noWrap/>
            <w:vAlign w:val="bottom"/>
            <w:hideMark/>
          </w:tcPr>
          <w:p w14:paraId="48454D73"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62</w:t>
            </w:r>
          </w:p>
        </w:tc>
        <w:tc>
          <w:tcPr>
            <w:tcW w:w="1498" w:type="dxa"/>
            <w:tcBorders>
              <w:top w:val="single" w:sz="4" w:space="0" w:color="auto"/>
              <w:left w:val="nil"/>
              <w:bottom w:val="single" w:sz="4" w:space="0" w:color="auto"/>
              <w:right w:val="single" w:sz="4" w:space="0" w:color="auto"/>
            </w:tcBorders>
            <w:vAlign w:val="bottom"/>
          </w:tcPr>
          <w:p w14:paraId="25B92206"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186</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4A5B1393"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£5,933</w:t>
            </w:r>
          </w:p>
        </w:tc>
      </w:tr>
      <w:tr w:rsidR="00350183" w14:paraId="7809E961" w14:textId="77777777" w:rsidTr="004E019C">
        <w:trPr>
          <w:trHeight w:val="3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0A51933" w14:textId="77777777" w:rsidR="00350183" w:rsidRDefault="00350183" w:rsidP="004E019C">
            <w:pPr>
              <w:spacing w:after="0"/>
              <w:rPr>
                <w:rFonts w:ascii="Calibri" w:hAnsi="Calibri" w:cs="Calibri"/>
                <w:color w:val="000000"/>
                <w:sz w:val="22"/>
                <w:szCs w:val="22"/>
              </w:rPr>
            </w:pPr>
            <w:r>
              <w:rPr>
                <w:rFonts w:ascii="Calibri" w:hAnsi="Calibri" w:cs="Calibri"/>
                <w:color w:val="000000"/>
                <w:sz w:val="22"/>
                <w:szCs w:val="22"/>
              </w:rPr>
              <w:t>Pheonix</w:t>
            </w:r>
          </w:p>
        </w:tc>
        <w:tc>
          <w:tcPr>
            <w:tcW w:w="1559" w:type="dxa"/>
            <w:tcBorders>
              <w:top w:val="nil"/>
              <w:left w:val="nil"/>
              <w:bottom w:val="single" w:sz="4" w:space="0" w:color="auto"/>
              <w:right w:val="single" w:sz="4" w:space="0" w:color="auto"/>
            </w:tcBorders>
            <w:shd w:val="clear" w:color="auto" w:fill="auto"/>
            <w:noWrap/>
            <w:vAlign w:val="bottom"/>
            <w:hideMark/>
          </w:tcPr>
          <w:p w14:paraId="08C4B443"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470</w:t>
            </w:r>
          </w:p>
        </w:tc>
        <w:tc>
          <w:tcPr>
            <w:tcW w:w="1498" w:type="dxa"/>
            <w:tcBorders>
              <w:top w:val="single" w:sz="4" w:space="0" w:color="auto"/>
              <w:left w:val="nil"/>
              <w:bottom w:val="single" w:sz="4" w:space="0" w:color="auto"/>
              <w:right w:val="single" w:sz="4" w:space="0" w:color="auto"/>
            </w:tcBorders>
            <w:vAlign w:val="bottom"/>
          </w:tcPr>
          <w:p w14:paraId="7D443631"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1410</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CDFFD6C"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£44,978</w:t>
            </w:r>
          </w:p>
        </w:tc>
      </w:tr>
      <w:tr w:rsidR="00350183" w14:paraId="60891398" w14:textId="77777777" w:rsidTr="004E019C">
        <w:trPr>
          <w:trHeight w:val="3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F4B2394" w14:textId="77777777" w:rsidR="00350183" w:rsidRDefault="00350183" w:rsidP="004E019C">
            <w:pPr>
              <w:spacing w:after="0"/>
              <w:rPr>
                <w:rFonts w:ascii="Segoe UI" w:hAnsi="Segoe UI" w:cs="Segoe UI"/>
                <w:color w:val="000000"/>
                <w:sz w:val="22"/>
                <w:szCs w:val="22"/>
              </w:rPr>
            </w:pPr>
            <w:r>
              <w:rPr>
                <w:rFonts w:ascii="Segoe UI" w:hAnsi="Segoe UI" w:cs="Segoe UI"/>
                <w:color w:val="000000"/>
                <w:sz w:val="22"/>
                <w:szCs w:val="22"/>
              </w:rPr>
              <w:t>Stephen Hawkings</w:t>
            </w:r>
          </w:p>
        </w:tc>
        <w:tc>
          <w:tcPr>
            <w:tcW w:w="1559" w:type="dxa"/>
            <w:tcBorders>
              <w:top w:val="nil"/>
              <w:left w:val="nil"/>
              <w:bottom w:val="single" w:sz="4" w:space="0" w:color="auto"/>
              <w:right w:val="single" w:sz="4" w:space="0" w:color="auto"/>
            </w:tcBorders>
            <w:shd w:val="clear" w:color="auto" w:fill="auto"/>
            <w:noWrap/>
            <w:vAlign w:val="bottom"/>
            <w:hideMark/>
          </w:tcPr>
          <w:p w14:paraId="70A0A99F"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104</w:t>
            </w:r>
          </w:p>
        </w:tc>
        <w:tc>
          <w:tcPr>
            <w:tcW w:w="1498" w:type="dxa"/>
            <w:tcBorders>
              <w:top w:val="single" w:sz="4" w:space="0" w:color="auto"/>
              <w:left w:val="nil"/>
              <w:bottom w:val="single" w:sz="4" w:space="0" w:color="auto"/>
              <w:right w:val="single" w:sz="4" w:space="0" w:color="auto"/>
            </w:tcBorders>
            <w:vAlign w:val="bottom"/>
          </w:tcPr>
          <w:p w14:paraId="5E983631"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312</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1063D257"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£9,953</w:t>
            </w:r>
          </w:p>
        </w:tc>
      </w:tr>
      <w:tr w:rsidR="00350183" w14:paraId="3D6974B1" w14:textId="77777777" w:rsidTr="004E019C">
        <w:trPr>
          <w:trHeight w:val="3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5C18CB5" w14:textId="77777777" w:rsidR="00350183" w:rsidRDefault="00350183" w:rsidP="004E019C">
            <w:pPr>
              <w:spacing w:after="0"/>
              <w:rPr>
                <w:rFonts w:ascii="Calibri" w:hAnsi="Calibri" w:cs="Calibri"/>
                <w:color w:val="000000"/>
                <w:sz w:val="22"/>
                <w:szCs w:val="22"/>
              </w:rPr>
            </w:pPr>
            <w:r>
              <w:rPr>
                <w:rFonts w:ascii="Calibri" w:hAnsi="Calibri" w:cs="Calibri"/>
                <w:color w:val="000000"/>
                <w:sz w:val="22"/>
                <w:szCs w:val="22"/>
              </w:rPr>
              <w:t>LEAP</w:t>
            </w:r>
          </w:p>
        </w:tc>
        <w:tc>
          <w:tcPr>
            <w:tcW w:w="1559" w:type="dxa"/>
            <w:tcBorders>
              <w:top w:val="nil"/>
              <w:left w:val="nil"/>
              <w:bottom w:val="single" w:sz="4" w:space="0" w:color="auto"/>
              <w:right w:val="single" w:sz="4" w:space="0" w:color="auto"/>
            </w:tcBorders>
            <w:shd w:val="clear" w:color="auto" w:fill="auto"/>
            <w:noWrap/>
            <w:vAlign w:val="bottom"/>
            <w:hideMark/>
          </w:tcPr>
          <w:p w14:paraId="6D3FB11A"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224</w:t>
            </w:r>
          </w:p>
        </w:tc>
        <w:tc>
          <w:tcPr>
            <w:tcW w:w="1498" w:type="dxa"/>
            <w:tcBorders>
              <w:top w:val="single" w:sz="4" w:space="0" w:color="auto"/>
              <w:left w:val="nil"/>
              <w:bottom w:val="single" w:sz="4" w:space="0" w:color="auto"/>
              <w:right w:val="single" w:sz="4" w:space="0" w:color="auto"/>
            </w:tcBorders>
            <w:vAlign w:val="bottom"/>
          </w:tcPr>
          <w:p w14:paraId="3F7A18DF"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672</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4A19088A"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£21,436</w:t>
            </w:r>
          </w:p>
        </w:tc>
      </w:tr>
      <w:tr w:rsidR="00350183" w14:paraId="4B9ED180" w14:textId="77777777" w:rsidTr="004E019C">
        <w:trPr>
          <w:trHeight w:val="3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1AE8CFC" w14:textId="77777777" w:rsidR="00350183" w:rsidRDefault="00350183" w:rsidP="004E019C">
            <w:pPr>
              <w:spacing w:after="0"/>
              <w:rPr>
                <w:rFonts w:ascii="Calibri" w:hAnsi="Calibri" w:cs="Calibri"/>
                <w:color w:val="000000"/>
                <w:sz w:val="22"/>
                <w:szCs w:val="22"/>
              </w:rPr>
            </w:pPr>
            <w:r>
              <w:rPr>
                <w:rFonts w:ascii="Calibri" w:hAnsi="Calibri" w:cs="Calibri"/>
                <w:color w:val="000000"/>
                <w:sz w:val="22"/>
                <w:szCs w:val="22"/>
              </w:rPr>
              <w:t> Total places</w:t>
            </w:r>
          </w:p>
        </w:tc>
        <w:tc>
          <w:tcPr>
            <w:tcW w:w="1559" w:type="dxa"/>
            <w:tcBorders>
              <w:top w:val="nil"/>
              <w:left w:val="nil"/>
              <w:bottom w:val="single" w:sz="4" w:space="0" w:color="auto"/>
              <w:right w:val="single" w:sz="4" w:space="0" w:color="auto"/>
            </w:tcBorders>
            <w:shd w:val="clear" w:color="auto" w:fill="auto"/>
            <w:noWrap/>
            <w:vAlign w:val="bottom"/>
            <w:hideMark/>
          </w:tcPr>
          <w:p w14:paraId="70635B7D"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985</w:t>
            </w:r>
          </w:p>
        </w:tc>
        <w:tc>
          <w:tcPr>
            <w:tcW w:w="1498" w:type="dxa"/>
            <w:tcBorders>
              <w:top w:val="single" w:sz="4" w:space="0" w:color="auto"/>
              <w:left w:val="nil"/>
              <w:bottom w:val="single" w:sz="4" w:space="0" w:color="auto"/>
              <w:right w:val="single" w:sz="4" w:space="0" w:color="auto"/>
            </w:tcBorders>
            <w:vAlign w:val="bottom"/>
          </w:tcPr>
          <w:p w14:paraId="2EB9B03D" w14:textId="77777777" w:rsidR="00350183" w:rsidRDefault="00350183" w:rsidP="004E019C">
            <w:pPr>
              <w:spacing w:after="0"/>
              <w:jc w:val="center"/>
              <w:rPr>
                <w:rFonts w:ascii="Calibri" w:hAnsi="Calibri" w:cs="Calibri"/>
                <w:color w:val="000000"/>
                <w:sz w:val="22"/>
                <w:szCs w:val="22"/>
              </w:rPr>
            </w:pPr>
            <w:r>
              <w:rPr>
                <w:rFonts w:ascii="Calibri" w:hAnsi="Calibri" w:cs="Calibri"/>
                <w:color w:val="000000"/>
                <w:sz w:val="22"/>
                <w:szCs w:val="22"/>
              </w:rPr>
              <w:t>2,955</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4AAE84E" w14:textId="77777777" w:rsidR="00350183" w:rsidRDefault="00350183" w:rsidP="004E019C">
            <w:pPr>
              <w:spacing w:after="0"/>
              <w:jc w:val="center"/>
              <w:rPr>
                <w:rFonts w:ascii="Calibri" w:hAnsi="Calibri" w:cs="Calibri"/>
                <w:color w:val="000000"/>
                <w:sz w:val="22"/>
                <w:szCs w:val="22"/>
              </w:rPr>
            </w:pPr>
          </w:p>
        </w:tc>
      </w:tr>
      <w:tr w:rsidR="00350183" w14:paraId="3DBB3A82" w14:textId="77777777" w:rsidTr="004E019C">
        <w:trPr>
          <w:trHeight w:val="34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6D7FB2F" w14:textId="77777777" w:rsidR="00350183" w:rsidRPr="002E5D1E" w:rsidRDefault="00350183" w:rsidP="004E019C">
            <w:pPr>
              <w:spacing w:after="0"/>
              <w:rPr>
                <w:rFonts w:ascii="Calibri" w:hAnsi="Calibri" w:cs="Calibri"/>
                <w:b/>
                <w:bCs/>
                <w:color w:val="000000"/>
                <w:sz w:val="22"/>
                <w:szCs w:val="22"/>
              </w:rPr>
            </w:pPr>
            <w:r w:rsidRPr="002E5D1E">
              <w:rPr>
                <w:rFonts w:ascii="Calibri" w:hAnsi="Calibri" w:cs="Calibri"/>
                <w:b/>
                <w:bCs/>
                <w:color w:val="000000"/>
                <w:sz w:val="22"/>
                <w:szCs w:val="22"/>
              </w:rPr>
              <w:t>totals £</w:t>
            </w:r>
          </w:p>
        </w:tc>
        <w:tc>
          <w:tcPr>
            <w:tcW w:w="1559" w:type="dxa"/>
            <w:tcBorders>
              <w:top w:val="nil"/>
              <w:left w:val="nil"/>
              <w:bottom w:val="single" w:sz="4" w:space="0" w:color="auto"/>
              <w:right w:val="single" w:sz="4" w:space="0" w:color="auto"/>
            </w:tcBorders>
            <w:shd w:val="clear" w:color="auto" w:fill="auto"/>
            <w:noWrap/>
            <w:vAlign w:val="bottom"/>
            <w:hideMark/>
          </w:tcPr>
          <w:p w14:paraId="46CC1231" w14:textId="77777777" w:rsidR="00350183" w:rsidRPr="002E5D1E" w:rsidRDefault="00350183" w:rsidP="004E019C">
            <w:pPr>
              <w:spacing w:after="0"/>
              <w:jc w:val="center"/>
              <w:rPr>
                <w:rFonts w:ascii="Calibri" w:hAnsi="Calibri" w:cs="Calibri"/>
                <w:b/>
                <w:bCs/>
                <w:color w:val="000000"/>
                <w:sz w:val="22"/>
                <w:szCs w:val="22"/>
              </w:rPr>
            </w:pPr>
            <w:r w:rsidRPr="002E5D1E">
              <w:rPr>
                <w:rFonts w:ascii="Calibri" w:hAnsi="Calibri" w:cs="Calibri"/>
                <w:b/>
                <w:bCs/>
                <w:color w:val="000000"/>
                <w:sz w:val="22"/>
                <w:szCs w:val="22"/>
              </w:rPr>
              <w:t>£9,</w:t>
            </w:r>
            <w:r>
              <w:rPr>
                <w:rFonts w:ascii="Calibri" w:hAnsi="Calibri" w:cs="Calibri"/>
                <w:b/>
                <w:bCs/>
                <w:color w:val="000000"/>
                <w:sz w:val="22"/>
                <w:szCs w:val="22"/>
              </w:rPr>
              <w:t>85</w:t>
            </w:r>
            <w:r w:rsidRPr="002E5D1E">
              <w:rPr>
                <w:rFonts w:ascii="Calibri" w:hAnsi="Calibri" w:cs="Calibri"/>
                <w:b/>
                <w:bCs/>
                <w:color w:val="000000"/>
                <w:sz w:val="22"/>
                <w:szCs w:val="22"/>
              </w:rPr>
              <w:t>0,000</w:t>
            </w:r>
          </w:p>
        </w:tc>
        <w:tc>
          <w:tcPr>
            <w:tcW w:w="1498" w:type="dxa"/>
            <w:tcBorders>
              <w:top w:val="single" w:sz="4" w:space="0" w:color="auto"/>
              <w:left w:val="nil"/>
              <w:bottom w:val="single" w:sz="4" w:space="0" w:color="auto"/>
              <w:right w:val="single" w:sz="4" w:space="0" w:color="auto"/>
            </w:tcBorders>
          </w:tcPr>
          <w:p w14:paraId="1DE2ACA8" w14:textId="77777777" w:rsidR="00350183" w:rsidRPr="002E5D1E" w:rsidRDefault="00350183" w:rsidP="004E019C">
            <w:pPr>
              <w:spacing w:after="0"/>
              <w:jc w:val="center"/>
              <w:rPr>
                <w:rFonts w:ascii="Calibri" w:hAnsi="Calibri" w:cs="Calibri"/>
                <w:b/>
                <w:bCs/>
                <w:color w:val="000000"/>
                <w:sz w:val="22"/>
                <w:szCs w:val="22"/>
              </w:rPr>
            </w:pP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1C066E1E" w14:textId="77777777" w:rsidR="00350183" w:rsidRPr="002E5D1E" w:rsidRDefault="00350183" w:rsidP="004E019C">
            <w:pPr>
              <w:spacing w:after="0"/>
              <w:jc w:val="center"/>
              <w:rPr>
                <w:rFonts w:ascii="Calibri" w:hAnsi="Calibri" w:cs="Calibri"/>
                <w:b/>
                <w:bCs/>
                <w:color w:val="000000"/>
                <w:sz w:val="22"/>
                <w:szCs w:val="22"/>
              </w:rPr>
            </w:pPr>
            <w:r w:rsidRPr="002E5D1E">
              <w:rPr>
                <w:rFonts w:ascii="Calibri" w:hAnsi="Calibri" w:cs="Calibri"/>
                <w:b/>
                <w:bCs/>
                <w:color w:val="000000"/>
                <w:sz w:val="22"/>
                <w:szCs w:val="22"/>
              </w:rPr>
              <w:t>£</w:t>
            </w:r>
            <w:r>
              <w:rPr>
                <w:rFonts w:ascii="Calibri" w:hAnsi="Calibri" w:cs="Calibri"/>
                <w:b/>
                <w:bCs/>
                <w:color w:val="000000"/>
                <w:sz w:val="22"/>
                <w:szCs w:val="22"/>
              </w:rPr>
              <w:t>94</w:t>
            </w:r>
            <w:r w:rsidRPr="002E5D1E">
              <w:rPr>
                <w:rFonts w:ascii="Calibri" w:hAnsi="Calibri" w:cs="Calibri"/>
                <w:b/>
                <w:bCs/>
                <w:color w:val="000000"/>
                <w:sz w:val="22"/>
                <w:szCs w:val="22"/>
              </w:rPr>
              <w:t>,</w:t>
            </w:r>
            <w:r>
              <w:rPr>
                <w:rFonts w:ascii="Calibri" w:hAnsi="Calibri" w:cs="Calibri"/>
                <w:b/>
                <w:bCs/>
                <w:color w:val="000000"/>
                <w:sz w:val="22"/>
                <w:szCs w:val="22"/>
              </w:rPr>
              <w:t>262</w:t>
            </w:r>
          </w:p>
        </w:tc>
      </w:tr>
    </w:tbl>
    <w:p w14:paraId="52C05D40" w14:textId="77777777" w:rsidR="00350183" w:rsidRDefault="00350183" w:rsidP="00350183">
      <w:pPr>
        <w:spacing w:before="120" w:after="120"/>
        <w:jc w:val="both"/>
      </w:pPr>
    </w:p>
    <w:p w14:paraId="5D792C09" w14:textId="38C639CA" w:rsidR="00350183" w:rsidRPr="008158A3" w:rsidRDefault="00350183" w:rsidP="00350183">
      <w:pPr>
        <w:sectPr w:rsidR="00350183" w:rsidRPr="008158A3" w:rsidSect="00E242D4">
          <w:headerReference w:type="default" r:id="rId13"/>
          <w:footerReference w:type="default" r:id="rId14"/>
          <w:pgSz w:w="11906" w:h="16838"/>
          <w:pgMar w:top="1440" w:right="1440" w:bottom="1276" w:left="1440" w:header="708" w:footer="708" w:gutter="0"/>
          <w:cols w:space="708"/>
          <w:docGrid w:linePitch="360"/>
        </w:sectPr>
      </w:pPr>
    </w:p>
    <w:p w14:paraId="6860DDCA" w14:textId="77777777" w:rsidR="00350183" w:rsidRDefault="00350183" w:rsidP="001D65D6">
      <w:pPr>
        <w:spacing w:before="120" w:after="120"/>
        <w:jc w:val="both"/>
      </w:pPr>
    </w:p>
    <w:p w14:paraId="212E6A33" w14:textId="77777777" w:rsidR="00350183" w:rsidRDefault="00350183" w:rsidP="001D65D6">
      <w:pPr>
        <w:spacing w:before="120" w:after="120"/>
        <w:jc w:val="both"/>
      </w:pPr>
    </w:p>
    <w:p w14:paraId="6341BB57" w14:textId="77777777" w:rsidR="00350183" w:rsidRDefault="00350183" w:rsidP="001D65D6">
      <w:pPr>
        <w:spacing w:before="120" w:after="120"/>
        <w:jc w:val="both"/>
      </w:pPr>
    </w:p>
    <w:p w14:paraId="460EBF1E" w14:textId="77777777" w:rsidR="00350183" w:rsidRDefault="00350183" w:rsidP="001D65D6">
      <w:pPr>
        <w:spacing w:before="120" w:after="120"/>
        <w:jc w:val="both"/>
      </w:pPr>
    </w:p>
    <w:p w14:paraId="6B7E77EA" w14:textId="77777777" w:rsidR="00350183" w:rsidRDefault="00350183" w:rsidP="001D65D6">
      <w:pPr>
        <w:spacing w:before="120" w:after="120"/>
        <w:jc w:val="both"/>
      </w:pPr>
    </w:p>
    <w:p w14:paraId="26B3F95B" w14:textId="77777777" w:rsidR="00350183" w:rsidRDefault="00350183" w:rsidP="001D65D6">
      <w:pPr>
        <w:spacing w:before="120" w:after="120"/>
        <w:jc w:val="both"/>
      </w:pPr>
    </w:p>
    <w:p w14:paraId="67A540E7" w14:textId="77777777" w:rsidR="00350183" w:rsidRDefault="00350183" w:rsidP="001D65D6">
      <w:pPr>
        <w:spacing w:before="120" w:after="120"/>
        <w:jc w:val="both"/>
      </w:pPr>
    </w:p>
    <w:p w14:paraId="2A95422E" w14:textId="77777777" w:rsidR="00350183" w:rsidRDefault="00350183" w:rsidP="001D65D6">
      <w:pPr>
        <w:spacing w:before="120" w:after="120"/>
        <w:jc w:val="both"/>
      </w:pPr>
    </w:p>
    <w:p w14:paraId="3DFF8FCF" w14:textId="77777777" w:rsidR="00350183" w:rsidRDefault="00350183" w:rsidP="001D65D6">
      <w:pPr>
        <w:spacing w:before="120" w:after="120"/>
        <w:jc w:val="both"/>
      </w:pPr>
    </w:p>
    <w:p w14:paraId="08BA16A7" w14:textId="77777777" w:rsidR="00350183" w:rsidRDefault="00350183" w:rsidP="001D65D6">
      <w:pPr>
        <w:spacing w:before="120" w:after="120"/>
        <w:jc w:val="both"/>
      </w:pPr>
    </w:p>
    <w:p w14:paraId="386E6D19" w14:textId="77777777" w:rsidR="00350183" w:rsidRDefault="00350183" w:rsidP="001D65D6">
      <w:pPr>
        <w:spacing w:before="120" w:after="120"/>
        <w:jc w:val="both"/>
      </w:pPr>
    </w:p>
    <w:p w14:paraId="0B1728E6" w14:textId="77777777" w:rsidR="00350183" w:rsidRDefault="00350183" w:rsidP="001D65D6">
      <w:pPr>
        <w:spacing w:before="120" w:after="120"/>
        <w:jc w:val="both"/>
      </w:pPr>
    </w:p>
    <w:p w14:paraId="20F88F34" w14:textId="77777777" w:rsidR="00350183" w:rsidRDefault="00350183" w:rsidP="001D65D6">
      <w:pPr>
        <w:spacing w:before="120" w:after="120"/>
        <w:jc w:val="both"/>
      </w:pPr>
    </w:p>
    <w:p w14:paraId="11F63515" w14:textId="77777777" w:rsidR="00350183" w:rsidRDefault="00350183" w:rsidP="001D65D6">
      <w:pPr>
        <w:spacing w:before="120" w:after="120"/>
        <w:jc w:val="both"/>
      </w:pPr>
    </w:p>
    <w:p w14:paraId="35A44208" w14:textId="77777777" w:rsidR="00350183" w:rsidRDefault="00350183" w:rsidP="001D65D6">
      <w:pPr>
        <w:spacing w:before="120" w:after="120"/>
        <w:jc w:val="both"/>
      </w:pPr>
    </w:p>
    <w:p w14:paraId="24AF6B38" w14:textId="77777777" w:rsidR="00350183" w:rsidRDefault="00350183" w:rsidP="001D65D6">
      <w:pPr>
        <w:spacing w:before="120" w:after="120"/>
        <w:jc w:val="both"/>
      </w:pPr>
    </w:p>
    <w:p w14:paraId="38782245" w14:textId="77777777" w:rsidR="00350183" w:rsidRDefault="00350183" w:rsidP="001D65D6">
      <w:pPr>
        <w:spacing w:before="120" w:after="120"/>
        <w:jc w:val="both"/>
      </w:pPr>
    </w:p>
    <w:p w14:paraId="4AAFA65D" w14:textId="77777777" w:rsidR="00350183" w:rsidRDefault="00350183" w:rsidP="001D65D6">
      <w:pPr>
        <w:spacing w:before="120" w:after="120"/>
        <w:jc w:val="both"/>
      </w:pPr>
    </w:p>
    <w:p w14:paraId="1B608D74" w14:textId="77777777" w:rsidR="00350183" w:rsidRDefault="00350183" w:rsidP="001D65D6">
      <w:pPr>
        <w:spacing w:before="120" w:after="120"/>
        <w:jc w:val="both"/>
      </w:pPr>
    </w:p>
    <w:p w14:paraId="65B61977" w14:textId="77777777" w:rsidR="00350183" w:rsidRDefault="00350183" w:rsidP="001D65D6">
      <w:pPr>
        <w:spacing w:before="120" w:after="120"/>
        <w:jc w:val="both"/>
      </w:pPr>
    </w:p>
    <w:p w14:paraId="7A4C8DCA" w14:textId="77777777" w:rsidR="00350183" w:rsidRDefault="00350183" w:rsidP="001D65D6">
      <w:pPr>
        <w:spacing w:before="120" w:after="120"/>
        <w:jc w:val="both"/>
      </w:pPr>
    </w:p>
    <w:p w14:paraId="21E2E289" w14:textId="77777777" w:rsidR="00350183" w:rsidRDefault="00350183" w:rsidP="001D65D6">
      <w:pPr>
        <w:spacing w:before="120" w:after="120"/>
        <w:jc w:val="both"/>
      </w:pPr>
    </w:p>
    <w:p w14:paraId="22F5D4E0" w14:textId="77777777" w:rsidR="00350183" w:rsidRDefault="00350183" w:rsidP="001D65D6">
      <w:pPr>
        <w:spacing w:before="120" w:after="120"/>
        <w:jc w:val="both"/>
      </w:pPr>
    </w:p>
    <w:p w14:paraId="76CF3707" w14:textId="77777777" w:rsidR="00350183" w:rsidRDefault="00350183" w:rsidP="001D65D6">
      <w:pPr>
        <w:spacing w:before="120" w:after="120"/>
        <w:jc w:val="both"/>
      </w:pPr>
    </w:p>
    <w:p w14:paraId="4F707D8E" w14:textId="77777777" w:rsidR="00350183" w:rsidRDefault="00350183" w:rsidP="001D65D6">
      <w:pPr>
        <w:spacing w:before="120" w:after="120"/>
        <w:jc w:val="both"/>
      </w:pPr>
    </w:p>
    <w:p w14:paraId="34ED75D1" w14:textId="77777777" w:rsidR="00350183" w:rsidRDefault="00350183" w:rsidP="001D65D6">
      <w:pPr>
        <w:spacing w:before="120" w:after="120"/>
        <w:jc w:val="both"/>
      </w:pPr>
    </w:p>
    <w:p w14:paraId="2E02B410" w14:textId="77777777" w:rsidR="00350183" w:rsidRDefault="00350183" w:rsidP="001D65D6">
      <w:pPr>
        <w:spacing w:before="120" w:after="120"/>
        <w:jc w:val="both"/>
      </w:pPr>
    </w:p>
    <w:p w14:paraId="1B63CDFE" w14:textId="77777777" w:rsidR="00350183" w:rsidRDefault="00350183" w:rsidP="001D65D6">
      <w:pPr>
        <w:spacing w:before="120" w:after="120"/>
        <w:jc w:val="both"/>
      </w:pPr>
    </w:p>
    <w:p w14:paraId="2AD3A5CF" w14:textId="77777777" w:rsidR="00350183" w:rsidRDefault="00350183" w:rsidP="001D65D6">
      <w:pPr>
        <w:spacing w:before="120" w:after="120"/>
        <w:jc w:val="both"/>
      </w:pPr>
    </w:p>
    <w:p w14:paraId="759229C8" w14:textId="77777777" w:rsidR="00350183" w:rsidRDefault="00350183" w:rsidP="001D65D6">
      <w:pPr>
        <w:spacing w:before="120" w:after="120"/>
        <w:jc w:val="both"/>
      </w:pPr>
    </w:p>
    <w:p w14:paraId="27650C55" w14:textId="77777777" w:rsidR="00350183" w:rsidRDefault="00350183" w:rsidP="001D65D6">
      <w:pPr>
        <w:spacing w:before="120" w:after="120"/>
        <w:jc w:val="both"/>
      </w:pPr>
    </w:p>
    <w:p w14:paraId="3BC6966A" w14:textId="77777777" w:rsidR="00350183" w:rsidRDefault="00350183" w:rsidP="001D65D6">
      <w:pPr>
        <w:spacing w:before="120" w:after="120"/>
        <w:jc w:val="both"/>
      </w:pPr>
    </w:p>
    <w:p w14:paraId="2A95A29D" w14:textId="77777777" w:rsidR="00350183" w:rsidRDefault="00350183" w:rsidP="001D65D6">
      <w:pPr>
        <w:spacing w:before="120" w:after="120"/>
        <w:jc w:val="both"/>
      </w:pPr>
    </w:p>
    <w:p w14:paraId="221D87AC" w14:textId="77777777" w:rsidR="00350183" w:rsidRDefault="00350183" w:rsidP="001D65D6">
      <w:pPr>
        <w:spacing w:before="120" w:after="120"/>
        <w:jc w:val="both"/>
      </w:pPr>
    </w:p>
    <w:p w14:paraId="33A2F832" w14:textId="77777777" w:rsidR="00350183" w:rsidRDefault="00350183" w:rsidP="001D65D6">
      <w:pPr>
        <w:spacing w:before="120" w:after="120"/>
        <w:jc w:val="both"/>
      </w:pPr>
    </w:p>
    <w:sectPr w:rsidR="00350183" w:rsidSect="00DC0596">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5CAC" w14:textId="77777777" w:rsidR="00137372" w:rsidRDefault="00137372" w:rsidP="00101F8B">
      <w:r>
        <w:separator/>
      </w:r>
    </w:p>
    <w:p w14:paraId="4842F625" w14:textId="77777777" w:rsidR="00137372" w:rsidRDefault="00137372" w:rsidP="00101F8B"/>
    <w:p w14:paraId="4BE9C41B" w14:textId="77777777" w:rsidR="00137372" w:rsidRDefault="00137372" w:rsidP="00101F8B"/>
    <w:p w14:paraId="62151167" w14:textId="77777777" w:rsidR="00137372" w:rsidRDefault="00137372" w:rsidP="00101F8B"/>
    <w:p w14:paraId="5D499533" w14:textId="77777777" w:rsidR="00137372" w:rsidRDefault="00137372" w:rsidP="00101F8B"/>
    <w:p w14:paraId="6AEDBE3C" w14:textId="77777777" w:rsidR="00137372" w:rsidRDefault="00137372" w:rsidP="00101F8B"/>
  </w:endnote>
  <w:endnote w:type="continuationSeparator" w:id="0">
    <w:p w14:paraId="6F837EC7" w14:textId="77777777" w:rsidR="00137372" w:rsidRDefault="00137372" w:rsidP="00101F8B">
      <w:r>
        <w:continuationSeparator/>
      </w:r>
    </w:p>
    <w:p w14:paraId="22A39BB8" w14:textId="77777777" w:rsidR="00137372" w:rsidRDefault="00137372" w:rsidP="00101F8B"/>
    <w:p w14:paraId="7999AC65" w14:textId="77777777" w:rsidR="00137372" w:rsidRDefault="00137372" w:rsidP="00101F8B"/>
    <w:p w14:paraId="177794A2" w14:textId="77777777" w:rsidR="00137372" w:rsidRDefault="00137372" w:rsidP="00101F8B"/>
    <w:p w14:paraId="618DBABB" w14:textId="77777777" w:rsidR="00137372" w:rsidRDefault="00137372" w:rsidP="00101F8B"/>
    <w:p w14:paraId="15417466" w14:textId="77777777" w:rsidR="00137372" w:rsidRDefault="00137372"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4-01-17T00:00:00Z">
        <w:dateFormat w:val="dd/MM/yyyy"/>
        <w:lid w:val="en-GB"/>
        <w:storeMappedDataAs w:val="dateTime"/>
        <w:calendar w:val="gregorian"/>
      </w:date>
    </w:sdtPr>
    <w:sdtContent>
      <w:p w14:paraId="0B17A5A9" w14:textId="288F51B0" w:rsidR="00114878" w:rsidRPr="00CC4CE1" w:rsidRDefault="00BB3EE4" w:rsidP="007C4F08">
        <w:pPr>
          <w:pStyle w:val="Headersfooters"/>
        </w:pPr>
        <w:r>
          <w:t>17/01/2024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0572" w14:textId="77777777" w:rsidR="00137372" w:rsidRDefault="00137372" w:rsidP="00101F8B">
      <w:r>
        <w:separator/>
      </w:r>
    </w:p>
    <w:p w14:paraId="1081AF2C" w14:textId="77777777" w:rsidR="00137372" w:rsidRDefault="00137372" w:rsidP="00101F8B"/>
    <w:p w14:paraId="5A29ECC5" w14:textId="77777777" w:rsidR="00137372" w:rsidRDefault="00137372" w:rsidP="00101F8B"/>
    <w:p w14:paraId="156D2DD7" w14:textId="77777777" w:rsidR="00137372" w:rsidRDefault="00137372" w:rsidP="00101F8B"/>
    <w:p w14:paraId="188456A4" w14:textId="77777777" w:rsidR="00137372" w:rsidRDefault="00137372" w:rsidP="00101F8B"/>
    <w:p w14:paraId="27FC9AA3" w14:textId="77777777" w:rsidR="00137372" w:rsidRDefault="00137372" w:rsidP="00101F8B"/>
  </w:footnote>
  <w:footnote w:type="continuationSeparator" w:id="0">
    <w:p w14:paraId="43FD7B61" w14:textId="77777777" w:rsidR="00137372" w:rsidRDefault="00137372" w:rsidP="00101F8B">
      <w:r>
        <w:continuationSeparator/>
      </w:r>
    </w:p>
    <w:p w14:paraId="6E72FF45" w14:textId="77777777" w:rsidR="00137372" w:rsidRDefault="00137372" w:rsidP="00101F8B"/>
    <w:p w14:paraId="4CB7DB66" w14:textId="77777777" w:rsidR="00137372" w:rsidRDefault="00137372" w:rsidP="00101F8B"/>
    <w:p w14:paraId="4468B018" w14:textId="77777777" w:rsidR="00137372" w:rsidRDefault="00137372" w:rsidP="00101F8B"/>
    <w:p w14:paraId="7F3872F7" w14:textId="77777777" w:rsidR="00137372" w:rsidRDefault="00137372" w:rsidP="00101F8B"/>
    <w:p w14:paraId="339F5D4D" w14:textId="77777777" w:rsidR="00137372" w:rsidRDefault="00137372"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4BDD6D3F" w:rsidR="00114878" w:rsidRPr="007B40D8" w:rsidRDefault="001562D5" w:rsidP="007C4F08">
        <w:pPr>
          <w:pStyle w:val="Headersfooters"/>
        </w:pPr>
        <w:r>
          <w:t>Schools Forum Report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CBF"/>
    <w:multiLevelType w:val="multilevel"/>
    <w:tmpl w:val="5D70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5F084A"/>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696B89"/>
    <w:multiLevelType w:val="hybridMultilevel"/>
    <w:tmpl w:val="6A326B74"/>
    <w:lvl w:ilvl="0" w:tplc="AFE6970E">
      <w:start w:val="6"/>
      <w:numFmt w:val="bullet"/>
      <w:lvlText w:val="-"/>
      <w:lvlJc w:val="left"/>
      <w:pPr>
        <w:ind w:left="1440" w:hanging="360"/>
      </w:pPr>
      <w:rPr>
        <w:rFonts w:ascii="Arial" w:eastAsia="Arial"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D76F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4825DE4"/>
    <w:multiLevelType w:val="multilevel"/>
    <w:tmpl w:val="6D8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DAD2CFC"/>
    <w:multiLevelType w:val="multilevel"/>
    <w:tmpl w:val="637CFC88"/>
    <w:lvl w:ilvl="0">
      <w:start w:val="1"/>
      <w:numFmt w:val="decimal"/>
      <w:lvlText w:val="%1."/>
      <w:lvlJc w:val="left"/>
      <w:pPr>
        <w:ind w:left="501" w:hanging="360"/>
      </w:pPr>
    </w:lvl>
    <w:lvl w:ilvl="1">
      <w:start w:val="1"/>
      <w:numFmt w:val="decimal"/>
      <w:lvlText w:val="%1.%2."/>
      <w:lvlJc w:val="left"/>
      <w:pPr>
        <w:ind w:left="1425"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9" w15:restartNumberingAfterBreak="0">
    <w:nsid w:val="7F053BA7"/>
    <w:multiLevelType w:val="hybridMultilevel"/>
    <w:tmpl w:val="8E0E268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729034499">
    <w:abstractNumId w:val="8"/>
  </w:num>
  <w:num w:numId="2" w16cid:durableId="1085416488">
    <w:abstractNumId w:val="2"/>
  </w:num>
  <w:num w:numId="3" w16cid:durableId="437601456">
    <w:abstractNumId w:val="7"/>
  </w:num>
  <w:num w:numId="4" w16cid:durableId="1147864144">
    <w:abstractNumId w:val="4"/>
  </w:num>
  <w:num w:numId="5" w16cid:durableId="228931103">
    <w:abstractNumId w:val="6"/>
  </w:num>
  <w:num w:numId="6" w16cid:durableId="517277591">
    <w:abstractNumId w:val="1"/>
  </w:num>
  <w:num w:numId="7" w16cid:durableId="2018382021">
    <w:abstractNumId w:val="5"/>
  </w:num>
  <w:num w:numId="8" w16cid:durableId="751241525">
    <w:abstractNumId w:val="3"/>
  </w:num>
  <w:num w:numId="9" w16cid:durableId="1714117467">
    <w:abstractNumId w:val="9"/>
  </w:num>
  <w:num w:numId="10" w16cid:durableId="610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358F3"/>
    <w:rsid w:val="00043B69"/>
    <w:rsid w:val="000461EB"/>
    <w:rsid w:val="00061321"/>
    <w:rsid w:val="00070438"/>
    <w:rsid w:val="00080CA2"/>
    <w:rsid w:val="00097F8B"/>
    <w:rsid w:val="000A6D45"/>
    <w:rsid w:val="00101F8B"/>
    <w:rsid w:val="00114878"/>
    <w:rsid w:val="001218FC"/>
    <w:rsid w:val="001357FA"/>
    <w:rsid w:val="00137372"/>
    <w:rsid w:val="001562D5"/>
    <w:rsid w:val="001702A6"/>
    <w:rsid w:val="00173D7C"/>
    <w:rsid w:val="001A1D05"/>
    <w:rsid w:val="001A610F"/>
    <w:rsid w:val="001C4B05"/>
    <w:rsid w:val="001D65D6"/>
    <w:rsid w:val="001E0A89"/>
    <w:rsid w:val="002221A6"/>
    <w:rsid w:val="00260028"/>
    <w:rsid w:val="00284556"/>
    <w:rsid w:val="00297396"/>
    <w:rsid w:val="002C5158"/>
    <w:rsid w:val="002D20A3"/>
    <w:rsid w:val="002E5D1E"/>
    <w:rsid w:val="002F4BBA"/>
    <w:rsid w:val="00350183"/>
    <w:rsid w:val="0035404E"/>
    <w:rsid w:val="00393CC3"/>
    <w:rsid w:val="00400E83"/>
    <w:rsid w:val="00403D43"/>
    <w:rsid w:val="00405F87"/>
    <w:rsid w:val="004369A3"/>
    <w:rsid w:val="00467134"/>
    <w:rsid w:val="004A383F"/>
    <w:rsid w:val="004C2A70"/>
    <w:rsid w:val="00534043"/>
    <w:rsid w:val="00554054"/>
    <w:rsid w:val="0056439C"/>
    <w:rsid w:val="00590437"/>
    <w:rsid w:val="00591BD2"/>
    <w:rsid w:val="005B33BF"/>
    <w:rsid w:val="005B66E8"/>
    <w:rsid w:val="005D512C"/>
    <w:rsid w:val="005E57A5"/>
    <w:rsid w:val="005F24B4"/>
    <w:rsid w:val="005F5665"/>
    <w:rsid w:val="0060135F"/>
    <w:rsid w:val="006449E3"/>
    <w:rsid w:val="006A6700"/>
    <w:rsid w:val="00706DDF"/>
    <w:rsid w:val="00710735"/>
    <w:rsid w:val="007541A8"/>
    <w:rsid w:val="00774185"/>
    <w:rsid w:val="007A58F9"/>
    <w:rsid w:val="007A7837"/>
    <w:rsid w:val="007B40D8"/>
    <w:rsid w:val="007C2AD8"/>
    <w:rsid w:val="007C4F08"/>
    <w:rsid w:val="007D14A6"/>
    <w:rsid w:val="007D7EAD"/>
    <w:rsid w:val="007E17B4"/>
    <w:rsid w:val="008158A3"/>
    <w:rsid w:val="00833E72"/>
    <w:rsid w:val="00860FA8"/>
    <w:rsid w:val="00862D9C"/>
    <w:rsid w:val="00880FFC"/>
    <w:rsid w:val="00882E8C"/>
    <w:rsid w:val="008B22EF"/>
    <w:rsid w:val="008B70E7"/>
    <w:rsid w:val="00911FE9"/>
    <w:rsid w:val="009126DF"/>
    <w:rsid w:val="00972627"/>
    <w:rsid w:val="00993A92"/>
    <w:rsid w:val="009B7A7E"/>
    <w:rsid w:val="009C5F90"/>
    <w:rsid w:val="009D4245"/>
    <w:rsid w:val="009F6F61"/>
    <w:rsid w:val="00A42A0F"/>
    <w:rsid w:val="00A443AA"/>
    <w:rsid w:val="00A61E28"/>
    <w:rsid w:val="00A76FF5"/>
    <w:rsid w:val="00AA0001"/>
    <w:rsid w:val="00AA189C"/>
    <w:rsid w:val="00AA79F3"/>
    <w:rsid w:val="00AC4CA6"/>
    <w:rsid w:val="00AC75ED"/>
    <w:rsid w:val="00AD2661"/>
    <w:rsid w:val="00B07D2D"/>
    <w:rsid w:val="00B1304B"/>
    <w:rsid w:val="00B35780"/>
    <w:rsid w:val="00B513C2"/>
    <w:rsid w:val="00B76EFE"/>
    <w:rsid w:val="00BA63ED"/>
    <w:rsid w:val="00BB3EE4"/>
    <w:rsid w:val="00BC54B3"/>
    <w:rsid w:val="00BD478B"/>
    <w:rsid w:val="00BE6FB3"/>
    <w:rsid w:val="00BF0E43"/>
    <w:rsid w:val="00C162AA"/>
    <w:rsid w:val="00C25800"/>
    <w:rsid w:val="00C269AA"/>
    <w:rsid w:val="00C47839"/>
    <w:rsid w:val="00C95F0C"/>
    <w:rsid w:val="00C967EF"/>
    <w:rsid w:val="00C96D96"/>
    <w:rsid w:val="00CC1D78"/>
    <w:rsid w:val="00CC4CE1"/>
    <w:rsid w:val="00CC64C3"/>
    <w:rsid w:val="00CC7966"/>
    <w:rsid w:val="00D25A65"/>
    <w:rsid w:val="00D30C23"/>
    <w:rsid w:val="00D40DE5"/>
    <w:rsid w:val="00D45506"/>
    <w:rsid w:val="00D82CA3"/>
    <w:rsid w:val="00DC0596"/>
    <w:rsid w:val="00DC5F80"/>
    <w:rsid w:val="00DD4093"/>
    <w:rsid w:val="00E028F3"/>
    <w:rsid w:val="00E056E4"/>
    <w:rsid w:val="00E216A5"/>
    <w:rsid w:val="00E242D4"/>
    <w:rsid w:val="00E42FAF"/>
    <w:rsid w:val="00E57759"/>
    <w:rsid w:val="00E93171"/>
    <w:rsid w:val="00EB6CAC"/>
    <w:rsid w:val="00EC0FFA"/>
    <w:rsid w:val="00EC546E"/>
    <w:rsid w:val="00EF6BD6"/>
    <w:rsid w:val="00F17A44"/>
    <w:rsid w:val="00F27FAC"/>
    <w:rsid w:val="00F5083F"/>
    <w:rsid w:val="00F579B6"/>
    <w:rsid w:val="00F70DB4"/>
    <w:rsid w:val="00F86322"/>
    <w:rsid w:val="00F935EB"/>
    <w:rsid w:val="00FC421E"/>
    <w:rsid w:val="00FE2563"/>
    <w:rsid w:val="00FE78F7"/>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link w:val="NoSpacingChar"/>
    <w:uiPriority w:val="1"/>
    <w:qFormat/>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paragraph" w:styleId="NormalWeb">
    <w:name w:val="Normal (Web)"/>
    <w:basedOn w:val="Normal"/>
    <w:uiPriority w:val="99"/>
    <w:semiHidden/>
    <w:unhideWhenUsed/>
    <w:rsid w:val="00A76FF5"/>
    <w:pPr>
      <w:spacing w:before="100" w:beforeAutospacing="1" w:after="100" w:afterAutospacing="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1E0A89"/>
    <w:rPr>
      <w:rFonts w:ascii="Arial" w:hAnsi="Arial" w:cs="Arial"/>
      <w:sz w:val="24"/>
      <w:szCs w:val="24"/>
    </w:rPr>
  </w:style>
  <w:style w:type="paragraph" w:styleId="Revision">
    <w:name w:val="Revision"/>
    <w:hidden/>
    <w:uiPriority w:val="99"/>
    <w:semiHidden/>
    <w:rsid w:val="00B35780"/>
    <w:pPr>
      <w:spacing w:after="0" w:line="240" w:lineRule="auto"/>
    </w:pPr>
    <w:rPr>
      <w:rFonts w:ascii="Arial" w:eastAsiaTheme="minorEastAsia" w:hAnsi="Arial" w:cs="Arial"/>
      <w:sz w:val="24"/>
      <w:szCs w:val="24"/>
      <w:lang w:eastAsia="en-GB"/>
    </w:rPr>
  </w:style>
  <w:style w:type="character" w:customStyle="1" w:styleId="normaltextrun">
    <w:name w:val="normaltextrun"/>
    <w:basedOn w:val="DefaultParagraphFont"/>
    <w:rsid w:val="007A58F9"/>
  </w:style>
  <w:style w:type="character" w:customStyle="1" w:styleId="eop">
    <w:name w:val="eop"/>
    <w:basedOn w:val="DefaultParagraphFont"/>
    <w:rsid w:val="007A58F9"/>
  </w:style>
  <w:style w:type="paragraph" w:customStyle="1" w:styleId="paragraph">
    <w:name w:val="paragraph"/>
    <w:basedOn w:val="Normal"/>
    <w:rsid w:val="00EF6B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230235619">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646711437">
      <w:bodyDiv w:val="1"/>
      <w:marLeft w:val="0"/>
      <w:marRight w:val="0"/>
      <w:marTop w:val="0"/>
      <w:marBottom w:val="0"/>
      <w:divBdr>
        <w:top w:val="none" w:sz="0" w:space="0" w:color="auto"/>
        <w:left w:val="none" w:sz="0" w:space="0" w:color="auto"/>
        <w:bottom w:val="none" w:sz="0" w:space="0" w:color="auto"/>
        <w:right w:val="none" w:sz="0" w:space="0" w:color="auto"/>
      </w:divBdr>
    </w:div>
    <w:div w:id="819735459">
      <w:bodyDiv w:val="1"/>
      <w:marLeft w:val="0"/>
      <w:marRight w:val="0"/>
      <w:marTop w:val="0"/>
      <w:marBottom w:val="0"/>
      <w:divBdr>
        <w:top w:val="none" w:sz="0" w:space="0" w:color="auto"/>
        <w:left w:val="none" w:sz="0" w:space="0" w:color="auto"/>
        <w:bottom w:val="none" w:sz="0" w:space="0" w:color="auto"/>
        <w:right w:val="none" w:sz="0" w:space="0" w:color="auto"/>
      </w:divBdr>
    </w:div>
    <w:div w:id="866720019">
      <w:bodyDiv w:val="1"/>
      <w:marLeft w:val="0"/>
      <w:marRight w:val="0"/>
      <w:marTop w:val="0"/>
      <w:marBottom w:val="0"/>
      <w:divBdr>
        <w:top w:val="none" w:sz="0" w:space="0" w:color="auto"/>
        <w:left w:val="none" w:sz="0" w:space="0" w:color="auto"/>
        <w:bottom w:val="none" w:sz="0" w:space="0" w:color="auto"/>
        <w:right w:val="none" w:sz="0" w:space="0" w:color="auto"/>
      </w:divBdr>
    </w:div>
    <w:div w:id="1440757972">
      <w:bodyDiv w:val="1"/>
      <w:marLeft w:val="0"/>
      <w:marRight w:val="0"/>
      <w:marTop w:val="0"/>
      <w:marBottom w:val="0"/>
      <w:divBdr>
        <w:top w:val="none" w:sz="0" w:space="0" w:color="auto"/>
        <w:left w:val="none" w:sz="0" w:space="0" w:color="auto"/>
        <w:bottom w:val="none" w:sz="0" w:space="0" w:color="auto"/>
        <w:right w:val="none" w:sz="0" w:space="0" w:color="auto"/>
      </w:divBdr>
    </w:div>
    <w:div w:id="1689521594">
      <w:bodyDiv w:val="1"/>
      <w:marLeft w:val="0"/>
      <w:marRight w:val="0"/>
      <w:marTop w:val="0"/>
      <w:marBottom w:val="0"/>
      <w:divBdr>
        <w:top w:val="none" w:sz="0" w:space="0" w:color="auto"/>
        <w:left w:val="none" w:sz="0" w:space="0" w:color="auto"/>
        <w:bottom w:val="none" w:sz="0" w:space="0" w:color="auto"/>
        <w:right w:val="none" w:sz="0" w:space="0" w:color="auto"/>
      </w:divBdr>
    </w:div>
    <w:div w:id="1704135707">
      <w:bodyDiv w:val="1"/>
      <w:marLeft w:val="0"/>
      <w:marRight w:val="0"/>
      <w:marTop w:val="0"/>
      <w:marBottom w:val="0"/>
      <w:divBdr>
        <w:top w:val="none" w:sz="0" w:space="0" w:color="auto"/>
        <w:left w:val="none" w:sz="0" w:space="0" w:color="auto"/>
        <w:bottom w:val="none" w:sz="0" w:space="0" w:color="auto"/>
        <w:right w:val="none" w:sz="0" w:space="0" w:color="auto"/>
      </w:divBdr>
    </w:div>
    <w:div w:id="1763796952">
      <w:bodyDiv w:val="1"/>
      <w:marLeft w:val="0"/>
      <w:marRight w:val="0"/>
      <w:marTop w:val="0"/>
      <w:marBottom w:val="0"/>
      <w:divBdr>
        <w:top w:val="none" w:sz="0" w:space="0" w:color="auto"/>
        <w:left w:val="none" w:sz="0" w:space="0" w:color="auto"/>
        <w:bottom w:val="none" w:sz="0" w:space="0" w:color="auto"/>
        <w:right w:val="none" w:sz="0" w:space="0" w:color="auto"/>
      </w:divBdr>
      <w:divsChild>
        <w:div w:id="2082603943">
          <w:marLeft w:val="0"/>
          <w:marRight w:val="0"/>
          <w:marTop w:val="0"/>
          <w:marBottom w:val="0"/>
          <w:divBdr>
            <w:top w:val="none" w:sz="0" w:space="0" w:color="auto"/>
            <w:left w:val="none" w:sz="0" w:space="0" w:color="auto"/>
            <w:bottom w:val="none" w:sz="0" w:space="0" w:color="auto"/>
            <w:right w:val="none" w:sz="0" w:space="0" w:color="auto"/>
          </w:divBdr>
        </w:div>
        <w:div w:id="439448591">
          <w:marLeft w:val="0"/>
          <w:marRight w:val="0"/>
          <w:marTop w:val="0"/>
          <w:marBottom w:val="0"/>
          <w:divBdr>
            <w:top w:val="none" w:sz="0" w:space="0" w:color="auto"/>
            <w:left w:val="none" w:sz="0" w:space="0" w:color="auto"/>
            <w:bottom w:val="none" w:sz="0" w:space="0" w:color="auto"/>
            <w:right w:val="none" w:sz="0" w:space="0" w:color="auto"/>
          </w:divBdr>
        </w:div>
        <w:div w:id="27681722">
          <w:marLeft w:val="0"/>
          <w:marRight w:val="0"/>
          <w:marTop w:val="0"/>
          <w:marBottom w:val="0"/>
          <w:divBdr>
            <w:top w:val="none" w:sz="0" w:space="0" w:color="auto"/>
            <w:left w:val="none" w:sz="0" w:space="0" w:color="auto"/>
            <w:bottom w:val="none" w:sz="0" w:space="0" w:color="auto"/>
            <w:right w:val="none" w:sz="0" w:space="0" w:color="auto"/>
          </w:divBdr>
        </w:div>
        <w:div w:id="2034456974">
          <w:marLeft w:val="0"/>
          <w:marRight w:val="0"/>
          <w:marTop w:val="0"/>
          <w:marBottom w:val="0"/>
          <w:divBdr>
            <w:top w:val="none" w:sz="0" w:space="0" w:color="auto"/>
            <w:left w:val="none" w:sz="0" w:space="0" w:color="auto"/>
            <w:bottom w:val="none" w:sz="0" w:space="0" w:color="auto"/>
            <w:right w:val="none" w:sz="0" w:space="0" w:color="auto"/>
          </w:divBdr>
        </w:div>
        <w:div w:id="1026062361">
          <w:marLeft w:val="0"/>
          <w:marRight w:val="0"/>
          <w:marTop w:val="0"/>
          <w:marBottom w:val="0"/>
          <w:divBdr>
            <w:top w:val="none" w:sz="0" w:space="0" w:color="auto"/>
            <w:left w:val="none" w:sz="0" w:space="0" w:color="auto"/>
            <w:bottom w:val="none" w:sz="0" w:space="0" w:color="auto"/>
            <w:right w:val="none" w:sz="0" w:space="0" w:color="auto"/>
          </w:divBdr>
        </w:div>
        <w:div w:id="329606647">
          <w:marLeft w:val="0"/>
          <w:marRight w:val="0"/>
          <w:marTop w:val="0"/>
          <w:marBottom w:val="0"/>
          <w:divBdr>
            <w:top w:val="none" w:sz="0" w:space="0" w:color="auto"/>
            <w:left w:val="none" w:sz="0" w:space="0" w:color="auto"/>
            <w:bottom w:val="none" w:sz="0" w:space="0" w:color="auto"/>
            <w:right w:val="none" w:sz="0" w:space="0" w:color="auto"/>
          </w:divBdr>
        </w:div>
      </w:divsChild>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 w:id="21198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E2D47577E792421EAFB0E55A48BCB92F"/>
        <w:category>
          <w:name w:val="General"/>
          <w:gallery w:val="placeholder"/>
        </w:category>
        <w:types>
          <w:type w:val="bbPlcHdr"/>
        </w:types>
        <w:behaviors>
          <w:behavior w:val="content"/>
        </w:behaviors>
        <w:guid w:val="{9445F888-0040-4C97-97AE-2BF7432D7707}"/>
      </w:docPartPr>
      <w:docPartBody>
        <w:p w:rsidR="00CA530B" w:rsidRDefault="00434FA4" w:rsidP="00434FA4">
          <w:pPr>
            <w:pStyle w:val="E2D47577E792421EAFB0E55A48BCB92F"/>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434FA4"/>
    <w:rsid w:val="0055015F"/>
    <w:rsid w:val="0069790C"/>
    <w:rsid w:val="00835444"/>
    <w:rsid w:val="009062F7"/>
    <w:rsid w:val="00CA530B"/>
    <w:rsid w:val="00D107AD"/>
    <w:rsid w:val="00F10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FA4"/>
    <w:rPr>
      <w:color w:val="808080"/>
    </w:rPr>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 w:type="paragraph" w:customStyle="1" w:styleId="E2D47577E792421EAFB0E55A48BCB92F">
    <w:name w:val="E2D47577E792421EAFB0E55A48BCB92F"/>
    <w:rsid w:val="00434F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SharedWithUsers xmlns="30d79745-92fc-4b4e-a213-f975f2a6d945">
      <UserInfo>
        <DisplayName>Nikki Parsons</DisplayName>
        <AccountId>208</AccountId>
        <AccountType/>
      </UserInfo>
      <UserInfo>
        <DisplayName>Kay Goodacre</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7" ma:contentTypeDescription="Create a new document." ma:contentTypeScope="" ma:versionID="4c3f3537e68ad7ee1e86c472f698cf1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e930d8b8389c0971ce3580f3ec9d3170"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deec781b-51b2-41f5-8977-d833afa0cdb5"/>
    <ds:schemaRef ds:uri="30d79745-92fc-4b4e-a213-f975f2a6d945"/>
  </ds:schemaRefs>
</ds:datastoreItem>
</file>

<file path=customXml/itemProps4.xml><?xml version="1.0" encoding="utf-8"?>
<ds:datastoreItem xmlns:ds="http://schemas.openxmlformats.org/officeDocument/2006/customXml" ds:itemID="{1E1BC75A-595D-4D64-B014-5BA4FE2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1346</Words>
  <Characters>7437</Characters>
  <Application>Microsoft Office Word</Application>
  <DocSecurity>0</DocSecurity>
  <Lines>339</Lines>
  <Paragraphs>161</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Report</dc:title>
  <dc:subject>
  </dc:subject>
  <dc:creator>Sara Walsingham</dc:creator>
  <cp:keywords>
  </cp:keywords>
  <dc:description>
  </dc:description>
  <cp:lastModifiedBy>Phillip Nduoyo</cp:lastModifiedBy>
  <cp:revision>9</cp:revision>
  <dcterms:created xsi:type="dcterms:W3CDTF">2024-01-08T10:30:00Z</dcterms:created>
  <dcterms:modified xsi:type="dcterms:W3CDTF">2024-01-23T13:41:00Z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b3f85df87b728d0e0918fd655c613587d3b75fafda5c9c5dbf7396e828a91022</vt:lpwstr>
  </property>
</Properties>
</file>