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7125" w14:textId="2B47C5BF" w:rsidR="003B3AEF" w:rsidRPr="00C353A6" w:rsidRDefault="00933FF4" w:rsidP="00C353A6">
      <w:pPr>
        <w:jc w:val="center"/>
        <w:rPr>
          <w:sz w:val="36"/>
          <w:szCs w:val="36"/>
        </w:rPr>
      </w:pPr>
      <w:r w:rsidRPr="00C353A6">
        <w:rPr>
          <w:sz w:val="36"/>
          <w:szCs w:val="36"/>
        </w:rPr>
        <w:t>AGENDA ITEM</w:t>
      </w:r>
      <w:r w:rsidR="00F629D8">
        <w:rPr>
          <w:sz w:val="36"/>
          <w:szCs w:val="36"/>
        </w:rPr>
        <w:t xml:space="preserve"> </w:t>
      </w:r>
      <w:r w:rsidR="00F36950">
        <w:rPr>
          <w:sz w:val="36"/>
          <w:szCs w:val="36"/>
        </w:rPr>
        <w:t>3</w:t>
      </w:r>
    </w:p>
    <w:p w14:paraId="3242CD15" w14:textId="77777777" w:rsidR="00933FF4" w:rsidRPr="00933FF4" w:rsidRDefault="00933FF4" w:rsidP="00933FF4">
      <w:pPr>
        <w:jc w:val="center"/>
        <w:rPr>
          <w:b/>
          <w:sz w:val="32"/>
          <w:szCs w:val="32"/>
        </w:rPr>
      </w:pPr>
    </w:p>
    <w:p w14:paraId="09196C8F" w14:textId="3832589F" w:rsidR="003B3AEF" w:rsidRPr="0004045E" w:rsidRDefault="004B7D19" w:rsidP="0004045E">
      <w:pPr>
        <w:pStyle w:val="BodyTextIndent"/>
        <w:tabs>
          <w:tab w:val="clear" w:pos="360"/>
        </w:tabs>
        <w:ind w:left="0" w:firstLine="0"/>
        <w:jc w:val="both"/>
        <w:rPr>
          <w:b/>
          <w:bCs/>
          <w:sz w:val="32"/>
          <w:szCs w:val="32"/>
        </w:rPr>
      </w:pPr>
      <w:r w:rsidRPr="5DEB1779">
        <w:rPr>
          <w:b/>
          <w:bCs/>
          <w:sz w:val="32"/>
          <w:szCs w:val="32"/>
        </w:rPr>
        <w:t xml:space="preserve">Title of report: </w:t>
      </w:r>
      <w:r w:rsidR="008458E7">
        <w:rPr>
          <w:b/>
          <w:sz w:val="32"/>
          <w:szCs w:val="32"/>
        </w:rPr>
        <w:t>2025-26</w:t>
      </w:r>
      <w:r w:rsidR="07832CAB" w:rsidRPr="4A842167">
        <w:rPr>
          <w:b/>
          <w:sz w:val="32"/>
          <w:szCs w:val="32"/>
        </w:rPr>
        <w:t xml:space="preserve"> Outturn: </w:t>
      </w:r>
      <w:r w:rsidR="00607D34" w:rsidRPr="4A842167">
        <w:rPr>
          <w:b/>
          <w:sz w:val="32"/>
          <w:szCs w:val="32"/>
        </w:rPr>
        <w:t>Schools Closing Balances and DSG Outturn</w:t>
      </w:r>
    </w:p>
    <w:p w14:paraId="28DD7FB3" w14:textId="77777777" w:rsidR="002968A5" w:rsidRDefault="002968A5" w:rsidP="00933FF4">
      <w:pPr>
        <w:rPr>
          <w:b/>
          <w:bCs/>
        </w:rPr>
      </w:pPr>
    </w:p>
    <w:p w14:paraId="05C488A5" w14:textId="795E11CB" w:rsidR="003B3AEF" w:rsidRPr="00C353A6" w:rsidRDefault="002511E5" w:rsidP="00933FF4">
      <w:pPr>
        <w:rPr>
          <w:b/>
          <w:bCs/>
        </w:rPr>
      </w:pPr>
      <w:r w:rsidRPr="00C353A6">
        <w:rPr>
          <w:b/>
          <w:bCs/>
        </w:rPr>
        <w:t xml:space="preserve">Author of the </w:t>
      </w:r>
      <w:r w:rsidR="00295350" w:rsidRPr="00C353A6">
        <w:rPr>
          <w:b/>
          <w:bCs/>
        </w:rPr>
        <w:t>paper:</w:t>
      </w:r>
      <w:r w:rsidR="00822694">
        <w:rPr>
          <w:b/>
          <w:bCs/>
        </w:rPr>
        <w:t xml:space="preserve"> Leslie Oosthuizen</w:t>
      </w:r>
    </w:p>
    <w:p w14:paraId="19EFC765" w14:textId="623DD80E" w:rsidR="002511E5" w:rsidRDefault="00822694" w:rsidP="00933FF4">
      <w:pPr>
        <w:rPr>
          <w:b/>
          <w:bCs/>
        </w:rPr>
      </w:pPr>
      <w:r>
        <w:rPr>
          <w:b/>
          <w:bCs/>
        </w:rPr>
        <w:t xml:space="preserve"> </w:t>
      </w:r>
    </w:p>
    <w:p w14:paraId="5FBAC801" w14:textId="2E47ADE7" w:rsidR="003B3AEF" w:rsidRDefault="003B3AEF" w:rsidP="00933FF4">
      <w:pPr>
        <w:rPr>
          <w:b/>
          <w:bCs/>
        </w:rPr>
      </w:pPr>
      <w:r w:rsidRPr="5DEB1779">
        <w:rPr>
          <w:b/>
          <w:bCs/>
        </w:rPr>
        <w:t xml:space="preserve">Officer to present the paper to Schools Forum: </w:t>
      </w:r>
      <w:r w:rsidR="00822694">
        <w:rPr>
          <w:b/>
          <w:bCs/>
        </w:rPr>
        <w:t>Leslie O</w:t>
      </w:r>
      <w:r w:rsidR="0068060C">
        <w:rPr>
          <w:b/>
          <w:bCs/>
        </w:rPr>
        <w:t>osthuizen</w:t>
      </w:r>
    </w:p>
    <w:p w14:paraId="1B97B2B2" w14:textId="77777777" w:rsidR="00F91A57" w:rsidRPr="00CB5A97" w:rsidRDefault="00F91A57" w:rsidP="00933FF4"/>
    <w:p w14:paraId="642FCB09" w14:textId="0B7A09BC" w:rsidR="00346D9A" w:rsidRPr="004C13B7" w:rsidRDefault="00346D9A" w:rsidP="00346D9A">
      <w:pPr>
        <w:rPr>
          <w:rFonts w:cs="Arial"/>
          <w:b/>
        </w:rPr>
      </w:pPr>
      <w:r w:rsidRPr="004C13B7">
        <w:rPr>
          <w:rFonts w:cs="Arial"/>
          <w:b/>
        </w:rPr>
        <w:t>Details on who has been consulted with on this paper to date:</w:t>
      </w:r>
      <w:r w:rsidR="0068060C">
        <w:rPr>
          <w:rFonts w:cs="Arial"/>
          <w:b/>
        </w:rPr>
        <w:t xml:space="preserve"> </w:t>
      </w:r>
      <w:r w:rsidR="002D55C3">
        <w:rPr>
          <w:rFonts w:cs="Arial"/>
          <w:b/>
        </w:rPr>
        <w:t>Finance</w:t>
      </w:r>
    </w:p>
    <w:p w14:paraId="25AF1275" w14:textId="77777777" w:rsidR="003B3AEF" w:rsidRPr="00CB5A97" w:rsidRDefault="003B3AEF" w:rsidP="00933FF4">
      <w:pPr>
        <w:rPr>
          <w:highlight w:val="yellow"/>
        </w:rPr>
      </w:pPr>
    </w:p>
    <w:p w14:paraId="447A28A0" w14:textId="0BE1A001" w:rsidR="00200347" w:rsidRDefault="003B3AEF" w:rsidP="0004045E">
      <w:pPr>
        <w:spacing w:after="120"/>
        <w:rPr>
          <w:b/>
        </w:rPr>
      </w:pPr>
      <w:r w:rsidRPr="00CC3A17">
        <w:rPr>
          <w:b/>
        </w:rPr>
        <w:t>Executive Summary</w:t>
      </w:r>
      <w:r w:rsidR="000261CC">
        <w:rPr>
          <w:b/>
        </w:rPr>
        <w:t>:</w:t>
      </w:r>
    </w:p>
    <w:p w14:paraId="5DE10299" w14:textId="77777777" w:rsidR="002D55C3" w:rsidRDefault="002D55C3" w:rsidP="0004045E">
      <w:pPr>
        <w:spacing w:after="120"/>
        <w:rPr>
          <w:b/>
        </w:rPr>
      </w:pPr>
    </w:p>
    <w:p w14:paraId="2E59C682" w14:textId="6244D37F" w:rsidR="00FB5259" w:rsidRPr="00CC3A17" w:rsidRDefault="00FB5259" w:rsidP="00FB5259">
      <w:pPr>
        <w:spacing w:after="120"/>
      </w:pPr>
      <w:r w:rsidRPr="008C10FD">
        <w:t>This report</w:t>
      </w:r>
      <w:r>
        <w:t xml:space="preserve"> informs </w:t>
      </w:r>
      <w:r w:rsidRPr="008C10FD">
        <w:t>Schools Forum of maintained schoo</w:t>
      </w:r>
      <w:r>
        <w:t xml:space="preserve">l balances as </w:t>
      </w:r>
      <w:proofErr w:type="gramStart"/>
      <w:r>
        <w:t>at</w:t>
      </w:r>
      <w:proofErr w:type="gramEnd"/>
      <w:r>
        <w:t xml:space="preserve"> 31 March 202</w:t>
      </w:r>
      <w:r w:rsidR="009E3145">
        <w:t>6</w:t>
      </w:r>
      <w:r>
        <w:t xml:space="preserve"> and </w:t>
      </w:r>
      <w:r w:rsidRPr="00CC3A17">
        <w:t xml:space="preserve">sets out the outturn position (excluding individual </w:t>
      </w:r>
      <w:proofErr w:type="gramStart"/>
      <w:r w:rsidRPr="00CC3A17">
        <w:t>schools</w:t>
      </w:r>
      <w:proofErr w:type="gramEnd"/>
      <w:r>
        <w:t xml:space="preserve"> budget</w:t>
      </w:r>
      <w:r w:rsidRPr="00CC3A17">
        <w:t xml:space="preserve">) for </w:t>
      </w:r>
      <w:r>
        <w:t xml:space="preserve">London Borough of </w:t>
      </w:r>
      <w:r w:rsidRPr="00CC3A17">
        <w:t>Tower Hamlets</w:t>
      </w:r>
      <w:r>
        <w:t xml:space="preserve"> (LBTH)</w:t>
      </w:r>
      <w:r w:rsidRPr="00CC3A17">
        <w:t xml:space="preserve"> DSG Budget for </w:t>
      </w:r>
      <w:r w:rsidR="008458E7">
        <w:t>2025-26</w:t>
      </w:r>
      <w:r>
        <w:t xml:space="preserve"> </w:t>
      </w:r>
    </w:p>
    <w:p w14:paraId="5594EAD9" w14:textId="77777777" w:rsidR="00DD1524" w:rsidRDefault="00DD1524" w:rsidP="00FB5259">
      <w:pPr>
        <w:jc w:val="both"/>
      </w:pPr>
    </w:p>
    <w:p w14:paraId="268265CC" w14:textId="2FD94EE0" w:rsidR="00604C8B" w:rsidRDefault="00FB5259" w:rsidP="00FB5259">
      <w:pPr>
        <w:jc w:val="both"/>
      </w:pPr>
      <w:r w:rsidRPr="00CC3A17">
        <w:t xml:space="preserve">The </w:t>
      </w:r>
      <w:r>
        <w:t xml:space="preserve">provisional position of the Dedicated Schools Grant (DSG) at the end of </w:t>
      </w:r>
      <w:r w:rsidR="008458E7">
        <w:t>2025-26</w:t>
      </w:r>
      <w:r>
        <w:t xml:space="preserve"> is an overspend of </w:t>
      </w:r>
      <w:r w:rsidRPr="00E050D1">
        <w:t>£</w:t>
      </w:r>
      <w:r w:rsidR="00E050D1">
        <w:t>1</w:t>
      </w:r>
      <w:r w:rsidR="00F91CE9">
        <w:t>5</w:t>
      </w:r>
      <w:r w:rsidR="00E050D1">
        <w:t>.</w:t>
      </w:r>
      <w:r w:rsidR="00042317">
        <w:t>1</w:t>
      </w:r>
      <w:r>
        <w:t xml:space="preserve"> million from the budget position.</w:t>
      </w:r>
    </w:p>
    <w:p w14:paraId="2836536D" w14:textId="59297535" w:rsidR="00FB5259" w:rsidRPr="00CC3A17" w:rsidRDefault="00FB5259" w:rsidP="00FB5259">
      <w:pPr>
        <w:jc w:val="both"/>
      </w:pPr>
      <w:r>
        <w:t xml:space="preserve"> </w:t>
      </w:r>
    </w:p>
    <w:p w14:paraId="1D755107" w14:textId="77777777" w:rsidR="003B3AEF" w:rsidRPr="00CC3A17" w:rsidRDefault="003B3AEF" w:rsidP="00933FF4"/>
    <w:p w14:paraId="6438DD77" w14:textId="7992C379" w:rsidR="002968A5" w:rsidRPr="005F5337" w:rsidRDefault="003B3AEF" w:rsidP="005F5337">
      <w:pPr>
        <w:spacing w:after="120"/>
        <w:rPr>
          <w:b/>
        </w:rPr>
      </w:pPr>
      <w:r w:rsidRPr="00CC3A17">
        <w:rPr>
          <w:b/>
        </w:rPr>
        <w:t xml:space="preserve">Details of recommendations and timescales for decisions: </w:t>
      </w:r>
    </w:p>
    <w:p w14:paraId="51A2608A" w14:textId="74AC6D05" w:rsidR="00DF798C" w:rsidRDefault="00C10109" w:rsidP="2E96E9D7">
      <w:pPr>
        <w:spacing w:after="120"/>
        <w:rPr>
          <w:sz w:val="22"/>
          <w:szCs w:val="22"/>
        </w:rPr>
      </w:pPr>
      <w:r w:rsidRPr="2E96E9D7">
        <w:rPr>
          <w:sz w:val="22"/>
          <w:szCs w:val="22"/>
        </w:rPr>
        <w:t xml:space="preserve">Schools Forum is asked to discuss and comment on any of the issues raised in the report. Schools Forum is also asked to note the outturn position, which will be reported to the Department for Education and included in the LBTH Note to the Accounts </w:t>
      </w:r>
      <w:r w:rsidR="4780F6FA" w:rsidRPr="2E96E9D7">
        <w:rPr>
          <w:sz w:val="22"/>
          <w:szCs w:val="22"/>
        </w:rPr>
        <w:t>yearend</w:t>
      </w:r>
      <w:r w:rsidRPr="2E96E9D7">
        <w:rPr>
          <w:sz w:val="22"/>
          <w:szCs w:val="22"/>
        </w:rPr>
        <w:t xml:space="preserve"> statement.</w:t>
      </w:r>
    </w:p>
    <w:p w14:paraId="4ED9AEE4" w14:textId="77777777" w:rsidR="00C10109" w:rsidRPr="00C10109" w:rsidRDefault="00C10109" w:rsidP="00C10109">
      <w:pPr>
        <w:spacing w:after="120"/>
        <w:rPr>
          <w:bCs/>
          <w:sz w:val="22"/>
          <w:szCs w:val="22"/>
        </w:rPr>
      </w:pPr>
    </w:p>
    <w:p w14:paraId="71A9A6DC" w14:textId="72ADFE72" w:rsidR="00816478" w:rsidRDefault="00816478" w:rsidP="00816478">
      <w:pPr>
        <w:spacing w:after="120"/>
        <w:rPr>
          <w:b/>
        </w:rPr>
      </w:pPr>
      <w:r>
        <w:rPr>
          <w:b/>
        </w:rPr>
        <w:t>Appendix</w:t>
      </w:r>
      <w:r w:rsidR="00537774">
        <w:rPr>
          <w:b/>
        </w:rPr>
        <w:t xml:space="preserve"> A</w:t>
      </w:r>
      <w:r>
        <w:rPr>
          <w:b/>
        </w:rPr>
        <w:t xml:space="preserve"> to this report:</w:t>
      </w:r>
    </w:p>
    <w:p w14:paraId="4FB3A3C7" w14:textId="36CD32E7" w:rsidR="00DF798C" w:rsidRPr="00C10109" w:rsidRDefault="00816478" w:rsidP="00C10109">
      <w:pPr>
        <w:spacing w:after="120"/>
        <w:rPr>
          <w:bCs/>
        </w:rPr>
      </w:pPr>
      <w:r w:rsidRPr="009D57DA">
        <w:rPr>
          <w:bCs/>
        </w:rPr>
        <w:t>Individual school revenue balances for 202</w:t>
      </w:r>
      <w:r w:rsidR="00BA7854">
        <w:rPr>
          <w:bCs/>
        </w:rPr>
        <w:t>4</w:t>
      </w:r>
      <w:r w:rsidRPr="009D57DA">
        <w:rPr>
          <w:bCs/>
        </w:rPr>
        <w:t>-2</w:t>
      </w:r>
      <w:r w:rsidR="009436EC">
        <w:rPr>
          <w:bCs/>
        </w:rPr>
        <w:t>5</w:t>
      </w:r>
      <w:r w:rsidRPr="009D57DA">
        <w:rPr>
          <w:bCs/>
        </w:rPr>
        <w:t xml:space="preserve"> and </w:t>
      </w:r>
      <w:r w:rsidR="008458E7">
        <w:rPr>
          <w:bCs/>
        </w:rPr>
        <w:t>2025-26</w:t>
      </w:r>
      <w:r w:rsidRPr="009D57DA">
        <w:rPr>
          <w:bCs/>
        </w:rPr>
        <w:t>, with in-year movement of value and as a percentage.</w:t>
      </w:r>
      <w:r w:rsidR="00447927">
        <w:rPr>
          <w:bCs/>
        </w:rPr>
        <w:t xml:space="preserve"> </w:t>
      </w:r>
      <w:r w:rsidRPr="009D57DA">
        <w:rPr>
          <w:bCs/>
        </w:rPr>
        <w:t>Schools which meet the revenue surplus monitoring thresholds of over the 5%, 8% and 12% (as per the balance control policy) are highlighted.</w:t>
      </w:r>
    </w:p>
    <w:p w14:paraId="1FF065DD" w14:textId="77777777" w:rsidR="0070580B" w:rsidRDefault="0070580B" w:rsidP="0073208F">
      <w:pPr>
        <w:pStyle w:val="ListParagraph"/>
        <w:ind w:left="567"/>
        <w:jc w:val="both"/>
      </w:pPr>
    </w:p>
    <w:p w14:paraId="6209B01F" w14:textId="77777777" w:rsidR="0070580B" w:rsidRPr="00DF798C" w:rsidRDefault="0070580B" w:rsidP="0070580B">
      <w:pPr>
        <w:pStyle w:val="Heading2"/>
        <w:numPr>
          <w:ilvl w:val="0"/>
          <w:numId w:val="17"/>
        </w:numPr>
        <w:tabs>
          <w:tab w:val="num" w:pos="360"/>
        </w:tabs>
        <w:rPr>
          <w:rFonts w:ascii="Arial" w:hAnsi="Arial" w:cs="Arial"/>
          <w:b/>
          <w:bCs/>
          <w:color w:val="000000" w:themeColor="text1"/>
          <w:sz w:val="24"/>
          <w:szCs w:val="24"/>
        </w:rPr>
      </w:pPr>
      <w:r w:rsidRPr="00DF798C">
        <w:rPr>
          <w:rFonts w:ascii="Arial" w:hAnsi="Arial" w:cs="Arial"/>
          <w:b/>
          <w:bCs/>
          <w:color w:val="000000" w:themeColor="text1"/>
          <w:sz w:val="24"/>
          <w:szCs w:val="24"/>
        </w:rPr>
        <w:t>Background</w:t>
      </w:r>
    </w:p>
    <w:p w14:paraId="28B681D6" w14:textId="77777777" w:rsidR="0070580B" w:rsidRDefault="0070580B" w:rsidP="0070580B">
      <w:pPr>
        <w:pStyle w:val="ListParagraph"/>
        <w:ind w:left="360"/>
        <w:rPr>
          <w:rFonts w:cs="Arial"/>
          <w:b/>
          <w:bCs/>
        </w:rPr>
      </w:pPr>
    </w:p>
    <w:p w14:paraId="7C9FA9C8" w14:textId="77777777" w:rsidR="0070580B" w:rsidRDefault="0070580B" w:rsidP="0070580B">
      <w:pPr>
        <w:pStyle w:val="ListParagraph"/>
        <w:numPr>
          <w:ilvl w:val="1"/>
          <w:numId w:val="26"/>
        </w:numPr>
        <w:spacing w:after="120"/>
        <w:ind w:left="709"/>
        <w:jc w:val="both"/>
      </w:pPr>
      <w:r>
        <w:t xml:space="preserve">Schools receive their delegated budget share based upon the formula factors and components agreed in the Tower Hamlets Schools Funding Formula.  In addition, significant revenue grant funding is managed by schools.  Grant conditions usually allow schools to carry forward unspent income, despite the assumption that it should be spent on the pupils at the school each year.  </w:t>
      </w:r>
    </w:p>
    <w:p w14:paraId="144162F5" w14:textId="77777777" w:rsidR="0070580B" w:rsidRDefault="0070580B" w:rsidP="0070580B">
      <w:pPr>
        <w:pStyle w:val="ListParagraph"/>
        <w:spacing w:after="120"/>
        <w:ind w:left="709"/>
        <w:jc w:val="both"/>
      </w:pPr>
    </w:p>
    <w:p w14:paraId="2B7E09E0" w14:textId="77777777" w:rsidR="0070580B" w:rsidRDefault="0070580B" w:rsidP="0070580B">
      <w:pPr>
        <w:pStyle w:val="ListParagraph"/>
        <w:numPr>
          <w:ilvl w:val="1"/>
          <w:numId w:val="26"/>
        </w:numPr>
        <w:spacing w:after="120"/>
        <w:ind w:left="709"/>
        <w:jc w:val="both"/>
      </w:pPr>
      <w:r>
        <w:lastRenderedPageBreak/>
        <w:t xml:space="preserve">Revenue surplus and deficit balances are compared nationally as a percentage of total income available, thus allowing a comparison between schools in different areas with varied funding levels.  </w:t>
      </w:r>
    </w:p>
    <w:p w14:paraId="1D4DAB0C" w14:textId="77777777" w:rsidR="0070580B" w:rsidRDefault="0070580B" w:rsidP="0070580B">
      <w:pPr>
        <w:pStyle w:val="ListParagraph"/>
        <w:spacing w:after="120"/>
        <w:ind w:left="709"/>
        <w:jc w:val="both"/>
      </w:pPr>
    </w:p>
    <w:p w14:paraId="47A7A893" w14:textId="77777777" w:rsidR="0070580B" w:rsidRDefault="0070580B" w:rsidP="0070580B">
      <w:pPr>
        <w:pStyle w:val="ListParagraph"/>
        <w:numPr>
          <w:ilvl w:val="1"/>
          <w:numId w:val="26"/>
        </w:numPr>
        <w:spacing w:after="120"/>
        <w:ind w:left="709"/>
        <w:jc w:val="both"/>
      </w:pPr>
      <w:r>
        <w:t>All schools via their governing body have delegated powers and responsibilities to manage and deploy their financial resources at a local level in accordance with the locally agreed aims and objectives as outlined in the School Improvement Plan (SIP), aimed at achieving the best outcomes for pupils.</w:t>
      </w:r>
    </w:p>
    <w:p w14:paraId="05FAF89B" w14:textId="77777777" w:rsidR="0070580B" w:rsidRDefault="0070580B" w:rsidP="0070580B">
      <w:pPr>
        <w:pStyle w:val="ListParagraph"/>
      </w:pPr>
    </w:p>
    <w:p w14:paraId="082006B0" w14:textId="19C664E9" w:rsidR="0070580B" w:rsidRDefault="0070580B" w:rsidP="0070580B">
      <w:pPr>
        <w:pStyle w:val="ListParagraph"/>
        <w:numPr>
          <w:ilvl w:val="1"/>
          <w:numId w:val="26"/>
        </w:numPr>
        <w:spacing w:after="120"/>
        <w:ind w:left="709"/>
        <w:jc w:val="both"/>
      </w:pPr>
      <w:r>
        <w:t xml:space="preserve">Within the framework of Tower Hamlets’ Scheme for Financing Schools (see Section 5), schools are permitted to carry-forward any year-end surplus/deficit recorded </w:t>
      </w:r>
      <w:proofErr w:type="gramStart"/>
      <w:r>
        <w:t>at</w:t>
      </w:r>
      <w:proofErr w:type="gramEnd"/>
      <w:r>
        <w:t xml:space="preserve"> 31 March, to the following financial year.</w:t>
      </w:r>
    </w:p>
    <w:p w14:paraId="4FAD4024" w14:textId="77777777" w:rsidR="0070580B" w:rsidRDefault="0070580B" w:rsidP="0070580B">
      <w:pPr>
        <w:pStyle w:val="ListParagraph"/>
      </w:pPr>
    </w:p>
    <w:p w14:paraId="44827361" w14:textId="15234CE1" w:rsidR="0070580B" w:rsidRDefault="0070580B" w:rsidP="0070580B">
      <w:pPr>
        <w:pStyle w:val="ListParagraph"/>
        <w:numPr>
          <w:ilvl w:val="1"/>
          <w:numId w:val="26"/>
        </w:numPr>
        <w:spacing w:after="120"/>
        <w:ind w:left="709"/>
        <w:jc w:val="both"/>
      </w:pPr>
      <w:r>
        <w:t>Schools successfully completed the year end process and data verification by the end of April 202</w:t>
      </w:r>
      <w:r w:rsidR="00731A9C">
        <w:t>6</w:t>
      </w:r>
      <w:r>
        <w:t xml:space="preserve">, working with the local authority over the </w:t>
      </w:r>
      <w:r w:rsidR="00F54BF9">
        <w:t>E</w:t>
      </w:r>
      <w:r>
        <w:t>aster holiday.</w:t>
      </w:r>
    </w:p>
    <w:p w14:paraId="5B9122F5" w14:textId="77777777" w:rsidR="0070580B" w:rsidRPr="00C162AA" w:rsidRDefault="0070580B" w:rsidP="0070580B">
      <w:pPr>
        <w:pStyle w:val="ListParagraph"/>
        <w:autoSpaceDE w:val="0"/>
        <w:autoSpaceDN w:val="0"/>
        <w:adjustRightInd w:val="0"/>
        <w:ind w:left="426"/>
        <w:rPr>
          <w:color w:val="000000"/>
        </w:rPr>
      </w:pPr>
    </w:p>
    <w:p w14:paraId="69F6FF39" w14:textId="77777777" w:rsidR="0070580B" w:rsidRPr="00DF798C" w:rsidRDefault="0070580B" w:rsidP="0070580B">
      <w:pPr>
        <w:pStyle w:val="ListParagraph"/>
        <w:numPr>
          <w:ilvl w:val="0"/>
          <w:numId w:val="26"/>
        </w:numPr>
        <w:spacing w:after="120"/>
        <w:ind w:left="709"/>
        <w:rPr>
          <w:rFonts w:eastAsiaTheme="minorEastAsia" w:cs="Arial"/>
          <w:b/>
          <w:bCs/>
          <w:color w:val="000000" w:themeColor="text1"/>
        </w:rPr>
      </w:pPr>
      <w:r w:rsidRPr="00DF798C">
        <w:rPr>
          <w:rFonts w:eastAsiaTheme="minorEastAsia" w:cs="Arial"/>
          <w:b/>
          <w:bCs/>
          <w:color w:val="000000" w:themeColor="text1"/>
        </w:rPr>
        <w:tab/>
        <w:t>Schools Revenue Position</w:t>
      </w:r>
    </w:p>
    <w:p w14:paraId="43AA0EF7" w14:textId="77777777" w:rsidR="0070580B" w:rsidRPr="00780295" w:rsidRDefault="0070580B" w:rsidP="0070580B">
      <w:pPr>
        <w:pStyle w:val="ListParagraph"/>
        <w:spacing w:after="120"/>
        <w:ind w:left="709"/>
        <w:rPr>
          <w:b/>
          <w:i/>
          <w:iCs/>
        </w:rPr>
      </w:pPr>
    </w:p>
    <w:p w14:paraId="6E0CEABA" w14:textId="6254B2AB" w:rsidR="0070580B" w:rsidRDefault="0070580B" w:rsidP="0070580B">
      <w:pPr>
        <w:pStyle w:val="ListParagraph"/>
        <w:numPr>
          <w:ilvl w:val="1"/>
          <w:numId w:val="26"/>
        </w:numPr>
        <w:spacing w:after="120"/>
        <w:ind w:left="709"/>
        <w:jc w:val="both"/>
        <w:rPr>
          <w:rFonts w:cs="Arial"/>
          <w:iCs/>
        </w:rPr>
      </w:pPr>
      <w:r w:rsidRPr="00780295">
        <w:rPr>
          <w:rFonts w:cs="Arial"/>
          <w:iCs/>
        </w:rPr>
        <w:tab/>
        <w:t xml:space="preserve">Overall, the school </w:t>
      </w:r>
      <w:r>
        <w:rPr>
          <w:rFonts w:cs="Arial"/>
          <w:iCs/>
        </w:rPr>
        <w:t xml:space="preserve">cumulative </w:t>
      </w:r>
      <w:r w:rsidRPr="00780295">
        <w:rPr>
          <w:rFonts w:cs="Arial"/>
          <w:iCs/>
        </w:rPr>
        <w:t xml:space="preserve">revenue balances at the end of the </w:t>
      </w:r>
      <w:r w:rsidR="008458E7">
        <w:rPr>
          <w:rFonts w:cs="Arial"/>
          <w:iCs/>
        </w:rPr>
        <w:t>2025-26</w:t>
      </w:r>
      <w:r w:rsidRPr="00780295">
        <w:rPr>
          <w:rFonts w:cs="Arial"/>
          <w:iCs/>
        </w:rPr>
        <w:t xml:space="preserve"> financial year </w:t>
      </w:r>
      <w:r>
        <w:rPr>
          <w:rFonts w:cs="Arial"/>
          <w:iCs/>
        </w:rPr>
        <w:t xml:space="preserve">have </w:t>
      </w:r>
      <w:r w:rsidRPr="005F2053">
        <w:rPr>
          <w:rFonts w:cs="Arial"/>
          <w:b/>
          <w:i/>
        </w:rPr>
        <w:t>decreased</w:t>
      </w:r>
      <w:r w:rsidRPr="005F2053">
        <w:rPr>
          <w:rFonts w:cs="Arial"/>
          <w:iCs/>
        </w:rPr>
        <w:t xml:space="preserve"> by </w:t>
      </w:r>
      <w:r w:rsidRPr="005F2053">
        <w:rPr>
          <w:rFonts w:cs="Arial"/>
          <w:b/>
          <w:iCs/>
        </w:rPr>
        <w:t>£0.</w:t>
      </w:r>
      <w:r w:rsidR="005F2053" w:rsidRPr="005F2053">
        <w:rPr>
          <w:rFonts w:cs="Arial"/>
          <w:b/>
          <w:iCs/>
        </w:rPr>
        <w:t>497</w:t>
      </w:r>
      <w:r w:rsidR="00796A3F">
        <w:rPr>
          <w:rFonts w:cs="Arial"/>
          <w:b/>
          <w:iCs/>
        </w:rPr>
        <w:t>m</w:t>
      </w:r>
      <w:r w:rsidRPr="005F2053">
        <w:rPr>
          <w:rFonts w:cs="Arial"/>
          <w:b/>
          <w:iCs/>
        </w:rPr>
        <w:t xml:space="preserve"> (-</w:t>
      </w:r>
      <w:r w:rsidR="008A6EAD" w:rsidRPr="005F2053">
        <w:rPr>
          <w:rFonts w:cs="Arial"/>
          <w:b/>
          <w:iCs/>
        </w:rPr>
        <w:t>1</w:t>
      </w:r>
      <w:r w:rsidRPr="005F2053">
        <w:rPr>
          <w:rFonts w:cs="Arial"/>
          <w:b/>
          <w:iCs/>
        </w:rPr>
        <w:t>.</w:t>
      </w:r>
      <w:r w:rsidR="008A6EAD" w:rsidRPr="005F2053">
        <w:rPr>
          <w:rFonts w:cs="Arial"/>
          <w:b/>
          <w:iCs/>
        </w:rPr>
        <w:t>55</w:t>
      </w:r>
      <w:r w:rsidRPr="005F2053">
        <w:rPr>
          <w:rFonts w:cs="Arial"/>
          <w:b/>
          <w:iCs/>
        </w:rPr>
        <w:t>%)</w:t>
      </w:r>
      <w:r w:rsidRPr="005F2053">
        <w:rPr>
          <w:rFonts w:cs="Arial"/>
          <w:iCs/>
        </w:rPr>
        <w:t xml:space="preserve"> to </w:t>
      </w:r>
      <w:r w:rsidRPr="005F2053">
        <w:rPr>
          <w:rFonts w:cs="Arial"/>
          <w:b/>
          <w:iCs/>
        </w:rPr>
        <w:t>£</w:t>
      </w:r>
      <w:r w:rsidR="009F39C1">
        <w:rPr>
          <w:rFonts w:cs="Arial"/>
          <w:b/>
          <w:iCs/>
        </w:rPr>
        <w:t>28.94</w:t>
      </w:r>
      <w:r w:rsidR="00796A3F">
        <w:rPr>
          <w:rFonts w:cs="Arial"/>
          <w:b/>
          <w:iCs/>
        </w:rPr>
        <w:t>m</w:t>
      </w:r>
      <w:r w:rsidRPr="00780295">
        <w:rPr>
          <w:rFonts w:cs="Arial"/>
          <w:iCs/>
        </w:rPr>
        <w:t xml:space="preserve">. The year-end position illustrated school by school, is shown in Appendix 1 and the position by school sector in Table 1. </w:t>
      </w:r>
    </w:p>
    <w:p w14:paraId="0095C8FA" w14:textId="77777777" w:rsidR="0070580B" w:rsidRPr="00780295" w:rsidRDefault="0070580B" w:rsidP="0070580B">
      <w:pPr>
        <w:pStyle w:val="ListParagraph"/>
        <w:spacing w:after="120"/>
        <w:ind w:left="709"/>
        <w:jc w:val="both"/>
        <w:rPr>
          <w:rFonts w:cs="Arial"/>
          <w:iCs/>
        </w:rPr>
      </w:pPr>
    </w:p>
    <w:p w14:paraId="0D4BC569" w14:textId="70754AF2" w:rsidR="0070580B" w:rsidRPr="00DF798C" w:rsidRDefault="0070580B" w:rsidP="0070580B">
      <w:pPr>
        <w:spacing w:after="120"/>
        <w:ind w:left="720" w:hanging="720"/>
        <w:jc w:val="center"/>
        <w:rPr>
          <w:b/>
          <w:iCs/>
        </w:rPr>
      </w:pPr>
      <w:r w:rsidRPr="00DF798C">
        <w:rPr>
          <w:b/>
          <w:iCs/>
        </w:rPr>
        <w:t>Table</w:t>
      </w:r>
      <w:r w:rsidR="00724CE3">
        <w:rPr>
          <w:b/>
          <w:iCs/>
        </w:rPr>
        <w:t xml:space="preserve"> 1</w:t>
      </w:r>
      <w:r w:rsidRPr="00DF798C">
        <w:rPr>
          <w:b/>
          <w:iCs/>
        </w:rPr>
        <w:t>. Revenue Balances carried forward by sector: 202</w:t>
      </w:r>
      <w:r w:rsidR="00F965D8">
        <w:rPr>
          <w:b/>
          <w:iCs/>
        </w:rPr>
        <w:t>4</w:t>
      </w:r>
      <w:r w:rsidRPr="00DF798C">
        <w:rPr>
          <w:b/>
          <w:iCs/>
        </w:rPr>
        <w:t>-2</w:t>
      </w:r>
      <w:r w:rsidR="00F965D8">
        <w:rPr>
          <w:b/>
          <w:iCs/>
        </w:rPr>
        <w:t>5</w:t>
      </w:r>
      <w:r w:rsidRPr="00DF798C">
        <w:rPr>
          <w:b/>
          <w:iCs/>
        </w:rPr>
        <w:t xml:space="preserve"> to </w:t>
      </w:r>
      <w:r w:rsidR="008458E7">
        <w:rPr>
          <w:b/>
          <w:iCs/>
        </w:rPr>
        <w:t>2025-26</w:t>
      </w:r>
      <w:r w:rsidRPr="00DF798C">
        <w:rPr>
          <w:b/>
          <w:iCs/>
        </w:rPr>
        <w:t>.</w:t>
      </w:r>
    </w:p>
    <w:p w14:paraId="2EE11587" w14:textId="77777777" w:rsidR="0070580B" w:rsidRDefault="0070580B" w:rsidP="0070580B"/>
    <w:p w14:paraId="2E3C7CD8" w14:textId="77777777" w:rsidR="00D92F03" w:rsidRDefault="00D92F03" w:rsidP="0070580B"/>
    <w:tbl>
      <w:tblPr>
        <w:tblW w:w="5000" w:type="pct"/>
        <w:tblLook w:val="04A0" w:firstRow="1" w:lastRow="0" w:firstColumn="1" w:lastColumn="0" w:noHBand="0" w:noVBand="1"/>
      </w:tblPr>
      <w:tblGrid>
        <w:gridCol w:w="2813"/>
        <w:gridCol w:w="1878"/>
        <w:gridCol w:w="1600"/>
        <w:gridCol w:w="2109"/>
        <w:gridCol w:w="936"/>
      </w:tblGrid>
      <w:tr w:rsidR="00356E38" w:rsidRPr="00356E38" w14:paraId="248197EB" w14:textId="77777777" w:rsidTr="00356E38">
        <w:trPr>
          <w:trHeight w:val="320"/>
        </w:trPr>
        <w:tc>
          <w:tcPr>
            <w:tcW w:w="1568" w:type="pct"/>
            <w:tcBorders>
              <w:top w:val="single" w:sz="8" w:space="0" w:color="auto"/>
              <w:left w:val="single" w:sz="8" w:space="0" w:color="auto"/>
              <w:bottom w:val="single" w:sz="8" w:space="0" w:color="auto"/>
              <w:right w:val="single" w:sz="8" w:space="0" w:color="auto"/>
            </w:tcBorders>
            <w:noWrap/>
            <w:vAlign w:val="center"/>
            <w:hideMark/>
          </w:tcPr>
          <w:p w14:paraId="30DF01DD" w14:textId="77777777" w:rsidR="00356E38" w:rsidRPr="00356E38" w:rsidRDefault="00356E38" w:rsidP="00356E38">
            <w:pPr>
              <w:rPr>
                <w:rFonts w:cs="Arial"/>
                <w:b/>
                <w:bCs/>
                <w:color w:val="000000"/>
              </w:rPr>
            </w:pPr>
            <w:r w:rsidRPr="00356E38">
              <w:rPr>
                <w:rFonts w:cs="Arial"/>
                <w:b/>
                <w:bCs/>
                <w:color w:val="000000"/>
              </w:rPr>
              <w:t> School phase</w:t>
            </w:r>
          </w:p>
        </w:tc>
        <w:tc>
          <w:tcPr>
            <w:tcW w:w="1067" w:type="pct"/>
            <w:tcBorders>
              <w:top w:val="single" w:sz="8" w:space="0" w:color="auto"/>
              <w:left w:val="nil"/>
              <w:bottom w:val="single" w:sz="8" w:space="0" w:color="auto"/>
              <w:right w:val="single" w:sz="8" w:space="0" w:color="auto"/>
            </w:tcBorders>
            <w:vAlign w:val="center"/>
            <w:hideMark/>
          </w:tcPr>
          <w:p w14:paraId="765738A6" w14:textId="77777777" w:rsidR="00356E38" w:rsidRPr="00356E38" w:rsidRDefault="00356E38" w:rsidP="00356E38">
            <w:pPr>
              <w:jc w:val="center"/>
              <w:rPr>
                <w:rFonts w:cs="Arial"/>
                <w:b/>
                <w:bCs/>
                <w:color w:val="000000"/>
              </w:rPr>
            </w:pPr>
            <w:r w:rsidRPr="00356E38">
              <w:rPr>
                <w:rFonts w:cs="Arial"/>
                <w:b/>
                <w:bCs/>
                <w:color w:val="000000"/>
              </w:rPr>
              <w:t>2024-25</w:t>
            </w:r>
          </w:p>
        </w:tc>
        <w:tc>
          <w:tcPr>
            <w:tcW w:w="918" w:type="pct"/>
            <w:tcBorders>
              <w:top w:val="single" w:sz="8" w:space="0" w:color="auto"/>
              <w:left w:val="nil"/>
              <w:bottom w:val="single" w:sz="8" w:space="0" w:color="auto"/>
              <w:right w:val="single" w:sz="8" w:space="0" w:color="auto"/>
            </w:tcBorders>
            <w:vAlign w:val="center"/>
            <w:hideMark/>
          </w:tcPr>
          <w:p w14:paraId="0B252F72" w14:textId="77777777" w:rsidR="00356E38" w:rsidRPr="00356E38" w:rsidRDefault="00356E38" w:rsidP="00356E38">
            <w:pPr>
              <w:jc w:val="center"/>
              <w:rPr>
                <w:rFonts w:cs="Arial"/>
                <w:b/>
                <w:bCs/>
                <w:color w:val="000000"/>
              </w:rPr>
            </w:pPr>
            <w:r w:rsidRPr="00356E38">
              <w:rPr>
                <w:rFonts w:cs="Arial"/>
                <w:b/>
                <w:bCs/>
                <w:color w:val="000000"/>
              </w:rPr>
              <w:t>2025-26</w:t>
            </w:r>
          </w:p>
        </w:tc>
        <w:tc>
          <w:tcPr>
            <w:tcW w:w="1447" w:type="pct"/>
            <w:gridSpan w:val="2"/>
            <w:tcBorders>
              <w:top w:val="single" w:sz="8" w:space="0" w:color="auto"/>
              <w:left w:val="nil"/>
              <w:bottom w:val="single" w:sz="8" w:space="0" w:color="auto"/>
              <w:right w:val="single" w:sz="8" w:space="0" w:color="000000"/>
            </w:tcBorders>
            <w:noWrap/>
            <w:vAlign w:val="center"/>
            <w:hideMark/>
          </w:tcPr>
          <w:p w14:paraId="2C99D4B3" w14:textId="77777777" w:rsidR="00356E38" w:rsidRPr="00356E38" w:rsidRDefault="00356E38" w:rsidP="00356E38">
            <w:pPr>
              <w:jc w:val="center"/>
              <w:rPr>
                <w:rFonts w:cs="Arial"/>
                <w:b/>
                <w:bCs/>
                <w:color w:val="000000"/>
              </w:rPr>
            </w:pPr>
            <w:r w:rsidRPr="00356E38">
              <w:rPr>
                <w:rFonts w:cs="Arial"/>
                <w:b/>
                <w:bCs/>
                <w:color w:val="000000"/>
              </w:rPr>
              <w:t>24/25 to 25/26 movement</w:t>
            </w:r>
          </w:p>
        </w:tc>
      </w:tr>
      <w:tr w:rsidR="00356E38" w:rsidRPr="00356E38" w14:paraId="4D89BA7E" w14:textId="77777777" w:rsidTr="00356E38">
        <w:trPr>
          <w:trHeight w:val="320"/>
        </w:trPr>
        <w:tc>
          <w:tcPr>
            <w:tcW w:w="1568" w:type="pct"/>
            <w:tcBorders>
              <w:top w:val="nil"/>
              <w:left w:val="single" w:sz="8" w:space="0" w:color="auto"/>
              <w:bottom w:val="single" w:sz="8" w:space="0" w:color="auto"/>
              <w:right w:val="single" w:sz="8" w:space="0" w:color="auto"/>
            </w:tcBorders>
            <w:noWrap/>
            <w:vAlign w:val="center"/>
            <w:hideMark/>
          </w:tcPr>
          <w:p w14:paraId="1AADD163" w14:textId="77777777" w:rsidR="00356E38" w:rsidRPr="00356E38" w:rsidRDefault="00356E38" w:rsidP="00356E38">
            <w:pPr>
              <w:rPr>
                <w:rFonts w:cs="Arial"/>
                <w:color w:val="000000"/>
              </w:rPr>
            </w:pPr>
            <w:r w:rsidRPr="00356E38">
              <w:rPr>
                <w:rFonts w:cs="Arial"/>
                <w:color w:val="000000"/>
              </w:rPr>
              <w:t> </w:t>
            </w:r>
          </w:p>
        </w:tc>
        <w:tc>
          <w:tcPr>
            <w:tcW w:w="1067" w:type="pct"/>
            <w:tcBorders>
              <w:top w:val="nil"/>
              <w:left w:val="nil"/>
              <w:bottom w:val="single" w:sz="8" w:space="0" w:color="auto"/>
              <w:right w:val="single" w:sz="8" w:space="0" w:color="auto"/>
            </w:tcBorders>
            <w:vAlign w:val="center"/>
            <w:hideMark/>
          </w:tcPr>
          <w:p w14:paraId="19469397" w14:textId="77777777" w:rsidR="00356E38" w:rsidRPr="00356E38" w:rsidRDefault="00356E38" w:rsidP="00356E38">
            <w:pPr>
              <w:jc w:val="center"/>
              <w:rPr>
                <w:rFonts w:cs="Arial"/>
                <w:b/>
                <w:bCs/>
                <w:color w:val="000000"/>
              </w:rPr>
            </w:pPr>
            <w:r w:rsidRPr="00356E38">
              <w:rPr>
                <w:rFonts w:cs="Arial"/>
                <w:b/>
                <w:bCs/>
                <w:color w:val="000000"/>
              </w:rPr>
              <w:t>£k</w:t>
            </w:r>
          </w:p>
        </w:tc>
        <w:tc>
          <w:tcPr>
            <w:tcW w:w="918" w:type="pct"/>
            <w:tcBorders>
              <w:top w:val="nil"/>
              <w:left w:val="nil"/>
              <w:bottom w:val="single" w:sz="8" w:space="0" w:color="auto"/>
              <w:right w:val="single" w:sz="8" w:space="0" w:color="auto"/>
            </w:tcBorders>
            <w:vAlign w:val="center"/>
            <w:hideMark/>
          </w:tcPr>
          <w:p w14:paraId="4398CC6A" w14:textId="77777777" w:rsidR="00356E38" w:rsidRPr="00356E38" w:rsidRDefault="00356E38" w:rsidP="00356E38">
            <w:pPr>
              <w:jc w:val="center"/>
              <w:rPr>
                <w:rFonts w:cs="Arial"/>
                <w:b/>
                <w:bCs/>
                <w:color w:val="000000"/>
              </w:rPr>
            </w:pPr>
            <w:r w:rsidRPr="00356E38">
              <w:rPr>
                <w:rFonts w:cs="Arial"/>
                <w:b/>
                <w:bCs/>
                <w:color w:val="000000"/>
              </w:rPr>
              <w:t>£k</w:t>
            </w:r>
          </w:p>
        </w:tc>
        <w:tc>
          <w:tcPr>
            <w:tcW w:w="1002" w:type="pct"/>
            <w:tcBorders>
              <w:top w:val="nil"/>
              <w:left w:val="nil"/>
              <w:bottom w:val="single" w:sz="8" w:space="0" w:color="auto"/>
              <w:right w:val="single" w:sz="8" w:space="0" w:color="auto"/>
            </w:tcBorders>
            <w:vAlign w:val="center"/>
            <w:hideMark/>
          </w:tcPr>
          <w:p w14:paraId="57E6E010" w14:textId="77777777" w:rsidR="00356E38" w:rsidRPr="00356E38" w:rsidRDefault="00356E38" w:rsidP="00356E38">
            <w:pPr>
              <w:jc w:val="center"/>
              <w:rPr>
                <w:rFonts w:cs="Arial"/>
                <w:b/>
                <w:bCs/>
                <w:color w:val="000000"/>
              </w:rPr>
            </w:pPr>
            <w:r w:rsidRPr="00356E38">
              <w:rPr>
                <w:rFonts w:cs="Arial"/>
                <w:b/>
                <w:bCs/>
                <w:color w:val="000000"/>
              </w:rPr>
              <w:t>£k</w:t>
            </w:r>
          </w:p>
        </w:tc>
        <w:tc>
          <w:tcPr>
            <w:tcW w:w="445" w:type="pct"/>
            <w:tcBorders>
              <w:top w:val="nil"/>
              <w:left w:val="nil"/>
              <w:bottom w:val="single" w:sz="8" w:space="0" w:color="auto"/>
              <w:right w:val="single" w:sz="8" w:space="0" w:color="auto"/>
            </w:tcBorders>
            <w:noWrap/>
            <w:vAlign w:val="center"/>
            <w:hideMark/>
          </w:tcPr>
          <w:p w14:paraId="4F2EB2AF" w14:textId="77777777" w:rsidR="00356E38" w:rsidRPr="00356E38" w:rsidRDefault="00356E38" w:rsidP="00356E38">
            <w:pPr>
              <w:jc w:val="center"/>
              <w:rPr>
                <w:rFonts w:cs="Arial"/>
                <w:b/>
                <w:bCs/>
                <w:color w:val="000000"/>
              </w:rPr>
            </w:pPr>
            <w:r w:rsidRPr="00356E38">
              <w:rPr>
                <w:rFonts w:cs="Arial"/>
                <w:b/>
                <w:bCs/>
                <w:color w:val="000000"/>
              </w:rPr>
              <w:t>(%)</w:t>
            </w:r>
          </w:p>
        </w:tc>
      </w:tr>
      <w:tr w:rsidR="00356E38" w:rsidRPr="00356E38" w14:paraId="365BCB77" w14:textId="77777777" w:rsidTr="00356E38">
        <w:trPr>
          <w:trHeight w:val="320"/>
        </w:trPr>
        <w:tc>
          <w:tcPr>
            <w:tcW w:w="1568" w:type="pct"/>
            <w:tcBorders>
              <w:top w:val="nil"/>
              <w:left w:val="single" w:sz="8" w:space="0" w:color="auto"/>
              <w:bottom w:val="single" w:sz="8" w:space="0" w:color="auto"/>
              <w:right w:val="single" w:sz="8" w:space="0" w:color="auto"/>
            </w:tcBorders>
            <w:noWrap/>
            <w:vAlign w:val="center"/>
            <w:hideMark/>
          </w:tcPr>
          <w:p w14:paraId="37C44239" w14:textId="77777777" w:rsidR="00356E38" w:rsidRPr="00356E38" w:rsidRDefault="00356E38" w:rsidP="00356E38">
            <w:pPr>
              <w:rPr>
                <w:rFonts w:cs="Arial"/>
                <w:color w:val="000000"/>
              </w:rPr>
            </w:pPr>
            <w:r w:rsidRPr="00356E38">
              <w:rPr>
                <w:rFonts w:cs="Arial"/>
                <w:color w:val="000000"/>
              </w:rPr>
              <w:t>Nursery</w:t>
            </w:r>
          </w:p>
        </w:tc>
        <w:tc>
          <w:tcPr>
            <w:tcW w:w="1067" w:type="pct"/>
            <w:tcBorders>
              <w:top w:val="nil"/>
              <w:left w:val="nil"/>
              <w:bottom w:val="single" w:sz="8" w:space="0" w:color="auto"/>
              <w:right w:val="single" w:sz="8" w:space="0" w:color="auto"/>
            </w:tcBorders>
            <w:vAlign w:val="center"/>
            <w:hideMark/>
          </w:tcPr>
          <w:p w14:paraId="7F2D655C" w14:textId="77777777" w:rsidR="00356E38" w:rsidRPr="00356E38" w:rsidRDefault="00356E38" w:rsidP="00356E38">
            <w:pPr>
              <w:jc w:val="center"/>
              <w:rPr>
                <w:rFonts w:cs="Arial"/>
                <w:color w:val="000000"/>
              </w:rPr>
            </w:pPr>
            <w:r w:rsidRPr="00356E38">
              <w:rPr>
                <w:rFonts w:cs="Arial"/>
                <w:color w:val="000000"/>
              </w:rPr>
              <w:t>190</w:t>
            </w:r>
          </w:p>
        </w:tc>
        <w:tc>
          <w:tcPr>
            <w:tcW w:w="918" w:type="pct"/>
            <w:tcBorders>
              <w:top w:val="nil"/>
              <w:left w:val="nil"/>
              <w:bottom w:val="single" w:sz="8" w:space="0" w:color="auto"/>
              <w:right w:val="single" w:sz="8" w:space="0" w:color="auto"/>
            </w:tcBorders>
            <w:vAlign w:val="center"/>
            <w:hideMark/>
          </w:tcPr>
          <w:p w14:paraId="0B9686C4" w14:textId="77777777" w:rsidR="00356E38" w:rsidRPr="00356E38" w:rsidRDefault="00356E38" w:rsidP="00356E38">
            <w:pPr>
              <w:jc w:val="center"/>
              <w:rPr>
                <w:rFonts w:cs="Arial"/>
                <w:color w:val="000000"/>
              </w:rPr>
            </w:pPr>
            <w:r w:rsidRPr="00356E38">
              <w:rPr>
                <w:rFonts w:cs="Arial"/>
                <w:color w:val="000000"/>
              </w:rPr>
              <w:t>328</w:t>
            </w:r>
          </w:p>
        </w:tc>
        <w:tc>
          <w:tcPr>
            <w:tcW w:w="1002" w:type="pct"/>
            <w:tcBorders>
              <w:top w:val="nil"/>
              <w:left w:val="nil"/>
              <w:bottom w:val="single" w:sz="8" w:space="0" w:color="auto"/>
              <w:right w:val="single" w:sz="8" w:space="0" w:color="auto"/>
            </w:tcBorders>
            <w:noWrap/>
            <w:vAlign w:val="center"/>
            <w:hideMark/>
          </w:tcPr>
          <w:p w14:paraId="28BCC8EC" w14:textId="77777777" w:rsidR="00356E38" w:rsidRPr="00356E38" w:rsidRDefault="00356E38" w:rsidP="00356E38">
            <w:pPr>
              <w:jc w:val="center"/>
              <w:rPr>
                <w:rFonts w:cs="Arial"/>
                <w:color w:val="000000"/>
              </w:rPr>
            </w:pPr>
            <w:r w:rsidRPr="00356E38">
              <w:rPr>
                <w:rFonts w:cs="Arial"/>
                <w:color w:val="000000"/>
              </w:rPr>
              <w:t>138</w:t>
            </w:r>
          </w:p>
        </w:tc>
        <w:tc>
          <w:tcPr>
            <w:tcW w:w="445" w:type="pct"/>
            <w:tcBorders>
              <w:top w:val="nil"/>
              <w:left w:val="nil"/>
              <w:bottom w:val="single" w:sz="8" w:space="0" w:color="auto"/>
              <w:right w:val="single" w:sz="8" w:space="0" w:color="auto"/>
            </w:tcBorders>
            <w:noWrap/>
            <w:vAlign w:val="center"/>
            <w:hideMark/>
          </w:tcPr>
          <w:p w14:paraId="6D74D6A8" w14:textId="77777777" w:rsidR="00356E38" w:rsidRPr="00356E38" w:rsidRDefault="00356E38" w:rsidP="00356E38">
            <w:pPr>
              <w:jc w:val="center"/>
              <w:rPr>
                <w:rFonts w:cs="Arial"/>
                <w:color w:val="000000"/>
              </w:rPr>
            </w:pPr>
            <w:r w:rsidRPr="00356E38">
              <w:rPr>
                <w:rFonts w:cs="Arial"/>
                <w:color w:val="000000"/>
              </w:rPr>
              <w:t>73%</w:t>
            </w:r>
          </w:p>
        </w:tc>
      </w:tr>
      <w:tr w:rsidR="00356E38" w:rsidRPr="00356E38" w14:paraId="24BA62EE" w14:textId="77777777" w:rsidTr="00356E38">
        <w:trPr>
          <w:trHeight w:val="320"/>
        </w:trPr>
        <w:tc>
          <w:tcPr>
            <w:tcW w:w="1568" w:type="pct"/>
            <w:tcBorders>
              <w:top w:val="nil"/>
              <w:left w:val="single" w:sz="8" w:space="0" w:color="auto"/>
              <w:bottom w:val="single" w:sz="8" w:space="0" w:color="auto"/>
              <w:right w:val="single" w:sz="8" w:space="0" w:color="auto"/>
            </w:tcBorders>
            <w:noWrap/>
            <w:vAlign w:val="center"/>
            <w:hideMark/>
          </w:tcPr>
          <w:p w14:paraId="7A996560" w14:textId="77777777" w:rsidR="00356E38" w:rsidRPr="00356E38" w:rsidRDefault="00356E38" w:rsidP="00356E38">
            <w:pPr>
              <w:rPr>
                <w:rFonts w:cs="Arial"/>
                <w:color w:val="000000"/>
              </w:rPr>
            </w:pPr>
            <w:r w:rsidRPr="00356E38">
              <w:rPr>
                <w:rFonts w:cs="Arial"/>
                <w:color w:val="000000"/>
              </w:rPr>
              <w:t>Primary</w:t>
            </w:r>
          </w:p>
        </w:tc>
        <w:tc>
          <w:tcPr>
            <w:tcW w:w="1067" w:type="pct"/>
            <w:tcBorders>
              <w:top w:val="nil"/>
              <w:left w:val="nil"/>
              <w:bottom w:val="single" w:sz="8" w:space="0" w:color="auto"/>
              <w:right w:val="single" w:sz="8" w:space="0" w:color="auto"/>
            </w:tcBorders>
            <w:vAlign w:val="center"/>
            <w:hideMark/>
          </w:tcPr>
          <w:p w14:paraId="69D30936" w14:textId="7252DC65" w:rsidR="00356E38" w:rsidRPr="00356E38" w:rsidRDefault="00356E38" w:rsidP="00356E38">
            <w:pPr>
              <w:jc w:val="center"/>
              <w:rPr>
                <w:rFonts w:cs="Arial"/>
                <w:color w:val="000000"/>
              </w:rPr>
            </w:pPr>
            <w:r w:rsidRPr="00356E38">
              <w:rPr>
                <w:rFonts w:cs="Arial"/>
                <w:color w:val="000000"/>
              </w:rPr>
              <w:t>11</w:t>
            </w:r>
            <w:r w:rsidR="000436A6">
              <w:rPr>
                <w:rFonts w:cs="Arial"/>
                <w:color w:val="000000"/>
              </w:rPr>
              <w:t>,</w:t>
            </w:r>
            <w:r w:rsidRPr="00356E38">
              <w:rPr>
                <w:rFonts w:cs="Arial"/>
                <w:color w:val="000000"/>
              </w:rPr>
              <w:t>610</w:t>
            </w:r>
          </w:p>
        </w:tc>
        <w:tc>
          <w:tcPr>
            <w:tcW w:w="918" w:type="pct"/>
            <w:tcBorders>
              <w:top w:val="nil"/>
              <w:left w:val="nil"/>
              <w:bottom w:val="single" w:sz="8" w:space="0" w:color="auto"/>
              <w:right w:val="single" w:sz="8" w:space="0" w:color="auto"/>
            </w:tcBorders>
            <w:vAlign w:val="center"/>
            <w:hideMark/>
          </w:tcPr>
          <w:p w14:paraId="601547D7" w14:textId="6FDE02FA" w:rsidR="00356E38" w:rsidRPr="00356E38" w:rsidRDefault="00356E38" w:rsidP="00356E38">
            <w:pPr>
              <w:jc w:val="center"/>
              <w:rPr>
                <w:rFonts w:cs="Arial"/>
                <w:color w:val="000000"/>
              </w:rPr>
            </w:pPr>
            <w:r w:rsidRPr="00356E38">
              <w:rPr>
                <w:rFonts w:cs="Arial"/>
                <w:color w:val="000000"/>
              </w:rPr>
              <w:t>10</w:t>
            </w:r>
            <w:r w:rsidR="000436A6">
              <w:rPr>
                <w:rFonts w:cs="Arial"/>
                <w:color w:val="000000"/>
              </w:rPr>
              <w:t>,</w:t>
            </w:r>
            <w:r w:rsidRPr="00356E38">
              <w:rPr>
                <w:rFonts w:cs="Arial"/>
                <w:color w:val="000000"/>
              </w:rPr>
              <w:t>697</w:t>
            </w:r>
          </w:p>
        </w:tc>
        <w:tc>
          <w:tcPr>
            <w:tcW w:w="1002" w:type="pct"/>
            <w:tcBorders>
              <w:top w:val="nil"/>
              <w:left w:val="nil"/>
              <w:bottom w:val="single" w:sz="8" w:space="0" w:color="auto"/>
              <w:right w:val="single" w:sz="8" w:space="0" w:color="auto"/>
            </w:tcBorders>
            <w:noWrap/>
            <w:vAlign w:val="center"/>
            <w:hideMark/>
          </w:tcPr>
          <w:p w14:paraId="2B71DA2C" w14:textId="77777777" w:rsidR="00356E38" w:rsidRPr="00356E38" w:rsidRDefault="00356E38" w:rsidP="00356E38">
            <w:pPr>
              <w:jc w:val="center"/>
              <w:rPr>
                <w:rFonts w:cs="Arial"/>
                <w:color w:val="000000"/>
              </w:rPr>
            </w:pPr>
            <w:r w:rsidRPr="00356E38">
              <w:rPr>
                <w:rFonts w:cs="Arial"/>
                <w:color w:val="000000"/>
              </w:rPr>
              <w:t>-914</w:t>
            </w:r>
          </w:p>
        </w:tc>
        <w:tc>
          <w:tcPr>
            <w:tcW w:w="445" w:type="pct"/>
            <w:tcBorders>
              <w:top w:val="nil"/>
              <w:left w:val="nil"/>
              <w:bottom w:val="single" w:sz="8" w:space="0" w:color="auto"/>
              <w:right w:val="single" w:sz="8" w:space="0" w:color="auto"/>
            </w:tcBorders>
            <w:noWrap/>
            <w:vAlign w:val="center"/>
            <w:hideMark/>
          </w:tcPr>
          <w:p w14:paraId="49CBA65F" w14:textId="77777777" w:rsidR="00356E38" w:rsidRPr="00356E38" w:rsidRDefault="00356E38" w:rsidP="00356E38">
            <w:pPr>
              <w:jc w:val="center"/>
              <w:rPr>
                <w:rFonts w:cs="Arial"/>
                <w:color w:val="000000"/>
              </w:rPr>
            </w:pPr>
            <w:r w:rsidRPr="00356E38">
              <w:rPr>
                <w:rFonts w:cs="Arial"/>
                <w:color w:val="000000"/>
              </w:rPr>
              <w:t>-8%</w:t>
            </w:r>
          </w:p>
        </w:tc>
      </w:tr>
      <w:tr w:rsidR="00356E38" w:rsidRPr="00356E38" w14:paraId="6BC7B219" w14:textId="77777777" w:rsidTr="00356E38">
        <w:trPr>
          <w:trHeight w:val="320"/>
        </w:trPr>
        <w:tc>
          <w:tcPr>
            <w:tcW w:w="1568" w:type="pct"/>
            <w:tcBorders>
              <w:top w:val="nil"/>
              <w:left w:val="single" w:sz="8" w:space="0" w:color="auto"/>
              <w:bottom w:val="single" w:sz="8" w:space="0" w:color="auto"/>
              <w:right w:val="single" w:sz="8" w:space="0" w:color="auto"/>
            </w:tcBorders>
            <w:noWrap/>
            <w:vAlign w:val="center"/>
            <w:hideMark/>
          </w:tcPr>
          <w:p w14:paraId="1D7204D4" w14:textId="77777777" w:rsidR="00356E38" w:rsidRPr="00356E38" w:rsidRDefault="00356E38" w:rsidP="00356E38">
            <w:pPr>
              <w:rPr>
                <w:rFonts w:cs="Arial"/>
                <w:color w:val="000000"/>
              </w:rPr>
            </w:pPr>
            <w:r w:rsidRPr="00356E38">
              <w:rPr>
                <w:rFonts w:cs="Arial"/>
                <w:color w:val="000000"/>
              </w:rPr>
              <w:t>Secondary</w:t>
            </w:r>
          </w:p>
        </w:tc>
        <w:tc>
          <w:tcPr>
            <w:tcW w:w="1067" w:type="pct"/>
            <w:tcBorders>
              <w:top w:val="nil"/>
              <w:left w:val="nil"/>
              <w:bottom w:val="single" w:sz="8" w:space="0" w:color="auto"/>
              <w:right w:val="single" w:sz="8" w:space="0" w:color="auto"/>
            </w:tcBorders>
            <w:vAlign w:val="center"/>
            <w:hideMark/>
          </w:tcPr>
          <w:p w14:paraId="3A2FED9E" w14:textId="344C8B23" w:rsidR="00356E38" w:rsidRPr="00356E38" w:rsidRDefault="00356E38" w:rsidP="00356E38">
            <w:pPr>
              <w:jc w:val="center"/>
              <w:rPr>
                <w:rFonts w:cs="Arial"/>
                <w:color w:val="000000"/>
              </w:rPr>
            </w:pPr>
            <w:r w:rsidRPr="00356E38">
              <w:rPr>
                <w:rFonts w:cs="Arial"/>
                <w:color w:val="000000"/>
              </w:rPr>
              <w:t>11</w:t>
            </w:r>
            <w:r w:rsidR="000436A6">
              <w:rPr>
                <w:rFonts w:cs="Arial"/>
                <w:color w:val="000000"/>
              </w:rPr>
              <w:t>,</w:t>
            </w:r>
            <w:r w:rsidRPr="00356E38">
              <w:rPr>
                <w:rFonts w:cs="Arial"/>
                <w:color w:val="000000"/>
              </w:rPr>
              <w:t>869</w:t>
            </w:r>
          </w:p>
        </w:tc>
        <w:tc>
          <w:tcPr>
            <w:tcW w:w="918" w:type="pct"/>
            <w:tcBorders>
              <w:top w:val="nil"/>
              <w:left w:val="nil"/>
              <w:bottom w:val="single" w:sz="8" w:space="0" w:color="auto"/>
              <w:right w:val="single" w:sz="8" w:space="0" w:color="auto"/>
            </w:tcBorders>
            <w:vAlign w:val="center"/>
            <w:hideMark/>
          </w:tcPr>
          <w:p w14:paraId="5BBB8D81" w14:textId="33252D6D" w:rsidR="00356E38" w:rsidRPr="00356E38" w:rsidRDefault="00356E38" w:rsidP="00356E38">
            <w:pPr>
              <w:jc w:val="center"/>
              <w:rPr>
                <w:rFonts w:cs="Arial"/>
                <w:color w:val="000000"/>
              </w:rPr>
            </w:pPr>
            <w:r w:rsidRPr="00356E38">
              <w:rPr>
                <w:rFonts w:cs="Arial"/>
                <w:color w:val="000000"/>
              </w:rPr>
              <w:t>12</w:t>
            </w:r>
            <w:r w:rsidR="000436A6">
              <w:rPr>
                <w:rFonts w:cs="Arial"/>
                <w:color w:val="000000"/>
              </w:rPr>
              <w:t>,</w:t>
            </w:r>
            <w:r w:rsidRPr="00356E38">
              <w:rPr>
                <w:rFonts w:cs="Arial"/>
                <w:color w:val="000000"/>
              </w:rPr>
              <w:t>515</w:t>
            </w:r>
          </w:p>
        </w:tc>
        <w:tc>
          <w:tcPr>
            <w:tcW w:w="1002" w:type="pct"/>
            <w:tcBorders>
              <w:top w:val="nil"/>
              <w:left w:val="nil"/>
              <w:bottom w:val="single" w:sz="8" w:space="0" w:color="auto"/>
              <w:right w:val="single" w:sz="8" w:space="0" w:color="auto"/>
            </w:tcBorders>
            <w:noWrap/>
            <w:vAlign w:val="center"/>
            <w:hideMark/>
          </w:tcPr>
          <w:p w14:paraId="4530762A" w14:textId="77777777" w:rsidR="00356E38" w:rsidRPr="00356E38" w:rsidRDefault="00356E38" w:rsidP="00356E38">
            <w:pPr>
              <w:jc w:val="center"/>
              <w:rPr>
                <w:rFonts w:cs="Arial"/>
                <w:color w:val="000000"/>
              </w:rPr>
            </w:pPr>
            <w:r w:rsidRPr="00356E38">
              <w:rPr>
                <w:rFonts w:cs="Arial"/>
                <w:color w:val="000000"/>
              </w:rPr>
              <w:t>646</w:t>
            </w:r>
          </w:p>
        </w:tc>
        <w:tc>
          <w:tcPr>
            <w:tcW w:w="445" w:type="pct"/>
            <w:tcBorders>
              <w:top w:val="nil"/>
              <w:left w:val="nil"/>
              <w:bottom w:val="single" w:sz="8" w:space="0" w:color="auto"/>
              <w:right w:val="single" w:sz="8" w:space="0" w:color="auto"/>
            </w:tcBorders>
            <w:noWrap/>
            <w:vAlign w:val="center"/>
            <w:hideMark/>
          </w:tcPr>
          <w:p w14:paraId="6F31FD1A" w14:textId="77777777" w:rsidR="00356E38" w:rsidRPr="00356E38" w:rsidRDefault="00356E38" w:rsidP="00356E38">
            <w:pPr>
              <w:jc w:val="center"/>
              <w:rPr>
                <w:rFonts w:cs="Arial"/>
                <w:color w:val="000000"/>
              </w:rPr>
            </w:pPr>
            <w:r w:rsidRPr="00356E38">
              <w:rPr>
                <w:rFonts w:cs="Arial"/>
                <w:color w:val="000000"/>
              </w:rPr>
              <w:t>5%</w:t>
            </w:r>
          </w:p>
        </w:tc>
      </w:tr>
      <w:tr w:rsidR="00356E38" w:rsidRPr="00356E38" w14:paraId="180678CB" w14:textId="77777777" w:rsidTr="00356E38">
        <w:trPr>
          <w:trHeight w:val="320"/>
        </w:trPr>
        <w:tc>
          <w:tcPr>
            <w:tcW w:w="1568" w:type="pct"/>
            <w:tcBorders>
              <w:top w:val="nil"/>
              <w:left w:val="single" w:sz="8" w:space="0" w:color="auto"/>
              <w:bottom w:val="single" w:sz="8" w:space="0" w:color="auto"/>
              <w:right w:val="single" w:sz="8" w:space="0" w:color="auto"/>
            </w:tcBorders>
            <w:noWrap/>
            <w:vAlign w:val="center"/>
            <w:hideMark/>
          </w:tcPr>
          <w:p w14:paraId="67085966" w14:textId="77777777" w:rsidR="00356E38" w:rsidRPr="00356E38" w:rsidRDefault="00356E38" w:rsidP="00356E38">
            <w:pPr>
              <w:rPr>
                <w:rFonts w:cs="Arial"/>
                <w:color w:val="000000"/>
              </w:rPr>
            </w:pPr>
            <w:r w:rsidRPr="00356E38">
              <w:rPr>
                <w:rFonts w:cs="Arial"/>
                <w:color w:val="000000"/>
              </w:rPr>
              <w:t>Special</w:t>
            </w:r>
          </w:p>
        </w:tc>
        <w:tc>
          <w:tcPr>
            <w:tcW w:w="1067" w:type="pct"/>
            <w:tcBorders>
              <w:top w:val="nil"/>
              <w:left w:val="nil"/>
              <w:bottom w:val="single" w:sz="8" w:space="0" w:color="auto"/>
              <w:right w:val="single" w:sz="8" w:space="0" w:color="auto"/>
            </w:tcBorders>
            <w:vAlign w:val="center"/>
            <w:hideMark/>
          </w:tcPr>
          <w:p w14:paraId="465A82AF" w14:textId="77827DB3" w:rsidR="00356E38" w:rsidRPr="00356E38" w:rsidRDefault="00356E38" w:rsidP="00356E38">
            <w:pPr>
              <w:jc w:val="center"/>
              <w:rPr>
                <w:rFonts w:cs="Arial"/>
                <w:color w:val="000000"/>
              </w:rPr>
            </w:pPr>
            <w:r w:rsidRPr="00356E38">
              <w:rPr>
                <w:rFonts w:cs="Arial"/>
                <w:color w:val="000000"/>
              </w:rPr>
              <w:t>5</w:t>
            </w:r>
            <w:r w:rsidR="000436A6">
              <w:rPr>
                <w:rFonts w:cs="Arial"/>
                <w:color w:val="000000"/>
              </w:rPr>
              <w:t>,</w:t>
            </w:r>
            <w:r w:rsidRPr="00356E38">
              <w:rPr>
                <w:rFonts w:cs="Arial"/>
                <w:color w:val="000000"/>
              </w:rPr>
              <w:t>770</w:t>
            </w:r>
          </w:p>
        </w:tc>
        <w:tc>
          <w:tcPr>
            <w:tcW w:w="918" w:type="pct"/>
            <w:tcBorders>
              <w:top w:val="nil"/>
              <w:left w:val="nil"/>
              <w:bottom w:val="single" w:sz="8" w:space="0" w:color="auto"/>
              <w:right w:val="single" w:sz="8" w:space="0" w:color="auto"/>
            </w:tcBorders>
            <w:vAlign w:val="center"/>
            <w:hideMark/>
          </w:tcPr>
          <w:p w14:paraId="19544B3E" w14:textId="641D40E0" w:rsidR="00356E38" w:rsidRPr="00356E38" w:rsidRDefault="00356E38" w:rsidP="00356E38">
            <w:pPr>
              <w:jc w:val="center"/>
              <w:rPr>
                <w:rFonts w:cs="Arial"/>
                <w:color w:val="000000"/>
              </w:rPr>
            </w:pPr>
            <w:r w:rsidRPr="00356E38">
              <w:rPr>
                <w:rFonts w:cs="Arial"/>
                <w:color w:val="000000"/>
              </w:rPr>
              <w:t>5</w:t>
            </w:r>
            <w:r w:rsidR="000436A6">
              <w:rPr>
                <w:rFonts w:cs="Arial"/>
                <w:color w:val="000000"/>
              </w:rPr>
              <w:t>,</w:t>
            </w:r>
            <w:r w:rsidRPr="00356E38">
              <w:rPr>
                <w:rFonts w:cs="Arial"/>
                <w:color w:val="000000"/>
              </w:rPr>
              <w:t>403</w:t>
            </w:r>
          </w:p>
        </w:tc>
        <w:tc>
          <w:tcPr>
            <w:tcW w:w="1002" w:type="pct"/>
            <w:tcBorders>
              <w:top w:val="nil"/>
              <w:left w:val="nil"/>
              <w:bottom w:val="single" w:sz="8" w:space="0" w:color="auto"/>
              <w:right w:val="single" w:sz="8" w:space="0" w:color="auto"/>
            </w:tcBorders>
            <w:noWrap/>
            <w:vAlign w:val="center"/>
            <w:hideMark/>
          </w:tcPr>
          <w:p w14:paraId="51D750EE" w14:textId="77777777" w:rsidR="00356E38" w:rsidRPr="00356E38" w:rsidRDefault="00356E38" w:rsidP="00356E38">
            <w:pPr>
              <w:jc w:val="center"/>
              <w:rPr>
                <w:rFonts w:cs="Arial"/>
                <w:color w:val="000000"/>
              </w:rPr>
            </w:pPr>
            <w:r w:rsidRPr="00356E38">
              <w:rPr>
                <w:rFonts w:cs="Arial"/>
                <w:color w:val="000000"/>
              </w:rPr>
              <w:t>-367</w:t>
            </w:r>
          </w:p>
        </w:tc>
        <w:tc>
          <w:tcPr>
            <w:tcW w:w="445" w:type="pct"/>
            <w:tcBorders>
              <w:top w:val="nil"/>
              <w:left w:val="nil"/>
              <w:bottom w:val="single" w:sz="8" w:space="0" w:color="auto"/>
              <w:right w:val="single" w:sz="8" w:space="0" w:color="auto"/>
            </w:tcBorders>
            <w:noWrap/>
            <w:vAlign w:val="center"/>
            <w:hideMark/>
          </w:tcPr>
          <w:p w14:paraId="4C489845" w14:textId="77777777" w:rsidR="00356E38" w:rsidRPr="00356E38" w:rsidRDefault="00356E38" w:rsidP="00356E38">
            <w:pPr>
              <w:jc w:val="center"/>
              <w:rPr>
                <w:rFonts w:cs="Arial"/>
                <w:color w:val="000000"/>
              </w:rPr>
            </w:pPr>
            <w:r w:rsidRPr="00356E38">
              <w:rPr>
                <w:rFonts w:cs="Arial"/>
                <w:color w:val="000000"/>
              </w:rPr>
              <w:t>-6%</w:t>
            </w:r>
          </w:p>
        </w:tc>
      </w:tr>
      <w:tr w:rsidR="00356E38" w:rsidRPr="00356E38" w14:paraId="0766E7A7" w14:textId="77777777" w:rsidTr="00356E38">
        <w:trPr>
          <w:trHeight w:val="320"/>
        </w:trPr>
        <w:tc>
          <w:tcPr>
            <w:tcW w:w="1568" w:type="pct"/>
            <w:tcBorders>
              <w:top w:val="nil"/>
              <w:left w:val="single" w:sz="8" w:space="0" w:color="auto"/>
              <w:bottom w:val="single" w:sz="8" w:space="0" w:color="auto"/>
              <w:right w:val="single" w:sz="8" w:space="0" w:color="auto"/>
            </w:tcBorders>
            <w:noWrap/>
            <w:vAlign w:val="center"/>
            <w:hideMark/>
          </w:tcPr>
          <w:p w14:paraId="4B54C289" w14:textId="77777777" w:rsidR="00356E38" w:rsidRPr="00356E38" w:rsidRDefault="00356E38" w:rsidP="00356E38">
            <w:pPr>
              <w:rPr>
                <w:rFonts w:cs="Arial"/>
                <w:color w:val="000000"/>
              </w:rPr>
            </w:pPr>
            <w:r w:rsidRPr="00356E38">
              <w:rPr>
                <w:rFonts w:cs="Arial"/>
                <w:color w:val="000000"/>
              </w:rPr>
              <w:t> </w:t>
            </w:r>
          </w:p>
        </w:tc>
        <w:tc>
          <w:tcPr>
            <w:tcW w:w="1067" w:type="pct"/>
            <w:tcBorders>
              <w:top w:val="nil"/>
              <w:left w:val="nil"/>
              <w:bottom w:val="single" w:sz="8" w:space="0" w:color="auto"/>
              <w:right w:val="single" w:sz="8" w:space="0" w:color="auto"/>
            </w:tcBorders>
            <w:vAlign w:val="center"/>
            <w:hideMark/>
          </w:tcPr>
          <w:p w14:paraId="0DB7E3DB" w14:textId="77777777" w:rsidR="00356E38" w:rsidRPr="00356E38" w:rsidRDefault="00356E38" w:rsidP="00356E38">
            <w:pPr>
              <w:jc w:val="center"/>
              <w:rPr>
                <w:rFonts w:cs="Arial"/>
                <w:b/>
                <w:bCs/>
                <w:color w:val="000000"/>
              </w:rPr>
            </w:pPr>
            <w:r w:rsidRPr="00356E38">
              <w:rPr>
                <w:rFonts w:cs="Arial"/>
                <w:b/>
                <w:bCs/>
                <w:color w:val="000000"/>
              </w:rPr>
              <w:t>29,440</w:t>
            </w:r>
          </w:p>
        </w:tc>
        <w:tc>
          <w:tcPr>
            <w:tcW w:w="918" w:type="pct"/>
            <w:tcBorders>
              <w:top w:val="nil"/>
              <w:left w:val="nil"/>
              <w:bottom w:val="single" w:sz="8" w:space="0" w:color="auto"/>
              <w:right w:val="single" w:sz="8" w:space="0" w:color="auto"/>
            </w:tcBorders>
            <w:vAlign w:val="center"/>
            <w:hideMark/>
          </w:tcPr>
          <w:p w14:paraId="62ACF31E" w14:textId="77777777" w:rsidR="00356E38" w:rsidRPr="00356E38" w:rsidRDefault="00356E38" w:rsidP="00356E38">
            <w:pPr>
              <w:jc w:val="center"/>
              <w:rPr>
                <w:rFonts w:cs="Arial"/>
                <w:b/>
                <w:bCs/>
                <w:color w:val="000000"/>
              </w:rPr>
            </w:pPr>
            <w:r w:rsidRPr="00356E38">
              <w:rPr>
                <w:rFonts w:cs="Arial"/>
                <w:b/>
                <w:bCs/>
                <w:color w:val="000000"/>
              </w:rPr>
              <w:t>28,943</w:t>
            </w:r>
          </w:p>
        </w:tc>
        <w:tc>
          <w:tcPr>
            <w:tcW w:w="1002" w:type="pct"/>
            <w:tcBorders>
              <w:top w:val="nil"/>
              <w:left w:val="nil"/>
              <w:bottom w:val="single" w:sz="8" w:space="0" w:color="auto"/>
              <w:right w:val="single" w:sz="8" w:space="0" w:color="auto"/>
            </w:tcBorders>
            <w:vAlign w:val="center"/>
            <w:hideMark/>
          </w:tcPr>
          <w:p w14:paraId="1FF7A655" w14:textId="77777777" w:rsidR="00356E38" w:rsidRPr="00356E38" w:rsidRDefault="00356E38" w:rsidP="00356E38">
            <w:pPr>
              <w:jc w:val="center"/>
              <w:rPr>
                <w:rFonts w:cs="Arial"/>
                <w:b/>
                <w:bCs/>
                <w:color w:val="000000"/>
              </w:rPr>
            </w:pPr>
            <w:r w:rsidRPr="00356E38">
              <w:rPr>
                <w:rFonts w:cs="Arial"/>
                <w:b/>
                <w:bCs/>
                <w:color w:val="000000"/>
              </w:rPr>
              <w:t>-497</w:t>
            </w:r>
          </w:p>
        </w:tc>
        <w:tc>
          <w:tcPr>
            <w:tcW w:w="445" w:type="pct"/>
            <w:tcBorders>
              <w:top w:val="nil"/>
              <w:left w:val="nil"/>
              <w:bottom w:val="single" w:sz="8" w:space="0" w:color="auto"/>
              <w:right w:val="single" w:sz="8" w:space="0" w:color="auto"/>
            </w:tcBorders>
            <w:noWrap/>
            <w:vAlign w:val="center"/>
            <w:hideMark/>
          </w:tcPr>
          <w:p w14:paraId="7AB4DBF3" w14:textId="77777777" w:rsidR="00356E38" w:rsidRPr="00356E38" w:rsidRDefault="00356E38" w:rsidP="00356E38">
            <w:pPr>
              <w:jc w:val="center"/>
              <w:rPr>
                <w:rFonts w:cs="Arial"/>
                <w:b/>
                <w:bCs/>
                <w:color w:val="000000"/>
              </w:rPr>
            </w:pPr>
            <w:r w:rsidRPr="00356E38">
              <w:rPr>
                <w:rFonts w:cs="Arial"/>
                <w:b/>
                <w:bCs/>
                <w:color w:val="000000"/>
              </w:rPr>
              <w:t>-2%</w:t>
            </w:r>
          </w:p>
        </w:tc>
      </w:tr>
    </w:tbl>
    <w:p w14:paraId="27D1540A" w14:textId="77777777" w:rsidR="00D92F03" w:rsidRDefault="00D92F03" w:rsidP="0070580B"/>
    <w:p w14:paraId="09E31BE9" w14:textId="77777777" w:rsidR="00F428AC" w:rsidRPr="00DF798C" w:rsidRDefault="00F428AC" w:rsidP="0070580B"/>
    <w:p w14:paraId="3A8B7CBE" w14:textId="3D9D7946" w:rsidR="0070580B" w:rsidRDefault="0070580B" w:rsidP="0070580B">
      <w:pPr>
        <w:pStyle w:val="ListParagraph"/>
        <w:numPr>
          <w:ilvl w:val="1"/>
          <w:numId w:val="26"/>
        </w:numPr>
        <w:spacing w:after="120"/>
        <w:ind w:left="709"/>
        <w:jc w:val="both"/>
        <w:rPr>
          <w:rFonts w:cs="Arial"/>
          <w:iCs/>
        </w:rPr>
      </w:pPr>
      <w:bookmarkStart w:id="0" w:name="_Hlk48735191"/>
      <w:r>
        <w:rPr>
          <w:rFonts w:cs="Arial"/>
          <w:iCs/>
        </w:rPr>
        <w:t xml:space="preserve">Schools in financial risk:  </w:t>
      </w:r>
      <w:r w:rsidRPr="0035032D">
        <w:rPr>
          <w:rFonts w:cs="Arial"/>
          <w:iCs/>
        </w:rPr>
        <w:t>1</w:t>
      </w:r>
      <w:r w:rsidR="0035032D" w:rsidRPr="0035032D">
        <w:rPr>
          <w:rFonts w:cs="Arial"/>
          <w:iCs/>
        </w:rPr>
        <w:t>9</w:t>
      </w:r>
      <w:r w:rsidRPr="0035032D">
        <w:rPr>
          <w:rFonts w:cs="Arial"/>
          <w:iCs/>
        </w:rPr>
        <w:t xml:space="preserve"> schools</w:t>
      </w:r>
      <w:r>
        <w:rPr>
          <w:rFonts w:cs="Arial"/>
          <w:iCs/>
        </w:rPr>
        <w:t xml:space="preserve"> were in a revenue deficit position at the end of 202</w:t>
      </w:r>
      <w:r w:rsidR="0032099B">
        <w:rPr>
          <w:rFonts w:cs="Arial"/>
          <w:iCs/>
        </w:rPr>
        <w:t>5</w:t>
      </w:r>
      <w:r>
        <w:rPr>
          <w:rFonts w:cs="Arial"/>
          <w:iCs/>
        </w:rPr>
        <w:t>-2</w:t>
      </w:r>
      <w:r w:rsidR="0032099B">
        <w:rPr>
          <w:rFonts w:cs="Arial"/>
          <w:iCs/>
        </w:rPr>
        <w:t>6</w:t>
      </w:r>
      <w:r>
        <w:rPr>
          <w:rFonts w:cs="Arial"/>
          <w:iCs/>
        </w:rPr>
        <w:t xml:space="preserve"> (total value of </w:t>
      </w:r>
      <w:r w:rsidRPr="002E2AF3">
        <w:rPr>
          <w:rFonts w:cs="Arial"/>
          <w:iCs/>
        </w:rPr>
        <w:t>-£</w:t>
      </w:r>
      <w:r w:rsidR="00342ACA" w:rsidRPr="002E2AF3">
        <w:rPr>
          <w:rFonts w:cs="Arial"/>
          <w:iCs/>
        </w:rPr>
        <w:t>3,</w:t>
      </w:r>
      <w:r w:rsidR="002E2AF3" w:rsidRPr="002E2AF3">
        <w:rPr>
          <w:rFonts w:cs="Arial"/>
          <w:iCs/>
        </w:rPr>
        <w:t>908</w:t>
      </w:r>
      <w:r w:rsidRPr="002E2AF3">
        <w:rPr>
          <w:rFonts w:cs="Arial"/>
          <w:iCs/>
        </w:rPr>
        <w:t>m</w:t>
      </w:r>
      <w:r>
        <w:rPr>
          <w:rFonts w:cs="Arial"/>
          <w:iCs/>
        </w:rPr>
        <w:t>.</w:t>
      </w:r>
      <w:r w:rsidR="00447927">
        <w:rPr>
          <w:rFonts w:cs="Arial"/>
          <w:iCs/>
        </w:rPr>
        <w:t xml:space="preserve"> </w:t>
      </w:r>
      <w:r w:rsidR="007D2E1E">
        <w:rPr>
          <w:rFonts w:cs="Arial"/>
          <w:iCs/>
        </w:rPr>
        <w:t>Of the 10 schools that were in deficit in 2024-25, 8 of them have reduced their deficit</w:t>
      </w:r>
      <w:r w:rsidR="00893058">
        <w:rPr>
          <w:rFonts w:cs="Arial"/>
          <w:iCs/>
        </w:rPr>
        <w:t xml:space="preserve"> balances</w:t>
      </w:r>
      <w:r>
        <w:rPr>
          <w:rFonts w:cs="Arial"/>
          <w:iCs/>
        </w:rPr>
        <w:t xml:space="preserve"> and one nursery school has closed</w:t>
      </w:r>
      <w:r w:rsidR="00805757">
        <w:rPr>
          <w:rFonts w:cs="Arial"/>
          <w:iCs/>
        </w:rPr>
        <w:t xml:space="preserve"> (Rachel Keeling)</w:t>
      </w:r>
      <w:r>
        <w:rPr>
          <w:rFonts w:cs="Arial"/>
          <w:iCs/>
        </w:rPr>
        <w:t xml:space="preserve">. </w:t>
      </w:r>
    </w:p>
    <w:p w14:paraId="71881B98" w14:textId="77777777" w:rsidR="00DF798C" w:rsidRPr="0024060F" w:rsidRDefault="00DF798C" w:rsidP="0070580B">
      <w:pPr>
        <w:spacing w:after="120"/>
        <w:ind w:left="709"/>
        <w:jc w:val="both"/>
        <w:rPr>
          <w:iCs/>
        </w:rPr>
      </w:pPr>
    </w:p>
    <w:p w14:paraId="128C8907" w14:textId="386A6BD1" w:rsidR="0070580B" w:rsidRDefault="0070580B" w:rsidP="0070580B">
      <w:pPr>
        <w:pStyle w:val="ListParagraph"/>
        <w:numPr>
          <w:ilvl w:val="1"/>
          <w:numId w:val="26"/>
        </w:numPr>
        <w:spacing w:after="120"/>
        <w:ind w:left="709"/>
        <w:jc w:val="both"/>
        <w:rPr>
          <w:rFonts w:cs="Arial"/>
          <w:iCs/>
        </w:rPr>
      </w:pPr>
      <w:r>
        <w:rPr>
          <w:rFonts w:cs="Arial"/>
          <w:iCs/>
        </w:rPr>
        <w:t xml:space="preserve">A total of </w:t>
      </w:r>
      <w:r w:rsidR="004E3F58">
        <w:rPr>
          <w:rFonts w:cs="Arial"/>
          <w:iCs/>
        </w:rPr>
        <w:t>16</w:t>
      </w:r>
      <w:r w:rsidR="002A47A1">
        <w:rPr>
          <w:rFonts w:cs="Arial"/>
          <w:iCs/>
        </w:rPr>
        <w:t xml:space="preserve"> (23 in 2024-25)</w:t>
      </w:r>
      <w:r>
        <w:rPr>
          <w:rFonts w:cs="Arial"/>
          <w:iCs/>
        </w:rPr>
        <w:t xml:space="preserve"> schools </w:t>
      </w:r>
      <w:proofErr w:type="gramStart"/>
      <w:r>
        <w:rPr>
          <w:rFonts w:cs="Arial"/>
          <w:iCs/>
        </w:rPr>
        <w:t>have</w:t>
      </w:r>
      <w:proofErr w:type="gramEnd"/>
      <w:r>
        <w:rPr>
          <w:rFonts w:cs="Arial"/>
          <w:iCs/>
        </w:rPr>
        <w:t xml:space="preserve"> a surplus balance of over </w:t>
      </w:r>
      <w:r w:rsidRPr="002A47A1">
        <w:rPr>
          <w:rFonts w:cs="Arial"/>
          <w:iCs/>
        </w:rPr>
        <w:t>12%</w:t>
      </w:r>
      <w:r>
        <w:rPr>
          <w:rFonts w:cs="Arial"/>
          <w:iCs/>
        </w:rPr>
        <w:t xml:space="preserve"> of the total income available, </w:t>
      </w:r>
      <w:r w:rsidR="00B1696F">
        <w:rPr>
          <w:rFonts w:cs="Arial"/>
          <w:iCs/>
        </w:rPr>
        <w:t>27 (35 in 2024-25)</w:t>
      </w:r>
      <w:r>
        <w:rPr>
          <w:rFonts w:cs="Arial"/>
          <w:iCs/>
        </w:rPr>
        <w:t xml:space="preserve"> pass the </w:t>
      </w:r>
      <w:r w:rsidRPr="00B1696F">
        <w:rPr>
          <w:rFonts w:cs="Arial"/>
          <w:iCs/>
        </w:rPr>
        <w:t>8%</w:t>
      </w:r>
      <w:r>
        <w:rPr>
          <w:rFonts w:cs="Arial"/>
          <w:iCs/>
        </w:rPr>
        <w:t xml:space="preserve"> threshold and </w:t>
      </w:r>
      <w:r w:rsidR="008D4FF0" w:rsidRPr="0072163C">
        <w:rPr>
          <w:rFonts w:cs="Arial"/>
          <w:iCs/>
        </w:rPr>
        <w:t>35 (43 in 2024-25</w:t>
      </w:r>
      <w:r w:rsidR="0072163C" w:rsidRPr="0072163C">
        <w:rPr>
          <w:rFonts w:cs="Arial"/>
          <w:iCs/>
        </w:rPr>
        <w:t>)</w:t>
      </w:r>
      <w:r w:rsidRPr="0072163C">
        <w:rPr>
          <w:rFonts w:cs="Arial"/>
          <w:iCs/>
        </w:rPr>
        <w:t xml:space="preserve"> the 5%</w:t>
      </w:r>
      <w:r>
        <w:rPr>
          <w:rFonts w:cs="Arial"/>
          <w:iCs/>
        </w:rPr>
        <w:t xml:space="preserve"> threshold.</w:t>
      </w:r>
    </w:p>
    <w:p w14:paraId="055391B1" w14:textId="77777777" w:rsidR="00DF798C" w:rsidRDefault="00DF798C" w:rsidP="00DF798C">
      <w:pPr>
        <w:pStyle w:val="ListParagraph"/>
        <w:spacing w:after="120"/>
        <w:ind w:left="709"/>
        <w:jc w:val="both"/>
        <w:rPr>
          <w:rFonts w:cs="Arial"/>
          <w:iCs/>
        </w:rPr>
      </w:pPr>
    </w:p>
    <w:p w14:paraId="34718E76" w14:textId="77777777" w:rsidR="0070580B" w:rsidRPr="009E5855" w:rsidRDefault="0070580B" w:rsidP="0070580B">
      <w:pPr>
        <w:pStyle w:val="ListParagraph"/>
        <w:spacing w:after="120"/>
        <w:ind w:left="709"/>
        <w:jc w:val="both"/>
        <w:rPr>
          <w:rFonts w:cs="Arial"/>
          <w:iCs/>
        </w:rPr>
      </w:pPr>
    </w:p>
    <w:p w14:paraId="1C51C479" w14:textId="3EFCAB06" w:rsidR="00652E8A" w:rsidRDefault="0070580B" w:rsidP="00476A3C">
      <w:pPr>
        <w:pStyle w:val="ListParagraph"/>
        <w:numPr>
          <w:ilvl w:val="1"/>
          <w:numId w:val="26"/>
        </w:numPr>
        <w:spacing w:after="120"/>
        <w:ind w:left="709"/>
        <w:jc w:val="both"/>
        <w:rPr>
          <w:rFonts w:cs="Arial"/>
          <w:color w:val="000000"/>
        </w:rPr>
      </w:pPr>
      <w:r>
        <w:rPr>
          <w:rFonts w:cs="Arial"/>
          <w:color w:val="000000"/>
        </w:rPr>
        <w:lastRenderedPageBreak/>
        <w:t>Schools will be expected to upload the CFR reports to the government site by the end of June, this will then form part of the national benchmarking programme available to schools</w:t>
      </w:r>
      <w:r w:rsidR="00476A3C">
        <w:rPr>
          <w:rFonts w:cs="Arial"/>
          <w:color w:val="000000"/>
        </w:rPr>
        <w:t>.</w:t>
      </w:r>
    </w:p>
    <w:p w14:paraId="7642A5E9" w14:textId="77777777" w:rsidR="00B9353B" w:rsidRDefault="00B9353B" w:rsidP="00894B4D">
      <w:pPr>
        <w:pStyle w:val="ListParagraph"/>
        <w:spacing w:after="120"/>
        <w:ind w:left="709"/>
        <w:jc w:val="both"/>
        <w:rPr>
          <w:rFonts w:cs="Arial"/>
          <w:color w:val="000000"/>
        </w:rPr>
      </w:pPr>
    </w:p>
    <w:p w14:paraId="09E35A62" w14:textId="075B4E91" w:rsidR="00476A3C" w:rsidRPr="004F409A" w:rsidRDefault="00B9353B" w:rsidP="00894B4D">
      <w:pPr>
        <w:pStyle w:val="ListParagraph"/>
        <w:numPr>
          <w:ilvl w:val="0"/>
          <w:numId w:val="26"/>
        </w:numPr>
        <w:spacing w:after="120"/>
        <w:ind w:left="709" w:hanging="709"/>
        <w:jc w:val="both"/>
        <w:rPr>
          <w:rFonts w:cs="Arial"/>
          <w:b/>
          <w:bCs/>
          <w:color w:val="000000"/>
        </w:rPr>
      </w:pPr>
      <w:r w:rsidRPr="00894B4D">
        <w:rPr>
          <w:rFonts w:cs="Arial"/>
          <w:b/>
          <w:bCs/>
          <w:color w:val="000000"/>
        </w:rPr>
        <w:t>Dedicated Schools Grant (DSG) Overview</w:t>
      </w:r>
    </w:p>
    <w:p w14:paraId="29716308" w14:textId="77777777" w:rsidR="004F409A" w:rsidRPr="00050213" w:rsidRDefault="004F409A" w:rsidP="004F409A">
      <w:pPr>
        <w:pStyle w:val="ListParagraph"/>
        <w:spacing w:after="120"/>
        <w:ind w:left="709"/>
        <w:jc w:val="both"/>
        <w:rPr>
          <w:rFonts w:cs="Arial"/>
          <w:b/>
          <w:bCs/>
          <w:color w:val="000000"/>
        </w:rPr>
      </w:pPr>
    </w:p>
    <w:p w14:paraId="33315F5A" w14:textId="72C9F3EB" w:rsidR="004F409A" w:rsidRPr="00CC3A17" w:rsidRDefault="004F409A" w:rsidP="004F409A">
      <w:pPr>
        <w:pStyle w:val="ListParagraph"/>
        <w:numPr>
          <w:ilvl w:val="1"/>
          <w:numId w:val="26"/>
        </w:numPr>
        <w:ind w:left="709" w:hanging="709"/>
        <w:jc w:val="both"/>
      </w:pPr>
      <w:r w:rsidRPr="00CC3A17">
        <w:t>The Dedicated Schools Grant (DSG) is distributed by the Department for Education (DfE) on a national formulaic basis.</w:t>
      </w:r>
      <w:r w:rsidRPr="004E2057">
        <w:rPr>
          <w:rFonts w:ascii="ArialMT" w:hAnsi="ArialMT" w:cs="ArialMT"/>
        </w:rPr>
        <w:t xml:space="preserve"> </w:t>
      </w:r>
      <w:r w:rsidRPr="00CC3A17">
        <w:t>Th</w:t>
      </w:r>
      <w:r>
        <w:t>is specific grant is</w:t>
      </w:r>
      <w:r w:rsidRPr="00CC3A17">
        <w:t xml:space="preserve"> allocated to local authorities in four blocks: Schools Block (SB), Early Years Block (EYB), High Needs Block (HNB) and the Central Schools Services Block (CSSB).</w:t>
      </w:r>
    </w:p>
    <w:p w14:paraId="0823D02C" w14:textId="77777777" w:rsidR="004F409A" w:rsidRPr="00CC3A17" w:rsidRDefault="004F409A" w:rsidP="004F409A">
      <w:pPr>
        <w:pStyle w:val="ListParagraph"/>
        <w:ind w:left="567"/>
        <w:jc w:val="both"/>
      </w:pPr>
    </w:p>
    <w:p w14:paraId="60F5DE9B" w14:textId="77777777" w:rsidR="004F409A" w:rsidRDefault="004F409A" w:rsidP="004F409A">
      <w:pPr>
        <w:pStyle w:val="ListParagraph"/>
        <w:numPr>
          <w:ilvl w:val="1"/>
          <w:numId w:val="26"/>
        </w:numPr>
        <w:ind w:left="709" w:hanging="709"/>
        <w:jc w:val="both"/>
      </w:pPr>
      <w:r>
        <w:t>T</w:t>
      </w:r>
      <w:r w:rsidRPr="00CC3A17">
        <w:t xml:space="preserve">he outturn position </w:t>
      </w:r>
      <w:r>
        <w:t>is</w:t>
      </w:r>
      <w:r w:rsidRPr="00CC3A17">
        <w:t xml:space="preserve"> shown after deductions have been made for direct payments to academies</w:t>
      </w:r>
      <w:r>
        <w:t>, and no prior year balances are included.</w:t>
      </w:r>
    </w:p>
    <w:p w14:paraId="5369CA1B" w14:textId="77777777" w:rsidR="004F409A" w:rsidRPr="00B03668" w:rsidRDefault="004F409A" w:rsidP="004F409A">
      <w:pPr>
        <w:pStyle w:val="ListParagraph"/>
        <w:ind w:left="567"/>
        <w:jc w:val="both"/>
      </w:pPr>
    </w:p>
    <w:p w14:paraId="1C7B59EF" w14:textId="770E0660" w:rsidR="004F409A" w:rsidRDefault="004F409A" w:rsidP="004F409A">
      <w:pPr>
        <w:pStyle w:val="ListParagraph"/>
        <w:numPr>
          <w:ilvl w:val="1"/>
          <w:numId w:val="26"/>
        </w:numPr>
        <w:ind w:left="709" w:hanging="709"/>
        <w:jc w:val="both"/>
      </w:pPr>
      <w:r>
        <w:t>The year-end DSG position excludes all the school balances carried forward from previous years.  It reconciles to the annual allocation.  This will be reported back to the DfE in the Section 151 Outturn Statement and feature in the Boroughs Note to the Accounts.</w:t>
      </w:r>
    </w:p>
    <w:p w14:paraId="4335DD6C" w14:textId="77777777" w:rsidR="004F409A" w:rsidRDefault="004F409A" w:rsidP="004F409A">
      <w:pPr>
        <w:pStyle w:val="ListParagraph"/>
      </w:pPr>
    </w:p>
    <w:p w14:paraId="047C4989" w14:textId="30A00DFA" w:rsidR="004F409A" w:rsidRDefault="004F409A" w:rsidP="004F409A">
      <w:pPr>
        <w:ind w:left="1276" w:hanging="1276"/>
        <w:rPr>
          <w:b/>
        </w:rPr>
      </w:pPr>
      <w:r w:rsidRPr="00F32C7A">
        <w:rPr>
          <w:b/>
        </w:rPr>
        <w:t xml:space="preserve">Table </w:t>
      </w:r>
      <w:r w:rsidR="00724CE3">
        <w:rPr>
          <w:b/>
        </w:rPr>
        <w:t>2</w:t>
      </w:r>
      <w:r w:rsidRPr="00F32C7A">
        <w:rPr>
          <w:b/>
        </w:rPr>
        <w:t>:</w:t>
      </w:r>
      <w:r w:rsidRPr="00F32C7A">
        <w:rPr>
          <w:b/>
        </w:rPr>
        <w:tab/>
        <w:t xml:space="preserve">DSG Budgets, Expenditure and </w:t>
      </w:r>
      <w:r w:rsidR="00796A3F">
        <w:rPr>
          <w:b/>
          <w:color w:val="000000" w:themeColor="text1"/>
        </w:rPr>
        <w:t>Ov</w:t>
      </w:r>
      <w:r w:rsidRPr="004A2A6E">
        <w:rPr>
          <w:b/>
          <w:color w:val="000000" w:themeColor="text1"/>
        </w:rPr>
        <w:t>er</w:t>
      </w:r>
      <w:r w:rsidRPr="00F32C7A">
        <w:rPr>
          <w:b/>
        </w:rPr>
        <w:t>/</w:t>
      </w:r>
      <w:r>
        <w:rPr>
          <w:b/>
        </w:rPr>
        <w:t xml:space="preserve"> </w:t>
      </w:r>
      <w:r w:rsidRPr="004A2A6E">
        <w:rPr>
          <w:b/>
          <w:color w:val="EE0000"/>
        </w:rPr>
        <w:t>(</w:t>
      </w:r>
      <w:r w:rsidR="00796A3F">
        <w:rPr>
          <w:b/>
          <w:color w:val="EE0000"/>
        </w:rPr>
        <w:t>Und</w:t>
      </w:r>
      <w:r w:rsidRPr="004A2A6E">
        <w:rPr>
          <w:b/>
          <w:color w:val="EE0000"/>
        </w:rPr>
        <w:t>erspends)</w:t>
      </w:r>
      <w:r w:rsidRPr="00F32C7A">
        <w:rPr>
          <w:b/>
        </w:rPr>
        <w:t xml:space="preserve"> </w:t>
      </w:r>
      <w:r>
        <w:rPr>
          <w:b/>
        </w:rPr>
        <w:t>per funding block</w:t>
      </w:r>
      <w:r w:rsidRPr="00F32C7A">
        <w:rPr>
          <w:b/>
        </w:rPr>
        <w:t>.</w:t>
      </w:r>
    </w:p>
    <w:p w14:paraId="060782D6" w14:textId="77777777" w:rsidR="006E1418" w:rsidRDefault="006E1418" w:rsidP="004F409A">
      <w:pPr>
        <w:ind w:left="1276" w:hanging="1276"/>
        <w:rPr>
          <w:b/>
        </w:rPr>
      </w:pPr>
    </w:p>
    <w:tbl>
      <w:tblPr>
        <w:tblW w:w="5000" w:type="pct"/>
        <w:tblLook w:val="04A0" w:firstRow="1" w:lastRow="0" w:firstColumn="1" w:lastColumn="0" w:noHBand="0" w:noVBand="1"/>
      </w:tblPr>
      <w:tblGrid>
        <w:gridCol w:w="4378"/>
        <w:gridCol w:w="1658"/>
        <w:gridCol w:w="2045"/>
        <w:gridCol w:w="1255"/>
      </w:tblGrid>
      <w:tr w:rsidR="006450BB" w:rsidRPr="006450BB" w14:paraId="46AB3565" w14:textId="77777777" w:rsidTr="006450BB">
        <w:trPr>
          <w:trHeight w:val="560"/>
        </w:trPr>
        <w:tc>
          <w:tcPr>
            <w:tcW w:w="2345" w:type="pct"/>
            <w:vMerge w:val="restart"/>
            <w:tcBorders>
              <w:top w:val="single" w:sz="8" w:space="0" w:color="auto"/>
              <w:left w:val="single" w:sz="8" w:space="0" w:color="auto"/>
              <w:bottom w:val="single" w:sz="8" w:space="0" w:color="000000"/>
              <w:right w:val="single" w:sz="8" w:space="0" w:color="000000"/>
            </w:tcBorders>
            <w:shd w:val="clear" w:color="000000" w:fill="D9E1F2"/>
            <w:vAlign w:val="center"/>
            <w:hideMark/>
          </w:tcPr>
          <w:p w14:paraId="2AE6AD4B" w14:textId="77777777" w:rsidR="006450BB" w:rsidRPr="006450BB" w:rsidRDefault="006450BB" w:rsidP="006450BB">
            <w:pPr>
              <w:rPr>
                <w:rFonts w:cs="Arial"/>
                <w:b/>
                <w:bCs/>
                <w:color w:val="000000"/>
                <w:sz w:val="22"/>
                <w:szCs w:val="22"/>
              </w:rPr>
            </w:pPr>
            <w:r w:rsidRPr="006450BB">
              <w:rPr>
                <w:rFonts w:cs="Arial"/>
                <w:b/>
                <w:bCs/>
                <w:sz w:val="22"/>
                <w:szCs w:val="22"/>
              </w:rPr>
              <w:t>Block</w:t>
            </w:r>
          </w:p>
        </w:tc>
        <w:tc>
          <w:tcPr>
            <w:tcW w:w="888" w:type="pct"/>
            <w:tcBorders>
              <w:top w:val="single" w:sz="8" w:space="0" w:color="auto"/>
              <w:left w:val="nil"/>
              <w:bottom w:val="nil"/>
              <w:right w:val="single" w:sz="8" w:space="0" w:color="auto"/>
            </w:tcBorders>
            <w:shd w:val="clear" w:color="000000" w:fill="D9E1F2"/>
            <w:vAlign w:val="center"/>
            <w:hideMark/>
          </w:tcPr>
          <w:p w14:paraId="6E92E7C4" w14:textId="77777777" w:rsidR="006450BB" w:rsidRPr="006450BB" w:rsidRDefault="006450BB" w:rsidP="006450BB">
            <w:pPr>
              <w:jc w:val="center"/>
              <w:rPr>
                <w:rFonts w:cs="Arial"/>
                <w:b/>
                <w:bCs/>
                <w:color w:val="000000"/>
                <w:sz w:val="22"/>
                <w:szCs w:val="22"/>
              </w:rPr>
            </w:pPr>
            <w:r w:rsidRPr="006450BB">
              <w:rPr>
                <w:rFonts w:cs="Arial"/>
                <w:b/>
                <w:bCs/>
                <w:sz w:val="22"/>
                <w:szCs w:val="22"/>
              </w:rPr>
              <w:t>Allocated DSG funding</w:t>
            </w:r>
          </w:p>
        </w:tc>
        <w:tc>
          <w:tcPr>
            <w:tcW w:w="1095" w:type="pct"/>
            <w:tcBorders>
              <w:top w:val="single" w:sz="8" w:space="0" w:color="auto"/>
              <w:left w:val="nil"/>
              <w:bottom w:val="nil"/>
              <w:right w:val="single" w:sz="8" w:space="0" w:color="auto"/>
            </w:tcBorders>
            <w:shd w:val="clear" w:color="000000" w:fill="D9E1F2"/>
            <w:vAlign w:val="center"/>
            <w:hideMark/>
          </w:tcPr>
          <w:p w14:paraId="14D23C06" w14:textId="77777777" w:rsidR="006450BB" w:rsidRPr="006450BB" w:rsidRDefault="006450BB" w:rsidP="006450BB">
            <w:pPr>
              <w:jc w:val="center"/>
              <w:rPr>
                <w:rFonts w:cs="Arial"/>
                <w:b/>
                <w:bCs/>
                <w:color w:val="000000"/>
                <w:sz w:val="22"/>
                <w:szCs w:val="22"/>
              </w:rPr>
            </w:pPr>
            <w:r w:rsidRPr="006450BB">
              <w:rPr>
                <w:rFonts w:cs="Arial"/>
                <w:b/>
                <w:bCs/>
                <w:sz w:val="22"/>
                <w:szCs w:val="22"/>
              </w:rPr>
              <w:t>Expenditure</w:t>
            </w:r>
          </w:p>
        </w:tc>
        <w:tc>
          <w:tcPr>
            <w:tcW w:w="672" w:type="pct"/>
            <w:tcBorders>
              <w:top w:val="single" w:sz="8" w:space="0" w:color="auto"/>
              <w:left w:val="nil"/>
              <w:bottom w:val="nil"/>
              <w:right w:val="single" w:sz="8" w:space="0" w:color="auto"/>
            </w:tcBorders>
            <w:shd w:val="clear" w:color="000000" w:fill="D9E1F2"/>
            <w:vAlign w:val="center"/>
            <w:hideMark/>
          </w:tcPr>
          <w:p w14:paraId="6055625B" w14:textId="77777777" w:rsidR="006450BB" w:rsidRPr="006450BB" w:rsidRDefault="006450BB" w:rsidP="006450BB">
            <w:pPr>
              <w:jc w:val="center"/>
              <w:rPr>
                <w:rFonts w:cs="Arial"/>
                <w:b/>
                <w:bCs/>
                <w:color w:val="000000"/>
                <w:sz w:val="22"/>
                <w:szCs w:val="22"/>
              </w:rPr>
            </w:pPr>
            <w:r w:rsidRPr="006450BB">
              <w:rPr>
                <w:rFonts w:cs="Arial"/>
                <w:b/>
                <w:bCs/>
                <w:sz w:val="22"/>
                <w:szCs w:val="22"/>
              </w:rPr>
              <w:t>Net</w:t>
            </w:r>
          </w:p>
        </w:tc>
      </w:tr>
      <w:tr w:rsidR="006450BB" w:rsidRPr="006450BB" w14:paraId="7F796EDA" w14:textId="77777777" w:rsidTr="006450BB">
        <w:trPr>
          <w:trHeight w:val="290"/>
        </w:trPr>
        <w:tc>
          <w:tcPr>
            <w:tcW w:w="2345" w:type="pct"/>
            <w:vMerge/>
            <w:tcBorders>
              <w:top w:val="single" w:sz="8" w:space="0" w:color="auto"/>
              <w:left w:val="single" w:sz="8" w:space="0" w:color="auto"/>
              <w:bottom w:val="single" w:sz="8" w:space="0" w:color="000000"/>
              <w:right w:val="single" w:sz="8" w:space="0" w:color="000000"/>
            </w:tcBorders>
            <w:vAlign w:val="center"/>
            <w:hideMark/>
          </w:tcPr>
          <w:p w14:paraId="312C3298" w14:textId="77777777" w:rsidR="006450BB" w:rsidRPr="006450BB" w:rsidRDefault="006450BB" w:rsidP="006450BB">
            <w:pPr>
              <w:rPr>
                <w:rFonts w:cs="Arial"/>
                <w:b/>
                <w:bCs/>
                <w:color w:val="000000"/>
                <w:sz w:val="22"/>
                <w:szCs w:val="22"/>
              </w:rPr>
            </w:pPr>
          </w:p>
        </w:tc>
        <w:tc>
          <w:tcPr>
            <w:tcW w:w="888" w:type="pct"/>
            <w:tcBorders>
              <w:top w:val="nil"/>
              <w:left w:val="nil"/>
              <w:bottom w:val="single" w:sz="8" w:space="0" w:color="auto"/>
              <w:right w:val="single" w:sz="8" w:space="0" w:color="auto"/>
            </w:tcBorders>
            <w:shd w:val="clear" w:color="000000" w:fill="D9E1F2"/>
            <w:vAlign w:val="center"/>
            <w:hideMark/>
          </w:tcPr>
          <w:p w14:paraId="079DAEF7" w14:textId="6F573002" w:rsidR="006450BB" w:rsidRPr="006450BB" w:rsidRDefault="006450BB" w:rsidP="006450BB">
            <w:pPr>
              <w:jc w:val="center"/>
              <w:rPr>
                <w:rFonts w:cs="Arial"/>
                <w:b/>
                <w:bCs/>
                <w:color w:val="000000"/>
                <w:sz w:val="22"/>
                <w:szCs w:val="22"/>
              </w:rPr>
            </w:pPr>
            <w:r w:rsidRPr="006450BB">
              <w:rPr>
                <w:rFonts w:cs="Arial"/>
                <w:b/>
                <w:bCs/>
                <w:color w:val="000000"/>
                <w:sz w:val="22"/>
                <w:szCs w:val="22"/>
              </w:rPr>
              <w:t>£0</w:t>
            </w:r>
            <w:r w:rsidR="00632340">
              <w:rPr>
                <w:rFonts w:cs="Arial"/>
                <w:b/>
                <w:bCs/>
                <w:color w:val="000000"/>
                <w:sz w:val="22"/>
                <w:szCs w:val="22"/>
              </w:rPr>
              <w:t>00</w:t>
            </w:r>
          </w:p>
        </w:tc>
        <w:tc>
          <w:tcPr>
            <w:tcW w:w="1095" w:type="pct"/>
            <w:tcBorders>
              <w:top w:val="nil"/>
              <w:left w:val="nil"/>
              <w:bottom w:val="single" w:sz="8" w:space="0" w:color="auto"/>
              <w:right w:val="single" w:sz="8" w:space="0" w:color="auto"/>
            </w:tcBorders>
            <w:shd w:val="clear" w:color="000000" w:fill="D9E1F2"/>
            <w:vAlign w:val="center"/>
            <w:hideMark/>
          </w:tcPr>
          <w:p w14:paraId="474DE09E" w14:textId="7DAE3C31" w:rsidR="006450BB" w:rsidRPr="006450BB" w:rsidRDefault="006450BB" w:rsidP="006450BB">
            <w:pPr>
              <w:jc w:val="center"/>
              <w:rPr>
                <w:rFonts w:cs="Arial"/>
                <w:b/>
                <w:bCs/>
                <w:color w:val="000000"/>
                <w:sz w:val="22"/>
                <w:szCs w:val="22"/>
              </w:rPr>
            </w:pPr>
            <w:r w:rsidRPr="006450BB">
              <w:rPr>
                <w:rFonts w:cs="Arial"/>
                <w:b/>
                <w:bCs/>
                <w:color w:val="000000"/>
                <w:sz w:val="22"/>
                <w:szCs w:val="22"/>
              </w:rPr>
              <w:t>£0</w:t>
            </w:r>
            <w:r w:rsidR="00632340">
              <w:rPr>
                <w:rFonts w:cs="Arial"/>
                <w:b/>
                <w:bCs/>
                <w:color w:val="000000"/>
                <w:sz w:val="22"/>
                <w:szCs w:val="22"/>
              </w:rPr>
              <w:t>00</w:t>
            </w:r>
          </w:p>
        </w:tc>
        <w:tc>
          <w:tcPr>
            <w:tcW w:w="672" w:type="pct"/>
            <w:tcBorders>
              <w:top w:val="nil"/>
              <w:left w:val="nil"/>
              <w:bottom w:val="single" w:sz="8" w:space="0" w:color="auto"/>
              <w:right w:val="single" w:sz="8" w:space="0" w:color="auto"/>
            </w:tcBorders>
            <w:shd w:val="clear" w:color="000000" w:fill="D9E1F2"/>
            <w:vAlign w:val="center"/>
            <w:hideMark/>
          </w:tcPr>
          <w:p w14:paraId="11AEF1A8" w14:textId="0CA53494" w:rsidR="006450BB" w:rsidRPr="006450BB" w:rsidRDefault="006450BB" w:rsidP="006450BB">
            <w:pPr>
              <w:jc w:val="center"/>
              <w:rPr>
                <w:rFonts w:cs="Arial"/>
                <w:b/>
                <w:bCs/>
                <w:color w:val="000000"/>
                <w:sz w:val="22"/>
                <w:szCs w:val="22"/>
              </w:rPr>
            </w:pPr>
            <w:r w:rsidRPr="006450BB">
              <w:rPr>
                <w:rFonts w:cs="Arial"/>
                <w:b/>
                <w:bCs/>
                <w:color w:val="000000"/>
                <w:sz w:val="22"/>
                <w:szCs w:val="22"/>
              </w:rPr>
              <w:t>£0</w:t>
            </w:r>
            <w:r w:rsidR="00632340">
              <w:rPr>
                <w:rFonts w:cs="Arial"/>
                <w:b/>
                <w:bCs/>
                <w:color w:val="000000"/>
                <w:sz w:val="22"/>
                <w:szCs w:val="22"/>
              </w:rPr>
              <w:t>00</w:t>
            </w:r>
          </w:p>
        </w:tc>
      </w:tr>
      <w:tr w:rsidR="006450BB" w:rsidRPr="006450BB" w14:paraId="0304EC91" w14:textId="77777777" w:rsidTr="006450BB">
        <w:trPr>
          <w:trHeight w:val="290"/>
        </w:trPr>
        <w:tc>
          <w:tcPr>
            <w:tcW w:w="2345" w:type="pct"/>
            <w:tcBorders>
              <w:top w:val="nil"/>
              <w:left w:val="single" w:sz="8" w:space="0" w:color="auto"/>
              <w:bottom w:val="single" w:sz="8" w:space="0" w:color="auto"/>
              <w:right w:val="single" w:sz="8" w:space="0" w:color="auto"/>
            </w:tcBorders>
            <w:noWrap/>
            <w:vAlign w:val="center"/>
            <w:hideMark/>
          </w:tcPr>
          <w:p w14:paraId="709EA391" w14:textId="77777777" w:rsidR="006450BB" w:rsidRPr="006450BB" w:rsidRDefault="006450BB" w:rsidP="006450BB">
            <w:pPr>
              <w:rPr>
                <w:rFonts w:cs="Arial"/>
                <w:b/>
                <w:bCs/>
                <w:color w:val="000000"/>
                <w:sz w:val="22"/>
                <w:szCs w:val="22"/>
              </w:rPr>
            </w:pPr>
            <w:r w:rsidRPr="006450BB">
              <w:rPr>
                <w:rFonts w:cs="Arial"/>
                <w:b/>
                <w:bCs/>
                <w:color w:val="000000"/>
                <w:sz w:val="22"/>
                <w:szCs w:val="22"/>
              </w:rPr>
              <w:t xml:space="preserve"> Schools block </w:t>
            </w:r>
          </w:p>
        </w:tc>
        <w:tc>
          <w:tcPr>
            <w:tcW w:w="888" w:type="pct"/>
            <w:tcBorders>
              <w:top w:val="nil"/>
              <w:left w:val="nil"/>
              <w:bottom w:val="single" w:sz="8" w:space="0" w:color="auto"/>
              <w:right w:val="single" w:sz="8" w:space="0" w:color="auto"/>
            </w:tcBorders>
            <w:noWrap/>
            <w:vAlign w:val="center"/>
            <w:hideMark/>
          </w:tcPr>
          <w:p w14:paraId="10F5F3FB" w14:textId="77777777" w:rsidR="006450BB" w:rsidRPr="006450BB" w:rsidRDefault="006450BB" w:rsidP="006450BB">
            <w:pPr>
              <w:jc w:val="center"/>
              <w:rPr>
                <w:rFonts w:cs="Arial"/>
                <w:sz w:val="22"/>
                <w:szCs w:val="22"/>
              </w:rPr>
            </w:pPr>
            <w:r w:rsidRPr="006450BB">
              <w:rPr>
                <w:rFonts w:cs="Arial"/>
                <w:sz w:val="22"/>
                <w:szCs w:val="22"/>
              </w:rPr>
              <w:t xml:space="preserve">205,603 </w:t>
            </w:r>
          </w:p>
        </w:tc>
        <w:tc>
          <w:tcPr>
            <w:tcW w:w="1095" w:type="pct"/>
            <w:tcBorders>
              <w:top w:val="nil"/>
              <w:left w:val="nil"/>
              <w:bottom w:val="single" w:sz="8" w:space="0" w:color="auto"/>
              <w:right w:val="single" w:sz="8" w:space="0" w:color="auto"/>
            </w:tcBorders>
            <w:noWrap/>
            <w:vAlign w:val="center"/>
            <w:hideMark/>
          </w:tcPr>
          <w:p w14:paraId="469D92DD" w14:textId="77777777" w:rsidR="006450BB" w:rsidRPr="006450BB" w:rsidRDefault="006450BB" w:rsidP="006450BB">
            <w:pPr>
              <w:jc w:val="center"/>
              <w:rPr>
                <w:rFonts w:cs="Arial"/>
                <w:sz w:val="22"/>
                <w:szCs w:val="22"/>
              </w:rPr>
            </w:pPr>
            <w:r w:rsidRPr="006450BB">
              <w:rPr>
                <w:rFonts w:cs="Arial"/>
                <w:sz w:val="22"/>
                <w:szCs w:val="22"/>
              </w:rPr>
              <w:t xml:space="preserve">203,357 </w:t>
            </w:r>
          </w:p>
        </w:tc>
        <w:tc>
          <w:tcPr>
            <w:tcW w:w="672" w:type="pct"/>
            <w:tcBorders>
              <w:top w:val="nil"/>
              <w:left w:val="nil"/>
              <w:bottom w:val="single" w:sz="8" w:space="0" w:color="auto"/>
              <w:right w:val="single" w:sz="8" w:space="0" w:color="auto"/>
            </w:tcBorders>
            <w:vAlign w:val="center"/>
            <w:hideMark/>
          </w:tcPr>
          <w:p w14:paraId="26180858" w14:textId="77777777" w:rsidR="006450BB" w:rsidRPr="006450BB" w:rsidRDefault="006450BB" w:rsidP="006450BB">
            <w:pPr>
              <w:jc w:val="center"/>
              <w:rPr>
                <w:rFonts w:cs="Arial"/>
                <w:sz w:val="22"/>
                <w:szCs w:val="22"/>
              </w:rPr>
            </w:pPr>
            <w:r w:rsidRPr="00447927">
              <w:rPr>
                <w:rFonts w:cs="Arial"/>
                <w:color w:val="A20000"/>
                <w:sz w:val="22"/>
                <w:szCs w:val="22"/>
              </w:rPr>
              <w:t xml:space="preserve">(2,246) </w:t>
            </w:r>
          </w:p>
        </w:tc>
      </w:tr>
      <w:tr w:rsidR="006450BB" w:rsidRPr="006450BB" w14:paraId="26B086A0" w14:textId="77777777" w:rsidTr="006450BB">
        <w:trPr>
          <w:trHeight w:val="290"/>
        </w:trPr>
        <w:tc>
          <w:tcPr>
            <w:tcW w:w="2345" w:type="pct"/>
            <w:tcBorders>
              <w:top w:val="nil"/>
              <w:left w:val="single" w:sz="8" w:space="0" w:color="auto"/>
              <w:bottom w:val="single" w:sz="8" w:space="0" w:color="auto"/>
              <w:right w:val="single" w:sz="8" w:space="0" w:color="auto"/>
            </w:tcBorders>
            <w:noWrap/>
            <w:vAlign w:val="center"/>
            <w:hideMark/>
          </w:tcPr>
          <w:p w14:paraId="6EF42CEC" w14:textId="77777777" w:rsidR="006450BB" w:rsidRPr="006450BB" w:rsidRDefault="006450BB" w:rsidP="006450BB">
            <w:pPr>
              <w:rPr>
                <w:rFonts w:cs="Arial"/>
                <w:b/>
                <w:bCs/>
                <w:color w:val="000000"/>
                <w:sz w:val="22"/>
                <w:szCs w:val="22"/>
              </w:rPr>
            </w:pPr>
            <w:r w:rsidRPr="006450BB">
              <w:rPr>
                <w:rFonts w:cs="Arial"/>
                <w:b/>
                <w:bCs/>
                <w:color w:val="000000"/>
                <w:sz w:val="22"/>
                <w:szCs w:val="22"/>
              </w:rPr>
              <w:t xml:space="preserve"> Central school services block </w:t>
            </w:r>
          </w:p>
        </w:tc>
        <w:tc>
          <w:tcPr>
            <w:tcW w:w="888" w:type="pct"/>
            <w:tcBorders>
              <w:top w:val="nil"/>
              <w:left w:val="nil"/>
              <w:bottom w:val="single" w:sz="8" w:space="0" w:color="auto"/>
              <w:right w:val="single" w:sz="8" w:space="0" w:color="auto"/>
            </w:tcBorders>
            <w:noWrap/>
            <w:vAlign w:val="center"/>
            <w:hideMark/>
          </w:tcPr>
          <w:p w14:paraId="286C470F" w14:textId="77777777" w:rsidR="006450BB" w:rsidRPr="006450BB" w:rsidRDefault="006450BB" w:rsidP="006450BB">
            <w:pPr>
              <w:jc w:val="center"/>
              <w:rPr>
                <w:rFonts w:cs="Arial"/>
                <w:sz w:val="22"/>
                <w:szCs w:val="22"/>
              </w:rPr>
            </w:pPr>
            <w:r w:rsidRPr="006450BB">
              <w:rPr>
                <w:rFonts w:cs="Arial"/>
                <w:sz w:val="22"/>
                <w:szCs w:val="22"/>
              </w:rPr>
              <w:t xml:space="preserve">2,943 </w:t>
            </w:r>
          </w:p>
        </w:tc>
        <w:tc>
          <w:tcPr>
            <w:tcW w:w="1095" w:type="pct"/>
            <w:tcBorders>
              <w:top w:val="nil"/>
              <w:left w:val="nil"/>
              <w:bottom w:val="single" w:sz="8" w:space="0" w:color="auto"/>
              <w:right w:val="single" w:sz="8" w:space="0" w:color="auto"/>
            </w:tcBorders>
            <w:noWrap/>
            <w:vAlign w:val="center"/>
            <w:hideMark/>
          </w:tcPr>
          <w:p w14:paraId="5CEED573" w14:textId="77777777" w:rsidR="006450BB" w:rsidRPr="006450BB" w:rsidRDefault="006450BB" w:rsidP="006450BB">
            <w:pPr>
              <w:jc w:val="center"/>
              <w:rPr>
                <w:rFonts w:cs="Arial"/>
                <w:sz w:val="22"/>
                <w:szCs w:val="22"/>
              </w:rPr>
            </w:pPr>
            <w:r w:rsidRPr="006450BB">
              <w:rPr>
                <w:rFonts w:cs="Arial"/>
                <w:sz w:val="22"/>
                <w:szCs w:val="22"/>
              </w:rPr>
              <w:t xml:space="preserve">2,836 </w:t>
            </w:r>
          </w:p>
        </w:tc>
        <w:tc>
          <w:tcPr>
            <w:tcW w:w="672" w:type="pct"/>
            <w:tcBorders>
              <w:top w:val="nil"/>
              <w:left w:val="nil"/>
              <w:bottom w:val="single" w:sz="8" w:space="0" w:color="auto"/>
              <w:right w:val="single" w:sz="8" w:space="0" w:color="auto"/>
            </w:tcBorders>
            <w:vAlign w:val="center"/>
            <w:hideMark/>
          </w:tcPr>
          <w:p w14:paraId="517F9629" w14:textId="77777777" w:rsidR="006450BB" w:rsidRPr="006450BB" w:rsidRDefault="006450BB" w:rsidP="006450BB">
            <w:pPr>
              <w:jc w:val="center"/>
              <w:rPr>
                <w:rFonts w:cs="Arial"/>
                <w:sz w:val="22"/>
                <w:szCs w:val="22"/>
              </w:rPr>
            </w:pPr>
            <w:r w:rsidRPr="00447927">
              <w:rPr>
                <w:rFonts w:cs="Arial"/>
                <w:color w:val="A20000"/>
                <w:sz w:val="22"/>
                <w:szCs w:val="22"/>
              </w:rPr>
              <w:t xml:space="preserve">(107) </w:t>
            </w:r>
          </w:p>
        </w:tc>
      </w:tr>
      <w:tr w:rsidR="006450BB" w:rsidRPr="006450BB" w14:paraId="22DBFEB4" w14:textId="77777777" w:rsidTr="006450BB">
        <w:trPr>
          <w:trHeight w:val="290"/>
        </w:trPr>
        <w:tc>
          <w:tcPr>
            <w:tcW w:w="2345" w:type="pct"/>
            <w:tcBorders>
              <w:top w:val="nil"/>
              <w:left w:val="single" w:sz="8" w:space="0" w:color="auto"/>
              <w:bottom w:val="single" w:sz="8" w:space="0" w:color="auto"/>
              <w:right w:val="single" w:sz="8" w:space="0" w:color="auto"/>
            </w:tcBorders>
            <w:noWrap/>
            <w:vAlign w:val="center"/>
            <w:hideMark/>
          </w:tcPr>
          <w:p w14:paraId="5D2978E5" w14:textId="77777777" w:rsidR="006450BB" w:rsidRPr="006450BB" w:rsidRDefault="006450BB" w:rsidP="006450BB">
            <w:pPr>
              <w:rPr>
                <w:rFonts w:cs="Arial"/>
                <w:b/>
                <w:bCs/>
                <w:color w:val="000000"/>
                <w:sz w:val="22"/>
                <w:szCs w:val="22"/>
              </w:rPr>
            </w:pPr>
            <w:r w:rsidRPr="006450BB">
              <w:rPr>
                <w:rFonts w:cs="Arial"/>
                <w:b/>
                <w:bCs/>
                <w:color w:val="000000"/>
                <w:sz w:val="22"/>
                <w:szCs w:val="22"/>
              </w:rPr>
              <w:t xml:space="preserve"> High needs block </w:t>
            </w:r>
          </w:p>
        </w:tc>
        <w:tc>
          <w:tcPr>
            <w:tcW w:w="888" w:type="pct"/>
            <w:tcBorders>
              <w:top w:val="nil"/>
              <w:left w:val="nil"/>
              <w:bottom w:val="single" w:sz="8" w:space="0" w:color="auto"/>
              <w:right w:val="single" w:sz="8" w:space="0" w:color="auto"/>
            </w:tcBorders>
            <w:noWrap/>
            <w:vAlign w:val="center"/>
            <w:hideMark/>
          </w:tcPr>
          <w:p w14:paraId="1B0FE20E" w14:textId="77777777" w:rsidR="006450BB" w:rsidRPr="006450BB" w:rsidRDefault="006450BB" w:rsidP="006450BB">
            <w:pPr>
              <w:jc w:val="center"/>
              <w:rPr>
                <w:rFonts w:cs="Arial"/>
                <w:sz w:val="22"/>
                <w:szCs w:val="22"/>
              </w:rPr>
            </w:pPr>
            <w:r w:rsidRPr="006450BB">
              <w:rPr>
                <w:rFonts w:cs="Arial"/>
                <w:sz w:val="22"/>
                <w:szCs w:val="22"/>
              </w:rPr>
              <w:t xml:space="preserve">85,334 </w:t>
            </w:r>
          </w:p>
        </w:tc>
        <w:tc>
          <w:tcPr>
            <w:tcW w:w="1095" w:type="pct"/>
            <w:tcBorders>
              <w:top w:val="nil"/>
              <w:left w:val="nil"/>
              <w:bottom w:val="single" w:sz="8" w:space="0" w:color="auto"/>
              <w:right w:val="single" w:sz="8" w:space="0" w:color="auto"/>
            </w:tcBorders>
            <w:noWrap/>
            <w:vAlign w:val="center"/>
            <w:hideMark/>
          </w:tcPr>
          <w:p w14:paraId="4B5FE609" w14:textId="77777777" w:rsidR="006450BB" w:rsidRPr="006450BB" w:rsidRDefault="006450BB" w:rsidP="006450BB">
            <w:pPr>
              <w:jc w:val="center"/>
              <w:rPr>
                <w:rFonts w:cs="Arial"/>
                <w:sz w:val="22"/>
                <w:szCs w:val="22"/>
              </w:rPr>
            </w:pPr>
            <w:r w:rsidRPr="006450BB">
              <w:rPr>
                <w:rFonts w:cs="Arial"/>
                <w:sz w:val="22"/>
                <w:szCs w:val="22"/>
              </w:rPr>
              <w:t xml:space="preserve">106,470 </w:t>
            </w:r>
          </w:p>
        </w:tc>
        <w:tc>
          <w:tcPr>
            <w:tcW w:w="672" w:type="pct"/>
            <w:tcBorders>
              <w:top w:val="nil"/>
              <w:left w:val="nil"/>
              <w:bottom w:val="single" w:sz="8" w:space="0" w:color="auto"/>
              <w:right w:val="single" w:sz="8" w:space="0" w:color="auto"/>
            </w:tcBorders>
            <w:vAlign w:val="center"/>
            <w:hideMark/>
          </w:tcPr>
          <w:p w14:paraId="3908D4E4" w14:textId="77777777" w:rsidR="006450BB" w:rsidRPr="006450BB" w:rsidRDefault="006450BB" w:rsidP="006450BB">
            <w:pPr>
              <w:jc w:val="center"/>
              <w:rPr>
                <w:rFonts w:cs="Arial"/>
                <w:sz w:val="22"/>
                <w:szCs w:val="22"/>
              </w:rPr>
            </w:pPr>
            <w:r w:rsidRPr="006450BB">
              <w:rPr>
                <w:rFonts w:cs="Arial"/>
                <w:sz w:val="22"/>
                <w:szCs w:val="22"/>
              </w:rPr>
              <w:t xml:space="preserve">21,136 </w:t>
            </w:r>
          </w:p>
        </w:tc>
      </w:tr>
      <w:tr w:rsidR="006450BB" w:rsidRPr="006450BB" w14:paraId="6B86CCC1" w14:textId="77777777" w:rsidTr="006450BB">
        <w:trPr>
          <w:trHeight w:val="570"/>
        </w:trPr>
        <w:tc>
          <w:tcPr>
            <w:tcW w:w="2345" w:type="pct"/>
            <w:tcBorders>
              <w:top w:val="nil"/>
              <w:left w:val="single" w:sz="8" w:space="0" w:color="auto"/>
              <w:bottom w:val="single" w:sz="8" w:space="0" w:color="auto"/>
              <w:right w:val="single" w:sz="8" w:space="0" w:color="000000"/>
            </w:tcBorders>
            <w:vAlign w:val="center"/>
            <w:hideMark/>
          </w:tcPr>
          <w:p w14:paraId="6CC70AFE" w14:textId="77777777" w:rsidR="006450BB" w:rsidRPr="006450BB" w:rsidRDefault="006450BB" w:rsidP="006450BB">
            <w:pPr>
              <w:rPr>
                <w:rFonts w:cs="Arial"/>
                <w:b/>
                <w:bCs/>
                <w:color w:val="000000"/>
                <w:sz w:val="22"/>
                <w:szCs w:val="22"/>
              </w:rPr>
            </w:pPr>
            <w:r w:rsidRPr="006450BB">
              <w:rPr>
                <w:rFonts w:cs="Arial"/>
                <w:b/>
                <w:bCs/>
                <w:color w:val="000000"/>
                <w:sz w:val="22"/>
                <w:szCs w:val="22"/>
              </w:rPr>
              <w:t xml:space="preserve"> Early years block </w:t>
            </w:r>
          </w:p>
        </w:tc>
        <w:tc>
          <w:tcPr>
            <w:tcW w:w="888" w:type="pct"/>
            <w:tcBorders>
              <w:top w:val="nil"/>
              <w:left w:val="nil"/>
              <w:bottom w:val="single" w:sz="8" w:space="0" w:color="auto"/>
              <w:right w:val="single" w:sz="8" w:space="0" w:color="auto"/>
            </w:tcBorders>
            <w:noWrap/>
            <w:vAlign w:val="center"/>
            <w:hideMark/>
          </w:tcPr>
          <w:p w14:paraId="2AFD96AE" w14:textId="77777777" w:rsidR="006450BB" w:rsidRPr="006450BB" w:rsidRDefault="006450BB" w:rsidP="006450BB">
            <w:pPr>
              <w:jc w:val="center"/>
              <w:rPr>
                <w:rFonts w:cs="Arial"/>
                <w:sz w:val="22"/>
                <w:szCs w:val="22"/>
              </w:rPr>
            </w:pPr>
            <w:r w:rsidRPr="006450BB">
              <w:rPr>
                <w:rFonts w:cs="Arial"/>
                <w:sz w:val="22"/>
                <w:szCs w:val="22"/>
              </w:rPr>
              <w:t xml:space="preserve">49,316 </w:t>
            </w:r>
          </w:p>
        </w:tc>
        <w:tc>
          <w:tcPr>
            <w:tcW w:w="1095" w:type="pct"/>
            <w:tcBorders>
              <w:top w:val="nil"/>
              <w:left w:val="nil"/>
              <w:bottom w:val="single" w:sz="8" w:space="0" w:color="auto"/>
              <w:right w:val="single" w:sz="8" w:space="0" w:color="auto"/>
            </w:tcBorders>
            <w:noWrap/>
            <w:vAlign w:val="center"/>
            <w:hideMark/>
          </w:tcPr>
          <w:p w14:paraId="5D8A53F8" w14:textId="77777777" w:rsidR="006450BB" w:rsidRPr="006450BB" w:rsidRDefault="006450BB" w:rsidP="006450BB">
            <w:pPr>
              <w:jc w:val="center"/>
              <w:rPr>
                <w:rFonts w:cs="Arial"/>
                <w:sz w:val="22"/>
                <w:szCs w:val="22"/>
              </w:rPr>
            </w:pPr>
            <w:r w:rsidRPr="006450BB">
              <w:rPr>
                <w:rFonts w:cs="Arial"/>
                <w:sz w:val="22"/>
                <w:szCs w:val="22"/>
              </w:rPr>
              <w:t xml:space="preserve">45,645 </w:t>
            </w:r>
          </w:p>
        </w:tc>
        <w:tc>
          <w:tcPr>
            <w:tcW w:w="672" w:type="pct"/>
            <w:tcBorders>
              <w:top w:val="nil"/>
              <w:left w:val="nil"/>
              <w:bottom w:val="single" w:sz="8" w:space="0" w:color="auto"/>
              <w:right w:val="single" w:sz="8" w:space="0" w:color="auto"/>
            </w:tcBorders>
            <w:vAlign w:val="center"/>
            <w:hideMark/>
          </w:tcPr>
          <w:p w14:paraId="1EC44B3B" w14:textId="77777777" w:rsidR="006450BB" w:rsidRPr="006450BB" w:rsidRDefault="006450BB" w:rsidP="006450BB">
            <w:pPr>
              <w:jc w:val="center"/>
              <w:rPr>
                <w:rFonts w:cs="Arial"/>
                <w:sz w:val="22"/>
                <w:szCs w:val="22"/>
              </w:rPr>
            </w:pPr>
            <w:r w:rsidRPr="00447927">
              <w:rPr>
                <w:rFonts w:cs="Arial"/>
                <w:color w:val="A20000"/>
                <w:sz w:val="22"/>
                <w:szCs w:val="22"/>
              </w:rPr>
              <w:t xml:space="preserve">(3,671) </w:t>
            </w:r>
          </w:p>
        </w:tc>
      </w:tr>
      <w:tr w:rsidR="006450BB" w:rsidRPr="006450BB" w14:paraId="09F7EC29" w14:textId="77777777" w:rsidTr="006450BB">
        <w:trPr>
          <w:trHeight w:val="570"/>
        </w:trPr>
        <w:tc>
          <w:tcPr>
            <w:tcW w:w="2345" w:type="pct"/>
            <w:tcBorders>
              <w:top w:val="nil"/>
              <w:left w:val="single" w:sz="8" w:space="0" w:color="auto"/>
              <w:bottom w:val="single" w:sz="8" w:space="0" w:color="auto"/>
              <w:right w:val="single" w:sz="8" w:space="0" w:color="auto"/>
            </w:tcBorders>
            <w:shd w:val="clear" w:color="000000" w:fill="D9D9D9"/>
            <w:vAlign w:val="center"/>
            <w:hideMark/>
          </w:tcPr>
          <w:p w14:paraId="2D69FC67" w14:textId="77777777" w:rsidR="006450BB" w:rsidRPr="006450BB" w:rsidRDefault="006450BB" w:rsidP="006450BB">
            <w:pPr>
              <w:rPr>
                <w:rFonts w:cs="Arial"/>
                <w:b/>
                <w:bCs/>
                <w:color w:val="000000"/>
                <w:sz w:val="22"/>
                <w:szCs w:val="22"/>
              </w:rPr>
            </w:pPr>
            <w:r w:rsidRPr="006450BB">
              <w:rPr>
                <w:rFonts w:cs="Arial"/>
                <w:b/>
                <w:bCs/>
                <w:color w:val="000000"/>
                <w:sz w:val="22"/>
                <w:szCs w:val="22"/>
              </w:rPr>
              <w:t xml:space="preserve"> Total DSG allocation </w:t>
            </w:r>
          </w:p>
        </w:tc>
        <w:tc>
          <w:tcPr>
            <w:tcW w:w="888" w:type="pct"/>
            <w:tcBorders>
              <w:top w:val="nil"/>
              <w:left w:val="nil"/>
              <w:bottom w:val="single" w:sz="8" w:space="0" w:color="auto"/>
              <w:right w:val="single" w:sz="8" w:space="0" w:color="auto"/>
            </w:tcBorders>
            <w:shd w:val="clear" w:color="000000" w:fill="D9D9D9"/>
            <w:noWrap/>
            <w:vAlign w:val="center"/>
            <w:hideMark/>
          </w:tcPr>
          <w:p w14:paraId="5604D1A9" w14:textId="77777777" w:rsidR="006450BB" w:rsidRPr="006450BB" w:rsidRDefault="006450BB" w:rsidP="006450BB">
            <w:pPr>
              <w:jc w:val="center"/>
              <w:rPr>
                <w:rFonts w:cs="Arial"/>
                <w:b/>
                <w:bCs/>
                <w:sz w:val="22"/>
                <w:szCs w:val="22"/>
              </w:rPr>
            </w:pPr>
            <w:r w:rsidRPr="006450BB">
              <w:rPr>
                <w:rFonts w:cs="Arial"/>
                <w:b/>
                <w:bCs/>
                <w:sz w:val="22"/>
                <w:szCs w:val="22"/>
              </w:rPr>
              <w:t xml:space="preserve">343,196 </w:t>
            </w:r>
          </w:p>
        </w:tc>
        <w:tc>
          <w:tcPr>
            <w:tcW w:w="1095" w:type="pct"/>
            <w:tcBorders>
              <w:top w:val="nil"/>
              <w:left w:val="nil"/>
              <w:bottom w:val="single" w:sz="8" w:space="0" w:color="auto"/>
              <w:right w:val="single" w:sz="8" w:space="0" w:color="auto"/>
            </w:tcBorders>
            <w:shd w:val="clear" w:color="000000" w:fill="D9D9D9"/>
            <w:noWrap/>
            <w:vAlign w:val="center"/>
            <w:hideMark/>
          </w:tcPr>
          <w:p w14:paraId="11EC1CDC" w14:textId="77777777" w:rsidR="006450BB" w:rsidRPr="006450BB" w:rsidRDefault="006450BB" w:rsidP="006450BB">
            <w:pPr>
              <w:jc w:val="center"/>
              <w:rPr>
                <w:rFonts w:cs="Arial"/>
                <w:b/>
                <w:bCs/>
                <w:sz w:val="22"/>
                <w:szCs w:val="22"/>
              </w:rPr>
            </w:pPr>
            <w:r w:rsidRPr="006450BB">
              <w:rPr>
                <w:rFonts w:cs="Arial"/>
                <w:b/>
                <w:bCs/>
                <w:sz w:val="22"/>
                <w:szCs w:val="22"/>
              </w:rPr>
              <w:t xml:space="preserve">358,308 </w:t>
            </w:r>
          </w:p>
        </w:tc>
        <w:tc>
          <w:tcPr>
            <w:tcW w:w="672" w:type="pct"/>
            <w:tcBorders>
              <w:top w:val="nil"/>
              <w:left w:val="nil"/>
              <w:bottom w:val="single" w:sz="8" w:space="0" w:color="auto"/>
              <w:right w:val="single" w:sz="8" w:space="0" w:color="auto"/>
            </w:tcBorders>
            <w:shd w:val="clear" w:color="000000" w:fill="D9D9D9"/>
            <w:noWrap/>
            <w:vAlign w:val="center"/>
            <w:hideMark/>
          </w:tcPr>
          <w:p w14:paraId="2A1BDCF2" w14:textId="77777777" w:rsidR="006450BB" w:rsidRPr="006450BB" w:rsidRDefault="006450BB" w:rsidP="006450BB">
            <w:pPr>
              <w:jc w:val="center"/>
              <w:rPr>
                <w:rFonts w:cs="Arial"/>
                <w:b/>
                <w:bCs/>
                <w:sz w:val="22"/>
                <w:szCs w:val="22"/>
              </w:rPr>
            </w:pPr>
            <w:r w:rsidRPr="006450BB">
              <w:rPr>
                <w:rFonts w:cs="Arial"/>
                <w:b/>
                <w:bCs/>
                <w:sz w:val="22"/>
                <w:szCs w:val="22"/>
              </w:rPr>
              <w:t xml:space="preserve">15,112 </w:t>
            </w:r>
          </w:p>
        </w:tc>
      </w:tr>
    </w:tbl>
    <w:p w14:paraId="782A1D19" w14:textId="77777777" w:rsidR="006450BB" w:rsidRDefault="006450BB" w:rsidP="004F409A">
      <w:pPr>
        <w:ind w:left="1276" w:hanging="1276"/>
        <w:rPr>
          <w:b/>
        </w:rPr>
      </w:pPr>
    </w:p>
    <w:p w14:paraId="15981F90" w14:textId="77777777" w:rsidR="006E1418" w:rsidRDefault="006E1418" w:rsidP="004F409A">
      <w:pPr>
        <w:ind w:left="1276" w:hanging="1276"/>
        <w:rPr>
          <w:b/>
        </w:rPr>
      </w:pPr>
    </w:p>
    <w:p w14:paraId="0CC0DD86" w14:textId="77777777" w:rsidR="008C5F26" w:rsidRDefault="008C5F26" w:rsidP="004F409A">
      <w:pPr>
        <w:pStyle w:val="ListParagraph"/>
        <w:ind w:left="567"/>
        <w:jc w:val="both"/>
      </w:pPr>
    </w:p>
    <w:p w14:paraId="43E631AA" w14:textId="5ADB4268" w:rsidR="008C5F26" w:rsidRPr="008C5F26" w:rsidRDefault="008C5F26" w:rsidP="008C5F26">
      <w:pPr>
        <w:pStyle w:val="ListParagraph"/>
        <w:numPr>
          <w:ilvl w:val="0"/>
          <w:numId w:val="26"/>
        </w:numPr>
        <w:ind w:left="709" w:hanging="709"/>
        <w:jc w:val="both"/>
        <w:rPr>
          <w:b/>
          <w:bCs/>
        </w:rPr>
      </w:pPr>
      <w:r w:rsidRPr="008C5F26">
        <w:rPr>
          <w:b/>
          <w:bCs/>
        </w:rPr>
        <w:t>DSG Blocks Position</w:t>
      </w:r>
    </w:p>
    <w:p w14:paraId="69EE83E9" w14:textId="77777777" w:rsidR="008C5F26" w:rsidRPr="00054F48" w:rsidRDefault="008C5F26" w:rsidP="008C5F26">
      <w:pPr>
        <w:pStyle w:val="ListParagraph"/>
        <w:ind w:left="709"/>
        <w:jc w:val="both"/>
        <w:rPr>
          <w:rFonts w:cs="Arial"/>
          <w:b/>
          <w:bCs/>
        </w:rPr>
      </w:pPr>
    </w:p>
    <w:p w14:paraId="74FFF3E4" w14:textId="4AD25BB0" w:rsidR="00054F48" w:rsidRDefault="00054F48" w:rsidP="006E4295">
      <w:pPr>
        <w:pStyle w:val="Heading2"/>
        <w:numPr>
          <w:ilvl w:val="1"/>
          <w:numId w:val="26"/>
        </w:numPr>
        <w:ind w:left="709" w:hanging="709"/>
        <w:rPr>
          <w:rFonts w:ascii="Arial" w:hAnsi="Arial" w:cs="Arial"/>
          <w:color w:val="auto"/>
          <w:sz w:val="24"/>
          <w:szCs w:val="24"/>
        </w:rPr>
      </w:pPr>
      <w:r w:rsidRPr="00517FAA">
        <w:rPr>
          <w:rFonts w:ascii="Arial" w:hAnsi="Arial" w:cs="Arial"/>
          <w:color w:val="auto"/>
          <w:sz w:val="24"/>
          <w:szCs w:val="24"/>
        </w:rPr>
        <w:t xml:space="preserve">The </w:t>
      </w:r>
      <w:proofErr w:type="gramStart"/>
      <w:r w:rsidRPr="00517FAA">
        <w:rPr>
          <w:rFonts w:ascii="Arial" w:hAnsi="Arial" w:cs="Arial"/>
          <w:color w:val="auto"/>
          <w:sz w:val="24"/>
          <w:szCs w:val="24"/>
        </w:rPr>
        <w:t>Schools</w:t>
      </w:r>
      <w:proofErr w:type="gramEnd"/>
      <w:r w:rsidRPr="00517FAA">
        <w:rPr>
          <w:rFonts w:ascii="Arial" w:hAnsi="Arial" w:cs="Arial"/>
          <w:color w:val="auto"/>
          <w:sz w:val="24"/>
          <w:szCs w:val="24"/>
        </w:rPr>
        <w:t xml:space="preserve"> Block was underspent at the end of </w:t>
      </w:r>
      <w:r w:rsidR="008458E7" w:rsidRPr="00517FAA">
        <w:rPr>
          <w:rFonts w:ascii="Arial" w:hAnsi="Arial" w:cs="Arial"/>
          <w:color w:val="auto"/>
          <w:sz w:val="24"/>
          <w:szCs w:val="24"/>
        </w:rPr>
        <w:t>2025-26</w:t>
      </w:r>
      <w:r w:rsidRPr="00517FAA">
        <w:rPr>
          <w:rFonts w:ascii="Arial" w:hAnsi="Arial" w:cs="Arial"/>
          <w:color w:val="auto"/>
          <w:sz w:val="24"/>
          <w:szCs w:val="24"/>
        </w:rPr>
        <w:t xml:space="preserve"> </w:t>
      </w:r>
      <w:r w:rsidR="00971271" w:rsidRPr="00517FAA">
        <w:rPr>
          <w:rFonts w:ascii="Arial" w:hAnsi="Arial" w:cs="Arial"/>
          <w:color w:val="auto"/>
          <w:sz w:val="24"/>
          <w:szCs w:val="24"/>
        </w:rPr>
        <w:t xml:space="preserve">due to </w:t>
      </w:r>
      <w:r w:rsidR="00C10689" w:rsidRPr="00517FAA">
        <w:rPr>
          <w:rFonts w:ascii="Arial" w:hAnsi="Arial" w:cs="Arial"/>
          <w:color w:val="auto"/>
          <w:sz w:val="24"/>
          <w:szCs w:val="24"/>
        </w:rPr>
        <w:t xml:space="preserve">the Growth fund not being </w:t>
      </w:r>
      <w:r w:rsidR="00F36BC5" w:rsidRPr="00517FAA">
        <w:rPr>
          <w:rFonts w:ascii="Arial" w:hAnsi="Arial" w:cs="Arial"/>
          <w:color w:val="auto"/>
          <w:sz w:val="24"/>
          <w:szCs w:val="24"/>
        </w:rPr>
        <w:t>fully utilised</w:t>
      </w:r>
      <w:r w:rsidRPr="00517FAA">
        <w:rPr>
          <w:rFonts w:ascii="Arial" w:hAnsi="Arial" w:cs="Arial"/>
          <w:color w:val="auto"/>
          <w:sz w:val="24"/>
          <w:szCs w:val="24"/>
        </w:rPr>
        <w:t>.</w:t>
      </w:r>
    </w:p>
    <w:p w14:paraId="5D263630" w14:textId="77777777" w:rsidR="008B5EF9" w:rsidRPr="003229D2" w:rsidRDefault="008B5EF9" w:rsidP="003229D2">
      <w:pPr>
        <w:rPr>
          <w:rFonts w:cs="Arial"/>
          <w:b/>
        </w:rPr>
      </w:pPr>
    </w:p>
    <w:p w14:paraId="6A5AFB80" w14:textId="64E87BB8" w:rsidR="007E4D0B" w:rsidRDefault="00DE12A7" w:rsidP="00DE12A7">
      <w:pPr>
        <w:pStyle w:val="ListParagraph"/>
        <w:numPr>
          <w:ilvl w:val="1"/>
          <w:numId w:val="26"/>
        </w:numPr>
        <w:ind w:left="709" w:hanging="709"/>
        <w:rPr>
          <w:rFonts w:cs="Arial"/>
          <w:bCs/>
        </w:rPr>
      </w:pPr>
      <w:r w:rsidRPr="00DE12A7">
        <w:rPr>
          <w:rFonts w:cs="Arial"/>
          <w:bCs/>
        </w:rPr>
        <w:t xml:space="preserve">The Central Schools Service Block </w:t>
      </w:r>
      <w:r w:rsidR="00987106">
        <w:rPr>
          <w:rFonts w:cs="Arial"/>
          <w:bCs/>
        </w:rPr>
        <w:t xml:space="preserve">had a small </w:t>
      </w:r>
      <w:r w:rsidR="00EE2374">
        <w:rPr>
          <w:rFonts w:cs="Arial"/>
          <w:bCs/>
        </w:rPr>
        <w:t>underspend</w:t>
      </w:r>
      <w:r w:rsidR="000E1E42">
        <w:rPr>
          <w:rFonts w:cs="Arial"/>
          <w:bCs/>
        </w:rPr>
        <w:t xml:space="preserve"> of £0.1mill</w:t>
      </w:r>
      <w:r w:rsidRPr="00DE12A7">
        <w:rPr>
          <w:rFonts w:cs="Arial"/>
          <w:bCs/>
        </w:rPr>
        <w:t xml:space="preserve">.  This is centrally managed and the under and overspends were netted off to a minimum impact.  </w:t>
      </w:r>
      <w:r w:rsidRPr="005A4E20">
        <w:rPr>
          <w:rFonts w:cs="Arial"/>
          <w:bCs/>
        </w:rPr>
        <w:t xml:space="preserve">The exception to this was </w:t>
      </w:r>
      <w:r w:rsidR="009F0CB6" w:rsidRPr="005A4E20">
        <w:rPr>
          <w:rFonts w:cs="Arial"/>
          <w:bCs/>
        </w:rPr>
        <w:t>an</w:t>
      </w:r>
      <w:r w:rsidRPr="005A4E20">
        <w:rPr>
          <w:rFonts w:cs="Arial"/>
          <w:bCs/>
        </w:rPr>
        <w:t xml:space="preserve"> overspend in historic severance and retirement costs in schools.</w:t>
      </w:r>
      <w:r w:rsidRPr="00DE12A7">
        <w:rPr>
          <w:rFonts w:cs="Arial"/>
          <w:bCs/>
        </w:rPr>
        <w:t xml:space="preserve"> The DfE are directing local authorities to reduce the budget, at a greater rate that the reduction in costs</w:t>
      </w:r>
    </w:p>
    <w:p w14:paraId="68AC74B2" w14:textId="77777777" w:rsidR="00DE12A7" w:rsidRDefault="00DE12A7" w:rsidP="00DE12A7">
      <w:pPr>
        <w:pStyle w:val="ListParagraph"/>
        <w:ind w:left="709"/>
        <w:rPr>
          <w:rFonts w:cs="Arial"/>
          <w:bCs/>
        </w:rPr>
      </w:pPr>
    </w:p>
    <w:p w14:paraId="5C9AB193" w14:textId="77777777" w:rsidR="00695324" w:rsidRPr="00695324" w:rsidRDefault="00DE12A7" w:rsidP="00695324">
      <w:pPr>
        <w:pStyle w:val="ListParagraph"/>
        <w:numPr>
          <w:ilvl w:val="1"/>
          <w:numId w:val="26"/>
        </w:numPr>
        <w:ind w:left="709" w:hanging="709"/>
        <w:rPr>
          <w:rFonts w:cs="Arial"/>
          <w:bCs/>
        </w:rPr>
      </w:pPr>
      <w:r w:rsidRPr="00517FAA">
        <w:rPr>
          <w:rFonts w:cs="Arial"/>
        </w:rPr>
        <w:t>The Early Years Block underspend is mainly due to Department for Education (DfE) rolled out the new entitlements, using national assumptions that did not reflect the actual number of eligible children in each local authority</w:t>
      </w:r>
    </w:p>
    <w:p w14:paraId="359B3583" w14:textId="77777777" w:rsidR="00695324" w:rsidRPr="00695324" w:rsidRDefault="00695324" w:rsidP="00695324">
      <w:pPr>
        <w:pStyle w:val="ListParagraph"/>
        <w:rPr>
          <w:rFonts w:cs="Arial"/>
          <w:bCs/>
        </w:rPr>
      </w:pPr>
    </w:p>
    <w:p w14:paraId="5F85AB26" w14:textId="6233756D" w:rsidR="00695324" w:rsidRDefault="00695324" w:rsidP="00695324">
      <w:pPr>
        <w:pStyle w:val="ListParagraph"/>
        <w:numPr>
          <w:ilvl w:val="1"/>
          <w:numId w:val="26"/>
        </w:numPr>
        <w:ind w:left="709" w:hanging="709"/>
        <w:rPr>
          <w:rFonts w:cs="Arial"/>
          <w:bCs/>
        </w:rPr>
      </w:pPr>
      <w:r w:rsidRPr="00695324">
        <w:rPr>
          <w:rFonts w:cs="Arial"/>
          <w:bCs/>
        </w:rPr>
        <w:t xml:space="preserve">The High Needs Block was overspent by </w:t>
      </w:r>
      <w:r w:rsidRPr="00F53081">
        <w:rPr>
          <w:rFonts w:cs="Arial"/>
          <w:bCs/>
        </w:rPr>
        <w:t>£</w:t>
      </w:r>
      <w:r w:rsidR="00F53081" w:rsidRPr="00F53081">
        <w:rPr>
          <w:rFonts w:cs="Arial"/>
          <w:bCs/>
        </w:rPr>
        <w:t>21.1</w:t>
      </w:r>
      <w:r w:rsidR="005A4E20">
        <w:rPr>
          <w:rFonts w:cs="Arial"/>
          <w:bCs/>
        </w:rPr>
        <w:t>m</w:t>
      </w:r>
      <w:r w:rsidRPr="00695324">
        <w:rPr>
          <w:rFonts w:cs="Arial"/>
          <w:bCs/>
        </w:rPr>
        <w:t>.</w:t>
      </w:r>
      <w:r w:rsidR="00D374B0">
        <w:rPr>
          <w:rFonts w:cs="Arial"/>
          <w:bCs/>
        </w:rPr>
        <w:t xml:space="preserve"> </w:t>
      </w:r>
      <w:r w:rsidRPr="00695324">
        <w:rPr>
          <w:rFonts w:cs="Arial"/>
          <w:bCs/>
        </w:rPr>
        <w:t>Pressures are primarily within the High Needs Budget. This is due to increased demand for Education Health and Care Plans (EHCPs), rising costs of specialist placements, and insufficient funding to meet the complex needs of pupils. The adverse movement between quarters four and three is attributed to an increase in High Needs out-of-borough placements, particularly with more children attending non-6th form provisions.</w:t>
      </w:r>
    </w:p>
    <w:p w14:paraId="6638E5DC" w14:textId="77777777" w:rsidR="009047AE" w:rsidRDefault="009047AE" w:rsidP="009047AE">
      <w:pPr>
        <w:rPr>
          <w:rFonts w:cs="Arial"/>
          <w:bCs/>
        </w:rPr>
      </w:pPr>
    </w:p>
    <w:p w14:paraId="580F163C" w14:textId="77777777" w:rsidR="00482710" w:rsidRPr="00482710" w:rsidRDefault="00482710" w:rsidP="00482710">
      <w:pPr>
        <w:rPr>
          <w:rFonts w:cs="Arial"/>
          <w:b/>
          <w:bCs/>
        </w:rPr>
      </w:pPr>
      <w:r w:rsidRPr="00517FAA">
        <w:rPr>
          <w:rFonts w:cs="Arial"/>
          <w:b/>
          <w:bCs/>
        </w:rPr>
        <w:t xml:space="preserve">Table </w:t>
      </w:r>
      <w:r>
        <w:rPr>
          <w:rFonts w:cs="Arial"/>
          <w:b/>
          <w:bCs/>
        </w:rPr>
        <w:t>4</w:t>
      </w:r>
      <w:r w:rsidRPr="00517FAA">
        <w:rPr>
          <w:rFonts w:cs="Arial"/>
          <w:b/>
          <w:bCs/>
        </w:rPr>
        <w:t>: Cumulative DSG balances and HN overspends</w:t>
      </w:r>
    </w:p>
    <w:p w14:paraId="55D4D170" w14:textId="77777777" w:rsidR="00482710" w:rsidRPr="00517FAA" w:rsidRDefault="00482710" w:rsidP="00482710">
      <w:pPr>
        <w:pStyle w:val="ListParagraph"/>
        <w:ind w:left="0"/>
        <w:rPr>
          <w:rFonts w:cs="Arial"/>
          <w:color w:val="000000"/>
        </w:rPr>
      </w:pPr>
    </w:p>
    <w:tbl>
      <w:tblPr>
        <w:tblW w:w="5000" w:type="pct"/>
        <w:tblLook w:val="04A0" w:firstRow="1" w:lastRow="0" w:firstColumn="1" w:lastColumn="0" w:noHBand="0" w:noVBand="1"/>
      </w:tblPr>
      <w:tblGrid>
        <w:gridCol w:w="3523"/>
        <w:gridCol w:w="1899"/>
        <w:gridCol w:w="2017"/>
        <w:gridCol w:w="1897"/>
      </w:tblGrid>
      <w:tr w:rsidR="00482710" w:rsidRPr="00EE2374" w14:paraId="61B4CE25" w14:textId="77777777" w:rsidTr="00ED0221">
        <w:trPr>
          <w:trHeight w:val="290"/>
        </w:trPr>
        <w:tc>
          <w:tcPr>
            <w:tcW w:w="1887" w:type="pct"/>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6073A721" w14:textId="77777777" w:rsidR="00482710" w:rsidRPr="00EE2374" w:rsidRDefault="00482710" w:rsidP="00ED0221">
            <w:pPr>
              <w:jc w:val="center"/>
              <w:rPr>
                <w:rFonts w:cs="Arial"/>
                <w:b/>
                <w:bCs/>
                <w:color w:val="000000"/>
                <w:sz w:val="20"/>
                <w:szCs w:val="20"/>
              </w:rPr>
            </w:pPr>
            <w:r w:rsidRPr="00EE2374">
              <w:rPr>
                <w:rFonts w:cs="Arial"/>
                <w:b/>
                <w:bCs/>
                <w:color w:val="000000"/>
                <w:sz w:val="20"/>
                <w:szCs w:val="20"/>
              </w:rPr>
              <w:t>Block</w:t>
            </w:r>
          </w:p>
        </w:tc>
        <w:tc>
          <w:tcPr>
            <w:tcW w:w="1017" w:type="pct"/>
            <w:tcBorders>
              <w:top w:val="single" w:sz="8" w:space="0" w:color="auto"/>
              <w:left w:val="nil"/>
              <w:bottom w:val="nil"/>
              <w:right w:val="single" w:sz="8" w:space="0" w:color="auto"/>
            </w:tcBorders>
            <w:shd w:val="clear" w:color="000000" w:fill="DBE5F1"/>
            <w:vAlign w:val="center"/>
            <w:hideMark/>
          </w:tcPr>
          <w:p w14:paraId="4FDF76FA" w14:textId="77777777" w:rsidR="00482710" w:rsidRPr="00EE2374" w:rsidRDefault="00482710" w:rsidP="00ED0221">
            <w:pPr>
              <w:jc w:val="center"/>
              <w:rPr>
                <w:rFonts w:cs="Arial"/>
                <w:b/>
                <w:bCs/>
                <w:color w:val="000000"/>
                <w:sz w:val="20"/>
                <w:szCs w:val="20"/>
              </w:rPr>
            </w:pPr>
            <w:r w:rsidRPr="00EE2374">
              <w:rPr>
                <w:rFonts w:cs="Arial"/>
                <w:b/>
                <w:bCs/>
                <w:color w:val="000000"/>
                <w:sz w:val="20"/>
                <w:szCs w:val="20"/>
              </w:rPr>
              <w:t>Brought Forward</w:t>
            </w:r>
          </w:p>
        </w:tc>
        <w:tc>
          <w:tcPr>
            <w:tcW w:w="1080" w:type="pct"/>
            <w:tcBorders>
              <w:top w:val="single" w:sz="8" w:space="0" w:color="auto"/>
              <w:left w:val="nil"/>
              <w:bottom w:val="nil"/>
              <w:right w:val="single" w:sz="8" w:space="0" w:color="auto"/>
            </w:tcBorders>
            <w:shd w:val="clear" w:color="000000" w:fill="DBE5F1"/>
            <w:vAlign w:val="center"/>
            <w:hideMark/>
          </w:tcPr>
          <w:p w14:paraId="4AE4346E" w14:textId="77777777" w:rsidR="00482710" w:rsidRPr="00EE2374" w:rsidRDefault="00482710" w:rsidP="00ED0221">
            <w:pPr>
              <w:jc w:val="center"/>
              <w:rPr>
                <w:rFonts w:cs="Arial"/>
                <w:b/>
                <w:bCs/>
                <w:color w:val="000000"/>
                <w:sz w:val="20"/>
                <w:szCs w:val="20"/>
              </w:rPr>
            </w:pPr>
            <w:r w:rsidRPr="00EE2374">
              <w:rPr>
                <w:rFonts w:cs="Arial"/>
                <w:b/>
                <w:bCs/>
                <w:color w:val="000000"/>
                <w:sz w:val="20"/>
                <w:szCs w:val="20"/>
              </w:rPr>
              <w:t>2025-26</w:t>
            </w:r>
          </w:p>
        </w:tc>
        <w:tc>
          <w:tcPr>
            <w:tcW w:w="1016" w:type="pct"/>
            <w:tcBorders>
              <w:top w:val="single" w:sz="8" w:space="0" w:color="auto"/>
              <w:left w:val="nil"/>
              <w:bottom w:val="nil"/>
              <w:right w:val="single" w:sz="8" w:space="0" w:color="auto"/>
            </w:tcBorders>
            <w:shd w:val="clear" w:color="000000" w:fill="DBE5F1"/>
            <w:vAlign w:val="center"/>
            <w:hideMark/>
          </w:tcPr>
          <w:p w14:paraId="2FBC311C" w14:textId="77777777" w:rsidR="00482710" w:rsidRPr="00EE2374" w:rsidRDefault="00482710" w:rsidP="00ED0221">
            <w:pPr>
              <w:jc w:val="center"/>
              <w:rPr>
                <w:rFonts w:cs="Arial"/>
                <w:b/>
                <w:bCs/>
                <w:color w:val="000000"/>
                <w:sz w:val="20"/>
                <w:szCs w:val="20"/>
              </w:rPr>
            </w:pPr>
            <w:r w:rsidRPr="00EE2374">
              <w:rPr>
                <w:rFonts w:cs="Arial"/>
                <w:b/>
                <w:bCs/>
                <w:color w:val="000000"/>
                <w:sz w:val="20"/>
                <w:szCs w:val="20"/>
              </w:rPr>
              <w:t xml:space="preserve">Cumulative </w:t>
            </w:r>
          </w:p>
        </w:tc>
      </w:tr>
      <w:tr w:rsidR="00482710" w:rsidRPr="00EE2374" w14:paraId="62452B59" w14:textId="77777777" w:rsidTr="00ED0221">
        <w:trPr>
          <w:trHeight w:val="290"/>
        </w:trPr>
        <w:tc>
          <w:tcPr>
            <w:tcW w:w="1887" w:type="pct"/>
            <w:vMerge/>
            <w:tcBorders>
              <w:top w:val="single" w:sz="8" w:space="0" w:color="auto"/>
              <w:left w:val="single" w:sz="8" w:space="0" w:color="auto"/>
              <w:bottom w:val="single" w:sz="8" w:space="0" w:color="000000"/>
              <w:right w:val="single" w:sz="8" w:space="0" w:color="auto"/>
            </w:tcBorders>
            <w:vAlign w:val="center"/>
            <w:hideMark/>
          </w:tcPr>
          <w:p w14:paraId="70554C83" w14:textId="77777777" w:rsidR="00482710" w:rsidRPr="00EE2374" w:rsidRDefault="00482710" w:rsidP="00ED0221">
            <w:pPr>
              <w:rPr>
                <w:rFonts w:cs="Arial"/>
                <w:b/>
                <w:bCs/>
                <w:color w:val="000000"/>
                <w:sz w:val="20"/>
                <w:szCs w:val="20"/>
              </w:rPr>
            </w:pPr>
          </w:p>
        </w:tc>
        <w:tc>
          <w:tcPr>
            <w:tcW w:w="1017" w:type="pct"/>
            <w:tcBorders>
              <w:top w:val="nil"/>
              <w:left w:val="nil"/>
              <w:bottom w:val="nil"/>
              <w:right w:val="single" w:sz="8" w:space="0" w:color="auto"/>
            </w:tcBorders>
            <w:shd w:val="clear" w:color="000000" w:fill="DBE5F1"/>
            <w:vAlign w:val="center"/>
            <w:hideMark/>
          </w:tcPr>
          <w:p w14:paraId="13652D16" w14:textId="77777777" w:rsidR="00482710" w:rsidRPr="00EE2374" w:rsidRDefault="00482710" w:rsidP="00ED0221">
            <w:pPr>
              <w:jc w:val="center"/>
              <w:rPr>
                <w:rFonts w:cs="Arial"/>
                <w:color w:val="000000"/>
                <w:sz w:val="20"/>
                <w:szCs w:val="20"/>
              </w:rPr>
            </w:pPr>
            <w:r w:rsidRPr="00EE2374">
              <w:rPr>
                <w:rFonts w:cs="Arial"/>
                <w:color w:val="000000"/>
                <w:sz w:val="20"/>
                <w:szCs w:val="20"/>
              </w:rPr>
              <w:t>Under/(over) spend</w:t>
            </w:r>
          </w:p>
        </w:tc>
        <w:tc>
          <w:tcPr>
            <w:tcW w:w="1080" w:type="pct"/>
            <w:tcBorders>
              <w:top w:val="nil"/>
              <w:left w:val="nil"/>
              <w:bottom w:val="nil"/>
              <w:right w:val="single" w:sz="8" w:space="0" w:color="auto"/>
            </w:tcBorders>
            <w:shd w:val="clear" w:color="000000" w:fill="DBE5F1"/>
            <w:vAlign w:val="center"/>
            <w:hideMark/>
          </w:tcPr>
          <w:p w14:paraId="2B7F6342" w14:textId="77777777" w:rsidR="00482710" w:rsidRPr="00EE2374" w:rsidRDefault="00482710" w:rsidP="00ED0221">
            <w:pPr>
              <w:jc w:val="center"/>
              <w:rPr>
                <w:rFonts w:cs="Arial"/>
                <w:color w:val="000000"/>
                <w:sz w:val="20"/>
                <w:szCs w:val="20"/>
              </w:rPr>
            </w:pPr>
            <w:r w:rsidRPr="00EE2374">
              <w:rPr>
                <w:rFonts w:cs="Arial"/>
                <w:color w:val="000000"/>
                <w:sz w:val="20"/>
                <w:szCs w:val="20"/>
              </w:rPr>
              <w:t>Under/(over) spend</w:t>
            </w:r>
          </w:p>
        </w:tc>
        <w:tc>
          <w:tcPr>
            <w:tcW w:w="1016" w:type="pct"/>
            <w:tcBorders>
              <w:top w:val="nil"/>
              <w:left w:val="nil"/>
              <w:bottom w:val="nil"/>
              <w:right w:val="single" w:sz="8" w:space="0" w:color="auto"/>
            </w:tcBorders>
            <w:shd w:val="clear" w:color="000000" w:fill="DBE5F1"/>
            <w:vAlign w:val="center"/>
            <w:hideMark/>
          </w:tcPr>
          <w:p w14:paraId="510FB2A4" w14:textId="77777777" w:rsidR="00482710" w:rsidRPr="00EE2374" w:rsidRDefault="00482710" w:rsidP="00ED0221">
            <w:pPr>
              <w:jc w:val="center"/>
              <w:rPr>
                <w:rFonts w:cs="Arial"/>
                <w:color w:val="000000"/>
                <w:sz w:val="20"/>
                <w:szCs w:val="20"/>
              </w:rPr>
            </w:pPr>
            <w:r w:rsidRPr="00EE2374">
              <w:rPr>
                <w:rFonts w:cs="Arial"/>
                <w:color w:val="000000"/>
                <w:sz w:val="20"/>
                <w:szCs w:val="20"/>
              </w:rPr>
              <w:t>Under/(over) spend</w:t>
            </w:r>
          </w:p>
        </w:tc>
      </w:tr>
      <w:tr w:rsidR="00482710" w:rsidRPr="00EE2374" w14:paraId="6480BC40" w14:textId="77777777" w:rsidTr="00ED0221">
        <w:trPr>
          <w:trHeight w:val="300"/>
        </w:trPr>
        <w:tc>
          <w:tcPr>
            <w:tcW w:w="1887" w:type="pct"/>
            <w:vMerge/>
            <w:tcBorders>
              <w:top w:val="single" w:sz="8" w:space="0" w:color="auto"/>
              <w:left w:val="single" w:sz="8" w:space="0" w:color="auto"/>
              <w:bottom w:val="single" w:sz="8" w:space="0" w:color="000000"/>
              <w:right w:val="single" w:sz="8" w:space="0" w:color="auto"/>
            </w:tcBorders>
            <w:vAlign w:val="center"/>
            <w:hideMark/>
          </w:tcPr>
          <w:p w14:paraId="129CD325" w14:textId="77777777" w:rsidR="00482710" w:rsidRPr="00EE2374" w:rsidRDefault="00482710" w:rsidP="00ED0221">
            <w:pPr>
              <w:rPr>
                <w:rFonts w:cs="Arial"/>
                <w:b/>
                <w:bCs/>
                <w:color w:val="000000"/>
                <w:sz w:val="20"/>
                <w:szCs w:val="20"/>
              </w:rPr>
            </w:pPr>
          </w:p>
        </w:tc>
        <w:tc>
          <w:tcPr>
            <w:tcW w:w="1017" w:type="pct"/>
            <w:tcBorders>
              <w:top w:val="nil"/>
              <w:left w:val="nil"/>
              <w:bottom w:val="single" w:sz="8" w:space="0" w:color="auto"/>
              <w:right w:val="single" w:sz="8" w:space="0" w:color="auto"/>
            </w:tcBorders>
            <w:shd w:val="clear" w:color="000000" w:fill="DBE5F1"/>
            <w:vAlign w:val="center"/>
            <w:hideMark/>
          </w:tcPr>
          <w:p w14:paraId="255CF5CE" w14:textId="3A5E4CD6" w:rsidR="00482710" w:rsidRPr="00EE2374" w:rsidRDefault="00482710" w:rsidP="00ED0221">
            <w:pPr>
              <w:jc w:val="center"/>
              <w:rPr>
                <w:rFonts w:cs="Arial"/>
                <w:b/>
                <w:bCs/>
                <w:color w:val="000000"/>
                <w:sz w:val="20"/>
                <w:szCs w:val="20"/>
              </w:rPr>
            </w:pPr>
            <w:r w:rsidRPr="00EE2374">
              <w:rPr>
                <w:rFonts w:cs="Arial"/>
                <w:b/>
                <w:bCs/>
                <w:color w:val="000000"/>
                <w:sz w:val="20"/>
                <w:szCs w:val="20"/>
              </w:rPr>
              <w:t>£m</w:t>
            </w:r>
          </w:p>
        </w:tc>
        <w:tc>
          <w:tcPr>
            <w:tcW w:w="1080" w:type="pct"/>
            <w:tcBorders>
              <w:top w:val="nil"/>
              <w:left w:val="nil"/>
              <w:bottom w:val="single" w:sz="8" w:space="0" w:color="auto"/>
              <w:right w:val="single" w:sz="8" w:space="0" w:color="auto"/>
            </w:tcBorders>
            <w:shd w:val="clear" w:color="000000" w:fill="DBE5F1"/>
            <w:vAlign w:val="center"/>
            <w:hideMark/>
          </w:tcPr>
          <w:p w14:paraId="7A4E9E9F" w14:textId="5BA16377" w:rsidR="00482710" w:rsidRPr="00EE2374" w:rsidRDefault="00482710" w:rsidP="00ED0221">
            <w:pPr>
              <w:jc w:val="center"/>
              <w:rPr>
                <w:rFonts w:cs="Arial"/>
                <w:b/>
                <w:bCs/>
                <w:color w:val="000000"/>
                <w:sz w:val="20"/>
                <w:szCs w:val="20"/>
              </w:rPr>
            </w:pPr>
            <w:r w:rsidRPr="00EE2374">
              <w:rPr>
                <w:rFonts w:cs="Arial"/>
                <w:b/>
                <w:bCs/>
                <w:color w:val="000000"/>
                <w:sz w:val="20"/>
                <w:szCs w:val="20"/>
              </w:rPr>
              <w:t>£m</w:t>
            </w:r>
          </w:p>
        </w:tc>
        <w:tc>
          <w:tcPr>
            <w:tcW w:w="1016" w:type="pct"/>
            <w:tcBorders>
              <w:top w:val="nil"/>
              <w:left w:val="nil"/>
              <w:bottom w:val="single" w:sz="8" w:space="0" w:color="auto"/>
              <w:right w:val="single" w:sz="8" w:space="0" w:color="auto"/>
            </w:tcBorders>
            <w:shd w:val="clear" w:color="000000" w:fill="DBE5F1"/>
            <w:vAlign w:val="center"/>
            <w:hideMark/>
          </w:tcPr>
          <w:p w14:paraId="35284235" w14:textId="5216BDDC" w:rsidR="00482710" w:rsidRPr="00EE2374" w:rsidRDefault="00482710" w:rsidP="00ED0221">
            <w:pPr>
              <w:jc w:val="center"/>
              <w:rPr>
                <w:rFonts w:cs="Arial"/>
                <w:b/>
                <w:bCs/>
                <w:color w:val="000000"/>
                <w:sz w:val="20"/>
                <w:szCs w:val="20"/>
              </w:rPr>
            </w:pPr>
            <w:r w:rsidRPr="00EE2374">
              <w:rPr>
                <w:rFonts w:cs="Arial"/>
                <w:b/>
                <w:bCs/>
                <w:color w:val="000000"/>
                <w:sz w:val="20"/>
                <w:szCs w:val="20"/>
              </w:rPr>
              <w:t>£m</w:t>
            </w:r>
          </w:p>
        </w:tc>
      </w:tr>
      <w:tr w:rsidR="00482710" w:rsidRPr="00EE2374" w14:paraId="287D40E1" w14:textId="77777777" w:rsidTr="00ED0221">
        <w:trPr>
          <w:trHeight w:val="300"/>
        </w:trPr>
        <w:tc>
          <w:tcPr>
            <w:tcW w:w="1887" w:type="pct"/>
            <w:tcBorders>
              <w:top w:val="nil"/>
              <w:left w:val="single" w:sz="8" w:space="0" w:color="auto"/>
              <w:bottom w:val="single" w:sz="8" w:space="0" w:color="auto"/>
              <w:right w:val="single" w:sz="8" w:space="0" w:color="auto"/>
            </w:tcBorders>
            <w:vAlign w:val="center"/>
            <w:hideMark/>
          </w:tcPr>
          <w:p w14:paraId="39C2CAA7" w14:textId="77777777" w:rsidR="00482710" w:rsidRPr="00482710" w:rsidRDefault="00482710" w:rsidP="00ED0221">
            <w:pPr>
              <w:rPr>
                <w:rFonts w:cs="Arial"/>
                <w:b/>
                <w:bCs/>
                <w:color w:val="000000"/>
                <w:sz w:val="20"/>
                <w:szCs w:val="20"/>
              </w:rPr>
            </w:pPr>
            <w:r w:rsidRPr="00482710">
              <w:rPr>
                <w:rFonts w:cs="Arial"/>
                <w:b/>
                <w:bCs/>
                <w:color w:val="000000"/>
                <w:sz w:val="20"/>
                <w:szCs w:val="20"/>
              </w:rPr>
              <w:t xml:space="preserve">Total DSG allocation </w:t>
            </w:r>
          </w:p>
        </w:tc>
        <w:tc>
          <w:tcPr>
            <w:tcW w:w="1017" w:type="pct"/>
            <w:tcBorders>
              <w:top w:val="nil"/>
              <w:left w:val="nil"/>
              <w:bottom w:val="single" w:sz="8" w:space="0" w:color="auto"/>
              <w:right w:val="single" w:sz="8" w:space="0" w:color="auto"/>
            </w:tcBorders>
            <w:shd w:val="clear" w:color="000000" w:fill="DBDBDB"/>
            <w:vAlign w:val="center"/>
            <w:hideMark/>
          </w:tcPr>
          <w:p w14:paraId="00E535A0" w14:textId="77777777" w:rsidR="00482710" w:rsidRPr="00482710" w:rsidRDefault="00482710" w:rsidP="00ED0221">
            <w:pPr>
              <w:jc w:val="center"/>
              <w:rPr>
                <w:rFonts w:ascii="Calibri" w:hAnsi="Calibri" w:cs="Calibri"/>
                <w:b/>
                <w:bCs/>
                <w:color w:val="000000"/>
                <w:sz w:val="22"/>
                <w:szCs w:val="22"/>
              </w:rPr>
            </w:pPr>
            <w:r w:rsidRPr="00482710">
              <w:rPr>
                <w:rFonts w:ascii="Calibri" w:hAnsi="Calibri" w:cs="Calibri"/>
                <w:b/>
                <w:bCs/>
                <w:color w:val="000000"/>
                <w:sz w:val="22"/>
                <w:szCs w:val="22"/>
              </w:rPr>
              <w:t>20.1</w:t>
            </w:r>
          </w:p>
        </w:tc>
        <w:tc>
          <w:tcPr>
            <w:tcW w:w="1080" w:type="pct"/>
            <w:tcBorders>
              <w:top w:val="nil"/>
              <w:left w:val="nil"/>
              <w:bottom w:val="single" w:sz="8" w:space="0" w:color="auto"/>
              <w:right w:val="single" w:sz="8" w:space="0" w:color="auto"/>
            </w:tcBorders>
            <w:shd w:val="clear" w:color="000000" w:fill="DBDBDB"/>
            <w:vAlign w:val="center"/>
            <w:hideMark/>
          </w:tcPr>
          <w:p w14:paraId="7446DD24" w14:textId="7532EDFC" w:rsidR="00482710" w:rsidRPr="00482710" w:rsidRDefault="00482710" w:rsidP="00ED0221">
            <w:pPr>
              <w:jc w:val="center"/>
              <w:rPr>
                <w:rFonts w:ascii="Calibri" w:hAnsi="Calibri" w:cs="Calibri"/>
                <w:b/>
                <w:bCs/>
                <w:color w:val="000000"/>
                <w:sz w:val="22"/>
                <w:szCs w:val="22"/>
              </w:rPr>
            </w:pPr>
            <w:r w:rsidRPr="00482710">
              <w:rPr>
                <w:rFonts w:ascii="Calibri" w:hAnsi="Calibri" w:cs="Calibri"/>
                <w:b/>
                <w:bCs/>
                <w:color w:val="000000"/>
                <w:sz w:val="22"/>
                <w:szCs w:val="22"/>
              </w:rPr>
              <w:t>15.</w:t>
            </w:r>
            <w:r w:rsidR="009C7FB1">
              <w:rPr>
                <w:rFonts w:ascii="Calibri" w:hAnsi="Calibri" w:cs="Calibri"/>
                <w:b/>
                <w:bCs/>
                <w:color w:val="000000"/>
                <w:sz w:val="22"/>
                <w:szCs w:val="22"/>
              </w:rPr>
              <w:t>1</w:t>
            </w:r>
          </w:p>
        </w:tc>
        <w:tc>
          <w:tcPr>
            <w:tcW w:w="1016" w:type="pct"/>
            <w:tcBorders>
              <w:top w:val="nil"/>
              <w:left w:val="nil"/>
              <w:bottom w:val="single" w:sz="8" w:space="0" w:color="auto"/>
              <w:right w:val="single" w:sz="8" w:space="0" w:color="auto"/>
            </w:tcBorders>
            <w:shd w:val="clear" w:color="000000" w:fill="DBDBDB"/>
            <w:vAlign w:val="center"/>
            <w:hideMark/>
          </w:tcPr>
          <w:p w14:paraId="5D9E99C0" w14:textId="722BF56A" w:rsidR="00482710" w:rsidRPr="00482710" w:rsidRDefault="00482710" w:rsidP="00ED0221">
            <w:pPr>
              <w:jc w:val="center"/>
              <w:rPr>
                <w:rFonts w:ascii="Calibri" w:hAnsi="Calibri" w:cs="Calibri"/>
                <w:b/>
                <w:bCs/>
                <w:color w:val="000000"/>
                <w:sz w:val="22"/>
                <w:szCs w:val="22"/>
              </w:rPr>
            </w:pPr>
            <w:r w:rsidRPr="00482710">
              <w:rPr>
                <w:rFonts w:ascii="Calibri" w:hAnsi="Calibri" w:cs="Calibri"/>
                <w:b/>
                <w:bCs/>
                <w:color w:val="000000"/>
                <w:sz w:val="22"/>
                <w:szCs w:val="22"/>
              </w:rPr>
              <w:t>35.</w:t>
            </w:r>
            <w:r w:rsidR="009C7FB1">
              <w:rPr>
                <w:rFonts w:ascii="Calibri" w:hAnsi="Calibri" w:cs="Calibri"/>
                <w:b/>
                <w:bCs/>
                <w:color w:val="000000"/>
                <w:sz w:val="22"/>
                <w:szCs w:val="22"/>
              </w:rPr>
              <w:t>2</w:t>
            </w:r>
          </w:p>
        </w:tc>
      </w:tr>
    </w:tbl>
    <w:p w14:paraId="6CBADF22" w14:textId="77777777" w:rsidR="00482710" w:rsidRDefault="00482710" w:rsidP="009047AE">
      <w:pPr>
        <w:rPr>
          <w:rFonts w:cs="Arial"/>
          <w:bCs/>
        </w:rPr>
      </w:pPr>
    </w:p>
    <w:p w14:paraId="2C7628D4" w14:textId="77777777" w:rsidR="00850E61" w:rsidRPr="009047AE" w:rsidRDefault="00850E61" w:rsidP="009047AE">
      <w:pPr>
        <w:rPr>
          <w:rFonts w:cs="Arial"/>
          <w:bCs/>
        </w:rPr>
      </w:pPr>
    </w:p>
    <w:p w14:paraId="678C16F1" w14:textId="2BF0743D" w:rsidR="00724CE3" w:rsidRPr="00482710" w:rsidRDefault="009047AE" w:rsidP="00F52B12">
      <w:pPr>
        <w:pStyle w:val="ListParagraph"/>
        <w:numPr>
          <w:ilvl w:val="1"/>
          <w:numId w:val="26"/>
        </w:numPr>
        <w:ind w:left="709" w:hanging="709"/>
        <w:rPr>
          <w:rFonts w:cs="Arial"/>
          <w:bCs/>
        </w:rPr>
      </w:pPr>
      <w:r w:rsidRPr="009047AE">
        <w:rPr>
          <w:rFonts w:cs="Arial"/>
          <w:bCs/>
        </w:rPr>
        <w:t xml:space="preserve">DfE were consulted regarding the carry forward of DSG Early Years underspends. Their response was that any in-year underspend on the DSG must first be used to offset a cumulative deficit. The overall savings in the Schools and Early years blocks will therefore be used to reduce the High Needs overspend as in previous years.  This overspend is a burden to all schools and pupils in the borough, so reducing it benefits the whole education community.  The cumulative overspend increased by </w:t>
      </w:r>
      <w:r w:rsidRPr="004E56B6">
        <w:rPr>
          <w:rFonts w:cs="Arial"/>
          <w:bCs/>
        </w:rPr>
        <w:t>£</w:t>
      </w:r>
      <w:r w:rsidR="002E3637" w:rsidRPr="004E56B6">
        <w:rPr>
          <w:rFonts w:cs="Arial"/>
          <w:bCs/>
        </w:rPr>
        <w:t>15.</w:t>
      </w:r>
      <w:r w:rsidR="00520050">
        <w:rPr>
          <w:rFonts w:cs="Arial"/>
          <w:bCs/>
        </w:rPr>
        <w:t>1</w:t>
      </w:r>
      <w:r w:rsidRPr="009047AE">
        <w:rPr>
          <w:rFonts w:cs="Arial"/>
          <w:bCs/>
        </w:rPr>
        <w:t xml:space="preserve">m from </w:t>
      </w:r>
      <w:r w:rsidRPr="004E56B6">
        <w:rPr>
          <w:rFonts w:cs="Arial"/>
          <w:bCs/>
        </w:rPr>
        <w:t>£</w:t>
      </w:r>
      <w:r w:rsidR="00BD4AB2" w:rsidRPr="004E56B6">
        <w:rPr>
          <w:rFonts w:cs="Arial"/>
          <w:bCs/>
        </w:rPr>
        <w:t>20.1</w:t>
      </w:r>
      <w:r w:rsidRPr="009047AE">
        <w:rPr>
          <w:rFonts w:cs="Arial"/>
          <w:bCs/>
        </w:rPr>
        <w:t xml:space="preserve">m </w:t>
      </w:r>
      <w:r w:rsidR="004E7E62">
        <w:rPr>
          <w:rFonts w:cs="Arial"/>
          <w:bCs/>
        </w:rPr>
        <w:t>£35.</w:t>
      </w:r>
      <w:r w:rsidR="00AF486B">
        <w:rPr>
          <w:rFonts w:cs="Arial"/>
          <w:bCs/>
        </w:rPr>
        <w:t>2</w:t>
      </w:r>
      <w:r w:rsidR="00D206A9">
        <w:rPr>
          <w:rFonts w:cs="Arial"/>
          <w:bCs/>
        </w:rPr>
        <w:t>m</w:t>
      </w:r>
      <w:r>
        <w:rPr>
          <w:rFonts w:cs="Arial"/>
          <w:bCs/>
        </w:rPr>
        <w:t>.</w:t>
      </w:r>
    </w:p>
    <w:p w14:paraId="690EF258" w14:textId="77777777" w:rsidR="00724CE3" w:rsidRPr="00F52B12" w:rsidRDefault="00724CE3" w:rsidP="00F52B12">
      <w:pPr>
        <w:rPr>
          <w:rFonts w:cs="Arial"/>
          <w:bCs/>
        </w:rPr>
      </w:pPr>
    </w:p>
    <w:p w14:paraId="573F9DBD" w14:textId="749665C4" w:rsidR="00B60671" w:rsidRPr="00517FAA" w:rsidRDefault="00B60671" w:rsidP="00F52B12">
      <w:pPr>
        <w:pStyle w:val="Heading2"/>
        <w:rPr>
          <w:rFonts w:ascii="Arial" w:hAnsi="Arial" w:cs="Arial"/>
          <w:sz w:val="24"/>
          <w:szCs w:val="24"/>
        </w:rPr>
      </w:pPr>
      <w:r w:rsidRPr="00517FAA">
        <w:rPr>
          <w:rFonts w:ascii="Arial" w:hAnsi="Arial" w:cs="Arial"/>
          <w:sz w:val="24"/>
          <w:szCs w:val="24"/>
        </w:rPr>
        <w:t>.</w:t>
      </w:r>
    </w:p>
    <w:p w14:paraId="0F7E4C9F" w14:textId="77777777" w:rsidR="00B60671" w:rsidRPr="00517FAA" w:rsidRDefault="00B60671" w:rsidP="00B60671">
      <w:pPr>
        <w:pStyle w:val="ListParagraph"/>
        <w:ind w:left="0"/>
        <w:rPr>
          <w:rFonts w:cs="Arial"/>
          <w:color w:val="000000"/>
        </w:rPr>
      </w:pPr>
    </w:p>
    <w:p w14:paraId="7B4E2748" w14:textId="77777777" w:rsidR="00B60671" w:rsidRPr="00517FAA" w:rsidRDefault="00B60671" w:rsidP="00B60671">
      <w:pPr>
        <w:spacing w:after="120"/>
        <w:jc w:val="both"/>
        <w:rPr>
          <w:rFonts w:cs="Arial"/>
          <w:color w:val="000000"/>
        </w:rPr>
      </w:pPr>
    </w:p>
    <w:p w14:paraId="0045E5DA" w14:textId="77777777" w:rsidR="00B60671" w:rsidRPr="00517FAA" w:rsidRDefault="00B60671" w:rsidP="00B60671">
      <w:pPr>
        <w:spacing w:after="120"/>
        <w:jc w:val="both"/>
        <w:rPr>
          <w:rFonts w:cs="Arial"/>
          <w:color w:val="000000"/>
        </w:rPr>
      </w:pPr>
    </w:p>
    <w:p w14:paraId="148F96DE" w14:textId="77777777" w:rsidR="00B60671" w:rsidRPr="00517FAA" w:rsidRDefault="00B60671" w:rsidP="00B60671">
      <w:pPr>
        <w:rPr>
          <w:rFonts w:cs="Arial"/>
        </w:rPr>
      </w:pPr>
    </w:p>
    <w:p w14:paraId="3AF60BD1" w14:textId="77777777" w:rsidR="008C5F26" w:rsidRPr="00517FAA" w:rsidRDefault="008C5F26" w:rsidP="0031268C">
      <w:pPr>
        <w:jc w:val="both"/>
        <w:rPr>
          <w:rFonts w:cs="Arial"/>
          <w:b/>
          <w:bCs/>
        </w:rPr>
      </w:pPr>
    </w:p>
    <w:p w14:paraId="7FE175E8" w14:textId="77777777" w:rsidR="004F409A" w:rsidRPr="00517FAA" w:rsidRDefault="004F409A" w:rsidP="004F409A">
      <w:pPr>
        <w:pStyle w:val="ListParagraph"/>
        <w:autoSpaceDE w:val="0"/>
        <w:autoSpaceDN w:val="0"/>
        <w:adjustRightInd w:val="0"/>
        <w:ind w:left="426"/>
        <w:rPr>
          <w:rFonts w:cs="Arial"/>
          <w:color w:val="000000"/>
        </w:rPr>
      </w:pPr>
    </w:p>
    <w:p w14:paraId="1E5F704A" w14:textId="07754437" w:rsidR="00894B4D" w:rsidRPr="00517FAA" w:rsidRDefault="00894B4D" w:rsidP="004F409A">
      <w:pPr>
        <w:spacing w:after="120"/>
        <w:jc w:val="both"/>
        <w:rPr>
          <w:rFonts w:cs="Arial"/>
          <w:color w:val="000000"/>
        </w:rPr>
      </w:pPr>
    </w:p>
    <w:p w14:paraId="708DCD05" w14:textId="77777777" w:rsidR="0070580B" w:rsidRPr="00517FAA" w:rsidRDefault="0070580B" w:rsidP="0070580B">
      <w:pPr>
        <w:pStyle w:val="ListParagraph"/>
        <w:rPr>
          <w:rFonts w:cs="Arial"/>
          <w:color w:val="000000"/>
        </w:rPr>
      </w:pPr>
    </w:p>
    <w:p w14:paraId="0AFF3640" w14:textId="77777777" w:rsidR="0070580B" w:rsidRPr="00517FAA" w:rsidRDefault="0070580B" w:rsidP="0070580B">
      <w:pPr>
        <w:spacing w:after="120"/>
        <w:jc w:val="both"/>
        <w:rPr>
          <w:rFonts w:cs="Arial"/>
          <w:color w:val="000000"/>
        </w:rPr>
      </w:pPr>
    </w:p>
    <w:p w14:paraId="7BD0EB6B" w14:textId="77777777" w:rsidR="0070580B" w:rsidRPr="00517FAA" w:rsidRDefault="0070580B" w:rsidP="0070580B">
      <w:pPr>
        <w:spacing w:after="120"/>
        <w:jc w:val="both"/>
        <w:rPr>
          <w:rFonts w:cs="Arial"/>
          <w:color w:val="000000"/>
        </w:rPr>
      </w:pPr>
    </w:p>
    <w:p w14:paraId="18E47497" w14:textId="77777777" w:rsidR="0070580B" w:rsidRPr="00517FAA" w:rsidRDefault="0070580B" w:rsidP="0070580B">
      <w:pPr>
        <w:spacing w:after="120"/>
        <w:jc w:val="both"/>
        <w:rPr>
          <w:rFonts w:cs="Arial"/>
          <w:color w:val="000000"/>
        </w:rPr>
      </w:pPr>
    </w:p>
    <w:p w14:paraId="0F597D21" w14:textId="77777777" w:rsidR="0070580B" w:rsidRPr="00517FAA" w:rsidRDefault="0070580B" w:rsidP="0070580B">
      <w:pPr>
        <w:spacing w:after="120"/>
        <w:jc w:val="both"/>
        <w:rPr>
          <w:rFonts w:cs="Arial"/>
          <w:color w:val="000000"/>
        </w:rPr>
      </w:pPr>
    </w:p>
    <w:p w14:paraId="77221E45" w14:textId="77777777" w:rsidR="0070580B" w:rsidRPr="00517FAA" w:rsidRDefault="0070580B" w:rsidP="0070580B">
      <w:pPr>
        <w:spacing w:after="120"/>
        <w:jc w:val="both"/>
        <w:rPr>
          <w:rFonts w:cs="Arial"/>
          <w:color w:val="000000"/>
        </w:rPr>
      </w:pPr>
    </w:p>
    <w:p w14:paraId="72F0419D" w14:textId="77777777" w:rsidR="0070580B" w:rsidRPr="00517FAA" w:rsidRDefault="0070580B" w:rsidP="0070580B">
      <w:pPr>
        <w:spacing w:after="120"/>
        <w:jc w:val="both"/>
        <w:rPr>
          <w:rFonts w:cs="Arial"/>
          <w:color w:val="000000"/>
        </w:rPr>
      </w:pPr>
    </w:p>
    <w:p w14:paraId="06120A51" w14:textId="77777777" w:rsidR="0070580B" w:rsidRPr="00517FAA" w:rsidRDefault="0070580B" w:rsidP="0070580B">
      <w:pPr>
        <w:spacing w:after="120"/>
        <w:jc w:val="both"/>
        <w:rPr>
          <w:rFonts w:cs="Arial"/>
          <w:color w:val="000000"/>
        </w:rPr>
      </w:pPr>
    </w:p>
    <w:p w14:paraId="7D2276A6" w14:textId="77777777" w:rsidR="0070580B" w:rsidRPr="00517FAA" w:rsidRDefault="0070580B" w:rsidP="0070580B">
      <w:pPr>
        <w:spacing w:after="120"/>
        <w:jc w:val="both"/>
        <w:rPr>
          <w:rFonts w:cs="Arial"/>
          <w:color w:val="000000"/>
        </w:rPr>
      </w:pPr>
    </w:p>
    <w:p w14:paraId="2307468F" w14:textId="77777777" w:rsidR="00724CE3" w:rsidRDefault="00724CE3" w:rsidP="0070580B">
      <w:pPr>
        <w:spacing w:after="120"/>
        <w:jc w:val="both"/>
        <w:rPr>
          <w:rFonts w:cs="Arial"/>
          <w:color w:val="000000"/>
        </w:rPr>
      </w:pPr>
    </w:p>
    <w:p w14:paraId="085BA847" w14:textId="77777777" w:rsidR="00850E61" w:rsidRDefault="00850E61" w:rsidP="0070580B">
      <w:pPr>
        <w:spacing w:after="120"/>
        <w:jc w:val="both"/>
        <w:rPr>
          <w:rFonts w:cs="Arial"/>
          <w:color w:val="000000"/>
        </w:rPr>
      </w:pPr>
    </w:p>
    <w:p w14:paraId="6C9ECD3C" w14:textId="2A15EEE8" w:rsidR="006D6469" w:rsidRDefault="00A136DF" w:rsidP="0070580B">
      <w:pPr>
        <w:spacing w:after="120"/>
        <w:jc w:val="both"/>
        <w:rPr>
          <w:rFonts w:cs="Arial"/>
          <w:b/>
          <w:bCs/>
          <w:color w:val="000000"/>
        </w:rPr>
      </w:pPr>
      <w:r>
        <w:rPr>
          <w:rFonts w:cs="Arial"/>
          <w:b/>
          <w:bCs/>
          <w:color w:val="000000"/>
        </w:rPr>
        <w:lastRenderedPageBreak/>
        <w:t>Appendix 1</w:t>
      </w:r>
      <w:r w:rsidR="00796A3F">
        <w:rPr>
          <w:rFonts w:cs="Arial"/>
          <w:b/>
          <w:bCs/>
          <w:color w:val="000000"/>
        </w:rPr>
        <w:t xml:space="preserve"> </w:t>
      </w:r>
      <w:r w:rsidR="00796A3F">
        <w:rPr>
          <w:b/>
          <w:color w:val="000000" w:themeColor="text1"/>
        </w:rPr>
        <w:t>Surplus</w:t>
      </w:r>
      <w:r w:rsidR="00796A3F" w:rsidRPr="00F32C7A">
        <w:rPr>
          <w:b/>
        </w:rPr>
        <w:t>/</w:t>
      </w:r>
      <w:r w:rsidR="00796A3F">
        <w:rPr>
          <w:b/>
        </w:rPr>
        <w:t xml:space="preserve"> </w:t>
      </w:r>
      <w:r w:rsidR="00796A3F" w:rsidRPr="004A2A6E">
        <w:rPr>
          <w:b/>
          <w:color w:val="EE0000"/>
        </w:rPr>
        <w:t>(</w:t>
      </w:r>
      <w:r w:rsidR="00796A3F">
        <w:rPr>
          <w:b/>
          <w:color w:val="EE0000"/>
        </w:rPr>
        <w:t>Deficit</w:t>
      </w:r>
      <w:r w:rsidR="00796A3F" w:rsidRPr="004A2A6E">
        <w:rPr>
          <w:b/>
          <w:color w:val="EE0000"/>
        </w:rPr>
        <w:t>)</w:t>
      </w:r>
    </w:p>
    <w:p w14:paraId="2071326D" w14:textId="77777777" w:rsidR="0075354F" w:rsidRDefault="0075354F" w:rsidP="0070580B">
      <w:pPr>
        <w:spacing w:after="120"/>
        <w:jc w:val="both"/>
        <w:rPr>
          <w:rFonts w:cs="Arial"/>
          <w:b/>
          <w:bCs/>
          <w:color w:val="000000"/>
        </w:rPr>
      </w:pPr>
    </w:p>
    <w:tbl>
      <w:tblPr>
        <w:tblW w:w="5000" w:type="pct"/>
        <w:tblLook w:val="04A0" w:firstRow="1" w:lastRow="0" w:firstColumn="1" w:lastColumn="0" w:noHBand="0" w:noVBand="1"/>
      </w:tblPr>
      <w:tblGrid>
        <w:gridCol w:w="1000"/>
        <w:gridCol w:w="2786"/>
        <w:gridCol w:w="1877"/>
        <w:gridCol w:w="1915"/>
        <w:gridCol w:w="1758"/>
      </w:tblGrid>
      <w:tr w:rsidR="0075354F" w:rsidRPr="0075354F" w14:paraId="0FC1DA38" w14:textId="77777777" w:rsidTr="0075354F">
        <w:trPr>
          <w:trHeight w:val="1640"/>
        </w:trPr>
        <w:tc>
          <w:tcPr>
            <w:tcW w:w="569" w:type="pct"/>
            <w:tcBorders>
              <w:top w:val="single" w:sz="8" w:space="0" w:color="auto"/>
              <w:left w:val="single" w:sz="8" w:space="0" w:color="auto"/>
              <w:bottom w:val="single" w:sz="8" w:space="0" w:color="auto"/>
              <w:right w:val="nil"/>
            </w:tcBorders>
            <w:vAlign w:val="center"/>
            <w:hideMark/>
          </w:tcPr>
          <w:p w14:paraId="7FFB752F" w14:textId="77777777" w:rsidR="0075354F" w:rsidRPr="0075354F" w:rsidRDefault="0075354F" w:rsidP="0075354F">
            <w:pPr>
              <w:jc w:val="center"/>
              <w:rPr>
                <w:rFonts w:cs="Arial"/>
                <w:b/>
                <w:bCs/>
                <w:color w:val="000000"/>
                <w:sz w:val="22"/>
                <w:szCs w:val="22"/>
              </w:rPr>
            </w:pPr>
            <w:r w:rsidRPr="0075354F">
              <w:rPr>
                <w:rFonts w:cs="Arial"/>
                <w:b/>
                <w:bCs/>
                <w:color w:val="000000"/>
                <w:sz w:val="22"/>
                <w:szCs w:val="22"/>
              </w:rPr>
              <w:t>Cost Centre</w:t>
            </w:r>
          </w:p>
        </w:tc>
        <w:tc>
          <w:tcPr>
            <w:tcW w:w="1525" w:type="pct"/>
            <w:tcBorders>
              <w:top w:val="single" w:sz="8" w:space="0" w:color="auto"/>
              <w:left w:val="single" w:sz="8" w:space="0" w:color="auto"/>
              <w:bottom w:val="single" w:sz="8" w:space="0" w:color="auto"/>
              <w:right w:val="nil"/>
            </w:tcBorders>
            <w:vAlign w:val="center"/>
            <w:hideMark/>
          </w:tcPr>
          <w:p w14:paraId="6CCB836F" w14:textId="77777777" w:rsidR="0075354F" w:rsidRPr="0075354F" w:rsidRDefault="0075354F" w:rsidP="0075354F">
            <w:pPr>
              <w:jc w:val="center"/>
              <w:rPr>
                <w:rFonts w:cs="Arial"/>
                <w:b/>
                <w:bCs/>
                <w:color w:val="000000"/>
                <w:sz w:val="22"/>
                <w:szCs w:val="22"/>
              </w:rPr>
            </w:pPr>
            <w:r w:rsidRPr="0075354F">
              <w:rPr>
                <w:rFonts w:cs="Arial"/>
                <w:b/>
                <w:bCs/>
                <w:color w:val="000000"/>
                <w:sz w:val="22"/>
                <w:szCs w:val="22"/>
              </w:rPr>
              <w:t>School</w:t>
            </w:r>
          </w:p>
        </w:tc>
        <w:tc>
          <w:tcPr>
            <w:tcW w:w="1038" w:type="pct"/>
            <w:tcBorders>
              <w:top w:val="single" w:sz="8" w:space="0" w:color="auto"/>
              <w:left w:val="single" w:sz="8" w:space="0" w:color="auto"/>
              <w:bottom w:val="single" w:sz="8" w:space="0" w:color="auto"/>
              <w:right w:val="single" w:sz="8" w:space="0" w:color="auto"/>
            </w:tcBorders>
            <w:vAlign w:val="center"/>
            <w:hideMark/>
          </w:tcPr>
          <w:p w14:paraId="567E20CD" w14:textId="77777777" w:rsidR="0075354F" w:rsidRPr="0075354F" w:rsidRDefault="0075354F" w:rsidP="0075354F">
            <w:pPr>
              <w:jc w:val="center"/>
              <w:rPr>
                <w:rFonts w:cs="Arial"/>
                <w:b/>
                <w:bCs/>
                <w:color w:val="000000"/>
                <w:sz w:val="22"/>
                <w:szCs w:val="22"/>
              </w:rPr>
            </w:pPr>
            <w:r w:rsidRPr="0075354F">
              <w:rPr>
                <w:rFonts w:cs="Arial"/>
                <w:b/>
                <w:bCs/>
                <w:color w:val="000000"/>
                <w:sz w:val="22"/>
                <w:szCs w:val="22"/>
              </w:rPr>
              <w:t>Revenue Brought Forward 24-25 (including Community Balance)</w:t>
            </w:r>
          </w:p>
        </w:tc>
        <w:tc>
          <w:tcPr>
            <w:tcW w:w="894" w:type="pct"/>
            <w:tcBorders>
              <w:top w:val="single" w:sz="8" w:space="0" w:color="auto"/>
              <w:left w:val="nil"/>
              <w:bottom w:val="single" w:sz="8" w:space="0" w:color="auto"/>
              <w:right w:val="single" w:sz="8" w:space="0" w:color="auto"/>
            </w:tcBorders>
            <w:shd w:val="clear" w:color="000000" w:fill="C1F0C8"/>
            <w:vAlign w:val="center"/>
            <w:hideMark/>
          </w:tcPr>
          <w:p w14:paraId="3FBD2C78" w14:textId="77777777" w:rsidR="0075354F" w:rsidRPr="0075354F" w:rsidRDefault="0075354F" w:rsidP="0075354F">
            <w:pPr>
              <w:jc w:val="center"/>
              <w:rPr>
                <w:rFonts w:cs="Arial"/>
                <w:b/>
                <w:bCs/>
                <w:color w:val="000000"/>
                <w:sz w:val="22"/>
                <w:szCs w:val="22"/>
              </w:rPr>
            </w:pPr>
            <w:r w:rsidRPr="0075354F">
              <w:rPr>
                <w:rFonts w:cs="Arial"/>
                <w:b/>
                <w:bCs/>
                <w:color w:val="000000"/>
                <w:sz w:val="22"/>
                <w:szCs w:val="22"/>
              </w:rPr>
              <w:t>2025-26 In-year Revenue Surplus/(Deficit)</w:t>
            </w:r>
          </w:p>
        </w:tc>
        <w:tc>
          <w:tcPr>
            <w:tcW w:w="975" w:type="pct"/>
            <w:tcBorders>
              <w:top w:val="single" w:sz="8" w:space="0" w:color="auto"/>
              <w:left w:val="nil"/>
              <w:bottom w:val="single" w:sz="8" w:space="0" w:color="auto"/>
              <w:right w:val="single" w:sz="8" w:space="0" w:color="auto"/>
            </w:tcBorders>
            <w:shd w:val="clear" w:color="000000" w:fill="CAEDFB"/>
            <w:vAlign w:val="center"/>
            <w:hideMark/>
          </w:tcPr>
          <w:p w14:paraId="575FC2D2" w14:textId="77777777" w:rsidR="0075354F" w:rsidRPr="0075354F" w:rsidRDefault="0075354F" w:rsidP="0075354F">
            <w:pPr>
              <w:jc w:val="center"/>
              <w:rPr>
                <w:rFonts w:cs="Arial"/>
                <w:b/>
                <w:bCs/>
                <w:color w:val="000000"/>
                <w:sz w:val="22"/>
                <w:szCs w:val="22"/>
              </w:rPr>
            </w:pPr>
            <w:r w:rsidRPr="0075354F">
              <w:rPr>
                <w:rFonts w:cs="Arial"/>
                <w:b/>
                <w:bCs/>
                <w:color w:val="000000"/>
                <w:sz w:val="22"/>
                <w:szCs w:val="22"/>
              </w:rPr>
              <w:t>Revenue Carried Forward 25-26 (including Community Balance)</w:t>
            </w:r>
          </w:p>
        </w:tc>
      </w:tr>
      <w:tr w:rsidR="0075354F" w:rsidRPr="0075354F" w14:paraId="67FCE481" w14:textId="77777777" w:rsidTr="0075354F">
        <w:trPr>
          <w:trHeight w:val="290"/>
        </w:trPr>
        <w:tc>
          <w:tcPr>
            <w:tcW w:w="569" w:type="pct"/>
            <w:tcBorders>
              <w:top w:val="nil"/>
              <w:left w:val="single" w:sz="8" w:space="0" w:color="auto"/>
              <w:bottom w:val="nil"/>
              <w:right w:val="nil"/>
            </w:tcBorders>
            <w:noWrap/>
            <w:vAlign w:val="center"/>
            <w:hideMark/>
          </w:tcPr>
          <w:p w14:paraId="1ADD4759" w14:textId="77777777" w:rsidR="0075354F" w:rsidRPr="0075354F" w:rsidRDefault="0075354F" w:rsidP="0075354F">
            <w:pPr>
              <w:jc w:val="right"/>
              <w:rPr>
                <w:rFonts w:cs="Arial"/>
                <w:color w:val="000000"/>
                <w:sz w:val="22"/>
                <w:szCs w:val="22"/>
              </w:rPr>
            </w:pPr>
            <w:r w:rsidRPr="0075354F">
              <w:rPr>
                <w:rFonts w:cs="Arial"/>
                <w:color w:val="000000"/>
                <w:sz w:val="22"/>
                <w:szCs w:val="22"/>
              </w:rPr>
              <w:t>80000</w:t>
            </w:r>
          </w:p>
        </w:tc>
        <w:tc>
          <w:tcPr>
            <w:tcW w:w="1525" w:type="pct"/>
            <w:tcBorders>
              <w:top w:val="nil"/>
              <w:left w:val="single" w:sz="8" w:space="0" w:color="auto"/>
              <w:bottom w:val="nil"/>
              <w:right w:val="nil"/>
            </w:tcBorders>
            <w:noWrap/>
            <w:vAlign w:val="center"/>
            <w:hideMark/>
          </w:tcPr>
          <w:p w14:paraId="3606F33B" w14:textId="77777777" w:rsidR="0075354F" w:rsidRPr="0075354F" w:rsidRDefault="0075354F" w:rsidP="0075354F">
            <w:pPr>
              <w:rPr>
                <w:rFonts w:cs="Arial"/>
                <w:color w:val="000000"/>
                <w:sz w:val="22"/>
                <w:szCs w:val="22"/>
              </w:rPr>
            </w:pPr>
            <w:r w:rsidRPr="0075354F">
              <w:rPr>
                <w:rFonts w:cs="Arial"/>
                <w:color w:val="000000"/>
                <w:sz w:val="22"/>
                <w:szCs w:val="22"/>
              </w:rPr>
              <w:t>Alice Model</w:t>
            </w:r>
          </w:p>
        </w:tc>
        <w:tc>
          <w:tcPr>
            <w:tcW w:w="1038" w:type="pct"/>
            <w:tcBorders>
              <w:top w:val="nil"/>
              <w:left w:val="single" w:sz="8" w:space="0" w:color="auto"/>
              <w:bottom w:val="nil"/>
              <w:right w:val="single" w:sz="8" w:space="0" w:color="auto"/>
            </w:tcBorders>
            <w:noWrap/>
            <w:vAlign w:val="center"/>
            <w:hideMark/>
          </w:tcPr>
          <w:p w14:paraId="43ADE65D" w14:textId="77777777" w:rsidR="0075354F" w:rsidRPr="007A76D3" w:rsidRDefault="0075354F" w:rsidP="0075354F">
            <w:pPr>
              <w:jc w:val="right"/>
              <w:rPr>
                <w:rFonts w:cs="Arial"/>
                <w:color w:val="ED0000"/>
                <w:sz w:val="22"/>
                <w:szCs w:val="22"/>
              </w:rPr>
            </w:pPr>
            <w:r w:rsidRPr="007A76D3">
              <w:rPr>
                <w:rFonts w:cs="Arial"/>
                <w:color w:val="ED0000"/>
                <w:sz w:val="22"/>
                <w:szCs w:val="22"/>
              </w:rPr>
              <w:t>-285,270</w:t>
            </w:r>
          </w:p>
        </w:tc>
        <w:tc>
          <w:tcPr>
            <w:tcW w:w="894" w:type="pct"/>
            <w:tcBorders>
              <w:top w:val="nil"/>
              <w:left w:val="nil"/>
              <w:bottom w:val="nil"/>
              <w:right w:val="single" w:sz="8" w:space="0" w:color="auto"/>
            </w:tcBorders>
            <w:noWrap/>
            <w:vAlign w:val="center"/>
            <w:hideMark/>
          </w:tcPr>
          <w:p w14:paraId="016B6604" w14:textId="77777777" w:rsidR="0075354F" w:rsidRPr="007A76D3" w:rsidRDefault="0075354F" w:rsidP="0075354F">
            <w:pPr>
              <w:jc w:val="right"/>
              <w:rPr>
                <w:rFonts w:cs="Arial"/>
                <w:color w:val="ED0000"/>
                <w:sz w:val="22"/>
                <w:szCs w:val="22"/>
              </w:rPr>
            </w:pPr>
            <w:r w:rsidRPr="007A76D3">
              <w:rPr>
                <w:rFonts w:cs="Arial"/>
                <w:color w:val="ED0000"/>
                <w:sz w:val="22"/>
                <w:szCs w:val="22"/>
              </w:rPr>
              <w:t>-147,824</w:t>
            </w:r>
          </w:p>
        </w:tc>
        <w:tc>
          <w:tcPr>
            <w:tcW w:w="975" w:type="pct"/>
            <w:tcBorders>
              <w:top w:val="nil"/>
              <w:left w:val="nil"/>
              <w:bottom w:val="nil"/>
              <w:right w:val="single" w:sz="8" w:space="0" w:color="auto"/>
            </w:tcBorders>
            <w:noWrap/>
            <w:vAlign w:val="center"/>
            <w:hideMark/>
          </w:tcPr>
          <w:p w14:paraId="10354DF8" w14:textId="77777777" w:rsidR="0075354F" w:rsidRPr="007A76D3" w:rsidRDefault="0075354F" w:rsidP="0075354F">
            <w:pPr>
              <w:jc w:val="right"/>
              <w:rPr>
                <w:rFonts w:ascii="Aptos Narrow" w:hAnsi="Aptos Narrow"/>
                <w:color w:val="ED0000"/>
                <w:sz w:val="22"/>
                <w:szCs w:val="22"/>
              </w:rPr>
            </w:pPr>
            <w:r w:rsidRPr="007A76D3">
              <w:rPr>
                <w:rFonts w:ascii="Aptos Narrow" w:hAnsi="Aptos Narrow"/>
                <w:color w:val="ED0000"/>
                <w:sz w:val="22"/>
                <w:szCs w:val="22"/>
              </w:rPr>
              <w:t>-433,094</w:t>
            </w:r>
          </w:p>
        </w:tc>
      </w:tr>
      <w:tr w:rsidR="0075354F" w:rsidRPr="0075354F" w14:paraId="6D618C17" w14:textId="77777777" w:rsidTr="0075354F">
        <w:trPr>
          <w:trHeight w:val="290"/>
        </w:trPr>
        <w:tc>
          <w:tcPr>
            <w:tcW w:w="569" w:type="pct"/>
            <w:tcBorders>
              <w:top w:val="nil"/>
              <w:left w:val="single" w:sz="8" w:space="0" w:color="auto"/>
              <w:bottom w:val="nil"/>
              <w:right w:val="nil"/>
            </w:tcBorders>
            <w:noWrap/>
            <w:vAlign w:val="center"/>
            <w:hideMark/>
          </w:tcPr>
          <w:p w14:paraId="6BD72428" w14:textId="77777777" w:rsidR="0075354F" w:rsidRPr="0075354F" w:rsidRDefault="0075354F" w:rsidP="0075354F">
            <w:pPr>
              <w:jc w:val="right"/>
              <w:rPr>
                <w:rFonts w:cs="Arial"/>
                <w:color w:val="000000"/>
                <w:sz w:val="22"/>
                <w:szCs w:val="22"/>
              </w:rPr>
            </w:pPr>
            <w:r w:rsidRPr="0075354F">
              <w:rPr>
                <w:rFonts w:cs="Arial"/>
                <w:color w:val="000000"/>
                <w:sz w:val="22"/>
                <w:szCs w:val="22"/>
              </w:rPr>
              <w:t>80425</w:t>
            </w:r>
          </w:p>
        </w:tc>
        <w:tc>
          <w:tcPr>
            <w:tcW w:w="1525" w:type="pct"/>
            <w:tcBorders>
              <w:top w:val="nil"/>
              <w:left w:val="single" w:sz="8" w:space="0" w:color="auto"/>
              <w:bottom w:val="nil"/>
              <w:right w:val="nil"/>
            </w:tcBorders>
            <w:noWrap/>
            <w:vAlign w:val="center"/>
            <w:hideMark/>
          </w:tcPr>
          <w:p w14:paraId="3792FB48" w14:textId="77777777" w:rsidR="0075354F" w:rsidRPr="0075354F" w:rsidRDefault="0075354F" w:rsidP="0075354F">
            <w:pPr>
              <w:rPr>
                <w:rFonts w:cs="Arial"/>
                <w:color w:val="000000"/>
                <w:sz w:val="22"/>
                <w:szCs w:val="22"/>
              </w:rPr>
            </w:pPr>
            <w:r w:rsidRPr="0075354F">
              <w:rPr>
                <w:rFonts w:cs="Arial"/>
                <w:color w:val="000000"/>
                <w:sz w:val="22"/>
                <w:szCs w:val="22"/>
              </w:rPr>
              <w:t>Arnhem Wharf</w:t>
            </w:r>
          </w:p>
        </w:tc>
        <w:tc>
          <w:tcPr>
            <w:tcW w:w="1038" w:type="pct"/>
            <w:tcBorders>
              <w:top w:val="nil"/>
              <w:left w:val="single" w:sz="8" w:space="0" w:color="auto"/>
              <w:bottom w:val="nil"/>
              <w:right w:val="single" w:sz="8" w:space="0" w:color="auto"/>
            </w:tcBorders>
            <w:noWrap/>
            <w:vAlign w:val="center"/>
            <w:hideMark/>
          </w:tcPr>
          <w:p w14:paraId="1CBED09A" w14:textId="77777777" w:rsidR="0075354F" w:rsidRPr="007A76D3" w:rsidRDefault="0075354F" w:rsidP="0075354F">
            <w:pPr>
              <w:jc w:val="right"/>
              <w:rPr>
                <w:rFonts w:cs="Arial"/>
                <w:color w:val="ED0000"/>
                <w:sz w:val="22"/>
                <w:szCs w:val="22"/>
              </w:rPr>
            </w:pPr>
            <w:r w:rsidRPr="007A76D3">
              <w:rPr>
                <w:rFonts w:cs="Arial"/>
                <w:color w:val="ED0000"/>
                <w:sz w:val="22"/>
                <w:szCs w:val="22"/>
              </w:rPr>
              <w:t>-80,594</w:t>
            </w:r>
          </w:p>
        </w:tc>
        <w:tc>
          <w:tcPr>
            <w:tcW w:w="894" w:type="pct"/>
            <w:tcBorders>
              <w:top w:val="nil"/>
              <w:left w:val="nil"/>
              <w:bottom w:val="nil"/>
              <w:right w:val="single" w:sz="8" w:space="0" w:color="auto"/>
            </w:tcBorders>
            <w:noWrap/>
            <w:vAlign w:val="center"/>
            <w:hideMark/>
          </w:tcPr>
          <w:p w14:paraId="5F555672" w14:textId="77777777" w:rsidR="0075354F" w:rsidRPr="007A76D3" w:rsidRDefault="0075354F" w:rsidP="0075354F">
            <w:pPr>
              <w:jc w:val="right"/>
              <w:rPr>
                <w:rFonts w:cs="Arial"/>
                <w:color w:val="ED0000"/>
                <w:sz w:val="22"/>
                <w:szCs w:val="22"/>
              </w:rPr>
            </w:pPr>
            <w:r w:rsidRPr="007A76D3">
              <w:rPr>
                <w:rFonts w:cs="Arial"/>
                <w:color w:val="ED0000"/>
                <w:sz w:val="22"/>
                <w:szCs w:val="22"/>
              </w:rPr>
              <w:t>-284,539</w:t>
            </w:r>
          </w:p>
        </w:tc>
        <w:tc>
          <w:tcPr>
            <w:tcW w:w="975" w:type="pct"/>
            <w:tcBorders>
              <w:top w:val="nil"/>
              <w:left w:val="nil"/>
              <w:bottom w:val="nil"/>
              <w:right w:val="single" w:sz="8" w:space="0" w:color="auto"/>
            </w:tcBorders>
            <w:noWrap/>
            <w:vAlign w:val="center"/>
            <w:hideMark/>
          </w:tcPr>
          <w:p w14:paraId="67E23D96" w14:textId="77777777" w:rsidR="0075354F" w:rsidRPr="007A76D3" w:rsidRDefault="0075354F" w:rsidP="0075354F">
            <w:pPr>
              <w:jc w:val="right"/>
              <w:rPr>
                <w:rFonts w:ascii="Aptos Narrow" w:hAnsi="Aptos Narrow"/>
                <w:color w:val="ED0000"/>
                <w:sz w:val="22"/>
                <w:szCs w:val="22"/>
              </w:rPr>
            </w:pPr>
            <w:r w:rsidRPr="007A76D3">
              <w:rPr>
                <w:rFonts w:ascii="Aptos Narrow" w:hAnsi="Aptos Narrow"/>
                <w:color w:val="ED0000"/>
                <w:sz w:val="22"/>
                <w:szCs w:val="22"/>
              </w:rPr>
              <w:t>-365,133</w:t>
            </w:r>
          </w:p>
        </w:tc>
      </w:tr>
      <w:tr w:rsidR="0075354F" w:rsidRPr="0075354F" w14:paraId="26F1EB4A" w14:textId="77777777" w:rsidTr="0075354F">
        <w:trPr>
          <w:trHeight w:val="290"/>
        </w:trPr>
        <w:tc>
          <w:tcPr>
            <w:tcW w:w="569" w:type="pct"/>
            <w:tcBorders>
              <w:top w:val="nil"/>
              <w:left w:val="single" w:sz="8" w:space="0" w:color="auto"/>
              <w:bottom w:val="nil"/>
              <w:right w:val="nil"/>
            </w:tcBorders>
            <w:noWrap/>
            <w:vAlign w:val="center"/>
            <w:hideMark/>
          </w:tcPr>
          <w:p w14:paraId="52483E13" w14:textId="77777777" w:rsidR="0075354F" w:rsidRPr="0075354F" w:rsidRDefault="0075354F" w:rsidP="0075354F">
            <w:pPr>
              <w:jc w:val="right"/>
              <w:rPr>
                <w:rFonts w:cs="Arial"/>
                <w:color w:val="000000"/>
                <w:sz w:val="22"/>
                <w:szCs w:val="22"/>
              </w:rPr>
            </w:pPr>
            <w:r w:rsidRPr="0075354F">
              <w:rPr>
                <w:rFonts w:cs="Arial"/>
                <w:color w:val="000000"/>
                <w:sz w:val="22"/>
                <w:szCs w:val="22"/>
              </w:rPr>
              <w:t>80050</w:t>
            </w:r>
          </w:p>
        </w:tc>
        <w:tc>
          <w:tcPr>
            <w:tcW w:w="1525" w:type="pct"/>
            <w:tcBorders>
              <w:top w:val="nil"/>
              <w:left w:val="single" w:sz="8" w:space="0" w:color="auto"/>
              <w:bottom w:val="nil"/>
              <w:right w:val="nil"/>
            </w:tcBorders>
            <w:noWrap/>
            <w:vAlign w:val="center"/>
            <w:hideMark/>
          </w:tcPr>
          <w:p w14:paraId="38823226" w14:textId="77777777" w:rsidR="0075354F" w:rsidRPr="0075354F" w:rsidRDefault="0075354F" w:rsidP="0075354F">
            <w:pPr>
              <w:rPr>
                <w:rFonts w:cs="Arial"/>
                <w:color w:val="000000"/>
                <w:sz w:val="22"/>
                <w:szCs w:val="22"/>
              </w:rPr>
            </w:pPr>
            <w:r w:rsidRPr="0075354F">
              <w:rPr>
                <w:rFonts w:cs="Arial"/>
                <w:color w:val="000000"/>
                <w:sz w:val="22"/>
                <w:szCs w:val="22"/>
              </w:rPr>
              <w:t>Bangabandhu</w:t>
            </w:r>
          </w:p>
        </w:tc>
        <w:tc>
          <w:tcPr>
            <w:tcW w:w="1038" w:type="pct"/>
            <w:tcBorders>
              <w:top w:val="nil"/>
              <w:left w:val="single" w:sz="8" w:space="0" w:color="auto"/>
              <w:bottom w:val="nil"/>
              <w:right w:val="single" w:sz="8" w:space="0" w:color="auto"/>
            </w:tcBorders>
            <w:noWrap/>
            <w:vAlign w:val="center"/>
            <w:hideMark/>
          </w:tcPr>
          <w:p w14:paraId="75CAAE13" w14:textId="77777777" w:rsidR="0075354F" w:rsidRPr="007A76D3" w:rsidRDefault="0075354F" w:rsidP="0075354F">
            <w:pPr>
              <w:jc w:val="right"/>
              <w:rPr>
                <w:rFonts w:cs="Arial"/>
                <w:color w:val="ED0000"/>
                <w:sz w:val="22"/>
                <w:szCs w:val="22"/>
              </w:rPr>
            </w:pPr>
            <w:r w:rsidRPr="007A76D3">
              <w:rPr>
                <w:rFonts w:cs="Arial"/>
                <w:color w:val="ED0000"/>
                <w:sz w:val="22"/>
                <w:szCs w:val="22"/>
              </w:rPr>
              <w:t>-134,998</w:t>
            </w:r>
          </w:p>
        </w:tc>
        <w:tc>
          <w:tcPr>
            <w:tcW w:w="894" w:type="pct"/>
            <w:tcBorders>
              <w:top w:val="nil"/>
              <w:left w:val="nil"/>
              <w:bottom w:val="nil"/>
              <w:right w:val="single" w:sz="8" w:space="0" w:color="auto"/>
            </w:tcBorders>
            <w:noWrap/>
            <w:vAlign w:val="center"/>
            <w:hideMark/>
          </w:tcPr>
          <w:p w14:paraId="7B84F9AC" w14:textId="77777777" w:rsidR="0075354F" w:rsidRPr="0075354F" w:rsidRDefault="0075354F" w:rsidP="0075354F">
            <w:pPr>
              <w:jc w:val="right"/>
              <w:rPr>
                <w:rFonts w:cs="Arial"/>
                <w:color w:val="000000"/>
                <w:sz w:val="22"/>
                <w:szCs w:val="22"/>
              </w:rPr>
            </w:pPr>
            <w:r w:rsidRPr="0075354F">
              <w:rPr>
                <w:rFonts w:cs="Arial"/>
                <w:color w:val="000000"/>
                <w:sz w:val="22"/>
                <w:szCs w:val="22"/>
              </w:rPr>
              <w:t>19,517</w:t>
            </w:r>
          </w:p>
        </w:tc>
        <w:tc>
          <w:tcPr>
            <w:tcW w:w="975" w:type="pct"/>
            <w:tcBorders>
              <w:top w:val="nil"/>
              <w:left w:val="nil"/>
              <w:bottom w:val="nil"/>
              <w:right w:val="single" w:sz="8" w:space="0" w:color="auto"/>
            </w:tcBorders>
            <w:noWrap/>
            <w:vAlign w:val="center"/>
            <w:hideMark/>
          </w:tcPr>
          <w:p w14:paraId="376B358B" w14:textId="77777777" w:rsidR="0075354F" w:rsidRPr="007A76D3" w:rsidRDefault="0075354F" w:rsidP="0075354F">
            <w:pPr>
              <w:jc w:val="right"/>
              <w:rPr>
                <w:rFonts w:ascii="Aptos Narrow" w:hAnsi="Aptos Narrow"/>
                <w:color w:val="ED0000"/>
                <w:sz w:val="22"/>
                <w:szCs w:val="22"/>
              </w:rPr>
            </w:pPr>
            <w:r w:rsidRPr="007A76D3">
              <w:rPr>
                <w:rFonts w:ascii="Aptos Narrow" w:hAnsi="Aptos Narrow"/>
                <w:color w:val="ED0000"/>
                <w:sz w:val="22"/>
                <w:szCs w:val="22"/>
              </w:rPr>
              <w:t>-115,481</w:t>
            </w:r>
          </w:p>
        </w:tc>
      </w:tr>
      <w:tr w:rsidR="0075354F" w:rsidRPr="0075354F" w14:paraId="7536BF4E" w14:textId="77777777" w:rsidTr="0075354F">
        <w:trPr>
          <w:trHeight w:val="290"/>
        </w:trPr>
        <w:tc>
          <w:tcPr>
            <w:tcW w:w="569" w:type="pct"/>
            <w:tcBorders>
              <w:top w:val="nil"/>
              <w:left w:val="single" w:sz="8" w:space="0" w:color="auto"/>
              <w:bottom w:val="nil"/>
              <w:right w:val="nil"/>
            </w:tcBorders>
            <w:noWrap/>
            <w:vAlign w:val="center"/>
            <w:hideMark/>
          </w:tcPr>
          <w:p w14:paraId="29DC4EE6" w14:textId="77777777" w:rsidR="0075354F" w:rsidRPr="0075354F" w:rsidRDefault="0075354F" w:rsidP="0075354F">
            <w:pPr>
              <w:jc w:val="right"/>
              <w:rPr>
                <w:rFonts w:cs="Arial"/>
                <w:color w:val="000000"/>
                <w:sz w:val="22"/>
                <w:szCs w:val="22"/>
              </w:rPr>
            </w:pPr>
            <w:r w:rsidRPr="0075354F">
              <w:rPr>
                <w:rFonts w:cs="Arial"/>
                <w:color w:val="000000"/>
                <w:sz w:val="22"/>
                <w:szCs w:val="22"/>
              </w:rPr>
              <w:t>80635</w:t>
            </w:r>
          </w:p>
        </w:tc>
        <w:tc>
          <w:tcPr>
            <w:tcW w:w="1525" w:type="pct"/>
            <w:tcBorders>
              <w:top w:val="nil"/>
              <w:left w:val="single" w:sz="8" w:space="0" w:color="auto"/>
              <w:bottom w:val="nil"/>
              <w:right w:val="nil"/>
            </w:tcBorders>
            <w:noWrap/>
            <w:vAlign w:val="center"/>
            <w:hideMark/>
          </w:tcPr>
          <w:p w14:paraId="03CB9F4E" w14:textId="77777777" w:rsidR="0075354F" w:rsidRPr="0075354F" w:rsidRDefault="0075354F" w:rsidP="0075354F">
            <w:pPr>
              <w:rPr>
                <w:rFonts w:cs="Arial"/>
                <w:color w:val="000000"/>
                <w:sz w:val="22"/>
                <w:szCs w:val="22"/>
              </w:rPr>
            </w:pPr>
            <w:r w:rsidRPr="0075354F">
              <w:rPr>
                <w:rFonts w:cs="Arial"/>
                <w:color w:val="000000"/>
                <w:sz w:val="22"/>
                <w:szCs w:val="22"/>
              </w:rPr>
              <w:t>Beatrice Tate</w:t>
            </w:r>
          </w:p>
        </w:tc>
        <w:tc>
          <w:tcPr>
            <w:tcW w:w="1038" w:type="pct"/>
            <w:tcBorders>
              <w:top w:val="nil"/>
              <w:left w:val="single" w:sz="8" w:space="0" w:color="auto"/>
              <w:bottom w:val="nil"/>
              <w:right w:val="single" w:sz="8" w:space="0" w:color="auto"/>
            </w:tcBorders>
            <w:noWrap/>
            <w:vAlign w:val="center"/>
            <w:hideMark/>
          </w:tcPr>
          <w:p w14:paraId="35AB2D55" w14:textId="77777777" w:rsidR="0075354F" w:rsidRPr="0075354F" w:rsidRDefault="0075354F" w:rsidP="0075354F">
            <w:pPr>
              <w:jc w:val="right"/>
              <w:rPr>
                <w:rFonts w:cs="Arial"/>
                <w:color w:val="000000"/>
                <w:sz w:val="22"/>
                <w:szCs w:val="22"/>
              </w:rPr>
            </w:pPr>
            <w:r w:rsidRPr="0075354F">
              <w:rPr>
                <w:rFonts w:cs="Arial"/>
                <w:color w:val="000000"/>
                <w:sz w:val="22"/>
                <w:szCs w:val="22"/>
              </w:rPr>
              <w:t>518,839</w:t>
            </w:r>
          </w:p>
        </w:tc>
        <w:tc>
          <w:tcPr>
            <w:tcW w:w="894" w:type="pct"/>
            <w:tcBorders>
              <w:top w:val="nil"/>
              <w:left w:val="nil"/>
              <w:bottom w:val="nil"/>
              <w:right w:val="single" w:sz="8" w:space="0" w:color="auto"/>
            </w:tcBorders>
            <w:noWrap/>
            <w:vAlign w:val="center"/>
            <w:hideMark/>
          </w:tcPr>
          <w:p w14:paraId="02F6DFFD" w14:textId="77777777" w:rsidR="0075354F" w:rsidRPr="007A76D3" w:rsidRDefault="0075354F" w:rsidP="0075354F">
            <w:pPr>
              <w:jc w:val="right"/>
              <w:rPr>
                <w:rFonts w:cs="Arial"/>
                <w:color w:val="ED0000"/>
                <w:sz w:val="22"/>
                <w:szCs w:val="22"/>
              </w:rPr>
            </w:pPr>
            <w:r w:rsidRPr="007A76D3">
              <w:rPr>
                <w:rFonts w:cs="Arial"/>
                <w:color w:val="ED0000"/>
                <w:sz w:val="22"/>
                <w:szCs w:val="22"/>
              </w:rPr>
              <w:t>-248,012</w:t>
            </w:r>
          </w:p>
        </w:tc>
        <w:tc>
          <w:tcPr>
            <w:tcW w:w="975" w:type="pct"/>
            <w:tcBorders>
              <w:top w:val="nil"/>
              <w:left w:val="nil"/>
              <w:bottom w:val="nil"/>
              <w:right w:val="single" w:sz="8" w:space="0" w:color="auto"/>
            </w:tcBorders>
            <w:noWrap/>
            <w:vAlign w:val="center"/>
            <w:hideMark/>
          </w:tcPr>
          <w:p w14:paraId="53FB92AC"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270,827</w:t>
            </w:r>
          </w:p>
        </w:tc>
      </w:tr>
      <w:tr w:rsidR="0075354F" w:rsidRPr="0075354F" w14:paraId="21A4391E" w14:textId="77777777" w:rsidTr="0075354F">
        <w:trPr>
          <w:trHeight w:val="290"/>
        </w:trPr>
        <w:tc>
          <w:tcPr>
            <w:tcW w:w="569" w:type="pct"/>
            <w:tcBorders>
              <w:top w:val="nil"/>
              <w:left w:val="single" w:sz="8" w:space="0" w:color="auto"/>
              <w:bottom w:val="nil"/>
              <w:right w:val="nil"/>
            </w:tcBorders>
            <w:noWrap/>
            <w:vAlign w:val="center"/>
            <w:hideMark/>
          </w:tcPr>
          <w:p w14:paraId="5055F69E" w14:textId="77777777" w:rsidR="0075354F" w:rsidRPr="0075354F" w:rsidRDefault="0075354F" w:rsidP="0075354F">
            <w:pPr>
              <w:jc w:val="right"/>
              <w:rPr>
                <w:rFonts w:cs="Arial"/>
                <w:color w:val="000000"/>
                <w:sz w:val="22"/>
                <w:szCs w:val="22"/>
              </w:rPr>
            </w:pPr>
            <w:r w:rsidRPr="0075354F">
              <w:rPr>
                <w:rFonts w:cs="Arial"/>
                <w:color w:val="000000"/>
                <w:sz w:val="22"/>
                <w:szCs w:val="22"/>
              </w:rPr>
              <w:t>80055</w:t>
            </w:r>
          </w:p>
        </w:tc>
        <w:tc>
          <w:tcPr>
            <w:tcW w:w="1525" w:type="pct"/>
            <w:tcBorders>
              <w:top w:val="nil"/>
              <w:left w:val="single" w:sz="8" w:space="0" w:color="auto"/>
              <w:bottom w:val="nil"/>
              <w:right w:val="nil"/>
            </w:tcBorders>
            <w:noWrap/>
            <w:vAlign w:val="center"/>
            <w:hideMark/>
          </w:tcPr>
          <w:p w14:paraId="0CE2D8CE" w14:textId="77777777" w:rsidR="0075354F" w:rsidRPr="0075354F" w:rsidRDefault="0075354F" w:rsidP="0075354F">
            <w:pPr>
              <w:rPr>
                <w:rFonts w:cs="Arial"/>
                <w:color w:val="000000"/>
                <w:sz w:val="22"/>
                <w:szCs w:val="22"/>
              </w:rPr>
            </w:pPr>
            <w:r w:rsidRPr="0075354F">
              <w:rPr>
                <w:rFonts w:cs="Arial"/>
                <w:color w:val="000000"/>
                <w:sz w:val="22"/>
                <w:szCs w:val="22"/>
              </w:rPr>
              <w:t>Ben Jonson</w:t>
            </w:r>
          </w:p>
        </w:tc>
        <w:tc>
          <w:tcPr>
            <w:tcW w:w="1038" w:type="pct"/>
            <w:tcBorders>
              <w:top w:val="nil"/>
              <w:left w:val="single" w:sz="8" w:space="0" w:color="auto"/>
              <w:bottom w:val="nil"/>
              <w:right w:val="single" w:sz="8" w:space="0" w:color="auto"/>
            </w:tcBorders>
            <w:noWrap/>
            <w:vAlign w:val="center"/>
            <w:hideMark/>
          </w:tcPr>
          <w:p w14:paraId="75A3FC4C" w14:textId="77777777" w:rsidR="0075354F" w:rsidRPr="0075354F" w:rsidRDefault="0075354F" w:rsidP="0075354F">
            <w:pPr>
              <w:jc w:val="right"/>
              <w:rPr>
                <w:rFonts w:cs="Arial"/>
                <w:color w:val="000000"/>
                <w:sz w:val="22"/>
                <w:szCs w:val="22"/>
              </w:rPr>
            </w:pPr>
            <w:r w:rsidRPr="0075354F">
              <w:rPr>
                <w:rFonts w:cs="Arial"/>
                <w:color w:val="000000"/>
                <w:sz w:val="22"/>
                <w:szCs w:val="22"/>
              </w:rPr>
              <w:t>878,978</w:t>
            </w:r>
          </w:p>
        </w:tc>
        <w:tc>
          <w:tcPr>
            <w:tcW w:w="894" w:type="pct"/>
            <w:tcBorders>
              <w:top w:val="nil"/>
              <w:left w:val="nil"/>
              <w:bottom w:val="nil"/>
              <w:right w:val="single" w:sz="8" w:space="0" w:color="auto"/>
            </w:tcBorders>
            <w:noWrap/>
            <w:vAlign w:val="center"/>
            <w:hideMark/>
          </w:tcPr>
          <w:p w14:paraId="2F12E8EB" w14:textId="77777777" w:rsidR="0075354F" w:rsidRPr="0075354F" w:rsidRDefault="0075354F" w:rsidP="0075354F">
            <w:pPr>
              <w:jc w:val="right"/>
              <w:rPr>
                <w:rFonts w:cs="Arial"/>
                <w:color w:val="000000"/>
                <w:sz w:val="22"/>
                <w:szCs w:val="22"/>
              </w:rPr>
            </w:pPr>
            <w:r w:rsidRPr="0075354F">
              <w:rPr>
                <w:rFonts w:cs="Arial"/>
                <w:color w:val="000000"/>
                <w:sz w:val="22"/>
                <w:szCs w:val="22"/>
              </w:rPr>
              <w:t>62,616</w:t>
            </w:r>
          </w:p>
        </w:tc>
        <w:tc>
          <w:tcPr>
            <w:tcW w:w="975" w:type="pct"/>
            <w:tcBorders>
              <w:top w:val="nil"/>
              <w:left w:val="nil"/>
              <w:bottom w:val="nil"/>
              <w:right w:val="single" w:sz="8" w:space="0" w:color="auto"/>
            </w:tcBorders>
            <w:noWrap/>
            <w:vAlign w:val="center"/>
            <w:hideMark/>
          </w:tcPr>
          <w:p w14:paraId="037E5C36"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941,593</w:t>
            </w:r>
          </w:p>
        </w:tc>
      </w:tr>
      <w:tr w:rsidR="0075354F" w:rsidRPr="0075354F" w14:paraId="1C482DC3" w14:textId="77777777" w:rsidTr="0075354F">
        <w:trPr>
          <w:trHeight w:val="290"/>
        </w:trPr>
        <w:tc>
          <w:tcPr>
            <w:tcW w:w="569" w:type="pct"/>
            <w:tcBorders>
              <w:top w:val="nil"/>
              <w:left w:val="single" w:sz="8" w:space="0" w:color="auto"/>
              <w:bottom w:val="nil"/>
              <w:right w:val="nil"/>
            </w:tcBorders>
            <w:noWrap/>
            <w:vAlign w:val="center"/>
            <w:hideMark/>
          </w:tcPr>
          <w:p w14:paraId="343001E6" w14:textId="77777777" w:rsidR="0075354F" w:rsidRPr="0075354F" w:rsidRDefault="0075354F" w:rsidP="0075354F">
            <w:pPr>
              <w:jc w:val="right"/>
              <w:rPr>
                <w:rFonts w:cs="Arial"/>
                <w:color w:val="000000"/>
                <w:sz w:val="22"/>
                <w:szCs w:val="22"/>
              </w:rPr>
            </w:pPr>
            <w:r w:rsidRPr="0075354F">
              <w:rPr>
                <w:rFonts w:cs="Arial"/>
                <w:color w:val="000000"/>
                <w:sz w:val="22"/>
                <w:szCs w:val="22"/>
              </w:rPr>
              <w:t>80060</w:t>
            </w:r>
          </w:p>
        </w:tc>
        <w:tc>
          <w:tcPr>
            <w:tcW w:w="1525" w:type="pct"/>
            <w:tcBorders>
              <w:top w:val="nil"/>
              <w:left w:val="single" w:sz="8" w:space="0" w:color="auto"/>
              <w:bottom w:val="nil"/>
              <w:right w:val="nil"/>
            </w:tcBorders>
            <w:noWrap/>
            <w:vAlign w:val="center"/>
            <w:hideMark/>
          </w:tcPr>
          <w:p w14:paraId="30C5B1C4" w14:textId="77777777" w:rsidR="0075354F" w:rsidRPr="0075354F" w:rsidRDefault="0075354F" w:rsidP="0075354F">
            <w:pPr>
              <w:rPr>
                <w:rFonts w:cs="Arial"/>
                <w:color w:val="000000"/>
                <w:sz w:val="22"/>
                <w:szCs w:val="22"/>
              </w:rPr>
            </w:pPr>
            <w:r w:rsidRPr="0075354F">
              <w:rPr>
                <w:rFonts w:cs="Arial"/>
                <w:color w:val="000000"/>
                <w:sz w:val="22"/>
                <w:szCs w:val="22"/>
              </w:rPr>
              <w:t>Bigland Green</w:t>
            </w:r>
          </w:p>
        </w:tc>
        <w:tc>
          <w:tcPr>
            <w:tcW w:w="1038" w:type="pct"/>
            <w:tcBorders>
              <w:top w:val="nil"/>
              <w:left w:val="single" w:sz="8" w:space="0" w:color="auto"/>
              <w:bottom w:val="nil"/>
              <w:right w:val="single" w:sz="8" w:space="0" w:color="auto"/>
            </w:tcBorders>
            <w:noWrap/>
            <w:vAlign w:val="center"/>
            <w:hideMark/>
          </w:tcPr>
          <w:p w14:paraId="2B41848C" w14:textId="77777777" w:rsidR="0075354F" w:rsidRPr="0075354F" w:rsidRDefault="0075354F" w:rsidP="0075354F">
            <w:pPr>
              <w:jc w:val="right"/>
              <w:rPr>
                <w:rFonts w:cs="Arial"/>
                <w:color w:val="000000"/>
                <w:sz w:val="22"/>
                <w:szCs w:val="22"/>
              </w:rPr>
            </w:pPr>
            <w:r w:rsidRPr="0075354F">
              <w:rPr>
                <w:rFonts w:cs="Arial"/>
                <w:color w:val="000000"/>
                <w:sz w:val="22"/>
                <w:szCs w:val="22"/>
              </w:rPr>
              <w:t>884,678</w:t>
            </w:r>
          </w:p>
        </w:tc>
        <w:tc>
          <w:tcPr>
            <w:tcW w:w="894" w:type="pct"/>
            <w:tcBorders>
              <w:top w:val="nil"/>
              <w:left w:val="nil"/>
              <w:bottom w:val="nil"/>
              <w:right w:val="single" w:sz="8" w:space="0" w:color="auto"/>
            </w:tcBorders>
            <w:noWrap/>
            <w:vAlign w:val="center"/>
            <w:hideMark/>
          </w:tcPr>
          <w:p w14:paraId="0B86A842" w14:textId="77777777" w:rsidR="0075354F" w:rsidRPr="007A76D3" w:rsidRDefault="0075354F" w:rsidP="0075354F">
            <w:pPr>
              <w:jc w:val="right"/>
              <w:rPr>
                <w:rFonts w:cs="Arial"/>
                <w:color w:val="ED0000"/>
                <w:sz w:val="22"/>
                <w:szCs w:val="22"/>
              </w:rPr>
            </w:pPr>
            <w:r w:rsidRPr="007A76D3">
              <w:rPr>
                <w:rFonts w:cs="Arial"/>
                <w:color w:val="ED0000"/>
                <w:sz w:val="22"/>
                <w:szCs w:val="22"/>
              </w:rPr>
              <w:t>-100,060</w:t>
            </w:r>
          </w:p>
        </w:tc>
        <w:tc>
          <w:tcPr>
            <w:tcW w:w="975" w:type="pct"/>
            <w:tcBorders>
              <w:top w:val="nil"/>
              <w:left w:val="nil"/>
              <w:bottom w:val="nil"/>
              <w:right w:val="single" w:sz="8" w:space="0" w:color="auto"/>
            </w:tcBorders>
            <w:noWrap/>
            <w:vAlign w:val="center"/>
            <w:hideMark/>
          </w:tcPr>
          <w:p w14:paraId="47F1A4B2"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784,619</w:t>
            </w:r>
          </w:p>
        </w:tc>
      </w:tr>
      <w:tr w:rsidR="0075354F" w:rsidRPr="0075354F" w14:paraId="2540568A" w14:textId="77777777" w:rsidTr="0075354F">
        <w:trPr>
          <w:trHeight w:val="290"/>
        </w:trPr>
        <w:tc>
          <w:tcPr>
            <w:tcW w:w="569" w:type="pct"/>
            <w:tcBorders>
              <w:top w:val="nil"/>
              <w:left w:val="single" w:sz="8" w:space="0" w:color="auto"/>
              <w:bottom w:val="nil"/>
              <w:right w:val="nil"/>
            </w:tcBorders>
            <w:noWrap/>
            <w:vAlign w:val="center"/>
            <w:hideMark/>
          </w:tcPr>
          <w:p w14:paraId="1810574D" w14:textId="77777777" w:rsidR="0075354F" w:rsidRPr="0075354F" w:rsidRDefault="0075354F" w:rsidP="0075354F">
            <w:pPr>
              <w:jc w:val="right"/>
              <w:rPr>
                <w:rFonts w:cs="Arial"/>
                <w:color w:val="000000"/>
                <w:sz w:val="22"/>
                <w:szCs w:val="22"/>
              </w:rPr>
            </w:pPr>
            <w:r w:rsidRPr="0075354F">
              <w:rPr>
                <w:rFonts w:cs="Arial"/>
                <w:color w:val="000000"/>
                <w:sz w:val="22"/>
                <w:szCs w:val="22"/>
              </w:rPr>
              <w:t>80065</w:t>
            </w:r>
          </w:p>
        </w:tc>
        <w:tc>
          <w:tcPr>
            <w:tcW w:w="1525" w:type="pct"/>
            <w:tcBorders>
              <w:top w:val="nil"/>
              <w:left w:val="single" w:sz="8" w:space="0" w:color="auto"/>
              <w:bottom w:val="nil"/>
              <w:right w:val="nil"/>
            </w:tcBorders>
            <w:noWrap/>
            <w:vAlign w:val="center"/>
            <w:hideMark/>
          </w:tcPr>
          <w:p w14:paraId="45F1E70F" w14:textId="77777777" w:rsidR="0075354F" w:rsidRPr="0075354F" w:rsidRDefault="0075354F" w:rsidP="0075354F">
            <w:pPr>
              <w:rPr>
                <w:rFonts w:cs="Arial"/>
                <w:color w:val="000000"/>
                <w:sz w:val="22"/>
                <w:szCs w:val="22"/>
              </w:rPr>
            </w:pPr>
            <w:r w:rsidRPr="0075354F">
              <w:rPr>
                <w:rFonts w:cs="Arial"/>
                <w:color w:val="000000"/>
                <w:sz w:val="22"/>
                <w:szCs w:val="22"/>
              </w:rPr>
              <w:t>Blue G F Infant</w:t>
            </w:r>
          </w:p>
        </w:tc>
        <w:tc>
          <w:tcPr>
            <w:tcW w:w="1038" w:type="pct"/>
            <w:tcBorders>
              <w:top w:val="nil"/>
              <w:left w:val="single" w:sz="8" w:space="0" w:color="auto"/>
              <w:bottom w:val="nil"/>
              <w:right w:val="single" w:sz="8" w:space="0" w:color="auto"/>
            </w:tcBorders>
            <w:noWrap/>
            <w:vAlign w:val="center"/>
            <w:hideMark/>
          </w:tcPr>
          <w:p w14:paraId="6C3A0C3A" w14:textId="77777777" w:rsidR="0075354F" w:rsidRPr="0075354F" w:rsidRDefault="0075354F" w:rsidP="0075354F">
            <w:pPr>
              <w:jc w:val="right"/>
              <w:rPr>
                <w:rFonts w:cs="Arial"/>
                <w:color w:val="000000"/>
                <w:sz w:val="22"/>
                <w:szCs w:val="22"/>
              </w:rPr>
            </w:pPr>
            <w:r w:rsidRPr="0075354F">
              <w:rPr>
                <w:rFonts w:cs="Arial"/>
                <w:color w:val="000000"/>
                <w:sz w:val="22"/>
                <w:szCs w:val="22"/>
              </w:rPr>
              <w:t>162,713</w:t>
            </w:r>
          </w:p>
        </w:tc>
        <w:tc>
          <w:tcPr>
            <w:tcW w:w="894" w:type="pct"/>
            <w:tcBorders>
              <w:top w:val="nil"/>
              <w:left w:val="nil"/>
              <w:bottom w:val="nil"/>
              <w:right w:val="single" w:sz="8" w:space="0" w:color="auto"/>
            </w:tcBorders>
            <w:noWrap/>
            <w:vAlign w:val="center"/>
            <w:hideMark/>
          </w:tcPr>
          <w:p w14:paraId="09F40EDA" w14:textId="77777777" w:rsidR="0075354F" w:rsidRPr="0075354F" w:rsidRDefault="0075354F" w:rsidP="0075354F">
            <w:pPr>
              <w:jc w:val="right"/>
              <w:rPr>
                <w:rFonts w:cs="Arial"/>
                <w:color w:val="000000"/>
                <w:sz w:val="22"/>
                <w:szCs w:val="22"/>
              </w:rPr>
            </w:pPr>
            <w:r w:rsidRPr="0075354F">
              <w:rPr>
                <w:rFonts w:cs="Arial"/>
                <w:color w:val="000000"/>
                <w:sz w:val="22"/>
                <w:szCs w:val="22"/>
              </w:rPr>
              <w:t>32,331</w:t>
            </w:r>
          </w:p>
        </w:tc>
        <w:tc>
          <w:tcPr>
            <w:tcW w:w="975" w:type="pct"/>
            <w:tcBorders>
              <w:top w:val="nil"/>
              <w:left w:val="nil"/>
              <w:bottom w:val="nil"/>
              <w:right w:val="single" w:sz="8" w:space="0" w:color="auto"/>
            </w:tcBorders>
            <w:noWrap/>
            <w:vAlign w:val="center"/>
            <w:hideMark/>
          </w:tcPr>
          <w:p w14:paraId="72EA6562"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195,044</w:t>
            </w:r>
          </w:p>
        </w:tc>
      </w:tr>
      <w:tr w:rsidR="0075354F" w:rsidRPr="0075354F" w14:paraId="437B8D04" w14:textId="77777777" w:rsidTr="0075354F">
        <w:trPr>
          <w:trHeight w:val="290"/>
        </w:trPr>
        <w:tc>
          <w:tcPr>
            <w:tcW w:w="569" w:type="pct"/>
            <w:tcBorders>
              <w:top w:val="nil"/>
              <w:left w:val="single" w:sz="8" w:space="0" w:color="auto"/>
              <w:bottom w:val="nil"/>
              <w:right w:val="nil"/>
            </w:tcBorders>
            <w:noWrap/>
            <w:vAlign w:val="center"/>
            <w:hideMark/>
          </w:tcPr>
          <w:p w14:paraId="3044C260" w14:textId="77777777" w:rsidR="0075354F" w:rsidRPr="0075354F" w:rsidRDefault="0075354F" w:rsidP="0075354F">
            <w:pPr>
              <w:jc w:val="right"/>
              <w:rPr>
                <w:rFonts w:cs="Arial"/>
                <w:color w:val="000000"/>
                <w:sz w:val="22"/>
                <w:szCs w:val="22"/>
              </w:rPr>
            </w:pPr>
            <w:r w:rsidRPr="0075354F">
              <w:rPr>
                <w:rFonts w:cs="Arial"/>
                <w:color w:val="000000"/>
                <w:sz w:val="22"/>
                <w:szCs w:val="22"/>
              </w:rPr>
              <w:t>80070</w:t>
            </w:r>
          </w:p>
        </w:tc>
        <w:tc>
          <w:tcPr>
            <w:tcW w:w="1525" w:type="pct"/>
            <w:tcBorders>
              <w:top w:val="nil"/>
              <w:left w:val="single" w:sz="8" w:space="0" w:color="auto"/>
              <w:bottom w:val="nil"/>
              <w:right w:val="nil"/>
            </w:tcBorders>
            <w:noWrap/>
            <w:vAlign w:val="center"/>
            <w:hideMark/>
          </w:tcPr>
          <w:p w14:paraId="58E1B956" w14:textId="77777777" w:rsidR="0075354F" w:rsidRPr="0075354F" w:rsidRDefault="0075354F" w:rsidP="0075354F">
            <w:pPr>
              <w:rPr>
                <w:rFonts w:cs="Arial"/>
                <w:color w:val="000000"/>
                <w:sz w:val="22"/>
                <w:szCs w:val="22"/>
              </w:rPr>
            </w:pPr>
            <w:r w:rsidRPr="0075354F">
              <w:rPr>
                <w:rFonts w:cs="Arial"/>
                <w:color w:val="000000"/>
                <w:sz w:val="22"/>
                <w:szCs w:val="22"/>
              </w:rPr>
              <w:t>Blue G F Junior</w:t>
            </w:r>
          </w:p>
        </w:tc>
        <w:tc>
          <w:tcPr>
            <w:tcW w:w="1038" w:type="pct"/>
            <w:tcBorders>
              <w:top w:val="nil"/>
              <w:left w:val="single" w:sz="8" w:space="0" w:color="auto"/>
              <w:bottom w:val="nil"/>
              <w:right w:val="single" w:sz="8" w:space="0" w:color="auto"/>
            </w:tcBorders>
            <w:noWrap/>
            <w:vAlign w:val="center"/>
            <w:hideMark/>
          </w:tcPr>
          <w:p w14:paraId="668FF7A0" w14:textId="77777777" w:rsidR="0075354F" w:rsidRPr="0075354F" w:rsidRDefault="0075354F" w:rsidP="0075354F">
            <w:pPr>
              <w:jc w:val="right"/>
              <w:rPr>
                <w:rFonts w:cs="Arial"/>
                <w:color w:val="000000"/>
                <w:sz w:val="22"/>
                <w:szCs w:val="22"/>
              </w:rPr>
            </w:pPr>
            <w:r w:rsidRPr="0075354F">
              <w:rPr>
                <w:rFonts w:cs="Arial"/>
                <w:color w:val="000000"/>
                <w:sz w:val="22"/>
                <w:szCs w:val="22"/>
              </w:rPr>
              <w:t>322,027</w:t>
            </w:r>
          </w:p>
        </w:tc>
        <w:tc>
          <w:tcPr>
            <w:tcW w:w="894" w:type="pct"/>
            <w:tcBorders>
              <w:top w:val="nil"/>
              <w:left w:val="nil"/>
              <w:bottom w:val="nil"/>
              <w:right w:val="single" w:sz="8" w:space="0" w:color="auto"/>
            </w:tcBorders>
            <w:noWrap/>
            <w:vAlign w:val="center"/>
            <w:hideMark/>
          </w:tcPr>
          <w:p w14:paraId="3C1B97BB" w14:textId="77777777" w:rsidR="0075354F" w:rsidRPr="0075354F" w:rsidRDefault="0075354F" w:rsidP="0075354F">
            <w:pPr>
              <w:jc w:val="right"/>
              <w:rPr>
                <w:rFonts w:cs="Arial"/>
                <w:color w:val="000000"/>
                <w:sz w:val="22"/>
                <w:szCs w:val="22"/>
              </w:rPr>
            </w:pPr>
            <w:r w:rsidRPr="0075354F">
              <w:rPr>
                <w:rFonts w:cs="Arial"/>
                <w:color w:val="000000"/>
                <w:sz w:val="22"/>
                <w:szCs w:val="22"/>
              </w:rPr>
              <w:t>107,143</w:t>
            </w:r>
          </w:p>
        </w:tc>
        <w:tc>
          <w:tcPr>
            <w:tcW w:w="975" w:type="pct"/>
            <w:tcBorders>
              <w:top w:val="nil"/>
              <w:left w:val="nil"/>
              <w:bottom w:val="nil"/>
              <w:right w:val="single" w:sz="8" w:space="0" w:color="auto"/>
            </w:tcBorders>
            <w:noWrap/>
            <w:vAlign w:val="center"/>
            <w:hideMark/>
          </w:tcPr>
          <w:p w14:paraId="0998BC46"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429,170</w:t>
            </w:r>
          </w:p>
        </w:tc>
      </w:tr>
      <w:tr w:rsidR="0075354F" w:rsidRPr="0075354F" w14:paraId="3B541C1C" w14:textId="77777777" w:rsidTr="0075354F">
        <w:trPr>
          <w:trHeight w:val="290"/>
        </w:trPr>
        <w:tc>
          <w:tcPr>
            <w:tcW w:w="569" w:type="pct"/>
            <w:tcBorders>
              <w:top w:val="nil"/>
              <w:left w:val="single" w:sz="8" w:space="0" w:color="auto"/>
              <w:bottom w:val="nil"/>
              <w:right w:val="nil"/>
            </w:tcBorders>
            <w:noWrap/>
            <w:vAlign w:val="center"/>
            <w:hideMark/>
          </w:tcPr>
          <w:p w14:paraId="75DDA625" w14:textId="77777777" w:rsidR="0075354F" w:rsidRPr="0075354F" w:rsidRDefault="0075354F" w:rsidP="0075354F">
            <w:pPr>
              <w:jc w:val="right"/>
              <w:rPr>
                <w:rFonts w:cs="Arial"/>
                <w:color w:val="000000"/>
                <w:sz w:val="22"/>
                <w:szCs w:val="22"/>
              </w:rPr>
            </w:pPr>
            <w:r w:rsidRPr="0075354F">
              <w:rPr>
                <w:rFonts w:cs="Arial"/>
                <w:color w:val="000000"/>
                <w:sz w:val="22"/>
                <w:szCs w:val="22"/>
              </w:rPr>
              <w:t>80075</w:t>
            </w:r>
          </w:p>
        </w:tc>
        <w:tc>
          <w:tcPr>
            <w:tcW w:w="1525" w:type="pct"/>
            <w:tcBorders>
              <w:top w:val="nil"/>
              <w:left w:val="single" w:sz="8" w:space="0" w:color="auto"/>
              <w:bottom w:val="nil"/>
              <w:right w:val="nil"/>
            </w:tcBorders>
            <w:noWrap/>
            <w:vAlign w:val="center"/>
            <w:hideMark/>
          </w:tcPr>
          <w:p w14:paraId="533BD586" w14:textId="77777777" w:rsidR="0075354F" w:rsidRPr="0075354F" w:rsidRDefault="0075354F" w:rsidP="0075354F">
            <w:pPr>
              <w:rPr>
                <w:rFonts w:cs="Arial"/>
                <w:color w:val="000000"/>
                <w:sz w:val="22"/>
                <w:szCs w:val="22"/>
              </w:rPr>
            </w:pPr>
            <w:r w:rsidRPr="0075354F">
              <w:rPr>
                <w:rFonts w:cs="Arial"/>
                <w:color w:val="000000"/>
                <w:sz w:val="22"/>
                <w:szCs w:val="22"/>
              </w:rPr>
              <w:t>Bonner</w:t>
            </w:r>
          </w:p>
        </w:tc>
        <w:tc>
          <w:tcPr>
            <w:tcW w:w="1038" w:type="pct"/>
            <w:tcBorders>
              <w:top w:val="nil"/>
              <w:left w:val="single" w:sz="8" w:space="0" w:color="auto"/>
              <w:bottom w:val="nil"/>
              <w:right w:val="single" w:sz="8" w:space="0" w:color="auto"/>
            </w:tcBorders>
            <w:noWrap/>
            <w:vAlign w:val="center"/>
            <w:hideMark/>
          </w:tcPr>
          <w:p w14:paraId="397B47BA" w14:textId="77777777" w:rsidR="0075354F" w:rsidRPr="0075354F" w:rsidRDefault="0075354F" w:rsidP="0075354F">
            <w:pPr>
              <w:jc w:val="right"/>
              <w:rPr>
                <w:rFonts w:cs="Arial"/>
                <w:color w:val="000000"/>
                <w:sz w:val="22"/>
                <w:szCs w:val="22"/>
              </w:rPr>
            </w:pPr>
            <w:r w:rsidRPr="0075354F">
              <w:rPr>
                <w:rFonts w:cs="Arial"/>
                <w:color w:val="000000"/>
                <w:sz w:val="22"/>
                <w:szCs w:val="22"/>
              </w:rPr>
              <w:t>560,714</w:t>
            </w:r>
          </w:p>
        </w:tc>
        <w:tc>
          <w:tcPr>
            <w:tcW w:w="894" w:type="pct"/>
            <w:tcBorders>
              <w:top w:val="nil"/>
              <w:left w:val="nil"/>
              <w:bottom w:val="nil"/>
              <w:right w:val="single" w:sz="8" w:space="0" w:color="auto"/>
            </w:tcBorders>
            <w:noWrap/>
            <w:vAlign w:val="center"/>
            <w:hideMark/>
          </w:tcPr>
          <w:p w14:paraId="497B8070" w14:textId="77777777" w:rsidR="0075354F" w:rsidRPr="0075354F" w:rsidRDefault="0075354F" w:rsidP="0075354F">
            <w:pPr>
              <w:jc w:val="right"/>
              <w:rPr>
                <w:rFonts w:cs="Arial"/>
                <w:color w:val="000000"/>
                <w:sz w:val="22"/>
                <w:szCs w:val="22"/>
              </w:rPr>
            </w:pPr>
            <w:r w:rsidRPr="0075354F">
              <w:rPr>
                <w:rFonts w:cs="Arial"/>
                <w:color w:val="000000"/>
                <w:sz w:val="22"/>
                <w:szCs w:val="22"/>
              </w:rPr>
              <w:t>170,600</w:t>
            </w:r>
          </w:p>
        </w:tc>
        <w:tc>
          <w:tcPr>
            <w:tcW w:w="975" w:type="pct"/>
            <w:tcBorders>
              <w:top w:val="nil"/>
              <w:left w:val="nil"/>
              <w:bottom w:val="nil"/>
              <w:right w:val="single" w:sz="8" w:space="0" w:color="auto"/>
            </w:tcBorders>
            <w:noWrap/>
            <w:vAlign w:val="center"/>
            <w:hideMark/>
          </w:tcPr>
          <w:p w14:paraId="21FB28AC"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731,314</w:t>
            </w:r>
          </w:p>
        </w:tc>
      </w:tr>
      <w:tr w:rsidR="0075354F" w:rsidRPr="0075354F" w14:paraId="10B70F2E" w14:textId="77777777" w:rsidTr="0075354F">
        <w:trPr>
          <w:trHeight w:val="290"/>
        </w:trPr>
        <w:tc>
          <w:tcPr>
            <w:tcW w:w="569" w:type="pct"/>
            <w:tcBorders>
              <w:top w:val="nil"/>
              <w:left w:val="single" w:sz="8" w:space="0" w:color="auto"/>
              <w:bottom w:val="nil"/>
              <w:right w:val="nil"/>
            </w:tcBorders>
            <w:noWrap/>
            <w:vAlign w:val="center"/>
            <w:hideMark/>
          </w:tcPr>
          <w:p w14:paraId="24C73EE8" w14:textId="77777777" w:rsidR="0075354F" w:rsidRPr="0075354F" w:rsidRDefault="0075354F" w:rsidP="0075354F">
            <w:pPr>
              <w:jc w:val="right"/>
              <w:rPr>
                <w:rFonts w:cs="Arial"/>
                <w:color w:val="000000"/>
                <w:sz w:val="22"/>
                <w:szCs w:val="22"/>
              </w:rPr>
            </w:pPr>
            <w:r w:rsidRPr="0075354F">
              <w:rPr>
                <w:rFonts w:cs="Arial"/>
                <w:color w:val="000000"/>
                <w:sz w:val="22"/>
                <w:szCs w:val="22"/>
              </w:rPr>
              <w:t>80510</w:t>
            </w:r>
          </w:p>
        </w:tc>
        <w:tc>
          <w:tcPr>
            <w:tcW w:w="1525" w:type="pct"/>
            <w:tcBorders>
              <w:top w:val="nil"/>
              <w:left w:val="single" w:sz="8" w:space="0" w:color="auto"/>
              <w:bottom w:val="nil"/>
              <w:right w:val="nil"/>
            </w:tcBorders>
            <w:noWrap/>
            <w:vAlign w:val="center"/>
            <w:hideMark/>
          </w:tcPr>
          <w:p w14:paraId="0AC510DE" w14:textId="77777777" w:rsidR="0075354F" w:rsidRPr="0075354F" w:rsidRDefault="0075354F" w:rsidP="0075354F">
            <w:pPr>
              <w:rPr>
                <w:rFonts w:cs="Arial"/>
                <w:color w:val="000000"/>
                <w:sz w:val="22"/>
                <w:szCs w:val="22"/>
              </w:rPr>
            </w:pPr>
            <w:r w:rsidRPr="0075354F">
              <w:rPr>
                <w:rFonts w:cs="Arial"/>
                <w:color w:val="000000"/>
                <w:sz w:val="22"/>
                <w:szCs w:val="22"/>
              </w:rPr>
              <w:t>Bow</w:t>
            </w:r>
          </w:p>
        </w:tc>
        <w:tc>
          <w:tcPr>
            <w:tcW w:w="1038" w:type="pct"/>
            <w:tcBorders>
              <w:top w:val="nil"/>
              <w:left w:val="single" w:sz="8" w:space="0" w:color="auto"/>
              <w:bottom w:val="nil"/>
              <w:right w:val="single" w:sz="8" w:space="0" w:color="auto"/>
            </w:tcBorders>
            <w:noWrap/>
            <w:vAlign w:val="center"/>
            <w:hideMark/>
          </w:tcPr>
          <w:p w14:paraId="4524CC2C" w14:textId="77777777" w:rsidR="0075354F" w:rsidRPr="0075354F" w:rsidRDefault="0075354F" w:rsidP="0075354F">
            <w:pPr>
              <w:jc w:val="right"/>
              <w:rPr>
                <w:rFonts w:cs="Arial"/>
                <w:color w:val="000000"/>
                <w:sz w:val="22"/>
                <w:szCs w:val="22"/>
              </w:rPr>
            </w:pPr>
            <w:r w:rsidRPr="0075354F">
              <w:rPr>
                <w:rFonts w:cs="Arial"/>
                <w:color w:val="000000"/>
                <w:sz w:val="22"/>
                <w:szCs w:val="22"/>
              </w:rPr>
              <w:t>1,568,922</w:t>
            </w:r>
          </w:p>
        </w:tc>
        <w:tc>
          <w:tcPr>
            <w:tcW w:w="894" w:type="pct"/>
            <w:tcBorders>
              <w:top w:val="nil"/>
              <w:left w:val="nil"/>
              <w:bottom w:val="nil"/>
              <w:right w:val="single" w:sz="8" w:space="0" w:color="auto"/>
            </w:tcBorders>
            <w:noWrap/>
            <w:vAlign w:val="center"/>
            <w:hideMark/>
          </w:tcPr>
          <w:p w14:paraId="2FB97E51" w14:textId="77777777" w:rsidR="0075354F" w:rsidRPr="007A76D3" w:rsidRDefault="0075354F" w:rsidP="0075354F">
            <w:pPr>
              <w:jc w:val="right"/>
              <w:rPr>
                <w:rFonts w:cs="Arial"/>
                <w:color w:val="ED0000"/>
                <w:sz w:val="22"/>
                <w:szCs w:val="22"/>
              </w:rPr>
            </w:pPr>
            <w:r w:rsidRPr="007A76D3">
              <w:rPr>
                <w:rFonts w:cs="Arial"/>
                <w:color w:val="ED0000"/>
                <w:sz w:val="22"/>
                <w:szCs w:val="22"/>
              </w:rPr>
              <w:t>-599,415</w:t>
            </w:r>
          </w:p>
        </w:tc>
        <w:tc>
          <w:tcPr>
            <w:tcW w:w="975" w:type="pct"/>
            <w:tcBorders>
              <w:top w:val="nil"/>
              <w:left w:val="nil"/>
              <w:bottom w:val="nil"/>
              <w:right w:val="single" w:sz="8" w:space="0" w:color="auto"/>
            </w:tcBorders>
            <w:noWrap/>
            <w:vAlign w:val="center"/>
            <w:hideMark/>
          </w:tcPr>
          <w:p w14:paraId="7A2FA417"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969,507</w:t>
            </w:r>
          </w:p>
        </w:tc>
      </w:tr>
      <w:tr w:rsidR="0075354F" w:rsidRPr="0075354F" w14:paraId="3A70B3DD" w14:textId="77777777" w:rsidTr="0075354F">
        <w:trPr>
          <w:trHeight w:val="290"/>
        </w:trPr>
        <w:tc>
          <w:tcPr>
            <w:tcW w:w="569" w:type="pct"/>
            <w:tcBorders>
              <w:top w:val="nil"/>
              <w:left w:val="single" w:sz="8" w:space="0" w:color="auto"/>
              <w:bottom w:val="nil"/>
              <w:right w:val="nil"/>
            </w:tcBorders>
            <w:noWrap/>
            <w:vAlign w:val="center"/>
            <w:hideMark/>
          </w:tcPr>
          <w:p w14:paraId="59CDFEE6" w14:textId="77777777" w:rsidR="0075354F" w:rsidRPr="0075354F" w:rsidRDefault="0075354F" w:rsidP="0075354F">
            <w:pPr>
              <w:jc w:val="right"/>
              <w:rPr>
                <w:rFonts w:cs="Arial"/>
                <w:color w:val="000000"/>
                <w:sz w:val="22"/>
                <w:szCs w:val="22"/>
              </w:rPr>
            </w:pPr>
            <w:r w:rsidRPr="0075354F">
              <w:rPr>
                <w:rFonts w:cs="Arial"/>
                <w:color w:val="000000"/>
                <w:sz w:val="22"/>
                <w:szCs w:val="22"/>
              </w:rPr>
              <w:t>80605</w:t>
            </w:r>
          </w:p>
        </w:tc>
        <w:tc>
          <w:tcPr>
            <w:tcW w:w="1525" w:type="pct"/>
            <w:tcBorders>
              <w:top w:val="nil"/>
              <w:left w:val="single" w:sz="8" w:space="0" w:color="auto"/>
              <w:bottom w:val="nil"/>
              <w:right w:val="nil"/>
            </w:tcBorders>
            <w:noWrap/>
            <w:vAlign w:val="center"/>
            <w:hideMark/>
          </w:tcPr>
          <w:p w14:paraId="4EB89751" w14:textId="77777777" w:rsidR="0075354F" w:rsidRPr="0075354F" w:rsidRDefault="0075354F" w:rsidP="0075354F">
            <w:pPr>
              <w:rPr>
                <w:rFonts w:cs="Arial"/>
                <w:color w:val="000000"/>
                <w:sz w:val="22"/>
                <w:szCs w:val="22"/>
              </w:rPr>
            </w:pPr>
            <w:r w:rsidRPr="0075354F">
              <w:rPr>
                <w:rFonts w:cs="Arial"/>
                <w:color w:val="000000"/>
                <w:sz w:val="22"/>
                <w:szCs w:val="22"/>
              </w:rPr>
              <w:t>Bowden House</w:t>
            </w:r>
          </w:p>
        </w:tc>
        <w:tc>
          <w:tcPr>
            <w:tcW w:w="1038" w:type="pct"/>
            <w:tcBorders>
              <w:top w:val="nil"/>
              <w:left w:val="single" w:sz="8" w:space="0" w:color="auto"/>
              <w:bottom w:val="nil"/>
              <w:right w:val="single" w:sz="8" w:space="0" w:color="auto"/>
            </w:tcBorders>
            <w:noWrap/>
            <w:vAlign w:val="center"/>
            <w:hideMark/>
          </w:tcPr>
          <w:p w14:paraId="1A91EF7F" w14:textId="77777777" w:rsidR="0075354F" w:rsidRPr="0075354F" w:rsidRDefault="0075354F" w:rsidP="0075354F">
            <w:pPr>
              <w:jc w:val="right"/>
              <w:rPr>
                <w:rFonts w:cs="Arial"/>
                <w:color w:val="000000"/>
                <w:sz w:val="22"/>
                <w:szCs w:val="22"/>
              </w:rPr>
            </w:pPr>
            <w:r w:rsidRPr="0075354F">
              <w:rPr>
                <w:rFonts w:cs="Arial"/>
                <w:color w:val="000000"/>
                <w:sz w:val="22"/>
                <w:szCs w:val="22"/>
              </w:rPr>
              <w:t>1,272,877</w:t>
            </w:r>
          </w:p>
        </w:tc>
        <w:tc>
          <w:tcPr>
            <w:tcW w:w="894" w:type="pct"/>
            <w:tcBorders>
              <w:top w:val="nil"/>
              <w:left w:val="nil"/>
              <w:bottom w:val="nil"/>
              <w:right w:val="single" w:sz="8" w:space="0" w:color="auto"/>
            </w:tcBorders>
            <w:noWrap/>
            <w:vAlign w:val="center"/>
            <w:hideMark/>
          </w:tcPr>
          <w:p w14:paraId="6B9D9248" w14:textId="77777777" w:rsidR="0075354F" w:rsidRPr="0075354F" w:rsidRDefault="0075354F" w:rsidP="0075354F">
            <w:pPr>
              <w:jc w:val="right"/>
              <w:rPr>
                <w:rFonts w:cs="Arial"/>
                <w:color w:val="000000"/>
                <w:sz w:val="22"/>
                <w:szCs w:val="22"/>
              </w:rPr>
            </w:pPr>
            <w:r w:rsidRPr="0075354F">
              <w:rPr>
                <w:rFonts w:cs="Arial"/>
                <w:color w:val="000000"/>
                <w:sz w:val="22"/>
                <w:szCs w:val="22"/>
              </w:rPr>
              <w:t>373,261</w:t>
            </w:r>
          </w:p>
        </w:tc>
        <w:tc>
          <w:tcPr>
            <w:tcW w:w="975" w:type="pct"/>
            <w:tcBorders>
              <w:top w:val="nil"/>
              <w:left w:val="nil"/>
              <w:bottom w:val="nil"/>
              <w:right w:val="single" w:sz="8" w:space="0" w:color="auto"/>
            </w:tcBorders>
            <w:noWrap/>
            <w:vAlign w:val="center"/>
            <w:hideMark/>
          </w:tcPr>
          <w:p w14:paraId="1701C85F"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1,646,137</w:t>
            </w:r>
          </w:p>
        </w:tc>
      </w:tr>
      <w:tr w:rsidR="0075354F" w:rsidRPr="0075354F" w14:paraId="48E7A98F" w14:textId="77777777" w:rsidTr="0075354F">
        <w:trPr>
          <w:trHeight w:val="290"/>
        </w:trPr>
        <w:tc>
          <w:tcPr>
            <w:tcW w:w="569" w:type="pct"/>
            <w:tcBorders>
              <w:top w:val="nil"/>
              <w:left w:val="single" w:sz="8" w:space="0" w:color="auto"/>
              <w:bottom w:val="nil"/>
              <w:right w:val="nil"/>
            </w:tcBorders>
            <w:noWrap/>
            <w:vAlign w:val="center"/>
            <w:hideMark/>
          </w:tcPr>
          <w:p w14:paraId="10B0E67A" w14:textId="77777777" w:rsidR="0075354F" w:rsidRPr="0075354F" w:rsidRDefault="0075354F" w:rsidP="0075354F">
            <w:pPr>
              <w:jc w:val="right"/>
              <w:rPr>
                <w:rFonts w:cs="Arial"/>
                <w:color w:val="000000"/>
                <w:sz w:val="22"/>
                <w:szCs w:val="22"/>
              </w:rPr>
            </w:pPr>
            <w:r w:rsidRPr="0075354F">
              <w:rPr>
                <w:rFonts w:cs="Arial"/>
                <w:color w:val="000000"/>
                <w:sz w:val="22"/>
                <w:szCs w:val="22"/>
              </w:rPr>
              <w:t>80090</w:t>
            </w:r>
          </w:p>
        </w:tc>
        <w:tc>
          <w:tcPr>
            <w:tcW w:w="1525" w:type="pct"/>
            <w:tcBorders>
              <w:top w:val="nil"/>
              <w:left w:val="single" w:sz="8" w:space="0" w:color="auto"/>
              <w:bottom w:val="nil"/>
              <w:right w:val="nil"/>
            </w:tcBorders>
            <w:noWrap/>
            <w:vAlign w:val="center"/>
            <w:hideMark/>
          </w:tcPr>
          <w:p w14:paraId="6D868AD8" w14:textId="77777777" w:rsidR="0075354F" w:rsidRPr="0075354F" w:rsidRDefault="0075354F" w:rsidP="0075354F">
            <w:pPr>
              <w:rPr>
                <w:rFonts w:cs="Arial"/>
                <w:color w:val="000000"/>
                <w:sz w:val="22"/>
                <w:szCs w:val="22"/>
              </w:rPr>
            </w:pPr>
            <w:r w:rsidRPr="0075354F">
              <w:rPr>
                <w:rFonts w:cs="Arial"/>
                <w:color w:val="000000"/>
                <w:sz w:val="22"/>
                <w:szCs w:val="22"/>
              </w:rPr>
              <w:t>Cayley</w:t>
            </w:r>
          </w:p>
        </w:tc>
        <w:tc>
          <w:tcPr>
            <w:tcW w:w="1038" w:type="pct"/>
            <w:tcBorders>
              <w:top w:val="nil"/>
              <w:left w:val="single" w:sz="8" w:space="0" w:color="auto"/>
              <w:bottom w:val="nil"/>
              <w:right w:val="single" w:sz="8" w:space="0" w:color="auto"/>
            </w:tcBorders>
            <w:noWrap/>
            <w:vAlign w:val="center"/>
            <w:hideMark/>
          </w:tcPr>
          <w:p w14:paraId="5D8966F8" w14:textId="77777777" w:rsidR="0075354F" w:rsidRPr="0075354F" w:rsidRDefault="0075354F" w:rsidP="0075354F">
            <w:pPr>
              <w:jc w:val="right"/>
              <w:rPr>
                <w:rFonts w:cs="Arial"/>
                <w:color w:val="000000"/>
                <w:sz w:val="22"/>
                <w:szCs w:val="22"/>
              </w:rPr>
            </w:pPr>
            <w:r w:rsidRPr="0075354F">
              <w:rPr>
                <w:rFonts w:cs="Arial"/>
                <w:color w:val="000000"/>
                <w:sz w:val="22"/>
                <w:szCs w:val="22"/>
              </w:rPr>
              <w:t>36,452</w:t>
            </w:r>
          </w:p>
        </w:tc>
        <w:tc>
          <w:tcPr>
            <w:tcW w:w="894" w:type="pct"/>
            <w:tcBorders>
              <w:top w:val="nil"/>
              <w:left w:val="nil"/>
              <w:bottom w:val="nil"/>
              <w:right w:val="single" w:sz="8" w:space="0" w:color="auto"/>
            </w:tcBorders>
            <w:noWrap/>
            <w:vAlign w:val="center"/>
            <w:hideMark/>
          </w:tcPr>
          <w:p w14:paraId="7B402483" w14:textId="77777777" w:rsidR="0075354F" w:rsidRPr="007A76D3" w:rsidRDefault="0075354F" w:rsidP="0075354F">
            <w:pPr>
              <w:jc w:val="right"/>
              <w:rPr>
                <w:rFonts w:cs="Arial"/>
                <w:color w:val="ED0000"/>
                <w:sz w:val="22"/>
                <w:szCs w:val="22"/>
              </w:rPr>
            </w:pPr>
            <w:r w:rsidRPr="007A76D3">
              <w:rPr>
                <w:rFonts w:cs="Arial"/>
                <w:color w:val="ED0000"/>
                <w:sz w:val="22"/>
                <w:szCs w:val="22"/>
              </w:rPr>
              <w:t>-53,072</w:t>
            </w:r>
          </w:p>
        </w:tc>
        <w:tc>
          <w:tcPr>
            <w:tcW w:w="975" w:type="pct"/>
            <w:tcBorders>
              <w:top w:val="nil"/>
              <w:left w:val="nil"/>
              <w:bottom w:val="nil"/>
              <w:right w:val="single" w:sz="8" w:space="0" w:color="auto"/>
            </w:tcBorders>
            <w:noWrap/>
            <w:vAlign w:val="center"/>
            <w:hideMark/>
          </w:tcPr>
          <w:p w14:paraId="66C5AF6C" w14:textId="77777777" w:rsidR="0075354F" w:rsidRPr="007A76D3" w:rsidRDefault="0075354F" w:rsidP="0075354F">
            <w:pPr>
              <w:jc w:val="right"/>
              <w:rPr>
                <w:rFonts w:ascii="Aptos Narrow" w:hAnsi="Aptos Narrow"/>
                <w:color w:val="ED0000"/>
                <w:sz w:val="22"/>
                <w:szCs w:val="22"/>
              </w:rPr>
            </w:pPr>
            <w:r w:rsidRPr="007A76D3">
              <w:rPr>
                <w:rFonts w:ascii="Aptos Narrow" w:hAnsi="Aptos Narrow"/>
                <w:color w:val="ED0000"/>
                <w:sz w:val="22"/>
                <w:szCs w:val="22"/>
              </w:rPr>
              <w:t>-16,619</w:t>
            </w:r>
          </w:p>
        </w:tc>
      </w:tr>
      <w:tr w:rsidR="0075354F" w:rsidRPr="0075354F" w14:paraId="2F498C00" w14:textId="77777777" w:rsidTr="0075354F">
        <w:trPr>
          <w:trHeight w:val="290"/>
        </w:trPr>
        <w:tc>
          <w:tcPr>
            <w:tcW w:w="569" w:type="pct"/>
            <w:tcBorders>
              <w:top w:val="nil"/>
              <w:left w:val="single" w:sz="8" w:space="0" w:color="auto"/>
              <w:bottom w:val="nil"/>
              <w:right w:val="nil"/>
            </w:tcBorders>
            <w:noWrap/>
            <w:vAlign w:val="center"/>
            <w:hideMark/>
          </w:tcPr>
          <w:p w14:paraId="7A60BF4B" w14:textId="77777777" w:rsidR="0075354F" w:rsidRPr="0075354F" w:rsidRDefault="0075354F" w:rsidP="0075354F">
            <w:pPr>
              <w:jc w:val="right"/>
              <w:rPr>
                <w:rFonts w:cs="Arial"/>
                <w:color w:val="000000"/>
                <w:sz w:val="22"/>
                <w:szCs w:val="22"/>
              </w:rPr>
            </w:pPr>
            <w:r w:rsidRPr="0075354F">
              <w:rPr>
                <w:rFonts w:cs="Arial"/>
                <w:color w:val="000000"/>
                <w:sz w:val="22"/>
                <w:szCs w:val="22"/>
              </w:rPr>
              <w:t>80515</w:t>
            </w:r>
          </w:p>
        </w:tc>
        <w:tc>
          <w:tcPr>
            <w:tcW w:w="1525" w:type="pct"/>
            <w:tcBorders>
              <w:top w:val="nil"/>
              <w:left w:val="single" w:sz="8" w:space="0" w:color="auto"/>
              <w:bottom w:val="nil"/>
              <w:right w:val="nil"/>
            </w:tcBorders>
            <w:noWrap/>
            <w:vAlign w:val="center"/>
            <w:hideMark/>
          </w:tcPr>
          <w:p w14:paraId="6C97931C" w14:textId="77777777" w:rsidR="0075354F" w:rsidRPr="0075354F" w:rsidRDefault="0075354F" w:rsidP="0075354F">
            <w:pPr>
              <w:rPr>
                <w:rFonts w:cs="Arial"/>
                <w:color w:val="000000"/>
                <w:sz w:val="22"/>
                <w:szCs w:val="22"/>
              </w:rPr>
            </w:pPr>
            <w:r w:rsidRPr="0075354F">
              <w:rPr>
                <w:rFonts w:cs="Arial"/>
                <w:color w:val="000000"/>
                <w:sz w:val="22"/>
                <w:szCs w:val="22"/>
              </w:rPr>
              <w:t>CFGS</w:t>
            </w:r>
          </w:p>
        </w:tc>
        <w:tc>
          <w:tcPr>
            <w:tcW w:w="1038" w:type="pct"/>
            <w:tcBorders>
              <w:top w:val="nil"/>
              <w:left w:val="single" w:sz="8" w:space="0" w:color="auto"/>
              <w:bottom w:val="nil"/>
              <w:right w:val="single" w:sz="8" w:space="0" w:color="auto"/>
            </w:tcBorders>
            <w:noWrap/>
            <w:vAlign w:val="center"/>
            <w:hideMark/>
          </w:tcPr>
          <w:p w14:paraId="0DF3848C" w14:textId="77777777" w:rsidR="0075354F" w:rsidRPr="0075354F" w:rsidRDefault="0075354F" w:rsidP="0075354F">
            <w:pPr>
              <w:jc w:val="right"/>
              <w:rPr>
                <w:rFonts w:cs="Arial"/>
                <w:color w:val="000000"/>
                <w:sz w:val="22"/>
                <w:szCs w:val="22"/>
              </w:rPr>
            </w:pPr>
            <w:r w:rsidRPr="0075354F">
              <w:rPr>
                <w:rFonts w:cs="Arial"/>
                <w:color w:val="000000"/>
                <w:sz w:val="22"/>
                <w:szCs w:val="22"/>
              </w:rPr>
              <w:t>1,206,837</w:t>
            </w:r>
          </w:p>
        </w:tc>
        <w:tc>
          <w:tcPr>
            <w:tcW w:w="894" w:type="pct"/>
            <w:tcBorders>
              <w:top w:val="nil"/>
              <w:left w:val="nil"/>
              <w:bottom w:val="nil"/>
              <w:right w:val="single" w:sz="8" w:space="0" w:color="auto"/>
            </w:tcBorders>
            <w:noWrap/>
            <w:vAlign w:val="center"/>
            <w:hideMark/>
          </w:tcPr>
          <w:p w14:paraId="5230AD93" w14:textId="77777777" w:rsidR="0075354F" w:rsidRPr="007A76D3" w:rsidRDefault="0075354F" w:rsidP="0075354F">
            <w:pPr>
              <w:jc w:val="right"/>
              <w:rPr>
                <w:rFonts w:cs="Arial"/>
                <w:color w:val="ED0000"/>
                <w:sz w:val="22"/>
                <w:szCs w:val="22"/>
              </w:rPr>
            </w:pPr>
            <w:r w:rsidRPr="007A76D3">
              <w:rPr>
                <w:rFonts w:cs="Arial"/>
                <w:color w:val="ED0000"/>
                <w:sz w:val="22"/>
                <w:szCs w:val="22"/>
              </w:rPr>
              <w:t>-49,186</w:t>
            </w:r>
          </w:p>
        </w:tc>
        <w:tc>
          <w:tcPr>
            <w:tcW w:w="975" w:type="pct"/>
            <w:tcBorders>
              <w:top w:val="nil"/>
              <w:left w:val="nil"/>
              <w:bottom w:val="nil"/>
              <w:right w:val="single" w:sz="8" w:space="0" w:color="auto"/>
            </w:tcBorders>
            <w:noWrap/>
            <w:vAlign w:val="center"/>
            <w:hideMark/>
          </w:tcPr>
          <w:p w14:paraId="307FBB84"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1,157,651</w:t>
            </w:r>
          </w:p>
        </w:tc>
      </w:tr>
      <w:tr w:rsidR="0075354F" w:rsidRPr="0075354F" w14:paraId="47EE122F" w14:textId="77777777" w:rsidTr="0075354F">
        <w:trPr>
          <w:trHeight w:val="290"/>
        </w:trPr>
        <w:tc>
          <w:tcPr>
            <w:tcW w:w="569" w:type="pct"/>
            <w:tcBorders>
              <w:top w:val="nil"/>
              <w:left w:val="single" w:sz="8" w:space="0" w:color="auto"/>
              <w:bottom w:val="nil"/>
              <w:right w:val="nil"/>
            </w:tcBorders>
            <w:noWrap/>
            <w:vAlign w:val="center"/>
            <w:hideMark/>
          </w:tcPr>
          <w:p w14:paraId="338C95B2" w14:textId="77777777" w:rsidR="0075354F" w:rsidRPr="0075354F" w:rsidRDefault="0075354F" w:rsidP="0075354F">
            <w:pPr>
              <w:jc w:val="right"/>
              <w:rPr>
                <w:rFonts w:cs="Arial"/>
                <w:color w:val="000000"/>
                <w:sz w:val="22"/>
                <w:szCs w:val="22"/>
              </w:rPr>
            </w:pPr>
            <w:r w:rsidRPr="0075354F">
              <w:rPr>
                <w:rFonts w:cs="Arial"/>
                <w:color w:val="000000"/>
                <w:sz w:val="22"/>
                <w:szCs w:val="22"/>
              </w:rPr>
              <w:t>80005</w:t>
            </w:r>
          </w:p>
        </w:tc>
        <w:tc>
          <w:tcPr>
            <w:tcW w:w="1525" w:type="pct"/>
            <w:tcBorders>
              <w:top w:val="nil"/>
              <w:left w:val="single" w:sz="8" w:space="0" w:color="auto"/>
              <w:bottom w:val="nil"/>
              <w:right w:val="nil"/>
            </w:tcBorders>
            <w:noWrap/>
            <w:vAlign w:val="center"/>
            <w:hideMark/>
          </w:tcPr>
          <w:p w14:paraId="3357A242" w14:textId="77777777" w:rsidR="0075354F" w:rsidRPr="0075354F" w:rsidRDefault="0075354F" w:rsidP="0075354F">
            <w:pPr>
              <w:rPr>
                <w:rFonts w:cs="Arial"/>
                <w:color w:val="000000"/>
                <w:sz w:val="22"/>
                <w:szCs w:val="22"/>
              </w:rPr>
            </w:pPr>
            <w:r w:rsidRPr="0075354F">
              <w:rPr>
                <w:rFonts w:cs="Arial"/>
                <w:color w:val="000000"/>
                <w:sz w:val="22"/>
                <w:szCs w:val="22"/>
              </w:rPr>
              <w:t>Childrens House</w:t>
            </w:r>
          </w:p>
        </w:tc>
        <w:tc>
          <w:tcPr>
            <w:tcW w:w="1038" w:type="pct"/>
            <w:tcBorders>
              <w:top w:val="nil"/>
              <w:left w:val="single" w:sz="8" w:space="0" w:color="auto"/>
              <w:bottom w:val="nil"/>
              <w:right w:val="single" w:sz="8" w:space="0" w:color="auto"/>
            </w:tcBorders>
            <w:noWrap/>
            <w:vAlign w:val="center"/>
            <w:hideMark/>
          </w:tcPr>
          <w:p w14:paraId="43F89A97" w14:textId="77777777" w:rsidR="0075354F" w:rsidRPr="0075354F" w:rsidRDefault="0075354F" w:rsidP="0075354F">
            <w:pPr>
              <w:jc w:val="right"/>
              <w:rPr>
                <w:rFonts w:cs="Arial"/>
                <w:color w:val="000000"/>
                <w:sz w:val="22"/>
                <w:szCs w:val="22"/>
              </w:rPr>
            </w:pPr>
            <w:r w:rsidRPr="0075354F">
              <w:rPr>
                <w:rFonts w:cs="Arial"/>
                <w:color w:val="000000"/>
                <w:sz w:val="22"/>
                <w:szCs w:val="22"/>
              </w:rPr>
              <w:t>467,833</w:t>
            </w:r>
          </w:p>
        </w:tc>
        <w:tc>
          <w:tcPr>
            <w:tcW w:w="894" w:type="pct"/>
            <w:tcBorders>
              <w:top w:val="nil"/>
              <w:left w:val="nil"/>
              <w:bottom w:val="nil"/>
              <w:right w:val="single" w:sz="8" w:space="0" w:color="auto"/>
            </w:tcBorders>
            <w:noWrap/>
            <w:vAlign w:val="center"/>
            <w:hideMark/>
          </w:tcPr>
          <w:p w14:paraId="334F59D0" w14:textId="77777777" w:rsidR="0075354F" w:rsidRPr="0075354F" w:rsidRDefault="0075354F" w:rsidP="0075354F">
            <w:pPr>
              <w:jc w:val="right"/>
              <w:rPr>
                <w:rFonts w:cs="Arial"/>
                <w:color w:val="000000"/>
                <w:sz w:val="22"/>
                <w:szCs w:val="22"/>
              </w:rPr>
            </w:pPr>
            <w:r w:rsidRPr="0075354F">
              <w:rPr>
                <w:rFonts w:cs="Arial"/>
                <w:color w:val="000000"/>
                <w:sz w:val="22"/>
                <w:szCs w:val="22"/>
              </w:rPr>
              <w:t>395,023</w:t>
            </w:r>
          </w:p>
        </w:tc>
        <w:tc>
          <w:tcPr>
            <w:tcW w:w="975" w:type="pct"/>
            <w:tcBorders>
              <w:top w:val="nil"/>
              <w:left w:val="nil"/>
              <w:bottom w:val="nil"/>
              <w:right w:val="single" w:sz="8" w:space="0" w:color="auto"/>
            </w:tcBorders>
            <w:noWrap/>
            <w:vAlign w:val="center"/>
            <w:hideMark/>
          </w:tcPr>
          <w:p w14:paraId="06355AEE"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862,856</w:t>
            </w:r>
          </w:p>
        </w:tc>
      </w:tr>
      <w:tr w:rsidR="0075354F" w:rsidRPr="0075354F" w14:paraId="132428F5" w14:textId="77777777" w:rsidTr="0075354F">
        <w:trPr>
          <w:trHeight w:val="290"/>
        </w:trPr>
        <w:tc>
          <w:tcPr>
            <w:tcW w:w="569" w:type="pct"/>
            <w:tcBorders>
              <w:top w:val="nil"/>
              <w:left w:val="single" w:sz="8" w:space="0" w:color="auto"/>
              <w:bottom w:val="nil"/>
              <w:right w:val="nil"/>
            </w:tcBorders>
            <w:noWrap/>
            <w:vAlign w:val="center"/>
            <w:hideMark/>
          </w:tcPr>
          <w:p w14:paraId="133C77FC" w14:textId="77777777" w:rsidR="0075354F" w:rsidRPr="0075354F" w:rsidRDefault="0075354F" w:rsidP="0075354F">
            <w:pPr>
              <w:jc w:val="right"/>
              <w:rPr>
                <w:rFonts w:cs="Arial"/>
                <w:color w:val="000000"/>
                <w:sz w:val="22"/>
                <w:szCs w:val="22"/>
              </w:rPr>
            </w:pPr>
            <w:r w:rsidRPr="0075354F">
              <w:rPr>
                <w:rFonts w:cs="Arial"/>
                <w:color w:val="000000"/>
                <w:sz w:val="22"/>
                <w:szCs w:val="22"/>
              </w:rPr>
              <w:t>80095</w:t>
            </w:r>
          </w:p>
        </w:tc>
        <w:tc>
          <w:tcPr>
            <w:tcW w:w="1525" w:type="pct"/>
            <w:tcBorders>
              <w:top w:val="nil"/>
              <w:left w:val="single" w:sz="8" w:space="0" w:color="auto"/>
              <w:bottom w:val="nil"/>
              <w:right w:val="nil"/>
            </w:tcBorders>
            <w:noWrap/>
            <w:vAlign w:val="center"/>
            <w:hideMark/>
          </w:tcPr>
          <w:p w14:paraId="11D3A909" w14:textId="77777777" w:rsidR="0075354F" w:rsidRPr="0075354F" w:rsidRDefault="0075354F" w:rsidP="0075354F">
            <w:pPr>
              <w:rPr>
                <w:rFonts w:cs="Arial"/>
                <w:color w:val="000000"/>
                <w:sz w:val="22"/>
                <w:szCs w:val="22"/>
              </w:rPr>
            </w:pPr>
            <w:r w:rsidRPr="0075354F">
              <w:rPr>
                <w:rFonts w:cs="Arial"/>
                <w:color w:val="000000"/>
                <w:sz w:val="22"/>
                <w:szCs w:val="22"/>
              </w:rPr>
              <w:t>Chisenhale</w:t>
            </w:r>
          </w:p>
        </w:tc>
        <w:tc>
          <w:tcPr>
            <w:tcW w:w="1038" w:type="pct"/>
            <w:tcBorders>
              <w:top w:val="nil"/>
              <w:left w:val="single" w:sz="8" w:space="0" w:color="auto"/>
              <w:bottom w:val="nil"/>
              <w:right w:val="single" w:sz="8" w:space="0" w:color="auto"/>
            </w:tcBorders>
            <w:noWrap/>
            <w:vAlign w:val="center"/>
            <w:hideMark/>
          </w:tcPr>
          <w:p w14:paraId="00087160" w14:textId="77777777" w:rsidR="0075354F" w:rsidRPr="0075354F" w:rsidRDefault="0075354F" w:rsidP="0075354F">
            <w:pPr>
              <w:jc w:val="right"/>
              <w:rPr>
                <w:rFonts w:cs="Arial"/>
                <w:color w:val="000000"/>
                <w:sz w:val="22"/>
                <w:szCs w:val="22"/>
              </w:rPr>
            </w:pPr>
            <w:r w:rsidRPr="0075354F">
              <w:rPr>
                <w:rFonts w:cs="Arial"/>
                <w:color w:val="000000"/>
                <w:sz w:val="22"/>
                <w:szCs w:val="22"/>
              </w:rPr>
              <w:t>3,992</w:t>
            </w:r>
          </w:p>
        </w:tc>
        <w:tc>
          <w:tcPr>
            <w:tcW w:w="894" w:type="pct"/>
            <w:tcBorders>
              <w:top w:val="nil"/>
              <w:left w:val="nil"/>
              <w:bottom w:val="nil"/>
              <w:right w:val="single" w:sz="8" w:space="0" w:color="auto"/>
            </w:tcBorders>
            <w:noWrap/>
            <w:vAlign w:val="center"/>
            <w:hideMark/>
          </w:tcPr>
          <w:p w14:paraId="5EF21EB4" w14:textId="77777777" w:rsidR="0075354F" w:rsidRPr="0075354F" w:rsidRDefault="0075354F" w:rsidP="0075354F">
            <w:pPr>
              <w:jc w:val="right"/>
              <w:rPr>
                <w:rFonts w:cs="Arial"/>
                <w:color w:val="000000"/>
                <w:sz w:val="22"/>
                <w:szCs w:val="22"/>
              </w:rPr>
            </w:pPr>
            <w:r w:rsidRPr="0075354F">
              <w:rPr>
                <w:rFonts w:cs="Arial"/>
                <w:color w:val="000000"/>
                <w:sz w:val="22"/>
                <w:szCs w:val="22"/>
              </w:rPr>
              <w:t>54,472</w:t>
            </w:r>
          </w:p>
        </w:tc>
        <w:tc>
          <w:tcPr>
            <w:tcW w:w="975" w:type="pct"/>
            <w:tcBorders>
              <w:top w:val="nil"/>
              <w:left w:val="nil"/>
              <w:bottom w:val="nil"/>
              <w:right w:val="single" w:sz="8" w:space="0" w:color="auto"/>
            </w:tcBorders>
            <w:noWrap/>
            <w:vAlign w:val="center"/>
            <w:hideMark/>
          </w:tcPr>
          <w:p w14:paraId="0990CD64"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58,464</w:t>
            </w:r>
          </w:p>
        </w:tc>
      </w:tr>
      <w:tr w:rsidR="0075354F" w:rsidRPr="0075354F" w14:paraId="3FFE34E0" w14:textId="77777777" w:rsidTr="0075354F">
        <w:trPr>
          <w:trHeight w:val="290"/>
        </w:trPr>
        <w:tc>
          <w:tcPr>
            <w:tcW w:w="569" w:type="pct"/>
            <w:tcBorders>
              <w:top w:val="nil"/>
              <w:left w:val="single" w:sz="8" w:space="0" w:color="auto"/>
              <w:bottom w:val="nil"/>
              <w:right w:val="nil"/>
            </w:tcBorders>
            <w:noWrap/>
            <w:vAlign w:val="center"/>
            <w:hideMark/>
          </w:tcPr>
          <w:p w14:paraId="6D43F83F" w14:textId="77777777" w:rsidR="0075354F" w:rsidRPr="0075354F" w:rsidRDefault="0075354F" w:rsidP="0075354F">
            <w:pPr>
              <w:jc w:val="right"/>
              <w:rPr>
                <w:rFonts w:cs="Arial"/>
                <w:color w:val="000000"/>
                <w:sz w:val="22"/>
                <w:szCs w:val="22"/>
              </w:rPr>
            </w:pPr>
            <w:r w:rsidRPr="0075354F">
              <w:rPr>
                <w:rFonts w:cs="Arial"/>
                <w:color w:val="000000"/>
                <w:sz w:val="22"/>
                <w:szCs w:val="22"/>
              </w:rPr>
              <w:t>80100</w:t>
            </w:r>
          </w:p>
        </w:tc>
        <w:tc>
          <w:tcPr>
            <w:tcW w:w="1525" w:type="pct"/>
            <w:tcBorders>
              <w:top w:val="nil"/>
              <w:left w:val="single" w:sz="8" w:space="0" w:color="auto"/>
              <w:bottom w:val="nil"/>
              <w:right w:val="nil"/>
            </w:tcBorders>
            <w:noWrap/>
            <w:vAlign w:val="center"/>
            <w:hideMark/>
          </w:tcPr>
          <w:p w14:paraId="63978065" w14:textId="77777777" w:rsidR="0075354F" w:rsidRPr="0075354F" w:rsidRDefault="0075354F" w:rsidP="0075354F">
            <w:pPr>
              <w:rPr>
                <w:rFonts w:cs="Arial"/>
                <w:color w:val="000000"/>
                <w:sz w:val="22"/>
                <w:szCs w:val="22"/>
              </w:rPr>
            </w:pPr>
            <w:r w:rsidRPr="0075354F">
              <w:rPr>
                <w:rFonts w:cs="Arial"/>
                <w:color w:val="000000"/>
                <w:sz w:val="22"/>
                <w:szCs w:val="22"/>
              </w:rPr>
              <w:t>Christchurch</w:t>
            </w:r>
          </w:p>
        </w:tc>
        <w:tc>
          <w:tcPr>
            <w:tcW w:w="1038" w:type="pct"/>
            <w:tcBorders>
              <w:top w:val="nil"/>
              <w:left w:val="single" w:sz="8" w:space="0" w:color="auto"/>
              <w:bottom w:val="nil"/>
              <w:right w:val="single" w:sz="8" w:space="0" w:color="auto"/>
            </w:tcBorders>
            <w:noWrap/>
            <w:vAlign w:val="center"/>
            <w:hideMark/>
          </w:tcPr>
          <w:p w14:paraId="4625981B" w14:textId="77777777" w:rsidR="0075354F" w:rsidRPr="0075354F" w:rsidRDefault="0075354F" w:rsidP="0075354F">
            <w:pPr>
              <w:jc w:val="right"/>
              <w:rPr>
                <w:rFonts w:cs="Arial"/>
                <w:color w:val="000000"/>
                <w:sz w:val="22"/>
                <w:szCs w:val="22"/>
              </w:rPr>
            </w:pPr>
            <w:r w:rsidRPr="0075354F">
              <w:rPr>
                <w:rFonts w:cs="Arial"/>
                <w:color w:val="000000"/>
                <w:sz w:val="22"/>
                <w:szCs w:val="22"/>
              </w:rPr>
              <w:t>75,713</w:t>
            </w:r>
          </w:p>
        </w:tc>
        <w:tc>
          <w:tcPr>
            <w:tcW w:w="894" w:type="pct"/>
            <w:tcBorders>
              <w:top w:val="nil"/>
              <w:left w:val="nil"/>
              <w:bottom w:val="nil"/>
              <w:right w:val="single" w:sz="8" w:space="0" w:color="auto"/>
            </w:tcBorders>
            <w:noWrap/>
            <w:vAlign w:val="center"/>
            <w:hideMark/>
          </w:tcPr>
          <w:p w14:paraId="2B490F7D" w14:textId="77777777" w:rsidR="0075354F" w:rsidRPr="007A76D3" w:rsidRDefault="0075354F" w:rsidP="0075354F">
            <w:pPr>
              <w:jc w:val="right"/>
              <w:rPr>
                <w:rFonts w:cs="Arial"/>
                <w:color w:val="ED0000"/>
                <w:sz w:val="22"/>
                <w:szCs w:val="22"/>
              </w:rPr>
            </w:pPr>
            <w:r w:rsidRPr="007A76D3">
              <w:rPr>
                <w:rFonts w:cs="Arial"/>
                <w:color w:val="ED0000"/>
                <w:sz w:val="22"/>
                <w:szCs w:val="22"/>
              </w:rPr>
              <w:t>-71,757</w:t>
            </w:r>
          </w:p>
        </w:tc>
        <w:tc>
          <w:tcPr>
            <w:tcW w:w="975" w:type="pct"/>
            <w:tcBorders>
              <w:top w:val="nil"/>
              <w:left w:val="nil"/>
              <w:bottom w:val="nil"/>
              <w:right w:val="single" w:sz="8" w:space="0" w:color="auto"/>
            </w:tcBorders>
            <w:noWrap/>
            <w:vAlign w:val="center"/>
            <w:hideMark/>
          </w:tcPr>
          <w:p w14:paraId="2CE3F36C"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3,956</w:t>
            </w:r>
          </w:p>
        </w:tc>
      </w:tr>
      <w:tr w:rsidR="0075354F" w:rsidRPr="0075354F" w14:paraId="442AD208" w14:textId="77777777" w:rsidTr="0075354F">
        <w:trPr>
          <w:trHeight w:val="290"/>
        </w:trPr>
        <w:tc>
          <w:tcPr>
            <w:tcW w:w="569" w:type="pct"/>
            <w:tcBorders>
              <w:top w:val="nil"/>
              <w:left w:val="single" w:sz="8" w:space="0" w:color="auto"/>
              <w:bottom w:val="nil"/>
              <w:right w:val="nil"/>
            </w:tcBorders>
            <w:noWrap/>
            <w:vAlign w:val="center"/>
            <w:hideMark/>
          </w:tcPr>
          <w:p w14:paraId="163F4986" w14:textId="77777777" w:rsidR="0075354F" w:rsidRPr="0075354F" w:rsidRDefault="0075354F" w:rsidP="0075354F">
            <w:pPr>
              <w:jc w:val="right"/>
              <w:rPr>
                <w:rFonts w:cs="Arial"/>
                <w:color w:val="000000"/>
                <w:sz w:val="22"/>
                <w:szCs w:val="22"/>
              </w:rPr>
            </w:pPr>
            <w:r w:rsidRPr="0075354F">
              <w:rPr>
                <w:rFonts w:cs="Arial"/>
                <w:color w:val="000000"/>
                <w:sz w:val="22"/>
                <w:szCs w:val="22"/>
              </w:rPr>
              <w:t>80010</w:t>
            </w:r>
          </w:p>
        </w:tc>
        <w:tc>
          <w:tcPr>
            <w:tcW w:w="1525" w:type="pct"/>
            <w:tcBorders>
              <w:top w:val="nil"/>
              <w:left w:val="single" w:sz="8" w:space="0" w:color="auto"/>
              <w:bottom w:val="nil"/>
              <w:right w:val="nil"/>
            </w:tcBorders>
            <w:noWrap/>
            <w:vAlign w:val="center"/>
            <w:hideMark/>
          </w:tcPr>
          <w:p w14:paraId="14F44C7C" w14:textId="77777777" w:rsidR="0075354F" w:rsidRPr="0075354F" w:rsidRDefault="0075354F" w:rsidP="0075354F">
            <w:pPr>
              <w:rPr>
                <w:rFonts w:cs="Arial"/>
                <w:color w:val="000000"/>
                <w:sz w:val="22"/>
                <w:szCs w:val="22"/>
              </w:rPr>
            </w:pPr>
            <w:r w:rsidRPr="0075354F">
              <w:rPr>
                <w:rFonts w:cs="Arial"/>
                <w:color w:val="000000"/>
                <w:sz w:val="22"/>
                <w:szCs w:val="22"/>
              </w:rPr>
              <w:t>Columbia Market</w:t>
            </w:r>
          </w:p>
        </w:tc>
        <w:tc>
          <w:tcPr>
            <w:tcW w:w="1038" w:type="pct"/>
            <w:tcBorders>
              <w:top w:val="nil"/>
              <w:left w:val="single" w:sz="8" w:space="0" w:color="auto"/>
              <w:bottom w:val="nil"/>
              <w:right w:val="single" w:sz="8" w:space="0" w:color="auto"/>
            </w:tcBorders>
            <w:noWrap/>
            <w:vAlign w:val="center"/>
            <w:hideMark/>
          </w:tcPr>
          <w:p w14:paraId="7B26EA5D" w14:textId="77777777" w:rsidR="0075354F" w:rsidRPr="007A76D3" w:rsidRDefault="0075354F" w:rsidP="0075354F">
            <w:pPr>
              <w:jc w:val="right"/>
              <w:rPr>
                <w:rFonts w:cs="Arial"/>
                <w:color w:val="ED0000"/>
                <w:sz w:val="22"/>
                <w:szCs w:val="22"/>
              </w:rPr>
            </w:pPr>
            <w:r w:rsidRPr="007A76D3">
              <w:rPr>
                <w:rFonts w:cs="Arial"/>
                <w:color w:val="ED0000"/>
                <w:sz w:val="22"/>
                <w:szCs w:val="22"/>
              </w:rPr>
              <w:t>-108,736</w:t>
            </w:r>
          </w:p>
        </w:tc>
        <w:tc>
          <w:tcPr>
            <w:tcW w:w="894" w:type="pct"/>
            <w:tcBorders>
              <w:top w:val="nil"/>
              <w:left w:val="nil"/>
              <w:bottom w:val="nil"/>
              <w:right w:val="single" w:sz="8" w:space="0" w:color="auto"/>
            </w:tcBorders>
            <w:noWrap/>
            <w:vAlign w:val="center"/>
            <w:hideMark/>
          </w:tcPr>
          <w:p w14:paraId="1EF9F044" w14:textId="77777777" w:rsidR="0075354F" w:rsidRPr="0075354F" w:rsidRDefault="0075354F" w:rsidP="0075354F">
            <w:pPr>
              <w:jc w:val="right"/>
              <w:rPr>
                <w:rFonts w:cs="Arial"/>
                <w:color w:val="000000"/>
                <w:sz w:val="22"/>
                <w:szCs w:val="22"/>
              </w:rPr>
            </w:pPr>
            <w:r w:rsidRPr="0075354F">
              <w:rPr>
                <w:rFonts w:cs="Arial"/>
                <w:color w:val="000000"/>
                <w:sz w:val="22"/>
                <w:szCs w:val="22"/>
              </w:rPr>
              <w:t>5,160</w:t>
            </w:r>
          </w:p>
        </w:tc>
        <w:tc>
          <w:tcPr>
            <w:tcW w:w="975" w:type="pct"/>
            <w:tcBorders>
              <w:top w:val="nil"/>
              <w:left w:val="nil"/>
              <w:bottom w:val="nil"/>
              <w:right w:val="single" w:sz="8" w:space="0" w:color="auto"/>
            </w:tcBorders>
            <w:noWrap/>
            <w:vAlign w:val="center"/>
            <w:hideMark/>
          </w:tcPr>
          <w:p w14:paraId="75832B8E" w14:textId="77777777" w:rsidR="0075354F" w:rsidRPr="007A76D3" w:rsidRDefault="0075354F" w:rsidP="0075354F">
            <w:pPr>
              <w:jc w:val="right"/>
              <w:rPr>
                <w:rFonts w:ascii="Aptos Narrow" w:hAnsi="Aptos Narrow"/>
                <w:color w:val="ED0000"/>
                <w:sz w:val="22"/>
                <w:szCs w:val="22"/>
              </w:rPr>
            </w:pPr>
            <w:r w:rsidRPr="007A76D3">
              <w:rPr>
                <w:rFonts w:ascii="Aptos Narrow" w:hAnsi="Aptos Narrow"/>
                <w:color w:val="ED0000"/>
                <w:sz w:val="22"/>
                <w:szCs w:val="22"/>
              </w:rPr>
              <w:t>-103,576</w:t>
            </w:r>
          </w:p>
        </w:tc>
      </w:tr>
      <w:tr w:rsidR="0075354F" w:rsidRPr="0075354F" w14:paraId="71D24CFF" w14:textId="77777777" w:rsidTr="0075354F">
        <w:trPr>
          <w:trHeight w:val="290"/>
        </w:trPr>
        <w:tc>
          <w:tcPr>
            <w:tcW w:w="569" w:type="pct"/>
            <w:tcBorders>
              <w:top w:val="nil"/>
              <w:left w:val="single" w:sz="8" w:space="0" w:color="auto"/>
              <w:bottom w:val="nil"/>
              <w:right w:val="nil"/>
            </w:tcBorders>
            <w:noWrap/>
            <w:vAlign w:val="center"/>
            <w:hideMark/>
          </w:tcPr>
          <w:p w14:paraId="39C86907" w14:textId="77777777" w:rsidR="0075354F" w:rsidRPr="0075354F" w:rsidRDefault="0075354F" w:rsidP="0075354F">
            <w:pPr>
              <w:jc w:val="right"/>
              <w:rPr>
                <w:rFonts w:cs="Arial"/>
                <w:color w:val="000000"/>
                <w:sz w:val="22"/>
                <w:szCs w:val="22"/>
              </w:rPr>
            </w:pPr>
            <w:r w:rsidRPr="0075354F">
              <w:rPr>
                <w:rFonts w:cs="Arial"/>
                <w:color w:val="000000"/>
                <w:sz w:val="22"/>
                <w:szCs w:val="22"/>
              </w:rPr>
              <w:t>80120</w:t>
            </w:r>
          </w:p>
        </w:tc>
        <w:tc>
          <w:tcPr>
            <w:tcW w:w="1525" w:type="pct"/>
            <w:tcBorders>
              <w:top w:val="nil"/>
              <w:left w:val="single" w:sz="8" w:space="0" w:color="auto"/>
              <w:bottom w:val="nil"/>
              <w:right w:val="nil"/>
            </w:tcBorders>
            <w:noWrap/>
            <w:vAlign w:val="center"/>
            <w:hideMark/>
          </w:tcPr>
          <w:p w14:paraId="58720F80" w14:textId="77777777" w:rsidR="0075354F" w:rsidRPr="0075354F" w:rsidRDefault="0075354F" w:rsidP="0075354F">
            <w:pPr>
              <w:rPr>
                <w:rFonts w:cs="Arial"/>
                <w:color w:val="000000"/>
                <w:sz w:val="22"/>
                <w:szCs w:val="22"/>
              </w:rPr>
            </w:pPr>
            <w:r w:rsidRPr="0075354F">
              <w:rPr>
                <w:rFonts w:cs="Arial"/>
                <w:color w:val="000000"/>
                <w:sz w:val="22"/>
                <w:szCs w:val="22"/>
              </w:rPr>
              <w:t>Cubitt Town Junior</w:t>
            </w:r>
          </w:p>
        </w:tc>
        <w:tc>
          <w:tcPr>
            <w:tcW w:w="1038" w:type="pct"/>
            <w:tcBorders>
              <w:top w:val="nil"/>
              <w:left w:val="single" w:sz="8" w:space="0" w:color="auto"/>
              <w:bottom w:val="nil"/>
              <w:right w:val="single" w:sz="8" w:space="0" w:color="auto"/>
            </w:tcBorders>
            <w:noWrap/>
            <w:vAlign w:val="center"/>
            <w:hideMark/>
          </w:tcPr>
          <w:p w14:paraId="2AC99929" w14:textId="77777777" w:rsidR="0075354F" w:rsidRPr="0075354F" w:rsidRDefault="0075354F" w:rsidP="0075354F">
            <w:pPr>
              <w:jc w:val="right"/>
              <w:rPr>
                <w:rFonts w:cs="Arial"/>
                <w:color w:val="000000"/>
                <w:sz w:val="22"/>
                <w:szCs w:val="22"/>
              </w:rPr>
            </w:pPr>
            <w:r w:rsidRPr="0075354F">
              <w:rPr>
                <w:rFonts w:cs="Arial"/>
                <w:color w:val="000000"/>
                <w:sz w:val="22"/>
                <w:szCs w:val="22"/>
              </w:rPr>
              <w:t>400,892</w:t>
            </w:r>
          </w:p>
        </w:tc>
        <w:tc>
          <w:tcPr>
            <w:tcW w:w="894" w:type="pct"/>
            <w:tcBorders>
              <w:top w:val="nil"/>
              <w:left w:val="nil"/>
              <w:bottom w:val="nil"/>
              <w:right w:val="single" w:sz="8" w:space="0" w:color="auto"/>
            </w:tcBorders>
            <w:noWrap/>
            <w:vAlign w:val="center"/>
            <w:hideMark/>
          </w:tcPr>
          <w:p w14:paraId="130596CF" w14:textId="77777777" w:rsidR="0075354F" w:rsidRPr="0075354F" w:rsidRDefault="0075354F" w:rsidP="0075354F">
            <w:pPr>
              <w:jc w:val="right"/>
              <w:rPr>
                <w:rFonts w:cs="Arial"/>
                <w:color w:val="000000"/>
                <w:sz w:val="22"/>
                <w:szCs w:val="22"/>
              </w:rPr>
            </w:pPr>
            <w:r w:rsidRPr="0075354F">
              <w:rPr>
                <w:rFonts w:cs="Arial"/>
                <w:color w:val="000000"/>
                <w:sz w:val="22"/>
                <w:szCs w:val="22"/>
              </w:rPr>
              <w:t>145,886</w:t>
            </w:r>
          </w:p>
        </w:tc>
        <w:tc>
          <w:tcPr>
            <w:tcW w:w="975" w:type="pct"/>
            <w:tcBorders>
              <w:top w:val="nil"/>
              <w:left w:val="nil"/>
              <w:bottom w:val="nil"/>
              <w:right w:val="single" w:sz="8" w:space="0" w:color="auto"/>
            </w:tcBorders>
            <w:noWrap/>
            <w:vAlign w:val="center"/>
            <w:hideMark/>
          </w:tcPr>
          <w:p w14:paraId="58773FAA"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546,778</w:t>
            </w:r>
          </w:p>
        </w:tc>
      </w:tr>
      <w:tr w:rsidR="0075354F" w:rsidRPr="0075354F" w14:paraId="2710F2BE" w14:textId="77777777" w:rsidTr="0075354F">
        <w:trPr>
          <w:trHeight w:val="290"/>
        </w:trPr>
        <w:tc>
          <w:tcPr>
            <w:tcW w:w="569" w:type="pct"/>
            <w:tcBorders>
              <w:top w:val="nil"/>
              <w:left w:val="single" w:sz="8" w:space="0" w:color="auto"/>
              <w:bottom w:val="nil"/>
              <w:right w:val="nil"/>
            </w:tcBorders>
            <w:noWrap/>
            <w:vAlign w:val="center"/>
            <w:hideMark/>
          </w:tcPr>
          <w:p w14:paraId="2BE0D696" w14:textId="77777777" w:rsidR="0075354F" w:rsidRPr="0075354F" w:rsidRDefault="0075354F" w:rsidP="0075354F">
            <w:pPr>
              <w:jc w:val="right"/>
              <w:rPr>
                <w:rFonts w:cs="Arial"/>
                <w:color w:val="000000"/>
                <w:sz w:val="22"/>
                <w:szCs w:val="22"/>
              </w:rPr>
            </w:pPr>
            <w:r w:rsidRPr="0075354F">
              <w:rPr>
                <w:rFonts w:cs="Arial"/>
                <w:color w:val="000000"/>
                <w:sz w:val="22"/>
                <w:szCs w:val="22"/>
              </w:rPr>
              <w:t>80135</w:t>
            </w:r>
          </w:p>
        </w:tc>
        <w:tc>
          <w:tcPr>
            <w:tcW w:w="1525" w:type="pct"/>
            <w:tcBorders>
              <w:top w:val="nil"/>
              <w:left w:val="single" w:sz="8" w:space="0" w:color="auto"/>
              <w:bottom w:val="nil"/>
              <w:right w:val="nil"/>
            </w:tcBorders>
            <w:noWrap/>
            <w:vAlign w:val="center"/>
            <w:hideMark/>
          </w:tcPr>
          <w:p w14:paraId="6B950D62" w14:textId="77777777" w:rsidR="0075354F" w:rsidRPr="0075354F" w:rsidRDefault="0075354F" w:rsidP="0075354F">
            <w:pPr>
              <w:rPr>
                <w:rFonts w:cs="Arial"/>
                <w:color w:val="000000"/>
                <w:sz w:val="22"/>
                <w:szCs w:val="22"/>
              </w:rPr>
            </w:pPr>
            <w:r w:rsidRPr="0075354F">
              <w:rPr>
                <w:rFonts w:cs="Arial"/>
                <w:color w:val="000000"/>
                <w:sz w:val="22"/>
                <w:szCs w:val="22"/>
              </w:rPr>
              <w:t>Elizabeth Selby</w:t>
            </w:r>
          </w:p>
        </w:tc>
        <w:tc>
          <w:tcPr>
            <w:tcW w:w="1038" w:type="pct"/>
            <w:tcBorders>
              <w:top w:val="nil"/>
              <w:left w:val="single" w:sz="8" w:space="0" w:color="auto"/>
              <w:bottom w:val="nil"/>
              <w:right w:val="single" w:sz="8" w:space="0" w:color="auto"/>
            </w:tcBorders>
            <w:noWrap/>
            <w:vAlign w:val="center"/>
            <w:hideMark/>
          </w:tcPr>
          <w:p w14:paraId="502F6116" w14:textId="77777777" w:rsidR="0075354F" w:rsidRPr="0075354F" w:rsidRDefault="0075354F" w:rsidP="0075354F">
            <w:pPr>
              <w:jc w:val="right"/>
              <w:rPr>
                <w:rFonts w:cs="Arial"/>
                <w:color w:val="000000"/>
                <w:sz w:val="22"/>
                <w:szCs w:val="22"/>
              </w:rPr>
            </w:pPr>
            <w:r w:rsidRPr="0075354F">
              <w:rPr>
                <w:rFonts w:cs="Arial"/>
                <w:color w:val="000000"/>
                <w:sz w:val="22"/>
                <w:szCs w:val="22"/>
              </w:rPr>
              <w:t>421,446</w:t>
            </w:r>
          </w:p>
        </w:tc>
        <w:tc>
          <w:tcPr>
            <w:tcW w:w="894" w:type="pct"/>
            <w:tcBorders>
              <w:top w:val="nil"/>
              <w:left w:val="nil"/>
              <w:bottom w:val="nil"/>
              <w:right w:val="single" w:sz="8" w:space="0" w:color="auto"/>
            </w:tcBorders>
            <w:noWrap/>
            <w:vAlign w:val="center"/>
            <w:hideMark/>
          </w:tcPr>
          <w:p w14:paraId="44AC65D4" w14:textId="77777777" w:rsidR="0075354F" w:rsidRPr="0075354F" w:rsidRDefault="0075354F" w:rsidP="0075354F">
            <w:pPr>
              <w:jc w:val="right"/>
              <w:rPr>
                <w:rFonts w:cs="Arial"/>
                <w:color w:val="000000"/>
                <w:sz w:val="22"/>
                <w:szCs w:val="22"/>
              </w:rPr>
            </w:pPr>
            <w:r w:rsidRPr="0075354F">
              <w:rPr>
                <w:rFonts w:cs="Arial"/>
                <w:color w:val="000000"/>
                <w:sz w:val="22"/>
                <w:szCs w:val="22"/>
              </w:rPr>
              <w:t>54,870</w:t>
            </w:r>
          </w:p>
        </w:tc>
        <w:tc>
          <w:tcPr>
            <w:tcW w:w="975" w:type="pct"/>
            <w:tcBorders>
              <w:top w:val="nil"/>
              <w:left w:val="nil"/>
              <w:bottom w:val="nil"/>
              <w:right w:val="single" w:sz="8" w:space="0" w:color="auto"/>
            </w:tcBorders>
            <w:noWrap/>
            <w:vAlign w:val="center"/>
            <w:hideMark/>
          </w:tcPr>
          <w:p w14:paraId="24CB51E1"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476,316</w:t>
            </w:r>
          </w:p>
        </w:tc>
      </w:tr>
      <w:tr w:rsidR="0075354F" w:rsidRPr="0075354F" w14:paraId="07698C4C" w14:textId="77777777" w:rsidTr="0075354F">
        <w:trPr>
          <w:trHeight w:val="290"/>
        </w:trPr>
        <w:tc>
          <w:tcPr>
            <w:tcW w:w="569" w:type="pct"/>
            <w:tcBorders>
              <w:top w:val="nil"/>
              <w:left w:val="single" w:sz="8" w:space="0" w:color="auto"/>
              <w:bottom w:val="nil"/>
              <w:right w:val="nil"/>
            </w:tcBorders>
            <w:noWrap/>
            <w:vAlign w:val="center"/>
            <w:hideMark/>
          </w:tcPr>
          <w:p w14:paraId="503D19DF" w14:textId="77777777" w:rsidR="0075354F" w:rsidRPr="0075354F" w:rsidRDefault="0075354F" w:rsidP="0075354F">
            <w:pPr>
              <w:jc w:val="right"/>
              <w:rPr>
                <w:rFonts w:cs="Arial"/>
                <w:color w:val="000000"/>
                <w:sz w:val="22"/>
                <w:szCs w:val="22"/>
              </w:rPr>
            </w:pPr>
            <w:r w:rsidRPr="0075354F">
              <w:rPr>
                <w:rFonts w:cs="Arial"/>
                <w:color w:val="000000"/>
                <w:sz w:val="22"/>
                <w:szCs w:val="22"/>
              </w:rPr>
              <w:t>80140</w:t>
            </w:r>
          </w:p>
        </w:tc>
        <w:tc>
          <w:tcPr>
            <w:tcW w:w="1525" w:type="pct"/>
            <w:tcBorders>
              <w:top w:val="nil"/>
              <w:left w:val="single" w:sz="8" w:space="0" w:color="auto"/>
              <w:bottom w:val="nil"/>
              <w:right w:val="nil"/>
            </w:tcBorders>
            <w:noWrap/>
            <w:vAlign w:val="center"/>
            <w:hideMark/>
          </w:tcPr>
          <w:p w14:paraId="5316585A" w14:textId="77777777" w:rsidR="0075354F" w:rsidRPr="0075354F" w:rsidRDefault="0075354F" w:rsidP="0075354F">
            <w:pPr>
              <w:rPr>
                <w:rFonts w:cs="Arial"/>
                <w:color w:val="000000"/>
                <w:sz w:val="22"/>
                <w:szCs w:val="22"/>
              </w:rPr>
            </w:pPr>
            <w:r w:rsidRPr="0075354F">
              <w:rPr>
                <w:rFonts w:cs="Arial"/>
                <w:color w:val="000000"/>
                <w:sz w:val="22"/>
                <w:szCs w:val="22"/>
              </w:rPr>
              <w:t>English Martyrs</w:t>
            </w:r>
          </w:p>
        </w:tc>
        <w:tc>
          <w:tcPr>
            <w:tcW w:w="1038" w:type="pct"/>
            <w:tcBorders>
              <w:top w:val="nil"/>
              <w:left w:val="single" w:sz="8" w:space="0" w:color="auto"/>
              <w:bottom w:val="nil"/>
              <w:right w:val="single" w:sz="8" w:space="0" w:color="auto"/>
            </w:tcBorders>
            <w:noWrap/>
            <w:vAlign w:val="center"/>
            <w:hideMark/>
          </w:tcPr>
          <w:p w14:paraId="1B485475" w14:textId="77777777" w:rsidR="0075354F" w:rsidRPr="007A76D3" w:rsidRDefault="0075354F" w:rsidP="0075354F">
            <w:pPr>
              <w:jc w:val="right"/>
              <w:rPr>
                <w:rFonts w:cs="Arial"/>
                <w:color w:val="ED0000"/>
                <w:sz w:val="22"/>
                <w:szCs w:val="22"/>
              </w:rPr>
            </w:pPr>
            <w:r w:rsidRPr="007A76D3">
              <w:rPr>
                <w:rFonts w:cs="Arial"/>
                <w:color w:val="ED0000"/>
                <w:sz w:val="22"/>
                <w:szCs w:val="22"/>
              </w:rPr>
              <w:t>-397,780</w:t>
            </w:r>
          </w:p>
        </w:tc>
        <w:tc>
          <w:tcPr>
            <w:tcW w:w="894" w:type="pct"/>
            <w:tcBorders>
              <w:top w:val="nil"/>
              <w:left w:val="nil"/>
              <w:bottom w:val="nil"/>
              <w:right w:val="single" w:sz="8" w:space="0" w:color="auto"/>
            </w:tcBorders>
            <w:noWrap/>
            <w:vAlign w:val="center"/>
            <w:hideMark/>
          </w:tcPr>
          <w:p w14:paraId="40DCC53A" w14:textId="77777777" w:rsidR="0075354F" w:rsidRPr="0075354F" w:rsidRDefault="0075354F" w:rsidP="0075354F">
            <w:pPr>
              <w:jc w:val="right"/>
              <w:rPr>
                <w:rFonts w:cs="Arial"/>
                <w:color w:val="000000"/>
                <w:sz w:val="22"/>
                <w:szCs w:val="22"/>
              </w:rPr>
            </w:pPr>
            <w:r w:rsidRPr="0075354F">
              <w:rPr>
                <w:rFonts w:cs="Arial"/>
                <w:color w:val="000000"/>
                <w:sz w:val="22"/>
                <w:szCs w:val="22"/>
              </w:rPr>
              <w:t>41,729</w:t>
            </w:r>
          </w:p>
        </w:tc>
        <w:tc>
          <w:tcPr>
            <w:tcW w:w="975" w:type="pct"/>
            <w:tcBorders>
              <w:top w:val="nil"/>
              <w:left w:val="nil"/>
              <w:bottom w:val="nil"/>
              <w:right w:val="single" w:sz="8" w:space="0" w:color="auto"/>
            </w:tcBorders>
            <w:noWrap/>
            <w:vAlign w:val="center"/>
            <w:hideMark/>
          </w:tcPr>
          <w:p w14:paraId="708708CD" w14:textId="77777777" w:rsidR="0075354F" w:rsidRPr="007A76D3" w:rsidRDefault="0075354F" w:rsidP="0075354F">
            <w:pPr>
              <w:jc w:val="right"/>
              <w:rPr>
                <w:rFonts w:ascii="Aptos Narrow" w:hAnsi="Aptos Narrow"/>
                <w:color w:val="ED0000"/>
                <w:sz w:val="22"/>
                <w:szCs w:val="22"/>
              </w:rPr>
            </w:pPr>
            <w:r w:rsidRPr="007A76D3">
              <w:rPr>
                <w:rFonts w:ascii="Aptos Narrow" w:hAnsi="Aptos Narrow"/>
                <w:color w:val="ED0000"/>
                <w:sz w:val="22"/>
                <w:szCs w:val="22"/>
              </w:rPr>
              <w:t>-356,051</w:t>
            </w:r>
          </w:p>
        </w:tc>
      </w:tr>
      <w:tr w:rsidR="0075354F" w:rsidRPr="0075354F" w14:paraId="1689C22F" w14:textId="77777777" w:rsidTr="0075354F">
        <w:trPr>
          <w:trHeight w:val="290"/>
        </w:trPr>
        <w:tc>
          <w:tcPr>
            <w:tcW w:w="569" w:type="pct"/>
            <w:tcBorders>
              <w:top w:val="nil"/>
              <w:left w:val="single" w:sz="8" w:space="0" w:color="auto"/>
              <w:bottom w:val="nil"/>
              <w:right w:val="nil"/>
            </w:tcBorders>
            <w:noWrap/>
            <w:vAlign w:val="center"/>
            <w:hideMark/>
          </w:tcPr>
          <w:p w14:paraId="773801C5" w14:textId="77777777" w:rsidR="0075354F" w:rsidRPr="0075354F" w:rsidRDefault="0075354F" w:rsidP="0075354F">
            <w:pPr>
              <w:jc w:val="right"/>
              <w:rPr>
                <w:rFonts w:cs="Arial"/>
                <w:color w:val="000000"/>
                <w:sz w:val="22"/>
                <w:szCs w:val="22"/>
              </w:rPr>
            </w:pPr>
            <w:r w:rsidRPr="0075354F">
              <w:rPr>
                <w:rFonts w:cs="Arial"/>
                <w:color w:val="000000"/>
                <w:sz w:val="22"/>
                <w:szCs w:val="22"/>
              </w:rPr>
              <w:t>80525</w:t>
            </w:r>
          </w:p>
        </w:tc>
        <w:tc>
          <w:tcPr>
            <w:tcW w:w="1525" w:type="pct"/>
            <w:tcBorders>
              <w:top w:val="nil"/>
              <w:left w:val="single" w:sz="8" w:space="0" w:color="auto"/>
              <w:bottom w:val="nil"/>
              <w:right w:val="nil"/>
            </w:tcBorders>
            <w:noWrap/>
            <w:vAlign w:val="center"/>
            <w:hideMark/>
          </w:tcPr>
          <w:p w14:paraId="3AA8CB51" w14:textId="77777777" w:rsidR="0075354F" w:rsidRPr="0075354F" w:rsidRDefault="0075354F" w:rsidP="0075354F">
            <w:pPr>
              <w:rPr>
                <w:rFonts w:cs="Arial"/>
                <w:color w:val="000000"/>
                <w:sz w:val="22"/>
                <w:szCs w:val="22"/>
              </w:rPr>
            </w:pPr>
            <w:r w:rsidRPr="0075354F">
              <w:rPr>
                <w:rFonts w:cs="Arial"/>
                <w:color w:val="000000"/>
                <w:sz w:val="22"/>
                <w:szCs w:val="22"/>
              </w:rPr>
              <w:t>George Green</w:t>
            </w:r>
          </w:p>
        </w:tc>
        <w:tc>
          <w:tcPr>
            <w:tcW w:w="1038" w:type="pct"/>
            <w:tcBorders>
              <w:top w:val="nil"/>
              <w:left w:val="single" w:sz="8" w:space="0" w:color="auto"/>
              <w:bottom w:val="nil"/>
              <w:right w:val="single" w:sz="8" w:space="0" w:color="auto"/>
            </w:tcBorders>
            <w:noWrap/>
            <w:vAlign w:val="center"/>
            <w:hideMark/>
          </w:tcPr>
          <w:p w14:paraId="788CB9DD" w14:textId="77777777" w:rsidR="0075354F" w:rsidRPr="0075354F" w:rsidRDefault="0075354F" w:rsidP="0075354F">
            <w:pPr>
              <w:jc w:val="right"/>
              <w:rPr>
                <w:rFonts w:cs="Arial"/>
                <w:color w:val="000000"/>
                <w:sz w:val="22"/>
                <w:szCs w:val="22"/>
              </w:rPr>
            </w:pPr>
            <w:r w:rsidRPr="0075354F">
              <w:rPr>
                <w:rFonts w:cs="Arial"/>
                <w:color w:val="000000"/>
                <w:sz w:val="22"/>
                <w:szCs w:val="22"/>
              </w:rPr>
              <w:t>1,110,709</w:t>
            </w:r>
          </w:p>
        </w:tc>
        <w:tc>
          <w:tcPr>
            <w:tcW w:w="894" w:type="pct"/>
            <w:tcBorders>
              <w:top w:val="nil"/>
              <w:left w:val="nil"/>
              <w:bottom w:val="nil"/>
              <w:right w:val="single" w:sz="8" w:space="0" w:color="auto"/>
            </w:tcBorders>
            <w:noWrap/>
            <w:vAlign w:val="center"/>
            <w:hideMark/>
          </w:tcPr>
          <w:p w14:paraId="49C35283" w14:textId="77777777" w:rsidR="0075354F" w:rsidRPr="0075354F" w:rsidRDefault="0075354F" w:rsidP="0075354F">
            <w:pPr>
              <w:jc w:val="right"/>
              <w:rPr>
                <w:rFonts w:cs="Arial"/>
                <w:color w:val="000000"/>
                <w:sz w:val="22"/>
                <w:szCs w:val="22"/>
              </w:rPr>
            </w:pPr>
            <w:r w:rsidRPr="0075354F">
              <w:rPr>
                <w:rFonts w:cs="Arial"/>
                <w:color w:val="000000"/>
                <w:sz w:val="22"/>
                <w:szCs w:val="22"/>
              </w:rPr>
              <w:t>15,423</w:t>
            </w:r>
          </w:p>
        </w:tc>
        <w:tc>
          <w:tcPr>
            <w:tcW w:w="975" w:type="pct"/>
            <w:tcBorders>
              <w:top w:val="nil"/>
              <w:left w:val="nil"/>
              <w:bottom w:val="nil"/>
              <w:right w:val="single" w:sz="8" w:space="0" w:color="auto"/>
            </w:tcBorders>
            <w:noWrap/>
            <w:vAlign w:val="center"/>
            <w:hideMark/>
          </w:tcPr>
          <w:p w14:paraId="654155E9"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1,126,131</w:t>
            </w:r>
          </w:p>
        </w:tc>
      </w:tr>
      <w:tr w:rsidR="0075354F" w:rsidRPr="0075354F" w14:paraId="23362C41" w14:textId="77777777" w:rsidTr="0075354F">
        <w:trPr>
          <w:trHeight w:val="290"/>
        </w:trPr>
        <w:tc>
          <w:tcPr>
            <w:tcW w:w="569" w:type="pct"/>
            <w:tcBorders>
              <w:top w:val="nil"/>
              <w:left w:val="single" w:sz="8" w:space="0" w:color="auto"/>
              <w:bottom w:val="nil"/>
              <w:right w:val="nil"/>
            </w:tcBorders>
            <w:noWrap/>
            <w:vAlign w:val="center"/>
            <w:hideMark/>
          </w:tcPr>
          <w:p w14:paraId="3DEB4630" w14:textId="77777777" w:rsidR="0075354F" w:rsidRPr="0075354F" w:rsidRDefault="0075354F" w:rsidP="0075354F">
            <w:pPr>
              <w:jc w:val="right"/>
              <w:rPr>
                <w:rFonts w:cs="Arial"/>
                <w:color w:val="000000"/>
                <w:sz w:val="22"/>
                <w:szCs w:val="22"/>
              </w:rPr>
            </w:pPr>
            <w:r w:rsidRPr="0075354F">
              <w:rPr>
                <w:rFonts w:cs="Arial"/>
                <w:color w:val="000000"/>
                <w:sz w:val="22"/>
                <w:szCs w:val="22"/>
              </w:rPr>
              <w:t>80145</w:t>
            </w:r>
          </w:p>
        </w:tc>
        <w:tc>
          <w:tcPr>
            <w:tcW w:w="1525" w:type="pct"/>
            <w:tcBorders>
              <w:top w:val="nil"/>
              <w:left w:val="single" w:sz="8" w:space="0" w:color="auto"/>
              <w:bottom w:val="nil"/>
              <w:right w:val="nil"/>
            </w:tcBorders>
            <w:noWrap/>
            <w:vAlign w:val="center"/>
            <w:hideMark/>
          </w:tcPr>
          <w:p w14:paraId="05F0735C" w14:textId="77777777" w:rsidR="0075354F" w:rsidRPr="0075354F" w:rsidRDefault="0075354F" w:rsidP="0075354F">
            <w:pPr>
              <w:rPr>
                <w:rFonts w:cs="Arial"/>
                <w:color w:val="000000"/>
                <w:sz w:val="22"/>
                <w:szCs w:val="22"/>
              </w:rPr>
            </w:pPr>
            <w:r w:rsidRPr="0075354F">
              <w:rPr>
                <w:rFonts w:cs="Arial"/>
                <w:color w:val="000000"/>
                <w:sz w:val="22"/>
                <w:szCs w:val="22"/>
              </w:rPr>
              <w:t>Globe</w:t>
            </w:r>
          </w:p>
        </w:tc>
        <w:tc>
          <w:tcPr>
            <w:tcW w:w="1038" w:type="pct"/>
            <w:tcBorders>
              <w:top w:val="nil"/>
              <w:left w:val="single" w:sz="8" w:space="0" w:color="auto"/>
              <w:bottom w:val="nil"/>
              <w:right w:val="single" w:sz="8" w:space="0" w:color="auto"/>
            </w:tcBorders>
            <w:noWrap/>
            <w:vAlign w:val="center"/>
            <w:hideMark/>
          </w:tcPr>
          <w:p w14:paraId="748654AE" w14:textId="77777777" w:rsidR="0075354F" w:rsidRPr="007A76D3" w:rsidRDefault="0075354F" w:rsidP="0075354F">
            <w:pPr>
              <w:jc w:val="right"/>
              <w:rPr>
                <w:rFonts w:cs="Arial"/>
                <w:color w:val="ED0000"/>
                <w:sz w:val="22"/>
                <w:szCs w:val="22"/>
              </w:rPr>
            </w:pPr>
            <w:r w:rsidRPr="007A76D3">
              <w:rPr>
                <w:rFonts w:cs="Arial"/>
                <w:color w:val="ED0000"/>
                <w:sz w:val="22"/>
                <w:szCs w:val="22"/>
              </w:rPr>
              <w:t>-176,820</w:t>
            </w:r>
          </w:p>
        </w:tc>
        <w:tc>
          <w:tcPr>
            <w:tcW w:w="894" w:type="pct"/>
            <w:tcBorders>
              <w:top w:val="nil"/>
              <w:left w:val="nil"/>
              <w:bottom w:val="nil"/>
              <w:right w:val="single" w:sz="8" w:space="0" w:color="auto"/>
            </w:tcBorders>
            <w:noWrap/>
            <w:vAlign w:val="center"/>
            <w:hideMark/>
          </w:tcPr>
          <w:p w14:paraId="606B8342" w14:textId="77777777" w:rsidR="0075354F" w:rsidRPr="0075354F" w:rsidRDefault="0075354F" w:rsidP="0075354F">
            <w:pPr>
              <w:jc w:val="right"/>
              <w:rPr>
                <w:rFonts w:cs="Arial"/>
                <w:color w:val="000000"/>
                <w:sz w:val="22"/>
                <w:szCs w:val="22"/>
              </w:rPr>
            </w:pPr>
            <w:r w:rsidRPr="0075354F">
              <w:rPr>
                <w:rFonts w:cs="Arial"/>
                <w:color w:val="000000"/>
                <w:sz w:val="22"/>
                <w:szCs w:val="22"/>
              </w:rPr>
              <w:t>124,865</w:t>
            </w:r>
          </w:p>
        </w:tc>
        <w:tc>
          <w:tcPr>
            <w:tcW w:w="975" w:type="pct"/>
            <w:tcBorders>
              <w:top w:val="nil"/>
              <w:left w:val="nil"/>
              <w:bottom w:val="nil"/>
              <w:right w:val="single" w:sz="8" w:space="0" w:color="auto"/>
            </w:tcBorders>
            <w:noWrap/>
            <w:vAlign w:val="center"/>
            <w:hideMark/>
          </w:tcPr>
          <w:p w14:paraId="1797521F" w14:textId="77777777" w:rsidR="0075354F" w:rsidRPr="007A76D3" w:rsidRDefault="0075354F" w:rsidP="0075354F">
            <w:pPr>
              <w:jc w:val="right"/>
              <w:rPr>
                <w:rFonts w:ascii="Aptos Narrow" w:hAnsi="Aptos Narrow"/>
                <w:color w:val="ED0000"/>
                <w:sz w:val="22"/>
                <w:szCs w:val="22"/>
              </w:rPr>
            </w:pPr>
            <w:r w:rsidRPr="007A76D3">
              <w:rPr>
                <w:rFonts w:ascii="Aptos Narrow" w:hAnsi="Aptos Narrow"/>
                <w:color w:val="ED0000"/>
                <w:sz w:val="22"/>
                <w:szCs w:val="22"/>
              </w:rPr>
              <w:t>-51,955</w:t>
            </w:r>
          </w:p>
        </w:tc>
      </w:tr>
      <w:tr w:rsidR="0075354F" w:rsidRPr="0075354F" w14:paraId="4FD8100F" w14:textId="77777777" w:rsidTr="0075354F">
        <w:trPr>
          <w:trHeight w:val="290"/>
        </w:trPr>
        <w:tc>
          <w:tcPr>
            <w:tcW w:w="569" w:type="pct"/>
            <w:tcBorders>
              <w:top w:val="nil"/>
              <w:left w:val="single" w:sz="8" w:space="0" w:color="auto"/>
              <w:bottom w:val="nil"/>
              <w:right w:val="nil"/>
            </w:tcBorders>
            <w:noWrap/>
            <w:vAlign w:val="center"/>
            <w:hideMark/>
          </w:tcPr>
          <w:p w14:paraId="704C8DE8" w14:textId="77777777" w:rsidR="0075354F" w:rsidRPr="0075354F" w:rsidRDefault="0075354F" w:rsidP="0075354F">
            <w:pPr>
              <w:jc w:val="right"/>
              <w:rPr>
                <w:rFonts w:cs="Arial"/>
                <w:color w:val="000000"/>
                <w:sz w:val="22"/>
                <w:szCs w:val="22"/>
              </w:rPr>
            </w:pPr>
            <w:r w:rsidRPr="0075354F">
              <w:rPr>
                <w:rFonts w:cs="Arial"/>
                <w:color w:val="000000"/>
                <w:sz w:val="22"/>
                <w:szCs w:val="22"/>
              </w:rPr>
              <w:t>80155</w:t>
            </w:r>
          </w:p>
        </w:tc>
        <w:tc>
          <w:tcPr>
            <w:tcW w:w="1525" w:type="pct"/>
            <w:tcBorders>
              <w:top w:val="nil"/>
              <w:left w:val="single" w:sz="8" w:space="0" w:color="auto"/>
              <w:bottom w:val="nil"/>
              <w:right w:val="nil"/>
            </w:tcBorders>
            <w:noWrap/>
            <w:vAlign w:val="center"/>
            <w:hideMark/>
          </w:tcPr>
          <w:p w14:paraId="43ECE462" w14:textId="77777777" w:rsidR="0075354F" w:rsidRPr="0075354F" w:rsidRDefault="0075354F" w:rsidP="0075354F">
            <w:pPr>
              <w:rPr>
                <w:rFonts w:cs="Arial"/>
                <w:color w:val="000000"/>
                <w:sz w:val="22"/>
                <w:szCs w:val="22"/>
              </w:rPr>
            </w:pPr>
            <w:r w:rsidRPr="0075354F">
              <w:rPr>
                <w:rFonts w:cs="Arial"/>
                <w:color w:val="000000"/>
                <w:sz w:val="22"/>
                <w:szCs w:val="22"/>
              </w:rPr>
              <w:t>Hague</w:t>
            </w:r>
          </w:p>
        </w:tc>
        <w:tc>
          <w:tcPr>
            <w:tcW w:w="1038" w:type="pct"/>
            <w:tcBorders>
              <w:top w:val="nil"/>
              <w:left w:val="single" w:sz="8" w:space="0" w:color="auto"/>
              <w:bottom w:val="nil"/>
              <w:right w:val="single" w:sz="8" w:space="0" w:color="auto"/>
            </w:tcBorders>
            <w:noWrap/>
            <w:vAlign w:val="center"/>
            <w:hideMark/>
          </w:tcPr>
          <w:p w14:paraId="72025B0A" w14:textId="77777777" w:rsidR="0075354F" w:rsidRPr="0075354F" w:rsidRDefault="0075354F" w:rsidP="0075354F">
            <w:pPr>
              <w:jc w:val="right"/>
              <w:rPr>
                <w:rFonts w:cs="Arial"/>
                <w:color w:val="000000"/>
                <w:sz w:val="22"/>
                <w:szCs w:val="22"/>
              </w:rPr>
            </w:pPr>
            <w:r w:rsidRPr="0075354F">
              <w:rPr>
                <w:rFonts w:cs="Arial"/>
                <w:color w:val="000000"/>
                <w:sz w:val="22"/>
                <w:szCs w:val="22"/>
              </w:rPr>
              <w:t>204,172</w:t>
            </w:r>
          </w:p>
        </w:tc>
        <w:tc>
          <w:tcPr>
            <w:tcW w:w="894" w:type="pct"/>
            <w:tcBorders>
              <w:top w:val="nil"/>
              <w:left w:val="nil"/>
              <w:bottom w:val="nil"/>
              <w:right w:val="single" w:sz="8" w:space="0" w:color="auto"/>
            </w:tcBorders>
            <w:noWrap/>
            <w:vAlign w:val="center"/>
            <w:hideMark/>
          </w:tcPr>
          <w:p w14:paraId="5F6B8DDC" w14:textId="77777777" w:rsidR="0075354F" w:rsidRPr="0075354F" w:rsidRDefault="0075354F" w:rsidP="0075354F">
            <w:pPr>
              <w:jc w:val="right"/>
              <w:rPr>
                <w:rFonts w:cs="Arial"/>
                <w:color w:val="000000"/>
                <w:sz w:val="22"/>
                <w:szCs w:val="22"/>
              </w:rPr>
            </w:pPr>
            <w:r w:rsidRPr="0075354F">
              <w:rPr>
                <w:rFonts w:cs="Arial"/>
                <w:color w:val="000000"/>
                <w:sz w:val="22"/>
                <w:szCs w:val="22"/>
              </w:rPr>
              <w:t>13,765</w:t>
            </w:r>
          </w:p>
        </w:tc>
        <w:tc>
          <w:tcPr>
            <w:tcW w:w="975" w:type="pct"/>
            <w:tcBorders>
              <w:top w:val="nil"/>
              <w:left w:val="nil"/>
              <w:bottom w:val="nil"/>
              <w:right w:val="single" w:sz="8" w:space="0" w:color="auto"/>
            </w:tcBorders>
            <w:noWrap/>
            <w:vAlign w:val="center"/>
            <w:hideMark/>
          </w:tcPr>
          <w:p w14:paraId="3C2E1B3F"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217,937</w:t>
            </w:r>
          </w:p>
        </w:tc>
      </w:tr>
      <w:tr w:rsidR="0075354F" w:rsidRPr="0075354F" w14:paraId="1D07974E" w14:textId="77777777" w:rsidTr="0075354F">
        <w:trPr>
          <w:trHeight w:val="290"/>
        </w:trPr>
        <w:tc>
          <w:tcPr>
            <w:tcW w:w="569" w:type="pct"/>
            <w:tcBorders>
              <w:top w:val="nil"/>
              <w:left w:val="single" w:sz="8" w:space="0" w:color="auto"/>
              <w:bottom w:val="nil"/>
              <w:right w:val="nil"/>
            </w:tcBorders>
            <w:noWrap/>
            <w:vAlign w:val="center"/>
            <w:hideMark/>
          </w:tcPr>
          <w:p w14:paraId="2EECF6ED" w14:textId="77777777" w:rsidR="0075354F" w:rsidRPr="0075354F" w:rsidRDefault="0075354F" w:rsidP="0075354F">
            <w:pPr>
              <w:jc w:val="right"/>
              <w:rPr>
                <w:rFonts w:cs="Arial"/>
                <w:color w:val="000000"/>
                <w:sz w:val="22"/>
                <w:szCs w:val="22"/>
              </w:rPr>
            </w:pPr>
            <w:r w:rsidRPr="0075354F">
              <w:rPr>
                <w:rFonts w:cs="Arial"/>
                <w:color w:val="000000"/>
                <w:sz w:val="22"/>
                <w:szCs w:val="22"/>
              </w:rPr>
              <w:t>80160</w:t>
            </w:r>
          </w:p>
        </w:tc>
        <w:tc>
          <w:tcPr>
            <w:tcW w:w="1525" w:type="pct"/>
            <w:tcBorders>
              <w:top w:val="nil"/>
              <w:left w:val="single" w:sz="8" w:space="0" w:color="auto"/>
              <w:bottom w:val="nil"/>
              <w:right w:val="nil"/>
            </w:tcBorders>
            <w:noWrap/>
            <w:vAlign w:val="center"/>
            <w:hideMark/>
          </w:tcPr>
          <w:p w14:paraId="53C9B604" w14:textId="77777777" w:rsidR="0075354F" w:rsidRPr="0075354F" w:rsidRDefault="0075354F" w:rsidP="0075354F">
            <w:pPr>
              <w:rPr>
                <w:rFonts w:cs="Arial"/>
                <w:color w:val="000000"/>
                <w:sz w:val="22"/>
                <w:szCs w:val="22"/>
              </w:rPr>
            </w:pPr>
            <w:r w:rsidRPr="0075354F">
              <w:rPr>
                <w:rFonts w:cs="Arial"/>
                <w:color w:val="000000"/>
                <w:sz w:val="22"/>
                <w:szCs w:val="22"/>
              </w:rPr>
              <w:t>Halley</w:t>
            </w:r>
          </w:p>
        </w:tc>
        <w:tc>
          <w:tcPr>
            <w:tcW w:w="1038" w:type="pct"/>
            <w:tcBorders>
              <w:top w:val="nil"/>
              <w:left w:val="single" w:sz="8" w:space="0" w:color="auto"/>
              <w:bottom w:val="nil"/>
              <w:right w:val="single" w:sz="8" w:space="0" w:color="auto"/>
            </w:tcBorders>
            <w:noWrap/>
            <w:vAlign w:val="center"/>
            <w:hideMark/>
          </w:tcPr>
          <w:p w14:paraId="7C58A213" w14:textId="77777777" w:rsidR="0075354F" w:rsidRPr="007A76D3" w:rsidRDefault="0075354F" w:rsidP="0075354F">
            <w:pPr>
              <w:jc w:val="right"/>
              <w:rPr>
                <w:rFonts w:cs="Arial"/>
                <w:color w:val="ED0000"/>
                <w:sz w:val="22"/>
                <w:szCs w:val="22"/>
              </w:rPr>
            </w:pPr>
            <w:r w:rsidRPr="007A76D3">
              <w:rPr>
                <w:rFonts w:cs="Arial"/>
                <w:color w:val="ED0000"/>
                <w:sz w:val="22"/>
                <w:szCs w:val="22"/>
              </w:rPr>
              <w:t>-16,778</w:t>
            </w:r>
          </w:p>
        </w:tc>
        <w:tc>
          <w:tcPr>
            <w:tcW w:w="894" w:type="pct"/>
            <w:tcBorders>
              <w:top w:val="nil"/>
              <w:left w:val="nil"/>
              <w:bottom w:val="nil"/>
              <w:right w:val="single" w:sz="8" w:space="0" w:color="auto"/>
            </w:tcBorders>
            <w:noWrap/>
            <w:vAlign w:val="center"/>
            <w:hideMark/>
          </w:tcPr>
          <w:p w14:paraId="6F4E9EF2" w14:textId="77777777" w:rsidR="0075354F" w:rsidRPr="0075354F" w:rsidRDefault="0075354F" w:rsidP="0075354F">
            <w:pPr>
              <w:jc w:val="right"/>
              <w:rPr>
                <w:rFonts w:cs="Arial"/>
                <w:color w:val="000000"/>
                <w:sz w:val="22"/>
                <w:szCs w:val="22"/>
              </w:rPr>
            </w:pPr>
            <w:r w:rsidRPr="0075354F">
              <w:rPr>
                <w:rFonts w:cs="Arial"/>
                <w:color w:val="000000"/>
                <w:sz w:val="22"/>
                <w:szCs w:val="22"/>
              </w:rPr>
              <w:t>12,138</w:t>
            </w:r>
          </w:p>
        </w:tc>
        <w:tc>
          <w:tcPr>
            <w:tcW w:w="975" w:type="pct"/>
            <w:tcBorders>
              <w:top w:val="nil"/>
              <w:left w:val="nil"/>
              <w:bottom w:val="nil"/>
              <w:right w:val="single" w:sz="8" w:space="0" w:color="auto"/>
            </w:tcBorders>
            <w:noWrap/>
            <w:vAlign w:val="center"/>
            <w:hideMark/>
          </w:tcPr>
          <w:p w14:paraId="3634A76B" w14:textId="77777777" w:rsidR="0075354F" w:rsidRPr="007A76D3" w:rsidRDefault="0075354F" w:rsidP="0075354F">
            <w:pPr>
              <w:jc w:val="right"/>
              <w:rPr>
                <w:rFonts w:ascii="Aptos Narrow" w:hAnsi="Aptos Narrow"/>
                <w:color w:val="ED0000"/>
                <w:sz w:val="22"/>
                <w:szCs w:val="22"/>
              </w:rPr>
            </w:pPr>
            <w:r w:rsidRPr="007A76D3">
              <w:rPr>
                <w:rFonts w:ascii="Aptos Narrow" w:hAnsi="Aptos Narrow"/>
                <w:color w:val="ED0000"/>
                <w:sz w:val="22"/>
                <w:szCs w:val="22"/>
              </w:rPr>
              <w:t>-4,640</w:t>
            </w:r>
          </w:p>
        </w:tc>
      </w:tr>
      <w:tr w:rsidR="0075354F" w:rsidRPr="0075354F" w14:paraId="56A1D2CA" w14:textId="77777777" w:rsidTr="0075354F">
        <w:trPr>
          <w:trHeight w:val="290"/>
        </w:trPr>
        <w:tc>
          <w:tcPr>
            <w:tcW w:w="569" w:type="pct"/>
            <w:tcBorders>
              <w:top w:val="nil"/>
              <w:left w:val="single" w:sz="8" w:space="0" w:color="auto"/>
              <w:bottom w:val="nil"/>
              <w:right w:val="nil"/>
            </w:tcBorders>
            <w:noWrap/>
            <w:vAlign w:val="center"/>
            <w:hideMark/>
          </w:tcPr>
          <w:p w14:paraId="4744403C" w14:textId="77777777" w:rsidR="0075354F" w:rsidRPr="0075354F" w:rsidRDefault="0075354F" w:rsidP="0075354F">
            <w:pPr>
              <w:jc w:val="right"/>
              <w:rPr>
                <w:rFonts w:cs="Arial"/>
                <w:color w:val="000000"/>
                <w:sz w:val="22"/>
                <w:szCs w:val="22"/>
              </w:rPr>
            </w:pPr>
            <w:r w:rsidRPr="0075354F">
              <w:rPr>
                <w:rFonts w:cs="Arial"/>
                <w:color w:val="000000"/>
                <w:sz w:val="22"/>
                <w:szCs w:val="22"/>
              </w:rPr>
              <w:t>80165</w:t>
            </w:r>
          </w:p>
        </w:tc>
        <w:tc>
          <w:tcPr>
            <w:tcW w:w="1525" w:type="pct"/>
            <w:tcBorders>
              <w:top w:val="nil"/>
              <w:left w:val="single" w:sz="8" w:space="0" w:color="auto"/>
              <w:bottom w:val="nil"/>
              <w:right w:val="nil"/>
            </w:tcBorders>
            <w:noWrap/>
            <w:vAlign w:val="center"/>
            <w:hideMark/>
          </w:tcPr>
          <w:p w14:paraId="206120C8" w14:textId="77777777" w:rsidR="0075354F" w:rsidRPr="0075354F" w:rsidRDefault="0075354F" w:rsidP="0075354F">
            <w:pPr>
              <w:rPr>
                <w:rFonts w:cs="Arial"/>
                <w:color w:val="000000"/>
                <w:sz w:val="22"/>
                <w:szCs w:val="22"/>
              </w:rPr>
            </w:pPr>
            <w:r w:rsidRPr="0075354F">
              <w:rPr>
                <w:rFonts w:cs="Arial"/>
                <w:color w:val="000000"/>
                <w:sz w:val="22"/>
                <w:szCs w:val="22"/>
              </w:rPr>
              <w:t>Harbinger</w:t>
            </w:r>
          </w:p>
        </w:tc>
        <w:tc>
          <w:tcPr>
            <w:tcW w:w="1038" w:type="pct"/>
            <w:tcBorders>
              <w:top w:val="nil"/>
              <w:left w:val="single" w:sz="8" w:space="0" w:color="auto"/>
              <w:bottom w:val="nil"/>
              <w:right w:val="single" w:sz="8" w:space="0" w:color="auto"/>
            </w:tcBorders>
            <w:noWrap/>
            <w:vAlign w:val="center"/>
            <w:hideMark/>
          </w:tcPr>
          <w:p w14:paraId="49334A1C" w14:textId="77777777" w:rsidR="0075354F" w:rsidRPr="007A76D3" w:rsidRDefault="0075354F" w:rsidP="0075354F">
            <w:pPr>
              <w:jc w:val="right"/>
              <w:rPr>
                <w:rFonts w:cs="Arial"/>
                <w:color w:val="ED0000"/>
                <w:sz w:val="22"/>
                <w:szCs w:val="22"/>
              </w:rPr>
            </w:pPr>
            <w:r w:rsidRPr="007A76D3">
              <w:rPr>
                <w:rFonts w:cs="Arial"/>
                <w:color w:val="ED0000"/>
                <w:sz w:val="22"/>
                <w:szCs w:val="22"/>
              </w:rPr>
              <w:t>-103,557</w:t>
            </w:r>
          </w:p>
        </w:tc>
        <w:tc>
          <w:tcPr>
            <w:tcW w:w="894" w:type="pct"/>
            <w:tcBorders>
              <w:top w:val="nil"/>
              <w:left w:val="nil"/>
              <w:bottom w:val="nil"/>
              <w:right w:val="single" w:sz="8" w:space="0" w:color="auto"/>
            </w:tcBorders>
            <w:noWrap/>
            <w:vAlign w:val="center"/>
            <w:hideMark/>
          </w:tcPr>
          <w:p w14:paraId="4FAEE984" w14:textId="77777777" w:rsidR="0075354F" w:rsidRPr="007A76D3" w:rsidRDefault="0075354F" w:rsidP="0075354F">
            <w:pPr>
              <w:jc w:val="right"/>
              <w:rPr>
                <w:rFonts w:cs="Arial"/>
                <w:color w:val="ED0000"/>
                <w:sz w:val="22"/>
                <w:szCs w:val="22"/>
              </w:rPr>
            </w:pPr>
            <w:r w:rsidRPr="007A76D3">
              <w:rPr>
                <w:rFonts w:cs="Arial"/>
                <w:color w:val="ED0000"/>
                <w:sz w:val="22"/>
                <w:szCs w:val="22"/>
              </w:rPr>
              <w:t>-90,920</w:t>
            </w:r>
          </w:p>
        </w:tc>
        <w:tc>
          <w:tcPr>
            <w:tcW w:w="975" w:type="pct"/>
            <w:tcBorders>
              <w:top w:val="nil"/>
              <w:left w:val="nil"/>
              <w:bottom w:val="nil"/>
              <w:right w:val="single" w:sz="8" w:space="0" w:color="auto"/>
            </w:tcBorders>
            <w:noWrap/>
            <w:vAlign w:val="center"/>
            <w:hideMark/>
          </w:tcPr>
          <w:p w14:paraId="04414286" w14:textId="77777777" w:rsidR="0075354F" w:rsidRPr="007A76D3" w:rsidRDefault="0075354F" w:rsidP="0075354F">
            <w:pPr>
              <w:jc w:val="right"/>
              <w:rPr>
                <w:rFonts w:ascii="Aptos Narrow" w:hAnsi="Aptos Narrow"/>
                <w:color w:val="ED0000"/>
                <w:sz w:val="22"/>
                <w:szCs w:val="22"/>
              </w:rPr>
            </w:pPr>
            <w:r w:rsidRPr="007A76D3">
              <w:rPr>
                <w:rFonts w:ascii="Aptos Narrow" w:hAnsi="Aptos Narrow"/>
                <w:color w:val="ED0000"/>
                <w:sz w:val="22"/>
                <w:szCs w:val="22"/>
              </w:rPr>
              <w:t>-194,477</w:t>
            </w:r>
          </w:p>
        </w:tc>
      </w:tr>
      <w:tr w:rsidR="0075354F" w:rsidRPr="0075354F" w14:paraId="0A262072" w14:textId="77777777" w:rsidTr="0075354F">
        <w:trPr>
          <w:trHeight w:val="290"/>
        </w:trPr>
        <w:tc>
          <w:tcPr>
            <w:tcW w:w="569" w:type="pct"/>
            <w:tcBorders>
              <w:top w:val="nil"/>
              <w:left w:val="single" w:sz="8" w:space="0" w:color="auto"/>
              <w:bottom w:val="nil"/>
              <w:right w:val="nil"/>
            </w:tcBorders>
            <w:noWrap/>
            <w:vAlign w:val="center"/>
            <w:hideMark/>
          </w:tcPr>
          <w:p w14:paraId="19206D7F" w14:textId="77777777" w:rsidR="0075354F" w:rsidRPr="0075354F" w:rsidRDefault="0075354F" w:rsidP="0075354F">
            <w:pPr>
              <w:jc w:val="right"/>
              <w:rPr>
                <w:rFonts w:cs="Arial"/>
                <w:color w:val="000000"/>
                <w:sz w:val="22"/>
                <w:szCs w:val="22"/>
              </w:rPr>
            </w:pPr>
            <w:r w:rsidRPr="0075354F">
              <w:rPr>
                <w:rFonts w:cs="Arial"/>
                <w:color w:val="000000"/>
                <w:sz w:val="22"/>
                <w:szCs w:val="22"/>
              </w:rPr>
              <w:t>80430</w:t>
            </w:r>
          </w:p>
        </w:tc>
        <w:tc>
          <w:tcPr>
            <w:tcW w:w="1525" w:type="pct"/>
            <w:tcBorders>
              <w:top w:val="nil"/>
              <w:left w:val="single" w:sz="8" w:space="0" w:color="auto"/>
              <w:bottom w:val="nil"/>
              <w:right w:val="nil"/>
            </w:tcBorders>
            <w:noWrap/>
            <w:vAlign w:val="center"/>
            <w:hideMark/>
          </w:tcPr>
          <w:p w14:paraId="0C155A03" w14:textId="77777777" w:rsidR="0075354F" w:rsidRPr="0075354F" w:rsidRDefault="0075354F" w:rsidP="0075354F">
            <w:pPr>
              <w:rPr>
                <w:rFonts w:cs="Arial"/>
                <w:color w:val="000000"/>
                <w:sz w:val="22"/>
                <w:szCs w:val="22"/>
              </w:rPr>
            </w:pPr>
            <w:r w:rsidRPr="0075354F">
              <w:rPr>
                <w:rFonts w:cs="Arial"/>
                <w:color w:val="000000"/>
                <w:sz w:val="22"/>
                <w:szCs w:val="22"/>
              </w:rPr>
              <w:t>Harry Gosling</w:t>
            </w:r>
          </w:p>
        </w:tc>
        <w:tc>
          <w:tcPr>
            <w:tcW w:w="1038" w:type="pct"/>
            <w:tcBorders>
              <w:top w:val="nil"/>
              <w:left w:val="single" w:sz="8" w:space="0" w:color="auto"/>
              <w:bottom w:val="nil"/>
              <w:right w:val="single" w:sz="8" w:space="0" w:color="auto"/>
            </w:tcBorders>
            <w:noWrap/>
            <w:vAlign w:val="center"/>
            <w:hideMark/>
          </w:tcPr>
          <w:p w14:paraId="2A2AD366" w14:textId="77777777" w:rsidR="0075354F" w:rsidRPr="0075354F" w:rsidRDefault="0075354F" w:rsidP="0075354F">
            <w:pPr>
              <w:jc w:val="right"/>
              <w:rPr>
                <w:rFonts w:cs="Arial"/>
                <w:color w:val="000000"/>
                <w:sz w:val="22"/>
                <w:szCs w:val="22"/>
              </w:rPr>
            </w:pPr>
            <w:r w:rsidRPr="0075354F">
              <w:rPr>
                <w:rFonts w:cs="Arial"/>
                <w:color w:val="000000"/>
                <w:sz w:val="22"/>
                <w:szCs w:val="22"/>
              </w:rPr>
              <w:t>483,208</w:t>
            </w:r>
          </w:p>
        </w:tc>
        <w:tc>
          <w:tcPr>
            <w:tcW w:w="894" w:type="pct"/>
            <w:tcBorders>
              <w:top w:val="nil"/>
              <w:left w:val="nil"/>
              <w:bottom w:val="nil"/>
              <w:right w:val="single" w:sz="8" w:space="0" w:color="auto"/>
            </w:tcBorders>
            <w:noWrap/>
            <w:vAlign w:val="center"/>
            <w:hideMark/>
          </w:tcPr>
          <w:p w14:paraId="47FCAD45" w14:textId="77777777" w:rsidR="0075354F" w:rsidRPr="0075354F" w:rsidRDefault="0075354F" w:rsidP="0075354F">
            <w:pPr>
              <w:jc w:val="right"/>
              <w:rPr>
                <w:rFonts w:cs="Arial"/>
                <w:color w:val="000000"/>
                <w:sz w:val="22"/>
                <w:szCs w:val="22"/>
              </w:rPr>
            </w:pPr>
            <w:r w:rsidRPr="0075354F">
              <w:rPr>
                <w:rFonts w:cs="Arial"/>
                <w:color w:val="000000"/>
                <w:sz w:val="22"/>
                <w:szCs w:val="22"/>
              </w:rPr>
              <w:t>374,580</w:t>
            </w:r>
          </w:p>
        </w:tc>
        <w:tc>
          <w:tcPr>
            <w:tcW w:w="975" w:type="pct"/>
            <w:tcBorders>
              <w:top w:val="nil"/>
              <w:left w:val="nil"/>
              <w:bottom w:val="nil"/>
              <w:right w:val="single" w:sz="8" w:space="0" w:color="auto"/>
            </w:tcBorders>
            <w:noWrap/>
            <w:vAlign w:val="center"/>
            <w:hideMark/>
          </w:tcPr>
          <w:p w14:paraId="43901944"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857,789</w:t>
            </w:r>
          </w:p>
        </w:tc>
      </w:tr>
      <w:tr w:rsidR="0075354F" w:rsidRPr="0075354F" w14:paraId="12A95EE1" w14:textId="77777777" w:rsidTr="0075354F">
        <w:trPr>
          <w:trHeight w:val="290"/>
        </w:trPr>
        <w:tc>
          <w:tcPr>
            <w:tcW w:w="569" w:type="pct"/>
            <w:tcBorders>
              <w:top w:val="nil"/>
              <w:left w:val="single" w:sz="8" w:space="0" w:color="auto"/>
              <w:bottom w:val="nil"/>
              <w:right w:val="nil"/>
            </w:tcBorders>
            <w:noWrap/>
            <w:vAlign w:val="center"/>
            <w:hideMark/>
          </w:tcPr>
          <w:p w14:paraId="73B7679D" w14:textId="77777777" w:rsidR="0075354F" w:rsidRPr="0075354F" w:rsidRDefault="0075354F" w:rsidP="0075354F">
            <w:pPr>
              <w:jc w:val="right"/>
              <w:rPr>
                <w:rFonts w:cs="Arial"/>
                <w:color w:val="000000"/>
                <w:sz w:val="22"/>
                <w:szCs w:val="22"/>
              </w:rPr>
            </w:pPr>
            <w:r w:rsidRPr="0075354F">
              <w:rPr>
                <w:rFonts w:cs="Arial"/>
                <w:color w:val="000000"/>
                <w:sz w:val="22"/>
                <w:szCs w:val="22"/>
              </w:rPr>
              <w:t>80190</w:t>
            </w:r>
          </w:p>
        </w:tc>
        <w:tc>
          <w:tcPr>
            <w:tcW w:w="1525" w:type="pct"/>
            <w:tcBorders>
              <w:top w:val="nil"/>
              <w:left w:val="single" w:sz="8" w:space="0" w:color="auto"/>
              <w:bottom w:val="nil"/>
              <w:right w:val="nil"/>
            </w:tcBorders>
            <w:noWrap/>
            <w:vAlign w:val="center"/>
            <w:hideMark/>
          </w:tcPr>
          <w:p w14:paraId="5E0EE6B2" w14:textId="77777777" w:rsidR="0075354F" w:rsidRPr="0075354F" w:rsidRDefault="0075354F" w:rsidP="0075354F">
            <w:pPr>
              <w:rPr>
                <w:rFonts w:cs="Arial"/>
                <w:color w:val="000000"/>
                <w:sz w:val="22"/>
                <w:szCs w:val="22"/>
              </w:rPr>
            </w:pPr>
            <w:r w:rsidRPr="0075354F">
              <w:rPr>
                <w:rFonts w:cs="Arial"/>
                <w:color w:val="000000"/>
                <w:sz w:val="22"/>
                <w:szCs w:val="22"/>
              </w:rPr>
              <w:t>John Scurr</w:t>
            </w:r>
          </w:p>
        </w:tc>
        <w:tc>
          <w:tcPr>
            <w:tcW w:w="1038" w:type="pct"/>
            <w:tcBorders>
              <w:top w:val="nil"/>
              <w:left w:val="single" w:sz="8" w:space="0" w:color="auto"/>
              <w:bottom w:val="nil"/>
              <w:right w:val="single" w:sz="8" w:space="0" w:color="auto"/>
            </w:tcBorders>
            <w:noWrap/>
            <w:vAlign w:val="center"/>
            <w:hideMark/>
          </w:tcPr>
          <w:p w14:paraId="7CB533D2" w14:textId="77777777" w:rsidR="0075354F" w:rsidRPr="0075354F" w:rsidRDefault="0075354F" w:rsidP="0075354F">
            <w:pPr>
              <w:jc w:val="right"/>
              <w:rPr>
                <w:rFonts w:cs="Arial"/>
                <w:color w:val="000000"/>
                <w:sz w:val="22"/>
                <w:szCs w:val="22"/>
              </w:rPr>
            </w:pPr>
            <w:r w:rsidRPr="0075354F">
              <w:rPr>
                <w:rFonts w:cs="Arial"/>
                <w:color w:val="000000"/>
                <w:sz w:val="22"/>
                <w:szCs w:val="22"/>
              </w:rPr>
              <w:t>771,994</w:t>
            </w:r>
          </w:p>
        </w:tc>
        <w:tc>
          <w:tcPr>
            <w:tcW w:w="894" w:type="pct"/>
            <w:tcBorders>
              <w:top w:val="nil"/>
              <w:left w:val="nil"/>
              <w:bottom w:val="nil"/>
              <w:right w:val="single" w:sz="8" w:space="0" w:color="auto"/>
            </w:tcBorders>
            <w:noWrap/>
            <w:vAlign w:val="center"/>
            <w:hideMark/>
          </w:tcPr>
          <w:p w14:paraId="4E91F47A" w14:textId="77777777" w:rsidR="0075354F" w:rsidRPr="007A76D3" w:rsidRDefault="0075354F" w:rsidP="0075354F">
            <w:pPr>
              <w:jc w:val="right"/>
              <w:rPr>
                <w:rFonts w:cs="Arial"/>
                <w:color w:val="ED0000"/>
                <w:sz w:val="22"/>
                <w:szCs w:val="22"/>
              </w:rPr>
            </w:pPr>
            <w:r w:rsidRPr="007A76D3">
              <w:rPr>
                <w:rFonts w:cs="Arial"/>
                <w:color w:val="ED0000"/>
                <w:sz w:val="22"/>
                <w:szCs w:val="22"/>
              </w:rPr>
              <w:t>-135,681</w:t>
            </w:r>
          </w:p>
        </w:tc>
        <w:tc>
          <w:tcPr>
            <w:tcW w:w="975" w:type="pct"/>
            <w:tcBorders>
              <w:top w:val="nil"/>
              <w:left w:val="nil"/>
              <w:bottom w:val="nil"/>
              <w:right w:val="single" w:sz="8" w:space="0" w:color="auto"/>
            </w:tcBorders>
            <w:noWrap/>
            <w:vAlign w:val="center"/>
            <w:hideMark/>
          </w:tcPr>
          <w:p w14:paraId="505CC975"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636,314</w:t>
            </w:r>
          </w:p>
        </w:tc>
      </w:tr>
      <w:tr w:rsidR="0075354F" w:rsidRPr="0075354F" w14:paraId="1EE4CE77" w14:textId="77777777" w:rsidTr="0075354F">
        <w:trPr>
          <w:trHeight w:val="290"/>
        </w:trPr>
        <w:tc>
          <w:tcPr>
            <w:tcW w:w="569" w:type="pct"/>
            <w:tcBorders>
              <w:top w:val="nil"/>
              <w:left w:val="single" w:sz="8" w:space="0" w:color="auto"/>
              <w:bottom w:val="nil"/>
              <w:right w:val="nil"/>
            </w:tcBorders>
            <w:noWrap/>
            <w:vAlign w:val="center"/>
            <w:hideMark/>
          </w:tcPr>
          <w:p w14:paraId="06A99B42" w14:textId="77777777" w:rsidR="0075354F" w:rsidRPr="0075354F" w:rsidRDefault="0075354F" w:rsidP="0075354F">
            <w:pPr>
              <w:jc w:val="right"/>
              <w:rPr>
                <w:rFonts w:cs="Arial"/>
                <w:color w:val="000000"/>
                <w:sz w:val="22"/>
                <w:szCs w:val="22"/>
              </w:rPr>
            </w:pPr>
            <w:r w:rsidRPr="0075354F">
              <w:rPr>
                <w:rFonts w:cs="Arial"/>
                <w:color w:val="000000"/>
                <w:sz w:val="22"/>
                <w:szCs w:val="22"/>
              </w:rPr>
              <w:t>80345</w:t>
            </w:r>
          </w:p>
        </w:tc>
        <w:tc>
          <w:tcPr>
            <w:tcW w:w="1525" w:type="pct"/>
            <w:tcBorders>
              <w:top w:val="nil"/>
              <w:left w:val="single" w:sz="8" w:space="0" w:color="auto"/>
              <w:bottom w:val="nil"/>
              <w:right w:val="nil"/>
            </w:tcBorders>
            <w:noWrap/>
            <w:vAlign w:val="center"/>
            <w:hideMark/>
          </w:tcPr>
          <w:p w14:paraId="33B5EB53" w14:textId="77777777" w:rsidR="0075354F" w:rsidRPr="0075354F" w:rsidRDefault="0075354F" w:rsidP="0075354F">
            <w:pPr>
              <w:rPr>
                <w:rFonts w:cs="Arial"/>
                <w:color w:val="000000"/>
                <w:sz w:val="22"/>
                <w:szCs w:val="22"/>
              </w:rPr>
            </w:pPr>
            <w:r w:rsidRPr="0075354F">
              <w:rPr>
                <w:rFonts w:cs="Arial"/>
                <w:color w:val="000000"/>
                <w:sz w:val="22"/>
                <w:szCs w:val="22"/>
              </w:rPr>
              <w:t>Kobi Nazrul</w:t>
            </w:r>
          </w:p>
        </w:tc>
        <w:tc>
          <w:tcPr>
            <w:tcW w:w="1038" w:type="pct"/>
            <w:tcBorders>
              <w:top w:val="nil"/>
              <w:left w:val="single" w:sz="8" w:space="0" w:color="auto"/>
              <w:bottom w:val="nil"/>
              <w:right w:val="single" w:sz="8" w:space="0" w:color="auto"/>
            </w:tcBorders>
            <w:noWrap/>
            <w:vAlign w:val="center"/>
            <w:hideMark/>
          </w:tcPr>
          <w:p w14:paraId="65119968" w14:textId="77777777" w:rsidR="0075354F" w:rsidRPr="0075354F" w:rsidRDefault="0075354F" w:rsidP="0075354F">
            <w:pPr>
              <w:jc w:val="right"/>
              <w:rPr>
                <w:rFonts w:cs="Arial"/>
                <w:color w:val="000000"/>
                <w:sz w:val="22"/>
                <w:szCs w:val="22"/>
              </w:rPr>
            </w:pPr>
            <w:r w:rsidRPr="0075354F">
              <w:rPr>
                <w:rFonts w:cs="Arial"/>
                <w:color w:val="000000"/>
                <w:sz w:val="22"/>
                <w:szCs w:val="22"/>
              </w:rPr>
              <w:t>32,114</w:t>
            </w:r>
          </w:p>
        </w:tc>
        <w:tc>
          <w:tcPr>
            <w:tcW w:w="894" w:type="pct"/>
            <w:tcBorders>
              <w:top w:val="nil"/>
              <w:left w:val="nil"/>
              <w:bottom w:val="nil"/>
              <w:right w:val="single" w:sz="8" w:space="0" w:color="auto"/>
            </w:tcBorders>
            <w:noWrap/>
            <w:vAlign w:val="center"/>
            <w:hideMark/>
          </w:tcPr>
          <w:p w14:paraId="6F3704D8" w14:textId="77777777" w:rsidR="0075354F" w:rsidRPr="0075354F" w:rsidRDefault="0075354F" w:rsidP="0075354F">
            <w:pPr>
              <w:jc w:val="right"/>
              <w:rPr>
                <w:rFonts w:cs="Arial"/>
                <w:color w:val="000000"/>
                <w:sz w:val="22"/>
                <w:szCs w:val="22"/>
              </w:rPr>
            </w:pPr>
            <w:r w:rsidRPr="0075354F">
              <w:rPr>
                <w:rFonts w:cs="Arial"/>
                <w:color w:val="000000"/>
                <w:sz w:val="22"/>
                <w:szCs w:val="22"/>
              </w:rPr>
              <w:t>67,505</w:t>
            </w:r>
          </w:p>
        </w:tc>
        <w:tc>
          <w:tcPr>
            <w:tcW w:w="975" w:type="pct"/>
            <w:tcBorders>
              <w:top w:val="nil"/>
              <w:left w:val="nil"/>
              <w:bottom w:val="nil"/>
              <w:right w:val="single" w:sz="8" w:space="0" w:color="auto"/>
            </w:tcBorders>
            <w:noWrap/>
            <w:vAlign w:val="center"/>
            <w:hideMark/>
          </w:tcPr>
          <w:p w14:paraId="2CC1B90C"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99,620</w:t>
            </w:r>
          </w:p>
        </w:tc>
      </w:tr>
      <w:tr w:rsidR="0075354F" w:rsidRPr="0075354F" w14:paraId="6BFD45F7" w14:textId="77777777" w:rsidTr="0075354F">
        <w:trPr>
          <w:trHeight w:val="290"/>
        </w:trPr>
        <w:tc>
          <w:tcPr>
            <w:tcW w:w="569" w:type="pct"/>
            <w:tcBorders>
              <w:top w:val="nil"/>
              <w:left w:val="single" w:sz="8" w:space="0" w:color="auto"/>
              <w:bottom w:val="nil"/>
              <w:right w:val="nil"/>
            </w:tcBorders>
            <w:noWrap/>
            <w:vAlign w:val="center"/>
            <w:hideMark/>
          </w:tcPr>
          <w:p w14:paraId="4AD15B2F" w14:textId="77777777" w:rsidR="0075354F" w:rsidRPr="0075354F" w:rsidRDefault="0075354F" w:rsidP="0075354F">
            <w:pPr>
              <w:jc w:val="right"/>
              <w:rPr>
                <w:rFonts w:cs="Arial"/>
                <w:color w:val="000000"/>
                <w:sz w:val="22"/>
                <w:szCs w:val="22"/>
              </w:rPr>
            </w:pPr>
            <w:r w:rsidRPr="0075354F">
              <w:rPr>
                <w:rFonts w:cs="Arial"/>
                <w:color w:val="000000"/>
                <w:sz w:val="22"/>
                <w:szCs w:val="22"/>
              </w:rPr>
              <w:t>80530</w:t>
            </w:r>
          </w:p>
        </w:tc>
        <w:tc>
          <w:tcPr>
            <w:tcW w:w="1525" w:type="pct"/>
            <w:tcBorders>
              <w:top w:val="nil"/>
              <w:left w:val="single" w:sz="8" w:space="0" w:color="auto"/>
              <w:bottom w:val="nil"/>
              <w:right w:val="nil"/>
            </w:tcBorders>
            <w:noWrap/>
            <w:vAlign w:val="center"/>
            <w:hideMark/>
          </w:tcPr>
          <w:p w14:paraId="5CA3FD81" w14:textId="77777777" w:rsidR="0075354F" w:rsidRPr="0075354F" w:rsidRDefault="0075354F" w:rsidP="0075354F">
            <w:pPr>
              <w:rPr>
                <w:rFonts w:cs="Arial"/>
                <w:color w:val="000000"/>
                <w:sz w:val="22"/>
                <w:szCs w:val="22"/>
              </w:rPr>
            </w:pPr>
            <w:r w:rsidRPr="0075354F">
              <w:rPr>
                <w:rFonts w:cs="Arial"/>
                <w:color w:val="000000"/>
                <w:sz w:val="22"/>
                <w:szCs w:val="22"/>
              </w:rPr>
              <w:t>Langdon Park</w:t>
            </w:r>
          </w:p>
        </w:tc>
        <w:tc>
          <w:tcPr>
            <w:tcW w:w="1038" w:type="pct"/>
            <w:tcBorders>
              <w:top w:val="nil"/>
              <w:left w:val="single" w:sz="8" w:space="0" w:color="auto"/>
              <w:bottom w:val="nil"/>
              <w:right w:val="single" w:sz="8" w:space="0" w:color="auto"/>
            </w:tcBorders>
            <w:noWrap/>
            <w:vAlign w:val="center"/>
            <w:hideMark/>
          </w:tcPr>
          <w:p w14:paraId="1A411921" w14:textId="77777777" w:rsidR="0075354F" w:rsidRPr="0075354F" w:rsidRDefault="0075354F" w:rsidP="0075354F">
            <w:pPr>
              <w:jc w:val="right"/>
              <w:rPr>
                <w:rFonts w:cs="Arial"/>
                <w:color w:val="000000"/>
                <w:sz w:val="22"/>
                <w:szCs w:val="22"/>
              </w:rPr>
            </w:pPr>
            <w:r w:rsidRPr="0075354F">
              <w:rPr>
                <w:rFonts w:cs="Arial"/>
                <w:color w:val="000000"/>
                <w:sz w:val="22"/>
                <w:szCs w:val="22"/>
              </w:rPr>
              <w:t>1,869,566</w:t>
            </w:r>
          </w:p>
        </w:tc>
        <w:tc>
          <w:tcPr>
            <w:tcW w:w="894" w:type="pct"/>
            <w:tcBorders>
              <w:top w:val="nil"/>
              <w:left w:val="nil"/>
              <w:bottom w:val="nil"/>
              <w:right w:val="single" w:sz="8" w:space="0" w:color="auto"/>
            </w:tcBorders>
            <w:noWrap/>
            <w:vAlign w:val="center"/>
            <w:hideMark/>
          </w:tcPr>
          <w:p w14:paraId="4E6DC39B" w14:textId="77777777" w:rsidR="0075354F" w:rsidRPr="0075354F" w:rsidRDefault="0075354F" w:rsidP="0075354F">
            <w:pPr>
              <w:jc w:val="right"/>
              <w:rPr>
                <w:rFonts w:cs="Arial"/>
                <w:color w:val="000000"/>
                <w:sz w:val="22"/>
                <w:szCs w:val="22"/>
              </w:rPr>
            </w:pPr>
            <w:r w:rsidRPr="0075354F">
              <w:rPr>
                <w:rFonts w:cs="Arial"/>
                <w:color w:val="000000"/>
                <w:sz w:val="22"/>
                <w:szCs w:val="22"/>
              </w:rPr>
              <w:t>221,890</w:t>
            </w:r>
          </w:p>
        </w:tc>
        <w:tc>
          <w:tcPr>
            <w:tcW w:w="975" w:type="pct"/>
            <w:tcBorders>
              <w:top w:val="nil"/>
              <w:left w:val="nil"/>
              <w:bottom w:val="nil"/>
              <w:right w:val="single" w:sz="8" w:space="0" w:color="auto"/>
            </w:tcBorders>
            <w:noWrap/>
            <w:vAlign w:val="center"/>
            <w:hideMark/>
          </w:tcPr>
          <w:p w14:paraId="63F5E91F"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2,091,456</w:t>
            </w:r>
          </w:p>
        </w:tc>
      </w:tr>
      <w:tr w:rsidR="0075354F" w:rsidRPr="0075354F" w14:paraId="3F940A8B" w14:textId="77777777" w:rsidTr="0075354F">
        <w:trPr>
          <w:trHeight w:val="290"/>
        </w:trPr>
        <w:tc>
          <w:tcPr>
            <w:tcW w:w="569" w:type="pct"/>
            <w:tcBorders>
              <w:top w:val="nil"/>
              <w:left w:val="single" w:sz="8" w:space="0" w:color="auto"/>
              <w:bottom w:val="nil"/>
              <w:right w:val="nil"/>
            </w:tcBorders>
            <w:noWrap/>
            <w:vAlign w:val="center"/>
            <w:hideMark/>
          </w:tcPr>
          <w:p w14:paraId="6E7210A9" w14:textId="77777777" w:rsidR="0075354F" w:rsidRPr="0075354F" w:rsidRDefault="0075354F" w:rsidP="0075354F">
            <w:pPr>
              <w:jc w:val="right"/>
              <w:rPr>
                <w:rFonts w:cs="Arial"/>
                <w:color w:val="000000"/>
                <w:sz w:val="22"/>
                <w:szCs w:val="22"/>
              </w:rPr>
            </w:pPr>
            <w:r w:rsidRPr="0075354F">
              <w:rPr>
                <w:rFonts w:cs="Arial"/>
                <w:color w:val="000000"/>
                <w:sz w:val="22"/>
                <w:szCs w:val="22"/>
              </w:rPr>
              <w:t>80450</w:t>
            </w:r>
          </w:p>
        </w:tc>
        <w:tc>
          <w:tcPr>
            <w:tcW w:w="1525" w:type="pct"/>
            <w:tcBorders>
              <w:top w:val="nil"/>
              <w:left w:val="single" w:sz="8" w:space="0" w:color="auto"/>
              <w:bottom w:val="nil"/>
              <w:right w:val="nil"/>
            </w:tcBorders>
            <w:noWrap/>
            <w:vAlign w:val="center"/>
            <w:hideMark/>
          </w:tcPr>
          <w:p w14:paraId="28F60E05" w14:textId="77777777" w:rsidR="0075354F" w:rsidRPr="0075354F" w:rsidRDefault="0075354F" w:rsidP="0075354F">
            <w:pPr>
              <w:rPr>
                <w:rFonts w:cs="Arial"/>
                <w:color w:val="000000"/>
                <w:sz w:val="22"/>
                <w:szCs w:val="22"/>
              </w:rPr>
            </w:pPr>
            <w:r w:rsidRPr="0075354F">
              <w:rPr>
                <w:rFonts w:cs="Arial"/>
                <w:color w:val="000000"/>
                <w:sz w:val="22"/>
                <w:szCs w:val="22"/>
              </w:rPr>
              <w:t>Lansbury Lawrence</w:t>
            </w:r>
          </w:p>
        </w:tc>
        <w:tc>
          <w:tcPr>
            <w:tcW w:w="1038" w:type="pct"/>
            <w:tcBorders>
              <w:top w:val="nil"/>
              <w:left w:val="single" w:sz="8" w:space="0" w:color="auto"/>
              <w:bottom w:val="nil"/>
              <w:right w:val="single" w:sz="8" w:space="0" w:color="auto"/>
            </w:tcBorders>
            <w:noWrap/>
            <w:vAlign w:val="center"/>
            <w:hideMark/>
          </w:tcPr>
          <w:p w14:paraId="02849B94" w14:textId="77777777" w:rsidR="0075354F" w:rsidRPr="0075354F" w:rsidRDefault="0075354F" w:rsidP="0075354F">
            <w:pPr>
              <w:jc w:val="right"/>
              <w:rPr>
                <w:rFonts w:cs="Arial"/>
                <w:color w:val="000000"/>
                <w:sz w:val="22"/>
                <w:szCs w:val="22"/>
              </w:rPr>
            </w:pPr>
            <w:r w:rsidRPr="0075354F">
              <w:rPr>
                <w:rFonts w:cs="Arial"/>
                <w:color w:val="000000"/>
                <w:sz w:val="22"/>
                <w:szCs w:val="22"/>
              </w:rPr>
              <w:t>349,134</w:t>
            </w:r>
          </w:p>
        </w:tc>
        <w:tc>
          <w:tcPr>
            <w:tcW w:w="894" w:type="pct"/>
            <w:tcBorders>
              <w:top w:val="nil"/>
              <w:left w:val="nil"/>
              <w:bottom w:val="nil"/>
              <w:right w:val="single" w:sz="8" w:space="0" w:color="auto"/>
            </w:tcBorders>
            <w:noWrap/>
            <w:vAlign w:val="center"/>
            <w:hideMark/>
          </w:tcPr>
          <w:p w14:paraId="3451345D" w14:textId="77777777" w:rsidR="0075354F" w:rsidRPr="0075354F" w:rsidRDefault="0075354F" w:rsidP="0075354F">
            <w:pPr>
              <w:jc w:val="right"/>
              <w:rPr>
                <w:rFonts w:cs="Arial"/>
                <w:color w:val="000000"/>
                <w:sz w:val="22"/>
                <w:szCs w:val="22"/>
              </w:rPr>
            </w:pPr>
            <w:r w:rsidRPr="0075354F">
              <w:rPr>
                <w:rFonts w:cs="Arial"/>
                <w:color w:val="000000"/>
                <w:sz w:val="22"/>
                <w:szCs w:val="22"/>
              </w:rPr>
              <w:t>78,379</w:t>
            </w:r>
          </w:p>
        </w:tc>
        <w:tc>
          <w:tcPr>
            <w:tcW w:w="975" w:type="pct"/>
            <w:tcBorders>
              <w:top w:val="nil"/>
              <w:left w:val="nil"/>
              <w:bottom w:val="nil"/>
              <w:right w:val="single" w:sz="8" w:space="0" w:color="auto"/>
            </w:tcBorders>
            <w:noWrap/>
            <w:vAlign w:val="center"/>
            <w:hideMark/>
          </w:tcPr>
          <w:p w14:paraId="2A52A516"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427,513</w:t>
            </w:r>
          </w:p>
        </w:tc>
      </w:tr>
      <w:tr w:rsidR="0075354F" w:rsidRPr="0075354F" w14:paraId="73371995" w14:textId="77777777" w:rsidTr="0075354F">
        <w:trPr>
          <w:trHeight w:val="290"/>
        </w:trPr>
        <w:tc>
          <w:tcPr>
            <w:tcW w:w="569" w:type="pct"/>
            <w:tcBorders>
              <w:top w:val="nil"/>
              <w:left w:val="single" w:sz="8" w:space="0" w:color="auto"/>
              <w:bottom w:val="nil"/>
              <w:right w:val="nil"/>
            </w:tcBorders>
            <w:noWrap/>
            <w:vAlign w:val="center"/>
            <w:hideMark/>
          </w:tcPr>
          <w:p w14:paraId="2D655043" w14:textId="77777777" w:rsidR="0075354F" w:rsidRPr="0075354F" w:rsidRDefault="0075354F" w:rsidP="0075354F">
            <w:pPr>
              <w:jc w:val="right"/>
              <w:rPr>
                <w:rFonts w:cs="Arial"/>
                <w:color w:val="000000"/>
                <w:sz w:val="22"/>
                <w:szCs w:val="22"/>
              </w:rPr>
            </w:pPr>
            <w:r w:rsidRPr="0075354F">
              <w:rPr>
                <w:rFonts w:cs="Arial"/>
                <w:color w:val="000000"/>
                <w:sz w:val="22"/>
                <w:szCs w:val="22"/>
              </w:rPr>
              <w:t>80195</w:t>
            </w:r>
          </w:p>
        </w:tc>
        <w:tc>
          <w:tcPr>
            <w:tcW w:w="1525" w:type="pct"/>
            <w:tcBorders>
              <w:top w:val="nil"/>
              <w:left w:val="single" w:sz="8" w:space="0" w:color="auto"/>
              <w:bottom w:val="nil"/>
              <w:right w:val="nil"/>
            </w:tcBorders>
            <w:noWrap/>
            <w:vAlign w:val="center"/>
            <w:hideMark/>
          </w:tcPr>
          <w:p w14:paraId="22C4E50C" w14:textId="77777777" w:rsidR="0075354F" w:rsidRPr="0075354F" w:rsidRDefault="0075354F" w:rsidP="0075354F">
            <w:pPr>
              <w:rPr>
                <w:rFonts w:cs="Arial"/>
                <w:color w:val="000000"/>
                <w:sz w:val="22"/>
                <w:szCs w:val="22"/>
              </w:rPr>
            </w:pPr>
            <w:proofErr w:type="spellStart"/>
            <w:r w:rsidRPr="0075354F">
              <w:rPr>
                <w:rFonts w:cs="Arial"/>
                <w:color w:val="000000"/>
                <w:sz w:val="22"/>
                <w:szCs w:val="22"/>
              </w:rPr>
              <w:t>Lawdale</w:t>
            </w:r>
            <w:proofErr w:type="spellEnd"/>
          </w:p>
        </w:tc>
        <w:tc>
          <w:tcPr>
            <w:tcW w:w="1038" w:type="pct"/>
            <w:tcBorders>
              <w:top w:val="nil"/>
              <w:left w:val="single" w:sz="8" w:space="0" w:color="auto"/>
              <w:bottom w:val="nil"/>
              <w:right w:val="single" w:sz="8" w:space="0" w:color="auto"/>
            </w:tcBorders>
            <w:noWrap/>
            <w:vAlign w:val="center"/>
            <w:hideMark/>
          </w:tcPr>
          <w:p w14:paraId="7693B481" w14:textId="77777777" w:rsidR="0075354F" w:rsidRPr="0075354F" w:rsidRDefault="0075354F" w:rsidP="0075354F">
            <w:pPr>
              <w:jc w:val="right"/>
              <w:rPr>
                <w:rFonts w:cs="Arial"/>
                <w:color w:val="000000"/>
                <w:sz w:val="22"/>
                <w:szCs w:val="22"/>
              </w:rPr>
            </w:pPr>
            <w:r w:rsidRPr="0075354F">
              <w:rPr>
                <w:rFonts w:cs="Arial"/>
                <w:color w:val="000000"/>
                <w:sz w:val="22"/>
                <w:szCs w:val="22"/>
              </w:rPr>
              <w:t>88,357</w:t>
            </w:r>
          </w:p>
        </w:tc>
        <w:tc>
          <w:tcPr>
            <w:tcW w:w="894" w:type="pct"/>
            <w:tcBorders>
              <w:top w:val="nil"/>
              <w:left w:val="nil"/>
              <w:bottom w:val="nil"/>
              <w:right w:val="single" w:sz="8" w:space="0" w:color="auto"/>
            </w:tcBorders>
            <w:noWrap/>
            <w:vAlign w:val="center"/>
            <w:hideMark/>
          </w:tcPr>
          <w:p w14:paraId="1B80AD14" w14:textId="77777777" w:rsidR="0075354F" w:rsidRPr="0075354F" w:rsidRDefault="0075354F" w:rsidP="0075354F">
            <w:pPr>
              <w:jc w:val="right"/>
              <w:rPr>
                <w:rFonts w:cs="Arial"/>
                <w:color w:val="000000"/>
                <w:sz w:val="22"/>
                <w:szCs w:val="22"/>
              </w:rPr>
            </w:pPr>
            <w:r w:rsidRPr="0075354F">
              <w:rPr>
                <w:rFonts w:cs="Arial"/>
                <w:color w:val="000000"/>
                <w:sz w:val="22"/>
                <w:szCs w:val="22"/>
              </w:rPr>
              <w:t>8,525</w:t>
            </w:r>
          </w:p>
        </w:tc>
        <w:tc>
          <w:tcPr>
            <w:tcW w:w="975" w:type="pct"/>
            <w:tcBorders>
              <w:top w:val="nil"/>
              <w:left w:val="nil"/>
              <w:bottom w:val="nil"/>
              <w:right w:val="single" w:sz="8" w:space="0" w:color="auto"/>
            </w:tcBorders>
            <w:noWrap/>
            <w:vAlign w:val="center"/>
            <w:hideMark/>
          </w:tcPr>
          <w:p w14:paraId="327CA79E"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96,882</w:t>
            </w:r>
          </w:p>
        </w:tc>
      </w:tr>
      <w:tr w:rsidR="0075354F" w:rsidRPr="0075354F" w14:paraId="55D74C13" w14:textId="77777777" w:rsidTr="0075354F">
        <w:trPr>
          <w:trHeight w:val="290"/>
        </w:trPr>
        <w:tc>
          <w:tcPr>
            <w:tcW w:w="569" w:type="pct"/>
            <w:tcBorders>
              <w:top w:val="nil"/>
              <w:left w:val="single" w:sz="8" w:space="0" w:color="auto"/>
              <w:bottom w:val="nil"/>
              <w:right w:val="nil"/>
            </w:tcBorders>
            <w:noWrap/>
            <w:vAlign w:val="center"/>
            <w:hideMark/>
          </w:tcPr>
          <w:p w14:paraId="23DD6A62" w14:textId="77777777" w:rsidR="0075354F" w:rsidRPr="0075354F" w:rsidRDefault="0075354F" w:rsidP="0075354F">
            <w:pPr>
              <w:jc w:val="right"/>
              <w:rPr>
                <w:rFonts w:cs="Arial"/>
                <w:color w:val="000000"/>
                <w:sz w:val="22"/>
                <w:szCs w:val="22"/>
              </w:rPr>
            </w:pPr>
            <w:r w:rsidRPr="0075354F">
              <w:rPr>
                <w:rFonts w:cs="Arial"/>
                <w:color w:val="000000"/>
                <w:sz w:val="22"/>
                <w:szCs w:val="22"/>
              </w:rPr>
              <w:t>80455</w:t>
            </w:r>
          </w:p>
        </w:tc>
        <w:tc>
          <w:tcPr>
            <w:tcW w:w="1525" w:type="pct"/>
            <w:tcBorders>
              <w:top w:val="nil"/>
              <w:left w:val="single" w:sz="8" w:space="0" w:color="auto"/>
              <w:bottom w:val="nil"/>
              <w:right w:val="nil"/>
            </w:tcBorders>
            <w:noWrap/>
            <w:vAlign w:val="center"/>
            <w:hideMark/>
          </w:tcPr>
          <w:p w14:paraId="0046F1D2" w14:textId="77777777" w:rsidR="0075354F" w:rsidRPr="0075354F" w:rsidRDefault="0075354F" w:rsidP="0075354F">
            <w:pPr>
              <w:rPr>
                <w:rFonts w:cs="Arial"/>
                <w:color w:val="000000"/>
                <w:sz w:val="22"/>
                <w:szCs w:val="22"/>
              </w:rPr>
            </w:pPr>
            <w:proofErr w:type="spellStart"/>
            <w:r w:rsidRPr="0075354F">
              <w:rPr>
                <w:rFonts w:cs="Arial"/>
                <w:color w:val="000000"/>
                <w:sz w:val="22"/>
                <w:szCs w:val="22"/>
              </w:rPr>
              <w:t>Malmesbury</w:t>
            </w:r>
            <w:proofErr w:type="spellEnd"/>
          </w:p>
        </w:tc>
        <w:tc>
          <w:tcPr>
            <w:tcW w:w="1038" w:type="pct"/>
            <w:tcBorders>
              <w:top w:val="nil"/>
              <w:left w:val="single" w:sz="8" w:space="0" w:color="auto"/>
              <w:bottom w:val="nil"/>
              <w:right w:val="single" w:sz="8" w:space="0" w:color="auto"/>
            </w:tcBorders>
            <w:noWrap/>
            <w:vAlign w:val="center"/>
            <w:hideMark/>
          </w:tcPr>
          <w:p w14:paraId="3CB7ABF4" w14:textId="77777777" w:rsidR="0075354F" w:rsidRPr="0075354F" w:rsidRDefault="0075354F" w:rsidP="0075354F">
            <w:pPr>
              <w:jc w:val="right"/>
              <w:rPr>
                <w:rFonts w:cs="Arial"/>
                <w:color w:val="000000"/>
                <w:sz w:val="22"/>
                <w:szCs w:val="22"/>
              </w:rPr>
            </w:pPr>
            <w:r w:rsidRPr="0075354F">
              <w:rPr>
                <w:rFonts w:cs="Arial"/>
                <w:color w:val="000000"/>
                <w:sz w:val="22"/>
                <w:szCs w:val="22"/>
              </w:rPr>
              <w:t>374,702</w:t>
            </w:r>
          </w:p>
        </w:tc>
        <w:tc>
          <w:tcPr>
            <w:tcW w:w="894" w:type="pct"/>
            <w:tcBorders>
              <w:top w:val="nil"/>
              <w:left w:val="nil"/>
              <w:bottom w:val="nil"/>
              <w:right w:val="single" w:sz="8" w:space="0" w:color="auto"/>
            </w:tcBorders>
            <w:noWrap/>
            <w:vAlign w:val="center"/>
            <w:hideMark/>
          </w:tcPr>
          <w:p w14:paraId="6D4C7EFD" w14:textId="77777777" w:rsidR="0075354F" w:rsidRPr="0075354F" w:rsidRDefault="0075354F" w:rsidP="0075354F">
            <w:pPr>
              <w:jc w:val="right"/>
              <w:rPr>
                <w:rFonts w:cs="Arial"/>
                <w:color w:val="000000"/>
                <w:sz w:val="22"/>
                <w:szCs w:val="22"/>
              </w:rPr>
            </w:pPr>
            <w:r w:rsidRPr="0075354F">
              <w:rPr>
                <w:rFonts w:cs="Arial"/>
                <w:color w:val="000000"/>
                <w:sz w:val="22"/>
                <w:szCs w:val="22"/>
              </w:rPr>
              <w:t>64,494</w:t>
            </w:r>
          </w:p>
        </w:tc>
        <w:tc>
          <w:tcPr>
            <w:tcW w:w="975" w:type="pct"/>
            <w:tcBorders>
              <w:top w:val="nil"/>
              <w:left w:val="nil"/>
              <w:bottom w:val="nil"/>
              <w:right w:val="single" w:sz="8" w:space="0" w:color="auto"/>
            </w:tcBorders>
            <w:noWrap/>
            <w:vAlign w:val="center"/>
            <w:hideMark/>
          </w:tcPr>
          <w:p w14:paraId="2AB0A5D9"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439,196</w:t>
            </w:r>
          </w:p>
        </w:tc>
      </w:tr>
      <w:tr w:rsidR="0075354F" w:rsidRPr="0075354F" w14:paraId="5F0D88A0" w14:textId="77777777" w:rsidTr="0075354F">
        <w:trPr>
          <w:trHeight w:val="290"/>
        </w:trPr>
        <w:tc>
          <w:tcPr>
            <w:tcW w:w="569" w:type="pct"/>
            <w:tcBorders>
              <w:top w:val="nil"/>
              <w:left w:val="single" w:sz="8" w:space="0" w:color="auto"/>
              <w:bottom w:val="nil"/>
              <w:right w:val="nil"/>
            </w:tcBorders>
            <w:noWrap/>
            <w:vAlign w:val="center"/>
            <w:hideMark/>
          </w:tcPr>
          <w:p w14:paraId="3F8E515D" w14:textId="77777777" w:rsidR="0075354F" w:rsidRPr="0075354F" w:rsidRDefault="0075354F" w:rsidP="0075354F">
            <w:pPr>
              <w:jc w:val="right"/>
              <w:rPr>
                <w:rFonts w:cs="Arial"/>
                <w:color w:val="000000"/>
                <w:sz w:val="22"/>
                <w:szCs w:val="22"/>
              </w:rPr>
            </w:pPr>
            <w:r w:rsidRPr="0075354F">
              <w:rPr>
                <w:rFonts w:cs="Arial"/>
                <w:color w:val="000000"/>
                <w:sz w:val="22"/>
                <w:szCs w:val="22"/>
              </w:rPr>
              <w:t>80210</w:t>
            </w:r>
          </w:p>
        </w:tc>
        <w:tc>
          <w:tcPr>
            <w:tcW w:w="1525" w:type="pct"/>
            <w:tcBorders>
              <w:top w:val="nil"/>
              <w:left w:val="single" w:sz="8" w:space="0" w:color="auto"/>
              <w:bottom w:val="nil"/>
              <w:right w:val="nil"/>
            </w:tcBorders>
            <w:noWrap/>
            <w:vAlign w:val="center"/>
            <w:hideMark/>
          </w:tcPr>
          <w:p w14:paraId="51D43C2B" w14:textId="77777777" w:rsidR="0075354F" w:rsidRPr="0075354F" w:rsidRDefault="0075354F" w:rsidP="0075354F">
            <w:pPr>
              <w:rPr>
                <w:rFonts w:cs="Arial"/>
                <w:color w:val="000000"/>
                <w:sz w:val="22"/>
                <w:szCs w:val="22"/>
              </w:rPr>
            </w:pPr>
            <w:proofErr w:type="spellStart"/>
            <w:r w:rsidRPr="0075354F">
              <w:rPr>
                <w:rFonts w:cs="Arial"/>
                <w:color w:val="000000"/>
                <w:sz w:val="22"/>
                <w:szCs w:val="22"/>
              </w:rPr>
              <w:t>Manorfield</w:t>
            </w:r>
            <w:proofErr w:type="spellEnd"/>
          </w:p>
        </w:tc>
        <w:tc>
          <w:tcPr>
            <w:tcW w:w="1038" w:type="pct"/>
            <w:tcBorders>
              <w:top w:val="nil"/>
              <w:left w:val="single" w:sz="8" w:space="0" w:color="auto"/>
              <w:bottom w:val="nil"/>
              <w:right w:val="single" w:sz="8" w:space="0" w:color="auto"/>
            </w:tcBorders>
            <w:noWrap/>
            <w:vAlign w:val="center"/>
            <w:hideMark/>
          </w:tcPr>
          <w:p w14:paraId="5615203A" w14:textId="77777777" w:rsidR="0075354F" w:rsidRPr="0075354F" w:rsidRDefault="0075354F" w:rsidP="0075354F">
            <w:pPr>
              <w:jc w:val="right"/>
              <w:rPr>
                <w:rFonts w:cs="Arial"/>
                <w:color w:val="000000"/>
                <w:sz w:val="22"/>
                <w:szCs w:val="22"/>
              </w:rPr>
            </w:pPr>
            <w:r w:rsidRPr="0075354F">
              <w:rPr>
                <w:rFonts w:cs="Arial"/>
                <w:color w:val="000000"/>
                <w:sz w:val="22"/>
                <w:szCs w:val="22"/>
              </w:rPr>
              <w:t>224,321</w:t>
            </w:r>
          </w:p>
        </w:tc>
        <w:tc>
          <w:tcPr>
            <w:tcW w:w="894" w:type="pct"/>
            <w:tcBorders>
              <w:top w:val="nil"/>
              <w:left w:val="nil"/>
              <w:bottom w:val="nil"/>
              <w:right w:val="single" w:sz="8" w:space="0" w:color="auto"/>
            </w:tcBorders>
            <w:noWrap/>
            <w:vAlign w:val="center"/>
            <w:hideMark/>
          </w:tcPr>
          <w:p w14:paraId="03822C69" w14:textId="77777777" w:rsidR="0075354F" w:rsidRPr="007A76D3" w:rsidRDefault="0075354F" w:rsidP="0075354F">
            <w:pPr>
              <w:jc w:val="right"/>
              <w:rPr>
                <w:rFonts w:cs="Arial"/>
                <w:color w:val="ED0000"/>
                <w:sz w:val="22"/>
                <w:szCs w:val="22"/>
              </w:rPr>
            </w:pPr>
            <w:r w:rsidRPr="007A76D3">
              <w:rPr>
                <w:rFonts w:cs="Arial"/>
                <w:color w:val="ED0000"/>
                <w:sz w:val="22"/>
                <w:szCs w:val="22"/>
              </w:rPr>
              <w:t>-22,940</w:t>
            </w:r>
          </w:p>
        </w:tc>
        <w:tc>
          <w:tcPr>
            <w:tcW w:w="975" w:type="pct"/>
            <w:tcBorders>
              <w:top w:val="nil"/>
              <w:left w:val="nil"/>
              <w:bottom w:val="nil"/>
              <w:right w:val="single" w:sz="8" w:space="0" w:color="auto"/>
            </w:tcBorders>
            <w:noWrap/>
            <w:vAlign w:val="center"/>
            <w:hideMark/>
          </w:tcPr>
          <w:p w14:paraId="33EE7BBB"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201,382</w:t>
            </w:r>
          </w:p>
        </w:tc>
      </w:tr>
      <w:tr w:rsidR="0075354F" w:rsidRPr="0075354F" w14:paraId="005F4CEC" w14:textId="77777777" w:rsidTr="0075354F">
        <w:trPr>
          <w:trHeight w:val="290"/>
        </w:trPr>
        <w:tc>
          <w:tcPr>
            <w:tcW w:w="569" w:type="pct"/>
            <w:tcBorders>
              <w:top w:val="nil"/>
              <w:left w:val="single" w:sz="8" w:space="0" w:color="auto"/>
              <w:bottom w:val="nil"/>
              <w:right w:val="nil"/>
            </w:tcBorders>
            <w:noWrap/>
            <w:vAlign w:val="center"/>
            <w:hideMark/>
          </w:tcPr>
          <w:p w14:paraId="253F5E35" w14:textId="77777777" w:rsidR="0075354F" w:rsidRPr="0075354F" w:rsidRDefault="0075354F" w:rsidP="0075354F">
            <w:pPr>
              <w:jc w:val="right"/>
              <w:rPr>
                <w:rFonts w:cs="Arial"/>
                <w:color w:val="000000"/>
                <w:sz w:val="22"/>
                <w:szCs w:val="22"/>
              </w:rPr>
            </w:pPr>
            <w:r w:rsidRPr="0075354F">
              <w:rPr>
                <w:rFonts w:cs="Arial"/>
                <w:color w:val="000000"/>
                <w:sz w:val="22"/>
                <w:szCs w:val="22"/>
              </w:rPr>
              <w:t>80215</w:t>
            </w:r>
          </w:p>
        </w:tc>
        <w:tc>
          <w:tcPr>
            <w:tcW w:w="1525" w:type="pct"/>
            <w:tcBorders>
              <w:top w:val="nil"/>
              <w:left w:val="single" w:sz="8" w:space="0" w:color="auto"/>
              <w:bottom w:val="nil"/>
              <w:right w:val="nil"/>
            </w:tcBorders>
            <w:noWrap/>
            <w:vAlign w:val="center"/>
            <w:hideMark/>
          </w:tcPr>
          <w:p w14:paraId="0B0DE94E" w14:textId="77777777" w:rsidR="0075354F" w:rsidRPr="0075354F" w:rsidRDefault="0075354F" w:rsidP="0075354F">
            <w:pPr>
              <w:rPr>
                <w:rFonts w:cs="Arial"/>
                <w:color w:val="000000"/>
                <w:sz w:val="22"/>
                <w:szCs w:val="22"/>
              </w:rPr>
            </w:pPr>
            <w:r w:rsidRPr="0075354F">
              <w:rPr>
                <w:rFonts w:cs="Arial"/>
                <w:color w:val="000000"/>
                <w:sz w:val="22"/>
                <w:szCs w:val="22"/>
              </w:rPr>
              <w:t>Marion Richardson</w:t>
            </w:r>
          </w:p>
        </w:tc>
        <w:tc>
          <w:tcPr>
            <w:tcW w:w="1038" w:type="pct"/>
            <w:tcBorders>
              <w:top w:val="nil"/>
              <w:left w:val="single" w:sz="8" w:space="0" w:color="auto"/>
              <w:bottom w:val="nil"/>
              <w:right w:val="single" w:sz="8" w:space="0" w:color="auto"/>
            </w:tcBorders>
            <w:noWrap/>
            <w:vAlign w:val="center"/>
            <w:hideMark/>
          </w:tcPr>
          <w:p w14:paraId="2FBC04D8" w14:textId="77777777" w:rsidR="0075354F" w:rsidRPr="007A76D3" w:rsidRDefault="0075354F" w:rsidP="0075354F">
            <w:pPr>
              <w:jc w:val="right"/>
              <w:rPr>
                <w:rFonts w:cs="Arial"/>
                <w:color w:val="ED0000"/>
                <w:sz w:val="22"/>
                <w:szCs w:val="22"/>
              </w:rPr>
            </w:pPr>
            <w:r w:rsidRPr="007A76D3">
              <w:rPr>
                <w:rFonts w:cs="Arial"/>
                <w:color w:val="ED0000"/>
                <w:sz w:val="22"/>
                <w:szCs w:val="22"/>
              </w:rPr>
              <w:t>-129,616</w:t>
            </w:r>
          </w:p>
        </w:tc>
        <w:tc>
          <w:tcPr>
            <w:tcW w:w="894" w:type="pct"/>
            <w:tcBorders>
              <w:top w:val="nil"/>
              <w:left w:val="nil"/>
              <w:bottom w:val="nil"/>
              <w:right w:val="single" w:sz="8" w:space="0" w:color="auto"/>
            </w:tcBorders>
            <w:noWrap/>
            <w:vAlign w:val="center"/>
            <w:hideMark/>
          </w:tcPr>
          <w:p w14:paraId="5B128C16" w14:textId="77777777" w:rsidR="0075354F" w:rsidRPr="007A76D3" w:rsidRDefault="0075354F" w:rsidP="0075354F">
            <w:pPr>
              <w:jc w:val="right"/>
              <w:rPr>
                <w:rFonts w:cs="Arial"/>
                <w:color w:val="ED0000"/>
                <w:sz w:val="22"/>
                <w:szCs w:val="22"/>
              </w:rPr>
            </w:pPr>
            <w:r w:rsidRPr="007A76D3">
              <w:rPr>
                <w:rFonts w:cs="Arial"/>
                <w:color w:val="ED0000"/>
                <w:sz w:val="22"/>
                <w:szCs w:val="22"/>
              </w:rPr>
              <w:t>-91,169</w:t>
            </w:r>
          </w:p>
        </w:tc>
        <w:tc>
          <w:tcPr>
            <w:tcW w:w="975" w:type="pct"/>
            <w:tcBorders>
              <w:top w:val="nil"/>
              <w:left w:val="nil"/>
              <w:bottom w:val="nil"/>
              <w:right w:val="single" w:sz="8" w:space="0" w:color="auto"/>
            </w:tcBorders>
            <w:noWrap/>
            <w:vAlign w:val="center"/>
            <w:hideMark/>
          </w:tcPr>
          <w:p w14:paraId="71951BFA" w14:textId="77777777" w:rsidR="0075354F" w:rsidRPr="007A76D3" w:rsidRDefault="0075354F" w:rsidP="0075354F">
            <w:pPr>
              <w:jc w:val="right"/>
              <w:rPr>
                <w:rFonts w:ascii="Aptos Narrow" w:hAnsi="Aptos Narrow"/>
                <w:color w:val="ED0000"/>
                <w:sz w:val="22"/>
                <w:szCs w:val="22"/>
              </w:rPr>
            </w:pPr>
            <w:r w:rsidRPr="007A76D3">
              <w:rPr>
                <w:rFonts w:ascii="Aptos Narrow" w:hAnsi="Aptos Narrow"/>
                <w:color w:val="ED0000"/>
                <w:sz w:val="22"/>
                <w:szCs w:val="22"/>
              </w:rPr>
              <w:t>-220,785</w:t>
            </w:r>
          </w:p>
        </w:tc>
      </w:tr>
      <w:tr w:rsidR="0075354F" w:rsidRPr="0075354F" w14:paraId="3281A0C5" w14:textId="77777777" w:rsidTr="0075354F">
        <w:trPr>
          <w:trHeight w:val="290"/>
        </w:trPr>
        <w:tc>
          <w:tcPr>
            <w:tcW w:w="569" w:type="pct"/>
            <w:tcBorders>
              <w:top w:val="nil"/>
              <w:left w:val="single" w:sz="8" w:space="0" w:color="auto"/>
              <w:bottom w:val="nil"/>
              <w:right w:val="nil"/>
            </w:tcBorders>
            <w:noWrap/>
            <w:vAlign w:val="center"/>
            <w:hideMark/>
          </w:tcPr>
          <w:p w14:paraId="63169A07" w14:textId="77777777" w:rsidR="0075354F" w:rsidRPr="0075354F" w:rsidRDefault="0075354F" w:rsidP="0075354F">
            <w:pPr>
              <w:jc w:val="right"/>
              <w:rPr>
                <w:rFonts w:cs="Arial"/>
                <w:color w:val="000000"/>
                <w:sz w:val="22"/>
                <w:szCs w:val="22"/>
              </w:rPr>
            </w:pPr>
            <w:r w:rsidRPr="0075354F">
              <w:rPr>
                <w:rFonts w:cs="Arial"/>
                <w:color w:val="000000"/>
                <w:sz w:val="22"/>
                <w:szCs w:val="22"/>
              </w:rPr>
              <w:t>80220</w:t>
            </w:r>
          </w:p>
        </w:tc>
        <w:tc>
          <w:tcPr>
            <w:tcW w:w="1525" w:type="pct"/>
            <w:tcBorders>
              <w:top w:val="nil"/>
              <w:left w:val="single" w:sz="8" w:space="0" w:color="auto"/>
              <w:bottom w:val="nil"/>
              <w:right w:val="nil"/>
            </w:tcBorders>
            <w:noWrap/>
            <w:vAlign w:val="center"/>
            <w:hideMark/>
          </w:tcPr>
          <w:p w14:paraId="751FE365" w14:textId="77777777" w:rsidR="0075354F" w:rsidRPr="0075354F" w:rsidRDefault="0075354F" w:rsidP="0075354F">
            <w:pPr>
              <w:rPr>
                <w:rFonts w:cs="Arial"/>
                <w:color w:val="000000"/>
                <w:sz w:val="22"/>
                <w:szCs w:val="22"/>
              </w:rPr>
            </w:pPr>
            <w:r w:rsidRPr="0075354F">
              <w:rPr>
                <w:rFonts w:cs="Arial"/>
                <w:color w:val="000000"/>
                <w:sz w:val="22"/>
                <w:szCs w:val="22"/>
              </w:rPr>
              <w:t>Marner</w:t>
            </w:r>
          </w:p>
        </w:tc>
        <w:tc>
          <w:tcPr>
            <w:tcW w:w="1038" w:type="pct"/>
            <w:tcBorders>
              <w:top w:val="nil"/>
              <w:left w:val="single" w:sz="8" w:space="0" w:color="auto"/>
              <w:bottom w:val="nil"/>
              <w:right w:val="single" w:sz="8" w:space="0" w:color="auto"/>
            </w:tcBorders>
            <w:noWrap/>
            <w:vAlign w:val="center"/>
            <w:hideMark/>
          </w:tcPr>
          <w:p w14:paraId="636394A6" w14:textId="77777777" w:rsidR="0075354F" w:rsidRPr="0075354F" w:rsidRDefault="0075354F" w:rsidP="0075354F">
            <w:pPr>
              <w:jc w:val="right"/>
              <w:rPr>
                <w:rFonts w:cs="Arial"/>
                <w:color w:val="000000"/>
                <w:sz w:val="22"/>
                <w:szCs w:val="22"/>
              </w:rPr>
            </w:pPr>
            <w:r w:rsidRPr="0075354F">
              <w:rPr>
                <w:rFonts w:cs="Arial"/>
                <w:color w:val="000000"/>
                <w:sz w:val="22"/>
                <w:szCs w:val="22"/>
              </w:rPr>
              <w:t>588,165</w:t>
            </w:r>
          </w:p>
        </w:tc>
        <w:tc>
          <w:tcPr>
            <w:tcW w:w="894" w:type="pct"/>
            <w:tcBorders>
              <w:top w:val="nil"/>
              <w:left w:val="nil"/>
              <w:bottom w:val="nil"/>
              <w:right w:val="single" w:sz="8" w:space="0" w:color="auto"/>
            </w:tcBorders>
            <w:noWrap/>
            <w:vAlign w:val="center"/>
            <w:hideMark/>
          </w:tcPr>
          <w:p w14:paraId="7E4A80FD" w14:textId="77777777" w:rsidR="0075354F" w:rsidRPr="007A76D3" w:rsidRDefault="0075354F" w:rsidP="0075354F">
            <w:pPr>
              <w:jc w:val="right"/>
              <w:rPr>
                <w:rFonts w:cs="Arial"/>
                <w:color w:val="ED0000"/>
                <w:sz w:val="22"/>
                <w:szCs w:val="22"/>
              </w:rPr>
            </w:pPr>
            <w:r w:rsidRPr="007A76D3">
              <w:rPr>
                <w:rFonts w:cs="Arial"/>
                <w:color w:val="ED0000"/>
                <w:sz w:val="22"/>
                <w:szCs w:val="22"/>
              </w:rPr>
              <w:t>-394,025</w:t>
            </w:r>
          </w:p>
        </w:tc>
        <w:tc>
          <w:tcPr>
            <w:tcW w:w="975" w:type="pct"/>
            <w:tcBorders>
              <w:top w:val="nil"/>
              <w:left w:val="nil"/>
              <w:bottom w:val="nil"/>
              <w:right w:val="single" w:sz="8" w:space="0" w:color="auto"/>
            </w:tcBorders>
            <w:noWrap/>
            <w:vAlign w:val="center"/>
            <w:hideMark/>
          </w:tcPr>
          <w:p w14:paraId="0B435E34"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194,141</w:t>
            </w:r>
          </w:p>
        </w:tc>
      </w:tr>
      <w:tr w:rsidR="0075354F" w:rsidRPr="0075354F" w14:paraId="28FA6E03" w14:textId="77777777" w:rsidTr="0075354F">
        <w:trPr>
          <w:trHeight w:val="290"/>
        </w:trPr>
        <w:tc>
          <w:tcPr>
            <w:tcW w:w="569" w:type="pct"/>
            <w:tcBorders>
              <w:top w:val="nil"/>
              <w:left w:val="single" w:sz="8" w:space="0" w:color="auto"/>
              <w:bottom w:val="nil"/>
              <w:right w:val="nil"/>
            </w:tcBorders>
            <w:noWrap/>
            <w:vAlign w:val="center"/>
            <w:hideMark/>
          </w:tcPr>
          <w:p w14:paraId="32018207" w14:textId="77777777" w:rsidR="0075354F" w:rsidRPr="0075354F" w:rsidRDefault="0075354F" w:rsidP="0075354F">
            <w:pPr>
              <w:jc w:val="right"/>
              <w:rPr>
                <w:rFonts w:cs="Arial"/>
                <w:color w:val="000000"/>
                <w:sz w:val="22"/>
                <w:szCs w:val="22"/>
              </w:rPr>
            </w:pPr>
            <w:r w:rsidRPr="0075354F">
              <w:rPr>
                <w:rFonts w:cs="Arial"/>
                <w:color w:val="000000"/>
                <w:sz w:val="22"/>
                <w:szCs w:val="22"/>
              </w:rPr>
              <w:t>80225</w:t>
            </w:r>
          </w:p>
        </w:tc>
        <w:tc>
          <w:tcPr>
            <w:tcW w:w="1525" w:type="pct"/>
            <w:tcBorders>
              <w:top w:val="nil"/>
              <w:left w:val="single" w:sz="8" w:space="0" w:color="auto"/>
              <w:bottom w:val="nil"/>
              <w:right w:val="nil"/>
            </w:tcBorders>
            <w:noWrap/>
            <w:vAlign w:val="center"/>
            <w:hideMark/>
          </w:tcPr>
          <w:p w14:paraId="7EE625EC" w14:textId="77777777" w:rsidR="0075354F" w:rsidRPr="0075354F" w:rsidRDefault="0075354F" w:rsidP="0075354F">
            <w:pPr>
              <w:rPr>
                <w:rFonts w:cs="Arial"/>
                <w:color w:val="000000"/>
                <w:sz w:val="22"/>
                <w:szCs w:val="22"/>
              </w:rPr>
            </w:pPr>
            <w:r w:rsidRPr="0075354F">
              <w:rPr>
                <w:rFonts w:cs="Arial"/>
                <w:color w:val="000000"/>
                <w:sz w:val="22"/>
                <w:szCs w:val="22"/>
              </w:rPr>
              <w:t>Mayflower</w:t>
            </w:r>
          </w:p>
        </w:tc>
        <w:tc>
          <w:tcPr>
            <w:tcW w:w="1038" w:type="pct"/>
            <w:tcBorders>
              <w:top w:val="nil"/>
              <w:left w:val="single" w:sz="8" w:space="0" w:color="auto"/>
              <w:bottom w:val="nil"/>
              <w:right w:val="single" w:sz="8" w:space="0" w:color="auto"/>
            </w:tcBorders>
            <w:noWrap/>
            <w:vAlign w:val="center"/>
            <w:hideMark/>
          </w:tcPr>
          <w:p w14:paraId="5E49D7B4" w14:textId="77777777" w:rsidR="0075354F" w:rsidRPr="0075354F" w:rsidRDefault="0075354F" w:rsidP="0075354F">
            <w:pPr>
              <w:jc w:val="right"/>
              <w:rPr>
                <w:rFonts w:cs="Arial"/>
                <w:color w:val="000000"/>
                <w:sz w:val="22"/>
                <w:szCs w:val="22"/>
              </w:rPr>
            </w:pPr>
            <w:r w:rsidRPr="0075354F">
              <w:rPr>
                <w:rFonts w:cs="Arial"/>
                <w:color w:val="000000"/>
                <w:sz w:val="22"/>
                <w:szCs w:val="22"/>
              </w:rPr>
              <w:t>144,903</w:t>
            </w:r>
          </w:p>
        </w:tc>
        <w:tc>
          <w:tcPr>
            <w:tcW w:w="894" w:type="pct"/>
            <w:tcBorders>
              <w:top w:val="nil"/>
              <w:left w:val="nil"/>
              <w:bottom w:val="nil"/>
              <w:right w:val="single" w:sz="8" w:space="0" w:color="auto"/>
            </w:tcBorders>
            <w:noWrap/>
            <w:vAlign w:val="center"/>
            <w:hideMark/>
          </w:tcPr>
          <w:p w14:paraId="51E4EFBA" w14:textId="77777777" w:rsidR="0075354F" w:rsidRPr="007A76D3" w:rsidRDefault="0075354F" w:rsidP="0075354F">
            <w:pPr>
              <w:jc w:val="right"/>
              <w:rPr>
                <w:rFonts w:cs="Arial"/>
                <w:color w:val="ED0000"/>
                <w:sz w:val="22"/>
                <w:szCs w:val="22"/>
              </w:rPr>
            </w:pPr>
            <w:r w:rsidRPr="007A76D3">
              <w:rPr>
                <w:rFonts w:cs="Arial"/>
                <w:color w:val="ED0000"/>
                <w:sz w:val="22"/>
                <w:szCs w:val="22"/>
              </w:rPr>
              <w:t>-74,451</w:t>
            </w:r>
          </w:p>
        </w:tc>
        <w:tc>
          <w:tcPr>
            <w:tcW w:w="975" w:type="pct"/>
            <w:tcBorders>
              <w:top w:val="nil"/>
              <w:left w:val="nil"/>
              <w:bottom w:val="nil"/>
              <w:right w:val="single" w:sz="8" w:space="0" w:color="auto"/>
            </w:tcBorders>
            <w:noWrap/>
            <w:vAlign w:val="center"/>
            <w:hideMark/>
          </w:tcPr>
          <w:p w14:paraId="56CD9C85"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70,452</w:t>
            </w:r>
          </w:p>
        </w:tc>
      </w:tr>
      <w:tr w:rsidR="0075354F" w:rsidRPr="0075354F" w14:paraId="76CB537C" w14:textId="77777777" w:rsidTr="0075354F">
        <w:trPr>
          <w:trHeight w:val="290"/>
        </w:trPr>
        <w:tc>
          <w:tcPr>
            <w:tcW w:w="569" w:type="pct"/>
            <w:tcBorders>
              <w:top w:val="nil"/>
              <w:left w:val="single" w:sz="8" w:space="0" w:color="auto"/>
              <w:bottom w:val="nil"/>
              <w:right w:val="nil"/>
            </w:tcBorders>
            <w:noWrap/>
            <w:vAlign w:val="center"/>
            <w:hideMark/>
          </w:tcPr>
          <w:p w14:paraId="2A5B3ECF" w14:textId="77777777" w:rsidR="0075354F" w:rsidRPr="0075354F" w:rsidRDefault="0075354F" w:rsidP="0075354F">
            <w:pPr>
              <w:jc w:val="right"/>
              <w:rPr>
                <w:rFonts w:cs="Arial"/>
                <w:color w:val="000000"/>
                <w:sz w:val="22"/>
                <w:szCs w:val="22"/>
              </w:rPr>
            </w:pPr>
            <w:r w:rsidRPr="0075354F">
              <w:rPr>
                <w:rFonts w:cs="Arial"/>
                <w:color w:val="000000"/>
                <w:sz w:val="22"/>
                <w:szCs w:val="22"/>
              </w:rPr>
              <w:t>80535</w:t>
            </w:r>
          </w:p>
        </w:tc>
        <w:tc>
          <w:tcPr>
            <w:tcW w:w="1525" w:type="pct"/>
            <w:tcBorders>
              <w:top w:val="nil"/>
              <w:left w:val="single" w:sz="8" w:space="0" w:color="auto"/>
              <w:bottom w:val="nil"/>
              <w:right w:val="nil"/>
            </w:tcBorders>
            <w:noWrap/>
            <w:vAlign w:val="center"/>
            <w:hideMark/>
          </w:tcPr>
          <w:p w14:paraId="09855D40" w14:textId="77777777" w:rsidR="0075354F" w:rsidRPr="0075354F" w:rsidRDefault="0075354F" w:rsidP="0075354F">
            <w:pPr>
              <w:rPr>
                <w:rFonts w:cs="Arial"/>
                <w:color w:val="000000"/>
                <w:sz w:val="22"/>
                <w:szCs w:val="22"/>
              </w:rPr>
            </w:pPr>
            <w:r w:rsidRPr="0075354F">
              <w:rPr>
                <w:rFonts w:cs="Arial"/>
                <w:color w:val="000000"/>
                <w:sz w:val="22"/>
                <w:szCs w:val="22"/>
              </w:rPr>
              <w:t>Morpeth</w:t>
            </w:r>
          </w:p>
        </w:tc>
        <w:tc>
          <w:tcPr>
            <w:tcW w:w="1038" w:type="pct"/>
            <w:tcBorders>
              <w:top w:val="nil"/>
              <w:left w:val="single" w:sz="8" w:space="0" w:color="auto"/>
              <w:bottom w:val="nil"/>
              <w:right w:val="single" w:sz="8" w:space="0" w:color="auto"/>
            </w:tcBorders>
            <w:noWrap/>
            <w:vAlign w:val="center"/>
            <w:hideMark/>
          </w:tcPr>
          <w:p w14:paraId="5C570FC1" w14:textId="77777777" w:rsidR="0075354F" w:rsidRPr="0075354F" w:rsidRDefault="0075354F" w:rsidP="0075354F">
            <w:pPr>
              <w:jc w:val="right"/>
              <w:rPr>
                <w:rFonts w:cs="Arial"/>
                <w:color w:val="000000"/>
                <w:sz w:val="22"/>
                <w:szCs w:val="22"/>
              </w:rPr>
            </w:pPr>
            <w:r w:rsidRPr="0075354F">
              <w:rPr>
                <w:rFonts w:cs="Arial"/>
                <w:color w:val="000000"/>
                <w:sz w:val="22"/>
                <w:szCs w:val="22"/>
              </w:rPr>
              <w:t>1,571,492</w:t>
            </w:r>
          </w:p>
        </w:tc>
        <w:tc>
          <w:tcPr>
            <w:tcW w:w="894" w:type="pct"/>
            <w:tcBorders>
              <w:top w:val="nil"/>
              <w:left w:val="nil"/>
              <w:bottom w:val="nil"/>
              <w:right w:val="single" w:sz="8" w:space="0" w:color="auto"/>
            </w:tcBorders>
            <w:noWrap/>
            <w:vAlign w:val="center"/>
            <w:hideMark/>
          </w:tcPr>
          <w:p w14:paraId="13043F19" w14:textId="77777777" w:rsidR="0075354F" w:rsidRPr="007A76D3" w:rsidRDefault="0075354F" w:rsidP="0075354F">
            <w:pPr>
              <w:jc w:val="right"/>
              <w:rPr>
                <w:rFonts w:cs="Arial"/>
                <w:color w:val="ED0000"/>
                <w:sz w:val="22"/>
                <w:szCs w:val="22"/>
              </w:rPr>
            </w:pPr>
            <w:r w:rsidRPr="007A76D3">
              <w:rPr>
                <w:rFonts w:cs="Arial"/>
                <w:color w:val="ED0000"/>
                <w:sz w:val="22"/>
                <w:szCs w:val="22"/>
              </w:rPr>
              <w:t>-181,799</w:t>
            </w:r>
          </w:p>
        </w:tc>
        <w:tc>
          <w:tcPr>
            <w:tcW w:w="975" w:type="pct"/>
            <w:tcBorders>
              <w:top w:val="nil"/>
              <w:left w:val="nil"/>
              <w:bottom w:val="nil"/>
              <w:right w:val="single" w:sz="8" w:space="0" w:color="auto"/>
            </w:tcBorders>
            <w:noWrap/>
            <w:vAlign w:val="center"/>
            <w:hideMark/>
          </w:tcPr>
          <w:p w14:paraId="24F56FB6"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1,389,693</w:t>
            </w:r>
          </w:p>
        </w:tc>
      </w:tr>
      <w:tr w:rsidR="0075354F" w:rsidRPr="0075354F" w14:paraId="192D5A01" w14:textId="77777777" w:rsidTr="0075354F">
        <w:trPr>
          <w:trHeight w:val="290"/>
        </w:trPr>
        <w:tc>
          <w:tcPr>
            <w:tcW w:w="569" w:type="pct"/>
            <w:tcBorders>
              <w:top w:val="nil"/>
              <w:left w:val="single" w:sz="8" w:space="0" w:color="auto"/>
              <w:bottom w:val="nil"/>
              <w:right w:val="nil"/>
            </w:tcBorders>
            <w:noWrap/>
            <w:vAlign w:val="center"/>
            <w:hideMark/>
          </w:tcPr>
          <w:p w14:paraId="714EA8FD" w14:textId="77777777" w:rsidR="0075354F" w:rsidRPr="0075354F" w:rsidRDefault="0075354F" w:rsidP="0075354F">
            <w:pPr>
              <w:jc w:val="right"/>
              <w:rPr>
                <w:rFonts w:cs="Arial"/>
                <w:color w:val="000000"/>
                <w:sz w:val="22"/>
                <w:szCs w:val="22"/>
              </w:rPr>
            </w:pPr>
            <w:r w:rsidRPr="0075354F">
              <w:rPr>
                <w:rFonts w:cs="Arial"/>
                <w:color w:val="000000"/>
                <w:sz w:val="22"/>
                <w:szCs w:val="22"/>
              </w:rPr>
              <w:t>80230</w:t>
            </w:r>
          </w:p>
        </w:tc>
        <w:tc>
          <w:tcPr>
            <w:tcW w:w="1525" w:type="pct"/>
            <w:tcBorders>
              <w:top w:val="nil"/>
              <w:left w:val="single" w:sz="8" w:space="0" w:color="auto"/>
              <w:bottom w:val="nil"/>
              <w:right w:val="nil"/>
            </w:tcBorders>
            <w:noWrap/>
            <w:vAlign w:val="center"/>
            <w:hideMark/>
          </w:tcPr>
          <w:p w14:paraId="71B5F64E" w14:textId="77777777" w:rsidR="0075354F" w:rsidRPr="0075354F" w:rsidRDefault="0075354F" w:rsidP="0075354F">
            <w:pPr>
              <w:rPr>
                <w:rFonts w:cs="Arial"/>
                <w:color w:val="000000"/>
                <w:sz w:val="22"/>
                <w:szCs w:val="22"/>
              </w:rPr>
            </w:pPr>
            <w:r w:rsidRPr="0075354F">
              <w:rPr>
                <w:rFonts w:cs="Arial"/>
                <w:color w:val="000000"/>
                <w:sz w:val="22"/>
                <w:szCs w:val="22"/>
              </w:rPr>
              <w:t>Mowlem</w:t>
            </w:r>
          </w:p>
        </w:tc>
        <w:tc>
          <w:tcPr>
            <w:tcW w:w="1038" w:type="pct"/>
            <w:tcBorders>
              <w:top w:val="nil"/>
              <w:left w:val="single" w:sz="8" w:space="0" w:color="auto"/>
              <w:bottom w:val="nil"/>
              <w:right w:val="single" w:sz="8" w:space="0" w:color="auto"/>
            </w:tcBorders>
            <w:noWrap/>
            <w:vAlign w:val="center"/>
            <w:hideMark/>
          </w:tcPr>
          <w:p w14:paraId="6CB70D0A" w14:textId="77777777" w:rsidR="0075354F" w:rsidRPr="007A76D3" w:rsidRDefault="0075354F" w:rsidP="0075354F">
            <w:pPr>
              <w:jc w:val="right"/>
              <w:rPr>
                <w:rFonts w:cs="Arial"/>
                <w:color w:val="ED0000"/>
                <w:sz w:val="22"/>
                <w:szCs w:val="22"/>
              </w:rPr>
            </w:pPr>
            <w:r w:rsidRPr="007A76D3">
              <w:rPr>
                <w:rFonts w:cs="Arial"/>
                <w:color w:val="ED0000"/>
                <w:sz w:val="22"/>
                <w:szCs w:val="22"/>
              </w:rPr>
              <w:t>-26,992</w:t>
            </w:r>
          </w:p>
        </w:tc>
        <w:tc>
          <w:tcPr>
            <w:tcW w:w="894" w:type="pct"/>
            <w:tcBorders>
              <w:top w:val="nil"/>
              <w:left w:val="nil"/>
              <w:bottom w:val="nil"/>
              <w:right w:val="single" w:sz="8" w:space="0" w:color="auto"/>
            </w:tcBorders>
            <w:noWrap/>
            <w:vAlign w:val="center"/>
            <w:hideMark/>
          </w:tcPr>
          <w:p w14:paraId="457C1877" w14:textId="77777777" w:rsidR="0075354F" w:rsidRPr="007A76D3" w:rsidRDefault="0075354F" w:rsidP="0075354F">
            <w:pPr>
              <w:jc w:val="right"/>
              <w:rPr>
                <w:rFonts w:cs="Arial"/>
                <w:color w:val="ED0000"/>
                <w:sz w:val="22"/>
                <w:szCs w:val="22"/>
              </w:rPr>
            </w:pPr>
            <w:r w:rsidRPr="007A76D3">
              <w:rPr>
                <w:rFonts w:cs="Arial"/>
                <w:color w:val="ED0000"/>
                <w:sz w:val="22"/>
                <w:szCs w:val="22"/>
              </w:rPr>
              <w:t>-65,133</w:t>
            </w:r>
          </w:p>
        </w:tc>
        <w:tc>
          <w:tcPr>
            <w:tcW w:w="975" w:type="pct"/>
            <w:tcBorders>
              <w:top w:val="nil"/>
              <w:left w:val="nil"/>
              <w:bottom w:val="nil"/>
              <w:right w:val="single" w:sz="8" w:space="0" w:color="auto"/>
            </w:tcBorders>
            <w:noWrap/>
            <w:vAlign w:val="center"/>
            <w:hideMark/>
          </w:tcPr>
          <w:p w14:paraId="44C3735C" w14:textId="77777777" w:rsidR="0075354F" w:rsidRPr="007A76D3" w:rsidRDefault="0075354F" w:rsidP="0075354F">
            <w:pPr>
              <w:jc w:val="right"/>
              <w:rPr>
                <w:rFonts w:ascii="Aptos Narrow" w:hAnsi="Aptos Narrow"/>
                <w:color w:val="ED0000"/>
                <w:sz w:val="22"/>
                <w:szCs w:val="22"/>
              </w:rPr>
            </w:pPr>
            <w:r w:rsidRPr="007A76D3">
              <w:rPr>
                <w:rFonts w:ascii="Aptos Narrow" w:hAnsi="Aptos Narrow"/>
                <w:color w:val="ED0000"/>
                <w:sz w:val="22"/>
                <w:szCs w:val="22"/>
              </w:rPr>
              <w:t>-92,125</w:t>
            </w:r>
          </w:p>
        </w:tc>
      </w:tr>
      <w:tr w:rsidR="0075354F" w:rsidRPr="0075354F" w14:paraId="4BD0F745" w14:textId="77777777" w:rsidTr="0075354F">
        <w:trPr>
          <w:trHeight w:val="290"/>
        </w:trPr>
        <w:tc>
          <w:tcPr>
            <w:tcW w:w="569" w:type="pct"/>
            <w:tcBorders>
              <w:top w:val="nil"/>
              <w:left w:val="single" w:sz="8" w:space="0" w:color="auto"/>
              <w:bottom w:val="nil"/>
              <w:right w:val="nil"/>
            </w:tcBorders>
            <w:noWrap/>
            <w:vAlign w:val="center"/>
            <w:hideMark/>
          </w:tcPr>
          <w:p w14:paraId="7BE29A12" w14:textId="77777777" w:rsidR="0075354F" w:rsidRPr="0075354F" w:rsidRDefault="0075354F" w:rsidP="0075354F">
            <w:pPr>
              <w:jc w:val="right"/>
              <w:rPr>
                <w:rFonts w:cs="Arial"/>
                <w:color w:val="000000"/>
                <w:sz w:val="22"/>
                <w:szCs w:val="22"/>
              </w:rPr>
            </w:pPr>
            <w:r w:rsidRPr="0075354F">
              <w:rPr>
                <w:rFonts w:cs="Arial"/>
                <w:color w:val="000000"/>
                <w:sz w:val="22"/>
                <w:szCs w:val="22"/>
              </w:rPr>
              <w:t>80545</w:t>
            </w:r>
          </w:p>
        </w:tc>
        <w:tc>
          <w:tcPr>
            <w:tcW w:w="1525" w:type="pct"/>
            <w:tcBorders>
              <w:top w:val="nil"/>
              <w:left w:val="single" w:sz="8" w:space="0" w:color="auto"/>
              <w:bottom w:val="nil"/>
              <w:right w:val="nil"/>
            </w:tcBorders>
            <w:noWrap/>
            <w:vAlign w:val="center"/>
            <w:hideMark/>
          </w:tcPr>
          <w:p w14:paraId="3F3DB035" w14:textId="77777777" w:rsidR="0075354F" w:rsidRPr="0075354F" w:rsidRDefault="0075354F" w:rsidP="0075354F">
            <w:pPr>
              <w:rPr>
                <w:rFonts w:cs="Arial"/>
                <w:color w:val="000000"/>
                <w:sz w:val="22"/>
                <w:szCs w:val="22"/>
              </w:rPr>
            </w:pPr>
            <w:r w:rsidRPr="0075354F">
              <w:rPr>
                <w:rFonts w:cs="Arial"/>
                <w:color w:val="000000"/>
                <w:sz w:val="22"/>
                <w:szCs w:val="22"/>
              </w:rPr>
              <w:t>Oaklands</w:t>
            </w:r>
          </w:p>
        </w:tc>
        <w:tc>
          <w:tcPr>
            <w:tcW w:w="1038" w:type="pct"/>
            <w:tcBorders>
              <w:top w:val="nil"/>
              <w:left w:val="single" w:sz="8" w:space="0" w:color="auto"/>
              <w:bottom w:val="nil"/>
              <w:right w:val="single" w:sz="8" w:space="0" w:color="auto"/>
            </w:tcBorders>
            <w:noWrap/>
            <w:vAlign w:val="center"/>
            <w:hideMark/>
          </w:tcPr>
          <w:p w14:paraId="3C9DAAE9" w14:textId="77777777" w:rsidR="0075354F" w:rsidRPr="0075354F" w:rsidRDefault="0075354F" w:rsidP="0075354F">
            <w:pPr>
              <w:jc w:val="right"/>
              <w:rPr>
                <w:rFonts w:cs="Arial"/>
                <w:color w:val="000000"/>
                <w:sz w:val="22"/>
                <w:szCs w:val="22"/>
              </w:rPr>
            </w:pPr>
            <w:r w:rsidRPr="0075354F">
              <w:rPr>
                <w:rFonts w:cs="Arial"/>
                <w:color w:val="000000"/>
                <w:sz w:val="22"/>
                <w:szCs w:val="22"/>
              </w:rPr>
              <w:t>302,382</w:t>
            </w:r>
          </w:p>
        </w:tc>
        <w:tc>
          <w:tcPr>
            <w:tcW w:w="894" w:type="pct"/>
            <w:tcBorders>
              <w:top w:val="nil"/>
              <w:left w:val="nil"/>
              <w:bottom w:val="nil"/>
              <w:right w:val="single" w:sz="8" w:space="0" w:color="auto"/>
            </w:tcBorders>
            <w:noWrap/>
            <w:vAlign w:val="center"/>
            <w:hideMark/>
          </w:tcPr>
          <w:p w14:paraId="07B27554" w14:textId="77777777" w:rsidR="0075354F" w:rsidRPr="0075354F" w:rsidRDefault="0075354F" w:rsidP="0075354F">
            <w:pPr>
              <w:jc w:val="right"/>
              <w:rPr>
                <w:rFonts w:cs="Arial"/>
                <w:color w:val="000000"/>
                <w:sz w:val="22"/>
                <w:szCs w:val="22"/>
              </w:rPr>
            </w:pPr>
            <w:r w:rsidRPr="0075354F">
              <w:rPr>
                <w:rFonts w:cs="Arial"/>
                <w:color w:val="000000"/>
                <w:sz w:val="22"/>
                <w:szCs w:val="22"/>
              </w:rPr>
              <w:t>238,146</w:t>
            </w:r>
          </w:p>
        </w:tc>
        <w:tc>
          <w:tcPr>
            <w:tcW w:w="975" w:type="pct"/>
            <w:tcBorders>
              <w:top w:val="nil"/>
              <w:left w:val="nil"/>
              <w:bottom w:val="nil"/>
              <w:right w:val="single" w:sz="8" w:space="0" w:color="auto"/>
            </w:tcBorders>
            <w:noWrap/>
            <w:vAlign w:val="center"/>
            <w:hideMark/>
          </w:tcPr>
          <w:p w14:paraId="644BD255"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540,528</w:t>
            </w:r>
          </w:p>
        </w:tc>
      </w:tr>
      <w:tr w:rsidR="0075354F" w:rsidRPr="0075354F" w14:paraId="4F12D299" w14:textId="77777777" w:rsidTr="0075354F">
        <w:trPr>
          <w:trHeight w:val="290"/>
        </w:trPr>
        <w:tc>
          <w:tcPr>
            <w:tcW w:w="569" w:type="pct"/>
            <w:tcBorders>
              <w:top w:val="nil"/>
              <w:left w:val="single" w:sz="8" w:space="0" w:color="auto"/>
              <w:bottom w:val="nil"/>
              <w:right w:val="nil"/>
            </w:tcBorders>
            <w:noWrap/>
            <w:vAlign w:val="center"/>
            <w:hideMark/>
          </w:tcPr>
          <w:p w14:paraId="2AAAFD97" w14:textId="77777777" w:rsidR="0075354F" w:rsidRPr="0075354F" w:rsidRDefault="0075354F" w:rsidP="0075354F">
            <w:pPr>
              <w:jc w:val="right"/>
              <w:rPr>
                <w:rFonts w:cs="Arial"/>
                <w:color w:val="000000"/>
                <w:sz w:val="22"/>
                <w:szCs w:val="22"/>
              </w:rPr>
            </w:pPr>
            <w:r w:rsidRPr="0075354F">
              <w:rPr>
                <w:rFonts w:cs="Arial"/>
                <w:color w:val="000000"/>
                <w:sz w:val="22"/>
                <w:szCs w:val="22"/>
              </w:rPr>
              <w:lastRenderedPageBreak/>
              <w:t>80245</w:t>
            </w:r>
          </w:p>
        </w:tc>
        <w:tc>
          <w:tcPr>
            <w:tcW w:w="1525" w:type="pct"/>
            <w:tcBorders>
              <w:top w:val="nil"/>
              <w:left w:val="single" w:sz="8" w:space="0" w:color="auto"/>
              <w:bottom w:val="nil"/>
              <w:right w:val="nil"/>
            </w:tcBorders>
            <w:noWrap/>
            <w:vAlign w:val="center"/>
            <w:hideMark/>
          </w:tcPr>
          <w:p w14:paraId="7CCF566E" w14:textId="77777777" w:rsidR="0075354F" w:rsidRPr="0075354F" w:rsidRDefault="0075354F" w:rsidP="0075354F">
            <w:pPr>
              <w:rPr>
                <w:rFonts w:cs="Arial"/>
                <w:color w:val="000000"/>
                <w:sz w:val="22"/>
                <w:szCs w:val="22"/>
              </w:rPr>
            </w:pPr>
            <w:r w:rsidRPr="0075354F">
              <w:rPr>
                <w:rFonts w:cs="Arial"/>
                <w:color w:val="000000"/>
                <w:sz w:val="22"/>
                <w:szCs w:val="22"/>
              </w:rPr>
              <w:t>Old Palace</w:t>
            </w:r>
          </w:p>
        </w:tc>
        <w:tc>
          <w:tcPr>
            <w:tcW w:w="1038" w:type="pct"/>
            <w:tcBorders>
              <w:top w:val="nil"/>
              <w:left w:val="single" w:sz="8" w:space="0" w:color="auto"/>
              <w:bottom w:val="nil"/>
              <w:right w:val="single" w:sz="8" w:space="0" w:color="auto"/>
            </w:tcBorders>
            <w:noWrap/>
            <w:vAlign w:val="center"/>
            <w:hideMark/>
          </w:tcPr>
          <w:p w14:paraId="3933AC3A" w14:textId="77777777" w:rsidR="0075354F" w:rsidRPr="0075354F" w:rsidRDefault="0075354F" w:rsidP="0075354F">
            <w:pPr>
              <w:jc w:val="right"/>
              <w:rPr>
                <w:rFonts w:cs="Arial"/>
                <w:color w:val="000000"/>
                <w:sz w:val="22"/>
                <w:szCs w:val="22"/>
              </w:rPr>
            </w:pPr>
            <w:r w:rsidRPr="0075354F">
              <w:rPr>
                <w:rFonts w:cs="Arial"/>
                <w:color w:val="000000"/>
                <w:sz w:val="22"/>
                <w:szCs w:val="22"/>
              </w:rPr>
              <w:t>563,463</w:t>
            </w:r>
          </w:p>
        </w:tc>
        <w:tc>
          <w:tcPr>
            <w:tcW w:w="894" w:type="pct"/>
            <w:tcBorders>
              <w:top w:val="nil"/>
              <w:left w:val="nil"/>
              <w:bottom w:val="nil"/>
              <w:right w:val="single" w:sz="8" w:space="0" w:color="auto"/>
            </w:tcBorders>
            <w:noWrap/>
            <w:vAlign w:val="center"/>
            <w:hideMark/>
          </w:tcPr>
          <w:p w14:paraId="0E630710" w14:textId="77777777" w:rsidR="0075354F" w:rsidRPr="007A76D3" w:rsidRDefault="0075354F" w:rsidP="0075354F">
            <w:pPr>
              <w:jc w:val="right"/>
              <w:rPr>
                <w:rFonts w:cs="Arial"/>
                <w:color w:val="ED0000"/>
                <w:sz w:val="22"/>
                <w:szCs w:val="22"/>
              </w:rPr>
            </w:pPr>
            <w:r w:rsidRPr="007A76D3">
              <w:rPr>
                <w:rFonts w:cs="Arial"/>
                <w:color w:val="ED0000"/>
                <w:sz w:val="22"/>
                <w:szCs w:val="22"/>
              </w:rPr>
              <w:t>-33,063</w:t>
            </w:r>
          </w:p>
        </w:tc>
        <w:tc>
          <w:tcPr>
            <w:tcW w:w="975" w:type="pct"/>
            <w:tcBorders>
              <w:top w:val="nil"/>
              <w:left w:val="nil"/>
              <w:bottom w:val="nil"/>
              <w:right w:val="single" w:sz="8" w:space="0" w:color="auto"/>
            </w:tcBorders>
            <w:noWrap/>
            <w:vAlign w:val="center"/>
            <w:hideMark/>
          </w:tcPr>
          <w:p w14:paraId="0812AA10"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530,400</w:t>
            </w:r>
          </w:p>
        </w:tc>
      </w:tr>
      <w:tr w:rsidR="0075354F" w:rsidRPr="0075354F" w14:paraId="56E1808E" w14:textId="77777777" w:rsidTr="0075354F">
        <w:trPr>
          <w:trHeight w:val="290"/>
        </w:trPr>
        <w:tc>
          <w:tcPr>
            <w:tcW w:w="569" w:type="pct"/>
            <w:tcBorders>
              <w:top w:val="nil"/>
              <w:left w:val="single" w:sz="8" w:space="0" w:color="auto"/>
              <w:bottom w:val="nil"/>
              <w:right w:val="nil"/>
            </w:tcBorders>
            <w:noWrap/>
            <w:vAlign w:val="center"/>
            <w:hideMark/>
          </w:tcPr>
          <w:p w14:paraId="2026068F" w14:textId="77777777" w:rsidR="0075354F" w:rsidRPr="0075354F" w:rsidRDefault="0075354F" w:rsidP="0075354F">
            <w:pPr>
              <w:jc w:val="right"/>
              <w:rPr>
                <w:rFonts w:cs="Arial"/>
                <w:color w:val="000000"/>
                <w:sz w:val="22"/>
                <w:szCs w:val="22"/>
              </w:rPr>
            </w:pPr>
            <w:r w:rsidRPr="0075354F">
              <w:rPr>
                <w:rFonts w:cs="Arial"/>
                <w:color w:val="000000"/>
                <w:sz w:val="22"/>
                <w:szCs w:val="22"/>
              </w:rPr>
              <w:t>80250</w:t>
            </w:r>
          </w:p>
        </w:tc>
        <w:tc>
          <w:tcPr>
            <w:tcW w:w="1525" w:type="pct"/>
            <w:tcBorders>
              <w:top w:val="nil"/>
              <w:left w:val="single" w:sz="8" w:space="0" w:color="auto"/>
              <w:bottom w:val="nil"/>
              <w:right w:val="nil"/>
            </w:tcBorders>
            <w:noWrap/>
            <w:vAlign w:val="center"/>
            <w:hideMark/>
          </w:tcPr>
          <w:p w14:paraId="6DD660A8" w14:textId="77777777" w:rsidR="0075354F" w:rsidRPr="0075354F" w:rsidRDefault="0075354F" w:rsidP="0075354F">
            <w:pPr>
              <w:rPr>
                <w:rFonts w:cs="Arial"/>
                <w:color w:val="000000"/>
                <w:sz w:val="22"/>
                <w:szCs w:val="22"/>
              </w:rPr>
            </w:pPr>
            <w:r w:rsidRPr="0075354F">
              <w:rPr>
                <w:rFonts w:cs="Arial"/>
                <w:color w:val="000000"/>
                <w:sz w:val="22"/>
                <w:szCs w:val="22"/>
              </w:rPr>
              <w:t>Olga</w:t>
            </w:r>
          </w:p>
        </w:tc>
        <w:tc>
          <w:tcPr>
            <w:tcW w:w="1038" w:type="pct"/>
            <w:tcBorders>
              <w:top w:val="nil"/>
              <w:left w:val="single" w:sz="8" w:space="0" w:color="auto"/>
              <w:bottom w:val="nil"/>
              <w:right w:val="single" w:sz="8" w:space="0" w:color="auto"/>
            </w:tcBorders>
            <w:noWrap/>
            <w:vAlign w:val="center"/>
            <w:hideMark/>
          </w:tcPr>
          <w:p w14:paraId="5446FC86" w14:textId="77777777" w:rsidR="0075354F" w:rsidRPr="007A76D3" w:rsidRDefault="0075354F" w:rsidP="0075354F">
            <w:pPr>
              <w:jc w:val="right"/>
              <w:rPr>
                <w:rFonts w:cs="Arial"/>
                <w:color w:val="ED0000"/>
                <w:sz w:val="22"/>
                <w:szCs w:val="22"/>
              </w:rPr>
            </w:pPr>
            <w:r w:rsidRPr="007A76D3">
              <w:rPr>
                <w:rFonts w:cs="Arial"/>
                <w:color w:val="ED0000"/>
                <w:sz w:val="22"/>
                <w:szCs w:val="22"/>
              </w:rPr>
              <w:t>-173,024</w:t>
            </w:r>
          </w:p>
        </w:tc>
        <w:tc>
          <w:tcPr>
            <w:tcW w:w="894" w:type="pct"/>
            <w:tcBorders>
              <w:top w:val="nil"/>
              <w:left w:val="nil"/>
              <w:bottom w:val="nil"/>
              <w:right w:val="single" w:sz="8" w:space="0" w:color="auto"/>
            </w:tcBorders>
            <w:noWrap/>
            <w:vAlign w:val="center"/>
            <w:hideMark/>
          </w:tcPr>
          <w:p w14:paraId="4252854F" w14:textId="77777777" w:rsidR="0075354F" w:rsidRPr="007A76D3" w:rsidRDefault="0075354F" w:rsidP="0075354F">
            <w:pPr>
              <w:jc w:val="right"/>
              <w:rPr>
                <w:rFonts w:cs="Arial"/>
                <w:color w:val="ED0000"/>
                <w:sz w:val="22"/>
                <w:szCs w:val="22"/>
              </w:rPr>
            </w:pPr>
            <w:r w:rsidRPr="007A76D3">
              <w:rPr>
                <w:rFonts w:cs="Arial"/>
                <w:color w:val="ED0000"/>
                <w:sz w:val="22"/>
                <w:szCs w:val="22"/>
              </w:rPr>
              <w:t>-100,649</w:t>
            </w:r>
          </w:p>
        </w:tc>
        <w:tc>
          <w:tcPr>
            <w:tcW w:w="975" w:type="pct"/>
            <w:tcBorders>
              <w:top w:val="nil"/>
              <w:left w:val="nil"/>
              <w:bottom w:val="nil"/>
              <w:right w:val="single" w:sz="8" w:space="0" w:color="auto"/>
            </w:tcBorders>
            <w:noWrap/>
            <w:vAlign w:val="center"/>
            <w:hideMark/>
          </w:tcPr>
          <w:p w14:paraId="72D0FF5D" w14:textId="77777777" w:rsidR="0075354F" w:rsidRPr="007A76D3" w:rsidRDefault="0075354F" w:rsidP="0075354F">
            <w:pPr>
              <w:jc w:val="right"/>
              <w:rPr>
                <w:rFonts w:ascii="Aptos Narrow" w:hAnsi="Aptos Narrow"/>
                <w:color w:val="ED0000"/>
                <w:sz w:val="22"/>
                <w:szCs w:val="22"/>
              </w:rPr>
            </w:pPr>
            <w:r w:rsidRPr="007A76D3">
              <w:rPr>
                <w:rFonts w:ascii="Aptos Narrow" w:hAnsi="Aptos Narrow"/>
                <w:color w:val="ED0000"/>
                <w:sz w:val="22"/>
                <w:szCs w:val="22"/>
              </w:rPr>
              <w:t>-273,673</w:t>
            </w:r>
          </w:p>
        </w:tc>
      </w:tr>
      <w:tr w:rsidR="0075354F" w:rsidRPr="0075354F" w14:paraId="6B2E8FDC" w14:textId="77777777" w:rsidTr="0075354F">
        <w:trPr>
          <w:trHeight w:val="290"/>
        </w:trPr>
        <w:tc>
          <w:tcPr>
            <w:tcW w:w="569" w:type="pct"/>
            <w:tcBorders>
              <w:top w:val="nil"/>
              <w:left w:val="single" w:sz="8" w:space="0" w:color="auto"/>
              <w:bottom w:val="nil"/>
              <w:right w:val="nil"/>
            </w:tcBorders>
            <w:noWrap/>
            <w:vAlign w:val="center"/>
            <w:hideMark/>
          </w:tcPr>
          <w:p w14:paraId="240DA579" w14:textId="77777777" w:rsidR="0075354F" w:rsidRPr="0075354F" w:rsidRDefault="0075354F" w:rsidP="0075354F">
            <w:pPr>
              <w:jc w:val="right"/>
              <w:rPr>
                <w:rFonts w:cs="Arial"/>
                <w:color w:val="000000"/>
                <w:sz w:val="22"/>
                <w:szCs w:val="22"/>
              </w:rPr>
            </w:pPr>
            <w:r w:rsidRPr="0075354F">
              <w:rPr>
                <w:rFonts w:cs="Arial"/>
                <w:color w:val="000000"/>
                <w:sz w:val="22"/>
                <w:szCs w:val="22"/>
              </w:rPr>
              <w:t>80255</w:t>
            </w:r>
          </w:p>
        </w:tc>
        <w:tc>
          <w:tcPr>
            <w:tcW w:w="1525" w:type="pct"/>
            <w:tcBorders>
              <w:top w:val="nil"/>
              <w:left w:val="single" w:sz="8" w:space="0" w:color="auto"/>
              <w:bottom w:val="nil"/>
              <w:right w:val="nil"/>
            </w:tcBorders>
            <w:noWrap/>
            <w:vAlign w:val="center"/>
            <w:hideMark/>
          </w:tcPr>
          <w:p w14:paraId="3A91DD49" w14:textId="77777777" w:rsidR="0075354F" w:rsidRPr="0075354F" w:rsidRDefault="0075354F" w:rsidP="0075354F">
            <w:pPr>
              <w:rPr>
                <w:rFonts w:cs="Arial"/>
                <w:color w:val="000000"/>
                <w:sz w:val="22"/>
                <w:szCs w:val="22"/>
              </w:rPr>
            </w:pPr>
            <w:r w:rsidRPr="0075354F">
              <w:rPr>
                <w:rFonts w:cs="Arial"/>
                <w:color w:val="000000"/>
                <w:sz w:val="22"/>
                <w:szCs w:val="22"/>
              </w:rPr>
              <w:t>Osmani</w:t>
            </w:r>
          </w:p>
        </w:tc>
        <w:tc>
          <w:tcPr>
            <w:tcW w:w="1038" w:type="pct"/>
            <w:tcBorders>
              <w:top w:val="nil"/>
              <w:left w:val="single" w:sz="8" w:space="0" w:color="auto"/>
              <w:bottom w:val="nil"/>
              <w:right w:val="single" w:sz="8" w:space="0" w:color="auto"/>
            </w:tcBorders>
            <w:noWrap/>
            <w:vAlign w:val="center"/>
            <w:hideMark/>
          </w:tcPr>
          <w:p w14:paraId="08E31A8E" w14:textId="77777777" w:rsidR="0075354F" w:rsidRPr="0075354F" w:rsidRDefault="0075354F" w:rsidP="0075354F">
            <w:pPr>
              <w:jc w:val="right"/>
              <w:rPr>
                <w:rFonts w:cs="Arial"/>
                <w:color w:val="000000"/>
                <w:sz w:val="22"/>
                <w:szCs w:val="22"/>
              </w:rPr>
            </w:pPr>
            <w:r w:rsidRPr="0075354F">
              <w:rPr>
                <w:rFonts w:cs="Arial"/>
                <w:color w:val="000000"/>
                <w:sz w:val="22"/>
                <w:szCs w:val="22"/>
              </w:rPr>
              <w:t>317,513</w:t>
            </w:r>
          </w:p>
        </w:tc>
        <w:tc>
          <w:tcPr>
            <w:tcW w:w="894" w:type="pct"/>
            <w:tcBorders>
              <w:top w:val="nil"/>
              <w:left w:val="nil"/>
              <w:bottom w:val="nil"/>
              <w:right w:val="single" w:sz="8" w:space="0" w:color="auto"/>
            </w:tcBorders>
            <w:noWrap/>
            <w:vAlign w:val="center"/>
            <w:hideMark/>
          </w:tcPr>
          <w:p w14:paraId="0B7E75AF" w14:textId="77777777" w:rsidR="0075354F" w:rsidRPr="007A76D3" w:rsidRDefault="0075354F" w:rsidP="0075354F">
            <w:pPr>
              <w:jc w:val="right"/>
              <w:rPr>
                <w:rFonts w:cs="Arial"/>
                <w:color w:val="ED0000"/>
                <w:sz w:val="22"/>
                <w:szCs w:val="22"/>
              </w:rPr>
            </w:pPr>
            <w:r w:rsidRPr="007A76D3">
              <w:rPr>
                <w:rFonts w:cs="Arial"/>
                <w:color w:val="ED0000"/>
                <w:sz w:val="22"/>
                <w:szCs w:val="22"/>
              </w:rPr>
              <w:t>-117,302</w:t>
            </w:r>
          </w:p>
        </w:tc>
        <w:tc>
          <w:tcPr>
            <w:tcW w:w="975" w:type="pct"/>
            <w:tcBorders>
              <w:top w:val="nil"/>
              <w:left w:val="nil"/>
              <w:bottom w:val="nil"/>
              <w:right w:val="single" w:sz="8" w:space="0" w:color="auto"/>
            </w:tcBorders>
            <w:noWrap/>
            <w:vAlign w:val="center"/>
            <w:hideMark/>
          </w:tcPr>
          <w:p w14:paraId="0D75619E"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200,212</w:t>
            </w:r>
          </w:p>
        </w:tc>
      </w:tr>
      <w:tr w:rsidR="0075354F" w:rsidRPr="0075354F" w14:paraId="2ACB3DCF" w14:textId="77777777" w:rsidTr="0075354F">
        <w:trPr>
          <w:trHeight w:val="290"/>
        </w:trPr>
        <w:tc>
          <w:tcPr>
            <w:tcW w:w="569" w:type="pct"/>
            <w:tcBorders>
              <w:top w:val="nil"/>
              <w:left w:val="single" w:sz="8" w:space="0" w:color="auto"/>
              <w:bottom w:val="nil"/>
              <w:right w:val="nil"/>
            </w:tcBorders>
            <w:noWrap/>
            <w:vAlign w:val="center"/>
            <w:hideMark/>
          </w:tcPr>
          <w:p w14:paraId="7451E43A" w14:textId="77777777" w:rsidR="0075354F" w:rsidRPr="0075354F" w:rsidRDefault="0075354F" w:rsidP="0075354F">
            <w:pPr>
              <w:jc w:val="right"/>
              <w:rPr>
                <w:rFonts w:cs="Arial"/>
                <w:color w:val="000000"/>
                <w:sz w:val="22"/>
                <w:szCs w:val="22"/>
              </w:rPr>
            </w:pPr>
            <w:r w:rsidRPr="0075354F">
              <w:rPr>
                <w:rFonts w:cs="Arial"/>
                <w:color w:val="000000"/>
                <w:sz w:val="22"/>
                <w:szCs w:val="22"/>
              </w:rPr>
              <w:t>80186</w:t>
            </w:r>
          </w:p>
        </w:tc>
        <w:tc>
          <w:tcPr>
            <w:tcW w:w="1525" w:type="pct"/>
            <w:tcBorders>
              <w:top w:val="nil"/>
              <w:left w:val="single" w:sz="8" w:space="0" w:color="auto"/>
              <w:bottom w:val="nil"/>
              <w:right w:val="nil"/>
            </w:tcBorders>
            <w:noWrap/>
            <w:vAlign w:val="center"/>
            <w:hideMark/>
          </w:tcPr>
          <w:p w14:paraId="04AD8846" w14:textId="77777777" w:rsidR="0075354F" w:rsidRPr="0075354F" w:rsidRDefault="0075354F" w:rsidP="0075354F">
            <w:pPr>
              <w:rPr>
                <w:rFonts w:cs="Arial"/>
                <w:color w:val="000000"/>
                <w:sz w:val="22"/>
                <w:szCs w:val="22"/>
              </w:rPr>
            </w:pPr>
            <w:r w:rsidRPr="0075354F">
              <w:rPr>
                <w:rFonts w:cs="Arial"/>
                <w:color w:val="000000"/>
                <w:sz w:val="22"/>
                <w:szCs w:val="22"/>
              </w:rPr>
              <w:t xml:space="preserve">Our Lady &amp; St Joseph </w:t>
            </w:r>
          </w:p>
        </w:tc>
        <w:tc>
          <w:tcPr>
            <w:tcW w:w="1038" w:type="pct"/>
            <w:tcBorders>
              <w:top w:val="nil"/>
              <w:left w:val="single" w:sz="8" w:space="0" w:color="auto"/>
              <w:bottom w:val="nil"/>
              <w:right w:val="single" w:sz="8" w:space="0" w:color="auto"/>
            </w:tcBorders>
            <w:noWrap/>
            <w:vAlign w:val="center"/>
            <w:hideMark/>
          </w:tcPr>
          <w:p w14:paraId="10519B02" w14:textId="77777777" w:rsidR="0075354F" w:rsidRPr="0075354F" w:rsidRDefault="0075354F" w:rsidP="0075354F">
            <w:pPr>
              <w:jc w:val="right"/>
              <w:rPr>
                <w:rFonts w:cs="Arial"/>
                <w:color w:val="000000"/>
                <w:sz w:val="22"/>
                <w:szCs w:val="22"/>
              </w:rPr>
            </w:pPr>
            <w:r w:rsidRPr="0075354F">
              <w:rPr>
                <w:rFonts w:cs="Arial"/>
                <w:color w:val="000000"/>
                <w:sz w:val="22"/>
                <w:szCs w:val="22"/>
              </w:rPr>
              <w:t>332,193</w:t>
            </w:r>
          </w:p>
        </w:tc>
        <w:tc>
          <w:tcPr>
            <w:tcW w:w="894" w:type="pct"/>
            <w:tcBorders>
              <w:top w:val="nil"/>
              <w:left w:val="nil"/>
              <w:bottom w:val="nil"/>
              <w:right w:val="single" w:sz="8" w:space="0" w:color="auto"/>
            </w:tcBorders>
            <w:noWrap/>
            <w:vAlign w:val="center"/>
            <w:hideMark/>
          </w:tcPr>
          <w:p w14:paraId="25B44A55" w14:textId="77777777" w:rsidR="0075354F" w:rsidRPr="0075354F" w:rsidRDefault="0075354F" w:rsidP="0075354F">
            <w:pPr>
              <w:jc w:val="right"/>
              <w:rPr>
                <w:rFonts w:cs="Arial"/>
                <w:color w:val="000000"/>
                <w:sz w:val="22"/>
                <w:szCs w:val="22"/>
              </w:rPr>
            </w:pPr>
            <w:r w:rsidRPr="0075354F">
              <w:rPr>
                <w:rFonts w:cs="Arial"/>
                <w:color w:val="000000"/>
                <w:sz w:val="22"/>
                <w:szCs w:val="22"/>
              </w:rPr>
              <w:t>185,232</w:t>
            </w:r>
          </w:p>
        </w:tc>
        <w:tc>
          <w:tcPr>
            <w:tcW w:w="975" w:type="pct"/>
            <w:tcBorders>
              <w:top w:val="nil"/>
              <w:left w:val="nil"/>
              <w:bottom w:val="nil"/>
              <w:right w:val="single" w:sz="8" w:space="0" w:color="auto"/>
            </w:tcBorders>
            <w:noWrap/>
            <w:vAlign w:val="center"/>
            <w:hideMark/>
          </w:tcPr>
          <w:p w14:paraId="109477F9"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517,426</w:t>
            </w:r>
          </w:p>
        </w:tc>
      </w:tr>
      <w:tr w:rsidR="0075354F" w:rsidRPr="0075354F" w14:paraId="6CC21B44" w14:textId="77777777" w:rsidTr="0075354F">
        <w:trPr>
          <w:trHeight w:val="290"/>
        </w:trPr>
        <w:tc>
          <w:tcPr>
            <w:tcW w:w="569" w:type="pct"/>
            <w:tcBorders>
              <w:top w:val="nil"/>
              <w:left w:val="single" w:sz="8" w:space="0" w:color="auto"/>
              <w:bottom w:val="nil"/>
              <w:right w:val="nil"/>
            </w:tcBorders>
            <w:noWrap/>
            <w:vAlign w:val="center"/>
            <w:hideMark/>
          </w:tcPr>
          <w:p w14:paraId="520F0A6F" w14:textId="77777777" w:rsidR="0075354F" w:rsidRPr="0075354F" w:rsidRDefault="0075354F" w:rsidP="0075354F">
            <w:pPr>
              <w:jc w:val="right"/>
              <w:rPr>
                <w:rFonts w:cs="Arial"/>
                <w:color w:val="000000"/>
                <w:sz w:val="22"/>
                <w:szCs w:val="22"/>
              </w:rPr>
            </w:pPr>
            <w:r w:rsidRPr="0075354F">
              <w:rPr>
                <w:rFonts w:cs="Arial"/>
                <w:color w:val="000000"/>
                <w:sz w:val="22"/>
                <w:szCs w:val="22"/>
              </w:rPr>
              <w:t>80625</w:t>
            </w:r>
          </w:p>
        </w:tc>
        <w:tc>
          <w:tcPr>
            <w:tcW w:w="1525" w:type="pct"/>
            <w:tcBorders>
              <w:top w:val="nil"/>
              <w:left w:val="single" w:sz="8" w:space="0" w:color="auto"/>
              <w:bottom w:val="nil"/>
              <w:right w:val="nil"/>
            </w:tcBorders>
            <w:noWrap/>
            <w:vAlign w:val="center"/>
            <w:hideMark/>
          </w:tcPr>
          <w:p w14:paraId="2610352B" w14:textId="77777777" w:rsidR="0075354F" w:rsidRPr="0075354F" w:rsidRDefault="0075354F" w:rsidP="0075354F">
            <w:pPr>
              <w:rPr>
                <w:rFonts w:cs="Arial"/>
                <w:color w:val="000000"/>
                <w:sz w:val="22"/>
                <w:szCs w:val="22"/>
              </w:rPr>
            </w:pPr>
            <w:r w:rsidRPr="0075354F">
              <w:rPr>
                <w:rFonts w:cs="Arial"/>
                <w:color w:val="000000"/>
                <w:sz w:val="22"/>
                <w:szCs w:val="22"/>
              </w:rPr>
              <w:t>Phoenix</w:t>
            </w:r>
          </w:p>
        </w:tc>
        <w:tc>
          <w:tcPr>
            <w:tcW w:w="1038" w:type="pct"/>
            <w:tcBorders>
              <w:top w:val="nil"/>
              <w:left w:val="single" w:sz="8" w:space="0" w:color="auto"/>
              <w:bottom w:val="nil"/>
              <w:right w:val="single" w:sz="8" w:space="0" w:color="auto"/>
            </w:tcBorders>
            <w:noWrap/>
            <w:vAlign w:val="center"/>
            <w:hideMark/>
          </w:tcPr>
          <w:p w14:paraId="56D47B3A" w14:textId="77777777" w:rsidR="0075354F" w:rsidRPr="0075354F" w:rsidRDefault="0075354F" w:rsidP="0075354F">
            <w:pPr>
              <w:jc w:val="right"/>
              <w:rPr>
                <w:rFonts w:cs="Arial"/>
                <w:color w:val="000000"/>
                <w:sz w:val="22"/>
                <w:szCs w:val="22"/>
              </w:rPr>
            </w:pPr>
            <w:r w:rsidRPr="0075354F">
              <w:rPr>
                <w:rFonts w:cs="Arial"/>
                <w:color w:val="000000"/>
                <w:sz w:val="22"/>
                <w:szCs w:val="22"/>
              </w:rPr>
              <w:t>3,659,542</w:t>
            </w:r>
          </w:p>
        </w:tc>
        <w:tc>
          <w:tcPr>
            <w:tcW w:w="894" w:type="pct"/>
            <w:tcBorders>
              <w:top w:val="nil"/>
              <w:left w:val="nil"/>
              <w:bottom w:val="nil"/>
              <w:right w:val="single" w:sz="8" w:space="0" w:color="auto"/>
            </w:tcBorders>
            <w:noWrap/>
            <w:vAlign w:val="center"/>
            <w:hideMark/>
          </w:tcPr>
          <w:p w14:paraId="30883A49" w14:textId="77777777" w:rsidR="0075354F" w:rsidRPr="007A76D3" w:rsidRDefault="0075354F" w:rsidP="0075354F">
            <w:pPr>
              <w:jc w:val="right"/>
              <w:rPr>
                <w:rFonts w:cs="Arial"/>
                <w:color w:val="ED0000"/>
                <w:sz w:val="22"/>
                <w:szCs w:val="22"/>
              </w:rPr>
            </w:pPr>
            <w:r w:rsidRPr="007A76D3">
              <w:rPr>
                <w:rFonts w:cs="Arial"/>
                <w:color w:val="ED0000"/>
                <w:sz w:val="22"/>
                <w:szCs w:val="22"/>
              </w:rPr>
              <w:t>-696,254</w:t>
            </w:r>
          </w:p>
        </w:tc>
        <w:tc>
          <w:tcPr>
            <w:tcW w:w="975" w:type="pct"/>
            <w:tcBorders>
              <w:top w:val="nil"/>
              <w:left w:val="nil"/>
              <w:bottom w:val="nil"/>
              <w:right w:val="single" w:sz="8" w:space="0" w:color="auto"/>
            </w:tcBorders>
            <w:noWrap/>
            <w:vAlign w:val="center"/>
            <w:hideMark/>
          </w:tcPr>
          <w:p w14:paraId="7530D0AB"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2,963,289</w:t>
            </w:r>
          </w:p>
        </w:tc>
      </w:tr>
      <w:tr w:rsidR="0075354F" w:rsidRPr="0075354F" w14:paraId="521EF255" w14:textId="77777777" w:rsidTr="0075354F">
        <w:trPr>
          <w:trHeight w:val="290"/>
        </w:trPr>
        <w:tc>
          <w:tcPr>
            <w:tcW w:w="569" w:type="pct"/>
            <w:tcBorders>
              <w:top w:val="nil"/>
              <w:left w:val="single" w:sz="8" w:space="0" w:color="auto"/>
              <w:bottom w:val="nil"/>
              <w:right w:val="nil"/>
            </w:tcBorders>
            <w:noWrap/>
            <w:vAlign w:val="center"/>
            <w:hideMark/>
          </w:tcPr>
          <w:p w14:paraId="6D9CF650" w14:textId="77777777" w:rsidR="0075354F" w:rsidRPr="0075354F" w:rsidRDefault="0075354F" w:rsidP="0075354F">
            <w:pPr>
              <w:jc w:val="right"/>
              <w:rPr>
                <w:rFonts w:cs="Arial"/>
                <w:color w:val="000000"/>
                <w:sz w:val="22"/>
                <w:szCs w:val="22"/>
              </w:rPr>
            </w:pPr>
            <w:r w:rsidRPr="0075354F">
              <w:rPr>
                <w:rFonts w:cs="Arial"/>
                <w:color w:val="000000"/>
                <w:sz w:val="22"/>
                <w:szCs w:val="22"/>
              </w:rPr>
              <w:t>82050</w:t>
            </w:r>
          </w:p>
        </w:tc>
        <w:tc>
          <w:tcPr>
            <w:tcW w:w="1525" w:type="pct"/>
            <w:tcBorders>
              <w:top w:val="nil"/>
              <w:left w:val="single" w:sz="8" w:space="0" w:color="auto"/>
              <w:bottom w:val="nil"/>
              <w:right w:val="nil"/>
            </w:tcBorders>
            <w:noWrap/>
            <w:vAlign w:val="center"/>
            <w:hideMark/>
          </w:tcPr>
          <w:p w14:paraId="39A24995" w14:textId="77777777" w:rsidR="0075354F" w:rsidRPr="0075354F" w:rsidRDefault="0075354F" w:rsidP="0075354F">
            <w:pPr>
              <w:rPr>
                <w:rFonts w:cs="Arial"/>
                <w:color w:val="000000"/>
                <w:sz w:val="22"/>
                <w:szCs w:val="22"/>
              </w:rPr>
            </w:pPr>
            <w:r w:rsidRPr="0075354F">
              <w:rPr>
                <w:rFonts w:cs="Arial"/>
                <w:color w:val="000000"/>
                <w:sz w:val="22"/>
                <w:szCs w:val="22"/>
              </w:rPr>
              <w:t>PRU/LEAP</w:t>
            </w:r>
          </w:p>
        </w:tc>
        <w:tc>
          <w:tcPr>
            <w:tcW w:w="1038" w:type="pct"/>
            <w:tcBorders>
              <w:top w:val="nil"/>
              <w:left w:val="single" w:sz="8" w:space="0" w:color="auto"/>
              <w:bottom w:val="nil"/>
              <w:right w:val="single" w:sz="8" w:space="0" w:color="auto"/>
            </w:tcBorders>
            <w:noWrap/>
            <w:vAlign w:val="center"/>
            <w:hideMark/>
          </w:tcPr>
          <w:p w14:paraId="21EDAFF9" w14:textId="77777777" w:rsidR="0075354F" w:rsidRPr="007A76D3" w:rsidRDefault="0075354F" w:rsidP="0075354F">
            <w:pPr>
              <w:jc w:val="right"/>
              <w:rPr>
                <w:rFonts w:cs="Arial"/>
                <w:color w:val="ED0000"/>
                <w:sz w:val="22"/>
                <w:szCs w:val="22"/>
              </w:rPr>
            </w:pPr>
            <w:r w:rsidRPr="007A76D3">
              <w:rPr>
                <w:rFonts w:cs="Arial"/>
                <w:color w:val="ED0000"/>
                <w:sz w:val="22"/>
                <w:szCs w:val="22"/>
              </w:rPr>
              <w:t>-913,571</w:t>
            </w:r>
          </w:p>
        </w:tc>
        <w:tc>
          <w:tcPr>
            <w:tcW w:w="894" w:type="pct"/>
            <w:tcBorders>
              <w:top w:val="nil"/>
              <w:left w:val="nil"/>
              <w:bottom w:val="nil"/>
              <w:right w:val="single" w:sz="8" w:space="0" w:color="auto"/>
            </w:tcBorders>
            <w:noWrap/>
            <w:vAlign w:val="center"/>
            <w:hideMark/>
          </w:tcPr>
          <w:p w14:paraId="3684AAF1" w14:textId="77777777" w:rsidR="0075354F" w:rsidRPr="0075354F" w:rsidRDefault="0075354F" w:rsidP="0075354F">
            <w:pPr>
              <w:jc w:val="right"/>
              <w:rPr>
                <w:rFonts w:cs="Arial"/>
                <w:color w:val="000000"/>
                <w:sz w:val="22"/>
                <w:szCs w:val="22"/>
              </w:rPr>
            </w:pPr>
            <w:r w:rsidRPr="0075354F">
              <w:rPr>
                <w:rFonts w:cs="Arial"/>
                <w:color w:val="000000"/>
                <w:sz w:val="22"/>
                <w:szCs w:val="22"/>
              </w:rPr>
              <w:t>112,717</w:t>
            </w:r>
          </w:p>
        </w:tc>
        <w:tc>
          <w:tcPr>
            <w:tcW w:w="975" w:type="pct"/>
            <w:tcBorders>
              <w:top w:val="nil"/>
              <w:left w:val="nil"/>
              <w:bottom w:val="nil"/>
              <w:right w:val="single" w:sz="8" w:space="0" w:color="auto"/>
            </w:tcBorders>
            <w:noWrap/>
            <w:vAlign w:val="center"/>
            <w:hideMark/>
          </w:tcPr>
          <w:p w14:paraId="1A9E9DF8" w14:textId="77777777" w:rsidR="0075354F" w:rsidRPr="007A76D3" w:rsidRDefault="0075354F" w:rsidP="0075354F">
            <w:pPr>
              <w:jc w:val="right"/>
              <w:rPr>
                <w:rFonts w:ascii="Aptos Narrow" w:hAnsi="Aptos Narrow"/>
                <w:color w:val="ED0000"/>
                <w:sz w:val="22"/>
                <w:szCs w:val="22"/>
              </w:rPr>
            </w:pPr>
            <w:r w:rsidRPr="007A76D3">
              <w:rPr>
                <w:rFonts w:ascii="Aptos Narrow" w:hAnsi="Aptos Narrow"/>
                <w:color w:val="ED0000"/>
                <w:sz w:val="22"/>
                <w:szCs w:val="22"/>
              </w:rPr>
              <w:t>-800,854</w:t>
            </w:r>
          </w:p>
        </w:tc>
      </w:tr>
      <w:tr w:rsidR="0075354F" w:rsidRPr="0075354F" w14:paraId="69C204D3" w14:textId="77777777" w:rsidTr="0075354F">
        <w:trPr>
          <w:trHeight w:val="290"/>
        </w:trPr>
        <w:tc>
          <w:tcPr>
            <w:tcW w:w="569" w:type="pct"/>
            <w:tcBorders>
              <w:top w:val="nil"/>
              <w:left w:val="single" w:sz="8" w:space="0" w:color="auto"/>
              <w:bottom w:val="nil"/>
              <w:right w:val="nil"/>
            </w:tcBorders>
            <w:noWrap/>
            <w:vAlign w:val="center"/>
            <w:hideMark/>
          </w:tcPr>
          <w:p w14:paraId="08438C69" w14:textId="77777777" w:rsidR="0075354F" w:rsidRPr="0075354F" w:rsidRDefault="0075354F" w:rsidP="0075354F">
            <w:pPr>
              <w:jc w:val="right"/>
              <w:rPr>
                <w:rFonts w:cs="Arial"/>
                <w:color w:val="000000"/>
                <w:sz w:val="22"/>
                <w:szCs w:val="22"/>
              </w:rPr>
            </w:pPr>
            <w:r w:rsidRPr="0075354F">
              <w:rPr>
                <w:rFonts w:cs="Arial"/>
                <w:color w:val="000000"/>
                <w:sz w:val="22"/>
                <w:szCs w:val="22"/>
              </w:rPr>
              <w:t>80030</w:t>
            </w:r>
          </w:p>
        </w:tc>
        <w:tc>
          <w:tcPr>
            <w:tcW w:w="1525" w:type="pct"/>
            <w:tcBorders>
              <w:top w:val="nil"/>
              <w:left w:val="single" w:sz="8" w:space="0" w:color="auto"/>
              <w:bottom w:val="nil"/>
              <w:right w:val="nil"/>
            </w:tcBorders>
            <w:noWrap/>
            <w:vAlign w:val="center"/>
            <w:hideMark/>
          </w:tcPr>
          <w:p w14:paraId="226E5058" w14:textId="77777777" w:rsidR="0075354F" w:rsidRPr="0075354F" w:rsidRDefault="0075354F" w:rsidP="0075354F">
            <w:pPr>
              <w:rPr>
                <w:rFonts w:cs="Arial"/>
                <w:color w:val="000000"/>
                <w:sz w:val="22"/>
                <w:szCs w:val="22"/>
              </w:rPr>
            </w:pPr>
            <w:r w:rsidRPr="0075354F">
              <w:rPr>
                <w:rFonts w:cs="Arial"/>
                <w:color w:val="000000"/>
                <w:sz w:val="22"/>
                <w:szCs w:val="22"/>
              </w:rPr>
              <w:t>Rachel Keeling (Closed)</w:t>
            </w:r>
          </w:p>
        </w:tc>
        <w:tc>
          <w:tcPr>
            <w:tcW w:w="1038" w:type="pct"/>
            <w:tcBorders>
              <w:top w:val="nil"/>
              <w:left w:val="single" w:sz="8" w:space="0" w:color="auto"/>
              <w:bottom w:val="nil"/>
              <w:right w:val="single" w:sz="8" w:space="0" w:color="auto"/>
            </w:tcBorders>
            <w:noWrap/>
            <w:vAlign w:val="center"/>
            <w:hideMark/>
          </w:tcPr>
          <w:p w14:paraId="7D0CFC48" w14:textId="77777777" w:rsidR="0075354F" w:rsidRPr="0075354F" w:rsidRDefault="0075354F" w:rsidP="0075354F">
            <w:pPr>
              <w:jc w:val="right"/>
              <w:rPr>
                <w:rFonts w:cs="Arial"/>
                <w:color w:val="000000"/>
                <w:sz w:val="22"/>
                <w:szCs w:val="22"/>
              </w:rPr>
            </w:pPr>
            <w:r w:rsidRPr="0075354F">
              <w:rPr>
                <w:rFonts w:cs="Arial"/>
                <w:color w:val="000000"/>
                <w:sz w:val="22"/>
                <w:szCs w:val="22"/>
              </w:rPr>
              <w:t>116,100</w:t>
            </w:r>
          </w:p>
        </w:tc>
        <w:tc>
          <w:tcPr>
            <w:tcW w:w="894" w:type="pct"/>
            <w:tcBorders>
              <w:top w:val="nil"/>
              <w:left w:val="nil"/>
              <w:bottom w:val="nil"/>
              <w:right w:val="single" w:sz="8" w:space="0" w:color="auto"/>
            </w:tcBorders>
            <w:noWrap/>
            <w:vAlign w:val="center"/>
            <w:hideMark/>
          </w:tcPr>
          <w:p w14:paraId="76375ED3" w14:textId="77777777" w:rsidR="0075354F" w:rsidRPr="007A76D3" w:rsidRDefault="0075354F" w:rsidP="0075354F">
            <w:pPr>
              <w:jc w:val="right"/>
              <w:rPr>
                <w:rFonts w:cs="Arial"/>
                <w:color w:val="ED0000"/>
                <w:sz w:val="22"/>
                <w:szCs w:val="22"/>
              </w:rPr>
            </w:pPr>
            <w:r w:rsidRPr="007A76D3">
              <w:rPr>
                <w:rFonts w:cs="Arial"/>
                <w:color w:val="ED0000"/>
                <w:sz w:val="22"/>
                <w:szCs w:val="22"/>
              </w:rPr>
              <w:t>-114,194</w:t>
            </w:r>
          </w:p>
        </w:tc>
        <w:tc>
          <w:tcPr>
            <w:tcW w:w="975" w:type="pct"/>
            <w:tcBorders>
              <w:top w:val="nil"/>
              <w:left w:val="nil"/>
              <w:bottom w:val="nil"/>
              <w:right w:val="single" w:sz="8" w:space="0" w:color="auto"/>
            </w:tcBorders>
            <w:noWrap/>
            <w:vAlign w:val="center"/>
            <w:hideMark/>
          </w:tcPr>
          <w:p w14:paraId="453DAA7B"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1,906</w:t>
            </w:r>
          </w:p>
        </w:tc>
      </w:tr>
      <w:tr w:rsidR="0075354F" w:rsidRPr="0075354F" w14:paraId="5DCAC376" w14:textId="77777777" w:rsidTr="0075354F">
        <w:trPr>
          <w:trHeight w:val="290"/>
        </w:trPr>
        <w:tc>
          <w:tcPr>
            <w:tcW w:w="569" w:type="pct"/>
            <w:tcBorders>
              <w:top w:val="nil"/>
              <w:left w:val="single" w:sz="8" w:space="0" w:color="auto"/>
              <w:bottom w:val="nil"/>
              <w:right w:val="nil"/>
            </w:tcBorders>
            <w:noWrap/>
            <w:vAlign w:val="center"/>
            <w:hideMark/>
          </w:tcPr>
          <w:p w14:paraId="5340122E" w14:textId="77777777" w:rsidR="0075354F" w:rsidRPr="0075354F" w:rsidRDefault="0075354F" w:rsidP="0075354F">
            <w:pPr>
              <w:jc w:val="right"/>
              <w:rPr>
                <w:rFonts w:cs="Arial"/>
                <w:color w:val="000000"/>
                <w:sz w:val="22"/>
                <w:szCs w:val="22"/>
              </w:rPr>
            </w:pPr>
            <w:r w:rsidRPr="0075354F">
              <w:rPr>
                <w:rFonts w:cs="Arial"/>
                <w:color w:val="000000"/>
                <w:sz w:val="22"/>
                <w:szCs w:val="22"/>
              </w:rPr>
              <w:t>80350</w:t>
            </w:r>
          </w:p>
        </w:tc>
        <w:tc>
          <w:tcPr>
            <w:tcW w:w="1525" w:type="pct"/>
            <w:tcBorders>
              <w:top w:val="nil"/>
              <w:left w:val="single" w:sz="8" w:space="0" w:color="auto"/>
              <w:bottom w:val="nil"/>
              <w:right w:val="nil"/>
            </w:tcBorders>
            <w:noWrap/>
            <w:vAlign w:val="center"/>
            <w:hideMark/>
          </w:tcPr>
          <w:p w14:paraId="5C064E65" w14:textId="77777777" w:rsidR="0075354F" w:rsidRPr="0075354F" w:rsidRDefault="0075354F" w:rsidP="0075354F">
            <w:pPr>
              <w:rPr>
                <w:rFonts w:cs="Arial"/>
                <w:color w:val="000000"/>
                <w:sz w:val="22"/>
                <w:szCs w:val="22"/>
              </w:rPr>
            </w:pPr>
            <w:r w:rsidRPr="0075354F">
              <w:rPr>
                <w:rFonts w:cs="Arial"/>
                <w:color w:val="000000"/>
                <w:sz w:val="22"/>
                <w:szCs w:val="22"/>
              </w:rPr>
              <w:t>Seven Mills</w:t>
            </w:r>
          </w:p>
        </w:tc>
        <w:tc>
          <w:tcPr>
            <w:tcW w:w="1038" w:type="pct"/>
            <w:tcBorders>
              <w:top w:val="nil"/>
              <w:left w:val="single" w:sz="8" w:space="0" w:color="auto"/>
              <w:bottom w:val="nil"/>
              <w:right w:val="single" w:sz="8" w:space="0" w:color="auto"/>
            </w:tcBorders>
            <w:noWrap/>
            <w:vAlign w:val="center"/>
            <w:hideMark/>
          </w:tcPr>
          <w:p w14:paraId="78FA50CE" w14:textId="77777777" w:rsidR="0075354F" w:rsidRPr="0075354F" w:rsidRDefault="0075354F" w:rsidP="0075354F">
            <w:pPr>
              <w:jc w:val="right"/>
              <w:rPr>
                <w:rFonts w:cs="Arial"/>
                <w:color w:val="000000"/>
                <w:sz w:val="22"/>
                <w:szCs w:val="22"/>
              </w:rPr>
            </w:pPr>
            <w:r w:rsidRPr="0075354F">
              <w:rPr>
                <w:rFonts w:cs="Arial"/>
                <w:color w:val="000000"/>
                <w:sz w:val="22"/>
                <w:szCs w:val="22"/>
              </w:rPr>
              <w:t>113,973</w:t>
            </w:r>
          </w:p>
        </w:tc>
        <w:tc>
          <w:tcPr>
            <w:tcW w:w="894" w:type="pct"/>
            <w:tcBorders>
              <w:top w:val="nil"/>
              <w:left w:val="nil"/>
              <w:bottom w:val="nil"/>
              <w:right w:val="single" w:sz="8" w:space="0" w:color="auto"/>
            </w:tcBorders>
            <w:noWrap/>
            <w:vAlign w:val="center"/>
            <w:hideMark/>
          </w:tcPr>
          <w:p w14:paraId="35FAE00E" w14:textId="77777777" w:rsidR="0075354F" w:rsidRPr="0075354F" w:rsidRDefault="0075354F" w:rsidP="0075354F">
            <w:pPr>
              <w:jc w:val="right"/>
              <w:rPr>
                <w:rFonts w:cs="Arial"/>
                <w:color w:val="000000"/>
                <w:sz w:val="22"/>
                <w:szCs w:val="22"/>
              </w:rPr>
            </w:pPr>
            <w:r w:rsidRPr="0075354F">
              <w:rPr>
                <w:rFonts w:cs="Arial"/>
                <w:color w:val="000000"/>
                <w:sz w:val="22"/>
                <w:szCs w:val="22"/>
              </w:rPr>
              <w:t>38,088</w:t>
            </w:r>
          </w:p>
        </w:tc>
        <w:tc>
          <w:tcPr>
            <w:tcW w:w="975" w:type="pct"/>
            <w:tcBorders>
              <w:top w:val="nil"/>
              <w:left w:val="nil"/>
              <w:bottom w:val="nil"/>
              <w:right w:val="single" w:sz="8" w:space="0" w:color="auto"/>
            </w:tcBorders>
            <w:noWrap/>
            <w:vAlign w:val="center"/>
            <w:hideMark/>
          </w:tcPr>
          <w:p w14:paraId="74723E3E"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152,061</w:t>
            </w:r>
          </w:p>
        </w:tc>
      </w:tr>
      <w:tr w:rsidR="0075354F" w:rsidRPr="0075354F" w14:paraId="3E4E34E2" w14:textId="77777777" w:rsidTr="0075354F">
        <w:trPr>
          <w:trHeight w:val="290"/>
        </w:trPr>
        <w:tc>
          <w:tcPr>
            <w:tcW w:w="569" w:type="pct"/>
            <w:tcBorders>
              <w:top w:val="nil"/>
              <w:left w:val="single" w:sz="8" w:space="0" w:color="auto"/>
              <w:bottom w:val="nil"/>
              <w:right w:val="nil"/>
            </w:tcBorders>
            <w:noWrap/>
            <w:vAlign w:val="center"/>
            <w:hideMark/>
          </w:tcPr>
          <w:p w14:paraId="46B97848" w14:textId="77777777" w:rsidR="0075354F" w:rsidRPr="0075354F" w:rsidRDefault="0075354F" w:rsidP="0075354F">
            <w:pPr>
              <w:jc w:val="right"/>
              <w:rPr>
                <w:rFonts w:cs="Arial"/>
                <w:color w:val="000000"/>
                <w:sz w:val="22"/>
                <w:szCs w:val="22"/>
              </w:rPr>
            </w:pPr>
            <w:r w:rsidRPr="0075354F">
              <w:rPr>
                <w:rFonts w:cs="Arial"/>
                <w:color w:val="000000"/>
                <w:sz w:val="22"/>
                <w:szCs w:val="22"/>
              </w:rPr>
              <w:t>80275</w:t>
            </w:r>
          </w:p>
        </w:tc>
        <w:tc>
          <w:tcPr>
            <w:tcW w:w="1525" w:type="pct"/>
            <w:tcBorders>
              <w:top w:val="nil"/>
              <w:left w:val="single" w:sz="8" w:space="0" w:color="auto"/>
              <w:bottom w:val="nil"/>
              <w:right w:val="nil"/>
            </w:tcBorders>
            <w:noWrap/>
            <w:vAlign w:val="center"/>
            <w:hideMark/>
          </w:tcPr>
          <w:p w14:paraId="54484A02" w14:textId="77777777" w:rsidR="0075354F" w:rsidRPr="0075354F" w:rsidRDefault="0075354F" w:rsidP="0075354F">
            <w:pPr>
              <w:rPr>
                <w:rFonts w:cs="Arial"/>
                <w:color w:val="000000"/>
                <w:sz w:val="22"/>
                <w:szCs w:val="22"/>
              </w:rPr>
            </w:pPr>
            <w:r w:rsidRPr="0075354F">
              <w:rPr>
                <w:rFonts w:cs="Arial"/>
                <w:color w:val="000000"/>
                <w:sz w:val="22"/>
                <w:szCs w:val="22"/>
              </w:rPr>
              <w:t>St Agnes</w:t>
            </w:r>
          </w:p>
        </w:tc>
        <w:tc>
          <w:tcPr>
            <w:tcW w:w="1038" w:type="pct"/>
            <w:tcBorders>
              <w:top w:val="nil"/>
              <w:left w:val="single" w:sz="8" w:space="0" w:color="auto"/>
              <w:bottom w:val="nil"/>
              <w:right w:val="single" w:sz="8" w:space="0" w:color="auto"/>
            </w:tcBorders>
            <w:noWrap/>
            <w:vAlign w:val="center"/>
            <w:hideMark/>
          </w:tcPr>
          <w:p w14:paraId="744BFF1F" w14:textId="77777777" w:rsidR="0075354F" w:rsidRPr="0075354F" w:rsidRDefault="0075354F" w:rsidP="0075354F">
            <w:pPr>
              <w:jc w:val="right"/>
              <w:rPr>
                <w:rFonts w:cs="Arial"/>
                <w:color w:val="000000"/>
                <w:sz w:val="22"/>
                <w:szCs w:val="22"/>
              </w:rPr>
            </w:pPr>
            <w:r w:rsidRPr="0075354F">
              <w:rPr>
                <w:rFonts w:cs="Arial"/>
                <w:color w:val="000000"/>
                <w:sz w:val="22"/>
                <w:szCs w:val="22"/>
              </w:rPr>
              <w:t>69,603</w:t>
            </w:r>
          </w:p>
        </w:tc>
        <w:tc>
          <w:tcPr>
            <w:tcW w:w="894" w:type="pct"/>
            <w:tcBorders>
              <w:top w:val="nil"/>
              <w:left w:val="nil"/>
              <w:bottom w:val="nil"/>
              <w:right w:val="single" w:sz="8" w:space="0" w:color="auto"/>
            </w:tcBorders>
            <w:noWrap/>
            <w:vAlign w:val="center"/>
            <w:hideMark/>
          </w:tcPr>
          <w:p w14:paraId="228744A5" w14:textId="77777777" w:rsidR="0075354F" w:rsidRPr="0075354F" w:rsidRDefault="0075354F" w:rsidP="0075354F">
            <w:pPr>
              <w:jc w:val="right"/>
              <w:rPr>
                <w:rFonts w:cs="Arial"/>
                <w:color w:val="000000"/>
                <w:sz w:val="22"/>
                <w:szCs w:val="22"/>
              </w:rPr>
            </w:pPr>
            <w:r w:rsidRPr="0075354F">
              <w:rPr>
                <w:rFonts w:cs="Arial"/>
                <w:color w:val="000000"/>
                <w:sz w:val="22"/>
                <w:szCs w:val="22"/>
              </w:rPr>
              <w:t>162,524</w:t>
            </w:r>
          </w:p>
        </w:tc>
        <w:tc>
          <w:tcPr>
            <w:tcW w:w="975" w:type="pct"/>
            <w:tcBorders>
              <w:top w:val="nil"/>
              <w:left w:val="nil"/>
              <w:bottom w:val="nil"/>
              <w:right w:val="single" w:sz="8" w:space="0" w:color="auto"/>
            </w:tcBorders>
            <w:noWrap/>
            <w:vAlign w:val="center"/>
            <w:hideMark/>
          </w:tcPr>
          <w:p w14:paraId="3A613580"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232,127</w:t>
            </w:r>
          </w:p>
        </w:tc>
      </w:tr>
      <w:tr w:rsidR="0075354F" w:rsidRPr="0075354F" w14:paraId="0A20F794" w14:textId="77777777" w:rsidTr="0075354F">
        <w:trPr>
          <w:trHeight w:val="290"/>
        </w:trPr>
        <w:tc>
          <w:tcPr>
            <w:tcW w:w="569" w:type="pct"/>
            <w:tcBorders>
              <w:top w:val="nil"/>
              <w:left w:val="single" w:sz="8" w:space="0" w:color="auto"/>
              <w:bottom w:val="nil"/>
              <w:right w:val="nil"/>
            </w:tcBorders>
            <w:noWrap/>
            <w:vAlign w:val="center"/>
            <w:hideMark/>
          </w:tcPr>
          <w:p w14:paraId="594FA395" w14:textId="77777777" w:rsidR="0075354F" w:rsidRPr="0075354F" w:rsidRDefault="0075354F" w:rsidP="0075354F">
            <w:pPr>
              <w:jc w:val="right"/>
              <w:rPr>
                <w:rFonts w:cs="Arial"/>
                <w:color w:val="000000"/>
                <w:sz w:val="22"/>
                <w:szCs w:val="22"/>
              </w:rPr>
            </w:pPr>
            <w:r w:rsidRPr="0075354F">
              <w:rPr>
                <w:rFonts w:cs="Arial"/>
                <w:color w:val="000000"/>
                <w:sz w:val="22"/>
                <w:szCs w:val="22"/>
              </w:rPr>
              <w:t>80285</w:t>
            </w:r>
          </w:p>
        </w:tc>
        <w:tc>
          <w:tcPr>
            <w:tcW w:w="1525" w:type="pct"/>
            <w:tcBorders>
              <w:top w:val="nil"/>
              <w:left w:val="single" w:sz="8" w:space="0" w:color="auto"/>
              <w:bottom w:val="nil"/>
              <w:right w:val="nil"/>
            </w:tcBorders>
            <w:noWrap/>
            <w:vAlign w:val="center"/>
            <w:hideMark/>
          </w:tcPr>
          <w:p w14:paraId="5F437108" w14:textId="77777777" w:rsidR="0075354F" w:rsidRPr="0075354F" w:rsidRDefault="0075354F" w:rsidP="0075354F">
            <w:pPr>
              <w:rPr>
                <w:rFonts w:cs="Arial"/>
                <w:color w:val="000000"/>
                <w:sz w:val="22"/>
                <w:szCs w:val="22"/>
              </w:rPr>
            </w:pPr>
            <w:r w:rsidRPr="0075354F">
              <w:rPr>
                <w:rFonts w:cs="Arial"/>
                <w:color w:val="000000"/>
                <w:sz w:val="22"/>
                <w:szCs w:val="22"/>
              </w:rPr>
              <w:t>St Edmund</w:t>
            </w:r>
          </w:p>
        </w:tc>
        <w:tc>
          <w:tcPr>
            <w:tcW w:w="1038" w:type="pct"/>
            <w:tcBorders>
              <w:top w:val="nil"/>
              <w:left w:val="single" w:sz="8" w:space="0" w:color="auto"/>
              <w:bottom w:val="nil"/>
              <w:right w:val="single" w:sz="8" w:space="0" w:color="auto"/>
            </w:tcBorders>
            <w:noWrap/>
            <w:vAlign w:val="center"/>
            <w:hideMark/>
          </w:tcPr>
          <w:p w14:paraId="39541AF2" w14:textId="77777777" w:rsidR="0075354F" w:rsidRPr="007A76D3" w:rsidRDefault="0075354F" w:rsidP="0075354F">
            <w:pPr>
              <w:jc w:val="right"/>
              <w:rPr>
                <w:rFonts w:cs="Arial"/>
                <w:color w:val="ED0000"/>
                <w:sz w:val="22"/>
                <w:szCs w:val="22"/>
              </w:rPr>
            </w:pPr>
            <w:r w:rsidRPr="007A76D3">
              <w:rPr>
                <w:rFonts w:cs="Arial"/>
                <w:color w:val="ED0000"/>
                <w:sz w:val="22"/>
                <w:szCs w:val="22"/>
              </w:rPr>
              <w:t>-218,202</w:t>
            </w:r>
          </w:p>
        </w:tc>
        <w:tc>
          <w:tcPr>
            <w:tcW w:w="894" w:type="pct"/>
            <w:tcBorders>
              <w:top w:val="nil"/>
              <w:left w:val="nil"/>
              <w:bottom w:val="nil"/>
              <w:right w:val="single" w:sz="8" w:space="0" w:color="auto"/>
            </w:tcBorders>
            <w:noWrap/>
            <w:vAlign w:val="center"/>
            <w:hideMark/>
          </w:tcPr>
          <w:p w14:paraId="6A9A83FD" w14:textId="77777777" w:rsidR="0075354F" w:rsidRPr="0075354F" w:rsidRDefault="0075354F" w:rsidP="0075354F">
            <w:pPr>
              <w:jc w:val="right"/>
              <w:rPr>
                <w:rFonts w:cs="Arial"/>
                <w:color w:val="000000"/>
                <w:sz w:val="22"/>
                <w:szCs w:val="22"/>
              </w:rPr>
            </w:pPr>
            <w:r w:rsidRPr="0075354F">
              <w:rPr>
                <w:rFonts w:cs="Arial"/>
                <w:color w:val="000000"/>
                <w:sz w:val="22"/>
                <w:szCs w:val="22"/>
              </w:rPr>
              <w:t>41,175</w:t>
            </w:r>
          </w:p>
        </w:tc>
        <w:tc>
          <w:tcPr>
            <w:tcW w:w="975" w:type="pct"/>
            <w:tcBorders>
              <w:top w:val="nil"/>
              <w:left w:val="nil"/>
              <w:bottom w:val="nil"/>
              <w:right w:val="single" w:sz="8" w:space="0" w:color="auto"/>
            </w:tcBorders>
            <w:noWrap/>
            <w:vAlign w:val="center"/>
            <w:hideMark/>
          </w:tcPr>
          <w:p w14:paraId="44C66517" w14:textId="77777777" w:rsidR="0075354F" w:rsidRPr="007A76D3" w:rsidRDefault="0075354F" w:rsidP="0075354F">
            <w:pPr>
              <w:jc w:val="right"/>
              <w:rPr>
                <w:rFonts w:ascii="Aptos Narrow" w:hAnsi="Aptos Narrow"/>
                <w:color w:val="ED0000"/>
                <w:sz w:val="22"/>
                <w:szCs w:val="22"/>
              </w:rPr>
            </w:pPr>
            <w:r w:rsidRPr="007A76D3">
              <w:rPr>
                <w:rFonts w:ascii="Aptos Narrow" w:hAnsi="Aptos Narrow"/>
                <w:color w:val="ED0000"/>
                <w:sz w:val="22"/>
                <w:szCs w:val="22"/>
              </w:rPr>
              <w:t>-177,026</w:t>
            </w:r>
          </w:p>
        </w:tc>
      </w:tr>
      <w:tr w:rsidR="0075354F" w:rsidRPr="0075354F" w14:paraId="4AAA168B" w14:textId="77777777" w:rsidTr="0075354F">
        <w:trPr>
          <w:trHeight w:val="290"/>
        </w:trPr>
        <w:tc>
          <w:tcPr>
            <w:tcW w:w="569" w:type="pct"/>
            <w:tcBorders>
              <w:top w:val="nil"/>
              <w:left w:val="single" w:sz="8" w:space="0" w:color="auto"/>
              <w:bottom w:val="nil"/>
              <w:right w:val="nil"/>
            </w:tcBorders>
            <w:noWrap/>
            <w:vAlign w:val="center"/>
            <w:hideMark/>
          </w:tcPr>
          <w:p w14:paraId="2DC6A289" w14:textId="77777777" w:rsidR="0075354F" w:rsidRPr="0075354F" w:rsidRDefault="0075354F" w:rsidP="0075354F">
            <w:pPr>
              <w:jc w:val="right"/>
              <w:rPr>
                <w:rFonts w:cs="Arial"/>
                <w:color w:val="000000"/>
                <w:sz w:val="22"/>
                <w:szCs w:val="22"/>
              </w:rPr>
            </w:pPr>
            <w:r w:rsidRPr="0075354F">
              <w:rPr>
                <w:rFonts w:cs="Arial"/>
                <w:color w:val="000000"/>
                <w:sz w:val="22"/>
                <w:szCs w:val="22"/>
              </w:rPr>
              <w:t>80445</w:t>
            </w:r>
          </w:p>
        </w:tc>
        <w:tc>
          <w:tcPr>
            <w:tcW w:w="1525" w:type="pct"/>
            <w:tcBorders>
              <w:top w:val="nil"/>
              <w:left w:val="single" w:sz="8" w:space="0" w:color="auto"/>
              <w:bottom w:val="nil"/>
              <w:right w:val="nil"/>
            </w:tcBorders>
            <w:noWrap/>
            <w:vAlign w:val="center"/>
            <w:hideMark/>
          </w:tcPr>
          <w:p w14:paraId="38563D55" w14:textId="77777777" w:rsidR="0075354F" w:rsidRPr="0075354F" w:rsidRDefault="0075354F" w:rsidP="0075354F">
            <w:pPr>
              <w:rPr>
                <w:rFonts w:cs="Arial"/>
                <w:color w:val="000000"/>
                <w:sz w:val="22"/>
                <w:szCs w:val="22"/>
              </w:rPr>
            </w:pPr>
            <w:r w:rsidRPr="0075354F">
              <w:rPr>
                <w:rFonts w:cs="Arial"/>
                <w:color w:val="000000"/>
                <w:sz w:val="22"/>
                <w:szCs w:val="22"/>
              </w:rPr>
              <w:t>St Elizabeth</w:t>
            </w:r>
          </w:p>
        </w:tc>
        <w:tc>
          <w:tcPr>
            <w:tcW w:w="1038" w:type="pct"/>
            <w:tcBorders>
              <w:top w:val="nil"/>
              <w:left w:val="single" w:sz="8" w:space="0" w:color="auto"/>
              <w:bottom w:val="nil"/>
              <w:right w:val="single" w:sz="8" w:space="0" w:color="auto"/>
            </w:tcBorders>
            <w:noWrap/>
            <w:vAlign w:val="center"/>
            <w:hideMark/>
          </w:tcPr>
          <w:p w14:paraId="5F7BBE5E" w14:textId="77777777" w:rsidR="0075354F" w:rsidRPr="007A76D3" w:rsidRDefault="0075354F" w:rsidP="0075354F">
            <w:pPr>
              <w:jc w:val="right"/>
              <w:rPr>
                <w:rFonts w:cs="Arial"/>
                <w:color w:val="ED0000"/>
                <w:sz w:val="22"/>
                <w:szCs w:val="22"/>
              </w:rPr>
            </w:pPr>
            <w:r w:rsidRPr="007A76D3">
              <w:rPr>
                <w:rFonts w:cs="Arial"/>
                <w:color w:val="ED0000"/>
                <w:sz w:val="22"/>
                <w:szCs w:val="22"/>
              </w:rPr>
              <w:t>-99,720</w:t>
            </w:r>
          </w:p>
        </w:tc>
        <w:tc>
          <w:tcPr>
            <w:tcW w:w="894" w:type="pct"/>
            <w:tcBorders>
              <w:top w:val="nil"/>
              <w:left w:val="nil"/>
              <w:bottom w:val="nil"/>
              <w:right w:val="single" w:sz="8" w:space="0" w:color="auto"/>
            </w:tcBorders>
            <w:noWrap/>
            <w:vAlign w:val="center"/>
            <w:hideMark/>
          </w:tcPr>
          <w:p w14:paraId="294309D8" w14:textId="77777777" w:rsidR="0075354F" w:rsidRPr="007A76D3" w:rsidRDefault="0075354F" w:rsidP="0075354F">
            <w:pPr>
              <w:jc w:val="right"/>
              <w:rPr>
                <w:rFonts w:cs="Arial"/>
                <w:color w:val="ED0000"/>
                <w:sz w:val="22"/>
                <w:szCs w:val="22"/>
              </w:rPr>
            </w:pPr>
            <w:r w:rsidRPr="007A76D3">
              <w:rPr>
                <w:rFonts w:cs="Arial"/>
                <w:color w:val="ED0000"/>
                <w:sz w:val="22"/>
                <w:szCs w:val="22"/>
              </w:rPr>
              <w:t>-13,772</w:t>
            </w:r>
          </w:p>
        </w:tc>
        <w:tc>
          <w:tcPr>
            <w:tcW w:w="975" w:type="pct"/>
            <w:tcBorders>
              <w:top w:val="nil"/>
              <w:left w:val="nil"/>
              <w:bottom w:val="nil"/>
              <w:right w:val="single" w:sz="8" w:space="0" w:color="auto"/>
            </w:tcBorders>
            <w:noWrap/>
            <w:vAlign w:val="center"/>
            <w:hideMark/>
          </w:tcPr>
          <w:p w14:paraId="0BDD7A50" w14:textId="77777777" w:rsidR="0075354F" w:rsidRPr="007A76D3" w:rsidRDefault="0075354F" w:rsidP="0075354F">
            <w:pPr>
              <w:jc w:val="right"/>
              <w:rPr>
                <w:rFonts w:ascii="Aptos Narrow" w:hAnsi="Aptos Narrow"/>
                <w:color w:val="ED0000"/>
                <w:sz w:val="22"/>
                <w:szCs w:val="22"/>
              </w:rPr>
            </w:pPr>
            <w:r w:rsidRPr="007A76D3">
              <w:rPr>
                <w:rFonts w:ascii="Aptos Narrow" w:hAnsi="Aptos Narrow"/>
                <w:color w:val="ED0000"/>
                <w:sz w:val="22"/>
                <w:szCs w:val="22"/>
              </w:rPr>
              <w:t>-113,492</w:t>
            </w:r>
          </w:p>
        </w:tc>
      </w:tr>
      <w:tr w:rsidR="0075354F" w:rsidRPr="0075354F" w14:paraId="40D3D10A" w14:textId="77777777" w:rsidTr="0075354F">
        <w:trPr>
          <w:trHeight w:val="290"/>
        </w:trPr>
        <w:tc>
          <w:tcPr>
            <w:tcW w:w="569" w:type="pct"/>
            <w:tcBorders>
              <w:top w:val="nil"/>
              <w:left w:val="single" w:sz="8" w:space="0" w:color="auto"/>
              <w:bottom w:val="nil"/>
              <w:right w:val="nil"/>
            </w:tcBorders>
            <w:noWrap/>
            <w:vAlign w:val="center"/>
            <w:hideMark/>
          </w:tcPr>
          <w:p w14:paraId="7A2FB745" w14:textId="77777777" w:rsidR="0075354F" w:rsidRPr="0075354F" w:rsidRDefault="0075354F" w:rsidP="0075354F">
            <w:pPr>
              <w:jc w:val="right"/>
              <w:rPr>
                <w:rFonts w:cs="Arial"/>
                <w:color w:val="000000"/>
                <w:sz w:val="22"/>
                <w:szCs w:val="22"/>
              </w:rPr>
            </w:pPr>
            <w:r w:rsidRPr="0075354F">
              <w:rPr>
                <w:rFonts w:cs="Arial"/>
                <w:color w:val="000000"/>
                <w:sz w:val="22"/>
                <w:szCs w:val="22"/>
              </w:rPr>
              <w:t>80295</w:t>
            </w:r>
          </w:p>
        </w:tc>
        <w:tc>
          <w:tcPr>
            <w:tcW w:w="1525" w:type="pct"/>
            <w:tcBorders>
              <w:top w:val="nil"/>
              <w:left w:val="single" w:sz="8" w:space="0" w:color="auto"/>
              <w:bottom w:val="nil"/>
              <w:right w:val="nil"/>
            </w:tcBorders>
            <w:noWrap/>
            <w:vAlign w:val="center"/>
            <w:hideMark/>
          </w:tcPr>
          <w:p w14:paraId="1396DE09" w14:textId="77777777" w:rsidR="0075354F" w:rsidRPr="0075354F" w:rsidRDefault="0075354F" w:rsidP="0075354F">
            <w:pPr>
              <w:rPr>
                <w:rFonts w:cs="Arial"/>
                <w:color w:val="000000"/>
                <w:sz w:val="22"/>
                <w:szCs w:val="22"/>
              </w:rPr>
            </w:pPr>
            <w:r w:rsidRPr="0075354F">
              <w:rPr>
                <w:rFonts w:cs="Arial"/>
                <w:color w:val="000000"/>
                <w:sz w:val="22"/>
                <w:szCs w:val="22"/>
              </w:rPr>
              <w:t>St Johns</w:t>
            </w:r>
          </w:p>
        </w:tc>
        <w:tc>
          <w:tcPr>
            <w:tcW w:w="1038" w:type="pct"/>
            <w:tcBorders>
              <w:top w:val="nil"/>
              <w:left w:val="single" w:sz="8" w:space="0" w:color="auto"/>
              <w:bottom w:val="nil"/>
              <w:right w:val="single" w:sz="8" w:space="0" w:color="auto"/>
            </w:tcBorders>
            <w:noWrap/>
            <w:vAlign w:val="center"/>
            <w:hideMark/>
          </w:tcPr>
          <w:p w14:paraId="1DD0BE70" w14:textId="77777777" w:rsidR="0075354F" w:rsidRPr="007A76D3" w:rsidRDefault="0075354F" w:rsidP="0075354F">
            <w:pPr>
              <w:jc w:val="right"/>
              <w:rPr>
                <w:rFonts w:cs="Arial"/>
                <w:color w:val="ED0000"/>
                <w:sz w:val="22"/>
                <w:szCs w:val="22"/>
              </w:rPr>
            </w:pPr>
            <w:r w:rsidRPr="007A76D3">
              <w:rPr>
                <w:rFonts w:cs="Arial"/>
                <w:color w:val="ED0000"/>
                <w:sz w:val="22"/>
                <w:szCs w:val="22"/>
              </w:rPr>
              <w:t>-191,038</w:t>
            </w:r>
          </w:p>
        </w:tc>
        <w:tc>
          <w:tcPr>
            <w:tcW w:w="894" w:type="pct"/>
            <w:tcBorders>
              <w:top w:val="nil"/>
              <w:left w:val="nil"/>
              <w:bottom w:val="nil"/>
              <w:right w:val="single" w:sz="8" w:space="0" w:color="auto"/>
            </w:tcBorders>
            <w:noWrap/>
            <w:vAlign w:val="center"/>
            <w:hideMark/>
          </w:tcPr>
          <w:p w14:paraId="6C2686E2" w14:textId="77777777" w:rsidR="0075354F" w:rsidRPr="0075354F" w:rsidRDefault="0075354F" w:rsidP="0075354F">
            <w:pPr>
              <w:jc w:val="right"/>
              <w:rPr>
                <w:rFonts w:cs="Arial"/>
                <w:color w:val="000000"/>
                <w:sz w:val="22"/>
                <w:szCs w:val="22"/>
              </w:rPr>
            </w:pPr>
            <w:r w:rsidRPr="0075354F">
              <w:rPr>
                <w:rFonts w:cs="Arial"/>
                <w:color w:val="000000"/>
                <w:sz w:val="22"/>
                <w:szCs w:val="22"/>
              </w:rPr>
              <w:t>55,922</w:t>
            </w:r>
          </w:p>
        </w:tc>
        <w:tc>
          <w:tcPr>
            <w:tcW w:w="975" w:type="pct"/>
            <w:tcBorders>
              <w:top w:val="nil"/>
              <w:left w:val="nil"/>
              <w:bottom w:val="nil"/>
              <w:right w:val="single" w:sz="8" w:space="0" w:color="auto"/>
            </w:tcBorders>
            <w:noWrap/>
            <w:vAlign w:val="center"/>
            <w:hideMark/>
          </w:tcPr>
          <w:p w14:paraId="1D116EC9" w14:textId="77777777" w:rsidR="0075354F" w:rsidRPr="007A76D3" w:rsidRDefault="0075354F" w:rsidP="0075354F">
            <w:pPr>
              <w:jc w:val="right"/>
              <w:rPr>
                <w:rFonts w:ascii="Aptos Narrow" w:hAnsi="Aptos Narrow"/>
                <w:color w:val="ED0000"/>
                <w:sz w:val="22"/>
                <w:szCs w:val="22"/>
              </w:rPr>
            </w:pPr>
            <w:r w:rsidRPr="007A76D3">
              <w:rPr>
                <w:rFonts w:ascii="Aptos Narrow" w:hAnsi="Aptos Narrow"/>
                <w:color w:val="ED0000"/>
                <w:sz w:val="22"/>
                <w:szCs w:val="22"/>
              </w:rPr>
              <w:t>-135,116</w:t>
            </w:r>
          </w:p>
        </w:tc>
      </w:tr>
      <w:tr w:rsidR="0075354F" w:rsidRPr="0075354F" w14:paraId="40A15E42" w14:textId="77777777" w:rsidTr="0075354F">
        <w:trPr>
          <w:trHeight w:val="290"/>
        </w:trPr>
        <w:tc>
          <w:tcPr>
            <w:tcW w:w="569" w:type="pct"/>
            <w:tcBorders>
              <w:top w:val="nil"/>
              <w:left w:val="single" w:sz="8" w:space="0" w:color="auto"/>
              <w:bottom w:val="nil"/>
              <w:right w:val="nil"/>
            </w:tcBorders>
            <w:noWrap/>
            <w:vAlign w:val="center"/>
            <w:hideMark/>
          </w:tcPr>
          <w:p w14:paraId="19073311" w14:textId="77777777" w:rsidR="0075354F" w:rsidRPr="0075354F" w:rsidRDefault="0075354F" w:rsidP="0075354F">
            <w:pPr>
              <w:jc w:val="right"/>
              <w:rPr>
                <w:rFonts w:cs="Arial"/>
                <w:color w:val="000000"/>
                <w:sz w:val="22"/>
                <w:szCs w:val="22"/>
              </w:rPr>
            </w:pPr>
            <w:r w:rsidRPr="0075354F">
              <w:rPr>
                <w:rFonts w:cs="Arial"/>
                <w:color w:val="000000"/>
                <w:sz w:val="22"/>
                <w:szCs w:val="22"/>
              </w:rPr>
              <w:t>80300</w:t>
            </w:r>
          </w:p>
        </w:tc>
        <w:tc>
          <w:tcPr>
            <w:tcW w:w="1525" w:type="pct"/>
            <w:tcBorders>
              <w:top w:val="nil"/>
              <w:left w:val="single" w:sz="8" w:space="0" w:color="auto"/>
              <w:bottom w:val="nil"/>
              <w:right w:val="nil"/>
            </w:tcBorders>
            <w:noWrap/>
            <w:vAlign w:val="center"/>
            <w:hideMark/>
          </w:tcPr>
          <w:p w14:paraId="443EE320" w14:textId="77777777" w:rsidR="0075354F" w:rsidRPr="0075354F" w:rsidRDefault="0075354F" w:rsidP="0075354F">
            <w:pPr>
              <w:rPr>
                <w:rFonts w:cs="Arial"/>
                <w:color w:val="000000"/>
                <w:sz w:val="22"/>
                <w:szCs w:val="22"/>
              </w:rPr>
            </w:pPr>
            <w:r w:rsidRPr="0075354F">
              <w:rPr>
                <w:rFonts w:cs="Arial"/>
                <w:color w:val="000000"/>
                <w:sz w:val="22"/>
                <w:szCs w:val="22"/>
              </w:rPr>
              <w:t>St Lukes</w:t>
            </w:r>
          </w:p>
        </w:tc>
        <w:tc>
          <w:tcPr>
            <w:tcW w:w="1038" w:type="pct"/>
            <w:tcBorders>
              <w:top w:val="nil"/>
              <w:left w:val="single" w:sz="8" w:space="0" w:color="auto"/>
              <w:bottom w:val="nil"/>
              <w:right w:val="single" w:sz="8" w:space="0" w:color="auto"/>
            </w:tcBorders>
            <w:noWrap/>
            <w:vAlign w:val="center"/>
            <w:hideMark/>
          </w:tcPr>
          <w:p w14:paraId="3B9C1532" w14:textId="77777777" w:rsidR="0075354F" w:rsidRPr="007A76D3" w:rsidRDefault="0075354F" w:rsidP="0075354F">
            <w:pPr>
              <w:jc w:val="right"/>
              <w:rPr>
                <w:rFonts w:cs="Arial"/>
                <w:color w:val="ED0000"/>
                <w:sz w:val="22"/>
                <w:szCs w:val="22"/>
              </w:rPr>
            </w:pPr>
            <w:r w:rsidRPr="007A76D3">
              <w:rPr>
                <w:rFonts w:cs="Arial"/>
                <w:color w:val="ED0000"/>
                <w:sz w:val="22"/>
                <w:szCs w:val="22"/>
              </w:rPr>
              <w:t>-179,682</w:t>
            </w:r>
          </w:p>
        </w:tc>
        <w:tc>
          <w:tcPr>
            <w:tcW w:w="894" w:type="pct"/>
            <w:tcBorders>
              <w:top w:val="nil"/>
              <w:left w:val="nil"/>
              <w:bottom w:val="nil"/>
              <w:right w:val="single" w:sz="8" w:space="0" w:color="auto"/>
            </w:tcBorders>
            <w:noWrap/>
            <w:vAlign w:val="center"/>
            <w:hideMark/>
          </w:tcPr>
          <w:p w14:paraId="6DE5FF72" w14:textId="77777777" w:rsidR="0075354F" w:rsidRPr="007A76D3" w:rsidRDefault="0075354F" w:rsidP="0075354F">
            <w:pPr>
              <w:jc w:val="right"/>
              <w:rPr>
                <w:rFonts w:cs="Arial"/>
                <w:color w:val="ED0000"/>
                <w:sz w:val="22"/>
                <w:szCs w:val="22"/>
              </w:rPr>
            </w:pPr>
            <w:r w:rsidRPr="007A76D3">
              <w:rPr>
                <w:rFonts w:cs="Arial"/>
                <w:color w:val="ED0000"/>
                <w:sz w:val="22"/>
                <w:szCs w:val="22"/>
              </w:rPr>
              <w:t>-186,199</w:t>
            </w:r>
          </w:p>
        </w:tc>
        <w:tc>
          <w:tcPr>
            <w:tcW w:w="975" w:type="pct"/>
            <w:tcBorders>
              <w:top w:val="nil"/>
              <w:left w:val="nil"/>
              <w:bottom w:val="nil"/>
              <w:right w:val="single" w:sz="8" w:space="0" w:color="auto"/>
            </w:tcBorders>
            <w:noWrap/>
            <w:vAlign w:val="center"/>
            <w:hideMark/>
          </w:tcPr>
          <w:p w14:paraId="2B85A1EA" w14:textId="77777777" w:rsidR="0075354F" w:rsidRPr="007A76D3" w:rsidRDefault="0075354F" w:rsidP="0075354F">
            <w:pPr>
              <w:jc w:val="right"/>
              <w:rPr>
                <w:rFonts w:ascii="Aptos Narrow" w:hAnsi="Aptos Narrow"/>
                <w:color w:val="ED0000"/>
                <w:sz w:val="22"/>
                <w:szCs w:val="22"/>
              </w:rPr>
            </w:pPr>
            <w:r w:rsidRPr="007A76D3">
              <w:rPr>
                <w:rFonts w:ascii="Aptos Narrow" w:hAnsi="Aptos Narrow"/>
                <w:color w:val="ED0000"/>
                <w:sz w:val="22"/>
                <w:szCs w:val="22"/>
              </w:rPr>
              <w:t>-365,880</w:t>
            </w:r>
          </w:p>
        </w:tc>
      </w:tr>
      <w:tr w:rsidR="0075354F" w:rsidRPr="0075354F" w14:paraId="755368AA" w14:textId="77777777" w:rsidTr="0075354F">
        <w:trPr>
          <w:trHeight w:val="290"/>
        </w:trPr>
        <w:tc>
          <w:tcPr>
            <w:tcW w:w="569" w:type="pct"/>
            <w:tcBorders>
              <w:top w:val="nil"/>
              <w:left w:val="single" w:sz="8" w:space="0" w:color="auto"/>
              <w:bottom w:val="nil"/>
              <w:right w:val="nil"/>
            </w:tcBorders>
            <w:noWrap/>
            <w:vAlign w:val="center"/>
            <w:hideMark/>
          </w:tcPr>
          <w:p w14:paraId="09A9D210" w14:textId="77777777" w:rsidR="0075354F" w:rsidRPr="0075354F" w:rsidRDefault="0075354F" w:rsidP="0075354F">
            <w:pPr>
              <w:jc w:val="right"/>
              <w:rPr>
                <w:rFonts w:cs="Arial"/>
                <w:color w:val="000000"/>
                <w:sz w:val="22"/>
                <w:szCs w:val="22"/>
              </w:rPr>
            </w:pPr>
            <w:r w:rsidRPr="0075354F">
              <w:rPr>
                <w:rFonts w:cs="Arial"/>
                <w:color w:val="000000"/>
                <w:sz w:val="22"/>
                <w:szCs w:val="22"/>
              </w:rPr>
              <w:t>80440</w:t>
            </w:r>
          </w:p>
        </w:tc>
        <w:tc>
          <w:tcPr>
            <w:tcW w:w="1525" w:type="pct"/>
            <w:tcBorders>
              <w:top w:val="nil"/>
              <w:left w:val="single" w:sz="8" w:space="0" w:color="auto"/>
              <w:bottom w:val="nil"/>
              <w:right w:val="nil"/>
            </w:tcBorders>
            <w:noWrap/>
            <w:vAlign w:val="center"/>
            <w:hideMark/>
          </w:tcPr>
          <w:p w14:paraId="52EC593F" w14:textId="77777777" w:rsidR="0075354F" w:rsidRPr="0075354F" w:rsidRDefault="0075354F" w:rsidP="0075354F">
            <w:pPr>
              <w:rPr>
                <w:rFonts w:cs="Arial"/>
                <w:color w:val="000000"/>
                <w:sz w:val="22"/>
                <w:szCs w:val="22"/>
              </w:rPr>
            </w:pPr>
            <w:r w:rsidRPr="0075354F">
              <w:rPr>
                <w:rFonts w:cs="Arial"/>
                <w:color w:val="000000"/>
                <w:sz w:val="22"/>
                <w:szCs w:val="22"/>
              </w:rPr>
              <w:t>St Mary / St Michael</w:t>
            </w:r>
          </w:p>
        </w:tc>
        <w:tc>
          <w:tcPr>
            <w:tcW w:w="1038" w:type="pct"/>
            <w:tcBorders>
              <w:top w:val="nil"/>
              <w:left w:val="single" w:sz="8" w:space="0" w:color="auto"/>
              <w:bottom w:val="nil"/>
              <w:right w:val="single" w:sz="8" w:space="0" w:color="auto"/>
            </w:tcBorders>
            <w:noWrap/>
            <w:vAlign w:val="center"/>
            <w:hideMark/>
          </w:tcPr>
          <w:p w14:paraId="5028B0E2" w14:textId="77777777" w:rsidR="0075354F" w:rsidRPr="0075354F" w:rsidRDefault="0075354F" w:rsidP="0075354F">
            <w:pPr>
              <w:jc w:val="right"/>
              <w:rPr>
                <w:rFonts w:cs="Arial"/>
                <w:color w:val="000000"/>
                <w:sz w:val="22"/>
                <w:szCs w:val="22"/>
              </w:rPr>
            </w:pPr>
            <w:r w:rsidRPr="0075354F">
              <w:rPr>
                <w:rFonts w:cs="Arial"/>
                <w:color w:val="000000"/>
                <w:sz w:val="22"/>
                <w:szCs w:val="22"/>
              </w:rPr>
              <w:t>474,770</w:t>
            </w:r>
          </w:p>
        </w:tc>
        <w:tc>
          <w:tcPr>
            <w:tcW w:w="894" w:type="pct"/>
            <w:tcBorders>
              <w:top w:val="nil"/>
              <w:left w:val="nil"/>
              <w:bottom w:val="nil"/>
              <w:right w:val="single" w:sz="8" w:space="0" w:color="auto"/>
            </w:tcBorders>
            <w:noWrap/>
            <w:vAlign w:val="center"/>
            <w:hideMark/>
          </w:tcPr>
          <w:p w14:paraId="4416B6A0" w14:textId="77777777" w:rsidR="0075354F" w:rsidRPr="007A76D3" w:rsidRDefault="0075354F" w:rsidP="0075354F">
            <w:pPr>
              <w:jc w:val="right"/>
              <w:rPr>
                <w:rFonts w:cs="Arial"/>
                <w:color w:val="ED0000"/>
                <w:sz w:val="22"/>
                <w:szCs w:val="22"/>
              </w:rPr>
            </w:pPr>
            <w:r w:rsidRPr="007A76D3">
              <w:rPr>
                <w:rFonts w:cs="Arial"/>
                <w:color w:val="ED0000"/>
                <w:sz w:val="22"/>
                <w:szCs w:val="22"/>
              </w:rPr>
              <w:t>-158,295</w:t>
            </w:r>
          </w:p>
        </w:tc>
        <w:tc>
          <w:tcPr>
            <w:tcW w:w="975" w:type="pct"/>
            <w:tcBorders>
              <w:top w:val="nil"/>
              <w:left w:val="nil"/>
              <w:bottom w:val="nil"/>
              <w:right w:val="single" w:sz="8" w:space="0" w:color="auto"/>
            </w:tcBorders>
            <w:noWrap/>
            <w:vAlign w:val="center"/>
            <w:hideMark/>
          </w:tcPr>
          <w:p w14:paraId="366900E0"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316,475</w:t>
            </w:r>
          </w:p>
        </w:tc>
      </w:tr>
      <w:tr w:rsidR="0075354F" w:rsidRPr="0075354F" w14:paraId="73737F25" w14:textId="77777777" w:rsidTr="0075354F">
        <w:trPr>
          <w:trHeight w:val="290"/>
        </w:trPr>
        <w:tc>
          <w:tcPr>
            <w:tcW w:w="569" w:type="pct"/>
            <w:tcBorders>
              <w:top w:val="nil"/>
              <w:left w:val="single" w:sz="8" w:space="0" w:color="auto"/>
              <w:bottom w:val="nil"/>
              <w:right w:val="nil"/>
            </w:tcBorders>
            <w:noWrap/>
            <w:vAlign w:val="center"/>
            <w:hideMark/>
          </w:tcPr>
          <w:p w14:paraId="1BE3330D" w14:textId="77777777" w:rsidR="0075354F" w:rsidRPr="0075354F" w:rsidRDefault="0075354F" w:rsidP="0075354F">
            <w:pPr>
              <w:jc w:val="right"/>
              <w:rPr>
                <w:rFonts w:cs="Arial"/>
                <w:color w:val="000000"/>
                <w:sz w:val="22"/>
                <w:szCs w:val="22"/>
              </w:rPr>
            </w:pPr>
            <w:r w:rsidRPr="0075354F">
              <w:rPr>
                <w:rFonts w:cs="Arial"/>
                <w:color w:val="000000"/>
                <w:sz w:val="22"/>
                <w:szCs w:val="22"/>
              </w:rPr>
              <w:t>80330</w:t>
            </w:r>
          </w:p>
        </w:tc>
        <w:tc>
          <w:tcPr>
            <w:tcW w:w="1525" w:type="pct"/>
            <w:tcBorders>
              <w:top w:val="nil"/>
              <w:left w:val="single" w:sz="8" w:space="0" w:color="auto"/>
              <w:bottom w:val="nil"/>
              <w:right w:val="nil"/>
            </w:tcBorders>
            <w:noWrap/>
            <w:vAlign w:val="center"/>
            <w:hideMark/>
          </w:tcPr>
          <w:p w14:paraId="762A45C6" w14:textId="77777777" w:rsidR="0075354F" w:rsidRPr="0075354F" w:rsidRDefault="0075354F" w:rsidP="0075354F">
            <w:pPr>
              <w:rPr>
                <w:rFonts w:cs="Arial"/>
                <w:color w:val="000000"/>
                <w:sz w:val="22"/>
                <w:szCs w:val="22"/>
              </w:rPr>
            </w:pPr>
            <w:r w:rsidRPr="0075354F">
              <w:rPr>
                <w:rFonts w:cs="Arial"/>
                <w:color w:val="000000"/>
                <w:sz w:val="22"/>
                <w:szCs w:val="22"/>
              </w:rPr>
              <w:t>St Paul / St Luke</w:t>
            </w:r>
          </w:p>
        </w:tc>
        <w:tc>
          <w:tcPr>
            <w:tcW w:w="1038" w:type="pct"/>
            <w:tcBorders>
              <w:top w:val="nil"/>
              <w:left w:val="single" w:sz="8" w:space="0" w:color="auto"/>
              <w:bottom w:val="nil"/>
              <w:right w:val="single" w:sz="8" w:space="0" w:color="auto"/>
            </w:tcBorders>
            <w:noWrap/>
            <w:vAlign w:val="center"/>
            <w:hideMark/>
          </w:tcPr>
          <w:p w14:paraId="4EC3A4C8" w14:textId="77777777" w:rsidR="0075354F" w:rsidRPr="0075354F" w:rsidRDefault="0075354F" w:rsidP="0075354F">
            <w:pPr>
              <w:jc w:val="right"/>
              <w:rPr>
                <w:rFonts w:cs="Arial"/>
                <w:color w:val="000000"/>
                <w:sz w:val="22"/>
                <w:szCs w:val="22"/>
              </w:rPr>
            </w:pPr>
            <w:r w:rsidRPr="0075354F">
              <w:rPr>
                <w:rFonts w:cs="Arial"/>
                <w:color w:val="000000"/>
                <w:sz w:val="22"/>
                <w:szCs w:val="22"/>
              </w:rPr>
              <w:t>83,314</w:t>
            </w:r>
          </w:p>
        </w:tc>
        <w:tc>
          <w:tcPr>
            <w:tcW w:w="894" w:type="pct"/>
            <w:tcBorders>
              <w:top w:val="nil"/>
              <w:left w:val="nil"/>
              <w:bottom w:val="nil"/>
              <w:right w:val="single" w:sz="8" w:space="0" w:color="auto"/>
            </w:tcBorders>
            <w:noWrap/>
            <w:vAlign w:val="center"/>
            <w:hideMark/>
          </w:tcPr>
          <w:p w14:paraId="42955D34" w14:textId="77777777" w:rsidR="0075354F" w:rsidRPr="007A76D3" w:rsidRDefault="0075354F" w:rsidP="0075354F">
            <w:pPr>
              <w:jc w:val="right"/>
              <w:rPr>
                <w:rFonts w:cs="Arial"/>
                <w:color w:val="ED0000"/>
                <w:sz w:val="22"/>
                <w:szCs w:val="22"/>
              </w:rPr>
            </w:pPr>
            <w:r w:rsidRPr="007A76D3">
              <w:rPr>
                <w:rFonts w:cs="Arial"/>
                <w:color w:val="ED0000"/>
                <w:sz w:val="22"/>
                <w:szCs w:val="22"/>
              </w:rPr>
              <w:t>-49,092</w:t>
            </w:r>
          </w:p>
        </w:tc>
        <w:tc>
          <w:tcPr>
            <w:tcW w:w="975" w:type="pct"/>
            <w:tcBorders>
              <w:top w:val="nil"/>
              <w:left w:val="nil"/>
              <w:bottom w:val="nil"/>
              <w:right w:val="single" w:sz="8" w:space="0" w:color="auto"/>
            </w:tcBorders>
            <w:noWrap/>
            <w:vAlign w:val="center"/>
            <w:hideMark/>
          </w:tcPr>
          <w:p w14:paraId="772577D8"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34,222</w:t>
            </w:r>
          </w:p>
        </w:tc>
      </w:tr>
      <w:tr w:rsidR="0075354F" w:rsidRPr="0075354F" w14:paraId="61AD0D82" w14:textId="77777777" w:rsidTr="0075354F">
        <w:trPr>
          <w:trHeight w:val="290"/>
        </w:trPr>
        <w:tc>
          <w:tcPr>
            <w:tcW w:w="569" w:type="pct"/>
            <w:tcBorders>
              <w:top w:val="nil"/>
              <w:left w:val="single" w:sz="8" w:space="0" w:color="auto"/>
              <w:bottom w:val="nil"/>
              <w:right w:val="nil"/>
            </w:tcBorders>
            <w:noWrap/>
            <w:vAlign w:val="center"/>
            <w:hideMark/>
          </w:tcPr>
          <w:p w14:paraId="30E19B04" w14:textId="77777777" w:rsidR="0075354F" w:rsidRPr="0075354F" w:rsidRDefault="0075354F" w:rsidP="0075354F">
            <w:pPr>
              <w:jc w:val="right"/>
              <w:rPr>
                <w:rFonts w:cs="Arial"/>
                <w:color w:val="000000"/>
                <w:sz w:val="22"/>
                <w:szCs w:val="22"/>
              </w:rPr>
            </w:pPr>
            <w:r w:rsidRPr="0075354F">
              <w:rPr>
                <w:rFonts w:cs="Arial"/>
                <w:color w:val="000000"/>
                <w:sz w:val="22"/>
                <w:szCs w:val="22"/>
              </w:rPr>
              <w:t>80325</w:t>
            </w:r>
          </w:p>
        </w:tc>
        <w:tc>
          <w:tcPr>
            <w:tcW w:w="1525" w:type="pct"/>
            <w:tcBorders>
              <w:top w:val="nil"/>
              <w:left w:val="single" w:sz="8" w:space="0" w:color="auto"/>
              <w:bottom w:val="nil"/>
              <w:right w:val="nil"/>
            </w:tcBorders>
            <w:noWrap/>
            <w:vAlign w:val="center"/>
            <w:hideMark/>
          </w:tcPr>
          <w:p w14:paraId="5A04A392" w14:textId="77777777" w:rsidR="0075354F" w:rsidRPr="0075354F" w:rsidRDefault="0075354F" w:rsidP="0075354F">
            <w:pPr>
              <w:rPr>
                <w:rFonts w:cs="Arial"/>
                <w:color w:val="000000"/>
                <w:sz w:val="22"/>
                <w:szCs w:val="22"/>
              </w:rPr>
            </w:pPr>
            <w:r w:rsidRPr="0075354F">
              <w:rPr>
                <w:rFonts w:cs="Arial"/>
                <w:color w:val="000000"/>
                <w:sz w:val="22"/>
                <w:szCs w:val="22"/>
              </w:rPr>
              <w:t>St Pauls Whitechapel</w:t>
            </w:r>
          </w:p>
        </w:tc>
        <w:tc>
          <w:tcPr>
            <w:tcW w:w="1038" w:type="pct"/>
            <w:tcBorders>
              <w:top w:val="nil"/>
              <w:left w:val="single" w:sz="8" w:space="0" w:color="auto"/>
              <w:bottom w:val="nil"/>
              <w:right w:val="single" w:sz="8" w:space="0" w:color="auto"/>
            </w:tcBorders>
            <w:noWrap/>
            <w:vAlign w:val="center"/>
            <w:hideMark/>
          </w:tcPr>
          <w:p w14:paraId="7F03FDF0" w14:textId="77777777" w:rsidR="0075354F" w:rsidRPr="0075354F" w:rsidRDefault="0075354F" w:rsidP="0075354F">
            <w:pPr>
              <w:jc w:val="right"/>
              <w:rPr>
                <w:rFonts w:cs="Arial"/>
                <w:color w:val="000000"/>
                <w:sz w:val="22"/>
                <w:szCs w:val="22"/>
              </w:rPr>
            </w:pPr>
            <w:r w:rsidRPr="0075354F">
              <w:rPr>
                <w:rFonts w:cs="Arial"/>
                <w:color w:val="000000"/>
                <w:sz w:val="22"/>
                <w:szCs w:val="22"/>
              </w:rPr>
              <w:t>162,617</w:t>
            </w:r>
          </w:p>
        </w:tc>
        <w:tc>
          <w:tcPr>
            <w:tcW w:w="894" w:type="pct"/>
            <w:tcBorders>
              <w:top w:val="nil"/>
              <w:left w:val="nil"/>
              <w:bottom w:val="nil"/>
              <w:right w:val="single" w:sz="8" w:space="0" w:color="auto"/>
            </w:tcBorders>
            <w:noWrap/>
            <w:vAlign w:val="center"/>
            <w:hideMark/>
          </w:tcPr>
          <w:p w14:paraId="5731E196" w14:textId="77777777" w:rsidR="0075354F" w:rsidRPr="0075354F" w:rsidRDefault="0075354F" w:rsidP="0075354F">
            <w:pPr>
              <w:jc w:val="right"/>
              <w:rPr>
                <w:rFonts w:cs="Arial"/>
                <w:color w:val="000000"/>
                <w:sz w:val="22"/>
                <w:szCs w:val="22"/>
              </w:rPr>
            </w:pPr>
            <w:r w:rsidRPr="0075354F">
              <w:rPr>
                <w:rFonts w:cs="Arial"/>
                <w:color w:val="000000"/>
                <w:sz w:val="22"/>
                <w:szCs w:val="22"/>
              </w:rPr>
              <w:t>9,951</w:t>
            </w:r>
          </w:p>
        </w:tc>
        <w:tc>
          <w:tcPr>
            <w:tcW w:w="975" w:type="pct"/>
            <w:tcBorders>
              <w:top w:val="nil"/>
              <w:left w:val="nil"/>
              <w:bottom w:val="nil"/>
              <w:right w:val="single" w:sz="8" w:space="0" w:color="auto"/>
            </w:tcBorders>
            <w:noWrap/>
            <w:vAlign w:val="center"/>
            <w:hideMark/>
          </w:tcPr>
          <w:p w14:paraId="2FA82C02"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172,568</w:t>
            </w:r>
          </w:p>
        </w:tc>
      </w:tr>
      <w:tr w:rsidR="0075354F" w:rsidRPr="0075354F" w14:paraId="37A5B70B" w14:textId="77777777" w:rsidTr="0075354F">
        <w:trPr>
          <w:trHeight w:val="290"/>
        </w:trPr>
        <w:tc>
          <w:tcPr>
            <w:tcW w:w="569" w:type="pct"/>
            <w:tcBorders>
              <w:top w:val="nil"/>
              <w:left w:val="single" w:sz="8" w:space="0" w:color="auto"/>
              <w:bottom w:val="nil"/>
              <w:right w:val="nil"/>
            </w:tcBorders>
            <w:noWrap/>
            <w:vAlign w:val="center"/>
            <w:hideMark/>
          </w:tcPr>
          <w:p w14:paraId="46EC2AB0" w14:textId="77777777" w:rsidR="0075354F" w:rsidRPr="0075354F" w:rsidRDefault="0075354F" w:rsidP="0075354F">
            <w:pPr>
              <w:jc w:val="right"/>
              <w:rPr>
                <w:rFonts w:cs="Arial"/>
                <w:color w:val="000000"/>
                <w:sz w:val="22"/>
                <w:szCs w:val="22"/>
              </w:rPr>
            </w:pPr>
            <w:r w:rsidRPr="0075354F">
              <w:rPr>
                <w:rFonts w:cs="Arial"/>
                <w:color w:val="000000"/>
                <w:sz w:val="22"/>
                <w:szCs w:val="22"/>
              </w:rPr>
              <w:t>80335</w:t>
            </w:r>
          </w:p>
        </w:tc>
        <w:tc>
          <w:tcPr>
            <w:tcW w:w="1525" w:type="pct"/>
            <w:tcBorders>
              <w:top w:val="nil"/>
              <w:left w:val="single" w:sz="8" w:space="0" w:color="auto"/>
              <w:bottom w:val="nil"/>
              <w:right w:val="nil"/>
            </w:tcBorders>
            <w:noWrap/>
            <w:vAlign w:val="center"/>
            <w:hideMark/>
          </w:tcPr>
          <w:p w14:paraId="6D2E8271" w14:textId="77777777" w:rsidR="0075354F" w:rsidRPr="0075354F" w:rsidRDefault="0075354F" w:rsidP="0075354F">
            <w:pPr>
              <w:rPr>
                <w:rFonts w:cs="Arial"/>
                <w:color w:val="000000"/>
                <w:sz w:val="22"/>
                <w:szCs w:val="22"/>
              </w:rPr>
            </w:pPr>
            <w:r w:rsidRPr="0075354F">
              <w:rPr>
                <w:rFonts w:cs="Arial"/>
                <w:color w:val="000000"/>
                <w:sz w:val="22"/>
                <w:szCs w:val="22"/>
              </w:rPr>
              <w:t>St Peters</w:t>
            </w:r>
          </w:p>
        </w:tc>
        <w:tc>
          <w:tcPr>
            <w:tcW w:w="1038" w:type="pct"/>
            <w:tcBorders>
              <w:top w:val="nil"/>
              <w:left w:val="single" w:sz="8" w:space="0" w:color="auto"/>
              <w:bottom w:val="nil"/>
              <w:right w:val="single" w:sz="8" w:space="0" w:color="auto"/>
            </w:tcBorders>
            <w:noWrap/>
            <w:vAlign w:val="center"/>
            <w:hideMark/>
          </w:tcPr>
          <w:p w14:paraId="2C4F2775" w14:textId="77777777" w:rsidR="0075354F" w:rsidRPr="0075354F" w:rsidRDefault="0075354F" w:rsidP="0075354F">
            <w:pPr>
              <w:jc w:val="right"/>
              <w:rPr>
                <w:rFonts w:cs="Arial"/>
                <w:color w:val="000000"/>
                <w:sz w:val="22"/>
                <w:szCs w:val="22"/>
              </w:rPr>
            </w:pPr>
            <w:r w:rsidRPr="0075354F">
              <w:rPr>
                <w:rFonts w:cs="Arial"/>
                <w:color w:val="000000"/>
                <w:sz w:val="22"/>
                <w:szCs w:val="22"/>
              </w:rPr>
              <w:t>133,469</w:t>
            </w:r>
          </w:p>
        </w:tc>
        <w:tc>
          <w:tcPr>
            <w:tcW w:w="894" w:type="pct"/>
            <w:tcBorders>
              <w:top w:val="nil"/>
              <w:left w:val="nil"/>
              <w:bottom w:val="nil"/>
              <w:right w:val="single" w:sz="8" w:space="0" w:color="auto"/>
            </w:tcBorders>
            <w:noWrap/>
            <w:vAlign w:val="center"/>
            <w:hideMark/>
          </w:tcPr>
          <w:p w14:paraId="73A97776" w14:textId="77777777" w:rsidR="0075354F" w:rsidRPr="0075354F" w:rsidRDefault="0075354F" w:rsidP="0075354F">
            <w:pPr>
              <w:jc w:val="right"/>
              <w:rPr>
                <w:rFonts w:cs="Arial"/>
                <w:color w:val="000000"/>
                <w:sz w:val="22"/>
                <w:szCs w:val="22"/>
              </w:rPr>
            </w:pPr>
            <w:r w:rsidRPr="0075354F">
              <w:rPr>
                <w:rFonts w:cs="Arial"/>
                <w:color w:val="000000"/>
                <w:sz w:val="22"/>
                <w:szCs w:val="22"/>
              </w:rPr>
              <w:t>5,792</w:t>
            </w:r>
          </w:p>
        </w:tc>
        <w:tc>
          <w:tcPr>
            <w:tcW w:w="975" w:type="pct"/>
            <w:tcBorders>
              <w:top w:val="nil"/>
              <w:left w:val="nil"/>
              <w:bottom w:val="nil"/>
              <w:right w:val="single" w:sz="8" w:space="0" w:color="auto"/>
            </w:tcBorders>
            <w:noWrap/>
            <w:vAlign w:val="center"/>
            <w:hideMark/>
          </w:tcPr>
          <w:p w14:paraId="4758E067"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139,261</w:t>
            </w:r>
          </w:p>
        </w:tc>
      </w:tr>
      <w:tr w:rsidR="0075354F" w:rsidRPr="0075354F" w14:paraId="36069C64" w14:textId="77777777" w:rsidTr="0075354F">
        <w:trPr>
          <w:trHeight w:val="290"/>
        </w:trPr>
        <w:tc>
          <w:tcPr>
            <w:tcW w:w="569" w:type="pct"/>
            <w:tcBorders>
              <w:top w:val="nil"/>
              <w:left w:val="single" w:sz="8" w:space="0" w:color="auto"/>
              <w:bottom w:val="nil"/>
              <w:right w:val="nil"/>
            </w:tcBorders>
            <w:noWrap/>
            <w:vAlign w:val="center"/>
            <w:hideMark/>
          </w:tcPr>
          <w:p w14:paraId="6B6C02DA" w14:textId="77777777" w:rsidR="0075354F" w:rsidRPr="0075354F" w:rsidRDefault="0075354F" w:rsidP="0075354F">
            <w:pPr>
              <w:jc w:val="right"/>
              <w:rPr>
                <w:rFonts w:cs="Arial"/>
                <w:color w:val="000000"/>
                <w:sz w:val="22"/>
                <w:szCs w:val="22"/>
              </w:rPr>
            </w:pPr>
            <w:r w:rsidRPr="0075354F">
              <w:rPr>
                <w:rFonts w:cs="Arial"/>
                <w:color w:val="000000"/>
                <w:sz w:val="22"/>
                <w:szCs w:val="22"/>
              </w:rPr>
              <w:t>80340</w:t>
            </w:r>
          </w:p>
        </w:tc>
        <w:tc>
          <w:tcPr>
            <w:tcW w:w="1525" w:type="pct"/>
            <w:tcBorders>
              <w:top w:val="nil"/>
              <w:left w:val="single" w:sz="8" w:space="0" w:color="auto"/>
              <w:bottom w:val="nil"/>
              <w:right w:val="nil"/>
            </w:tcBorders>
            <w:noWrap/>
            <w:vAlign w:val="center"/>
            <w:hideMark/>
          </w:tcPr>
          <w:p w14:paraId="29B64794" w14:textId="77777777" w:rsidR="0075354F" w:rsidRPr="0075354F" w:rsidRDefault="0075354F" w:rsidP="0075354F">
            <w:pPr>
              <w:rPr>
                <w:rFonts w:cs="Arial"/>
                <w:color w:val="000000"/>
                <w:sz w:val="22"/>
                <w:szCs w:val="22"/>
              </w:rPr>
            </w:pPr>
            <w:r w:rsidRPr="0075354F">
              <w:rPr>
                <w:rFonts w:cs="Arial"/>
                <w:color w:val="000000"/>
                <w:sz w:val="22"/>
                <w:szCs w:val="22"/>
              </w:rPr>
              <w:t>St Saviours</w:t>
            </w:r>
          </w:p>
        </w:tc>
        <w:tc>
          <w:tcPr>
            <w:tcW w:w="1038" w:type="pct"/>
            <w:tcBorders>
              <w:top w:val="nil"/>
              <w:left w:val="single" w:sz="8" w:space="0" w:color="auto"/>
              <w:bottom w:val="nil"/>
              <w:right w:val="single" w:sz="8" w:space="0" w:color="auto"/>
            </w:tcBorders>
            <w:noWrap/>
            <w:vAlign w:val="center"/>
            <w:hideMark/>
          </w:tcPr>
          <w:p w14:paraId="50E4BF46" w14:textId="77777777" w:rsidR="0075354F" w:rsidRPr="0075354F" w:rsidRDefault="0075354F" w:rsidP="0075354F">
            <w:pPr>
              <w:jc w:val="right"/>
              <w:rPr>
                <w:rFonts w:cs="Arial"/>
                <w:color w:val="000000"/>
                <w:sz w:val="22"/>
                <w:szCs w:val="22"/>
              </w:rPr>
            </w:pPr>
            <w:r w:rsidRPr="0075354F">
              <w:rPr>
                <w:rFonts w:cs="Arial"/>
                <w:color w:val="000000"/>
                <w:sz w:val="22"/>
                <w:szCs w:val="22"/>
              </w:rPr>
              <w:t>125,427</w:t>
            </w:r>
          </w:p>
        </w:tc>
        <w:tc>
          <w:tcPr>
            <w:tcW w:w="894" w:type="pct"/>
            <w:tcBorders>
              <w:top w:val="nil"/>
              <w:left w:val="nil"/>
              <w:bottom w:val="nil"/>
              <w:right w:val="single" w:sz="8" w:space="0" w:color="auto"/>
            </w:tcBorders>
            <w:noWrap/>
            <w:vAlign w:val="center"/>
            <w:hideMark/>
          </w:tcPr>
          <w:p w14:paraId="728AB758" w14:textId="77777777" w:rsidR="0075354F" w:rsidRPr="007A76D3" w:rsidRDefault="0075354F" w:rsidP="0075354F">
            <w:pPr>
              <w:jc w:val="right"/>
              <w:rPr>
                <w:rFonts w:cs="Arial"/>
                <w:color w:val="ED0000"/>
                <w:sz w:val="22"/>
                <w:szCs w:val="22"/>
              </w:rPr>
            </w:pPr>
            <w:r w:rsidRPr="007A76D3">
              <w:rPr>
                <w:rFonts w:cs="Arial"/>
                <w:color w:val="ED0000"/>
                <w:sz w:val="22"/>
                <w:szCs w:val="22"/>
              </w:rPr>
              <w:t>-66,170</w:t>
            </w:r>
          </w:p>
        </w:tc>
        <w:tc>
          <w:tcPr>
            <w:tcW w:w="975" w:type="pct"/>
            <w:tcBorders>
              <w:top w:val="nil"/>
              <w:left w:val="nil"/>
              <w:bottom w:val="nil"/>
              <w:right w:val="single" w:sz="8" w:space="0" w:color="auto"/>
            </w:tcBorders>
            <w:noWrap/>
            <w:vAlign w:val="center"/>
            <w:hideMark/>
          </w:tcPr>
          <w:p w14:paraId="4EA89FC8"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59,256</w:t>
            </w:r>
          </w:p>
        </w:tc>
      </w:tr>
      <w:tr w:rsidR="0075354F" w:rsidRPr="0075354F" w14:paraId="665EDFDB" w14:textId="77777777" w:rsidTr="0075354F">
        <w:trPr>
          <w:trHeight w:val="290"/>
        </w:trPr>
        <w:tc>
          <w:tcPr>
            <w:tcW w:w="569" w:type="pct"/>
            <w:tcBorders>
              <w:top w:val="nil"/>
              <w:left w:val="single" w:sz="8" w:space="0" w:color="auto"/>
              <w:bottom w:val="nil"/>
              <w:right w:val="nil"/>
            </w:tcBorders>
            <w:noWrap/>
            <w:vAlign w:val="center"/>
            <w:hideMark/>
          </w:tcPr>
          <w:p w14:paraId="36AA6EE9" w14:textId="77777777" w:rsidR="0075354F" w:rsidRPr="0075354F" w:rsidRDefault="0075354F" w:rsidP="0075354F">
            <w:pPr>
              <w:jc w:val="right"/>
              <w:rPr>
                <w:rFonts w:cs="Arial"/>
                <w:color w:val="000000"/>
                <w:sz w:val="22"/>
                <w:szCs w:val="22"/>
              </w:rPr>
            </w:pPr>
            <w:r w:rsidRPr="0075354F">
              <w:rPr>
                <w:rFonts w:cs="Arial"/>
                <w:color w:val="000000"/>
                <w:sz w:val="22"/>
                <w:szCs w:val="22"/>
              </w:rPr>
              <w:t>80640</w:t>
            </w:r>
          </w:p>
        </w:tc>
        <w:tc>
          <w:tcPr>
            <w:tcW w:w="1525" w:type="pct"/>
            <w:tcBorders>
              <w:top w:val="nil"/>
              <w:left w:val="single" w:sz="8" w:space="0" w:color="auto"/>
              <w:bottom w:val="nil"/>
              <w:right w:val="nil"/>
            </w:tcBorders>
            <w:noWrap/>
            <w:vAlign w:val="center"/>
            <w:hideMark/>
          </w:tcPr>
          <w:p w14:paraId="436DBE88" w14:textId="77777777" w:rsidR="0075354F" w:rsidRPr="0075354F" w:rsidRDefault="0075354F" w:rsidP="0075354F">
            <w:pPr>
              <w:rPr>
                <w:rFonts w:cs="Arial"/>
                <w:color w:val="000000"/>
                <w:sz w:val="22"/>
                <w:szCs w:val="22"/>
              </w:rPr>
            </w:pPr>
            <w:r w:rsidRPr="0075354F">
              <w:rPr>
                <w:rFonts w:cs="Arial"/>
                <w:color w:val="000000"/>
                <w:sz w:val="22"/>
                <w:szCs w:val="22"/>
              </w:rPr>
              <w:t>Stephen Hawkings</w:t>
            </w:r>
          </w:p>
        </w:tc>
        <w:tc>
          <w:tcPr>
            <w:tcW w:w="1038" w:type="pct"/>
            <w:tcBorders>
              <w:top w:val="nil"/>
              <w:left w:val="single" w:sz="8" w:space="0" w:color="auto"/>
              <w:bottom w:val="nil"/>
              <w:right w:val="single" w:sz="8" w:space="0" w:color="auto"/>
            </w:tcBorders>
            <w:noWrap/>
            <w:vAlign w:val="center"/>
            <w:hideMark/>
          </w:tcPr>
          <w:p w14:paraId="643331BC" w14:textId="77777777" w:rsidR="0075354F" w:rsidRPr="0075354F" w:rsidRDefault="0075354F" w:rsidP="0075354F">
            <w:pPr>
              <w:jc w:val="right"/>
              <w:rPr>
                <w:rFonts w:cs="Arial"/>
                <w:color w:val="000000"/>
                <w:sz w:val="22"/>
                <w:szCs w:val="22"/>
              </w:rPr>
            </w:pPr>
            <w:r w:rsidRPr="0075354F">
              <w:rPr>
                <w:rFonts w:cs="Arial"/>
                <w:color w:val="000000"/>
                <w:sz w:val="22"/>
                <w:szCs w:val="22"/>
              </w:rPr>
              <w:t>1,232,499</w:t>
            </w:r>
          </w:p>
        </w:tc>
        <w:tc>
          <w:tcPr>
            <w:tcW w:w="894" w:type="pct"/>
            <w:tcBorders>
              <w:top w:val="nil"/>
              <w:left w:val="nil"/>
              <w:bottom w:val="nil"/>
              <w:right w:val="single" w:sz="8" w:space="0" w:color="auto"/>
            </w:tcBorders>
            <w:noWrap/>
            <w:vAlign w:val="center"/>
            <w:hideMark/>
          </w:tcPr>
          <w:p w14:paraId="1B07DA55" w14:textId="77777777" w:rsidR="0075354F" w:rsidRPr="0075354F" w:rsidRDefault="0075354F" w:rsidP="0075354F">
            <w:pPr>
              <w:jc w:val="right"/>
              <w:rPr>
                <w:rFonts w:cs="Arial"/>
                <w:color w:val="000000"/>
                <w:sz w:val="22"/>
                <w:szCs w:val="22"/>
              </w:rPr>
            </w:pPr>
            <w:r w:rsidRPr="0075354F">
              <w:rPr>
                <w:rFonts w:cs="Arial"/>
                <w:color w:val="000000"/>
                <w:sz w:val="22"/>
                <w:szCs w:val="22"/>
              </w:rPr>
              <w:t>90,852</w:t>
            </w:r>
          </w:p>
        </w:tc>
        <w:tc>
          <w:tcPr>
            <w:tcW w:w="975" w:type="pct"/>
            <w:tcBorders>
              <w:top w:val="nil"/>
              <w:left w:val="nil"/>
              <w:bottom w:val="nil"/>
              <w:right w:val="single" w:sz="8" w:space="0" w:color="auto"/>
            </w:tcBorders>
            <w:noWrap/>
            <w:vAlign w:val="center"/>
            <w:hideMark/>
          </w:tcPr>
          <w:p w14:paraId="174FAAF9"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1,323,350</w:t>
            </w:r>
          </w:p>
        </w:tc>
      </w:tr>
      <w:tr w:rsidR="0075354F" w:rsidRPr="0075354F" w14:paraId="4F1D4207" w14:textId="77777777" w:rsidTr="0075354F">
        <w:trPr>
          <w:trHeight w:val="290"/>
        </w:trPr>
        <w:tc>
          <w:tcPr>
            <w:tcW w:w="569" w:type="pct"/>
            <w:tcBorders>
              <w:top w:val="nil"/>
              <w:left w:val="single" w:sz="8" w:space="0" w:color="auto"/>
              <w:bottom w:val="nil"/>
              <w:right w:val="nil"/>
            </w:tcBorders>
            <w:noWrap/>
            <w:vAlign w:val="center"/>
            <w:hideMark/>
          </w:tcPr>
          <w:p w14:paraId="60BEC6BF" w14:textId="77777777" w:rsidR="0075354F" w:rsidRPr="0075354F" w:rsidRDefault="0075354F" w:rsidP="0075354F">
            <w:pPr>
              <w:jc w:val="right"/>
              <w:rPr>
                <w:rFonts w:cs="Arial"/>
                <w:color w:val="000000"/>
                <w:sz w:val="22"/>
                <w:szCs w:val="22"/>
              </w:rPr>
            </w:pPr>
            <w:r w:rsidRPr="0075354F">
              <w:rPr>
                <w:rFonts w:cs="Arial"/>
                <w:color w:val="000000"/>
                <w:sz w:val="22"/>
                <w:szCs w:val="22"/>
              </w:rPr>
              <w:t>80555</w:t>
            </w:r>
          </w:p>
        </w:tc>
        <w:tc>
          <w:tcPr>
            <w:tcW w:w="1525" w:type="pct"/>
            <w:tcBorders>
              <w:top w:val="nil"/>
              <w:left w:val="single" w:sz="8" w:space="0" w:color="auto"/>
              <w:bottom w:val="nil"/>
              <w:right w:val="nil"/>
            </w:tcBorders>
            <w:noWrap/>
            <w:vAlign w:val="center"/>
            <w:hideMark/>
          </w:tcPr>
          <w:p w14:paraId="11DB86B3" w14:textId="77777777" w:rsidR="0075354F" w:rsidRPr="0075354F" w:rsidRDefault="0075354F" w:rsidP="0075354F">
            <w:pPr>
              <w:rPr>
                <w:rFonts w:cs="Arial"/>
                <w:color w:val="000000"/>
                <w:sz w:val="22"/>
                <w:szCs w:val="22"/>
              </w:rPr>
            </w:pPr>
            <w:r w:rsidRPr="0075354F">
              <w:rPr>
                <w:rFonts w:cs="Arial"/>
                <w:color w:val="000000"/>
                <w:sz w:val="22"/>
                <w:szCs w:val="22"/>
              </w:rPr>
              <w:t>Stepney All Saints</w:t>
            </w:r>
          </w:p>
        </w:tc>
        <w:tc>
          <w:tcPr>
            <w:tcW w:w="1038" w:type="pct"/>
            <w:tcBorders>
              <w:top w:val="nil"/>
              <w:left w:val="single" w:sz="8" w:space="0" w:color="auto"/>
              <w:bottom w:val="nil"/>
              <w:right w:val="single" w:sz="8" w:space="0" w:color="auto"/>
            </w:tcBorders>
            <w:noWrap/>
            <w:vAlign w:val="center"/>
            <w:hideMark/>
          </w:tcPr>
          <w:p w14:paraId="2DCB376D" w14:textId="77777777" w:rsidR="0075354F" w:rsidRPr="0075354F" w:rsidRDefault="0075354F" w:rsidP="0075354F">
            <w:pPr>
              <w:jc w:val="right"/>
              <w:rPr>
                <w:rFonts w:cs="Arial"/>
                <w:color w:val="000000"/>
                <w:sz w:val="22"/>
                <w:szCs w:val="22"/>
              </w:rPr>
            </w:pPr>
            <w:r w:rsidRPr="0075354F">
              <w:rPr>
                <w:rFonts w:cs="Arial"/>
                <w:color w:val="000000"/>
                <w:sz w:val="22"/>
                <w:szCs w:val="22"/>
              </w:rPr>
              <w:t>2,372,759</w:t>
            </w:r>
          </w:p>
        </w:tc>
        <w:tc>
          <w:tcPr>
            <w:tcW w:w="894" w:type="pct"/>
            <w:tcBorders>
              <w:top w:val="nil"/>
              <w:left w:val="nil"/>
              <w:bottom w:val="nil"/>
              <w:right w:val="single" w:sz="8" w:space="0" w:color="auto"/>
            </w:tcBorders>
            <w:noWrap/>
            <w:vAlign w:val="center"/>
            <w:hideMark/>
          </w:tcPr>
          <w:p w14:paraId="681A257D" w14:textId="77777777" w:rsidR="0075354F" w:rsidRPr="007A76D3" w:rsidRDefault="0075354F" w:rsidP="0075354F">
            <w:pPr>
              <w:jc w:val="right"/>
              <w:rPr>
                <w:rFonts w:cs="Arial"/>
                <w:color w:val="ED0000"/>
                <w:sz w:val="22"/>
                <w:szCs w:val="22"/>
              </w:rPr>
            </w:pPr>
            <w:r w:rsidRPr="007A76D3">
              <w:rPr>
                <w:rFonts w:cs="Arial"/>
                <w:color w:val="ED0000"/>
                <w:sz w:val="22"/>
                <w:szCs w:val="22"/>
              </w:rPr>
              <w:t>-319,275</w:t>
            </w:r>
          </w:p>
        </w:tc>
        <w:tc>
          <w:tcPr>
            <w:tcW w:w="975" w:type="pct"/>
            <w:tcBorders>
              <w:top w:val="nil"/>
              <w:left w:val="nil"/>
              <w:bottom w:val="nil"/>
              <w:right w:val="single" w:sz="8" w:space="0" w:color="auto"/>
            </w:tcBorders>
            <w:noWrap/>
            <w:vAlign w:val="center"/>
            <w:hideMark/>
          </w:tcPr>
          <w:p w14:paraId="4E1D24E5"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2,053,484</w:t>
            </w:r>
          </w:p>
        </w:tc>
      </w:tr>
      <w:tr w:rsidR="0075354F" w:rsidRPr="0075354F" w14:paraId="034AB636" w14:textId="77777777" w:rsidTr="0075354F">
        <w:trPr>
          <w:trHeight w:val="290"/>
        </w:trPr>
        <w:tc>
          <w:tcPr>
            <w:tcW w:w="569" w:type="pct"/>
            <w:tcBorders>
              <w:top w:val="nil"/>
              <w:left w:val="single" w:sz="8" w:space="0" w:color="auto"/>
              <w:bottom w:val="nil"/>
              <w:right w:val="nil"/>
            </w:tcBorders>
            <w:noWrap/>
            <w:vAlign w:val="center"/>
            <w:hideMark/>
          </w:tcPr>
          <w:p w14:paraId="307AE268" w14:textId="77777777" w:rsidR="0075354F" w:rsidRPr="0075354F" w:rsidRDefault="0075354F" w:rsidP="0075354F">
            <w:pPr>
              <w:jc w:val="right"/>
              <w:rPr>
                <w:rFonts w:cs="Arial"/>
                <w:color w:val="000000"/>
                <w:sz w:val="22"/>
                <w:szCs w:val="22"/>
              </w:rPr>
            </w:pPr>
            <w:r w:rsidRPr="0075354F">
              <w:rPr>
                <w:rFonts w:cs="Arial"/>
                <w:color w:val="000000"/>
                <w:sz w:val="22"/>
                <w:szCs w:val="22"/>
              </w:rPr>
              <w:t>80375</w:t>
            </w:r>
          </w:p>
        </w:tc>
        <w:tc>
          <w:tcPr>
            <w:tcW w:w="1525" w:type="pct"/>
            <w:tcBorders>
              <w:top w:val="nil"/>
              <w:left w:val="single" w:sz="8" w:space="0" w:color="auto"/>
              <w:bottom w:val="nil"/>
              <w:right w:val="nil"/>
            </w:tcBorders>
            <w:noWrap/>
            <w:vAlign w:val="center"/>
            <w:hideMark/>
          </w:tcPr>
          <w:p w14:paraId="754C7DC7" w14:textId="77777777" w:rsidR="0075354F" w:rsidRPr="0075354F" w:rsidRDefault="0075354F" w:rsidP="0075354F">
            <w:pPr>
              <w:rPr>
                <w:rFonts w:cs="Arial"/>
                <w:color w:val="000000"/>
                <w:sz w:val="22"/>
                <w:szCs w:val="22"/>
              </w:rPr>
            </w:pPr>
            <w:r w:rsidRPr="0075354F">
              <w:rPr>
                <w:rFonts w:cs="Arial"/>
                <w:color w:val="000000"/>
                <w:sz w:val="22"/>
                <w:szCs w:val="22"/>
              </w:rPr>
              <w:t xml:space="preserve">Stepney </w:t>
            </w:r>
            <w:proofErr w:type="spellStart"/>
            <w:r w:rsidRPr="0075354F">
              <w:rPr>
                <w:rFonts w:cs="Arial"/>
                <w:color w:val="000000"/>
                <w:sz w:val="22"/>
                <w:szCs w:val="22"/>
              </w:rPr>
              <w:t>Greencoat</w:t>
            </w:r>
            <w:proofErr w:type="spellEnd"/>
          </w:p>
        </w:tc>
        <w:tc>
          <w:tcPr>
            <w:tcW w:w="1038" w:type="pct"/>
            <w:tcBorders>
              <w:top w:val="nil"/>
              <w:left w:val="single" w:sz="8" w:space="0" w:color="auto"/>
              <w:bottom w:val="nil"/>
              <w:right w:val="single" w:sz="8" w:space="0" w:color="auto"/>
            </w:tcBorders>
            <w:noWrap/>
            <w:vAlign w:val="center"/>
            <w:hideMark/>
          </w:tcPr>
          <w:p w14:paraId="12823EDF" w14:textId="77777777" w:rsidR="0075354F" w:rsidRPr="0075354F" w:rsidRDefault="0075354F" w:rsidP="0075354F">
            <w:pPr>
              <w:jc w:val="right"/>
              <w:rPr>
                <w:rFonts w:cs="Arial"/>
                <w:color w:val="000000"/>
                <w:sz w:val="22"/>
                <w:szCs w:val="22"/>
              </w:rPr>
            </w:pPr>
            <w:r w:rsidRPr="0075354F">
              <w:rPr>
                <w:rFonts w:cs="Arial"/>
                <w:color w:val="000000"/>
                <w:sz w:val="22"/>
                <w:szCs w:val="22"/>
              </w:rPr>
              <w:t>264,145</w:t>
            </w:r>
          </w:p>
        </w:tc>
        <w:tc>
          <w:tcPr>
            <w:tcW w:w="894" w:type="pct"/>
            <w:tcBorders>
              <w:top w:val="nil"/>
              <w:left w:val="nil"/>
              <w:bottom w:val="nil"/>
              <w:right w:val="single" w:sz="8" w:space="0" w:color="auto"/>
            </w:tcBorders>
            <w:noWrap/>
            <w:vAlign w:val="center"/>
            <w:hideMark/>
          </w:tcPr>
          <w:p w14:paraId="29B2A2FE" w14:textId="77777777" w:rsidR="0075354F" w:rsidRPr="007A76D3" w:rsidRDefault="0075354F" w:rsidP="0075354F">
            <w:pPr>
              <w:jc w:val="right"/>
              <w:rPr>
                <w:rFonts w:cs="Arial"/>
                <w:color w:val="ED0000"/>
                <w:sz w:val="22"/>
                <w:szCs w:val="22"/>
              </w:rPr>
            </w:pPr>
            <w:r w:rsidRPr="007A76D3">
              <w:rPr>
                <w:rFonts w:cs="Arial"/>
                <w:color w:val="ED0000"/>
                <w:sz w:val="22"/>
                <w:szCs w:val="22"/>
              </w:rPr>
              <w:t>-40,547</w:t>
            </w:r>
          </w:p>
        </w:tc>
        <w:tc>
          <w:tcPr>
            <w:tcW w:w="975" w:type="pct"/>
            <w:tcBorders>
              <w:top w:val="nil"/>
              <w:left w:val="nil"/>
              <w:bottom w:val="nil"/>
              <w:right w:val="single" w:sz="8" w:space="0" w:color="auto"/>
            </w:tcBorders>
            <w:noWrap/>
            <w:vAlign w:val="center"/>
            <w:hideMark/>
          </w:tcPr>
          <w:p w14:paraId="4523A3AB"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223,598</w:t>
            </w:r>
          </w:p>
        </w:tc>
      </w:tr>
      <w:tr w:rsidR="0075354F" w:rsidRPr="0075354F" w14:paraId="41E4E955" w14:textId="77777777" w:rsidTr="0075354F">
        <w:trPr>
          <w:trHeight w:val="290"/>
        </w:trPr>
        <w:tc>
          <w:tcPr>
            <w:tcW w:w="569" w:type="pct"/>
            <w:tcBorders>
              <w:top w:val="nil"/>
              <w:left w:val="single" w:sz="8" w:space="0" w:color="auto"/>
              <w:bottom w:val="nil"/>
              <w:right w:val="nil"/>
            </w:tcBorders>
            <w:noWrap/>
            <w:vAlign w:val="center"/>
            <w:hideMark/>
          </w:tcPr>
          <w:p w14:paraId="643CD5FC" w14:textId="77777777" w:rsidR="0075354F" w:rsidRPr="0075354F" w:rsidRDefault="0075354F" w:rsidP="0075354F">
            <w:pPr>
              <w:jc w:val="right"/>
              <w:rPr>
                <w:rFonts w:cs="Arial"/>
                <w:color w:val="000000"/>
                <w:sz w:val="22"/>
                <w:szCs w:val="22"/>
              </w:rPr>
            </w:pPr>
            <w:r w:rsidRPr="0075354F">
              <w:rPr>
                <w:rFonts w:cs="Arial"/>
                <w:color w:val="000000"/>
                <w:sz w:val="22"/>
                <w:szCs w:val="22"/>
              </w:rPr>
              <w:t>80270</w:t>
            </w:r>
          </w:p>
        </w:tc>
        <w:tc>
          <w:tcPr>
            <w:tcW w:w="1525" w:type="pct"/>
            <w:tcBorders>
              <w:top w:val="nil"/>
              <w:left w:val="single" w:sz="8" w:space="0" w:color="auto"/>
              <w:bottom w:val="nil"/>
              <w:right w:val="nil"/>
            </w:tcBorders>
            <w:noWrap/>
            <w:vAlign w:val="center"/>
            <w:hideMark/>
          </w:tcPr>
          <w:p w14:paraId="0CEA1060" w14:textId="77777777" w:rsidR="0075354F" w:rsidRPr="0075354F" w:rsidRDefault="0075354F" w:rsidP="0075354F">
            <w:pPr>
              <w:rPr>
                <w:rFonts w:cs="Arial"/>
                <w:color w:val="000000"/>
                <w:sz w:val="22"/>
                <w:szCs w:val="22"/>
              </w:rPr>
            </w:pPr>
            <w:r w:rsidRPr="0075354F">
              <w:rPr>
                <w:rFonts w:cs="Arial"/>
                <w:color w:val="000000"/>
                <w:sz w:val="22"/>
                <w:szCs w:val="22"/>
              </w:rPr>
              <w:t>Stepney Park/Redlands</w:t>
            </w:r>
          </w:p>
        </w:tc>
        <w:tc>
          <w:tcPr>
            <w:tcW w:w="1038" w:type="pct"/>
            <w:tcBorders>
              <w:top w:val="nil"/>
              <w:left w:val="single" w:sz="8" w:space="0" w:color="auto"/>
              <w:bottom w:val="nil"/>
              <w:right w:val="single" w:sz="8" w:space="0" w:color="auto"/>
            </w:tcBorders>
            <w:noWrap/>
            <w:vAlign w:val="center"/>
            <w:hideMark/>
          </w:tcPr>
          <w:p w14:paraId="0A82E59B" w14:textId="77777777" w:rsidR="0075354F" w:rsidRPr="0075354F" w:rsidRDefault="0075354F" w:rsidP="0075354F">
            <w:pPr>
              <w:jc w:val="right"/>
              <w:rPr>
                <w:rFonts w:cs="Arial"/>
                <w:color w:val="000000"/>
                <w:sz w:val="22"/>
                <w:szCs w:val="22"/>
              </w:rPr>
            </w:pPr>
            <w:r w:rsidRPr="0075354F">
              <w:rPr>
                <w:rFonts w:cs="Arial"/>
                <w:color w:val="000000"/>
                <w:sz w:val="22"/>
                <w:szCs w:val="22"/>
              </w:rPr>
              <w:t>998,311</w:t>
            </w:r>
          </w:p>
        </w:tc>
        <w:tc>
          <w:tcPr>
            <w:tcW w:w="894" w:type="pct"/>
            <w:tcBorders>
              <w:top w:val="nil"/>
              <w:left w:val="nil"/>
              <w:bottom w:val="nil"/>
              <w:right w:val="single" w:sz="8" w:space="0" w:color="auto"/>
            </w:tcBorders>
            <w:noWrap/>
            <w:vAlign w:val="center"/>
            <w:hideMark/>
          </w:tcPr>
          <w:p w14:paraId="5AAF1DA9" w14:textId="77777777" w:rsidR="0075354F" w:rsidRPr="0075354F" w:rsidRDefault="0075354F" w:rsidP="0075354F">
            <w:pPr>
              <w:jc w:val="right"/>
              <w:rPr>
                <w:rFonts w:cs="Arial"/>
                <w:color w:val="000000"/>
                <w:sz w:val="22"/>
                <w:szCs w:val="22"/>
              </w:rPr>
            </w:pPr>
            <w:r w:rsidRPr="0075354F">
              <w:rPr>
                <w:rFonts w:cs="Arial"/>
                <w:color w:val="000000"/>
                <w:sz w:val="22"/>
                <w:szCs w:val="22"/>
              </w:rPr>
              <w:t>94,470</w:t>
            </w:r>
          </w:p>
        </w:tc>
        <w:tc>
          <w:tcPr>
            <w:tcW w:w="975" w:type="pct"/>
            <w:tcBorders>
              <w:top w:val="nil"/>
              <w:left w:val="nil"/>
              <w:bottom w:val="nil"/>
              <w:right w:val="single" w:sz="8" w:space="0" w:color="auto"/>
            </w:tcBorders>
            <w:noWrap/>
            <w:vAlign w:val="center"/>
            <w:hideMark/>
          </w:tcPr>
          <w:p w14:paraId="0B11B8A3"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1,092,782</w:t>
            </w:r>
          </w:p>
        </w:tc>
      </w:tr>
      <w:tr w:rsidR="0075354F" w:rsidRPr="0075354F" w14:paraId="559641DE" w14:textId="77777777" w:rsidTr="0075354F">
        <w:trPr>
          <w:trHeight w:val="290"/>
        </w:trPr>
        <w:tc>
          <w:tcPr>
            <w:tcW w:w="569" w:type="pct"/>
            <w:tcBorders>
              <w:top w:val="nil"/>
              <w:left w:val="single" w:sz="8" w:space="0" w:color="auto"/>
              <w:bottom w:val="nil"/>
              <w:right w:val="nil"/>
            </w:tcBorders>
            <w:noWrap/>
            <w:vAlign w:val="center"/>
            <w:hideMark/>
          </w:tcPr>
          <w:p w14:paraId="05D82A7D" w14:textId="77777777" w:rsidR="0075354F" w:rsidRPr="0075354F" w:rsidRDefault="0075354F" w:rsidP="0075354F">
            <w:pPr>
              <w:jc w:val="right"/>
              <w:rPr>
                <w:rFonts w:cs="Arial"/>
                <w:color w:val="000000"/>
                <w:sz w:val="22"/>
                <w:szCs w:val="22"/>
              </w:rPr>
            </w:pPr>
            <w:r w:rsidRPr="0075354F">
              <w:rPr>
                <w:rFonts w:cs="Arial"/>
                <w:color w:val="000000"/>
                <w:sz w:val="22"/>
                <w:szCs w:val="22"/>
              </w:rPr>
              <w:t>80380</w:t>
            </w:r>
          </w:p>
        </w:tc>
        <w:tc>
          <w:tcPr>
            <w:tcW w:w="1525" w:type="pct"/>
            <w:tcBorders>
              <w:top w:val="nil"/>
              <w:left w:val="single" w:sz="8" w:space="0" w:color="auto"/>
              <w:bottom w:val="nil"/>
              <w:right w:val="nil"/>
            </w:tcBorders>
            <w:noWrap/>
            <w:vAlign w:val="center"/>
            <w:hideMark/>
          </w:tcPr>
          <w:p w14:paraId="50E2B143" w14:textId="77777777" w:rsidR="0075354F" w:rsidRPr="0075354F" w:rsidRDefault="0075354F" w:rsidP="0075354F">
            <w:pPr>
              <w:rPr>
                <w:rFonts w:cs="Arial"/>
                <w:color w:val="000000"/>
                <w:sz w:val="22"/>
                <w:szCs w:val="22"/>
              </w:rPr>
            </w:pPr>
            <w:r w:rsidRPr="0075354F">
              <w:rPr>
                <w:rFonts w:cs="Arial"/>
                <w:color w:val="000000"/>
                <w:sz w:val="22"/>
                <w:szCs w:val="22"/>
              </w:rPr>
              <w:t>Stewart Headlam</w:t>
            </w:r>
          </w:p>
        </w:tc>
        <w:tc>
          <w:tcPr>
            <w:tcW w:w="1038" w:type="pct"/>
            <w:tcBorders>
              <w:top w:val="nil"/>
              <w:left w:val="single" w:sz="8" w:space="0" w:color="auto"/>
              <w:bottom w:val="nil"/>
              <w:right w:val="single" w:sz="8" w:space="0" w:color="auto"/>
            </w:tcBorders>
            <w:noWrap/>
            <w:vAlign w:val="center"/>
            <w:hideMark/>
          </w:tcPr>
          <w:p w14:paraId="23B7257E" w14:textId="77777777" w:rsidR="0075354F" w:rsidRPr="0075354F" w:rsidRDefault="0075354F" w:rsidP="0075354F">
            <w:pPr>
              <w:jc w:val="right"/>
              <w:rPr>
                <w:rFonts w:cs="Arial"/>
                <w:color w:val="000000"/>
                <w:sz w:val="22"/>
                <w:szCs w:val="22"/>
              </w:rPr>
            </w:pPr>
            <w:r w:rsidRPr="0075354F">
              <w:rPr>
                <w:rFonts w:cs="Arial"/>
                <w:color w:val="000000"/>
                <w:sz w:val="22"/>
                <w:szCs w:val="22"/>
              </w:rPr>
              <w:t>11,357</w:t>
            </w:r>
          </w:p>
        </w:tc>
        <w:tc>
          <w:tcPr>
            <w:tcW w:w="894" w:type="pct"/>
            <w:tcBorders>
              <w:top w:val="nil"/>
              <w:left w:val="nil"/>
              <w:bottom w:val="nil"/>
              <w:right w:val="single" w:sz="8" w:space="0" w:color="auto"/>
            </w:tcBorders>
            <w:noWrap/>
            <w:vAlign w:val="center"/>
            <w:hideMark/>
          </w:tcPr>
          <w:p w14:paraId="4426178F" w14:textId="77777777" w:rsidR="0075354F" w:rsidRPr="007A76D3" w:rsidRDefault="0075354F" w:rsidP="0075354F">
            <w:pPr>
              <w:jc w:val="right"/>
              <w:rPr>
                <w:rFonts w:cs="Arial"/>
                <w:color w:val="ED0000"/>
                <w:sz w:val="22"/>
                <w:szCs w:val="22"/>
              </w:rPr>
            </w:pPr>
            <w:r w:rsidRPr="007A76D3">
              <w:rPr>
                <w:rFonts w:cs="Arial"/>
                <w:color w:val="ED0000"/>
                <w:sz w:val="22"/>
                <w:szCs w:val="22"/>
              </w:rPr>
              <w:t>-22,916</w:t>
            </w:r>
          </w:p>
        </w:tc>
        <w:tc>
          <w:tcPr>
            <w:tcW w:w="975" w:type="pct"/>
            <w:tcBorders>
              <w:top w:val="nil"/>
              <w:left w:val="nil"/>
              <w:bottom w:val="nil"/>
              <w:right w:val="single" w:sz="8" w:space="0" w:color="auto"/>
            </w:tcBorders>
            <w:noWrap/>
            <w:vAlign w:val="center"/>
            <w:hideMark/>
          </w:tcPr>
          <w:p w14:paraId="0462990D" w14:textId="77777777" w:rsidR="0075354F" w:rsidRPr="007A76D3" w:rsidRDefault="0075354F" w:rsidP="0075354F">
            <w:pPr>
              <w:jc w:val="right"/>
              <w:rPr>
                <w:rFonts w:ascii="Aptos Narrow" w:hAnsi="Aptos Narrow"/>
                <w:color w:val="ED0000"/>
                <w:sz w:val="22"/>
                <w:szCs w:val="22"/>
              </w:rPr>
            </w:pPr>
            <w:r w:rsidRPr="007A76D3">
              <w:rPr>
                <w:rFonts w:ascii="Aptos Narrow" w:hAnsi="Aptos Narrow"/>
                <w:color w:val="ED0000"/>
                <w:sz w:val="22"/>
                <w:szCs w:val="22"/>
              </w:rPr>
              <w:t>-11,559</w:t>
            </w:r>
          </w:p>
        </w:tc>
      </w:tr>
      <w:tr w:rsidR="0075354F" w:rsidRPr="0075354F" w14:paraId="6A63E2DE" w14:textId="77777777" w:rsidTr="0075354F">
        <w:trPr>
          <w:trHeight w:val="290"/>
        </w:trPr>
        <w:tc>
          <w:tcPr>
            <w:tcW w:w="569" w:type="pct"/>
            <w:tcBorders>
              <w:top w:val="nil"/>
              <w:left w:val="single" w:sz="8" w:space="0" w:color="auto"/>
              <w:bottom w:val="nil"/>
              <w:right w:val="nil"/>
            </w:tcBorders>
            <w:noWrap/>
            <w:vAlign w:val="center"/>
            <w:hideMark/>
          </w:tcPr>
          <w:p w14:paraId="0069B9B2" w14:textId="77777777" w:rsidR="0075354F" w:rsidRPr="0075354F" w:rsidRDefault="0075354F" w:rsidP="0075354F">
            <w:pPr>
              <w:jc w:val="right"/>
              <w:rPr>
                <w:rFonts w:cs="Arial"/>
                <w:color w:val="000000"/>
                <w:sz w:val="22"/>
                <w:szCs w:val="22"/>
              </w:rPr>
            </w:pPr>
            <w:r w:rsidRPr="0075354F">
              <w:rPr>
                <w:rFonts w:cs="Arial"/>
                <w:color w:val="000000"/>
                <w:sz w:val="22"/>
                <w:szCs w:val="22"/>
              </w:rPr>
              <w:t>80565</w:t>
            </w:r>
          </w:p>
        </w:tc>
        <w:tc>
          <w:tcPr>
            <w:tcW w:w="1525" w:type="pct"/>
            <w:tcBorders>
              <w:top w:val="nil"/>
              <w:left w:val="single" w:sz="8" w:space="0" w:color="auto"/>
              <w:bottom w:val="nil"/>
              <w:right w:val="nil"/>
            </w:tcBorders>
            <w:noWrap/>
            <w:vAlign w:val="center"/>
            <w:hideMark/>
          </w:tcPr>
          <w:p w14:paraId="73057F2F" w14:textId="77777777" w:rsidR="0075354F" w:rsidRPr="0075354F" w:rsidRDefault="0075354F" w:rsidP="0075354F">
            <w:pPr>
              <w:rPr>
                <w:rFonts w:cs="Arial"/>
                <w:color w:val="000000"/>
                <w:sz w:val="22"/>
                <w:szCs w:val="22"/>
              </w:rPr>
            </w:pPr>
            <w:proofErr w:type="spellStart"/>
            <w:r w:rsidRPr="0075354F">
              <w:rPr>
                <w:rFonts w:cs="Arial"/>
                <w:color w:val="000000"/>
                <w:sz w:val="22"/>
                <w:szCs w:val="22"/>
              </w:rPr>
              <w:t>Swanlea</w:t>
            </w:r>
            <w:proofErr w:type="spellEnd"/>
          </w:p>
        </w:tc>
        <w:tc>
          <w:tcPr>
            <w:tcW w:w="1038" w:type="pct"/>
            <w:tcBorders>
              <w:top w:val="nil"/>
              <w:left w:val="single" w:sz="8" w:space="0" w:color="auto"/>
              <w:bottom w:val="nil"/>
              <w:right w:val="single" w:sz="8" w:space="0" w:color="auto"/>
            </w:tcBorders>
            <w:noWrap/>
            <w:vAlign w:val="center"/>
            <w:hideMark/>
          </w:tcPr>
          <w:p w14:paraId="34ED1DA5" w14:textId="77777777" w:rsidR="0075354F" w:rsidRPr="0075354F" w:rsidRDefault="0075354F" w:rsidP="0075354F">
            <w:pPr>
              <w:jc w:val="right"/>
              <w:rPr>
                <w:rFonts w:cs="Arial"/>
                <w:color w:val="000000"/>
                <w:sz w:val="22"/>
                <w:szCs w:val="22"/>
              </w:rPr>
            </w:pPr>
            <w:r w:rsidRPr="0075354F">
              <w:rPr>
                <w:rFonts w:cs="Arial"/>
                <w:color w:val="000000"/>
                <w:sz w:val="22"/>
                <w:szCs w:val="22"/>
              </w:rPr>
              <w:t>3,321,638</w:t>
            </w:r>
          </w:p>
        </w:tc>
        <w:tc>
          <w:tcPr>
            <w:tcW w:w="894" w:type="pct"/>
            <w:tcBorders>
              <w:top w:val="nil"/>
              <w:left w:val="nil"/>
              <w:bottom w:val="nil"/>
              <w:right w:val="single" w:sz="8" w:space="0" w:color="auto"/>
            </w:tcBorders>
            <w:noWrap/>
            <w:vAlign w:val="center"/>
            <w:hideMark/>
          </w:tcPr>
          <w:p w14:paraId="079716A4" w14:textId="77777777" w:rsidR="0075354F" w:rsidRPr="0075354F" w:rsidRDefault="0075354F" w:rsidP="0075354F">
            <w:pPr>
              <w:jc w:val="right"/>
              <w:rPr>
                <w:rFonts w:cs="Arial"/>
                <w:color w:val="000000"/>
                <w:sz w:val="22"/>
                <w:szCs w:val="22"/>
              </w:rPr>
            </w:pPr>
            <w:r w:rsidRPr="0075354F">
              <w:rPr>
                <w:rFonts w:cs="Arial"/>
                <w:color w:val="000000"/>
                <w:sz w:val="22"/>
                <w:szCs w:val="22"/>
              </w:rPr>
              <w:t>682,573</w:t>
            </w:r>
          </w:p>
        </w:tc>
        <w:tc>
          <w:tcPr>
            <w:tcW w:w="975" w:type="pct"/>
            <w:tcBorders>
              <w:top w:val="nil"/>
              <w:left w:val="nil"/>
              <w:bottom w:val="nil"/>
              <w:right w:val="single" w:sz="8" w:space="0" w:color="auto"/>
            </w:tcBorders>
            <w:noWrap/>
            <w:vAlign w:val="center"/>
            <w:hideMark/>
          </w:tcPr>
          <w:p w14:paraId="4A4C40EF"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4,004,211</w:t>
            </w:r>
          </w:p>
        </w:tc>
      </w:tr>
      <w:tr w:rsidR="0075354F" w:rsidRPr="0075354F" w14:paraId="202302C9" w14:textId="77777777" w:rsidTr="0075354F">
        <w:trPr>
          <w:trHeight w:val="290"/>
        </w:trPr>
        <w:tc>
          <w:tcPr>
            <w:tcW w:w="569" w:type="pct"/>
            <w:tcBorders>
              <w:top w:val="nil"/>
              <w:left w:val="single" w:sz="8" w:space="0" w:color="auto"/>
              <w:bottom w:val="nil"/>
              <w:right w:val="nil"/>
            </w:tcBorders>
            <w:noWrap/>
            <w:vAlign w:val="center"/>
            <w:hideMark/>
          </w:tcPr>
          <w:p w14:paraId="15035AE2" w14:textId="77777777" w:rsidR="0075354F" w:rsidRPr="0075354F" w:rsidRDefault="0075354F" w:rsidP="0075354F">
            <w:pPr>
              <w:jc w:val="right"/>
              <w:rPr>
                <w:rFonts w:cs="Arial"/>
                <w:color w:val="000000"/>
                <w:sz w:val="22"/>
                <w:szCs w:val="22"/>
              </w:rPr>
            </w:pPr>
            <w:r w:rsidRPr="0075354F">
              <w:rPr>
                <w:rFonts w:cs="Arial"/>
                <w:color w:val="000000"/>
                <w:sz w:val="22"/>
                <w:szCs w:val="22"/>
              </w:rPr>
              <w:t>80460</w:t>
            </w:r>
          </w:p>
        </w:tc>
        <w:tc>
          <w:tcPr>
            <w:tcW w:w="1525" w:type="pct"/>
            <w:tcBorders>
              <w:top w:val="nil"/>
              <w:left w:val="single" w:sz="8" w:space="0" w:color="auto"/>
              <w:bottom w:val="nil"/>
              <w:right w:val="nil"/>
            </w:tcBorders>
            <w:noWrap/>
            <w:vAlign w:val="center"/>
            <w:hideMark/>
          </w:tcPr>
          <w:p w14:paraId="3CC249B9" w14:textId="77777777" w:rsidR="0075354F" w:rsidRPr="0075354F" w:rsidRDefault="0075354F" w:rsidP="0075354F">
            <w:pPr>
              <w:rPr>
                <w:rFonts w:cs="Arial"/>
                <w:color w:val="000000"/>
                <w:sz w:val="22"/>
                <w:szCs w:val="22"/>
              </w:rPr>
            </w:pPr>
            <w:r w:rsidRPr="0075354F">
              <w:rPr>
                <w:rFonts w:cs="Arial"/>
                <w:color w:val="000000"/>
                <w:sz w:val="22"/>
                <w:szCs w:val="22"/>
              </w:rPr>
              <w:t>T Buxton primary</w:t>
            </w:r>
          </w:p>
        </w:tc>
        <w:tc>
          <w:tcPr>
            <w:tcW w:w="1038" w:type="pct"/>
            <w:tcBorders>
              <w:top w:val="nil"/>
              <w:left w:val="single" w:sz="8" w:space="0" w:color="auto"/>
              <w:bottom w:val="nil"/>
              <w:right w:val="single" w:sz="8" w:space="0" w:color="auto"/>
            </w:tcBorders>
            <w:noWrap/>
            <w:vAlign w:val="center"/>
            <w:hideMark/>
          </w:tcPr>
          <w:p w14:paraId="04930BD6" w14:textId="77777777" w:rsidR="0075354F" w:rsidRPr="0075354F" w:rsidRDefault="0075354F" w:rsidP="0075354F">
            <w:pPr>
              <w:jc w:val="right"/>
              <w:rPr>
                <w:rFonts w:cs="Arial"/>
                <w:color w:val="000000"/>
                <w:sz w:val="22"/>
                <w:szCs w:val="22"/>
              </w:rPr>
            </w:pPr>
            <w:r w:rsidRPr="0075354F">
              <w:rPr>
                <w:rFonts w:cs="Arial"/>
                <w:color w:val="000000"/>
                <w:sz w:val="22"/>
                <w:szCs w:val="22"/>
              </w:rPr>
              <w:t>335,598</w:t>
            </w:r>
          </w:p>
        </w:tc>
        <w:tc>
          <w:tcPr>
            <w:tcW w:w="894" w:type="pct"/>
            <w:tcBorders>
              <w:top w:val="nil"/>
              <w:left w:val="nil"/>
              <w:bottom w:val="nil"/>
              <w:right w:val="single" w:sz="8" w:space="0" w:color="auto"/>
            </w:tcBorders>
            <w:noWrap/>
            <w:vAlign w:val="center"/>
            <w:hideMark/>
          </w:tcPr>
          <w:p w14:paraId="1839CB1D" w14:textId="77777777" w:rsidR="0075354F" w:rsidRPr="007A76D3" w:rsidRDefault="0075354F" w:rsidP="0075354F">
            <w:pPr>
              <w:jc w:val="right"/>
              <w:rPr>
                <w:rFonts w:cs="Arial"/>
                <w:color w:val="ED0000"/>
                <w:sz w:val="22"/>
                <w:szCs w:val="22"/>
              </w:rPr>
            </w:pPr>
            <w:r w:rsidRPr="007A76D3">
              <w:rPr>
                <w:rFonts w:cs="Arial"/>
                <w:color w:val="ED0000"/>
                <w:sz w:val="22"/>
                <w:szCs w:val="22"/>
              </w:rPr>
              <w:t>-52,654</w:t>
            </w:r>
          </w:p>
        </w:tc>
        <w:tc>
          <w:tcPr>
            <w:tcW w:w="975" w:type="pct"/>
            <w:tcBorders>
              <w:top w:val="nil"/>
              <w:left w:val="nil"/>
              <w:bottom w:val="nil"/>
              <w:right w:val="single" w:sz="8" w:space="0" w:color="auto"/>
            </w:tcBorders>
            <w:noWrap/>
            <w:vAlign w:val="center"/>
            <w:hideMark/>
          </w:tcPr>
          <w:p w14:paraId="7C31DE1D"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282,944</w:t>
            </w:r>
          </w:p>
        </w:tc>
      </w:tr>
      <w:tr w:rsidR="0075354F" w:rsidRPr="0075354F" w14:paraId="712F43F2" w14:textId="77777777" w:rsidTr="0075354F">
        <w:trPr>
          <w:trHeight w:val="290"/>
        </w:trPr>
        <w:tc>
          <w:tcPr>
            <w:tcW w:w="569" w:type="pct"/>
            <w:tcBorders>
              <w:top w:val="nil"/>
              <w:left w:val="single" w:sz="8" w:space="0" w:color="auto"/>
              <w:bottom w:val="nil"/>
              <w:right w:val="nil"/>
            </w:tcBorders>
            <w:noWrap/>
            <w:vAlign w:val="center"/>
            <w:hideMark/>
          </w:tcPr>
          <w:p w14:paraId="7A2EA36C" w14:textId="77777777" w:rsidR="0075354F" w:rsidRPr="0075354F" w:rsidRDefault="0075354F" w:rsidP="0075354F">
            <w:pPr>
              <w:jc w:val="right"/>
              <w:rPr>
                <w:rFonts w:cs="Arial"/>
                <w:color w:val="000000"/>
                <w:sz w:val="22"/>
                <w:szCs w:val="22"/>
              </w:rPr>
            </w:pPr>
            <w:r w:rsidRPr="0075354F">
              <w:rPr>
                <w:rFonts w:cs="Arial"/>
                <w:color w:val="000000"/>
                <w:sz w:val="22"/>
                <w:szCs w:val="22"/>
              </w:rPr>
              <w:t>80405</w:t>
            </w:r>
          </w:p>
        </w:tc>
        <w:tc>
          <w:tcPr>
            <w:tcW w:w="1525" w:type="pct"/>
            <w:tcBorders>
              <w:top w:val="nil"/>
              <w:left w:val="single" w:sz="8" w:space="0" w:color="auto"/>
              <w:bottom w:val="nil"/>
              <w:right w:val="nil"/>
            </w:tcBorders>
            <w:noWrap/>
            <w:vAlign w:val="center"/>
            <w:hideMark/>
          </w:tcPr>
          <w:p w14:paraId="6A404E3C" w14:textId="77777777" w:rsidR="0075354F" w:rsidRPr="0075354F" w:rsidRDefault="0075354F" w:rsidP="0075354F">
            <w:pPr>
              <w:rPr>
                <w:rFonts w:cs="Arial"/>
                <w:color w:val="000000"/>
                <w:sz w:val="22"/>
                <w:szCs w:val="22"/>
              </w:rPr>
            </w:pPr>
            <w:r w:rsidRPr="0075354F">
              <w:rPr>
                <w:rFonts w:cs="Arial"/>
                <w:color w:val="000000"/>
                <w:sz w:val="22"/>
                <w:szCs w:val="22"/>
              </w:rPr>
              <w:t>Virginia</w:t>
            </w:r>
          </w:p>
        </w:tc>
        <w:tc>
          <w:tcPr>
            <w:tcW w:w="1038" w:type="pct"/>
            <w:tcBorders>
              <w:top w:val="nil"/>
              <w:left w:val="single" w:sz="8" w:space="0" w:color="auto"/>
              <w:bottom w:val="nil"/>
              <w:right w:val="single" w:sz="8" w:space="0" w:color="auto"/>
            </w:tcBorders>
            <w:noWrap/>
            <w:vAlign w:val="center"/>
            <w:hideMark/>
          </w:tcPr>
          <w:p w14:paraId="40063222" w14:textId="77777777" w:rsidR="0075354F" w:rsidRPr="0075354F" w:rsidRDefault="0075354F" w:rsidP="0075354F">
            <w:pPr>
              <w:jc w:val="right"/>
              <w:rPr>
                <w:rFonts w:cs="Arial"/>
                <w:color w:val="000000"/>
                <w:sz w:val="22"/>
                <w:szCs w:val="22"/>
              </w:rPr>
            </w:pPr>
            <w:r w:rsidRPr="0075354F">
              <w:rPr>
                <w:rFonts w:cs="Arial"/>
                <w:color w:val="000000"/>
                <w:sz w:val="22"/>
                <w:szCs w:val="22"/>
              </w:rPr>
              <w:t>250,550</w:t>
            </w:r>
          </w:p>
        </w:tc>
        <w:tc>
          <w:tcPr>
            <w:tcW w:w="894" w:type="pct"/>
            <w:tcBorders>
              <w:top w:val="nil"/>
              <w:left w:val="nil"/>
              <w:bottom w:val="nil"/>
              <w:right w:val="single" w:sz="8" w:space="0" w:color="auto"/>
            </w:tcBorders>
            <w:noWrap/>
            <w:vAlign w:val="center"/>
            <w:hideMark/>
          </w:tcPr>
          <w:p w14:paraId="48BE1020" w14:textId="77777777" w:rsidR="0075354F" w:rsidRPr="0075354F" w:rsidRDefault="0075354F" w:rsidP="0075354F">
            <w:pPr>
              <w:jc w:val="right"/>
              <w:rPr>
                <w:rFonts w:cs="Arial"/>
                <w:color w:val="000000"/>
                <w:sz w:val="22"/>
                <w:szCs w:val="22"/>
              </w:rPr>
            </w:pPr>
            <w:r w:rsidRPr="0075354F">
              <w:rPr>
                <w:rFonts w:cs="Arial"/>
                <w:color w:val="000000"/>
                <w:sz w:val="22"/>
                <w:szCs w:val="22"/>
              </w:rPr>
              <w:t>73,446</w:t>
            </w:r>
          </w:p>
        </w:tc>
        <w:tc>
          <w:tcPr>
            <w:tcW w:w="975" w:type="pct"/>
            <w:tcBorders>
              <w:top w:val="nil"/>
              <w:left w:val="nil"/>
              <w:bottom w:val="nil"/>
              <w:right w:val="single" w:sz="8" w:space="0" w:color="auto"/>
            </w:tcBorders>
            <w:noWrap/>
            <w:vAlign w:val="center"/>
            <w:hideMark/>
          </w:tcPr>
          <w:p w14:paraId="3E7D8A4B"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323,996</w:t>
            </w:r>
          </w:p>
        </w:tc>
      </w:tr>
      <w:tr w:rsidR="0075354F" w:rsidRPr="0075354F" w14:paraId="05A1292A" w14:textId="77777777" w:rsidTr="0075354F">
        <w:trPr>
          <w:trHeight w:val="290"/>
        </w:trPr>
        <w:tc>
          <w:tcPr>
            <w:tcW w:w="569" w:type="pct"/>
            <w:tcBorders>
              <w:top w:val="nil"/>
              <w:left w:val="single" w:sz="8" w:space="0" w:color="auto"/>
              <w:bottom w:val="nil"/>
              <w:right w:val="nil"/>
            </w:tcBorders>
            <w:noWrap/>
            <w:vAlign w:val="center"/>
            <w:hideMark/>
          </w:tcPr>
          <w:p w14:paraId="3D4E9FEA" w14:textId="77777777" w:rsidR="0075354F" w:rsidRPr="0075354F" w:rsidRDefault="0075354F" w:rsidP="0075354F">
            <w:pPr>
              <w:jc w:val="right"/>
              <w:rPr>
                <w:rFonts w:cs="Arial"/>
                <w:color w:val="000000"/>
                <w:sz w:val="22"/>
                <w:szCs w:val="22"/>
              </w:rPr>
            </w:pPr>
            <w:r w:rsidRPr="0075354F">
              <w:rPr>
                <w:rFonts w:cs="Arial"/>
                <w:color w:val="000000"/>
                <w:sz w:val="22"/>
                <w:szCs w:val="22"/>
              </w:rPr>
              <w:t>80410</w:t>
            </w:r>
          </w:p>
        </w:tc>
        <w:tc>
          <w:tcPr>
            <w:tcW w:w="1525" w:type="pct"/>
            <w:tcBorders>
              <w:top w:val="nil"/>
              <w:left w:val="single" w:sz="8" w:space="0" w:color="auto"/>
              <w:bottom w:val="nil"/>
              <w:right w:val="nil"/>
            </w:tcBorders>
            <w:noWrap/>
            <w:vAlign w:val="center"/>
            <w:hideMark/>
          </w:tcPr>
          <w:p w14:paraId="0C59975F" w14:textId="77777777" w:rsidR="0075354F" w:rsidRPr="0075354F" w:rsidRDefault="0075354F" w:rsidP="0075354F">
            <w:pPr>
              <w:rPr>
                <w:rFonts w:cs="Arial"/>
                <w:color w:val="000000"/>
                <w:sz w:val="22"/>
                <w:szCs w:val="22"/>
              </w:rPr>
            </w:pPr>
            <w:r w:rsidRPr="0075354F">
              <w:rPr>
                <w:rFonts w:cs="Arial"/>
                <w:color w:val="000000"/>
                <w:sz w:val="22"/>
                <w:szCs w:val="22"/>
              </w:rPr>
              <w:t>Wellington</w:t>
            </w:r>
          </w:p>
        </w:tc>
        <w:tc>
          <w:tcPr>
            <w:tcW w:w="1038" w:type="pct"/>
            <w:tcBorders>
              <w:top w:val="nil"/>
              <w:left w:val="single" w:sz="8" w:space="0" w:color="auto"/>
              <w:bottom w:val="nil"/>
              <w:right w:val="single" w:sz="8" w:space="0" w:color="auto"/>
            </w:tcBorders>
            <w:noWrap/>
            <w:vAlign w:val="center"/>
            <w:hideMark/>
          </w:tcPr>
          <w:p w14:paraId="6410D64D" w14:textId="77777777" w:rsidR="0075354F" w:rsidRPr="0075354F" w:rsidRDefault="0075354F" w:rsidP="0075354F">
            <w:pPr>
              <w:jc w:val="right"/>
              <w:rPr>
                <w:rFonts w:cs="Arial"/>
                <w:color w:val="000000"/>
                <w:sz w:val="22"/>
                <w:szCs w:val="22"/>
              </w:rPr>
            </w:pPr>
            <w:r w:rsidRPr="0075354F">
              <w:rPr>
                <w:rFonts w:cs="Arial"/>
                <w:color w:val="000000"/>
                <w:sz w:val="22"/>
                <w:szCs w:val="22"/>
              </w:rPr>
              <w:t>141,549</w:t>
            </w:r>
          </w:p>
        </w:tc>
        <w:tc>
          <w:tcPr>
            <w:tcW w:w="894" w:type="pct"/>
            <w:tcBorders>
              <w:top w:val="nil"/>
              <w:left w:val="nil"/>
              <w:bottom w:val="nil"/>
              <w:right w:val="single" w:sz="8" w:space="0" w:color="auto"/>
            </w:tcBorders>
            <w:noWrap/>
            <w:vAlign w:val="center"/>
            <w:hideMark/>
          </w:tcPr>
          <w:p w14:paraId="74FA2A0D" w14:textId="77777777" w:rsidR="0075354F" w:rsidRPr="0075354F" w:rsidRDefault="0075354F" w:rsidP="0075354F">
            <w:pPr>
              <w:jc w:val="right"/>
              <w:rPr>
                <w:rFonts w:cs="Arial"/>
                <w:color w:val="000000"/>
                <w:sz w:val="22"/>
                <w:szCs w:val="22"/>
              </w:rPr>
            </w:pPr>
            <w:r w:rsidRPr="0075354F">
              <w:rPr>
                <w:rFonts w:cs="Arial"/>
                <w:color w:val="000000"/>
                <w:sz w:val="22"/>
                <w:szCs w:val="22"/>
              </w:rPr>
              <w:t>50,717</w:t>
            </w:r>
          </w:p>
        </w:tc>
        <w:tc>
          <w:tcPr>
            <w:tcW w:w="975" w:type="pct"/>
            <w:tcBorders>
              <w:top w:val="nil"/>
              <w:left w:val="nil"/>
              <w:bottom w:val="nil"/>
              <w:right w:val="single" w:sz="8" w:space="0" w:color="auto"/>
            </w:tcBorders>
            <w:noWrap/>
            <w:vAlign w:val="center"/>
            <w:hideMark/>
          </w:tcPr>
          <w:p w14:paraId="3C2C2C02"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192,266</w:t>
            </w:r>
          </w:p>
        </w:tc>
      </w:tr>
      <w:tr w:rsidR="0075354F" w:rsidRPr="0075354F" w14:paraId="751C45FF" w14:textId="77777777" w:rsidTr="0075354F">
        <w:trPr>
          <w:trHeight w:val="290"/>
        </w:trPr>
        <w:tc>
          <w:tcPr>
            <w:tcW w:w="569" w:type="pct"/>
            <w:tcBorders>
              <w:top w:val="nil"/>
              <w:left w:val="single" w:sz="8" w:space="0" w:color="auto"/>
              <w:bottom w:val="nil"/>
              <w:right w:val="nil"/>
            </w:tcBorders>
            <w:noWrap/>
            <w:vAlign w:val="center"/>
            <w:hideMark/>
          </w:tcPr>
          <w:p w14:paraId="12B4DAF8" w14:textId="77777777" w:rsidR="0075354F" w:rsidRPr="0075354F" w:rsidRDefault="0075354F" w:rsidP="0075354F">
            <w:pPr>
              <w:jc w:val="right"/>
              <w:rPr>
                <w:rFonts w:cs="Arial"/>
                <w:color w:val="000000"/>
                <w:sz w:val="22"/>
                <w:szCs w:val="22"/>
              </w:rPr>
            </w:pPr>
            <w:r w:rsidRPr="0075354F">
              <w:rPr>
                <w:rFonts w:cs="Arial"/>
                <w:color w:val="000000"/>
                <w:sz w:val="22"/>
                <w:szCs w:val="22"/>
              </w:rPr>
              <w:t>80415</w:t>
            </w:r>
          </w:p>
        </w:tc>
        <w:tc>
          <w:tcPr>
            <w:tcW w:w="1525" w:type="pct"/>
            <w:tcBorders>
              <w:top w:val="nil"/>
              <w:left w:val="single" w:sz="8" w:space="0" w:color="auto"/>
              <w:bottom w:val="nil"/>
              <w:right w:val="nil"/>
            </w:tcBorders>
            <w:noWrap/>
            <w:vAlign w:val="center"/>
            <w:hideMark/>
          </w:tcPr>
          <w:p w14:paraId="3F41241A" w14:textId="77777777" w:rsidR="0075354F" w:rsidRPr="0075354F" w:rsidRDefault="0075354F" w:rsidP="0075354F">
            <w:pPr>
              <w:rPr>
                <w:rFonts w:cs="Arial"/>
                <w:color w:val="000000"/>
                <w:sz w:val="22"/>
                <w:szCs w:val="22"/>
              </w:rPr>
            </w:pPr>
            <w:r w:rsidRPr="0075354F">
              <w:rPr>
                <w:rFonts w:cs="Arial"/>
                <w:color w:val="000000"/>
                <w:sz w:val="22"/>
                <w:szCs w:val="22"/>
              </w:rPr>
              <w:t>William Davis</w:t>
            </w:r>
          </w:p>
        </w:tc>
        <w:tc>
          <w:tcPr>
            <w:tcW w:w="1038" w:type="pct"/>
            <w:tcBorders>
              <w:top w:val="nil"/>
              <w:left w:val="single" w:sz="8" w:space="0" w:color="auto"/>
              <w:bottom w:val="nil"/>
              <w:right w:val="single" w:sz="8" w:space="0" w:color="auto"/>
            </w:tcBorders>
            <w:noWrap/>
            <w:vAlign w:val="center"/>
            <w:hideMark/>
          </w:tcPr>
          <w:p w14:paraId="4112C247" w14:textId="77777777" w:rsidR="0075354F" w:rsidRPr="007A76D3" w:rsidRDefault="0075354F" w:rsidP="0075354F">
            <w:pPr>
              <w:jc w:val="right"/>
              <w:rPr>
                <w:rFonts w:cs="Arial"/>
                <w:color w:val="ED0000"/>
                <w:sz w:val="22"/>
                <w:szCs w:val="22"/>
              </w:rPr>
            </w:pPr>
            <w:r w:rsidRPr="007A76D3">
              <w:rPr>
                <w:rFonts w:cs="Arial"/>
                <w:color w:val="ED0000"/>
                <w:sz w:val="22"/>
                <w:szCs w:val="22"/>
              </w:rPr>
              <w:t>-14,931</w:t>
            </w:r>
          </w:p>
        </w:tc>
        <w:tc>
          <w:tcPr>
            <w:tcW w:w="894" w:type="pct"/>
            <w:tcBorders>
              <w:top w:val="nil"/>
              <w:left w:val="nil"/>
              <w:bottom w:val="nil"/>
              <w:right w:val="single" w:sz="8" w:space="0" w:color="auto"/>
            </w:tcBorders>
            <w:noWrap/>
            <w:vAlign w:val="center"/>
            <w:hideMark/>
          </w:tcPr>
          <w:p w14:paraId="07B3E68D" w14:textId="77777777" w:rsidR="0075354F" w:rsidRPr="007A76D3" w:rsidRDefault="0075354F" w:rsidP="0075354F">
            <w:pPr>
              <w:jc w:val="right"/>
              <w:rPr>
                <w:rFonts w:cs="Arial"/>
                <w:color w:val="ED0000"/>
                <w:sz w:val="22"/>
                <w:szCs w:val="22"/>
              </w:rPr>
            </w:pPr>
            <w:r w:rsidRPr="007A76D3">
              <w:rPr>
                <w:rFonts w:cs="Arial"/>
                <w:color w:val="ED0000"/>
                <w:sz w:val="22"/>
                <w:szCs w:val="22"/>
              </w:rPr>
              <w:t>-61,200</w:t>
            </w:r>
          </w:p>
        </w:tc>
        <w:tc>
          <w:tcPr>
            <w:tcW w:w="975" w:type="pct"/>
            <w:tcBorders>
              <w:top w:val="nil"/>
              <w:left w:val="nil"/>
              <w:bottom w:val="nil"/>
              <w:right w:val="single" w:sz="8" w:space="0" w:color="auto"/>
            </w:tcBorders>
            <w:noWrap/>
            <w:vAlign w:val="center"/>
            <w:hideMark/>
          </w:tcPr>
          <w:p w14:paraId="1BA07103" w14:textId="77777777" w:rsidR="0075354F" w:rsidRPr="007A76D3" w:rsidRDefault="0075354F" w:rsidP="0075354F">
            <w:pPr>
              <w:jc w:val="right"/>
              <w:rPr>
                <w:rFonts w:ascii="Aptos Narrow" w:hAnsi="Aptos Narrow"/>
                <w:color w:val="ED0000"/>
                <w:sz w:val="22"/>
                <w:szCs w:val="22"/>
              </w:rPr>
            </w:pPr>
            <w:r w:rsidRPr="007A76D3">
              <w:rPr>
                <w:rFonts w:ascii="Aptos Narrow" w:hAnsi="Aptos Narrow"/>
                <w:color w:val="ED0000"/>
                <w:sz w:val="22"/>
                <w:szCs w:val="22"/>
              </w:rPr>
              <w:t>-76,131</w:t>
            </w:r>
          </w:p>
        </w:tc>
      </w:tr>
      <w:tr w:rsidR="0075354F" w:rsidRPr="0075354F" w14:paraId="21BF8768" w14:textId="77777777" w:rsidTr="0075354F">
        <w:trPr>
          <w:trHeight w:val="300"/>
        </w:trPr>
        <w:tc>
          <w:tcPr>
            <w:tcW w:w="569" w:type="pct"/>
            <w:tcBorders>
              <w:top w:val="nil"/>
              <w:left w:val="single" w:sz="8" w:space="0" w:color="auto"/>
              <w:bottom w:val="nil"/>
              <w:right w:val="nil"/>
            </w:tcBorders>
            <w:noWrap/>
            <w:vAlign w:val="center"/>
            <w:hideMark/>
          </w:tcPr>
          <w:p w14:paraId="58B63388" w14:textId="77777777" w:rsidR="0075354F" w:rsidRPr="0075354F" w:rsidRDefault="0075354F" w:rsidP="0075354F">
            <w:pPr>
              <w:jc w:val="right"/>
              <w:rPr>
                <w:rFonts w:cs="Arial"/>
                <w:color w:val="000000"/>
                <w:sz w:val="22"/>
                <w:szCs w:val="22"/>
              </w:rPr>
            </w:pPr>
            <w:r w:rsidRPr="0075354F">
              <w:rPr>
                <w:rFonts w:cs="Arial"/>
                <w:color w:val="000000"/>
                <w:sz w:val="22"/>
                <w:szCs w:val="22"/>
              </w:rPr>
              <w:t>80420</w:t>
            </w:r>
          </w:p>
        </w:tc>
        <w:tc>
          <w:tcPr>
            <w:tcW w:w="1525" w:type="pct"/>
            <w:tcBorders>
              <w:top w:val="nil"/>
              <w:left w:val="single" w:sz="8" w:space="0" w:color="auto"/>
              <w:bottom w:val="nil"/>
              <w:right w:val="nil"/>
            </w:tcBorders>
            <w:noWrap/>
            <w:vAlign w:val="center"/>
            <w:hideMark/>
          </w:tcPr>
          <w:p w14:paraId="60E3D7D3" w14:textId="77777777" w:rsidR="0075354F" w:rsidRPr="0075354F" w:rsidRDefault="0075354F" w:rsidP="0075354F">
            <w:pPr>
              <w:rPr>
                <w:rFonts w:cs="Arial"/>
                <w:color w:val="000000"/>
                <w:sz w:val="22"/>
                <w:szCs w:val="22"/>
              </w:rPr>
            </w:pPr>
            <w:proofErr w:type="spellStart"/>
            <w:r w:rsidRPr="0075354F">
              <w:rPr>
                <w:rFonts w:cs="Arial"/>
                <w:color w:val="000000"/>
                <w:sz w:val="22"/>
                <w:szCs w:val="22"/>
              </w:rPr>
              <w:t>Woolmore</w:t>
            </w:r>
            <w:proofErr w:type="spellEnd"/>
          </w:p>
        </w:tc>
        <w:tc>
          <w:tcPr>
            <w:tcW w:w="1038" w:type="pct"/>
            <w:tcBorders>
              <w:top w:val="nil"/>
              <w:left w:val="single" w:sz="8" w:space="0" w:color="auto"/>
              <w:bottom w:val="single" w:sz="8" w:space="0" w:color="auto"/>
              <w:right w:val="single" w:sz="8" w:space="0" w:color="auto"/>
            </w:tcBorders>
            <w:noWrap/>
            <w:vAlign w:val="center"/>
            <w:hideMark/>
          </w:tcPr>
          <w:p w14:paraId="1FDB9751" w14:textId="77777777" w:rsidR="0075354F" w:rsidRPr="0075354F" w:rsidRDefault="0075354F" w:rsidP="0075354F">
            <w:pPr>
              <w:jc w:val="right"/>
              <w:rPr>
                <w:rFonts w:cs="Arial"/>
                <w:color w:val="000000"/>
                <w:sz w:val="22"/>
                <w:szCs w:val="22"/>
              </w:rPr>
            </w:pPr>
            <w:r w:rsidRPr="0075354F">
              <w:rPr>
                <w:rFonts w:cs="Arial"/>
                <w:color w:val="000000"/>
                <w:sz w:val="22"/>
                <w:szCs w:val="22"/>
              </w:rPr>
              <w:t>712,622</w:t>
            </w:r>
          </w:p>
        </w:tc>
        <w:tc>
          <w:tcPr>
            <w:tcW w:w="894" w:type="pct"/>
            <w:tcBorders>
              <w:top w:val="nil"/>
              <w:left w:val="nil"/>
              <w:bottom w:val="single" w:sz="8" w:space="0" w:color="auto"/>
              <w:right w:val="single" w:sz="8" w:space="0" w:color="auto"/>
            </w:tcBorders>
            <w:noWrap/>
            <w:vAlign w:val="center"/>
            <w:hideMark/>
          </w:tcPr>
          <w:p w14:paraId="4648B3D9" w14:textId="77777777" w:rsidR="0075354F" w:rsidRPr="007A76D3" w:rsidRDefault="0075354F" w:rsidP="0075354F">
            <w:pPr>
              <w:jc w:val="right"/>
              <w:rPr>
                <w:rFonts w:cs="Arial"/>
                <w:color w:val="ED0000"/>
                <w:sz w:val="22"/>
                <w:szCs w:val="22"/>
              </w:rPr>
            </w:pPr>
            <w:r w:rsidRPr="007A76D3">
              <w:rPr>
                <w:rFonts w:cs="Arial"/>
                <w:color w:val="ED0000"/>
                <w:sz w:val="22"/>
                <w:szCs w:val="22"/>
              </w:rPr>
              <w:t>-141,298</w:t>
            </w:r>
          </w:p>
        </w:tc>
        <w:tc>
          <w:tcPr>
            <w:tcW w:w="975" w:type="pct"/>
            <w:tcBorders>
              <w:top w:val="nil"/>
              <w:left w:val="nil"/>
              <w:bottom w:val="single" w:sz="8" w:space="0" w:color="auto"/>
              <w:right w:val="single" w:sz="8" w:space="0" w:color="auto"/>
            </w:tcBorders>
            <w:noWrap/>
            <w:vAlign w:val="center"/>
            <w:hideMark/>
          </w:tcPr>
          <w:p w14:paraId="6E28793A" w14:textId="77777777" w:rsidR="0075354F" w:rsidRPr="0075354F" w:rsidRDefault="0075354F" w:rsidP="0075354F">
            <w:pPr>
              <w:jc w:val="right"/>
              <w:rPr>
                <w:rFonts w:ascii="Aptos Narrow" w:hAnsi="Aptos Narrow"/>
                <w:color w:val="000000"/>
                <w:sz w:val="22"/>
                <w:szCs w:val="22"/>
              </w:rPr>
            </w:pPr>
            <w:r w:rsidRPr="0075354F">
              <w:rPr>
                <w:rFonts w:ascii="Aptos Narrow" w:hAnsi="Aptos Narrow"/>
                <w:color w:val="000000"/>
                <w:sz w:val="22"/>
                <w:szCs w:val="22"/>
              </w:rPr>
              <w:t>571,323</w:t>
            </w:r>
          </w:p>
        </w:tc>
      </w:tr>
      <w:tr w:rsidR="0075354F" w:rsidRPr="0075354F" w14:paraId="0C02285B" w14:textId="77777777" w:rsidTr="0075354F">
        <w:trPr>
          <w:trHeight w:val="300"/>
        </w:trPr>
        <w:tc>
          <w:tcPr>
            <w:tcW w:w="569" w:type="pct"/>
            <w:tcBorders>
              <w:top w:val="single" w:sz="8" w:space="0" w:color="auto"/>
              <w:left w:val="single" w:sz="8" w:space="0" w:color="auto"/>
              <w:bottom w:val="single" w:sz="8" w:space="0" w:color="auto"/>
              <w:right w:val="nil"/>
            </w:tcBorders>
            <w:noWrap/>
            <w:vAlign w:val="center"/>
            <w:hideMark/>
          </w:tcPr>
          <w:p w14:paraId="4BBA5275" w14:textId="77777777" w:rsidR="0075354F" w:rsidRPr="0075354F" w:rsidRDefault="0075354F" w:rsidP="0075354F">
            <w:pPr>
              <w:rPr>
                <w:rFonts w:cs="Arial"/>
                <w:color w:val="000000"/>
                <w:sz w:val="22"/>
                <w:szCs w:val="22"/>
              </w:rPr>
            </w:pPr>
            <w:r w:rsidRPr="0075354F">
              <w:rPr>
                <w:rFonts w:cs="Arial"/>
                <w:color w:val="000000"/>
                <w:sz w:val="22"/>
                <w:szCs w:val="22"/>
              </w:rPr>
              <w:t> </w:t>
            </w:r>
          </w:p>
        </w:tc>
        <w:tc>
          <w:tcPr>
            <w:tcW w:w="1525" w:type="pct"/>
            <w:tcBorders>
              <w:top w:val="single" w:sz="8" w:space="0" w:color="auto"/>
              <w:left w:val="single" w:sz="8" w:space="0" w:color="auto"/>
              <w:bottom w:val="single" w:sz="8" w:space="0" w:color="auto"/>
              <w:right w:val="single" w:sz="8" w:space="0" w:color="auto"/>
            </w:tcBorders>
            <w:noWrap/>
            <w:vAlign w:val="center"/>
            <w:hideMark/>
          </w:tcPr>
          <w:p w14:paraId="45FA3CC1" w14:textId="77777777" w:rsidR="0075354F" w:rsidRPr="0075354F" w:rsidRDefault="0075354F" w:rsidP="0075354F">
            <w:pPr>
              <w:rPr>
                <w:rFonts w:cs="Arial"/>
                <w:b/>
                <w:bCs/>
                <w:color w:val="000000"/>
                <w:sz w:val="22"/>
                <w:szCs w:val="22"/>
              </w:rPr>
            </w:pPr>
            <w:r w:rsidRPr="0075354F">
              <w:rPr>
                <w:rFonts w:cs="Arial"/>
                <w:b/>
                <w:bCs/>
                <w:color w:val="000000"/>
                <w:sz w:val="22"/>
                <w:szCs w:val="22"/>
              </w:rPr>
              <w:t>Total</w:t>
            </w:r>
          </w:p>
        </w:tc>
        <w:tc>
          <w:tcPr>
            <w:tcW w:w="1038" w:type="pct"/>
            <w:tcBorders>
              <w:top w:val="nil"/>
              <w:left w:val="nil"/>
              <w:bottom w:val="single" w:sz="8" w:space="0" w:color="auto"/>
              <w:right w:val="single" w:sz="8" w:space="0" w:color="auto"/>
            </w:tcBorders>
            <w:noWrap/>
            <w:vAlign w:val="center"/>
            <w:hideMark/>
          </w:tcPr>
          <w:p w14:paraId="2BF98152" w14:textId="77777777" w:rsidR="0075354F" w:rsidRPr="0075354F" w:rsidRDefault="0075354F" w:rsidP="0075354F">
            <w:pPr>
              <w:jc w:val="right"/>
              <w:rPr>
                <w:rFonts w:cs="Arial"/>
                <w:b/>
                <w:bCs/>
                <w:color w:val="000000"/>
                <w:sz w:val="22"/>
                <w:szCs w:val="22"/>
              </w:rPr>
            </w:pPr>
            <w:r w:rsidRPr="0075354F">
              <w:rPr>
                <w:rFonts w:cs="Arial"/>
                <w:b/>
                <w:bCs/>
                <w:color w:val="000000"/>
                <w:sz w:val="22"/>
                <w:szCs w:val="22"/>
              </w:rPr>
              <w:t>29,439,835</w:t>
            </w:r>
          </w:p>
        </w:tc>
        <w:tc>
          <w:tcPr>
            <w:tcW w:w="894" w:type="pct"/>
            <w:tcBorders>
              <w:top w:val="nil"/>
              <w:left w:val="nil"/>
              <w:bottom w:val="single" w:sz="8" w:space="0" w:color="auto"/>
              <w:right w:val="single" w:sz="8" w:space="0" w:color="auto"/>
            </w:tcBorders>
            <w:noWrap/>
            <w:vAlign w:val="center"/>
            <w:hideMark/>
          </w:tcPr>
          <w:p w14:paraId="1DE2EC06" w14:textId="77777777" w:rsidR="0075354F" w:rsidRPr="0075354F" w:rsidRDefault="0075354F" w:rsidP="0075354F">
            <w:pPr>
              <w:jc w:val="right"/>
              <w:rPr>
                <w:rFonts w:cs="Arial"/>
                <w:b/>
                <w:bCs/>
                <w:color w:val="000000"/>
                <w:sz w:val="22"/>
                <w:szCs w:val="22"/>
              </w:rPr>
            </w:pPr>
            <w:r w:rsidRPr="0075354F">
              <w:rPr>
                <w:rFonts w:cs="Arial"/>
                <w:b/>
                <w:bCs/>
                <w:color w:val="000000"/>
                <w:sz w:val="22"/>
                <w:szCs w:val="22"/>
              </w:rPr>
              <w:t>-497,086</w:t>
            </w:r>
          </w:p>
        </w:tc>
        <w:tc>
          <w:tcPr>
            <w:tcW w:w="975" w:type="pct"/>
            <w:tcBorders>
              <w:top w:val="nil"/>
              <w:left w:val="nil"/>
              <w:bottom w:val="single" w:sz="8" w:space="0" w:color="auto"/>
              <w:right w:val="single" w:sz="8" w:space="0" w:color="auto"/>
            </w:tcBorders>
            <w:noWrap/>
            <w:vAlign w:val="center"/>
            <w:hideMark/>
          </w:tcPr>
          <w:p w14:paraId="258575BA" w14:textId="77777777" w:rsidR="0075354F" w:rsidRPr="0075354F" w:rsidRDefault="0075354F" w:rsidP="0075354F">
            <w:pPr>
              <w:jc w:val="right"/>
              <w:rPr>
                <w:rFonts w:cs="Arial"/>
                <w:b/>
                <w:bCs/>
                <w:color w:val="000000"/>
                <w:sz w:val="22"/>
                <w:szCs w:val="22"/>
              </w:rPr>
            </w:pPr>
            <w:r w:rsidRPr="0075354F">
              <w:rPr>
                <w:rFonts w:cs="Arial"/>
                <w:b/>
                <w:bCs/>
                <w:color w:val="000000"/>
                <w:sz w:val="22"/>
                <w:szCs w:val="22"/>
              </w:rPr>
              <w:t>28,942,756</w:t>
            </w:r>
          </w:p>
        </w:tc>
      </w:tr>
    </w:tbl>
    <w:p w14:paraId="201A8AC7" w14:textId="77777777" w:rsidR="0075354F" w:rsidRDefault="0075354F" w:rsidP="0070580B">
      <w:pPr>
        <w:spacing w:after="120"/>
        <w:jc w:val="both"/>
        <w:rPr>
          <w:rFonts w:cs="Arial"/>
          <w:b/>
          <w:bCs/>
          <w:color w:val="000000"/>
        </w:rPr>
      </w:pPr>
    </w:p>
    <w:p w14:paraId="10740FCE" w14:textId="77777777" w:rsidR="0075354F" w:rsidRDefault="0075354F" w:rsidP="0070580B">
      <w:pPr>
        <w:spacing w:after="120"/>
        <w:jc w:val="both"/>
        <w:rPr>
          <w:rFonts w:cs="Arial"/>
          <w:b/>
          <w:bCs/>
          <w:color w:val="000000"/>
        </w:rPr>
      </w:pPr>
    </w:p>
    <w:p w14:paraId="3D559987" w14:textId="77777777" w:rsidR="0075354F" w:rsidRDefault="0075354F" w:rsidP="0070580B">
      <w:pPr>
        <w:spacing w:after="120"/>
        <w:jc w:val="both"/>
        <w:rPr>
          <w:rFonts w:cs="Arial"/>
          <w:b/>
          <w:bCs/>
          <w:color w:val="000000"/>
        </w:rPr>
      </w:pPr>
    </w:p>
    <w:p w14:paraId="5F5DDFE5" w14:textId="77777777" w:rsidR="0075354F" w:rsidRDefault="0075354F" w:rsidP="0070580B">
      <w:pPr>
        <w:spacing w:after="120"/>
        <w:jc w:val="both"/>
        <w:rPr>
          <w:rFonts w:cs="Arial"/>
          <w:b/>
          <w:bCs/>
          <w:color w:val="000000"/>
        </w:rPr>
      </w:pPr>
    </w:p>
    <w:p w14:paraId="0C372B94" w14:textId="77777777" w:rsidR="0075354F" w:rsidRDefault="0075354F" w:rsidP="0070580B">
      <w:pPr>
        <w:spacing w:after="120"/>
        <w:jc w:val="both"/>
        <w:rPr>
          <w:rFonts w:cs="Arial"/>
          <w:b/>
          <w:bCs/>
          <w:color w:val="000000"/>
        </w:rPr>
      </w:pPr>
    </w:p>
    <w:p w14:paraId="0E3FB948" w14:textId="77777777" w:rsidR="0075354F" w:rsidRDefault="0075354F" w:rsidP="0070580B">
      <w:pPr>
        <w:spacing w:after="120"/>
        <w:jc w:val="both"/>
        <w:rPr>
          <w:rFonts w:cs="Arial"/>
          <w:b/>
          <w:bCs/>
          <w:color w:val="000000"/>
        </w:rPr>
      </w:pPr>
    </w:p>
    <w:p w14:paraId="31C1C38F" w14:textId="77777777" w:rsidR="0075354F" w:rsidRDefault="0075354F" w:rsidP="0070580B">
      <w:pPr>
        <w:spacing w:after="120"/>
        <w:jc w:val="both"/>
        <w:rPr>
          <w:rFonts w:cs="Arial"/>
          <w:b/>
          <w:bCs/>
          <w:color w:val="000000"/>
        </w:rPr>
      </w:pPr>
    </w:p>
    <w:p w14:paraId="2761C725" w14:textId="77777777" w:rsidR="0075354F" w:rsidRDefault="0075354F" w:rsidP="0070580B">
      <w:pPr>
        <w:spacing w:after="120"/>
        <w:jc w:val="both"/>
        <w:rPr>
          <w:rFonts w:cs="Arial"/>
          <w:b/>
          <w:bCs/>
          <w:color w:val="000000"/>
        </w:rPr>
      </w:pPr>
    </w:p>
    <w:p w14:paraId="3CD135BB" w14:textId="77777777" w:rsidR="0075354F" w:rsidRDefault="0075354F" w:rsidP="0070580B">
      <w:pPr>
        <w:spacing w:after="120"/>
        <w:jc w:val="both"/>
        <w:rPr>
          <w:rFonts w:cs="Arial"/>
          <w:b/>
          <w:bCs/>
          <w:color w:val="000000"/>
        </w:rPr>
      </w:pPr>
    </w:p>
    <w:p w14:paraId="48562B0D" w14:textId="77777777" w:rsidR="0075354F" w:rsidRDefault="0075354F" w:rsidP="0070580B">
      <w:pPr>
        <w:spacing w:after="120"/>
        <w:jc w:val="both"/>
        <w:rPr>
          <w:rFonts w:cs="Arial"/>
          <w:b/>
          <w:bCs/>
          <w:color w:val="000000"/>
        </w:rPr>
      </w:pPr>
    </w:p>
    <w:p w14:paraId="211CFA62" w14:textId="77777777" w:rsidR="0075354F" w:rsidRDefault="0075354F" w:rsidP="0070580B">
      <w:pPr>
        <w:spacing w:after="120"/>
        <w:jc w:val="both"/>
        <w:rPr>
          <w:rFonts w:cs="Arial"/>
          <w:b/>
          <w:bCs/>
          <w:color w:val="000000"/>
        </w:rPr>
      </w:pPr>
    </w:p>
    <w:p w14:paraId="700F8609" w14:textId="77777777" w:rsidR="0075354F" w:rsidRDefault="0075354F" w:rsidP="0070580B">
      <w:pPr>
        <w:spacing w:after="120"/>
        <w:jc w:val="both"/>
        <w:rPr>
          <w:rFonts w:cs="Arial"/>
          <w:b/>
          <w:bCs/>
          <w:color w:val="000000"/>
        </w:rPr>
      </w:pPr>
    </w:p>
    <w:p w14:paraId="7B6637C3" w14:textId="77777777" w:rsidR="00A136DF" w:rsidRDefault="00A136DF" w:rsidP="0070580B">
      <w:pPr>
        <w:spacing w:after="120"/>
        <w:jc w:val="both"/>
        <w:rPr>
          <w:rFonts w:cs="Arial"/>
          <w:b/>
          <w:bCs/>
          <w:color w:val="000000"/>
        </w:rPr>
      </w:pPr>
    </w:p>
    <w:bookmarkEnd w:id="0"/>
    <w:p w14:paraId="7E86725C" w14:textId="77777777" w:rsidR="0070580B" w:rsidRDefault="0070580B" w:rsidP="0070580B">
      <w:pPr>
        <w:pStyle w:val="ListParagraph"/>
        <w:ind w:left="0"/>
        <w:rPr>
          <w:color w:val="000000"/>
        </w:rPr>
      </w:pPr>
    </w:p>
    <w:p w14:paraId="320E1A0A" w14:textId="77777777" w:rsidR="0070580B" w:rsidRDefault="0070580B" w:rsidP="0073208F">
      <w:pPr>
        <w:pStyle w:val="ListParagraph"/>
        <w:ind w:left="567"/>
        <w:jc w:val="both"/>
      </w:pPr>
    </w:p>
    <w:p w14:paraId="4D6D7C07" w14:textId="77777777" w:rsidR="005E0B4A" w:rsidRPr="00CC3A17" w:rsidRDefault="005E0B4A" w:rsidP="00F44713">
      <w:pPr>
        <w:jc w:val="both"/>
        <w:rPr>
          <w:b/>
        </w:rPr>
      </w:pPr>
    </w:p>
    <w:sectPr w:rsidR="005E0B4A" w:rsidRPr="00CC3A17" w:rsidSect="00F32C7A">
      <w:footerReference w:type="default" r:id="rId11"/>
      <w:headerReference w:type="first" r:id="rId12"/>
      <w:footerReference w:type="first" r:id="rId13"/>
      <w:pgSz w:w="11906" w:h="16838" w:code="9"/>
      <w:pgMar w:top="1440" w:right="1274" w:bottom="1440" w:left="1276" w:header="72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2EE2" w14:textId="77777777" w:rsidR="006A7245" w:rsidRDefault="006A7245">
      <w:r>
        <w:separator/>
      </w:r>
    </w:p>
  </w:endnote>
  <w:endnote w:type="continuationSeparator" w:id="0">
    <w:p w14:paraId="7D0160CB" w14:textId="77777777" w:rsidR="006A7245" w:rsidRDefault="006A7245">
      <w:r>
        <w:continuationSeparator/>
      </w:r>
    </w:p>
  </w:endnote>
  <w:endnote w:type="continuationNotice" w:id="1">
    <w:p w14:paraId="325822DC" w14:textId="77777777" w:rsidR="006A7245" w:rsidRDefault="006A7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93171"/>
      <w:docPartObj>
        <w:docPartGallery w:val="Page Numbers (Bottom of Page)"/>
        <w:docPartUnique/>
      </w:docPartObj>
    </w:sdtPr>
    <w:sdtEndPr>
      <w:rPr>
        <w:noProof/>
      </w:rPr>
    </w:sdtEndPr>
    <w:sdtContent>
      <w:p w14:paraId="21B27BD1" w14:textId="06CE8B49" w:rsidR="0086240E" w:rsidRDefault="008624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3F54D3" w14:textId="77777777" w:rsidR="0086240E" w:rsidRDefault="00862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15395"/>
      <w:docPartObj>
        <w:docPartGallery w:val="Page Numbers (Bottom of Page)"/>
        <w:docPartUnique/>
      </w:docPartObj>
    </w:sdtPr>
    <w:sdtEndPr>
      <w:rPr>
        <w:noProof/>
      </w:rPr>
    </w:sdtEndPr>
    <w:sdtContent>
      <w:p w14:paraId="7413E2D2" w14:textId="53631DB6" w:rsidR="00C353A6" w:rsidRDefault="00C353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64D9B3" w14:textId="77777777" w:rsidR="0086240E" w:rsidRDefault="00862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7588" w14:textId="77777777" w:rsidR="006A7245" w:rsidRDefault="006A7245">
      <w:r>
        <w:separator/>
      </w:r>
    </w:p>
  </w:footnote>
  <w:footnote w:type="continuationSeparator" w:id="0">
    <w:p w14:paraId="28053FB4" w14:textId="77777777" w:rsidR="006A7245" w:rsidRDefault="006A7245">
      <w:r>
        <w:continuationSeparator/>
      </w:r>
    </w:p>
  </w:footnote>
  <w:footnote w:type="continuationNotice" w:id="1">
    <w:p w14:paraId="2D6713C8" w14:textId="77777777" w:rsidR="006A7245" w:rsidRDefault="006A72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F707" w14:textId="7000DBAB" w:rsidR="00883BFB" w:rsidRDefault="00883BFB">
    <w:pPr>
      <w:pStyle w:val="Header"/>
    </w:pPr>
    <w:r w:rsidRPr="00883BFB">
      <w:rPr>
        <w:rFonts w:ascii="Times New Roman" w:hAnsi="Times New Roman"/>
        <w:noProof/>
        <w:szCs w:val="20"/>
      </w:rPr>
      <w:drawing>
        <wp:anchor distT="0" distB="0" distL="114300" distR="114300" simplePos="0" relativeHeight="251658240" behindDoc="0" locked="0" layoutInCell="1" allowOverlap="1" wp14:anchorId="6BF81060" wp14:editId="0D8BA24E">
          <wp:simplePos x="0" y="0"/>
          <wp:positionH relativeFrom="column">
            <wp:posOffset>939800</wp:posOffset>
          </wp:positionH>
          <wp:positionV relativeFrom="paragraph">
            <wp:posOffset>-342900</wp:posOffset>
          </wp:positionV>
          <wp:extent cx="5731510" cy="1152525"/>
          <wp:effectExtent l="0" t="0" r="2540" b="9525"/>
          <wp:wrapThrough wrapText="bothSides">
            <wp:wrapPolygon edited="0">
              <wp:start x="0" y="0"/>
              <wp:lineTo x="0" y="21421"/>
              <wp:lineTo x="21538" y="21421"/>
              <wp:lineTo x="21538" y="0"/>
              <wp:lineTo x="0"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525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C19CA"/>
    <w:multiLevelType w:val="hybridMultilevel"/>
    <w:tmpl w:val="29806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500FC"/>
    <w:multiLevelType w:val="hybridMultilevel"/>
    <w:tmpl w:val="DB4A2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B27EA9"/>
    <w:multiLevelType w:val="hybridMultilevel"/>
    <w:tmpl w:val="F8D2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4" w15:restartNumberingAfterBreak="0">
    <w:nsid w:val="1B554CB6"/>
    <w:multiLevelType w:val="multilevel"/>
    <w:tmpl w:val="746CC27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bCs/>
        <w:color w:val="auto"/>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AA4EA0"/>
    <w:multiLevelType w:val="hybridMultilevel"/>
    <w:tmpl w:val="2E20E0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8C0C64"/>
    <w:multiLevelType w:val="hybridMultilevel"/>
    <w:tmpl w:val="07BAC78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9D470A0"/>
    <w:multiLevelType w:val="hybridMultilevel"/>
    <w:tmpl w:val="E9E0EA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1172AF"/>
    <w:multiLevelType w:val="hybridMultilevel"/>
    <w:tmpl w:val="EF0C24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2577ADB"/>
    <w:multiLevelType w:val="multilevel"/>
    <w:tmpl w:val="E8746B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1F7A51"/>
    <w:multiLevelType w:val="hybridMultilevel"/>
    <w:tmpl w:val="A68A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30040B"/>
    <w:multiLevelType w:val="hybridMultilevel"/>
    <w:tmpl w:val="95F4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C725B"/>
    <w:multiLevelType w:val="hybridMultilevel"/>
    <w:tmpl w:val="457E5058"/>
    <w:lvl w:ilvl="0" w:tplc="524CC7C4">
      <w:numFmt w:val="bullet"/>
      <w:lvlText w:val="-"/>
      <w:lvlJc w:val="left"/>
      <w:pPr>
        <w:ind w:left="720" w:hanging="360"/>
      </w:pPr>
      <w:rPr>
        <w:rFonts w:ascii="Calibri" w:eastAsia="Times New Roman" w:hAnsi="Calibri" w:cs="Calibri"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350FD5"/>
    <w:multiLevelType w:val="multilevel"/>
    <w:tmpl w:val="35AE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AB16FA"/>
    <w:multiLevelType w:val="hybridMultilevel"/>
    <w:tmpl w:val="6FDA7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631C76"/>
    <w:multiLevelType w:val="hybridMultilevel"/>
    <w:tmpl w:val="2D323190"/>
    <w:lvl w:ilvl="0" w:tplc="5768B76C">
      <w:numFmt w:val="bullet"/>
      <w:lvlText w:val="-"/>
      <w:lvlJc w:val="left"/>
      <w:pPr>
        <w:ind w:left="1080" w:hanging="360"/>
      </w:pPr>
      <w:rPr>
        <w:rFonts w:ascii="Calibri" w:eastAsia="Times New Roman" w:hAnsi="Calibri" w:cs="Calibri" w:hint="default"/>
        <w:color w:val="00000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5B02D42"/>
    <w:multiLevelType w:val="hybridMultilevel"/>
    <w:tmpl w:val="3F4A7E4E"/>
    <w:lvl w:ilvl="0" w:tplc="51F497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DF921CC"/>
    <w:multiLevelType w:val="hybridMultilevel"/>
    <w:tmpl w:val="A6FA787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585D21F6"/>
    <w:multiLevelType w:val="hybridMultilevel"/>
    <w:tmpl w:val="0FD24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275A47"/>
    <w:multiLevelType w:val="multilevel"/>
    <w:tmpl w:val="311EB9AC"/>
    <w:lvl w:ilvl="0">
      <w:start w:val="1"/>
      <w:numFmt w:val="decimal"/>
      <w:lvlText w:val="%1."/>
      <w:lvlJc w:val="left"/>
      <w:pPr>
        <w:ind w:left="720" w:hanging="720"/>
      </w:pPr>
      <w:rPr>
        <w:rFonts w:hint="default"/>
        <w:b/>
        <w:bCs/>
        <w:i w:val="0"/>
        <w:iCs w:val="0"/>
      </w:rPr>
    </w:lvl>
    <w:lvl w:ilvl="1">
      <w:start w:val="1"/>
      <w:numFmt w:val="decimal"/>
      <w:isLgl/>
      <w:lvlText w:val="%1.%2"/>
      <w:lvlJc w:val="left"/>
      <w:pPr>
        <w:ind w:left="720" w:hanging="720"/>
      </w:pPr>
      <w:rPr>
        <w:rFonts w:hint="default"/>
        <w:b w:val="0"/>
        <w:bCs w:val="0"/>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A7D3358"/>
    <w:multiLevelType w:val="hybridMultilevel"/>
    <w:tmpl w:val="D8DE7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821B91"/>
    <w:multiLevelType w:val="hybridMultilevel"/>
    <w:tmpl w:val="92E613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E691A69"/>
    <w:multiLevelType w:val="multilevel"/>
    <w:tmpl w:val="311EB9AC"/>
    <w:lvl w:ilvl="0">
      <w:start w:val="1"/>
      <w:numFmt w:val="decimal"/>
      <w:lvlText w:val="%1."/>
      <w:lvlJc w:val="left"/>
      <w:pPr>
        <w:ind w:left="1080" w:hanging="720"/>
      </w:pPr>
      <w:rPr>
        <w:rFonts w:hint="default"/>
        <w:b/>
        <w:bCs/>
        <w:i w:val="0"/>
        <w:iCs w:val="0"/>
      </w:rPr>
    </w:lvl>
    <w:lvl w:ilvl="1">
      <w:start w:val="1"/>
      <w:numFmt w:val="decimal"/>
      <w:isLgl/>
      <w:lvlText w:val="%1.%2"/>
      <w:lvlJc w:val="left"/>
      <w:pPr>
        <w:ind w:left="1080" w:hanging="72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6A7F02"/>
    <w:multiLevelType w:val="hybridMultilevel"/>
    <w:tmpl w:val="C09A4C6A"/>
    <w:lvl w:ilvl="0" w:tplc="49A6DBB8">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7085FD2"/>
    <w:multiLevelType w:val="multilevel"/>
    <w:tmpl w:val="95626326"/>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116732"/>
    <w:multiLevelType w:val="hybridMultilevel"/>
    <w:tmpl w:val="7D302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D37609"/>
    <w:multiLevelType w:val="multilevel"/>
    <w:tmpl w:val="311EB9AC"/>
    <w:lvl w:ilvl="0">
      <w:start w:val="1"/>
      <w:numFmt w:val="decimal"/>
      <w:lvlText w:val="%1."/>
      <w:lvlJc w:val="left"/>
      <w:pPr>
        <w:ind w:left="1080" w:hanging="720"/>
      </w:pPr>
      <w:rPr>
        <w:rFonts w:hint="default"/>
        <w:b/>
        <w:bCs/>
        <w:i w:val="0"/>
        <w:iCs w:val="0"/>
      </w:rPr>
    </w:lvl>
    <w:lvl w:ilvl="1">
      <w:start w:val="1"/>
      <w:numFmt w:val="decimal"/>
      <w:isLgl/>
      <w:lvlText w:val="%1.%2"/>
      <w:lvlJc w:val="left"/>
      <w:pPr>
        <w:ind w:left="1080" w:hanging="72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AE16CAC"/>
    <w:multiLevelType w:val="hybridMultilevel"/>
    <w:tmpl w:val="88C6A1B8"/>
    <w:lvl w:ilvl="0" w:tplc="08090017">
      <w:start w:val="1"/>
      <w:numFmt w:val="lowerLetter"/>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C580768"/>
    <w:multiLevelType w:val="hybridMultilevel"/>
    <w:tmpl w:val="A5A67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AD2CFC"/>
    <w:multiLevelType w:val="multilevel"/>
    <w:tmpl w:val="637CFC8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2344927">
    <w:abstractNumId w:val="27"/>
  </w:num>
  <w:num w:numId="2" w16cid:durableId="859008117">
    <w:abstractNumId w:val="3"/>
  </w:num>
  <w:num w:numId="3" w16cid:durableId="1128940347">
    <w:abstractNumId w:val="2"/>
  </w:num>
  <w:num w:numId="4" w16cid:durableId="961350845">
    <w:abstractNumId w:val="25"/>
  </w:num>
  <w:num w:numId="5" w16cid:durableId="2112582821">
    <w:abstractNumId w:val="0"/>
  </w:num>
  <w:num w:numId="6" w16cid:durableId="826749769">
    <w:abstractNumId w:val="28"/>
  </w:num>
  <w:num w:numId="7" w16cid:durableId="711808934">
    <w:abstractNumId w:val="21"/>
  </w:num>
  <w:num w:numId="8" w16cid:durableId="1755011723">
    <w:abstractNumId w:val="14"/>
  </w:num>
  <w:num w:numId="9" w16cid:durableId="168646490">
    <w:abstractNumId w:val="5"/>
  </w:num>
  <w:num w:numId="10" w16cid:durableId="584847387">
    <w:abstractNumId w:val="11"/>
  </w:num>
  <w:num w:numId="11" w16cid:durableId="269240368">
    <w:abstractNumId w:val="4"/>
  </w:num>
  <w:num w:numId="12" w16cid:durableId="688799310">
    <w:abstractNumId w:val="6"/>
  </w:num>
  <w:num w:numId="13" w16cid:durableId="433979666">
    <w:abstractNumId w:val="1"/>
  </w:num>
  <w:num w:numId="14" w16cid:durableId="1935017388">
    <w:abstractNumId w:val="17"/>
  </w:num>
  <w:num w:numId="15" w16cid:durableId="1560676493">
    <w:abstractNumId w:val="10"/>
  </w:num>
  <w:num w:numId="16" w16cid:durableId="833644862">
    <w:abstractNumId w:val="16"/>
  </w:num>
  <w:num w:numId="17" w16cid:durableId="1679307371">
    <w:abstractNumId w:val="29"/>
  </w:num>
  <w:num w:numId="18" w16cid:durableId="1709406665">
    <w:abstractNumId w:val="13"/>
  </w:num>
  <w:num w:numId="19" w16cid:durableId="47539915">
    <w:abstractNumId w:val="9"/>
  </w:num>
  <w:num w:numId="20" w16cid:durableId="813182328">
    <w:abstractNumId w:val="24"/>
  </w:num>
  <w:num w:numId="21" w16cid:durableId="1776166047">
    <w:abstractNumId w:val="12"/>
  </w:num>
  <w:num w:numId="22" w16cid:durableId="525096245">
    <w:abstractNumId w:val="15"/>
  </w:num>
  <w:num w:numId="23" w16cid:durableId="593055344">
    <w:abstractNumId w:val="20"/>
  </w:num>
  <w:num w:numId="24" w16cid:durableId="1753429963">
    <w:abstractNumId w:val="8"/>
  </w:num>
  <w:num w:numId="25" w16cid:durableId="514343126">
    <w:abstractNumId w:val="23"/>
  </w:num>
  <w:num w:numId="26" w16cid:durableId="1419016064">
    <w:abstractNumId w:val="22"/>
  </w:num>
  <w:num w:numId="27" w16cid:durableId="460614143">
    <w:abstractNumId w:val="26"/>
  </w:num>
  <w:num w:numId="28" w16cid:durableId="722994316">
    <w:abstractNumId w:val="19"/>
  </w:num>
  <w:num w:numId="29" w16cid:durableId="2115664612">
    <w:abstractNumId w:val="18"/>
  </w:num>
  <w:num w:numId="30" w16cid:durableId="136232013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C3"/>
    <w:rsid w:val="000039AD"/>
    <w:rsid w:val="00003E70"/>
    <w:rsid w:val="000052C8"/>
    <w:rsid w:val="000055C6"/>
    <w:rsid w:val="00005D31"/>
    <w:rsid w:val="00011A38"/>
    <w:rsid w:val="000164EC"/>
    <w:rsid w:val="0002125B"/>
    <w:rsid w:val="0002180D"/>
    <w:rsid w:val="00023434"/>
    <w:rsid w:val="00025F55"/>
    <w:rsid w:val="000261CC"/>
    <w:rsid w:val="00026A03"/>
    <w:rsid w:val="000339DC"/>
    <w:rsid w:val="0004045E"/>
    <w:rsid w:val="00041E9D"/>
    <w:rsid w:val="00042317"/>
    <w:rsid w:val="00042CDD"/>
    <w:rsid w:val="000436A6"/>
    <w:rsid w:val="00044126"/>
    <w:rsid w:val="00046FCB"/>
    <w:rsid w:val="00050213"/>
    <w:rsid w:val="0005202F"/>
    <w:rsid w:val="0005284B"/>
    <w:rsid w:val="00054F48"/>
    <w:rsid w:val="00060FED"/>
    <w:rsid w:val="000649F8"/>
    <w:rsid w:val="0007256E"/>
    <w:rsid w:val="000770D5"/>
    <w:rsid w:val="00077299"/>
    <w:rsid w:val="000813DA"/>
    <w:rsid w:val="00083BBE"/>
    <w:rsid w:val="0008668C"/>
    <w:rsid w:val="000879FB"/>
    <w:rsid w:val="00090CBA"/>
    <w:rsid w:val="000931A2"/>
    <w:rsid w:val="00095CEF"/>
    <w:rsid w:val="000A0A98"/>
    <w:rsid w:val="000A1CF7"/>
    <w:rsid w:val="000A6EEE"/>
    <w:rsid w:val="000A7872"/>
    <w:rsid w:val="000A78CA"/>
    <w:rsid w:val="000B09D9"/>
    <w:rsid w:val="000B24B2"/>
    <w:rsid w:val="000B3881"/>
    <w:rsid w:val="000B3F6C"/>
    <w:rsid w:val="000B62AF"/>
    <w:rsid w:val="000B6630"/>
    <w:rsid w:val="000C12F6"/>
    <w:rsid w:val="000C1387"/>
    <w:rsid w:val="000C2B76"/>
    <w:rsid w:val="000C494D"/>
    <w:rsid w:val="000C55F2"/>
    <w:rsid w:val="000D2210"/>
    <w:rsid w:val="000D23BD"/>
    <w:rsid w:val="000D3037"/>
    <w:rsid w:val="000D6C01"/>
    <w:rsid w:val="000D6FF5"/>
    <w:rsid w:val="000D7FE8"/>
    <w:rsid w:val="000E153F"/>
    <w:rsid w:val="000E1E42"/>
    <w:rsid w:val="000E5EAC"/>
    <w:rsid w:val="000E6B40"/>
    <w:rsid w:val="000E7C2D"/>
    <w:rsid w:val="000F02CD"/>
    <w:rsid w:val="000F0BCB"/>
    <w:rsid w:val="000F10FE"/>
    <w:rsid w:val="000F6CE8"/>
    <w:rsid w:val="000F77A1"/>
    <w:rsid w:val="000F7FF0"/>
    <w:rsid w:val="00101397"/>
    <w:rsid w:val="00102CEB"/>
    <w:rsid w:val="00106EA4"/>
    <w:rsid w:val="00107D64"/>
    <w:rsid w:val="00107E40"/>
    <w:rsid w:val="0011276D"/>
    <w:rsid w:val="00113806"/>
    <w:rsid w:val="00115CC1"/>
    <w:rsid w:val="00117547"/>
    <w:rsid w:val="00123518"/>
    <w:rsid w:val="00123BD5"/>
    <w:rsid w:val="00124860"/>
    <w:rsid w:val="00124892"/>
    <w:rsid w:val="0013087F"/>
    <w:rsid w:val="001320A2"/>
    <w:rsid w:val="00133AC3"/>
    <w:rsid w:val="0013583F"/>
    <w:rsid w:val="001370C6"/>
    <w:rsid w:val="0013750C"/>
    <w:rsid w:val="00137E81"/>
    <w:rsid w:val="00143114"/>
    <w:rsid w:val="001445AD"/>
    <w:rsid w:val="00146529"/>
    <w:rsid w:val="00146B40"/>
    <w:rsid w:val="001479AD"/>
    <w:rsid w:val="0015158B"/>
    <w:rsid w:val="00151AD1"/>
    <w:rsid w:val="00152F4B"/>
    <w:rsid w:val="001617F7"/>
    <w:rsid w:val="00163648"/>
    <w:rsid w:val="001637DD"/>
    <w:rsid w:val="001638D3"/>
    <w:rsid w:val="001659C6"/>
    <w:rsid w:val="0017032B"/>
    <w:rsid w:val="00171274"/>
    <w:rsid w:val="001761E9"/>
    <w:rsid w:val="0017674E"/>
    <w:rsid w:val="00177800"/>
    <w:rsid w:val="001778B8"/>
    <w:rsid w:val="00180B04"/>
    <w:rsid w:val="001810FE"/>
    <w:rsid w:val="0018448F"/>
    <w:rsid w:val="00184A94"/>
    <w:rsid w:val="001852E5"/>
    <w:rsid w:val="001878D8"/>
    <w:rsid w:val="0019143A"/>
    <w:rsid w:val="001919B1"/>
    <w:rsid w:val="00192D3C"/>
    <w:rsid w:val="00196CF1"/>
    <w:rsid w:val="00197666"/>
    <w:rsid w:val="001A09E1"/>
    <w:rsid w:val="001A2014"/>
    <w:rsid w:val="001A2886"/>
    <w:rsid w:val="001A3845"/>
    <w:rsid w:val="001A61AA"/>
    <w:rsid w:val="001A73BF"/>
    <w:rsid w:val="001A74CC"/>
    <w:rsid w:val="001B1591"/>
    <w:rsid w:val="001B259F"/>
    <w:rsid w:val="001B4E89"/>
    <w:rsid w:val="001B5D5A"/>
    <w:rsid w:val="001B7088"/>
    <w:rsid w:val="001C209A"/>
    <w:rsid w:val="001C3659"/>
    <w:rsid w:val="001C48A1"/>
    <w:rsid w:val="001C4EFA"/>
    <w:rsid w:val="001C6F21"/>
    <w:rsid w:val="001D4DD6"/>
    <w:rsid w:val="001D6BA4"/>
    <w:rsid w:val="001E157A"/>
    <w:rsid w:val="001E40DE"/>
    <w:rsid w:val="001E4116"/>
    <w:rsid w:val="001E472B"/>
    <w:rsid w:val="001E7624"/>
    <w:rsid w:val="001F3545"/>
    <w:rsid w:val="001F661F"/>
    <w:rsid w:val="001F7D64"/>
    <w:rsid w:val="00200347"/>
    <w:rsid w:val="00200BF1"/>
    <w:rsid w:val="00203198"/>
    <w:rsid w:val="00203597"/>
    <w:rsid w:val="00203EAA"/>
    <w:rsid w:val="002051AB"/>
    <w:rsid w:val="00205496"/>
    <w:rsid w:val="002078E3"/>
    <w:rsid w:val="00213744"/>
    <w:rsid w:val="002167D2"/>
    <w:rsid w:val="002204ED"/>
    <w:rsid w:val="00221150"/>
    <w:rsid w:val="00221B84"/>
    <w:rsid w:val="0022295B"/>
    <w:rsid w:val="00223C9A"/>
    <w:rsid w:val="002246CA"/>
    <w:rsid w:val="002251FE"/>
    <w:rsid w:val="0022573B"/>
    <w:rsid w:val="00225E8D"/>
    <w:rsid w:val="0022611B"/>
    <w:rsid w:val="0022632C"/>
    <w:rsid w:val="00227C8E"/>
    <w:rsid w:val="0023028E"/>
    <w:rsid w:val="00231641"/>
    <w:rsid w:val="00231AB4"/>
    <w:rsid w:val="00240A03"/>
    <w:rsid w:val="00241252"/>
    <w:rsid w:val="002427BF"/>
    <w:rsid w:val="002452BF"/>
    <w:rsid w:val="00246223"/>
    <w:rsid w:val="0024629A"/>
    <w:rsid w:val="00246829"/>
    <w:rsid w:val="00250468"/>
    <w:rsid w:val="002511E5"/>
    <w:rsid w:val="00252559"/>
    <w:rsid w:val="00253148"/>
    <w:rsid w:val="00253B34"/>
    <w:rsid w:val="00254D42"/>
    <w:rsid w:val="00254D79"/>
    <w:rsid w:val="00255AF0"/>
    <w:rsid w:val="00255B22"/>
    <w:rsid w:val="00255B4E"/>
    <w:rsid w:val="0025632D"/>
    <w:rsid w:val="0025736A"/>
    <w:rsid w:val="00261F6B"/>
    <w:rsid w:val="002623C7"/>
    <w:rsid w:val="002636DB"/>
    <w:rsid w:val="002640E1"/>
    <w:rsid w:val="00264249"/>
    <w:rsid w:val="00264B6C"/>
    <w:rsid w:val="0026505F"/>
    <w:rsid w:val="00267D81"/>
    <w:rsid w:val="00273AC3"/>
    <w:rsid w:val="00274783"/>
    <w:rsid w:val="002779F6"/>
    <w:rsid w:val="002843FB"/>
    <w:rsid w:val="00285695"/>
    <w:rsid w:val="00287DBD"/>
    <w:rsid w:val="0029022D"/>
    <w:rsid w:val="00291476"/>
    <w:rsid w:val="0029323C"/>
    <w:rsid w:val="002942EC"/>
    <w:rsid w:val="00294E1F"/>
    <w:rsid w:val="00295350"/>
    <w:rsid w:val="002958F1"/>
    <w:rsid w:val="00295A55"/>
    <w:rsid w:val="002968A5"/>
    <w:rsid w:val="002A0D9E"/>
    <w:rsid w:val="002A0DB7"/>
    <w:rsid w:val="002A1BF1"/>
    <w:rsid w:val="002A1F3F"/>
    <w:rsid w:val="002A47A1"/>
    <w:rsid w:val="002A493D"/>
    <w:rsid w:val="002A5FBF"/>
    <w:rsid w:val="002A69DC"/>
    <w:rsid w:val="002A6BD8"/>
    <w:rsid w:val="002A7C85"/>
    <w:rsid w:val="002B32E8"/>
    <w:rsid w:val="002B4713"/>
    <w:rsid w:val="002B4791"/>
    <w:rsid w:val="002B6C1C"/>
    <w:rsid w:val="002C2217"/>
    <w:rsid w:val="002D4888"/>
    <w:rsid w:val="002D55C3"/>
    <w:rsid w:val="002D7915"/>
    <w:rsid w:val="002E0773"/>
    <w:rsid w:val="002E27CC"/>
    <w:rsid w:val="002E2AF3"/>
    <w:rsid w:val="002E3637"/>
    <w:rsid w:val="002E57C7"/>
    <w:rsid w:val="002F07CD"/>
    <w:rsid w:val="002F55A8"/>
    <w:rsid w:val="002F6FBC"/>
    <w:rsid w:val="00300DF2"/>
    <w:rsid w:val="00304350"/>
    <w:rsid w:val="0030490E"/>
    <w:rsid w:val="00305F74"/>
    <w:rsid w:val="00306179"/>
    <w:rsid w:val="00306353"/>
    <w:rsid w:val="00307098"/>
    <w:rsid w:val="00307B81"/>
    <w:rsid w:val="0031090B"/>
    <w:rsid w:val="003115CD"/>
    <w:rsid w:val="0031247F"/>
    <w:rsid w:val="0031268C"/>
    <w:rsid w:val="00312DA2"/>
    <w:rsid w:val="00314A5E"/>
    <w:rsid w:val="00316412"/>
    <w:rsid w:val="003170A9"/>
    <w:rsid w:val="0032099B"/>
    <w:rsid w:val="003229D2"/>
    <w:rsid w:val="00322E4D"/>
    <w:rsid w:val="00325AE4"/>
    <w:rsid w:val="00326E03"/>
    <w:rsid w:val="003301FE"/>
    <w:rsid w:val="003322EA"/>
    <w:rsid w:val="003345A8"/>
    <w:rsid w:val="0034258A"/>
    <w:rsid w:val="00342ACA"/>
    <w:rsid w:val="00346D9A"/>
    <w:rsid w:val="0035001D"/>
    <w:rsid w:val="0035032D"/>
    <w:rsid w:val="003512C7"/>
    <w:rsid w:val="0035185E"/>
    <w:rsid w:val="00351F12"/>
    <w:rsid w:val="003531BB"/>
    <w:rsid w:val="003536FC"/>
    <w:rsid w:val="003564B6"/>
    <w:rsid w:val="00356E38"/>
    <w:rsid w:val="00361F94"/>
    <w:rsid w:val="003629DA"/>
    <w:rsid w:val="00364BE2"/>
    <w:rsid w:val="00365C22"/>
    <w:rsid w:val="00365E3C"/>
    <w:rsid w:val="00367965"/>
    <w:rsid w:val="00371393"/>
    <w:rsid w:val="003754E3"/>
    <w:rsid w:val="003813D8"/>
    <w:rsid w:val="00381684"/>
    <w:rsid w:val="00382B3F"/>
    <w:rsid w:val="0038332C"/>
    <w:rsid w:val="00385B3A"/>
    <w:rsid w:val="00387CE1"/>
    <w:rsid w:val="0039134E"/>
    <w:rsid w:val="003920CB"/>
    <w:rsid w:val="00394DEA"/>
    <w:rsid w:val="00397511"/>
    <w:rsid w:val="003A06CA"/>
    <w:rsid w:val="003A12A4"/>
    <w:rsid w:val="003A14A2"/>
    <w:rsid w:val="003A1C52"/>
    <w:rsid w:val="003A7452"/>
    <w:rsid w:val="003B16A3"/>
    <w:rsid w:val="003B2548"/>
    <w:rsid w:val="003B3AEF"/>
    <w:rsid w:val="003B3B0E"/>
    <w:rsid w:val="003B656F"/>
    <w:rsid w:val="003B6647"/>
    <w:rsid w:val="003B700C"/>
    <w:rsid w:val="003B7621"/>
    <w:rsid w:val="003C1879"/>
    <w:rsid w:val="003C1DE3"/>
    <w:rsid w:val="003C4300"/>
    <w:rsid w:val="003D08B1"/>
    <w:rsid w:val="003D0EBB"/>
    <w:rsid w:val="003D3995"/>
    <w:rsid w:val="003D435E"/>
    <w:rsid w:val="003D731D"/>
    <w:rsid w:val="003E00BB"/>
    <w:rsid w:val="003E1CA1"/>
    <w:rsid w:val="003E2C8F"/>
    <w:rsid w:val="003E61A9"/>
    <w:rsid w:val="003E6E46"/>
    <w:rsid w:val="003F5D94"/>
    <w:rsid w:val="003F6281"/>
    <w:rsid w:val="004005FC"/>
    <w:rsid w:val="00404DAF"/>
    <w:rsid w:val="004056A4"/>
    <w:rsid w:val="00405741"/>
    <w:rsid w:val="00405B39"/>
    <w:rsid w:val="0041038E"/>
    <w:rsid w:val="00410D37"/>
    <w:rsid w:val="00411AA9"/>
    <w:rsid w:val="004130DB"/>
    <w:rsid w:val="00414FDB"/>
    <w:rsid w:val="00420766"/>
    <w:rsid w:val="00421266"/>
    <w:rsid w:val="00421504"/>
    <w:rsid w:val="004256EA"/>
    <w:rsid w:val="004277FE"/>
    <w:rsid w:val="00432144"/>
    <w:rsid w:val="0043348C"/>
    <w:rsid w:val="00433877"/>
    <w:rsid w:val="004342D6"/>
    <w:rsid w:val="00434EDA"/>
    <w:rsid w:val="004402FA"/>
    <w:rsid w:val="00440CB7"/>
    <w:rsid w:val="00441930"/>
    <w:rsid w:val="00444C0E"/>
    <w:rsid w:val="00445236"/>
    <w:rsid w:val="00446519"/>
    <w:rsid w:val="004478AE"/>
    <w:rsid w:val="00447927"/>
    <w:rsid w:val="00451CF7"/>
    <w:rsid w:val="004529FF"/>
    <w:rsid w:val="00452FA3"/>
    <w:rsid w:val="00455ACB"/>
    <w:rsid w:val="00457528"/>
    <w:rsid w:val="00457C65"/>
    <w:rsid w:val="00460587"/>
    <w:rsid w:val="00462C8B"/>
    <w:rsid w:val="00463EB4"/>
    <w:rsid w:val="00464D42"/>
    <w:rsid w:val="00465C26"/>
    <w:rsid w:val="00466C73"/>
    <w:rsid w:val="004705A1"/>
    <w:rsid w:val="00472A92"/>
    <w:rsid w:val="00476A3C"/>
    <w:rsid w:val="0048219E"/>
    <w:rsid w:val="00482710"/>
    <w:rsid w:val="004838C5"/>
    <w:rsid w:val="0048399E"/>
    <w:rsid w:val="004862AC"/>
    <w:rsid w:val="004862E0"/>
    <w:rsid w:val="00486492"/>
    <w:rsid w:val="00491DC6"/>
    <w:rsid w:val="00492604"/>
    <w:rsid w:val="00493052"/>
    <w:rsid w:val="00495291"/>
    <w:rsid w:val="00496F1C"/>
    <w:rsid w:val="004A0F22"/>
    <w:rsid w:val="004A2E13"/>
    <w:rsid w:val="004A2E94"/>
    <w:rsid w:val="004A4B6E"/>
    <w:rsid w:val="004A64C6"/>
    <w:rsid w:val="004B1220"/>
    <w:rsid w:val="004B2762"/>
    <w:rsid w:val="004B347E"/>
    <w:rsid w:val="004B6ED7"/>
    <w:rsid w:val="004B7D19"/>
    <w:rsid w:val="004B7D3B"/>
    <w:rsid w:val="004C0C75"/>
    <w:rsid w:val="004C10C9"/>
    <w:rsid w:val="004C474C"/>
    <w:rsid w:val="004C66F0"/>
    <w:rsid w:val="004C7C67"/>
    <w:rsid w:val="004D03E3"/>
    <w:rsid w:val="004D1C4B"/>
    <w:rsid w:val="004D27CE"/>
    <w:rsid w:val="004D4FF7"/>
    <w:rsid w:val="004D5594"/>
    <w:rsid w:val="004D7527"/>
    <w:rsid w:val="004D79DD"/>
    <w:rsid w:val="004D7D73"/>
    <w:rsid w:val="004E0345"/>
    <w:rsid w:val="004E357D"/>
    <w:rsid w:val="004E3F58"/>
    <w:rsid w:val="004E56B6"/>
    <w:rsid w:val="004E5EDF"/>
    <w:rsid w:val="004E7E62"/>
    <w:rsid w:val="004F409A"/>
    <w:rsid w:val="004F6589"/>
    <w:rsid w:val="004F67E3"/>
    <w:rsid w:val="00500576"/>
    <w:rsid w:val="00501776"/>
    <w:rsid w:val="0050651C"/>
    <w:rsid w:val="0050671F"/>
    <w:rsid w:val="0050719C"/>
    <w:rsid w:val="00510168"/>
    <w:rsid w:val="005112CE"/>
    <w:rsid w:val="00512519"/>
    <w:rsid w:val="0051276E"/>
    <w:rsid w:val="00513EBD"/>
    <w:rsid w:val="00515E8E"/>
    <w:rsid w:val="00517934"/>
    <w:rsid w:val="00517FAA"/>
    <w:rsid w:val="00520050"/>
    <w:rsid w:val="0052127C"/>
    <w:rsid w:val="0053007E"/>
    <w:rsid w:val="005301D7"/>
    <w:rsid w:val="0053384C"/>
    <w:rsid w:val="00534464"/>
    <w:rsid w:val="00537774"/>
    <w:rsid w:val="005400C7"/>
    <w:rsid w:val="0054015A"/>
    <w:rsid w:val="00540291"/>
    <w:rsid w:val="005404BE"/>
    <w:rsid w:val="00542B00"/>
    <w:rsid w:val="00545A21"/>
    <w:rsid w:val="00545EE2"/>
    <w:rsid w:val="005520F5"/>
    <w:rsid w:val="00552A9D"/>
    <w:rsid w:val="00557BAC"/>
    <w:rsid w:val="005638F5"/>
    <w:rsid w:val="00565F48"/>
    <w:rsid w:val="005673C2"/>
    <w:rsid w:val="00567913"/>
    <w:rsid w:val="00571B84"/>
    <w:rsid w:val="005723CA"/>
    <w:rsid w:val="00572E2A"/>
    <w:rsid w:val="00573A52"/>
    <w:rsid w:val="00574829"/>
    <w:rsid w:val="00580113"/>
    <w:rsid w:val="00581CFC"/>
    <w:rsid w:val="005824FC"/>
    <w:rsid w:val="00582A23"/>
    <w:rsid w:val="00583130"/>
    <w:rsid w:val="005840FC"/>
    <w:rsid w:val="005843ED"/>
    <w:rsid w:val="00584A63"/>
    <w:rsid w:val="00587998"/>
    <w:rsid w:val="00587FAC"/>
    <w:rsid w:val="005909E9"/>
    <w:rsid w:val="005923CC"/>
    <w:rsid w:val="005934AD"/>
    <w:rsid w:val="00594723"/>
    <w:rsid w:val="00596421"/>
    <w:rsid w:val="0059662E"/>
    <w:rsid w:val="00597EE4"/>
    <w:rsid w:val="005A04AF"/>
    <w:rsid w:val="005A152C"/>
    <w:rsid w:val="005A1E97"/>
    <w:rsid w:val="005A2910"/>
    <w:rsid w:val="005A29F4"/>
    <w:rsid w:val="005A2D18"/>
    <w:rsid w:val="005A3C4D"/>
    <w:rsid w:val="005A3F24"/>
    <w:rsid w:val="005A4229"/>
    <w:rsid w:val="005A4B24"/>
    <w:rsid w:val="005A4E20"/>
    <w:rsid w:val="005B36F3"/>
    <w:rsid w:val="005B488F"/>
    <w:rsid w:val="005B71A8"/>
    <w:rsid w:val="005C0D40"/>
    <w:rsid w:val="005C1322"/>
    <w:rsid w:val="005C2C39"/>
    <w:rsid w:val="005C511C"/>
    <w:rsid w:val="005C6C38"/>
    <w:rsid w:val="005D0E2D"/>
    <w:rsid w:val="005D57DA"/>
    <w:rsid w:val="005D61F5"/>
    <w:rsid w:val="005D6A71"/>
    <w:rsid w:val="005E090C"/>
    <w:rsid w:val="005E0B4A"/>
    <w:rsid w:val="005E18A0"/>
    <w:rsid w:val="005E2F1A"/>
    <w:rsid w:val="005E6861"/>
    <w:rsid w:val="005E73D8"/>
    <w:rsid w:val="005E7F7D"/>
    <w:rsid w:val="005F14CE"/>
    <w:rsid w:val="005F1CE0"/>
    <w:rsid w:val="005F2053"/>
    <w:rsid w:val="005F26CE"/>
    <w:rsid w:val="005F399C"/>
    <w:rsid w:val="005F5337"/>
    <w:rsid w:val="005F5DFA"/>
    <w:rsid w:val="005F7ECB"/>
    <w:rsid w:val="006016D4"/>
    <w:rsid w:val="00602A6A"/>
    <w:rsid w:val="00604C8B"/>
    <w:rsid w:val="00605CDF"/>
    <w:rsid w:val="0060737E"/>
    <w:rsid w:val="006077E0"/>
    <w:rsid w:val="00607D34"/>
    <w:rsid w:val="006100DA"/>
    <w:rsid w:val="00611F9B"/>
    <w:rsid w:val="00612905"/>
    <w:rsid w:val="006134FA"/>
    <w:rsid w:val="00613717"/>
    <w:rsid w:val="00614512"/>
    <w:rsid w:val="0061485C"/>
    <w:rsid w:val="00615E88"/>
    <w:rsid w:val="00626E54"/>
    <w:rsid w:val="00627670"/>
    <w:rsid w:val="0063063F"/>
    <w:rsid w:val="00632340"/>
    <w:rsid w:val="006331F0"/>
    <w:rsid w:val="00635364"/>
    <w:rsid w:val="006370C7"/>
    <w:rsid w:val="00640535"/>
    <w:rsid w:val="006413E6"/>
    <w:rsid w:val="00641F91"/>
    <w:rsid w:val="006450BB"/>
    <w:rsid w:val="00645430"/>
    <w:rsid w:val="0064560E"/>
    <w:rsid w:val="00646554"/>
    <w:rsid w:val="00646D3B"/>
    <w:rsid w:val="00650C89"/>
    <w:rsid w:val="00651DAF"/>
    <w:rsid w:val="0065202F"/>
    <w:rsid w:val="00652E8A"/>
    <w:rsid w:val="00653479"/>
    <w:rsid w:val="00654400"/>
    <w:rsid w:val="00661156"/>
    <w:rsid w:val="00663B55"/>
    <w:rsid w:val="00665DA9"/>
    <w:rsid w:val="00666073"/>
    <w:rsid w:val="00666C61"/>
    <w:rsid w:val="006706BB"/>
    <w:rsid w:val="006706D9"/>
    <w:rsid w:val="00671CCB"/>
    <w:rsid w:val="0067369D"/>
    <w:rsid w:val="00674AD4"/>
    <w:rsid w:val="00676214"/>
    <w:rsid w:val="006802FE"/>
    <w:rsid w:val="0068060C"/>
    <w:rsid w:val="0068212D"/>
    <w:rsid w:val="00690411"/>
    <w:rsid w:val="00690471"/>
    <w:rsid w:val="00690BB3"/>
    <w:rsid w:val="00691AAE"/>
    <w:rsid w:val="00692D59"/>
    <w:rsid w:val="00693E7A"/>
    <w:rsid w:val="00695324"/>
    <w:rsid w:val="00695F0A"/>
    <w:rsid w:val="00697436"/>
    <w:rsid w:val="0069748F"/>
    <w:rsid w:val="006A078D"/>
    <w:rsid w:val="006A1261"/>
    <w:rsid w:val="006A32EB"/>
    <w:rsid w:val="006A34F9"/>
    <w:rsid w:val="006A48F8"/>
    <w:rsid w:val="006A62CE"/>
    <w:rsid w:val="006A7245"/>
    <w:rsid w:val="006A7CBC"/>
    <w:rsid w:val="006B0A16"/>
    <w:rsid w:val="006B68FA"/>
    <w:rsid w:val="006B69E8"/>
    <w:rsid w:val="006C1E39"/>
    <w:rsid w:val="006C30D5"/>
    <w:rsid w:val="006C34B5"/>
    <w:rsid w:val="006C3E43"/>
    <w:rsid w:val="006C5A10"/>
    <w:rsid w:val="006C63CE"/>
    <w:rsid w:val="006C6470"/>
    <w:rsid w:val="006C75C1"/>
    <w:rsid w:val="006C7A55"/>
    <w:rsid w:val="006D478E"/>
    <w:rsid w:val="006D5261"/>
    <w:rsid w:val="006D6469"/>
    <w:rsid w:val="006D64E4"/>
    <w:rsid w:val="006E1418"/>
    <w:rsid w:val="006E32DC"/>
    <w:rsid w:val="006E4295"/>
    <w:rsid w:val="006E4D4F"/>
    <w:rsid w:val="006E6773"/>
    <w:rsid w:val="006E6E13"/>
    <w:rsid w:val="006F119E"/>
    <w:rsid w:val="006F1734"/>
    <w:rsid w:val="006F19C4"/>
    <w:rsid w:val="006F2AAB"/>
    <w:rsid w:val="006F2E0C"/>
    <w:rsid w:val="006F44CE"/>
    <w:rsid w:val="006F4CE3"/>
    <w:rsid w:val="00700DEF"/>
    <w:rsid w:val="00700E8D"/>
    <w:rsid w:val="007032A6"/>
    <w:rsid w:val="0070580B"/>
    <w:rsid w:val="0071067E"/>
    <w:rsid w:val="0071199C"/>
    <w:rsid w:val="00713A80"/>
    <w:rsid w:val="0071531E"/>
    <w:rsid w:val="00715428"/>
    <w:rsid w:val="00715E7F"/>
    <w:rsid w:val="00715F88"/>
    <w:rsid w:val="007177DB"/>
    <w:rsid w:val="0072163C"/>
    <w:rsid w:val="0072267D"/>
    <w:rsid w:val="00722B95"/>
    <w:rsid w:val="00723665"/>
    <w:rsid w:val="007245AD"/>
    <w:rsid w:val="00724C59"/>
    <w:rsid w:val="00724CE3"/>
    <w:rsid w:val="00725004"/>
    <w:rsid w:val="007254B1"/>
    <w:rsid w:val="00727022"/>
    <w:rsid w:val="00727E6B"/>
    <w:rsid w:val="0073156E"/>
    <w:rsid w:val="00731A9C"/>
    <w:rsid w:val="0073208F"/>
    <w:rsid w:val="00734345"/>
    <w:rsid w:val="0073475B"/>
    <w:rsid w:val="0073697C"/>
    <w:rsid w:val="007420EE"/>
    <w:rsid w:val="00742ACC"/>
    <w:rsid w:val="007443D5"/>
    <w:rsid w:val="00744C03"/>
    <w:rsid w:val="0074574C"/>
    <w:rsid w:val="0075189C"/>
    <w:rsid w:val="0075354F"/>
    <w:rsid w:val="007536BC"/>
    <w:rsid w:val="00753F23"/>
    <w:rsid w:val="00753F5C"/>
    <w:rsid w:val="00754A70"/>
    <w:rsid w:val="00756E82"/>
    <w:rsid w:val="00763D75"/>
    <w:rsid w:val="00764D51"/>
    <w:rsid w:val="007654C8"/>
    <w:rsid w:val="007676EE"/>
    <w:rsid w:val="007731C8"/>
    <w:rsid w:val="00774579"/>
    <w:rsid w:val="00775B48"/>
    <w:rsid w:val="007766FD"/>
    <w:rsid w:val="00776CAA"/>
    <w:rsid w:val="00777C75"/>
    <w:rsid w:val="00781D32"/>
    <w:rsid w:val="007830A0"/>
    <w:rsid w:val="007835A7"/>
    <w:rsid w:val="00785635"/>
    <w:rsid w:val="007868EC"/>
    <w:rsid w:val="00787B9E"/>
    <w:rsid w:val="00787C74"/>
    <w:rsid w:val="007931B7"/>
    <w:rsid w:val="00793F85"/>
    <w:rsid w:val="00795B01"/>
    <w:rsid w:val="00795E65"/>
    <w:rsid w:val="00796A3F"/>
    <w:rsid w:val="007976AC"/>
    <w:rsid w:val="00797C2F"/>
    <w:rsid w:val="007A0400"/>
    <w:rsid w:val="007A417B"/>
    <w:rsid w:val="007A76D3"/>
    <w:rsid w:val="007B0E4D"/>
    <w:rsid w:val="007B1595"/>
    <w:rsid w:val="007B267B"/>
    <w:rsid w:val="007B607B"/>
    <w:rsid w:val="007C0701"/>
    <w:rsid w:val="007C0808"/>
    <w:rsid w:val="007C3603"/>
    <w:rsid w:val="007C5374"/>
    <w:rsid w:val="007C5969"/>
    <w:rsid w:val="007C693F"/>
    <w:rsid w:val="007D15CC"/>
    <w:rsid w:val="007D183D"/>
    <w:rsid w:val="007D1C3E"/>
    <w:rsid w:val="007D253B"/>
    <w:rsid w:val="007D2E1E"/>
    <w:rsid w:val="007D32CB"/>
    <w:rsid w:val="007D3E13"/>
    <w:rsid w:val="007D695C"/>
    <w:rsid w:val="007E12C9"/>
    <w:rsid w:val="007E30F1"/>
    <w:rsid w:val="007E4D0B"/>
    <w:rsid w:val="007F1F70"/>
    <w:rsid w:val="007F25A5"/>
    <w:rsid w:val="007F3C18"/>
    <w:rsid w:val="007F442C"/>
    <w:rsid w:val="007F598E"/>
    <w:rsid w:val="007F68E4"/>
    <w:rsid w:val="00800A7E"/>
    <w:rsid w:val="00800D22"/>
    <w:rsid w:val="008016EC"/>
    <w:rsid w:val="008044E5"/>
    <w:rsid w:val="008053C8"/>
    <w:rsid w:val="00805757"/>
    <w:rsid w:val="0080587B"/>
    <w:rsid w:val="008059CF"/>
    <w:rsid w:val="00811614"/>
    <w:rsid w:val="00815D31"/>
    <w:rsid w:val="00816478"/>
    <w:rsid w:val="00816807"/>
    <w:rsid w:val="00816C93"/>
    <w:rsid w:val="00816F02"/>
    <w:rsid w:val="00821356"/>
    <w:rsid w:val="0082163E"/>
    <w:rsid w:val="00821A96"/>
    <w:rsid w:val="00822694"/>
    <w:rsid w:val="00822F8E"/>
    <w:rsid w:val="0082686D"/>
    <w:rsid w:val="00830781"/>
    <w:rsid w:val="008311F6"/>
    <w:rsid w:val="00832669"/>
    <w:rsid w:val="008337A8"/>
    <w:rsid w:val="00833A23"/>
    <w:rsid w:val="00833F71"/>
    <w:rsid w:val="0083401A"/>
    <w:rsid w:val="00837A60"/>
    <w:rsid w:val="008412AF"/>
    <w:rsid w:val="008415CA"/>
    <w:rsid w:val="00842079"/>
    <w:rsid w:val="00842A36"/>
    <w:rsid w:val="00842F80"/>
    <w:rsid w:val="00843696"/>
    <w:rsid w:val="00843CA0"/>
    <w:rsid w:val="0084419D"/>
    <w:rsid w:val="00844EFC"/>
    <w:rsid w:val="008458E7"/>
    <w:rsid w:val="00847E1A"/>
    <w:rsid w:val="00850E61"/>
    <w:rsid w:val="008519C8"/>
    <w:rsid w:val="00851B78"/>
    <w:rsid w:val="00851E63"/>
    <w:rsid w:val="00853377"/>
    <w:rsid w:val="0085360B"/>
    <w:rsid w:val="00853979"/>
    <w:rsid w:val="00853D65"/>
    <w:rsid w:val="008551AC"/>
    <w:rsid w:val="0086103F"/>
    <w:rsid w:val="008612D5"/>
    <w:rsid w:val="0086240E"/>
    <w:rsid w:val="00862649"/>
    <w:rsid w:val="0086287B"/>
    <w:rsid w:val="00863DDF"/>
    <w:rsid w:val="00864A20"/>
    <w:rsid w:val="00865EB7"/>
    <w:rsid w:val="0086682F"/>
    <w:rsid w:val="0087027F"/>
    <w:rsid w:val="00870AB5"/>
    <w:rsid w:val="00871172"/>
    <w:rsid w:val="00875173"/>
    <w:rsid w:val="00876D9E"/>
    <w:rsid w:val="00883BFB"/>
    <w:rsid w:val="00884588"/>
    <w:rsid w:val="00884B12"/>
    <w:rsid w:val="00884F15"/>
    <w:rsid w:val="008859CF"/>
    <w:rsid w:val="00885C96"/>
    <w:rsid w:val="00887A6A"/>
    <w:rsid w:val="008918D0"/>
    <w:rsid w:val="00893058"/>
    <w:rsid w:val="00893CD7"/>
    <w:rsid w:val="00894B4D"/>
    <w:rsid w:val="0089520D"/>
    <w:rsid w:val="0089533B"/>
    <w:rsid w:val="00895ACF"/>
    <w:rsid w:val="00896233"/>
    <w:rsid w:val="00897094"/>
    <w:rsid w:val="008A0721"/>
    <w:rsid w:val="008A13C3"/>
    <w:rsid w:val="008A3C5C"/>
    <w:rsid w:val="008A44F3"/>
    <w:rsid w:val="008A6EAD"/>
    <w:rsid w:val="008A752B"/>
    <w:rsid w:val="008A7EA8"/>
    <w:rsid w:val="008B3720"/>
    <w:rsid w:val="008B5EF9"/>
    <w:rsid w:val="008B7AEB"/>
    <w:rsid w:val="008C0499"/>
    <w:rsid w:val="008C0B93"/>
    <w:rsid w:val="008C10D0"/>
    <w:rsid w:val="008C1863"/>
    <w:rsid w:val="008C2594"/>
    <w:rsid w:val="008C5F26"/>
    <w:rsid w:val="008D158A"/>
    <w:rsid w:val="008D17E2"/>
    <w:rsid w:val="008D29B6"/>
    <w:rsid w:val="008D3826"/>
    <w:rsid w:val="008D4FF0"/>
    <w:rsid w:val="008D56F3"/>
    <w:rsid w:val="008D5F8E"/>
    <w:rsid w:val="008D634E"/>
    <w:rsid w:val="008D651A"/>
    <w:rsid w:val="008E059F"/>
    <w:rsid w:val="008E3BB6"/>
    <w:rsid w:val="008E3D68"/>
    <w:rsid w:val="008E4D27"/>
    <w:rsid w:val="008E5951"/>
    <w:rsid w:val="008E59E4"/>
    <w:rsid w:val="008E620B"/>
    <w:rsid w:val="008E7125"/>
    <w:rsid w:val="008E7EB7"/>
    <w:rsid w:val="008F2F2A"/>
    <w:rsid w:val="008F308F"/>
    <w:rsid w:val="008F4037"/>
    <w:rsid w:val="008F509E"/>
    <w:rsid w:val="008F58AA"/>
    <w:rsid w:val="00901921"/>
    <w:rsid w:val="00901D67"/>
    <w:rsid w:val="0090215F"/>
    <w:rsid w:val="00902B91"/>
    <w:rsid w:val="009047AE"/>
    <w:rsid w:val="00905AA3"/>
    <w:rsid w:val="00905BB1"/>
    <w:rsid w:val="0091068B"/>
    <w:rsid w:val="00910C13"/>
    <w:rsid w:val="009164C8"/>
    <w:rsid w:val="00922F7A"/>
    <w:rsid w:val="00923CFE"/>
    <w:rsid w:val="009307DD"/>
    <w:rsid w:val="00930868"/>
    <w:rsid w:val="0093182C"/>
    <w:rsid w:val="009324CE"/>
    <w:rsid w:val="009333EF"/>
    <w:rsid w:val="00933FF4"/>
    <w:rsid w:val="009340B4"/>
    <w:rsid w:val="00936C71"/>
    <w:rsid w:val="00937126"/>
    <w:rsid w:val="009376B7"/>
    <w:rsid w:val="009378DD"/>
    <w:rsid w:val="00940B24"/>
    <w:rsid w:val="009436EC"/>
    <w:rsid w:val="009475B5"/>
    <w:rsid w:val="0095646E"/>
    <w:rsid w:val="009632BA"/>
    <w:rsid w:val="009633C9"/>
    <w:rsid w:val="00967588"/>
    <w:rsid w:val="00967D19"/>
    <w:rsid w:val="00971271"/>
    <w:rsid w:val="00971B06"/>
    <w:rsid w:val="00974443"/>
    <w:rsid w:val="00974A50"/>
    <w:rsid w:val="00976FDF"/>
    <w:rsid w:val="00977FE3"/>
    <w:rsid w:val="009824F0"/>
    <w:rsid w:val="00982C1A"/>
    <w:rsid w:val="009854D7"/>
    <w:rsid w:val="00985875"/>
    <w:rsid w:val="00987106"/>
    <w:rsid w:val="009871CA"/>
    <w:rsid w:val="009907A8"/>
    <w:rsid w:val="0099412A"/>
    <w:rsid w:val="009942D7"/>
    <w:rsid w:val="00994461"/>
    <w:rsid w:val="00995DF8"/>
    <w:rsid w:val="009A3152"/>
    <w:rsid w:val="009A6B26"/>
    <w:rsid w:val="009B0E9E"/>
    <w:rsid w:val="009B5F87"/>
    <w:rsid w:val="009B7B87"/>
    <w:rsid w:val="009C195B"/>
    <w:rsid w:val="009C1B4B"/>
    <w:rsid w:val="009C6A63"/>
    <w:rsid w:val="009C7FB1"/>
    <w:rsid w:val="009D02BA"/>
    <w:rsid w:val="009D102D"/>
    <w:rsid w:val="009D16E8"/>
    <w:rsid w:val="009D22C3"/>
    <w:rsid w:val="009D30F4"/>
    <w:rsid w:val="009D6DB9"/>
    <w:rsid w:val="009E2CE1"/>
    <w:rsid w:val="009E3145"/>
    <w:rsid w:val="009E38B3"/>
    <w:rsid w:val="009E422F"/>
    <w:rsid w:val="009E5D5A"/>
    <w:rsid w:val="009E5E0D"/>
    <w:rsid w:val="009F017E"/>
    <w:rsid w:val="009F09E1"/>
    <w:rsid w:val="009F0CB6"/>
    <w:rsid w:val="009F13F7"/>
    <w:rsid w:val="009F2321"/>
    <w:rsid w:val="009F23E8"/>
    <w:rsid w:val="009F39C1"/>
    <w:rsid w:val="009F3DBE"/>
    <w:rsid w:val="009F567C"/>
    <w:rsid w:val="009F7730"/>
    <w:rsid w:val="00A021D0"/>
    <w:rsid w:val="00A0264B"/>
    <w:rsid w:val="00A0568F"/>
    <w:rsid w:val="00A05C82"/>
    <w:rsid w:val="00A0631F"/>
    <w:rsid w:val="00A119C4"/>
    <w:rsid w:val="00A11C8C"/>
    <w:rsid w:val="00A136A7"/>
    <w:rsid w:val="00A136DF"/>
    <w:rsid w:val="00A15B9C"/>
    <w:rsid w:val="00A21A67"/>
    <w:rsid w:val="00A2517F"/>
    <w:rsid w:val="00A26126"/>
    <w:rsid w:val="00A26175"/>
    <w:rsid w:val="00A26A10"/>
    <w:rsid w:val="00A270FB"/>
    <w:rsid w:val="00A32FB7"/>
    <w:rsid w:val="00A34330"/>
    <w:rsid w:val="00A3450A"/>
    <w:rsid w:val="00A35DC5"/>
    <w:rsid w:val="00A36065"/>
    <w:rsid w:val="00A3612E"/>
    <w:rsid w:val="00A3769A"/>
    <w:rsid w:val="00A37C37"/>
    <w:rsid w:val="00A4191B"/>
    <w:rsid w:val="00A41FDD"/>
    <w:rsid w:val="00A4204B"/>
    <w:rsid w:val="00A46BC0"/>
    <w:rsid w:val="00A506EF"/>
    <w:rsid w:val="00A50D2C"/>
    <w:rsid w:val="00A51A08"/>
    <w:rsid w:val="00A548ED"/>
    <w:rsid w:val="00A5513D"/>
    <w:rsid w:val="00A60DE3"/>
    <w:rsid w:val="00A642BF"/>
    <w:rsid w:val="00A6624F"/>
    <w:rsid w:val="00A67F16"/>
    <w:rsid w:val="00A70471"/>
    <w:rsid w:val="00A70D06"/>
    <w:rsid w:val="00A715B4"/>
    <w:rsid w:val="00A718FC"/>
    <w:rsid w:val="00A71B62"/>
    <w:rsid w:val="00A7607A"/>
    <w:rsid w:val="00A762B7"/>
    <w:rsid w:val="00A76AC6"/>
    <w:rsid w:val="00A774DE"/>
    <w:rsid w:val="00A7781C"/>
    <w:rsid w:val="00A8167E"/>
    <w:rsid w:val="00A833FE"/>
    <w:rsid w:val="00A8661F"/>
    <w:rsid w:val="00A8672B"/>
    <w:rsid w:val="00A86869"/>
    <w:rsid w:val="00A869BA"/>
    <w:rsid w:val="00A9242E"/>
    <w:rsid w:val="00A92C66"/>
    <w:rsid w:val="00A96015"/>
    <w:rsid w:val="00A96630"/>
    <w:rsid w:val="00AA1EDE"/>
    <w:rsid w:val="00AA2398"/>
    <w:rsid w:val="00AB4D79"/>
    <w:rsid w:val="00AB5A44"/>
    <w:rsid w:val="00AB7124"/>
    <w:rsid w:val="00AC15D3"/>
    <w:rsid w:val="00AC36C7"/>
    <w:rsid w:val="00AC481F"/>
    <w:rsid w:val="00AC5485"/>
    <w:rsid w:val="00AC74F5"/>
    <w:rsid w:val="00AC7E50"/>
    <w:rsid w:val="00AD34DC"/>
    <w:rsid w:val="00AD3B31"/>
    <w:rsid w:val="00AD467E"/>
    <w:rsid w:val="00AD63CE"/>
    <w:rsid w:val="00AD6A4F"/>
    <w:rsid w:val="00AE2D02"/>
    <w:rsid w:val="00AE3F0D"/>
    <w:rsid w:val="00AE7F13"/>
    <w:rsid w:val="00AF29ED"/>
    <w:rsid w:val="00AF2C5D"/>
    <w:rsid w:val="00AF4619"/>
    <w:rsid w:val="00AF486B"/>
    <w:rsid w:val="00AF5725"/>
    <w:rsid w:val="00AF5AC9"/>
    <w:rsid w:val="00AF72A6"/>
    <w:rsid w:val="00B006AA"/>
    <w:rsid w:val="00B00BFF"/>
    <w:rsid w:val="00B024C4"/>
    <w:rsid w:val="00B03668"/>
    <w:rsid w:val="00B05C9E"/>
    <w:rsid w:val="00B115C9"/>
    <w:rsid w:val="00B13C22"/>
    <w:rsid w:val="00B13EFC"/>
    <w:rsid w:val="00B1514D"/>
    <w:rsid w:val="00B156F5"/>
    <w:rsid w:val="00B1657C"/>
    <w:rsid w:val="00B1696F"/>
    <w:rsid w:val="00B17274"/>
    <w:rsid w:val="00B17350"/>
    <w:rsid w:val="00B221F9"/>
    <w:rsid w:val="00B23D6A"/>
    <w:rsid w:val="00B265D3"/>
    <w:rsid w:val="00B341E8"/>
    <w:rsid w:val="00B35C52"/>
    <w:rsid w:val="00B363EA"/>
    <w:rsid w:val="00B3658A"/>
    <w:rsid w:val="00B376E0"/>
    <w:rsid w:val="00B42738"/>
    <w:rsid w:val="00B42912"/>
    <w:rsid w:val="00B432E2"/>
    <w:rsid w:val="00B44484"/>
    <w:rsid w:val="00B4460B"/>
    <w:rsid w:val="00B477AA"/>
    <w:rsid w:val="00B51BA6"/>
    <w:rsid w:val="00B52078"/>
    <w:rsid w:val="00B57F41"/>
    <w:rsid w:val="00B57FF0"/>
    <w:rsid w:val="00B60546"/>
    <w:rsid w:val="00B60671"/>
    <w:rsid w:val="00B61F72"/>
    <w:rsid w:val="00B62473"/>
    <w:rsid w:val="00B629AF"/>
    <w:rsid w:val="00B65728"/>
    <w:rsid w:val="00B676D3"/>
    <w:rsid w:val="00B7111E"/>
    <w:rsid w:val="00B71EEA"/>
    <w:rsid w:val="00B72BE2"/>
    <w:rsid w:val="00B735C6"/>
    <w:rsid w:val="00B735DF"/>
    <w:rsid w:val="00B7462A"/>
    <w:rsid w:val="00B74988"/>
    <w:rsid w:val="00B77246"/>
    <w:rsid w:val="00B7752A"/>
    <w:rsid w:val="00B81017"/>
    <w:rsid w:val="00B83052"/>
    <w:rsid w:val="00B8485C"/>
    <w:rsid w:val="00B84A17"/>
    <w:rsid w:val="00B86D60"/>
    <w:rsid w:val="00B87DE5"/>
    <w:rsid w:val="00B91F4A"/>
    <w:rsid w:val="00B92689"/>
    <w:rsid w:val="00B92B3E"/>
    <w:rsid w:val="00B9353B"/>
    <w:rsid w:val="00B940E9"/>
    <w:rsid w:val="00BA17E2"/>
    <w:rsid w:val="00BA26D0"/>
    <w:rsid w:val="00BA2E1D"/>
    <w:rsid w:val="00BA47E9"/>
    <w:rsid w:val="00BA7854"/>
    <w:rsid w:val="00BA7A33"/>
    <w:rsid w:val="00BA7C70"/>
    <w:rsid w:val="00BB00C3"/>
    <w:rsid w:val="00BB0A45"/>
    <w:rsid w:val="00BB2F65"/>
    <w:rsid w:val="00BB3AE3"/>
    <w:rsid w:val="00BB44BA"/>
    <w:rsid w:val="00BB4758"/>
    <w:rsid w:val="00BC23C9"/>
    <w:rsid w:val="00BC25DB"/>
    <w:rsid w:val="00BC3C8E"/>
    <w:rsid w:val="00BC4AE2"/>
    <w:rsid w:val="00BC510D"/>
    <w:rsid w:val="00BC689D"/>
    <w:rsid w:val="00BD06F1"/>
    <w:rsid w:val="00BD085B"/>
    <w:rsid w:val="00BD1077"/>
    <w:rsid w:val="00BD13D2"/>
    <w:rsid w:val="00BD2D22"/>
    <w:rsid w:val="00BD2F97"/>
    <w:rsid w:val="00BD4AB2"/>
    <w:rsid w:val="00BD64A1"/>
    <w:rsid w:val="00BE1FCE"/>
    <w:rsid w:val="00BE6962"/>
    <w:rsid w:val="00BE7B39"/>
    <w:rsid w:val="00BF12DE"/>
    <w:rsid w:val="00BF1DDF"/>
    <w:rsid w:val="00BF3D67"/>
    <w:rsid w:val="00BF4A85"/>
    <w:rsid w:val="00BF6E7C"/>
    <w:rsid w:val="00BF73B5"/>
    <w:rsid w:val="00C025E6"/>
    <w:rsid w:val="00C040F5"/>
    <w:rsid w:val="00C04763"/>
    <w:rsid w:val="00C052AD"/>
    <w:rsid w:val="00C0797B"/>
    <w:rsid w:val="00C10109"/>
    <w:rsid w:val="00C10689"/>
    <w:rsid w:val="00C12ABE"/>
    <w:rsid w:val="00C1448D"/>
    <w:rsid w:val="00C14546"/>
    <w:rsid w:val="00C15F7A"/>
    <w:rsid w:val="00C1635C"/>
    <w:rsid w:val="00C20835"/>
    <w:rsid w:val="00C2337A"/>
    <w:rsid w:val="00C23743"/>
    <w:rsid w:val="00C255ED"/>
    <w:rsid w:val="00C26020"/>
    <w:rsid w:val="00C32ED2"/>
    <w:rsid w:val="00C33269"/>
    <w:rsid w:val="00C338CE"/>
    <w:rsid w:val="00C33AB2"/>
    <w:rsid w:val="00C34BB6"/>
    <w:rsid w:val="00C34E3E"/>
    <w:rsid w:val="00C353A6"/>
    <w:rsid w:val="00C36824"/>
    <w:rsid w:val="00C369C2"/>
    <w:rsid w:val="00C36C03"/>
    <w:rsid w:val="00C37D1C"/>
    <w:rsid w:val="00C4577C"/>
    <w:rsid w:val="00C51271"/>
    <w:rsid w:val="00C53C3E"/>
    <w:rsid w:val="00C55838"/>
    <w:rsid w:val="00C56941"/>
    <w:rsid w:val="00C576DF"/>
    <w:rsid w:val="00C57B44"/>
    <w:rsid w:val="00C60DF6"/>
    <w:rsid w:val="00C611DB"/>
    <w:rsid w:val="00C617F8"/>
    <w:rsid w:val="00C64541"/>
    <w:rsid w:val="00C64FA1"/>
    <w:rsid w:val="00C66ADE"/>
    <w:rsid w:val="00C67665"/>
    <w:rsid w:val="00C679E6"/>
    <w:rsid w:val="00C67A30"/>
    <w:rsid w:val="00C67FDD"/>
    <w:rsid w:val="00C70637"/>
    <w:rsid w:val="00C71E42"/>
    <w:rsid w:val="00C74493"/>
    <w:rsid w:val="00C80C88"/>
    <w:rsid w:val="00C81B0D"/>
    <w:rsid w:val="00C82252"/>
    <w:rsid w:val="00C830C5"/>
    <w:rsid w:val="00C868C2"/>
    <w:rsid w:val="00C8712C"/>
    <w:rsid w:val="00C906C2"/>
    <w:rsid w:val="00C90FFA"/>
    <w:rsid w:val="00C948B3"/>
    <w:rsid w:val="00C95133"/>
    <w:rsid w:val="00CA009F"/>
    <w:rsid w:val="00CA4964"/>
    <w:rsid w:val="00CB3111"/>
    <w:rsid w:val="00CB458A"/>
    <w:rsid w:val="00CB5A97"/>
    <w:rsid w:val="00CB79B1"/>
    <w:rsid w:val="00CC3237"/>
    <w:rsid w:val="00CC3A17"/>
    <w:rsid w:val="00CC5FBC"/>
    <w:rsid w:val="00CD0D8A"/>
    <w:rsid w:val="00CD412C"/>
    <w:rsid w:val="00CD560C"/>
    <w:rsid w:val="00CE2135"/>
    <w:rsid w:val="00CE25C5"/>
    <w:rsid w:val="00CE29FC"/>
    <w:rsid w:val="00CE4522"/>
    <w:rsid w:val="00CF11EF"/>
    <w:rsid w:val="00CF121E"/>
    <w:rsid w:val="00CF1CF1"/>
    <w:rsid w:val="00CF341E"/>
    <w:rsid w:val="00CF3636"/>
    <w:rsid w:val="00CF36A1"/>
    <w:rsid w:val="00CF55B1"/>
    <w:rsid w:val="00CF78BD"/>
    <w:rsid w:val="00D01B8B"/>
    <w:rsid w:val="00D059BD"/>
    <w:rsid w:val="00D12975"/>
    <w:rsid w:val="00D2018A"/>
    <w:rsid w:val="00D206A9"/>
    <w:rsid w:val="00D215A1"/>
    <w:rsid w:val="00D2305A"/>
    <w:rsid w:val="00D23DF4"/>
    <w:rsid w:val="00D23E62"/>
    <w:rsid w:val="00D25A3A"/>
    <w:rsid w:val="00D270A0"/>
    <w:rsid w:val="00D271C3"/>
    <w:rsid w:val="00D2769E"/>
    <w:rsid w:val="00D36DF3"/>
    <w:rsid w:val="00D374B0"/>
    <w:rsid w:val="00D37CAC"/>
    <w:rsid w:val="00D41132"/>
    <w:rsid w:val="00D4220A"/>
    <w:rsid w:val="00D42643"/>
    <w:rsid w:val="00D45746"/>
    <w:rsid w:val="00D45A83"/>
    <w:rsid w:val="00D46204"/>
    <w:rsid w:val="00D46564"/>
    <w:rsid w:val="00D51007"/>
    <w:rsid w:val="00D51D65"/>
    <w:rsid w:val="00D52052"/>
    <w:rsid w:val="00D54712"/>
    <w:rsid w:val="00D55991"/>
    <w:rsid w:val="00D57CF1"/>
    <w:rsid w:val="00D60070"/>
    <w:rsid w:val="00D62A1F"/>
    <w:rsid w:val="00D6521E"/>
    <w:rsid w:val="00D65370"/>
    <w:rsid w:val="00D67797"/>
    <w:rsid w:val="00D67851"/>
    <w:rsid w:val="00D702AB"/>
    <w:rsid w:val="00D7094F"/>
    <w:rsid w:val="00D74D27"/>
    <w:rsid w:val="00D76549"/>
    <w:rsid w:val="00D76C27"/>
    <w:rsid w:val="00D80A0A"/>
    <w:rsid w:val="00D81BF6"/>
    <w:rsid w:val="00D84E9A"/>
    <w:rsid w:val="00D86424"/>
    <w:rsid w:val="00D9010F"/>
    <w:rsid w:val="00D903C5"/>
    <w:rsid w:val="00D92F03"/>
    <w:rsid w:val="00D957DD"/>
    <w:rsid w:val="00D969E1"/>
    <w:rsid w:val="00D97200"/>
    <w:rsid w:val="00D97296"/>
    <w:rsid w:val="00D97BD8"/>
    <w:rsid w:val="00DA01FA"/>
    <w:rsid w:val="00DA0BF3"/>
    <w:rsid w:val="00DA1EDC"/>
    <w:rsid w:val="00DA22DF"/>
    <w:rsid w:val="00DA33CB"/>
    <w:rsid w:val="00DA3BAF"/>
    <w:rsid w:val="00DA6401"/>
    <w:rsid w:val="00DA6AB3"/>
    <w:rsid w:val="00DB3C20"/>
    <w:rsid w:val="00DB5723"/>
    <w:rsid w:val="00DB63FE"/>
    <w:rsid w:val="00DC08F4"/>
    <w:rsid w:val="00DC1E34"/>
    <w:rsid w:val="00DC3112"/>
    <w:rsid w:val="00DC4E3F"/>
    <w:rsid w:val="00DC5FA6"/>
    <w:rsid w:val="00DC6B70"/>
    <w:rsid w:val="00DD0408"/>
    <w:rsid w:val="00DD1524"/>
    <w:rsid w:val="00DD39B8"/>
    <w:rsid w:val="00DE12A7"/>
    <w:rsid w:val="00DE4592"/>
    <w:rsid w:val="00DE630D"/>
    <w:rsid w:val="00DE7B2D"/>
    <w:rsid w:val="00DF38C9"/>
    <w:rsid w:val="00DF4516"/>
    <w:rsid w:val="00DF5B28"/>
    <w:rsid w:val="00DF798C"/>
    <w:rsid w:val="00E01E9A"/>
    <w:rsid w:val="00E02ADF"/>
    <w:rsid w:val="00E050D1"/>
    <w:rsid w:val="00E069A2"/>
    <w:rsid w:val="00E077A1"/>
    <w:rsid w:val="00E126F6"/>
    <w:rsid w:val="00E14102"/>
    <w:rsid w:val="00E164F0"/>
    <w:rsid w:val="00E16D56"/>
    <w:rsid w:val="00E21E4C"/>
    <w:rsid w:val="00E221C2"/>
    <w:rsid w:val="00E22596"/>
    <w:rsid w:val="00E267F3"/>
    <w:rsid w:val="00E31B50"/>
    <w:rsid w:val="00E332A9"/>
    <w:rsid w:val="00E3342C"/>
    <w:rsid w:val="00E337C3"/>
    <w:rsid w:val="00E33B9F"/>
    <w:rsid w:val="00E34CAB"/>
    <w:rsid w:val="00E36F58"/>
    <w:rsid w:val="00E37E7D"/>
    <w:rsid w:val="00E4575A"/>
    <w:rsid w:val="00E47329"/>
    <w:rsid w:val="00E51019"/>
    <w:rsid w:val="00E52E99"/>
    <w:rsid w:val="00E534E8"/>
    <w:rsid w:val="00E56071"/>
    <w:rsid w:val="00E56D6F"/>
    <w:rsid w:val="00E6124D"/>
    <w:rsid w:val="00E65EAE"/>
    <w:rsid w:val="00E679E5"/>
    <w:rsid w:val="00E7152D"/>
    <w:rsid w:val="00E717B4"/>
    <w:rsid w:val="00E72058"/>
    <w:rsid w:val="00E72191"/>
    <w:rsid w:val="00E73695"/>
    <w:rsid w:val="00E801CB"/>
    <w:rsid w:val="00E86163"/>
    <w:rsid w:val="00E90A54"/>
    <w:rsid w:val="00E91769"/>
    <w:rsid w:val="00E95D67"/>
    <w:rsid w:val="00E968CD"/>
    <w:rsid w:val="00E96B93"/>
    <w:rsid w:val="00EA1221"/>
    <w:rsid w:val="00EA1C80"/>
    <w:rsid w:val="00EA3863"/>
    <w:rsid w:val="00EA3D97"/>
    <w:rsid w:val="00EA4B82"/>
    <w:rsid w:val="00EA7336"/>
    <w:rsid w:val="00EA785E"/>
    <w:rsid w:val="00EB01B8"/>
    <w:rsid w:val="00EB43AA"/>
    <w:rsid w:val="00EB552F"/>
    <w:rsid w:val="00EB5DCB"/>
    <w:rsid w:val="00EB7424"/>
    <w:rsid w:val="00EC10FC"/>
    <w:rsid w:val="00EC21D9"/>
    <w:rsid w:val="00EC34C7"/>
    <w:rsid w:val="00ED15AD"/>
    <w:rsid w:val="00ED1A9B"/>
    <w:rsid w:val="00ED3858"/>
    <w:rsid w:val="00ED73B0"/>
    <w:rsid w:val="00EE08DD"/>
    <w:rsid w:val="00EE2374"/>
    <w:rsid w:val="00EE33EA"/>
    <w:rsid w:val="00EE3BD4"/>
    <w:rsid w:val="00EE5A0F"/>
    <w:rsid w:val="00EF05F1"/>
    <w:rsid w:val="00EF2266"/>
    <w:rsid w:val="00EF318C"/>
    <w:rsid w:val="00EF4132"/>
    <w:rsid w:val="00EF7AE5"/>
    <w:rsid w:val="00F013C6"/>
    <w:rsid w:val="00F05E02"/>
    <w:rsid w:val="00F10788"/>
    <w:rsid w:val="00F1406B"/>
    <w:rsid w:val="00F1431A"/>
    <w:rsid w:val="00F15BA1"/>
    <w:rsid w:val="00F16B59"/>
    <w:rsid w:val="00F178E9"/>
    <w:rsid w:val="00F22F45"/>
    <w:rsid w:val="00F2331E"/>
    <w:rsid w:val="00F23D39"/>
    <w:rsid w:val="00F2462F"/>
    <w:rsid w:val="00F25477"/>
    <w:rsid w:val="00F254D7"/>
    <w:rsid w:val="00F254E2"/>
    <w:rsid w:val="00F25E81"/>
    <w:rsid w:val="00F30356"/>
    <w:rsid w:val="00F3058E"/>
    <w:rsid w:val="00F3067E"/>
    <w:rsid w:val="00F3089A"/>
    <w:rsid w:val="00F32C7A"/>
    <w:rsid w:val="00F33DE2"/>
    <w:rsid w:val="00F367CD"/>
    <w:rsid w:val="00F36950"/>
    <w:rsid w:val="00F36BC5"/>
    <w:rsid w:val="00F36F74"/>
    <w:rsid w:val="00F419DC"/>
    <w:rsid w:val="00F428AC"/>
    <w:rsid w:val="00F44713"/>
    <w:rsid w:val="00F467A3"/>
    <w:rsid w:val="00F474E9"/>
    <w:rsid w:val="00F503A4"/>
    <w:rsid w:val="00F503E7"/>
    <w:rsid w:val="00F50B6B"/>
    <w:rsid w:val="00F51BA2"/>
    <w:rsid w:val="00F528E3"/>
    <w:rsid w:val="00F529D7"/>
    <w:rsid w:val="00F52B12"/>
    <w:rsid w:val="00F53081"/>
    <w:rsid w:val="00F530A2"/>
    <w:rsid w:val="00F54BF9"/>
    <w:rsid w:val="00F55D03"/>
    <w:rsid w:val="00F601D7"/>
    <w:rsid w:val="00F60EC7"/>
    <w:rsid w:val="00F612B9"/>
    <w:rsid w:val="00F61A33"/>
    <w:rsid w:val="00F61F89"/>
    <w:rsid w:val="00F629D8"/>
    <w:rsid w:val="00F62AA0"/>
    <w:rsid w:val="00F63519"/>
    <w:rsid w:val="00F64D39"/>
    <w:rsid w:val="00F65CD2"/>
    <w:rsid w:val="00F6765F"/>
    <w:rsid w:val="00F67BDB"/>
    <w:rsid w:val="00F67EAC"/>
    <w:rsid w:val="00F714C3"/>
    <w:rsid w:val="00F726C6"/>
    <w:rsid w:val="00F75550"/>
    <w:rsid w:val="00F814E5"/>
    <w:rsid w:val="00F81AE5"/>
    <w:rsid w:val="00F8304B"/>
    <w:rsid w:val="00F83532"/>
    <w:rsid w:val="00F85969"/>
    <w:rsid w:val="00F90455"/>
    <w:rsid w:val="00F91A57"/>
    <w:rsid w:val="00F91B58"/>
    <w:rsid w:val="00F91CE9"/>
    <w:rsid w:val="00F94AC7"/>
    <w:rsid w:val="00F95619"/>
    <w:rsid w:val="00F965D8"/>
    <w:rsid w:val="00FA42BB"/>
    <w:rsid w:val="00FA549C"/>
    <w:rsid w:val="00FB06D3"/>
    <w:rsid w:val="00FB21CD"/>
    <w:rsid w:val="00FB5259"/>
    <w:rsid w:val="00FB5B4F"/>
    <w:rsid w:val="00FB7843"/>
    <w:rsid w:val="00FC0AF9"/>
    <w:rsid w:val="00FC17C0"/>
    <w:rsid w:val="00FC1F05"/>
    <w:rsid w:val="00FC31F0"/>
    <w:rsid w:val="00FC333A"/>
    <w:rsid w:val="00FC75BC"/>
    <w:rsid w:val="00FC792D"/>
    <w:rsid w:val="00FD1C96"/>
    <w:rsid w:val="00FD2097"/>
    <w:rsid w:val="00FD5864"/>
    <w:rsid w:val="00FD709A"/>
    <w:rsid w:val="00FE0176"/>
    <w:rsid w:val="00FE2F22"/>
    <w:rsid w:val="00FE323D"/>
    <w:rsid w:val="00FE3979"/>
    <w:rsid w:val="00FE4F10"/>
    <w:rsid w:val="00FE677B"/>
    <w:rsid w:val="00FF0E42"/>
    <w:rsid w:val="00FF48A8"/>
    <w:rsid w:val="00FF6D53"/>
    <w:rsid w:val="0190F80D"/>
    <w:rsid w:val="07832CAB"/>
    <w:rsid w:val="0F26D96F"/>
    <w:rsid w:val="15E69286"/>
    <w:rsid w:val="18C7DCCD"/>
    <w:rsid w:val="1B792ABC"/>
    <w:rsid w:val="1C23C685"/>
    <w:rsid w:val="1DEA92A0"/>
    <w:rsid w:val="22086057"/>
    <w:rsid w:val="2E96E9D7"/>
    <w:rsid w:val="34D5DD47"/>
    <w:rsid w:val="36239875"/>
    <w:rsid w:val="3D378B28"/>
    <w:rsid w:val="42313CE2"/>
    <w:rsid w:val="465E9585"/>
    <w:rsid w:val="4780F6FA"/>
    <w:rsid w:val="479C78EE"/>
    <w:rsid w:val="4A842167"/>
    <w:rsid w:val="5DEB1779"/>
    <w:rsid w:val="607588E2"/>
    <w:rsid w:val="62C75A34"/>
    <w:rsid w:val="67E50457"/>
    <w:rsid w:val="72B0A672"/>
    <w:rsid w:val="7369B435"/>
    <w:rsid w:val="77C422CB"/>
    <w:rsid w:val="7D0B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392436"/>
  <w15:docId w15:val="{4C02BE47-C0A7-40B5-A3E8-719D4860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E8"/>
    <w:rPr>
      <w:rFonts w:ascii="Arial" w:hAnsi="Arial"/>
      <w:sz w:val="24"/>
      <w:szCs w:val="24"/>
    </w:rPr>
  </w:style>
  <w:style w:type="paragraph" w:styleId="Heading1">
    <w:name w:val="heading 1"/>
    <w:aliases w:val="Numbered - 1"/>
    <w:basedOn w:val="Normal"/>
    <w:next w:val="Normal"/>
    <w:link w:val="Heading1Char"/>
    <w:uiPriority w:val="99"/>
    <w:qFormat/>
    <w:rsid w:val="003322EA"/>
    <w:pPr>
      <w:keepNext/>
      <w:keepLines/>
      <w:widowControl w:val="0"/>
      <w:spacing w:before="240" w:after="240"/>
      <w:outlineLvl w:val="0"/>
    </w:pPr>
    <w:rPr>
      <w:b/>
      <w:kern w:val="28"/>
      <w:sz w:val="22"/>
      <w:szCs w:val="20"/>
      <w:lang w:eastAsia="en-US"/>
    </w:rPr>
  </w:style>
  <w:style w:type="paragraph" w:styleId="Heading2">
    <w:name w:val="heading 2"/>
    <w:basedOn w:val="Normal"/>
    <w:next w:val="Normal"/>
    <w:link w:val="Heading2Char"/>
    <w:unhideWhenUsed/>
    <w:qFormat/>
    <w:locked/>
    <w:rsid w:val="007058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4373AE"/>
    <w:rPr>
      <w:rFonts w:asciiTheme="majorHAnsi" w:eastAsiaTheme="majorEastAsia" w:hAnsiTheme="majorHAnsi" w:cstheme="majorBidi"/>
      <w:b/>
      <w:bCs/>
      <w:kern w:val="32"/>
      <w:sz w:val="32"/>
      <w:szCs w:val="32"/>
    </w:rPr>
  </w:style>
  <w:style w:type="table" w:styleId="TableGrid">
    <w:name w:val="Table Grid"/>
    <w:basedOn w:val="TableNormal"/>
    <w:rsid w:val="00E534E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534E8"/>
    <w:pPr>
      <w:tabs>
        <w:tab w:val="center" w:pos="4153"/>
        <w:tab w:val="right" w:pos="8306"/>
      </w:tabs>
    </w:pPr>
  </w:style>
  <w:style w:type="character" w:customStyle="1" w:styleId="HeaderChar">
    <w:name w:val="Header Char"/>
    <w:basedOn w:val="DefaultParagraphFont"/>
    <w:link w:val="Header"/>
    <w:uiPriority w:val="99"/>
    <w:semiHidden/>
    <w:rsid w:val="004373AE"/>
    <w:rPr>
      <w:rFonts w:ascii="Arial" w:hAnsi="Arial"/>
      <w:sz w:val="24"/>
      <w:szCs w:val="24"/>
    </w:rPr>
  </w:style>
  <w:style w:type="paragraph" w:styleId="Footer">
    <w:name w:val="footer"/>
    <w:basedOn w:val="Normal"/>
    <w:link w:val="FooterChar"/>
    <w:uiPriority w:val="99"/>
    <w:rsid w:val="00E534E8"/>
    <w:pPr>
      <w:tabs>
        <w:tab w:val="center" w:pos="4153"/>
        <w:tab w:val="right" w:pos="8306"/>
      </w:tabs>
    </w:pPr>
  </w:style>
  <w:style w:type="character" w:customStyle="1" w:styleId="FooterChar">
    <w:name w:val="Footer Char"/>
    <w:basedOn w:val="DefaultParagraphFont"/>
    <w:link w:val="Footer"/>
    <w:uiPriority w:val="99"/>
    <w:locked/>
    <w:rsid w:val="000F7FF0"/>
    <w:rPr>
      <w:rFonts w:ascii="Arial" w:hAnsi="Arial" w:cs="Times New Roman"/>
      <w:sz w:val="24"/>
      <w:szCs w:val="24"/>
    </w:rPr>
  </w:style>
  <w:style w:type="character" w:styleId="PageNumber">
    <w:name w:val="page number"/>
    <w:basedOn w:val="DefaultParagraphFont"/>
    <w:uiPriority w:val="99"/>
    <w:rsid w:val="00E534E8"/>
    <w:rPr>
      <w:rFonts w:cs="Times New Roman"/>
    </w:rPr>
  </w:style>
  <w:style w:type="paragraph" w:styleId="BalloonText">
    <w:name w:val="Balloon Text"/>
    <w:basedOn w:val="Normal"/>
    <w:link w:val="BalloonTextChar"/>
    <w:uiPriority w:val="99"/>
    <w:semiHidden/>
    <w:rsid w:val="00E534E8"/>
    <w:rPr>
      <w:rFonts w:ascii="Tahoma" w:hAnsi="Tahoma" w:cs="Tahoma"/>
      <w:sz w:val="16"/>
      <w:szCs w:val="16"/>
    </w:rPr>
  </w:style>
  <w:style w:type="character" w:customStyle="1" w:styleId="BalloonTextChar">
    <w:name w:val="Balloon Text Char"/>
    <w:basedOn w:val="DefaultParagraphFont"/>
    <w:link w:val="BalloonText"/>
    <w:uiPriority w:val="99"/>
    <w:semiHidden/>
    <w:rsid w:val="004373AE"/>
    <w:rPr>
      <w:sz w:val="0"/>
      <w:szCs w:val="0"/>
    </w:rPr>
  </w:style>
  <w:style w:type="paragraph" w:customStyle="1" w:styleId="StyleArial">
    <w:name w:val="Style Arial"/>
    <w:basedOn w:val="Normal"/>
    <w:uiPriority w:val="99"/>
    <w:rsid w:val="002246CA"/>
    <w:pPr>
      <w:spacing w:after="120"/>
    </w:pPr>
    <w:rPr>
      <w:rFonts w:cs="Arial"/>
      <w:sz w:val="28"/>
      <w:szCs w:val="20"/>
      <w:lang w:eastAsia="en-US"/>
    </w:rPr>
  </w:style>
  <w:style w:type="paragraph" w:customStyle="1" w:styleId="Default">
    <w:name w:val="Default"/>
    <w:uiPriority w:val="99"/>
    <w:rsid w:val="00CD0D8A"/>
    <w:pPr>
      <w:autoSpaceDE w:val="0"/>
      <w:autoSpaceDN w:val="0"/>
      <w:adjustRightInd w:val="0"/>
    </w:pPr>
    <w:rPr>
      <w:color w:val="000000"/>
      <w:sz w:val="24"/>
      <w:szCs w:val="24"/>
    </w:rPr>
  </w:style>
  <w:style w:type="paragraph" w:customStyle="1" w:styleId="DfESOutNumbered">
    <w:name w:val="DfESOutNumbered"/>
    <w:basedOn w:val="Normal"/>
    <w:uiPriority w:val="99"/>
    <w:rsid w:val="00FE323D"/>
    <w:pPr>
      <w:widowControl w:val="0"/>
      <w:numPr>
        <w:numId w:val="2"/>
      </w:numPr>
      <w:overflowPunct w:val="0"/>
      <w:autoSpaceDE w:val="0"/>
      <w:autoSpaceDN w:val="0"/>
      <w:adjustRightInd w:val="0"/>
      <w:spacing w:after="240"/>
      <w:textAlignment w:val="baseline"/>
    </w:pPr>
    <w:rPr>
      <w:rFonts w:cs="Arial"/>
      <w:sz w:val="22"/>
      <w:szCs w:val="20"/>
      <w:lang w:eastAsia="en-US"/>
    </w:rPr>
  </w:style>
  <w:style w:type="paragraph" w:styleId="BodyTextIndent">
    <w:name w:val="Body Text Indent"/>
    <w:basedOn w:val="Normal"/>
    <w:link w:val="BodyTextIndentChar"/>
    <w:uiPriority w:val="99"/>
    <w:rsid w:val="003D08B1"/>
    <w:pPr>
      <w:tabs>
        <w:tab w:val="left" w:pos="360"/>
      </w:tabs>
      <w:spacing w:after="120"/>
      <w:ind w:left="360" w:hanging="360"/>
    </w:pPr>
    <w:rPr>
      <w:sz w:val="22"/>
      <w:szCs w:val="20"/>
      <w:lang w:val="en-US" w:eastAsia="en-US"/>
    </w:rPr>
  </w:style>
  <w:style w:type="character" w:customStyle="1" w:styleId="BodyTextIndentChar">
    <w:name w:val="Body Text Indent Char"/>
    <w:basedOn w:val="DefaultParagraphFont"/>
    <w:link w:val="BodyTextIndent"/>
    <w:uiPriority w:val="99"/>
    <w:semiHidden/>
    <w:rsid w:val="004373AE"/>
    <w:rPr>
      <w:rFonts w:ascii="Arial" w:hAnsi="Arial"/>
      <w:sz w:val="24"/>
      <w:szCs w:val="24"/>
    </w:rPr>
  </w:style>
  <w:style w:type="character" w:styleId="Strong">
    <w:name w:val="Strong"/>
    <w:basedOn w:val="DefaultParagraphFont"/>
    <w:uiPriority w:val="99"/>
    <w:qFormat/>
    <w:rsid w:val="00D46204"/>
    <w:rPr>
      <w:rFonts w:cs="Times New Roman"/>
      <w:b/>
      <w:bCs/>
    </w:rPr>
  </w:style>
  <w:style w:type="paragraph" w:styleId="BodyText">
    <w:name w:val="Body Text"/>
    <w:basedOn w:val="Normal"/>
    <w:link w:val="BodyTextChar"/>
    <w:uiPriority w:val="99"/>
    <w:rsid w:val="003322EA"/>
    <w:pPr>
      <w:spacing w:after="120"/>
    </w:pPr>
  </w:style>
  <w:style w:type="character" w:customStyle="1" w:styleId="BodyTextChar">
    <w:name w:val="Body Text Char"/>
    <w:basedOn w:val="DefaultParagraphFont"/>
    <w:link w:val="BodyText"/>
    <w:uiPriority w:val="99"/>
    <w:semiHidden/>
    <w:rsid w:val="004373AE"/>
    <w:rPr>
      <w:rFonts w:ascii="Arial" w:hAnsi="Arial"/>
      <w:sz w:val="24"/>
      <w:szCs w:val="24"/>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uiPriority w:val="34"/>
    <w:qFormat/>
    <w:rsid w:val="004838C5"/>
    <w:pPr>
      <w:ind w:left="720"/>
      <w:contextualSpacing/>
    </w:pPr>
  </w:style>
  <w:style w:type="table" w:customStyle="1" w:styleId="TableGrid1">
    <w:name w:val="Table Grid1"/>
    <w:basedOn w:val="TableNormal"/>
    <w:next w:val="TableGrid"/>
    <w:uiPriority w:val="59"/>
    <w:rsid w:val="00AA1ED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577C"/>
    <w:rPr>
      <w:sz w:val="16"/>
      <w:szCs w:val="16"/>
    </w:rPr>
  </w:style>
  <w:style w:type="paragraph" w:styleId="CommentText">
    <w:name w:val="annotation text"/>
    <w:basedOn w:val="Normal"/>
    <w:link w:val="CommentTextChar"/>
    <w:uiPriority w:val="99"/>
    <w:unhideWhenUsed/>
    <w:rsid w:val="00C4577C"/>
    <w:rPr>
      <w:sz w:val="20"/>
      <w:szCs w:val="20"/>
    </w:rPr>
  </w:style>
  <w:style w:type="character" w:customStyle="1" w:styleId="CommentTextChar">
    <w:name w:val="Comment Text Char"/>
    <w:basedOn w:val="DefaultParagraphFont"/>
    <w:link w:val="CommentText"/>
    <w:uiPriority w:val="99"/>
    <w:rsid w:val="00C457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4577C"/>
    <w:rPr>
      <w:b/>
      <w:bCs/>
    </w:rPr>
  </w:style>
  <w:style w:type="character" w:customStyle="1" w:styleId="CommentSubjectChar">
    <w:name w:val="Comment Subject Char"/>
    <w:basedOn w:val="CommentTextChar"/>
    <w:link w:val="CommentSubject"/>
    <w:uiPriority w:val="99"/>
    <w:semiHidden/>
    <w:rsid w:val="00C4577C"/>
    <w:rPr>
      <w:rFonts w:ascii="Arial" w:hAnsi="Arial"/>
      <w:b/>
      <w:bCs/>
      <w:sz w:val="20"/>
      <w:szCs w:val="20"/>
    </w:rPr>
  </w:style>
  <w:style w:type="paragraph" w:styleId="NormalWeb">
    <w:name w:val="Normal (Web)"/>
    <w:basedOn w:val="Normal"/>
    <w:uiPriority w:val="99"/>
    <w:semiHidden/>
    <w:unhideWhenUsed/>
    <w:rsid w:val="00FB5B4F"/>
    <w:pPr>
      <w:spacing w:before="100" w:beforeAutospacing="1" w:after="100" w:afterAutospacing="1"/>
    </w:pPr>
    <w:rPr>
      <w:rFonts w:ascii="Times New Roman" w:hAnsi="Times New Roman"/>
    </w:rPr>
  </w:style>
  <w:style w:type="table" w:styleId="GridTable2-Accent5">
    <w:name w:val="Grid Table 2 Accent 5"/>
    <w:basedOn w:val="TableNormal"/>
    <w:uiPriority w:val="47"/>
    <w:rsid w:val="00722B9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itle">
    <w:name w:val="Title"/>
    <w:basedOn w:val="Normal"/>
    <w:next w:val="Normal"/>
    <w:link w:val="TitleChar"/>
    <w:qFormat/>
    <w:locked/>
    <w:rsid w:val="00C353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53A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70580B"/>
    <w:rPr>
      <w:rFonts w:asciiTheme="majorHAnsi" w:eastAsiaTheme="majorEastAsia" w:hAnsiTheme="majorHAnsi" w:cstheme="majorBidi"/>
      <w:color w:val="365F91" w:themeColor="accent1" w:themeShade="BF"/>
      <w:sz w:val="26"/>
      <w:szCs w:val="26"/>
    </w:rPr>
  </w:style>
  <w:style w:type="paragraph" w:customStyle="1" w:styleId="Headersfooters">
    <w:name w:val="Headers &amp; footers"/>
    <w:basedOn w:val="Title"/>
    <w:link w:val="HeadersfootersChar"/>
    <w:qFormat/>
    <w:rsid w:val="0070580B"/>
    <w:pPr>
      <w:contextualSpacing w:val="0"/>
    </w:pPr>
    <w:rPr>
      <w:rFonts w:ascii="Arial" w:hAnsi="Arial" w:cs="Arial"/>
      <w:bCs/>
      <w:noProof/>
      <w:sz w:val="20"/>
    </w:rPr>
  </w:style>
  <w:style w:type="character" w:customStyle="1" w:styleId="HeadersfootersChar">
    <w:name w:val="Headers &amp; footers Char"/>
    <w:basedOn w:val="TitleChar"/>
    <w:link w:val="Headersfooters"/>
    <w:rsid w:val="0070580B"/>
    <w:rPr>
      <w:rFonts w:ascii="Arial" w:eastAsiaTheme="majorEastAsia" w:hAnsi="Arial" w:cs="Arial"/>
      <w:bCs/>
      <w:noProof/>
      <w:spacing w:val="-10"/>
      <w:kern w:val="28"/>
      <w:sz w:val="2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327">
      <w:bodyDiv w:val="1"/>
      <w:marLeft w:val="0"/>
      <w:marRight w:val="0"/>
      <w:marTop w:val="0"/>
      <w:marBottom w:val="0"/>
      <w:divBdr>
        <w:top w:val="none" w:sz="0" w:space="0" w:color="auto"/>
        <w:left w:val="none" w:sz="0" w:space="0" w:color="auto"/>
        <w:bottom w:val="none" w:sz="0" w:space="0" w:color="auto"/>
        <w:right w:val="none" w:sz="0" w:space="0" w:color="auto"/>
      </w:divBdr>
    </w:div>
    <w:div w:id="55858401">
      <w:bodyDiv w:val="1"/>
      <w:marLeft w:val="0"/>
      <w:marRight w:val="0"/>
      <w:marTop w:val="0"/>
      <w:marBottom w:val="0"/>
      <w:divBdr>
        <w:top w:val="none" w:sz="0" w:space="0" w:color="auto"/>
        <w:left w:val="none" w:sz="0" w:space="0" w:color="auto"/>
        <w:bottom w:val="none" w:sz="0" w:space="0" w:color="auto"/>
        <w:right w:val="none" w:sz="0" w:space="0" w:color="auto"/>
      </w:divBdr>
    </w:div>
    <w:div w:id="101850300">
      <w:bodyDiv w:val="1"/>
      <w:marLeft w:val="0"/>
      <w:marRight w:val="0"/>
      <w:marTop w:val="0"/>
      <w:marBottom w:val="0"/>
      <w:divBdr>
        <w:top w:val="none" w:sz="0" w:space="0" w:color="auto"/>
        <w:left w:val="none" w:sz="0" w:space="0" w:color="auto"/>
        <w:bottom w:val="none" w:sz="0" w:space="0" w:color="auto"/>
        <w:right w:val="none" w:sz="0" w:space="0" w:color="auto"/>
      </w:divBdr>
    </w:div>
    <w:div w:id="241567866">
      <w:bodyDiv w:val="1"/>
      <w:marLeft w:val="0"/>
      <w:marRight w:val="0"/>
      <w:marTop w:val="0"/>
      <w:marBottom w:val="0"/>
      <w:divBdr>
        <w:top w:val="none" w:sz="0" w:space="0" w:color="auto"/>
        <w:left w:val="none" w:sz="0" w:space="0" w:color="auto"/>
        <w:bottom w:val="none" w:sz="0" w:space="0" w:color="auto"/>
        <w:right w:val="none" w:sz="0" w:space="0" w:color="auto"/>
      </w:divBdr>
    </w:div>
    <w:div w:id="343824346">
      <w:bodyDiv w:val="1"/>
      <w:marLeft w:val="0"/>
      <w:marRight w:val="0"/>
      <w:marTop w:val="0"/>
      <w:marBottom w:val="0"/>
      <w:divBdr>
        <w:top w:val="none" w:sz="0" w:space="0" w:color="auto"/>
        <w:left w:val="none" w:sz="0" w:space="0" w:color="auto"/>
        <w:bottom w:val="none" w:sz="0" w:space="0" w:color="auto"/>
        <w:right w:val="none" w:sz="0" w:space="0" w:color="auto"/>
      </w:divBdr>
    </w:div>
    <w:div w:id="350960575">
      <w:bodyDiv w:val="1"/>
      <w:marLeft w:val="0"/>
      <w:marRight w:val="0"/>
      <w:marTop w:val="0"/>
      <w:marBottom w:val="0"/>
      <w:divBdr>
        <w:top w:val="none" w:sz="0" w:space="0" w:color="auto"/>
        <w:left w:val="none" w:sz="0" w:space="0" w:color="auto"/>
        <w:bottom w:val="none" w:sz="0" w:space="0" w:color="auto"/>
        <w:right w:val="none" w:sz="0" w:space="0" w:color="auto"/>
      </w:divBdr>
    </w:div>
    <w:div w:id="353927043">
      <w:bodyDiv w:val="1"/>
      <w:marLeft w:val="0"/>
      <w:marRight w:val="0"/>
      <w:marTop w:val="0"/>
      <w:marBottom w:val="0"/>
      <w:divBdr>
        <w:top w:val="none" w:sz="0" w:space="0" w:color="auto"/>
        <w:left w:val="none" w:sz="0" w:space="0" w:color="auto"/>
        <w:bottom w:val="none" w:sz="0" w:space="0" w:color="auto"/>
        <w:right w:val="none" w:sz="0" w:space="0" w:color="auto"/>
      </w:divBdr>
    </w:div>
    <w:div w:id="389964278">
      <w:bodyDiv w:val="1"/>
      <w:marLeft w:val="0"/>
      <w:marRight w:val="0"/>
      <w:marTop w:val="0"/>
      <w:marBottom w:val="0"/>
      <w:divBdr>
        <w:top w:val="none" w:sz="0" w:space="0" w:color="auto"/>
        <w:left w:val="none" w:sz="0" w:space="0" w:color="auto"/>
        <w:bottom w:val="none" w:sz="0" w:space="0" w:color="auto"/>
        <w:right w:val="none" w:sz="0" w:space="0" w:color="auto"/>
      </w:divBdr>
    </w:div>
    <w:div w:id="408356801">
      <w:bodyDiv w:val="1"/>
      <w:marLeft w:val="0"/>
      <w:marRight w:val="0"/>
      <w:marTop w:val="0"/>
      <w:marBottom w:val="0"/>
      <w:divBdr>
        <w:top w:val="none" w:sz="0" w:space="0" w:color="auto"/>
        <w:left w:val="none" w:sz="0" w:space="0" w:color="auto"/>
        <w:bottom w:val="none" w:sz="0" w:space="0" w:color="auto"/>
        <w:right w:val="none" w:sz="0" w:space="0" w:color="auto"/>
      </w:divBdr>
    </w:div>
    <w:div w:id="418722092">
      <w:bodyDiv w:val="1"/>
      <w:marLeft w:val="0"/>
      <w:marRight w:val="0"/>
      <w:marTop w:val="0"/>
      <w:marBottom w:val="0"/>
      <w:divBdr>
        <w:top w:val="none" w:sz="0" w:space="0" w:color="auto"/>
        <w:left w:val="none" w:sz="0" w:space="0" w:color="auto"/>
        <w:bottom w:val="none" w:sz="0" w:space="0" w:color="auto"/>
        <w:right w:val="none" w:sz="0" w:space="0" w:color="auto"/>
      </w:divBdr>
    </w:div>
    <w:div w:id="439952982">
      <w:bodyDiv w:val="1"/>
      <w:marLeft w:val="0"/>
      <w:marRight w:val="0"/>
      <w:marTop w:val="0"/>
      <w:marBottom w:val="0"/>
      <w:divBdr>
        <w:top w:val="none" w:sz="0" w:space="0" w:color="auto"/>
        <w:left w:val="none" w:sz="0" w:space="0" w:color="auto"/>
        <w:bottom w:val="none" w:sz="0" w:space="0" w:color="auto"/>
        <w:right w:val="none" w:sz="0" w:space="0" w:color="auto"/>
      </w:divBdr>
    </w:div>
    <w:div w:id="445778068">
      <w:bodyDiv w:val="1"/>
      <w:marLeft w:val="0"/>
      <w:marRight w:val="0"/>
      <w:marTop w:val="0"/>
      <w:marBottom w:val="0"/>
      <w:divBdr>
        <w:top w:val="none" w:sz="0" w:space="0" w:color="auto"/>
        <w:left w:val="none" w:sz="0" w:space="0" w:color="auto"/>
        <w:bottom w:val="none" w:sz="0" w:space="0" w:color="auto"/>
        <w:right w:val="none" w:sz="0" w:space="0" w:color="auto"/>
      </w:divBdr>
    </w:div>
    <w:div w:id="544146613">
      <w:bodyDiv w:val="1"/>
      <w:marLeft w:val="0"/>
      <w:marRight w:val="0"/>
      <w:marTop w:val="0"/>
      <w:marBottom w:val="0"/>
      <w:divBdr>
        <w:top w:val="none" w:sz="0" w:space="0" w:color="auto"/>
        <w:left w:val="none" w:sz="0" w:space="0" w:color="auto"/>
        <w:bottom w:val="none" w:sz="0" w:space="0" w:color="auto"/>
        <w:right w:val="none" w:sz="0" w:space="0" w:color="auto"/>
      </w:divBdr>
    </w:div>
    <w:div w:id="551037041">
      <w:bodyDiv w:val="1"/>
      <w:marLeft w:val="0"/>
      <w:marRight w:val="0"/>
      <w:marTop w:val="0"/>
      <w:marBottom w:val="0"/>
      <w:divBdr>
        <w:top w:val="none" w:sz="0" w:space="0" w:color="auto"/>
        <w:left w:val="none" w:sz="0" w:space="0" w:color="auto"/>
        <w:bottom w:val="none" w:sz="0" w:space="0" w:color="auto"/>
        <w:right w:val="none" w:sz="0" w:space="0" w:color="auto"/>
      </w:divBdr>
    </w:div>
    <w:div w:id="566767925">
      <w:bodyDiv w:val="1"/>
      <w:marLeft w:val="0"/>
      <w:marRight w:val="0"/>
      <w:marTop w:val="0"/>
      <w:marBottom w:val="0"/>
      <w:divBdr>
        <w:top w:val="none" w:sz="0" w:space="0" w:color="auto"/>
        <w:left w:val="none" w:sz="0" w:space="0" w:color="auto"/>
        <w:bottom w:val="none" w:sz="0" w:space="0" w:color="auto"/>
        <w:right w:val="none" w:sz="0" w:space="0" w:color="auto"/>
      </w:divBdr>
    </w:div>
    <w:div w:id="600797495">
      <w:bodyDiv w:val="1"/>
      <w:marLeft w:val="0"/>
      <w:marRight w:val="0"/>
      <w:marTop w:val="0"/>
      <w:marBottom w:val="0"/>
      <w:divBdr>
        <w:top w:val="none" w:sz="0" w:space="0" w:color="auto"/>
        <w:left w:val="none" w:sz="0" w:space="0" w:color="auto"/>
        <w:bottom w:val="none" w:sz="0" w:space="0" w:color="auto"/>
        <w:right w:val="none" w:sz="0" w:space="0" w:color="auto"/>
      </w:divBdr>
    </w:div>
    <w:div w:id="608243764">
      <w:bodyDiv w:val="1"/>
      <w:marLeft w:val="0"/>
      <w:marRight w:val="0"/>
      <w:marTop w:val="0"/>
      <w:marBottom w:val="0"/>
      <w:divBdr>
        <w:top w:val="none" w:sz="0" w:space="0" w:color="auto"/>
        <w:left w:val="none" w:sz="0" w:space="0" w:color="auto"/>
        <w:bottom w:val="none" w:sz="0" w:space="0" w:color="auto"/>
        <w:right w:val="none" w:sz="0" w:space="0" w:color="auto"/>
      </w:divBdr>
    </w:div>
    <w:div w:id="615331853">
      <w:bodyDiv w:val="1"/>
      <w:marLeft w:val="0"/>
      <w:marRight w:val="0"/>
      <w:marTop w:val="0"/>
      <w:marBottom w:val="0"/>
      <w:divBdr>
        <w:top w:val="none" w:sz="0" w:space="0" w:color="auto"/>
        <w:left w:val="none" w:sz="0" w:space="0" w:color="auto"/>
        <w:bottom w:val="none" w:sz="0" w:space="0" w:color="auto"/>
        <w:right w:val="none" w:sz="0" w:space="0" w:color="auto"/>
      </w:divBdr>
    </w:div>
    <w:div w:id="704020346">
      <w:bodyDiv w:val="1"/>
      <w:marLeft w:val="0"/>
      <w:marRight w:val="0"/>
      <w:marTop w:val="0"/>
      <w:marBottom w:val="0"/>
      <w:divBdr>
        <w:top w:val="none" w:sz="0" w:space="0" w:color="auto"/>
        <w:left w:val="none" w:sz="0" w:space="0" w:color="auto"/>
        <w:bottom w:val="none" w:sz="0" w:space="0" w:color="auto"/>
        <w:right w:val="none" w:sz="0" w:space="0" w:color="auto"/>
      </w:divBdr>
    </w:div>
    <w:div w:id="766197728">
      <w:bodyDiv w:val="1"/>
      <w:marLeft w:val="0"/>
      <w:marRight w:val="0"/>
      <w:marTop w:val="0"/>
      <w:marBottom w:val="0"/>
      <w:divBdr>
        <w:top w:val="none" w:sz="0" w:space="0" w:color="auto"/>
        <w:left w:val="none" w:sz="0" w:space="0" w:color="auto"/>
        <w:bottom w:val="none" w:sz="0" w:space="0" w:color="auto"/>
        <w:right w:val="none" w:sz="0" w:space="0" w:color="auto"/>
      </w:divBdr>
    </w:div>
    <w:div w:id="822043081">
      <w:bodyDiv w:val="1"/>
      <w:marLeft w:val="0"/>
      <w:marRight w:val="0"/>
      <w:marTop w:val="0"/>
      <w:marBottom w:val="0"/>
      <w:divBdr>
        <w:top w:val="none" w:sz="0" w:space="0" w:color="auto"/>
        <w:left w:val="none" w:sz="0" w:space="0" w:color="auto"/>
        <w:bottom w:val="none" w:sz="0" w:space="0" w:color="auto"/>
        <w:right w:val="none" w:sz="0" w:space="0" w:color="auto"/>
      </w:divBdr>
    </w:div>
    <w:div w:id="874005774">
      <w:bodyDiv w:val="1"/>
      <w:marLeft w:val="0"/>
      <w:marRight w:val="0"/>
      <w:marTop w:val="0"/>
      <w:marBottom w:val="0"/>
      <w:divBdr>
        <w:top w:val="none" w:sz="0" w:space="0" w:color="auto"/>
        <w:left w:val="none" w:sz="0" w:space="0" w:color="auto"/>
        <w:bottom w:val="none" w:sz="0" w:space="0" w:color="auto"/>
        <w:right w:val="none" w:sz="0" w:space="0" w:color="auto"/>
      </w:divBdr>
    </w:div>
    <w:div w:id="893933984">
      <w:bodyDiv w:val="1"/>
      <w:marLeft w:val="0"/>
      <w:marRight w:val="0"/>
      <w:marTop w:val="0"/>
      <w:marBottom w:val="0"/>
      <w:divBdr>
        <w:top w:val="none" w:sz="0" w:space="0" w:color="auto"/>
        <w:left w:val="none" w:sz="0" w:space="0" w:color="auto"/>
        <w:bottom w:val="none" w:sz="0" w:space="0" w:color="auto"/>
        <w:right w:val="none" w:sz="0" w:space="0" w:color="auto"/>
      </w:divBdr>
    </w:div>
    <w:div w:id="936521166">
      <w:bodyDiv w:val="1"/>
      <w:marLeft w:val="0"/>
      <w:marRight w:val="0"/>
      <w:marTop w:val="0"/>
      <w:marBottom w:val="0"/>
      <w:divBdr>
        <w:top w:val="none" w:sz="0" w:space="0" w:color="auto"/>
        <w:left w:val="none" w:sz="0" w:space="0" w:color="auto"/>
        <w:bottom w:val="none" w:sz="0" w:space="0" w:color="auto"/>
        <w:right w:val="none" w:sz="0" w:space="0" w:color="auto"/>
      </w:divBdr>
    </w:div>
    <w:div w:id="951129034">
      <w:bodyDiv w:val="1"/>
      <w:marLeft w:val="0"/>
      <w:marRight w:val="0"/>
      <w:marTop w:val="0"/>
      <w:marBottom w:val="0"/>
      <w:divBdr>
        <w:top w:val="none" w:sz="0" w:space="0" w:color="auto"/>
        <w:left w:val="none" w:sz="0" w:space="0" w:color="auto"/>
        <w:bottom w:val="none" w:sz="0" w:space="0" w:color="auto"/>
        <w:right w:val="none" w:sz="0" w:space="0" w:color="auto"/>
      </w:divBdr>
    </w:div>
    <w:div w:id="957024075">
      <w:marLeft w:val="0"/>
      <w:marRight w:val="0"/>
      <w:marTop w:val="0"/>
      <w:marBottom w:val="0"/>
      <w:divBdr>
        <w:top w:val="none" w:sz="0" w:space="0" w:color="auto"/>
        <w:left w:val="none" w:sz="0" w:space="0" w:color="auto"/>
        <w:bottom w:val="none" w:sz="0" w:space="0" w:color="auto"/>
        <w:right w:val="none" w:sz="0" w:space="0" w:color="auto"/>
      </w:divBdr>
    </w:div>
    <w:div w:id="957024076">
      <w:marLeft w:val="0"/>
      <w:marRight w:val="0"/>
      <w:marTop w:val="0"/>
      <w:marBottom w:val="0"/>
      <w:divBdr>
        <w:top w:val="none" w:sz="0" w:space="0" w:color="auto"/>
        <w:left w:val="none" w:sz="0" w:space="0" w:color="auto"/>
        <w:bottom w:val="none" w:sz="0" w:space="0" w:color="auto"/>
        <w:right w:val="none" w:sz="0" w:space="0" w:color="auto"/>
      </w:divBdr>
    </w:div>
    <w:div w:id="957024077">
      <w:marLeft w:val="0"/>
      <w:marRight w:val="0"/>
      <w:marTop w:val="0"/>
      <w:marBottom w:val="0"/>
      <w:divBdr>
        <w:top w:val="none" w:sz="0" w:space="0" w:color="auto"/>
        <w:left w:val="none" w:sz="0" w:space="0" w:color="auto"/>
        <w:bottom w:val="none" w:sz="0" w:space="0" w:color="auto"/>
        <w:right w:val="none" w:sz="0" w:space="0" w:color="auto"/>
      </w:divBdr>
    </w:div>
    <w:div w:id="957024078">
      <w:marLeft w:val="0"/>
      <w:marRight w:val="0"/>
      <w:marTop w:val="0"/>
      <w:marBottom w:val="0"/>
      <w:divBdr>
        <w:top w:val="none" w:sz="0" w:space="0" w:color="auto"/>
        <w:left w:val="none" w:sz="0" w:space="0" w:color="auto"/>
        <w:bottom w:val="none" w:sz="0" w:space="0" w:color="auto"/>
        <w:right w:val="none" w:sz="0" w:space="0" w:color="auto"/>
      </w:divBdr>
    </w:div>
    <w:div w:id="957024079">
      <w:marLeft w:val="0"/>
      <w:marRight w:val="0"/>
      <w:marTop w:val="0"/>
      <w:marBottom w:val="0"/>
      <w:divBdr>
        <w:top w:val="none" w:sz="0" w:space="0" w:color="auto"/>
        <w:left w:val="none" w:sz="0" w:space="0" w:color="auto"/>
        <w:bottom w:val="none" w:sz="0" w:space="0" w:color="auto"/>
        <w:right w:val="none" w:sz="0" w:space="0" w:color="auto"/>
      </w:divBdr>
    </w:div>
    <w:div w:id="957024080">
      <w:marLeft w:val="0"/>
      <w:marRight w:val="0"/>
      <w:marTop w:val="0"/>
      <w:marBottom w:val="0"/>
      <w:divBdr>
        <w:top w:val="none" w:sz="0" w:space="0" w:color="auto"/>
        <w:left w:val="none" w:sz="0" w:space="0" w:color="auto"/>
        <w:bottom w:val="none" w:sz="0" w:space="0" w:color="auto"/>
        <w:right w:val="none" w:sz="0" w:space="0" w:color="auto"/>
      </w:divBdr>
    </w:div>
    <w:div w:id="957024081">
      <w:marLeft w:val="0"/>
      <w:marRight w:val="0"/>
      <w:marTop w:val="0"/>
      <w:marBottom w:val="0"/>
      <w:divBdr>
        <w:top w:val="none" w:sz="0" w:space="0" w:color="auto"/>
        <w:left w:val="none" w:sz="0" w:space="0" w:color="auto"/>
        <w:bottom w:val="none" w:sz="0" w:space="0" w:color="auto"/>
        <w:right w:val="none" w:sz="0" w:space="0" w:color="auto"/>
      </w:divBdr>
    </w:div>
    <w:div w:id="957024082">
      <w:marLeft w:val="0"/>
      <w:marRight w:val="0"/>
      <w:marTop w:val="0"/>
      <w:marBottom w:val="0"/>
      <w:divBdr>
        <w:top w:val="none" w:sz="0" w:space="0" w:color="auto"/>
        <w:left w:val="none" w:sz="0" w:space="0" w:color="auto"/>
        <w:bottom w:val="none" w:sz="0" w:space="0" w:color="auto"/>
        <w:right w:val="none" w:sz="0" w:space="0" w:color="auto"/>
      </w:divBdr>
    </w:div>
    <w:div w:id="957024083">
      <w:marLeft w:val="0"/>
      <w:marRight w:val="0"/>
      <w:marTop w:val="0"/>
      <w:marBottom w:val="0"/>
      <w:divBdr>
        <w:top w:val="none" w:sz="0" w:space="0" w:color="auto"/>
        <w:left w:val="none" w:sz="0" w:space="0" w:color="auto"/>
        <w:bottom w:val="none" w:sz="0" w:space="0" w:color="auto"/>
        <w:right w:val="none" w:sz="0" w:space="0" w:color="auto"/>
      </w:divBdr>
    </w:div>
    <w:div w:id="957024084">
      <w:marLeft w:val="0"/>
      <w:marRight w:val="0"/>
      <w:marTop w:val="0"/>
      <w:marBottom w:val="0"/>
      <w:divBdr>
        <w:top w:val="none" w:sz="0" w:space="0" w:color="auto"/>
        <w:left w:val="none" w:sz="0" w:space="0" w:color="auto"/>
        <w:bottom w:val="none" w:sz="0" w:space="0" w:color="auto"/>
        <w:right w:val="none" w:sz="0" w:space="0" w:color="auto"/>
      </w:divBdr>
    </w:div>
    <w:div w:id="957024085">
      <w:marLeft w:val="0"/>
      <w:marRight w:val="0"/>
      <w:marTop w:val="0"/>
      <w:marBottom w:val="0"/>
      <w:divBdr>
        <w:top w:val="none" w:sz="0" w:space="0" w:color="auto"/>
        <w:left w:val="none" w:sz="0" w:space="0" w:color="auto"/>
        <w:bottom w:val="none" w:sz="0" w:space="0" w:color="auto"/>
        <w:right w:val="none" w:sz="0" w:space="0" w:color="auto"/>
      </w:divBdr>
    </w:div>
    <w:div w:id="957024086">
      <w:marLeft w:val="0"/>
      <w:marRight w:val="0"/>
      <w:marTop w:val="0"/>
      <w:marBottom w:val="0"/>
      <w:divBdr>
        <w:top w:val="none" w:sz="0" w:space="0" w:color="auto"/>
        <w:left w:val="none" w:sz="0" w:space="0" w:color="auto"/>
        <w:bottom w:val="none" w:sz="0" w:space="0" w:color="auto"/>
        <w:right w:val="none" w:sz="0" w:space="0" w:color="auto"/>
      </w:divBdr>
    </w:div>
    <w:div w:id="957024087">
      <w:marLeft w:val="0"/>
      <w:marRight w:val="0"/>
      <w:marTop w:val="0"/>
      <w:marBottom w:val="0"/>
      <w:divBdr>
        <w:top w:val="none" w:sz="0" w:space="0" w:color="auto"/>
        <w:left w:val="none" w:sz="0" w:space="0" w:color="auto"/>
        <w:bottom w:val="none" w:sz="0" w:space="0" w:color="auto"/>
        <w:right w:val="none" w:sz="0" w:space="0" w:color="auto"/>
      </w:divBdr>
    </w:div>
    <w:div w:id="957024088">
      <w:marLeft w:val="0"/>
      <w:marRight w:val="0"/>
      <w:marTop w:val="0"/>
      <w:marBottom w:val="0"/>
      <w:divBdr>
        <w:top w:val="none" w:sz="0" w:space="0" w:color="auto"/>
        <w:left w:val="none" w:sz="0" w:space="0" w:color="auto"/>
        <w:bottom w:val="none" w:sz="0" w:space="0" w:color="auto"/>
        <w:right w:val="none" w:sz="0" w:space="0" w:color="auto"/>
      </w:divBdr>
    </w:div>
    <w:div w:id="957024089">
      <w:marLeft w:val="0"/>
      <w:marRight w:val="0"/>
      <w:marTop w:val="0"/>
      <w:marBottom w:val="0"/>
      <w:divBdr>
        <w:top w:val="none" w:sz="0" w:space="0" w:color="auto"/>
        <w:left w:val="none" w:sz="0" w:space="0" w:color="auto"/>
        <w:bottom w:val="none" w:sz="0" w:space="0" w:color="auto"/>
        <w:right w:val="none" w:sz="0" w:space="0" w:color="auto"/>
      </w:divBdr>
    </w:div>
    <w:div w:id="958532898">
      <w:bodyDiv w:val="1"/>
      <w:marLeft w:val="0"/>
      <w:marRight w:val="0"/>
      <w:marTop w:val="0"/>
      <w:marBottom w:val="0"/>
      <w:divBdr>
        <w:top w:val="none" w:sz="0" w:space="0" w:color="auto"/>
        <w:left w:val="none" w:sz="0" w:space="0" w:color="auto"/>
        <w:bottom w:val="none" w:sz="0" w:space="0" w:color="auto"/>
        <w:right w:val="none" w:sz="0" w:space="0" w:color="auto"/>
      </w:divBdr>
    </w:div>
    <w:div w:id="1083069953">
      <w:bodyDiv w:val="1"/>
      <w:marLeft w:val="0"/>
      <w:marRight w:val="0"/>
      <w:marTop w:val="0"/>
      <w:marBottom w:val="0"/>
      <w:divBdr>
        <w:top w:val="none" w:sz="0" w:space="0" w:color="auto"/>
        <w:left w:val="none" w:sz="0" w:space="0" w:color="auto"/>
        <w:bottom w:val="none" w:sz="0" w:space="0" w:color="auto"/>
        <w:right w:val="none" w:sz="0" w:space="0" w:color="auto"/>
      </w:divBdr>
    </w:div>
    <w:div w:id="1116679786">
      <w:bodyDiv w:val="1"/>
      <w:marLeft w:val="0"/>
      <w:marRight w:val="0"/>
      <w:marTop w:val="0"/>
      <w:marBottom w:val="0"/>
      <w:divBdr>
        <w:top w:val="none" w:sz="0" w:space="0" w:color="auto"/>
        <w:left w:val="none" w:sz="0" w:space="0" w:color="auto"/>
        <w:bottom w:val="none" w:sz="0" w:space="0" w:color="auto"/>
        <w:right w:val="none" w:sz="0" w:space="0" w:color="auto"/>
      </w:divBdr>
    </w:div>
    <w:div w:id="1129711288">
      <w:bodyDiv w:val="1"/>
      <w:marLeft w:val="0"/>
      <w:marRight w:val="0"/>
      <w:marTop w:val="0"/>
      <w:marBottom w:val="0"/>
      <w:divBdr>
        <w:top w:val="none" w:sz="0" w:space="0" w:color="auto"/>
        <w:left w:val="none" w:sz="0" w:space="0" w:color="auto"/>
        <w:bottom w:val="none" w:sz="0" w:space="0" w:color="auto"/>
        <w:right w:val="none" w:sz="0" w:space="0" w:color="auto"/>
      </w:divBdr>
    </w:div>
    <w:div w:id="1139150265">
      <w:bodyDiv w:val="1"/>
      <w:marLeft w:val="0"/>
      <w:marRight w:val="0"/>
      <w:marTop w:val="0"/>
      <w:marBottom w:val="0"/>
      <w:divBdr>
        <w:top w:val="none" w:sz="0" w:space="0" w:color="auto"/>
        <w:left w:val="none" w:sz="0" w:space="0" w:color="auto"/>
        <w:bottom w:val="none" w:sz="0" w:space="0" w:color="auto"/>
        <w:right w:val="none" w:sz="0" w:space="0" w:color="auto"/>
      </w:divBdr>
    </w:div>
    <w:div w:id="1262110590">
      <w:bodyDiv w:val="1"/>
      <w:marLeft w:val="0"/>
      <w:marRight w:val="0"/>
      <w:marTop w:val="0"/>
      <w:marBottom w:val="0"/>
      <w:divBdr>
        <w:top w:val="none" w:sz="0" w:space="0" w:color="auto"/>
        <w:left w:val="none" w:sz="0" w:space="0" w:color="auto"/>
        <w:bottom w:val="none" w:sz="0" w:space="0" w:color="auto"/>
        <w:right w:val="none" w:sz="0" w:space="0" w:color="auto"/>
      </w:divBdr>
    </w:div>
    <w:div w:id="1301955164">
      <w:bodyDiv w:val="1"/>
      <w:marLeft w:val="0"/>
      <w:marRight w:val="0"/>
      <w:marTop w:val="0"/>
      <w:marBottom w:val="0"/>
      <w:divBdr>
        <w:top w:val="none" w:sz="0" w:space="0" w:color="auto"/>
        <w:left w:val="none" w:sz="0" w:space="0" w:color="auto"/>
        <w:bottom w:val="none" w:sz="0" w:space="0" w:color="auto"/>
        <w:right w:val="none" w:sz="0" w:space="0" w:color="auto"/>
      </w:divBdr>
    </w:div>
    <w:div w:id="1302619218">
      <w:bodyDiv w:val="1"/>
      <w:marLeft w:val="0"/>
      <w:marRight w:val="0"/>
      <w:marTop w:val="0"/>
      <w:marBottom w:val="0"/>
      <w:divBdr>
        <w:top w:val="none" w:sz="0" w:space="0" w:color="auto"/>
        <w:left w:val="none" w:sz="0" w:space="0" w:color="auto"/>
        <w:bottom w:val="none" w:sz="0" w:space="0" w:color="auto"/>
        <w:right w:val="none" w:sz="0" w:space="0" w:color="auto"/>
      </w:divBdr>
    </w:div>
    <w:div w:id="1552381313">
      <w:bodyDiv w:val="1"/>
      <w:marLeft w:val="0"/>
      <w:marRight w:val="0"/>
      <w:marTop w:val="0"/>
      <w:marBottom w:val="0"/>
      <w:divBdr>
        <w:top w:val="none" w:sz="0" w:space="0" w:color="auto"/>
        <w:left w:val="none" w:sz="0" w:space="0" w:color="auto"/>
        <w:bottom w:val="none" w:sz="0" w:space="0" w:color="auto"/>
        <w:right w:val="none" w:sz="0" w:space="0" w:color="auto"/>
      </w:divBdr>
    </w:div>
    <w:div w:id="1585263470">
      <w:bodyDiv w:val="1"/>
      <w:marLeft w:val="0"/>
      <w:marRight w:val="0"/>
      <w:marTop w:val="0"/>
      <w:marBottom w:val="0"/>
      <w:divBdr>
        <w:top w:val="none" w:sz="0" w:space="0" w:color="auto"/>
        <w:left w:val="none" w:sz="0" w:space="0" w:color="auto"/>
        <w:bottom w:val="none" w:sz="0" w:space="0" w:color="auto"/>
        <w:right w:val="none" w:sz="0" w:space="0" w:color="auto"/>
      </w:divBdr>
    </w:div>
    <w:div w:id="1604797396">
      <w:bodyDiv w:val="1"/>
      <w:marLeft w:val="0"/>
      <w:marRight w:val="0"/>
      <w:marTop w:val="0"/>
      <w:marBottom w:val="0"/>
      <w:divBdr>
        <w:top w:val="none" w:sz="0" w:space="0" w:color="auto"/>
        <w:left w:val="none" w:sz="0" w:space="0" w:color="auto"/>
        <w:bottom w:val="none" w:sz="0" w:space="0" w:color="auto"/>
        <w:right w:val="none" w:sz="0" w:space="0" w:color="auto"/>
      </w:divBdr>
    </w:div>
    <w:div w:id="1665665379">
      <w:bodyDiv w:val="1"/>
      <w:marLeft w:val="0"/>
      <w:marRight w:val="0"/>
      <w:marTop w:val="0"/>
      <w:marBottom w:val="0"/>
      <w:divBdr>
        <w:top w:val="none" w:sz="0" w:space="0" w:color="auto"/>
        <w:left w:val="none" w:sz="0" w:space="0" w:color="auto"/>
        <w:bottom w:val="none" w:sz="0" w:space="0" w:color="auto"/>
        <w:right w:val="none" w:sz="0" w:space="0" w:color="auto"/>
      </w:divBdr>
    </w:div>
    <w:div w:id="1695109413">
      <w:bodyDiv w:val="1"/>
      <w:marLeft w:val="0"/>
      <w:marRight w:val="0"/>
      <w:marTop w:val="0"/>
      <w:marBottom w:val="0"/>
      <w:divBdr>
        <w:top w:val="none" w:sz="0" w:space="0" w:color="auto"/>
        <w:left w:val="none" w:sz="0" w:space="0" w:color="auto"/>
        <w:bottom w:val="none" w:sz="0" w:space="0" w:color="auto"/>
        <w:right w:val="none" w:sz="0" w:space="0" w:color="auto"/>
      </w:divBdr>
    </w:div>
    <w:div w:id="1799840486">
      <w:bodyDiv w:val="1"/>
      <w:marLeft w:val="0"/>
      <w:marRight w:val="0"/>
      <w:marTop w:val="0"/>
      <w:marBottom w:val="0"/>
      <w:divBdr>
        <w:top w:val="none" w:sz="0" w:space="0" w:color="auto"/>
        <w:left w:val="none" w:sz="0" w:space="0" w:color="auto"/>
        <w:bottom w:val="none" w:sz="0" w:space="0" w:color="auto"/>
        <w:right w:val="none" w:sz="0" w:space="0" w:color="auto"/>
      </w:divBdr>
    </w:div>
    <w:div w:id="1799950952">
      <w:bodyDiv w:val="1"/>
      <w:marLeft w:val="0"/>
      <w:marRight w:val="0"/>
      <w:marTop w:val="0"/>
      <w:marBottom w:val="0"/>
      <w:divBdr>
        <w:top w:val="none" w:sz="0" w:space="0" w:color="auto"/>
        <w:left w:val="none" w:sz="0" w:space="0" w:color="auto"/>
        <w:bottom w:val="none" w:sz="0" w:space="0" w:color="auto"/>
        <w:right w:val="none" w:sz="0" w:space="0" w:color="auto"/>
      </w:divBdr>
    </w:div>
    <w:div w:id="1801070935">
      <w:bodyDiv w:val="1"/>
      <w:marLeft w:val="0"/>
      <w:marRight w:val="0"/>
      <w:marTop w:val="0"/>
      <w:marBottom w:val="0"/>
      <w:divBdr>
        <w:top w:val="none" w:sz="0" w:space="0" w:color="auto"/>
        <w:left w:val="none" w:sz="0" w:space="0" w:color="auto"/>
        <w:bottom w:val="none" w:sz="0" w:space="0" w:color="auto"/>
        <w:right w:val="none" w:sz="0" w:space="0" w:color="auto"/>
      </w:divBdr>
    </w:div>
    <w:div w:id="1819303817">
      <w:bodyDiv w:val="1"/>
      <w:marLeft w:val="0"/>
      <w:marRight w:val="0"/>
      <w:marTop w:val="0"/>
      <w:marBottom w:val="0"/>
      <w:divBdr>
        <w:top w:val="none" w:sz="0" w:space="0" w:color="auto"/>
        <w:left w:val="none" w:sz="0" w:space="0" w:color="auto"/>
        <w:bottom w:val="none" w:sz="0" w:space="0" w:color="auto"/>
        <w:right w:val="none" w:sz="0" w:space="0" w:color="auto"/>
      </w:divBdr>
    </w:div>
    <w:div w:id="1829322114">
      <w:bodyDiv w:val="1"/>
      <w:marLeft w:val="0"/>
      <w:marRight w:val="0"/>
      <w:marTop w:val="0"/>
      <w:marBottom w:val="0"/>
      <w:divBdr>
        <w:top w:val="none" w:sz="0" w:space="0" w:color="auto"/>
        <w:left w:val="none" w:sz="0" w:space="0" w:color="auto"/>
        <w:bottom w:val="none" w:sz="0" w:space="0" w:color="auto"/>
        <w:right w:val="none" w:sz="0" w:space="0" w:color="auto"/>
      </w:divBdr>
    </w:div>
    <w:div w:id="1843082610">
      <w:bodyDiv w:val="1"/>
      <w:marLeft w:val="0"/>
      <w:marRight w:val="0"/>
      <w:marTop w:val="0"/>
      <w:marBottom w:val="0"/>
      <w:divBdr>
        <w:top w:val="none" w:sz="0" w:space="0" w:color="auto"/>
        <w:left w:val="none" w:sz="0" w:space="0" w:color="auto"/>
        <w:bottom w:val="none" w:sz="0" w:space="0" w:color="auto"/>
        <w:right w:val="none" w:sz="0" w:space="0" w:color="auto"/>
      </w:divBdr>
    </w:div>
    <w:div w:id="1853912147">
      <w:bodyDiv w:val="1"/>
      <w:marLeft w:val="0"/>
      <w:marRight w:val="0"/>
      <w:marTop w:val="0"/>
      <w:marBottom w:val="0"/>
      <w:divBdr>
        <w:top w:val="none" w:sz="0" w:space="0" w:color="auto"/>
        <w:left w:val="none" w:sz="0" w:space="0" w:color="auto"/>
        <w:bottom w:val="none" w:sz="0" w:space="0" w:color="auto"/>
        <w:right w:val="none" w:sz="0" w:space="0" w:color="auto"/>
      </w:divBdr>
    </w:div>
    <w:div w:id="1882011703">
      <w:bodyDiv w:val="1"/>
      <w:marLeft w:val="0"/>
      <w:marRight w:val="0"/>
      <w:marTop w:val="0"/>
      <w:marBottom w:val="0"/>
      <w:divBdr>
        <w:top w:val="none" w:sz="0" w:space="0" w:color="auto"/>
        <w:left w:val="none" w:sz="0" w:space="0" w:color="auto"/>
        <w:bottom w:val="none" w:sz="0" w:space="0" w:color="auto"/>
        <w:right w:val="none" w:sz="0" w:space="0" w:color="auto"/>
      </w:divBdr>
    </w:div>
    <w:div w:id="1891377283">
      <w:bodyDiv w:val="1"/>
      <w:marLeft w:val="0"/>
      <w:marRight w:val="0"/>
      <w:marTop w:val="0"/>
      <w:marBottom w:val="0"/>
      <w:divBdr>
        <w:top w:val="none" w:sz="0" w:space="0" w:color="auto"/>
        <w:left w:val="none" w:sz="0" w:space="0" w:color="auto"/>
        <w:bottom w:val="none" w:sz="0" w:space="0" w:color="auto"/>
        <w:right w:val="none" w:sz="0" w:space="0" w:color="auto"/>
      </w:divBdr>
    </w:div>
    <w:div w:id="1901477713">
      <w:bodyDiv w:val="1"/>
      <w:marLeft w:val="0"/>
      <w:marRight w:val="0"/>
      <w:marTop w:val="0"/>
      <w:marBottom w:val="0"/>
      <w:divBdr>
        <w:top w:val="none" w:sz="0" w:space="0" w:color="auto"/>
        <w:left w:val="none" w:sz="0" w:space="0" w:color="auto"/>
        <w:bottom w:val="none" w:sz="0" w:space="0" w:color="auto"/>
        <w:right w:val="none" w:sz="0" w:space="0" w:color="auto"/>
      </w:divBdr>
    </w:div>
    <w:div w:id="1995833409">
      <w:bodyDiv w:val="1"/>
      <w:marLeft w:val="0"/>
      <w:marRight w:val="0"/>
      <w:marTop w:val="0"/>
      <w:marBottom w:val="0"/>
      <w:divBdr>
        <w:top w:val="none" w:sz="0" w:space="0" w:color="auto"/>
        <w:left w:val="none" w:sz="0" w:space="0" w:color="auto"/>
        <w:bottom w:val="none" w:sz="0" w:space="0" w:color="auto"/>
        <w:right w:val="none" w:sz="0" w:space="0" w:color="auto"/>
      </w:divBdr>
    </w:div>
    <w:div w:id="2021420350">
      <w:bodyDiv w:val="1"/>
      <w:marLeft w:val="0"/>
      <w:marRight w:val="0"/>
      <w:marTop w:val="0"/>
      <w:marBottom w:val="0"/>
      <w:divBdr>
        <w:top w:val="none" w:sz="0" w:space="0" w:color="auto"/>
        <w:left w:val="none" w:sz="0" w:space="0" w:color="auto"/>
        <w:bottom w:val="none" w:sz="0" w:space="0" w:color="auto"/>
        <w:right w:val="none" w:sz="0" w:space="0" w:color="auto"/>
      </w:divBdr>
    </w:div>
    <w:div w:id="208876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0f1eab8-3903-44ec-b09e-06dd9dbdfde0" xsi:nil="true"/>
    <lcf76f155ced4ddcb4097134ff3c332f xmlns="f22d7286-dd96-43f1-addf-1aa01b23943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BB0DBABED20646B5BB11340AE54F35" ma:contentTypeVersion="17" ma:contentTypeDescription="Create a new document." ma:contentTypeScope="" ma:versionID="2ec0e661ae72cd87dde5abae9e358493">
  <xsd:schema xmlns:xsd="http://www.w3.org/2001/XMLSchema" xmlns:xs="http://www.w3.org/2001/XMLSchema" xmlns:p="http://schemas.microsoft.com/office/2006/metadata/properties" xmlns:ns2="f22d7286-dd96-43f1-addf-1aa01b239435" xmlns:ns3="c0f1eab8-3903-44ec-b09e-06dd9dbdfde0" targetNamespace="http://schemas.microsoft.com/office/2006/metadata/properties" ma:root="true" ma:fieldsID="7390736dd089626fb57d4d3330e86a55" ns2:_="" ns3:_="">
    <xsd:import namespace="f22d7286-dd96-43f1-addf-1aa01b239435"/>
    <xsd:import namespace="c0f1eab8-3903-44ec-b09e-06dd9dbdfd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d7286-dd96-43f1-addf-1aa01b239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1eab8-3903-44ec-b09e-06dd9dbdf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cc36ab-3102-4b48-ab6d-ca21dbe7bf99}" ma:internalName="TaxCatchAll" ma:showField="CatchAllData" ma:web="c0f1eab8-3903-44ec-b09e-06dd9dbdf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51D67-1DF6-46BA-A546-3630BF22C073}">
  <ds:schemaRefs>
    <ds:schemaRef ds:uri="http://schemas.microsoft.com/sharepoint/v3/contenttype/forms"/>
  </ds:schemaRefs>
</ds:datastoreItem>
</file>

<file path=customXml/itemProps2.xml><?xml version="1.0" encoding="utf-8"?>
<ds:datastoreItem xmlns:ds="http://schemas.openxmlformats.org/officeDocument/2006/customXml" ds:itemID="{5E1FE425-D26A-4774-8DBB-474784AC8BCD}">
  <ds:schemaRefs>
    <ds:schemaRef ds:uri="http://schemas.openxmlformats.org/officeDocument/2006/bibliography"/>
  </ds:schemaRefs>
</ds:datastoreItem>
</file>

<file path=customXml/itemProps3.xml><?xml version="1.0" encoding="utf-8"?>
<ds:datastoreItem xmlns:ds="http://schemas.openxmlformats.org/officeDocument/2006/customXml" ds:itemID="{F80E6F4B-E6AC-4916-B7C0-F05BBEA28AA9}">
  <ds:schemaRefs>
    <ds:schemaRef ds:uri="http://schemas.microsoft.com/office/2006/metadata/properties"/>
    <ds:schemaRef ds:uri="http://schemas.microsoft.com/office/infopath/2007/PartnerControls"/>
    <ds:schemaRef ds:uri="c0f1eab8-3903-44ec-b09e-06dd9dbdfde0"/>
    <ds:schemaRef ds:uri="f22d7286-dd96-43f1-addf-1aa01b239435"/>
  </ds:schemaRefs>
</ds:datastoreItem>
</file>

<file path=customXml/itemProps4.xml><?xml version="1.0" encoding="utf-8"?>
<ds:datastoreItem xmlns:ds="http://schemas.openxmlformats.org/officeDocument/2006/customXml" ds:itemID="{38EB9351-32F1-42D9-B0FF-7953F8354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d7286-dd96-43f1-addf-1aa01b239435"/>
    <ds:schemaRef ds:uri="c0f1eab8-3903-44ec-b09e-06dd9dbdf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School balances and DSG outturn 2024-25</vt:lpstr>
    </vt:vector>
  </TitlesOfParts>
  <Company>London Borough of Tower Hamlets</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balances and DSG outturn 2024-25 - Individual schools</dc:title>
  <dc:creator>David Tully</dc:creator>
  <cp:lastModifiedBy>Phillip Nduoyo</cp:lastModifiedBy>
  <cp:revision>5</cp:revision>
  <cp:lastPrinted>2019-06-12T14:32:00Z</cp:lastPrinted>
  <dcterms:created xsi:type="dcterms:W3CDTF">2026-06-22T15:26:00Z</dcterms:created>
  <dcterms:modified xsi:type="dcterms:W3CDTF">2026-07-09T10:22:00Z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0x010100ACBB0DBABED20646B5BB11340AE54F35</vt:lpwstr>
  </property>
  <property fmtid="{D5CDD505-2E9C-101B-9397-08002B2CF9AE}" pid="3" name="Order">
    <vt:r8>6048200</vt:r8>
  </property>
  <property fmtid="{D5CDD505-2E9C-101B-9397-08002B2CF9AE}" pid="4" name="MediaServiceImageTags">
    <vt:lpwstr/>
  </property>
</Properties>
</file>