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460C" w14:textId="051537D8" w:rsidR="00AA79F3" w:rsidRPr="00460501" w:rsidRDefault="00000000"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807F9D">
            <w:t>Contigency fund update</w:t>
          </w:r>
        </w:sdtContent>
      </w:sdt>
    </w:p>
    <w:p w14:paraId="6D4F70C1" w14:textId="77777777" w:rsidR="0089558F" w:rsidRDefault="0003322A" w:rsidP="00AA79F3">
      <w:pPr>
        <w:pStyle w:val="Subtitle"/>
      </w:pPr>
      <w:r w:rsidRPr="00460501">
        <w:t>De-</w:t>
      </w:r>
      <w:r w:rsidR="0089558F">
        <w:t>d</w:t>
      </w:r>
      <w:r w:rsidRPr="00460501">
        <w:t xml:space="preserve">elelgated Contingency Funding: </w:t>
      </w:r>
    </w:p>
    <w:p w14:paraId="4B137493" w14:textId="3BA41E96" w:rsidR="00CC4CE1" w:rsidRPr="00807F9D" w:rsidRDefault="0003322A" w:rsidP="00AA79F3">
      <w:pPr>
        <w:pStyle w:val="Subtitle"/>
        <w:rPr>
          <w:b w:val="0"/>
          <w:bCs/>
          <w:color w:val="005F00"/>
          <w:szCs w:val="28"/>
        </w:rPr>
      </w:pPr>
      <w:r w:rsidRPr="00807F9D">
        <w:rPr>
          <w:b w:val="0"/>
          <w:bCs/>
          <w:color w:val="005F00"/>
        </w:rPr>
        <w:t>Outline School Organisation Work relating to Contingency Fund</w:t>
      </w:r>
      <w:r w:rsidRPr="00807F9D">
        <w:rPr>
          <w:b w:val="0"/>
          <w:bCs/>
          <w:color w:val="005F00"/>
          <w:szCs w:val="28"/>
        </w:rPr>
        <w:t xml:space="preserve"> </w:t>
      </w:r>
    </w:p>
    <w:p w14:paraId="47651AF4" w14:textId="77777777" w:rsidR="00070438" w:rsidRPr="00070438" w:rsidRDefault="00070438" w:rsidP="00070438"/>
    <w:sdt>
      <w:sdtPr>
        <w:rPr>
          <w:b/>
          <w:bCs/>
        </w:r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5-06-11T00:00:00Z">
          <w:dateFormat w:val="dd/MM/yyyy"/>
          <w:lid w:val="en-GB"/>
          <w:storeMappedDataAs w:val="dateTime"/>
          <w:calendar w:val="gregorian"/>
        </w:date>
      </w:sdtPr>
      <w:sdtContent>
        <w:p w14:paraId="491545AC" w14:textId="7A3E8F09" w:rsidR="00CC4CE1" w:rsidRPr="0003322A" w:rsidRDefault="006C4A7C" w:rsidP="00101F8B">
          <w:pPr>
            <w:rPr>
              <w:b/>
              <w:bCs/>
            </w:rPr>
          </w:pPr>
          <w:r>
            <w:rPr>
              <w:b/>
              <w:bCs/>
            </w:rPr>
            <w:t>11/06/2025</w:t>
          </w:r>
        </w:p>
      </w:sdtContent>
    </w:sdt>
    <w:p w14:paraId="16189B94" w14:textId="77777777" w:rsidR="00CC4CE1" w:rsidRDefault="00CC4CE1" w:rsidP="00101F8B"/>
    <w:p w14:paraId="3F4EFDBD" w14:textId="0DF42411" w:rsidR="00CC4CE1" w:rsidRDefault="00CC4CE1" w:rsidP="00534043">
      <w:pPr>
        <w:pStyle w:val="NoSpacing"/>
        <w:sectPr w:rsidR="00CC4CE1" w:rsidSect="007B40D8">
          <w:headerReference w:type="even" r:id="rId12"/>
          <w:headerReference w:type="default" r:id="rId13"/>
          <w:footerReference w:type="even" r:id="rId14"/>
          <w:footerReference w:type="default" r:id="rId15"/>
          <w:headerReference w:type="first" r:id="rId16"/>
          <w:footerReference w:type="first" r:id="rId17"/>
          <w:pgSz w:w="11906" w:h="16838"/>
          <w:pgMar w:top="3544" w:right="1440" w:bottom="1440" w:left="1440" w:header="708" w:footer="708" w:gutter="0"/>
          <w:cols w:space="708"/>
          <w:docGrid w:linePitch="360"/>
        </w:sectPr>
      </w:pPr>
    </w:p>
    <w:p w14:paraId="7DAF991D" w14:textId="77777777" w:rsidR="00460501" w:rsidRDefault="00460501" w:rsidP="00460501">
      <w:pPr>
        <w:pStyle w:val="ListParagraph"/>
        <w:ind w:left="0"/>
        <w:rPr>
          <w:rFonts w:ascii="Arial" w:hAnsi="Arial" w:cs="Arial"/>
          <w:b/>
          <w:bCs/>
          <w:sz w:val="24"/>
          <w:szCs w:val="24"/>
          <w:lang w:val="en-US"/>
        </w:rPr>
      </w:pPr>
    </w:p>
    <w:p w14:paraId="3D373017" w14:textId="77777777" w:rsidR="00460501" w:rsidRDefault="00460501" w:rsidP="00460501">
      <w:pPr>
        <w:pStyle w:val="ListParagraph"/>
        <w:ind w:left="0"/>
        <w:rPr>
          <w:rFonts w:ascii="Arial" w:hAnsi="Arial" w:cs="Arial"/>
          <w:b/>
          <w:bCs/>
          <w:sz w:val="24"/>
          <w:szCs w:val="24"/>
          <w:lang w:val="en-US"/>
        </w:rPr>
      </w:pPr>
    </w:p>
    <w:p w14:paraId="7B90AA60" w14:textId="77777777" w:rsidR="00460501" w:rsidRDefault="00460501" w:rsidP="00460501">
      <w:pPr>
        <w:pStyle w:val="ListParagraph"/>
        <w:ind w:left="0"/>
        <w:rPr>
          <w:rFonts w:ascii="Arial" w:hAnsi="Arial" w:cs="Arial"/>
          <w:b/>
          <w:bCs/>
          <w:sz w:val="24"/>
          <w:szCs w:val="24"/>
          <w:lang w:val="en-US"/>
        </w:rPr>
      </w:pPr>
    </w:p>
    <w:p w14:paraId="3DC0F1F0" w14:textId="2A89A5EF" w:rsidR="006128AC" w:rsidRPr="00460501" w:rsidRDefault="006128AC" w:rsidP="0003322A">
      <w:pPr>
        <w:pStyle w:val="ListParagraph"/>
        <w:numPr>
          <w:ilvl w:val="0"/>
          <w:numId w:val="7"/>
        </w:numPr>
        <w:ind w:left="0" w:firstLine="0"/>
        <w:rPr>
          <w:rFonts w:ascii="Arial" w:hAnsi="Arial" w:cs="Arial"/>
          <w:b/>
          <w:bCs/>
          <w:sz w:val="24"/>
          <w:szCs w:val="24"/>
          <w:lang w:val="en-US"/>
        </w:rPr>
      </w:pPr>
      <w:r w:rsidRPr="00460501">
        <w:rPr>
          <w:rFonts w:ascii="Arial" w:hAnsi="Arial" w:cs="Arial"/>
          <w:b/>
          <w:bCs/>
          <w:sz w:val="24"/>
          <w:szCs w:val="24"/>
          <w:lang w:val="en-US"/>
        </w:rPr>
        <w:t>Outline School Organisation work relating to contingency funding</w:t>
      </w:r>
    </w:p>
    <w:p w14:paraId="4CC907DA" w14:textId="3FF36B8D" w:rsidR="006128AC" w:rsidRPr="006128AC" w:rsidRDefault="006128AC" w:rsidP="006128AC">
      <w:pPr>
        <w:rPr>
          <w:lang w:val="en-US"/>
        </w:rPr>
      </w:pPr>
      <w:r w:rsidRPr="006128AC">
        <w:rPr>
          <w:lang w:val="en-US"/>
        </w:rPr>
        <w:t>This report provides a summary of the activities which it is proposed will be undertake</w:t>
      </w:r>
      <w:r w:rsidR="00530CB2">
        <w:rPr>
          <w:lang w:val="en-US"/>
        </w:rPr>
        <w:t>n</w:t>
      </w:r>
      <w:r w:rsidRPr="006128AC">
        <w:rPr>
          <w:lang w:val="en-US"/>
        </w:rPr>
        <w:t xml:space="preserve"> through the engagement of 2 consultants working with </w:t>
      </w:r>
      <w:proofErr w:type="gramStart"/>
      <w:r w:rsidRPr="006128AC">
        <w:rPr>
          <w:lang w:val="en-US"/>
        </w:rPr>
        <w:t>schools</w:t>
      </w:r>
      <w:proofErr w:type="gramEnd"/>
      <w:r w:rsidRPr="006128AC">
        <w:rPr>
          <w:lang w:val="en-US"/>
        </w:rPr>
        <w:t xml:space="preserve"> finance on</w:t>
      </w:r>
      <w:r>
        <w:rPr>
          <w:lang w:val="en-US"/>
        </w:rPr>
        <w:t xml:space="preserve"> a range of activities relation to our School Organisation Strategy</w:t>
      </w:r>
      <w:r w:rsidRPr="006128AC">
        <w:rPr>
          <w:lang w:val="en-US"/>
        </w:rPr>
        <w:t>:</w:t>
      </w:r>
    </w:p>
    <w:p w14:paraId="573F14D4" w14:textId="77777777" w:rsidR="006128AC" w:rsidRPr="006128AC" w:rsidRDefault="006128AC" w:rsidP="006128AC"/>
    <w:tbl>
      <w:tblPr>
        <w:tblW w:w="0" w:type="auto"/>
        <w:tblCellMar>
          <w:left w:w="0" w:type="dxa"/>
          <w:right w:w="0" w:type="dxa"/>
        </w:tblCellMar>
        <w:tblLook w:val="04A0" w:firstRow="1" w:lastRow="0" w:firstColumn="1" w:lastColumn="0" w:noHBand="0" w:noVBand="1"/>
      </w:tblPr>
      <w:tblGrid>
        <w:gridCol w:w="1834"/>
        <w:gridCol w:w="4215"/>
        <w:gridCol w:w="2957"/>
      </w:tblGrid>
      <w:tr w:rsidR="006128AC" w:rsidRPr="0003322A" w14:paraId="3B332359" w14:textId="50C11313" w:rsidTr="006128AC">
        <w:tc>
          <w:tcPr>
            <w:tcW w:w="18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0EF2AB" w14:textId="77777777" w:rsidR="006128AC" w:rsidRPr="006128AC" w:rsidRDefault="006128AC" w:rsidP="006128AC">
            <w:r w:rsidRPr="006128AC">
              <w:t>Summer term</w:t>
            </w:r>
          </w:p>
        </w:tc>
        <w:tc>
          <w:tcPr>
            <w:tcW w:w="42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6EA0C1" w14:textId="4B72261B" w:rsidR="006128AC" w:rsidRPr="006C4A7C" w:rsidRDefault="006C4A7C" w:rsidP="006C4A7C">
            <w:pPr>
              <w:pStyle w:val="ListParagraph"/>
              <w:numPr>
                <w:ilvl w:val="0"/>
                <w:numId w:val="8"/>
              </w:numPr>
              <w:ind w:left="319" w:hanging="283"/>
              <w:rPr>
                <w:rFonts w:ascii="Arial" w:hAnsi="Arial" w:cs="Arial"/>
                <w:sz w:val="24"/>
                <w:szCs w:val="24"/>
              </w:rPr>
            </w:pPr>
            <w:r>
              <w:rPr>
                <w:rFonts w:ascii="Arial" w:hAnsi="Arial" w:cs="Arial"/>
                <w:sz w:val="24"/>
                <w:szCs w:val="24"/>
              </w:rPr>
              <w:t>Supporting with i</w:t>
            </w:r>
            <w:r w:rsidRPr="0003322A">
              <w:rPr>
                <w:rFonts w:ascii="Arial" w:hAnsi="Arial" w:cs="Arial"/>
                <w:sz w:val="24"/>
                <w:szCs w:val="24"/>
              </w:rPr>
              <w:t>denti</w:t>
            </w:r>
            <w:r>
              <w:rPr>
                <w:rFonts w:ascii="Arial" w:hAnsi="Arial" w:cs="Arial"/>
                <w:sz w:val="24"/>
                <w:szCs w:val="24"/>
              </w:rPr>
              <w:t>fication of</w:t>
            </w:r>
            <w:r w:rsidR="006128AC" w:rsidRPr="0003322A">
              <w:rPr>
                <w:rFonts w:ascii="Arial" w:hAnsi="Arial" w:cs="Arial"/>
                <w:sz w:val="24"/>
                <w:szCs w:val="24"/>
              </w:rPr>
              <w:t xml:space="preserve"> schools meeting an ‘at risk trigger’</w:t>
            </w:r>
          </w:p>
          <w:p w14:paraId="400CA960" w14:textId="77777777" w:rsidR="006128AC" w:rsidRDefault="006128AC" w:rsidP="0003322A">
            <w:pPr>
              <w:pStyle w:val="ListParagraph"/>
              <w:numPr>
                <w:ilvl w:val="0"/>
                <w:numId w:val="8"/>
              </w:numPr>
              <w:ind w:left="319" w:hanging="283"/>
              <w:rPr>
                <w:rFonts w:ascii="Arial" w:hAnsi="Arial" w:cs="Arial"/>
                <w:sz w:val="24"/>
                <w:szCs w:val="24"/>
              </w:rPr>
            </w:pPr>
            <w:r w:rsidRPr="0003322A">
              <w:rPr>
                <w:rFonts w:ascii="Arial" w:hAnsi="Arial" w:cs="Arial"/>
                <w:sz w:val="24"/>
                <w:szCs w:val="24"/>
              </w:rPr>
              <w:t>Leading discussions with these schools to support risk, mitigation and sustainability planning in line with our Licensed Deficit Project.</w:t>
            </w:r>
          </w:p>
          <w:p w14:paraId="409CCD38" w14:textId="77777777" w:rsidR="006C4A7C" w:rsidRDefault="006C4A7C" w:rsidP="0003322A">
            <w:pPr>
              <w:pStyle w:val="ListParagraph"/>
              <w:numPr>
                <w:ilvl w:val="0"/>
                <w:numId w:val="8"/>
              </w:numPr>
              <w:ind w:left="319" w:hanging="283"/>
              <w:rPr>
                <w:rFonts w:ascii="Arial" w:hAnsi="Arial" w:cs="Arial"/>
                <w:sz w:val="24"/>
                <w:szCs w:val="24"/>
              </w:rPr>
            </w:pPr>
            <w:r>
              <w:rPr>
                <w:rFonts w:ascii="Arial" w:hAnsi="Arial" w:cs="Arial"/>
                <w:sz w:val="24"/>
                <w:szCs w:val="24"/>
              </w:rPr>
              <w:t>Initiating support to schools requesting LDA 2025-26</w:t>
            </w:r>
          </w:p>
          <w:p w14:paraId="4019DCA9" w14:textId="37C731CF" w:rsidR="006C4A7C" w:rsidRPr="0003322A" w:rsidRDefault="006C4A7C" w:rsidP="0003322A">
            <w:pPr>
              <w:pStyle w:val="ListParagraph"/>
              <w:numPr>
                <w:ilvl w:val="0"/>
                <w:numId w:val="8"/>
              </w:numPr>
              <w:ind w:left="319" w:hanging="283"/>
              <w:rPr>
                <w:rFonts w:ascii="Arial" w:hAnsi="Arial" w:cs="Arial"/>
                <w:sz w:val="24"/>
                <w:szCs w:val="24"/>
              </w:rPr>
            </w:pPr>
            <w:r>
              <w:rPr>
                <w:rFonts w:ascii="Arial" w:hAnsi="Arial" w:cs="Arial"/>
                <w:sz w:val="24"/>
                <w:szCs w:val="24"/>
              </w:rPr>
              <w:t>Continuing to lead on monthly reviews with schools with LDA from 2024-25</w:t>
            </w:r>
          </w:p>
        </w:tc>
        <w:tc>
          <w:tcPr>
            <w:tcW w:w="2957" w:type="dxa"/>
            <w:tcBorders>
              <w:top w:val="single" w:sz="8" w:space="0" w:color="auto"/>
              <w:left w:val="nil"/>
              <w:bottom w:val="single" w:sz="8" w:space="0" w:color="auto"/>
              <w:right w:val="single" w:sz="8" w:space="0" w:color="auto"/>
            </w:tcBorders>
          </w:tcPr>
          <w:p w14:paraId="1A05B205" w14:textId="77777777" w:rsidR="006128AC" w:rsidRPr="0003322A" w:rsidRDefault="006128AC" w:rsidP="006128AC"/>
        </w:tc>
      </w:tr>
      <w:tr w:rsidR="006128AC" w:rsidRPr="0003322A" w14:paraId="1E170A20" w14:textId="678B35CB" w:rsidTr="0003322A">
        <w:tc>
          <w:tcPr>
            <w:tcW w:w="183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3DFF303" w14:textId="77777777" w:rsidR="006128AC" w:rsidRPr="006128AC" w:rsidRDefault="006128AC" w:rsidP="006128AC">
            <w:r w:rsidRPr="006128AC">
              <w:t>Autumn/Spring term</w:t>
            </w:r>
          </w:p>
        </w:tc>
        <w:tc>
          <w:tcPr>
            <w:tcW w:w="4215" w:type="dxa"/>
            <w:tcBorders>
              <w:top w:val="nil"/>
              <w:left w:val="nil"/>
              <w:bottom w:val="single" w:sz="4" w:space="0" w:color="auto"/>
              <w:right w:val="single" w:sz="8" w:space="0" w:color="auto"/>
            </w:tcBorders>
            <w:tcMar>
              <w:top w:w="0" w:type="dxa"/>
              <w:left w:w="108" w:type="dxa"/>
              <w:bottom w:w="0" w:type="dxa"/>
              <w:right w:w="108" w:type="dxa"/>
            </w:tcMar>
          </w:tcPr>
          <w:p w14:paraId="7A3858A8" w14:textId="62DC16EA" w:rsidR="006C4A7C" w:rsidRDefault="006C4A7C" w:rsidP="00460501">
            <w:pPr>
              <w:pStyle w:val="ListParagraph"/>
              <w:numPr>
                <w:ilvl w:val="0"/>
                <w:numId w:val="9"/>
              </w:numPr>
              <w:ind w:left="319" w:hanging="283"/>
              <w:rPr>
                <w:rFonts w:ascii="Arial" w:hAnsi="Arial" w:cs="Arial"/>
                <w:sz w:val="24"/>
                <w:szCs w:val="24"/>
              </w:rPr>
            </w:pPr>
            <w:r>
              <w:rPr>
                <w:rFonts w:ascii="Arial" w:hAnsi="Arial" w:cs="Arial"/>
                <w:sz w:val="24"/>
                <w:szCs w:val="24"/>
              </w:rPr>
              <w:t xml:space="preserve">Leading on review of risk assessments and recovery plans where schools </w:t>
            </w:r>
            <w:r w:rsidR="004A3337">
              <w:rPr>
                <w:rFonts w:ascii="Arial" w:hAnsi="Arial" w:cs="Arial"/>
                <w:sz w:val="24"/>
                <w:szCs w:val="24"/>
              </w:rPr>
              <w:t xml:space="preserve">remain as a </w:t>
            </w:r>
            <w:proofErr w:type="spellStart"/>
            <w:r w:rsidR="00A81A00">
              <w:rPr>
                <w:rFonts w:ascii="Arial" w:hAnsi="Arial" w:cs="Arial"/>
                <w:sz w:val="24"/>
                <w:szCs w:val="24"/>
              </w:rPr>
              <w:t>‘cause</w:t>
            </w:r>
            <w:proofErr w:type="spellEnd"/>
            <w:r w:rsidR="004A3337">
              <w:rPr>
                <w:rFonts w:ascii="Arial" w:hAnsi="Arial" w:cs="Arial"/>
                <w:sz w:val="24"/>
                <w:szCs w:val="24"/>
              </w:rPr>
              <w:t xml:space="preserve"> for concern’</w:t>
            </w:r>
          </w:p>
          <w:p w14:paraId="4395E525" w14:textId="079F02BA" w:rsidR="006128AC" w:rsidRPr="00460501" w:rsidRDefault="006128AC" w:rsidP="00460501">
            <w:pPr>
              <w:pStyle w:val="ListParagraph"/>
              <w:numPr>
                <w:ilvl w:val="0"/>
                <w:numId w:val="9"/>
              </w:numPr>
              <w:ind w:left="319" w:hanging="283"/>
              <w:rPr>
                <w:rFonts w:ascii="Arial" w:hAnsi="Arial" w:cs="Arial"/>
                <w:sz w:val="24"/>
                <w:szCs w:val="24"/>
              </w:rPr>
            </w:pPr>
            <w:r w:rsidRPr="0003322A">
              <w:rPr>
                <w:rFonts w:ascii="Arial" w:hAnsi="Arial" w:cs="Arial"/>
                <w:sz w:val="24"/>
                <w:szCs w:val="24"/>
              </w:rPr>
              <w:t xml:space="preserve">Developing robust Licensed Deficit Applications with a focus on challenging and supporting financial planning and budget assumptions.  </w:t>
            </w:r>
          </w:p>
          <w:p w14:paraId="42E7A9EC" w14:textId="781D6D7B" w:rsidR="006128AC" w:rsidRPr="00460501" w:rsidRDefault="006128AC" w:rsidP="00460501">
            <w:pPr>
              <w:pStyle w:val="ListParagraph"/>
              <w:numPr>
                <w:ilvl w:val="0"/>
                <w:numId w:val="9"/>
              </w:numPr>
              <w:ind w:left="319" w:hanging="283"/>
              <w:rPr>
                <w:rFonts w:ascii="Arial" w:hAnsi="Arial" w:cs="Arial"/>
                <w:sz w:val="24"/>
                <w:szCs w:val="24"/>
              </w:rPr>
            </w:pPr>
            <w:r w:rsidRPr="0003322A">
              <w:rPr>
                <w:rFonts w:ascii="Arial" w:hAnsi="Arial" w:cs="Arial"/>
                <w:sz w:val="24"/>
                <w:szCs w:val="24"/>
              </w:rPr>
              <w:t>Leading monthly reviews with the schools until such a time as the LDA is no longer required.</w:t>
            </w:r>
          </w:p>
          <w:p w14:paraId="492EF3F2" w14:textId="765CC013" w:rsidR="006128AC" w:rsidRPr="00460501" w:rsidRDefault="006128AC" w:rsidP="00460501">
            <w:pPr>
              <w:pStyle w:val="ListParagraph"/>
              <w:numPr>
                <w:ilvl w:val="0"/>
                <w:numId w:val="9"/>
              </w:numPr>
              <w:ind w:left="319" w:hanging="283"/>
              <w:rPr>
                <w:rFonts w:ascii="Arial" w:hAnsi="Arial" w:cs="Arial"/>
                <w:sz w:val="24"/>
                <w:szCs w:val="24"/>
              </w:rPr>
            </w:pPr>
            <w:r w:rsidRPr="0003322A">
              <w:rPr>
                <w:rFonts w:ascii="Arial" w:hAnsi="Arial" w:cs="Arial"/>
                <w:sz w:val="24"/>
                <w:szCs w:val="24"/>
              </w:rPr>
              <w:t>Leading a termly feedback meeting with the LA to discuss schools’ progress.  These measures remain ongoing until such time as the LDA is no longer required.</w:t>
            </w:r>
          </w:p>
          <w:p w14:paraId="348A1B27" w14:textId="1FBE0317" w:rsidR="006128AC" w:rsidRPr="00460501" w:rsidRDefault="006128AC" w:rsidP="00460501">
            <w:pPr>
              <w:pStyle w:val="ListParagraph"/>
              <w:numPr>
                <w:ilvl w:val="0"/>
                <w:numId w:val="9"/>
              </w:numPr>
              <w:ind w:left="319" w:hanging="283"/>
              <w:rPr>
                <w:rFonts w:ascii="Arial" w:hAnsi="Arial" w:cs="Arial"/>
                <w:sz w:val="24"/>
                <w:szCs w:val="24"/>
                <w:lang w:val="en-US"/>
              </w:rPr>
            </w:pPr>
            <w:r w:rsidRPr="0003322A">
              <w:rPr>
                <w:rFonts w:ascii="Arial" w:hAnsi="Arial" w:cs="Arial"/>
                <w:sz w:val="24"/>
                <w:szCs w:val="24"/>
              </w:rPr>
              <w:t xml:space="preserve">Scrutinising </w:t>
            </w:r>
            <w:r w:rsidRPr="0003322A">
              <w:rPr>
                <w:rFonts w:ascii="Arial" w:hAnsi="Arial" w:cs="Arial"/>
                <w:sz w:val="24"/>
                <w:szCs w:val="24"/>
                <w:lang w:val="en-US"/>
              </w:rPr>
              <w:t xml:space="preserve">Year End outcomes and receipt of </w:t>
            </w:r>
            <w:r w:rsidR="00A81A00" w:rsidRPr="0003322A">
              <w:rPr>
                <w:rFonts w:ascii="Arial" w:hAnsi="Arial" w:cs="Arial"/>
                <w:sz w:val="24"/>
                <w:szCs w:val="24"/>
                <w:lang w:val="en-US"/>
              </w:rPr>
              <w:t>three-year</w:t>
            </w:r>
            <w:r w:rsidRPr="0003322A">
              <w:rPr>
                <w:rFonts w:ascii="Arial" w:hAnsi="Arial" w:cs="Arial"/>
                <w:sz w:val="24"/>
                <w:szCs w:val="24"/>
                <w:lang w:val="en-US"/>
              </w:rPr>
              <w:t xml:space="preserve"> plans.  </w:t>
            </w:r>
          </w:p>
          <w:p w14:paraId="5DC9B44E" w14:textId="5FFB396B" w:rsidR="006128AC" w:rsidRPr="00460501" w:rsidRDefault="006128AC" w:rsidP="006128AC">
            <w:pPr>
              <w:pStyle w:val="ListParagraph"/>
              <w:numPr>
                <w:ilvl w:val="0"/>
                <w:numId w:val="9"/>
              </w:numPr>
              <w:ind w:left="319" w:hanging="283"/>
              <w:rPr>
                <w:rFonts w:ascii="Arial" w:hAnsi="Arial" w:cs="Arial"/>
                <w:sz w:val="24"/>
                <w:szCs w:val="24"/>
                <w:lang w:val="en-US"/>
              </w:rPr>
            </w:pPr>
            <w:r w:rsidRPr="0003322A">
              <w:rPr>
                <w:rFonts w:ascii="Arial" w:hAnsi="Arial" w:cs="Arial"/>
                <w:sz w:val="24"/>
                <w:szCs w:val="24"/>
                <w:lang w:val="en-US"/>
              </w:rPr>
              <w:lastRenderedPageBreak/>
              <w:t>Confirming the list of schools requiring LDAs with the LA.</w:t>
            </w:r>
          </w:p>
        </w:tc>
        <w:tc>
          <w:tcPr>
            <w:tcW w:w="2957" w:type="dxa"/>
            <w:tcBorders>
              <w:top w:val="nil"/>
              <w:left w:val="nil"/>
              <w:bottom w:val="single" w:sz="4" w:space="0" w:color="auto"/>
              <w:right w:val="single" w:sz="8" w:space="0" w:color="auto"/>
            </w:tcBorders>
          </w:tcPr>
          <w:p w14:paraId="629B8DA0" w14:textId="77777777" w:rsidR="006128AC" w:rsidRPr="0003322A" w:rsidRDefault="006128AC" w:rsidP="0003322A"/>
        </w:tc>
      </w:tr>
      <w:tr w:rsidR="0003322A" w:rsidRPr="0003322A" w14:paraId="10334075" w14:textId="77777777" w:rsidTr="0003322A">
        <w:tc>
          <w:tcPr>
            <w:tcW w:w="18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82758" w14:textId="48CC3C60" w:rsidR="0003322A" w:rsidRPr="0003322A" w:rsidRDefault="0003322A" w:rsidP="006128AC"/>
        </w:tc>
        <w:tc>
          <w:tcPr>
            <w:tcW w:w="4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A35F8" w14:textId="77777777" w:rsidR="0003322A" w:rsidRDefault="0003322A" w:rsidP="0003322A">
            <w:pPr>
              <w:pStyle w:val="ListParagraph"/>
              <w:numPr>
                <w:ilvl w:val="0"/>
                <w:numId w:val="9"/>
              </w:numPr>
              <w:ind w:left="319" w:hanging="283"/>
              <w:rPr>
                <w:rFonts w:ascii="Arial" w:hAnsi="Arial" w:cs="Arial"/>
                <w:sz w:val="24"/>
                <w:szCs w:val="24"/>
              </w:rPr>
            </w:pPr>
            <w:r w:rsidRPr="006128AC">
              <w:rPr>
                <w:rFonts w:ascii="Arial" w:hAnsi="Arial" w:cs="Arial"/>
                <w:sz w:val="24"/>
                <w:szCs w:val="24"/>
              </w:rPr>
              <w:t>Additionally, the consultants provide advice and support around organisational changes (including federations and amalgamations) and formal partnerships, changes to curriculum, teaching and staffing models and new potential income streams.</w:t>
            </w:r>
          </w:p>
          <w:p w14:paraId="43620195" w14:textId="343F6282" w:rsidR="006C4A7C" w:rsidRDefault="006C4A7C" w:rsidP="0003322A">
            <w:pPr>
              <w:pStyle w:val="ListParagraph"/>
              <w:numPr>
                <w:ilvl w:val="0"/>
                <w:numId w:val="9"/>
              </w:numPr>
              <w:ind w:left="319" w:hanging="283"/>
              <w:rPr>
                <w:rFonts w:ascii="Arial" w:hAnsi="Arial" w:cs="Arial"/>
                <w:sz w:val="24"/>
                <w:szCs w:val="24"/>
              </w:rPr>
            </w:pPr>
            <w:r>
              <w:rPr>
                <w:rFonts w:ascii="Arial" w:hAnsi="Arial" w:cs="Arial"/>
                <w:sz w:val="24"/>
                <w:szCs w:val="24"/>
              </w:rPr>
              <w:t>Attendance and Feedback to termly SOSG meetings</w:t>
            </w:r>
            <w:r w:rsidR="004A3337">
              <w:rPr>
                <w:rFonts w:ascii="Arial" w:hAnsi="Arial" w:cs="Arial"/>
                <w:sz w:val="24"/>
                <w:szCs w:val="24"/>
              </w:rPr>
              <w:t>, including sharing of best practice</w:t>
            </w:r>
          </w:p>
          <w:p w14:paraId="35BA036E" w14:textId="0D0EB0BD" w:rsidR="006C4A7C" w:rsidRPr="0003322A" w:rsidRDefault="006C4A7C" w:rsidP="0003322A">
            <w:pPr>
              <w:pStyle w:val="ListParagraph"/>
              <w:numPr>
                <w:ilvl w:val="0"/>
                <w:numId w:val="9"/>
              </w:numPr>
              <w:ind w:left="319" w:hanging="283"/>
              <w:rPr>
                <w:rFonts w:ascii="Arial" w:hAnsi="Arial" w:cs="Arial"/>
                <w:sz w:val="24"/>
                <w:szCs w:val="24"/>
              </w:rPr>
            </w:pPr>
            <w:r>
              <w:rPr>
                <w:rFonts w:ascii="Arial" w:hAnsi="Arial" w:cs="Arial"/>
                <w:sz w:val="24"/>
                <w:szCs w:val="24"/>
              </w:rPr>
              <w:t>Delivery of workshops and the development of toolkits of support for schools as requested by the SOSG</w:t>
            </w:r>
          </w:p>
        </w:tc>
        <w:tc>
          <w:tcPr>
            <w:tcW w:w="2957" w:type="dxa"/>
            <w:tcBorders>
              <w:top w:val="single" w:sz="4" w:space="0" w:color="auto"/>
              <w:left w:val="single" w:sz="4" w:space="0" w:color="auto"/>
              <w:bottom w:val="single" w:sz="4" w:space="0" w:color="auto"/>
              <w:right w:val="single" w:sz="4" w:space="0" w:color="auto"/>
            </w:tcBorders>
          </w:tcPr>
          <w:p w14:paraId="3C227019" w14:textId="77777777" w:rsidR="0003322A" w:rsidRPr="0003322A" w:rsidRDefault="0003322A" w:rsidP="0003322A"/>
        </w:tc>
      </w:tr>
    </w:tbl>
    <w:p w14:paraId="15FF7842" w14:textId="77777777" w:rsidR="00656E50" w:rsidRDefault="00656E50" w:rsidP="00656E50">
      <w:pPr>
        <w:pStyle w:val="Heading2"/>
      </w:pPr>
      <w:bookmarkStart w:id="0" w:name="_Toc183085052"/>
    </w:p>
    <w:p w14:paraId="34DEF2D7" w14:textId="77777777" w:rsidR="00656E50" w:rsidRDefault="00656E50" w:rsidP="00656E50">
      <w:pPr>
        <w:pStyle w:val="Heading2"/>
      </w:pPr>
    </w:p>
    <w:p w14:paraId="54ACA602" w14:textId="77777777" w:rsidR="00656E50" w:rsidRDefault="00656E50" w:rsidP="00656E50">
      <w:pPr>
        <w:pStyle w:val="Heading2"/>
      </w:pPr>
    </w:p>
    <w:p w14:paraId="2FA3C519" w14:textId="77777777" w:rsidR="00656E50" w:rsidRDefault="00656E50" w:rsidP="00656E50">
      <w:pPr>
        <w:pStyle w:val="Heading2"/>
      </w:pPr>
    </w:p>
    <w:p w14:paraId="2FC2EBF2" w14:textId="77777777" w:rsidR="00656E50" w:rsidRDefault="00656E50" w:rsidP="00656E50">
      <w:pPr>
        <w:pStyle w:val="Heading2"/>
      </w:pPr>
    </w:p>
    <w:p w14:paraId="0032684F" w14:textId="77777777" w:rsidR="00656E50" w:rsidRDefault="00656E50" w:rsidP="00656E50">
      <w:pPr>
        <w:pStyle w:val="Heading2"/>
      </w:pPr>
    </w:p>
    <w:p w14:paraId="0FC98386" w14:textId="77777777" w:rsidR="00656E50" w:rsidRDefault="00656E50" w:rsidP="00656E50">
      <w:pPr>
        <w:pStyle w:val="Heading2"/>
      </w:pPr>
    </w:p>
    <w:p w14:paraId="39B768EE" w14:textId="77777777" w:rsidR="00656E50" w:rsidRDefault="00656E50" w:rsidP="00656E50">
      <w:pPr>
        <w:pStyle w:val="Heading2"/>
      </w:pPr>
    </w:p>
    <w:p w14:paraId="004CB552" w14:textId="77777777" w:rsidR="00656E50" w:rsidRDefault="00656E50" w:rsidP="00656E50">
      <w:pPr>
        <w:pStyle w:val="Heading2"/>
      </w:pPr>
    </w:p>
    <w:p w14:paraId="11E484C2" w14:textId="77777777" w:rsidR="00656E50" w:rsidRDefault="00656E50" w:rsidP="00656E50">
      <w:pPr>
        <w:pStyle w:val="Heading2"/>
      </w:pPr>
    </w:p>
    <w:p w14:paraId="6C8607CE" w14:textId="77777777" w:rsidR="00656E50" w:rsidRDefault="00656E50" w:rsidP="00656E50">
      <w:pPr>
        <w:pStyle w:val="Heading2"/>
      </w:pPr>
    </w:p>
    <w:p w14:paraId="5CDA6E3C" w14:textId="77777777" w:rsidR="00656E50" w:rsidRDefault="00656E50" w:rsidP="00656E50">
      <w:pPr>
        <w:pStyle w:val="Heading2"/>
      </w:pPr>
    </w:p>
    <w:p w14:paraId="72046909" w14:textId="6CE65F14" w:rsidR="00656E50" w:rsidRDefault="00656E50" w:rsidP="00656E50">
      <w:pPr>
        <w:pStyle w:val="Heading2"/>
      </w:pPr>
      <w:r>
        <w:t>Appendices</w:t>
      </w:r>
    </w:p>
    <w:p w14:paraId="2E3E6213" w14:textId="77777777" w:rsidR="00656E50" w:rsidRDefault="00656E50" w:rsidP="00656E50">
      <w:pPr>
        <w:rPr>
          <w:rFonts w:eastAsia="Arial"/>
          <w:noProof/>
          <w:sz w:val="22"/>
          <w:szCs w:val="22"/>
        </w:rPr>
      </w:pPr>
    </w:p>
    <w:p w14:paraId="534556EE" w14:textId="1A6E7F49" w:rsidR="00656E50" w:rsidRDefault="00656E50" w:rsidP="00656E50">
      <w:pPr>
        <w:rPr>
          <w:rFonts w:eastAsia="Arial"/>
          <w:noProof/>
          <w:sz w:val="22"/>
          <w:szCs w:val="22"/>
        </w:rPr>
      </w:pPr>
      <w:r>
        <w:rPr>
          <w:rFonts w:eastAsia="Arial"/>
          <w:noProof/>
          <w:sz w:val="22"/>
          <w:szCs w:val="22"/>
        </w:rPr>
        <w:t>Appendix 1 School Sufficiency and Sustainability Reviews</w:t>
      </w:r>
    </w:p>
    <w:p w14:paraId="13A8244E" w14:textId="76740885" w:rsidR="00656E50" w:rsidRDefault="00656E50" w:rsidP="00656E50">
      <w:pPr>
        <w:rPr>
          <w:rFonts w:eastAsia="Arial"/>
          <w:noProof/>
          <w:sz w:val="22"/>
          <w:szCs w:val="22"/>
        </w:rPr>
      </w:pPr>
      <w:r>
        <w:rPr>
          <w:rFonts w:eastAsia="Arial"/>
          <w:noProof/>
          <w:sz w:val="22"/>
          <w:szCs w:val="22"/>
        </w:rPr>
        <w:t>Appendix 2 Licensed Deficit Project</w:t>
      </w:r>
    </w:p>
    <w:p w14:paraId="2A454AA5" w14:textId="2FE53CF1" w:rsidR="00656E50" w:rsidRPr="00365F8C" w:rsidRDefault="00656E50" w:rsidP="00656E50">
      <w:pPr>
        <w:rPr>
          <w:rFonts w:eastAsia="Arial"/>
          <w:noProof/>
          <w:sz w:val="22"/>
          <w:szCs w:val="22"/>
        </w:rPr>
      </w:pPr>
      <w:r>
        <w:rPr>
          <w:rFonts w:eastAsia="Arial"/>
          <w:noProof/>
          <w:sz w:val="22"/>
          <w:szCs w:val="22"/>
        </w:rPr>
        <w:t>Appendix 3 Consultant Projected Costs</w:t>
      </w:r>
    </w:p>
    <w:p w14:paraId="4021F6C3" w14:textId="3F4D6A51" w:rsidR="00656E50" w:rsidRDefault="00656E50">
      <w:pPr>
        <w:spacing w:line="259" w:lineRule="auto"/>
        <w:rPr>
          <w:b/>
          <w:bCs/>
          <w:color w:val="0062AE"/>
          <w:sz w:val="36"/>
          <w:szCs w:val="36"/>
        </w:rPr>
      </w:pPr>
      <w:r>
        <w:br w:type="page"/>
      </w:r>
    </w:p>
    <w:p w14:paraId="17F47F1E" w14:textId="77777777" w:rsidR="00656E50" w:rsidRDefault="00656E50" w:rsidP="00BE6FB3">
      <w:pPr>
        <w:pStyle w:val="Heading1"/>
      </w:pPr>
    </w:p>
    <w:p w14:paraId="2C7A64EF" w14:textId="77777777" w:rsidR="00656E50" w:rsidRDefault="00656E50" w:rsidP="00BE6FB3">
      <w:pPr>
        <w:pStyle w:val="Heading1"/>
      </w:pPr>
      <w:r>
        <w:t>Appendix 1</w:t>
      </w:r>
    </w:p>
    <w:p w14:paraId="4B3C0891" w14:textId="085FB336" w:rsidR="005E57A5" w:rsidRDefault="00B72E8D" w:rsidP="00656E50">
      <w:pPr>
        <w:pStyle w:val="Heading1"/>
      </w:pPr>
      <w:r>
        <w:t>School Sufficiency &amp; Sustainability Reviews</w:t>
      </w:r>
      <w:bookmarkEnd w:id="0"/>
    </w:p>
    <w:p w14:paraId="61D2AA7F" w14:textId="5A6AC0EF" w:rsidR="00155890" w:rsidRDefault="003F13B5" w:rsidP="00656E50">
      <w:pPr>
        <w:pStyle w:val="Heading2"/>
      </w:pPr>
      <w:bookmarkStart w:id="1" w:name="_Toc183085053"/>
      <w:r>
        <w:t>Identifying ‘at risk’ schools</w:t>
      </w:r>
      <w:bookmarkEnd w:id="1"/>
    </w:p>
    <w:p w14:paraId="43BA80C1" w14:textId="77777777" w:rsidR="00656E50" w:rsidRPr="00656E50" w:rsidRDefault="00656E50" w:rsidP="00656E50"/>
    <w:tbl>
      <w:tblPr>
        <w:tblStyle w:val="TableGrid"/>
        <w:tblW w:w="10784" w:type="dxa"/>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4"/>
      </w:tblGrid>
      <w:tr w:rsidR="00346D18" w:rsidRPr="00367C6B" w14:paraId="1138F42D" w14:textId="77777777" w:rsidTr="00346D18">
        <w:tc>
          <w:tcPr>
            <w:tcW w:w="10784" w:type="dxa"/>
          </w:tcPr>
          <w:p w14:paraId="7B059542" w14:textId="4A3DE520" w:rsidR="00381437" w:rsidRDefault="00381437" w:rsidP="003F13B5">
            <w:pPr>
              <w:ind w:right="601"/>
              <w:rPr>
                <w:rFonts w:eastAsia="Arial"/>
                <w:noProof/>
                <w:sz w:val="22"/>
                <w:szCs w:val="22"/>
              </w:rPr>
            </w:pPr>
            <w:r w:rsidRPr="00EC6060">
              <w:rPr>
                <w:rFonts w:eastAsia="Arial"/>
                <w:noProof/>
                <w:sz w:val="22"/>
                <w:szCs w:val="22"/>
              </w:rPr>
              <w:t>The LA recognises that volatility in the population can place new strains on a school, despite governors working hard to ameliorate these.</w:t>
            </w:r>
            <w:r w:rsidR="00155890" w:rsidRPr="00EC6060">
              <w:rPr>
                <w:rFonts w:eastAsia="Arial"/>
                <w:noProof/>
                <w:sz w:val="22"/>
                <w:szCs w:val="22"/>
              </w:rPr>
              <w:t xml:space="preserve"> T</w:t>
            </w:r>
            <w:r w:rsidRPr="00EC6060">
              <w:rPr>
                <w:rFonts w:eastAsia="Arial"/>
                <w:noProof/>
                <w:sz w:val="22"/>
                <w:szCs w:val="22"/>
              </w:rPr>
              <w:t xml:space="preserve">he LA has committed to </w:t>
            </w:r>
            <w:r w:rsidR="003F13B5" w:rsidRPr="00EC6060">
              <w:rPr>
                <w:rFonts w:eastAsia="Arial"/>
                <w:noProof/>
                <w:sz w:val="22"/>
                <w:szCs w:val="22"/>
              </w:rPr>
              <w:t>conduct</w:t>
            </w:r>
            <w:r w:rsidR="003F13B5">
              <w:rPr>
                <w:rFonts w:eastAsia="Arial"/>
                <w:noProof/>
                <w:sz w:val="22"/>
                <w:szCs w:val="22"/>
              </w:rPr>
              <w:t>ing</w:t>
            </w:r>
            <w:r w:rsidR="003F13B5" w:rsidRPr="00EC6060">
              <w:rPr>
                <w:rFonts w:eastAsia="Arial"/>
                <w:noProof/>
                <w:sz w:val="22"/>
                <w:szCs w:val="22"/>
              </w:rPr>
              <w:t xml:space="preserve"> an annual review of school suffciency and sustainability</w:t>
            </w:r>
            <w:r w:rsidR="003F13B5">
              <w:rPr>
                <w:rFonts w:eastAsia="Arial"/>
                <w:noProof/>
                <w:sz w:val="22"/>
                <w:szCs w:val="22"/>
              </w:rPr>
              <w:t xml:space="preserve"> to</w:t>
            </w:r>
            <w:r w:rsidR="003F13B5" w:rsidRPr="00EC6060">
              <w:rPr>
                <w:rFonts w:eastAsia="Arial"/>
                <w:noProof/>
                <w:sz w:val="22"/>
                <w:szCs w:val="22"/>
              </w:rPr>
              <w:t xml:space="preserve"> identify which schools meet any of the pupil outcomes, pupil place, or financial instability triggers set out</w:t>
            </w:r>
            <w:r w:rsidR="003F13B5">
              <w:rPr>
                <w:rFonts w:eastAsia="Arial"/>
                <w:noProof/>
                <w:sz w:val="22"/>
                <w:szCs w:val="22"/>
              </w:rPr>
              <w:t xml:space="preserve"> below. This leads to </w:t>
            </w:r>
            <w:r w:rsidRPr="00EC6060">
              <w:rPr>
                <w:rFonts w:eastAsia="Arial"/>
                <w:noProof/>
                <w:sz w:val="22"/>
                <w:szCs w:val="22"/>
              </w:rPr>
              <w:t>a risk management discussion with the Chair of Governors and Headteacher for any school where any of the following are happening:</w:t>
            </w:r>
          </w:p>
          <w:p w14:paraId="79B4EE57" w14:textId="77777777" w:rsidR="003F13B5" w:rsidRPr="00EC6060" w:rsidRDefault="003F13B5" w:rsidP="003F13B5">
            <w:pPr>
              <w:ind w:right="601"/>
              <w:rPr>
                <w:rFonts w:eastAsia="Arial"/>
                <w:noProof/>
                <w:sz w:val="22"/>
                <w:szCs w:val="22"/>
              </w:rPr>
            </w:pPr>
          </w:p>
          <w:p w14:paraId="203BEE1A" w14:textId="0D9A2B5A" w:rsidR="00381437" w:rsidRPr="00EC6060" w:rsidRDefault="00381437" w:rsidP="00656E50">
            <w:pPr>
              <w:pStyle w:val="ListParagraph"/>
              <w:numPr>
                <w:ilvl w:val="0"/>
                <w:numId w:val="3"/>
              </w:numPr>
              <w:spacing w:after="0" w:line="240" w:lineRule="auto"/>
              <w:ind w:right="601"/>
              <w:rPr>
                <w:rFonts w:ascii="Arial" w:eastAsia="Arial" w:hAnsi="Arial" w:cs="Arial"/>
                <w:noProof/>
              </w:rPr>
            </w:pPr>
            <w:r w:rsidRPr="00EC6060">
              <w:rPr>
                <w:rFonts w:ascii="Arial" w:eastAsia="Arial" w:hAnsi="Arial" w:cs="Arial"/>
                <w:noProof/>
              </w:rPr>
              <w:t>the quality of education is falling.</w:t>
            </w:r>
          </w:p>
          <w:p w14:paraId="362A2F4A" w14:textId="3DD7746C" w:rsidR="00381437" w:rsidRPr="00EC6060" w:rsidRDefault="00381437" w:rsidP="00656E50">
            <w:pPr>
              <w:pStyle w:val="ListParagraph"/>
              <w:numPr>
                <w:ilvl w:val="0"/>
                <w:numId w:val="3"/>
              </w:numPr>
              <w:spacing w:after="0" w:line="240" w:lineRule="auto"/>
              <w:ind w:right="601"/>
              <w:rPr>
                <w:rFonts w:ascii="Arial" w:eastAsia="Arial" w:hAnsi="Arial" w:cs="Arial"/>
                <w:noProof/>
              </w:rPr>
            </w:pPr>
            <w:r w:rsidRPr="00EC6060">
              <w:rPr>
                <w:rFonts w:ascii="Arial" w:eastAsia="Arial" w:hAnsi="Arial" w:cs="Arial"/>
                <w:noProof/>
              </w:rPr>
              <w:t>In year income does not meet expenditure and school surpluses are reducing and will “run out” within the next three years, with no matching organisational change plan (or have already).</w:t>
            </w:r>
          </w:p>
          <w:p w14:paraId="0B650D8A" w14:textId="6F02744E" w:rsidR="00381437" w:rsidRPr="00EC6060" w:rsidRDefault="00381437" w:rsidP="00656E50">
            <w:pPr>
              <w:pStyle w:val="ListParagraph"/>
              <w:numPr>
                <w:ilvl w:val="0"/>
                <w:numId w:val="3"/>
              </w:numPr>
              <w:spacing w:after="0" w:line="240" w:lineRule="auto"/>
              <w:ind w:right="601"/>
              <w:rPr>
                <w:rFonts w:ascii="Arial" w:eastAsia="Arial" w:hAnsi="Arial" w:cs="Arial"/>
                <w:noProof/>
              </w:rPr>
            </w:pPr>
            <w:r w:rsidRPr="00EC6060">
              <w:rPr>
                <w:rFonts w:ascii="Arial" w:eastAsia="Arial" w:hAnsi="Arial" w:cs="Arial"/>
                <w:noProof/>
              </w:rPr>
              <w:t>More than two year groups have 15% + vacancies, or more than 35 vacancies in a 1 FE school.</w:t>
            </w:r>
          </w:p>
          <w:p w14:paraId="3EC530F0" w14:textId="1EC8268B" w:rsidR="00381437" w:rsidRPr="00EC6060" w:rsidRDefault="00381437" w:rsidP="00656E50">
            <w:pPr>
              <w:pStyle w:val="ListParagraph"/>
              <w:numPr>
                <w:ilvl w:val="0"/>
                <w:numId w:val="3"/>
              </w:numPr>
              <w:spacing w:after="0" w:line="240" w:lineRule="auto"/>
              <w:ind w:right="601"/>
              <w:rPr>
                <w:rFonts w:ascii="Arial" w:eastAsia="Arial" w:hAnsi="Arial" w:cs="Arial"/>
                <w:noProof/>
              </w:rPr>
            </w:pPr>
            <w:r w:rsidRPr="00EC6060">
              <w:rPr>
                <w:rFonts w:ascii="Arial" w:eastAsia="Arial" w:hAnsi="Arial" w:cs="Arial"/>
                <w:noProof/>
              </w:rPr>
              <w:t>a new school is planned in the immediate area.</w:t>
            </w:r>
          </w:p>
          <w:p w14:paraId="2DF33DCE" w14:textId="3961A5D8" w:rsidR="00381437" w:rsidRPr="00EC6060" w:rsidRDefault="00381437" w:rsidP="00656E50">
            <w:pPr>
              <w:pStyle w:val="ListParagraph"/>
              <w:numPr>
                <w:ilvl w:val="0"/>
                <w:numId w:val="3"/>
              </w:numPr>
              <w:spacing w:after="0" w:line="240" w:lineRule="auto"/>
              <w:ind w:right="601"/>
              <w:rPr>
                <w:rFonts w:ascii="Arial" w:eastAsia="Arial" w:hAnsi="Arial" w:cs="Arial"/>
                <w:noProof/>
              </w:rPr>
            </w:pPr>
            <w:r w:rsidRPr="00EC6060">
              <w:rPr>
                <w:rFonts w:ascii="Arial" w:eastAsia="Arial" w:hAnsi="Arial" w:cs="Arial"/>
                <w:noProof/>
              </w:rPr>
              <w:t>the Headteacher is considering retiring or moving.</w:t>
            </w:r>
          </w:p>
          <w:p w14:paraId="6796E0C6" w14:textId="71BBBD13" w:rsidR="00381437" w:rsidRPr="00EC6060" w:rsidRDefault="00381437" w:rsidP="00656E50">
            <w:pPr>
              <w:pStyle w:val="ListParagraph"/>
              <w:numPr>
                <w:ilvl w:val="0"/>
                <w:numId w:val="3"/>
              </w:numPr>
              <w:spacing w:after="0" w:line="240" w:lineRule="auto"/>
              <w:ind w:right="601"/>
              <w:rPr>
                <w:rFonts w:ascii="Arial" w:eastAsia="Arial" w:hAnsi="Arial" w:cs="Arial"/>
                <w:noProof/>
              </w:rPr>
            </w:pPr>
            <w:r w:rsidRPr="00EC6060">
              <w:rPr>
                <w:rFonts w:ascii="Arial" w:eastAsia="Arial" w:hAnsi="Arial" w:cs="Arial"/>
                <w:noProof/>
              </w:rPr>
              <w:t>a new school building or area development is proposed.</w:t>
            </w:r>
          </w:p>
          <w:p w14:paraId="2719C7A8" w14:textId="77777777" w:rsidR="00381437" w:rsidRPr="00EC6060" w:rsidRDefault="00381437" w:rsidP="00656E50">
            <w:pPr>
              <w:pStyle w:val="ListParagraph"/>
              <w:numPr>
                <w:ilvl w:val="0"/>
                <w:numId w:val="3"/>
              </w:numPr>
              <w:spacing w:after="0" w:line="240" w:lineRule="auto"/>
              <w:ind w:right="601"/>
              <w:rPr>
                <w:rFonts w:ascii="Arial" w:eastAsia="Arial" w:hAnsi="Arial" w:cs="Arial"/>
                <w:noProof/>
                <w:lang w:eastAsia="en-GB"/>
              </w:rPr>
            </w:pPr>
            <w:r w:rsidRPr="00EC6060">
              <w:rPr>
                <w:rFonts w:ascii="Arial" w:eastAsia="Arial" w:hAnsi="Arial" w:cs="Arial"/>
                <w:noProof/>
              </w:rPr>
              <w:t>payment for a Licensed Deficit repayment plan is not met or an extension is being sought.</w:t>
            </w:r>
          </w:p>
          <w:p w14:paraId="25F99CFC" w14:textId="77777777" w:rsidR="00155890" w:rsidRDefault="00155890" w:rsidP="00381437">
            <w:pPr>
              <w:ind w:right="601"/>
              <w:rPr>
                <w:rFonts w:ascii="Century Gothic" w:eastAsia="Arial" w:hAnsi="Century Gothic"/>
                <w:noProof/>
              </w:rPr>
            </w:pPr>
          </w:p>
          <w:p w14:paraId="7CACD894" w14:textId="22892C00" w:rsidR="003F13B5" w:rsidRDefault="003F13B5" w:rsidP="003F13B5">
            <w:pPr>
              <w:pStyle w:val="Heading2"/>
              <w:ind w:firstLine="192"/>
            </w:pPr>
            <w:bookmarkStart w:id="2" w:name="_Toc183085054"/>
            <w:r>
              <w:t>Sustainability review process</w:t>
            </w:r>
            <w:r w:rsidR="0013267E">
              <w:t xml:space="preserve"> summary</w:t>
            </w:r>
            <w:bookmarkEnd w:id="2"/>
          </w:p>
          <w:p w14:paraId="32B02771" w14:textId="77777777" w:rsidR="003F13B5" w:rsidRDefault="003F13B5" w:rsidP="003F13B5"/>
          <w:p w14:paraId="7C1C9655" w14:textId="77777777" w:rsidR="00155890" w:rsidRDefault="00155890" w:rsidP="00381437">
            <w:pPr>
              <w:ind w:right="601"/>
              <w:rPr>
                <w:rFonts w:ascii="Century Gothic" w:eastAsia="Arial" w:hAnsi="Century Gothic"/>
                <w:noProof/>
              </w:rPr>
            </w:pPr>
          </w:p>
          <w:p w14:paraId="0A08DDFD" w14:textId="4F87A922" w:rsidR="00155890" w:rsidRPr="00381437" w:rsidRDefault="00477E82" w:rsidP="00381437">
            <w:pPr>
              <w:ind w:right="601"/>
              <w:rPr>
                <w:rFonts w:ascii="Century Gothic" w:eastAsia="Arial" w:hAnsi="Century Gothic"/>
                <w:noProof/>
              </w:rPr>
            </w:pPr>
            <w:r>
              <w:rPr>
                <w:noProof/>
              </w:rPr>
              <w:drawing>
                <wp:inline distT="0" distB="0" distL="0" distR="0" wp14:anchorId="227056AB" wp14:editId="3C087091">
                  <wp:extent cx="5114925" cy="4248150"/>
                  <wp:effectExtent l="0" t="0" r="9525" b="9525"/>
                  <wp:docPr id="1264946508" name="Picture 1" descr="Sustainability review proces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946508" name="Picture 1" descr="Sustainability review process summary"/>
                          <pic:cNvPicPr/>
                        </pic:nvPicPr>
                        <pic:blipFill>
                          <a:blip r:embed="rId18"/>
                          <a:stretch>
                            <a:fillRect/>
                          </a:stretch>
                        </pic:blipFill>
                        <pic:spPr>
                          <a:xfrm>
                            <a:off x="0" y="0"/>
                            <a:ext cx="5114925" cy="4248150"/>
                          </a:xfrm>
                          <a:prstGeom prst="rect">
                            <a:avLst/>
                          </a:prstGeom>
                        </pic:spPr>
                      </pic:pic>
                    </a:graphicData>
                  </a:graphic>
                </wp:inline>
              </w:drawing>
            </w:r>
          </w:p>
        </w:tc>
      </w:tr>
    </w:tbl>
    <w:p w14:paraId="0E400B1E" w14:textId="3D830A23" w:rsidR="00656E50" w:rsidRDefault="00656E50">
      <w:bookmarkStart w:id="3" w:name="_Toc183085055"/>
    </w:p>
    <w:tbl>
      <w:tblPr>
        <w:tblStyle w:val="TableGrid"/>
        <w:tblW w:w="10784" w:type="dxa"/>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4"/>
      </w:tblGrid>
      <w:tr w:rsidR="00E9383B" w:rsidRPr="007D40BE" w14:paraId="65419E83" w14:textId="77777777" w:rsidTr="00381437">
        <w:tc>
          <w:tcPr>
            <w:tcW w:w="10784" w:type="dxa"/>
          </w:tcPr>
          <w:p w14:paraId="7B00E010" w14:textId="77777777" w:rsidR="00656E50" w:rsidRDefault="00656E50" w:rsidP="00B72E8D">
            <w:pPr>
              <w:pStyle w:val="Heading1"/>
            </w:pPr>
            <w:r>
              <w:t>Appendix 2</w:t>
            </w:r>
          </w:p>
          <w:p w14:paraId="0513458B" w14:textId="5B20238E" w:rsidR="00B72E8D" w:rsidRPr="00BE6FB3" w:rsidRDefault="003F13B5" w:rsidP="00B72E8D">
            <w:pPr>
              <w:pStyle w:val="Heading1"/>
            </w:pPr>
            <w:r>
              <w:t>Licensed Deficit Project</w:t>
            </w:r>
            <w:bookmarkEnd w:id="3"/>
          </w:p>
          <w:p w14:paraId="4F5FA9AE" w14:textId="77777777" w:rsidR="00B72E8D" w:rsidRDefault="00B72E8D" w:rsidP="00B72E8D">
            <w:pPr>
              <w:pStyle w:val="Heading2"/>
            </w:pPr>
          </w:p>
          <w:p w14:paraId="23FD5D4B" w14:textId="4B2EBC8F" w:rsidR="00B72E8D" w:rsidRDefault="003F13B5" w:rsidP="00B72E8D">
            <w:pPr>
              <w:pStyle w:val="Heading2"/>
            </w:pPr>
            <w:bookmarkStart w:id="4" w:name="_Toc183085056"/>
            <w:r>
              <w:t>DfE Requirements</w:t>
            </w:r>
            <w:bookmarkEnd w:id="4"/>
          </w:p>
          <w:p w14:paraId="5CD7FE3F" w14:textId="7C67D715" w:rsidR="00155890" w:rsidRPr="007D40BE" w:rsidRDefault="00155890" w:rsidP="00157974">
            <w:pPr>
              <w:spacing w:after="180"/>
              <w:ind w:right="599"/>
              <w:rPr>
                <w:rFonts w:ascii="Century Gothic" w:eastAsia="Arial" w:hAnsi="Century Gothic"/>
                <w:noProof/>
              </w:rPr>
            </w:pPr>
          </w:p>
        </w:tc>
      </w:tr>
      <w:tr w:rsidR="00E9383B" w14:paraId="7E3EBC83" w14:textId="77777777" w:rsidTr="00381437">
        <w:tc>
          <w:tcPr>
            <w:tcW w:w="10784" w:type="dxa"/>
          </w:tcPr>
          <w:p w14:paraId="65CABAC7" w14:textId="0369BADE" w:rsidR="00EC6060" w:rsidRPr="00EC6060" w:rsidRDefault="00EC6060" w:rsidP="00EC6060">
            <w:pPr>
              <w:spacing w:after="240"/>
              <w:ind w:right="601"/>
              <w:rPr>
                <w:rFonts w:eastAsia="Arial"/>
                <w:noProof/>
                <w:sz w:val="22"/>
                <w:szCs w:val="22"/>
              </w:rPr>
            </w:pPr>
            <w:r w:rsidRPr="00EC6060">
              <w:rPr>
                <w:rFonts w:eastAsia="Arial"/>
                <w:noProof/>
                <w:sz w:val="22"/>
                <w:szCs w:val="22"/>
                <w:lang w:val="en-US"/>
              </w:rPr>
              <w:t>The DFE sets the following requirements for schools</w:t>
            </w:r>
            <w:r w:rsidR="0013267E">
              <w:rPr>
                <w:rFonts w:eastAsia="Arial"/>
                <w:noProof/>
                <w:sz w:val="22"/>
                <w:szCs w:val="22"/>
                <w:lang w:val="en-US"/>
              </w:rPr>
              <w:t>:</w:t>
            </w:r>
          </w:p>
          <w:p w14:paraId="2D6C4E78" w14:textId="60909093" w:rsidR="00EC6060" w:rsidRPr="00EC6060" w:rsidRDefault="0013267E" w:rsidP="00EC6060">
            <w:pPr>
              <w:spacing w:after="240"/>
              <w:ind w:right="601"/>
              <w:rPr>
                <w:rFonts w:eastAsia="Arial"/>
                <w:noProof/>
                <w:sz w:val="22"/>
                <w:szCs w:val="22"/>
              </w:rPr>
            </w:pPr>
            <w:r w:rsidRPr="00365F8C">
              <w:rPr>
                <w:rFonts w:eastAsia="Arial"/>
                <w:noProof/>
                <w:sz w:val="22"/>
                <w:szCs w:val="22"/>
                <w:lang w:val="en-US"/>
              </w:rPr>
              <w:t xml:space="preserve">All LA schools (across the country) are required to submit 3 year budget plans to the </w:t>
            </w:r>
            <w:r>
              <w:rPr>
                <w:rFonts w:eastAsia="Arial"/>
                <w:noProof/>
                <w:sz w:val="22"/>
                <w:szCs w:val="22"/>
                <w:lang w:val="en-US"/>
              </w:rPr>
              <w:t>LA</w:t>
            </w:r>
            <w:r w:rsidRPr="00365F8C">
              <w:rPr>
                <w:rFonts w:eastAsia="Arial"/>
                <w:noProof/>
                <w:sz w:val="22"/>
                <w:szCs w:val="22"/>
                <w:lang w:val="en-US"/>
              </w:rPr>
              <w:t xml:space="preserve"> by May 31</w:t>
            </w:r>
            <w:r w:rsidRPr="00B06C0A">
              <w:rPr>
                <w:rFonts w:eastAsia="Arial"/>
                <w:noProof/>
                <w:sz w:val="22"/>
                <w:szCs w:val="22"/>
                <w:vertAlign w:val="superscript"/>
                <w:lang w:val="en-US"/>
              </w:rPr>
              <w:t>st</w:t>
            </w:r>
            <w:r>
              <w:rPr>
                <w:rFonts w:eastAsia="Arial"/>
                <w:noProof/>
                <w:sz w:val="22"/>
                <w:szCs w:val="22"/>
              </w:rPr>
              <w:t>. W</w:t>
            </w:r>
            <w:r w:rsidRPr="00365F8C">
              <w:rPr>
                <w:rFonts w:eastAsia="Arial"/>
                <w:noProof/>
                <w:sz w:val="22"/>
                <w:szCs w:val="22"/>
              </w:rPr>
              <w:t>here the budget out-turn (taking into account revenue reserve) is negative</w:t>
            </w:r>
            <w:r>
              <w:rPr>
                <w:rFonts w:eastAsia="Arial"/>
                <w:noProof/>
                <w:sz w:val="22"/>
                <w:szCs w:val="22"/>
              </w:rPr>
              <w:t>, s</w:t>
            </w:r>
            <w:r w:rsidR="00EC6060" w:rsidRPr="00EC6060">
              <w:rPr>
                <w:rFonts w:eastAsia="Arial"/>
                <w:noProof/>
                <w:sz w:val="22"/>
                <w:szCs w:val="22"/>
              </w:rPr>
              <w:t xml:space="preserve">chools must </w:t>
            </w:r>
            <w:r>
              <w:rPr>
                <w:rFonts w:eastAsia="Arial"/>
                <w:noProof/>
                <w:sz w:val="22"/>
                <w:szCs w:val="22"/>
              </w:rPr>
              <w:t xml:space="preserve">also </w:t>
            </w:r>
            <w:r w:rsidR="00EC6060" w:rsidRPr="00EC6060">
              <w:rPr>
                <w:rFonts w:eastAsia="Arial"/>
                <w:noProof/>
                <w:sz w:val="22"/>
                <w:szCs w:val="22"/>
              </w:rPr>
              <w:t xml:space="preserve">submit a recovery plan to the </w:t>
            </w:r>
            <w:r>
              <w:rPr>
                <w:rFonts w:eastAsia="Arial"/>
                <w:noProof/>
                <w:sz w:val="22"/>
                <w:szCs w:val="22"/>
              </w:rPr>
              <w:t>LA</w:t>
            </w:r>
            <w:r w:rsidR="00EC6060" w:rsidRPr="00EC6060">
              <w:rPr>
                <w:rFonts w:eastAsia="Arial"/>
                <w:noProof/>
                <w:sz w:val="22"/>
                <w:szCs w:val="22"/>
              </w:rPr>
              <w:t xml:space="preserve"> when their revenue deficit rises above 5%</w:t>
            </w:r>
            <w:r>
              <w:rPr>
                <w:rFonts w:eastAsia="Arial"/>
                <w:noProof/>
                <w:sz w:val="22"/>
                <w:szCs w:val="22"/>
              </w:rPr>
              <w:t>. LAs</w:t>
            </w:r>
            <w:r w:rsidR="00EC6060" w:rsidRPr="00EC6060">
              <w:rPr>
                <w:rFonts w:eastAsia="Arial"/>
                <w:noProof/>
                <w:sz w:val="22"/>
                <w:szCs w:val="22"/>
              </w:rPr>
              <w:t xml:space="preserve"> may set a lower threshold than 5% for the submission of a recovery plan if they wish. </w:t>
            </w:r>
            <w:r w:rsidRPr="00365F8C">
              <w:rPr>
                <w:rFonts w:eastAsia="Arial"/>
                <w:noProof/>
                <w:sz w:val="22"/>
                <w:szCs w:val="22"/>
              </w:rPr>
              <w:t>Tower Hamlets policy uses £10,000 or 4 %</w:t>
            </w:r>
            <w:r>
              <w:rPr>
                <w:rFonts w:eastAsia="Arial"/>
                <w:noProof/>
                <w:sz w:val="22"/>
                <w:szCs w:val="22"/>
              </w:rPr>
              <w:t xml:space="preserve">, </w:t>
            </w:r>
            <w:r w:rsidRPr="00365F8C">
              <w:rPr>
                <w:rFonts w:eastAsia="Arial"/>
                <w:noProof/>
                <w:sz w:val="22"/>
                <w:szCs w:val="22"/>
              </w:rPr>
              <w:t>cash flow challenges and require</w:t>
            </w:r>
            <w:r>
              <w:rPr>
                <w:rFonts w:eastAsia="Arial"/>
                <w:noProof/>
                <w:sz w:val="22"/>
                <w:szCs w:val="22"/>
              </w:rPr>
              <w:t>ment for</w:t>
            </w:r>
            <w:r w:rsidRPr="00365F8C">
              <w:rPr>
                <w:rFonts w:eastAsia="Arial"/>
                <w:noProof/>
                <w:sz w:val="22"/>
                <w:szCs w:val="22"/>
              </w:rPr>
              <w:t xml:space="preserve"> cash loans</w:t>
            </w:r>
            <w:r>
              <w:rPr>
                <w:rFonts w:eastAsia="Arial"/>
                <w:noProof/>
                <w:sz w:val="22"/>
                <w:szCs w:val="22"/>
              </w:rPr>
              <w:t>, p</w:t>
            </w:r>
            <w:r w:rsidRPr="00365F8C">
              <w:rPr>
                <w:rFonts w:eastAsia="Arial"/>
                <w:noProof/>
                <w:sz w:val="22"/>
                <w:szCs w:val="22"/>
              </w:rPr>
              <w:t>ossible fraud, theft or other financial regularities as the trigger level</w:t>
            </w:r>
            <w:r>
              <w:rPr>
                <w:rFonts w:eastAsia="Arial"/>
                <w:noProof/>
                <w:sz w:val="22"/>
                <w:szCs w:val="22"/>
              </w:rPr>
              <w:t>s</w:t>
            </w:r>
            <w:r w:rsidRPr="00365F8C">
              <w:rPr>
                <w:rFonts w:eastAsia="Arial"/>
                <w:noProof/>
                <w:sz w:val="22"/>
                <w:szCs w:val="22"/>
              </w:rPr>
              <w:t xml:space="preserve"> for informing the LA.</w:t>
            </w:r>
          </w:p>
          <w:p w14:paraId="2F0B13D5" w14:textId="538B0F14" w:rsidR="00EC6060" w:rsidRDefault="00EC6060" w:rsidP="00EC6060">
            <w:pPr>
              <w:spacing w:after="240"/>
              <w:ind w:right="601"/>
              <w:rPr>
                <w:rFonts w:eastAsia="Arial"/>
                <w:noProof/>
                <w:sz w:val="22"/>
                <w:szCs w:val="22"/>
              </w:rPr>
            </w:pPr>
            <w:r w:rsidRPr="00EC6060">
              <w:rPr>
                <w:rFonts w:eastAsia="Arial"/>
                <w:noProof/>
                <w:sz w:val="22"/>
                <w:szCs w:val="22"/>
              </w:rPr>
              <w:t xml:space="preserve">The Licensed Deficit Project </w:t>
            </w:r>
            <w:r w:rsidR="007D6F01">
              <w:rPr>
                <w:rFonts w:eastAsia="Arial"/>
                <w:noProof/>
                <w:sz w:val="22"/>
                <w:szCs w:val="22"/>
              </w:rPr>
              <w:t xml:space="preserve">(LDP) </w:t>
            </w:r>
            <w:r w:rsidRPr="00EC6060">
              <w:rPr>
                <w:rFonts w:eastAsia="Arial"/>
                <w:noProof/>
                <w:sz w:val="22"/>
                <w:szCs w:val="22"/>
              </w:rPr>
              <w:t>has been set up to support schools that may be in this position, and to establish financial assurance for any Licensed Deficit Applications, and that budget processes are robust in line with Schools Financial Value Standards (SFVS).</w:t>
            </w:r>
          </w:p>
          <w:p w14:paraId="0B2D0046" w14:textId="77777777" w:rsidR="00B8447D" w:rsidRPr="00B8447D" w:rsidRDefault="00B8447D" w:rsidP="00B8447D"/>
          <w:p w14:paraId="345D66D5" w14:textId="531C369C" w:rsidR="00B72E8D" w:rsidRDefault="00B72E8D" w:rsidP="00381437">
            <w:pPr>
              <w:spacing w:after="240"/>
              <w:ind w:right="601"/>
              <w:rPr>
                <w:rFonts w:ascii="Century Gothic" w:eastAsia="Arial" w:hAnsi="Century Gothic"/>
                <w:noProof/>
              </w:rPr>
            </w:pPr>
          </w:p>
        </w:tc>
      </w:tr>
    </w:tbl>
    <w:p w14:paraId="3935E407" w14:textId="77777777" w:rsidR="00E9383B" w:rsidRDefault="00E9383B" w:rsidP="00101F8B">
      <w:pPr>
        <w:rPr>
          <w:rFonts w:ascii="Century Gothic" w:eastAsia="Arial" w:hAnsi="Century Gothic"/>
          <w:bCs/>
          <w:noProof/>
        </w:rPr>
      </w:pPr>
    </w:p>
    <w:p w14:paraId="1B9AC0F1" w14:textId="77777777" w:rsidR="00EC6060" w:rsidRDefault="00EC6060" w:rsidP="00EC6060">
      <w:pPr>
        <w:pStyle w:val="Heading2"/>
      </w:pPr>
    </w:p>
    <w:p w14:paraId="79BDE458" w14:textId="77777777" w:rsidR="00E9383B" w:rsidRDefault="00E9383B" w:rsidP="00E9383B">
      <w:pPr>
        <w:rPr>
          <w:rFonts w:ascii="Century Gothic" w:eastAsia="Arial" w:hAnsi="Century Gothic"/>
          <w:noProof/>
        </w:rPr>
      </w:pPr>
    </w:p>
    <w:p w14:paraId="0072E7E4" w14:textId="77777777" w:rsidR="00365F8C" w:rsidRDefault="00365F8C" w:rsidP="00365F8C">
      <w:pPr>
        <w:rPr>
          <w:sz w:val="22"/>
          <w:szCs w:val="22"/>
        </w:rPr>
      </w:pPr>
    </w:p>
    <w:p w14:paraId="40AC8E11" w14:textId="77777777" w:rsidR="00694CA7" w:rsidRPr="00863CA6" w:rsidRDefault="00694CA7" w:rsidP="00365F8C">
      <w:pPr>
        <w:rPr>
          <w:sz w:val="22"/>
          <w:szCs w:val="22"/>
        </w:rPr>
      </w:pPr>
    </w:p>
    <w:sectPr w:rsidR="00694CA7" w:rsidRPr="00863CA6" w:rsidSect="00DC0596">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63B25" w14:textId="77777777" w:rsidR="006A0166" w:rsidRDefault="006A0166" w:rsidP="00101F8B">
      <w:r>
        <w:separator/>
      </w:r>
    </w:p>
    <w:p w14:paraId="4DB7D21B" w14:textId="77777777" w:rsidR="006A0166" w:rsidRDefault="006A0166" w:rsidP="00101F8B"/>
    <w:p w14:paraId="20044395" w14:textId="77777777" w:rsidR="006A0166" w:rsidRDefault="006A0166" w:rsidP="00101F8B"/>
    <w:p w14:paraId="5EA16293" w14:textId="77777777" w:rsidR="006A0166" w:rsidRDefault="006A0166" w:rsidP="00101F8B"/>
    <w:p w14:paraId="704F8B20" w14:textId="77777777" w:rsidR="006A0166" w:rsidRDefault="006A0166" w:rsidP="00101F8B"/>
    <w:p w14:paraId="36992FC7" w14:textId="77777777" w:rsidR="006A0166" w:rsidRDefault="006A0166" w:rsidP="00101F8B"/>
  </w:endnote>
  <w:endnote w:type="continuationSeparator" w:id="0">
    <w:p w14:paraId="57553E8A" w14:textId="77777777" w:rsidR="006A0166" w:rsidRDefault="006A0166" w:rsidP="00101F8B">
      <w:r>
        <w:continuationSeparator/>
      </w:r>
    </w:p>
    <w:p w14:paraId="7C4D0C52" w14:textId="77777777" w:rsidR="006A0166" w:rsidRDefault="006A0166" w:rsidP="00101F8B"/>
    <w:p w14:paraId="32DE9DFA" w14:textId="77777777" w:rsidR="006A0166" w:rsidRDefault="006A0166" w:rsidP="00101F8B"/>
    <w:p w14:paraId="215F40C9" w14:textId="77777777" w:rsidR="006A0166" w:rsidRDefault="006A0166" w:rsidP="00101F8B"/>
    <w:p w14:paraId="5E452500" w14:textId="77777777" w:rsidR="006A0166" w:rsidRDefault="006A0166" w:rsidP="00101F8B"/>
    <w:p w14:paraId="1DA963DE" w14:textId="77777777" w:rsidR="006A0166" w:rsidRDefault="006A0166"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522F" w14:textId="77777777" w:rsidR="00847282" w:rsidRDefault="00847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13B3" w14:textId="77777777" w:rsidR="00847282" w:rsidRDefault="00847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2332" w14:textId="77777777" w:rsidR="00847282" w:rsidRDefault="00847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D97B9" w14:textId="77777777" w:rsidR="006A0166" w:rsidRDefault="006A0166" w:rsidP="00101F8B">
      <w:r>
        <w:separator/>
      </w:r>
    </w:p>
    <w:p w14:paraId="1CC271B9" w14:textId="77777777" w:rsidR="006A0166" w:rsidRDefault="006A0166" w:rsidP="00101F8B"/>
    <w:p w14:paraId="6A917928" w14:textId="77777777" w:rsidR="006A0166" w:rsidRDefault="006A0166" w:rsidP="00101F8B"/>
    <w:p w14:paraId="69E1E126" w14:textId="77777777" w:rsidR="006A0166" w:rsidRDefault="006A0166" w:rsidP="00101F8B"/>
    <w:p w14:paraId="1987650B" w14:textId="77777777" w:rsidR="006A0166" w:rsidRDefault="006A0166" w:rsidP="00101F8B"/>
    <w:p w14:paraId="7A3C2298" w14:textId="77777777" w:rsidR="006A0166" w:rsidRDefault="006A0166" w:rsidP="00101F8B"/>
  </w:footnote>
  <w:footnote w:type="continuationSeparator" w:id="0">
    <w:p w14:paraId="048C4BAD" w14:textId="77777777" w:rsidR="006A0166" w:rsidRDefault="006A0166" w:rsidP="00101F8B">
      <w:r>
        <w:continuationSeparator/>
      </w:r>
    </w:p>
    <w:p w14:paraId="153FD955" w14:textId="77777777" w:rsidR="006A0166" w:rsidRDefault="006A0166" w:rsidP="00101F8B"/>
    <w:p w14:paraId="4D814F2B" w14:textId="77777777" w:rsidR="006A0166" w:rsidRDefault="006A0166" w:rsidP="00101F8B"/>
    <w:p w14:paraId="74C714C9" w14:textId="77777777" w:rsidR="006A0166" w:rsidRDefault="006A0166" w:rsidP="00101F8B"/>
    <w:p w14:paraId="14756001" w14:textId="77777777" w:rsidR="006A0166" w:rsidRDefault="006A0166" w:rsidP="00101F8B"/>
    <w:p w14:paraId="75F0B8F0" w14:textId="77777777" w:rsidR="006A0166" w:rsidRDefault="006A0166"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D191" w14:textId="77777777" w:rsidR="00847282" w:rsidRDefault="00847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E2C56" w14:textId="77777777" w:rsidR="00847282" w:rsidRDefault="008472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357"/>
    <w:multiLevelType w:val="hybridMultilevel"/>
    <w:tmpl w:val="DAB4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119B6"/>
    <w:multiLevelType w:val="hybridMultilevel"/>
    <w:tmpl w:val="1EE4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03C7F"/>
    <w:multiLevelType w:val="hybridMultilevel"/>
    <w:tmpl w:val="2B28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033E5A"/>
    <w:multiLevelType w:val="hybridMultilevel"/>
    <w:tmpl w:val="F9B67E02"/>
    <w:lvl w:ilvl="0" w:tplc="1A0A4D4E">
      <w:start w:val="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D6E53"/>
    <w:multiLevelType w:val="hybridMultilevel"/>
    <w:tmpl w:val="6876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5932A7"/>
    <w:multiLevelType w:val="hybridMultilevel"/>
    <w:tmpl w:val="3B6E3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4643C2"/>
    <w:multiLevelType w:val="hybridMultilevel"/>
    <w:tmpl w:val="5B649B0A"/>
    <w:lvl w:ilvl="0" w:tplc="4E2E9A92">
      <w:start w:val="1"/>
      <w:numFmt w:val="bullet"/>
      <w:lvlText w:val="•"/>
      <w:lvlJc w:val="left"/>
      <w:pPr>
        <w:tabs>
          <w:tab w:val="num" w:pos="720"/>
        </w:tabs>
        <w:ind w:left="720" w:hanging="360"/>
      </w:pPr>
      <w:rPr>
        <w:rFonts w:ascii="Arial" w:hAnsi="Arial" w:hint="default"/>
      </w:rPr>
    </w:lvl>
    <w:lvl w:ilvl="1" w:tplc="534873F8">
      <w:start w:val="1"/>
      <w:numFmt w:val="bullet"/>
      <w:lvlText w:val="•"/>
      <w:lvlJc w:val="left"/>
      <w:pPr>
        <w:tabs>
          <w:tab w:val="num" w:pos="1440"/>
        </w:tabs>
        <w:ind w:left="1440" w:hanging="360"/>
      </w:pPr>
      <w:rPr>
        <w:rFonts w:ascii="Arial" w:hAnsi="Arial" w:hint="default"/>
      </w:rPr>
    </w:lvl>
    <w:lvl w:ilvl="2" w:tplc="8C32E042" w:tentative="1">
      <w:start w:val="1"/>
      <w:numFmt w:val="bullet"/>
      <w:lvlText w:val="•"/>
      <w:lvlJc w:val="left"/>
      <w:pPr>
        <w:tabs>
          <w:tab w:val="num" w:pos="2160"/>
        </w:tabs>
        <w:ind w:left="2160" w:hanging="360"/>
      </w:pPr>
      <w:rPr>
        <w:rFonts w:ascii="Arial" w:hAnsi="Arial" w:hint="default"/>
      </w:rPr>
    </w:lvl>
    <w:lvl w:ilvl="3" w:tplc="C86444B0" w:tentative="1">
      <w:start w:val="1"/>
      <w:numFmt w:val="bullet"/>
      <w:lvlText w:val="•"/>
      <w:lvlJc w:val="left"/>
      <w:pPr>
        <w:tabs>
          <w:tab w:val="num" w:pos="2880"/>
        </w:tabs>
        <w:ind w:left="2880" w:hanging="360"/>
      </w:pPr>
      <w:rPr>
        <w:rFonts w:ascii="Arial" w:hAnsi="Arial" w:hint="default"/>
      </w:rPr>
    </w:lvl>
    <w:lvl w:ilvl="4" w:tplc="6E2C13B2" w:tentative="1">
      <w:start w:val="1"/>
      <w:numFmt w:val="bullet"/>
      <w:lvlText w:val="•"/>
      <w:lvlJc w:val="left"/>
      <w:pPr>
        <w:tabs>
          <w:tab w:val="num" w:pos="3600"/>
        </w:tabs>
        <w:ind w:left="3600" w:hanging="360"/>
      </w:pPr>
      <w:rPr>
        <w:rFonts w:ascii="Arial" w:hAnsi="Arial" w:hint="default"/>
      </w:rPr>
    </w:lvl>
    <w:lvl w:ilvl="5" w:tplc="DA8843BE" w:tentative="1">
      <w:start w:val="1"/>
      <w:numFmt w:val="bullet"/>
      <w:lvlText w:val="•"/>
      <w:lvlJc w:val="left"/>
      <w:pPr>
        <w:tabs>
          <w:tab w:val="num" w:pos="4320"/>
        </w:tabs>
        <w:ind w:left="4320" w:hanging="360"/>
      </w:pPr>
      <w:rPr>
        <w:rFonts w:ascii="Arial" w:hAnsi="Arial" w:hint="default"/>
      </w:rPr>
    </w:lvl>
    <w:lvl w:ilvl="6" w:tplc="3FD4FC36" w:tentative="1">
      <w:start w:val="1"/>
      <w:numFmt w:val="bullet"/>
      <w:lvlText w:val="•"/>
      <w:lvlJc w:val="left"/>
      <w:pPr>
        <w:tabs>
          <w:tab w:val="num" w:pos="5040"/>
        </w:tabs>
        <w:ind w:left="5040" w:hanging="360"/>
      </w:pPr>
      <w:rPr>
        <w:rFonts w:ascii="Arial" w:hAnsi="Arial" w:hint="default"/>
      </w:rPr>
    </w:lvl>
    <w:lvl w:ilvl="7" w:tplc="386AC2F8" w:tentative="1">
      <w:start w:val="1"/>
      <w:numFmt w:val="bullet"/>
      <w:lvlText w:val="•"/>
      <w:lvlJc w:val="left"/>
      <w:pPr>
        <w:tabs>
          <w:tab w:val="num" w:pos="5760"/>
        </w:tabs>
        <w:ind w:left="5760" w:hanging="360"/>
      </w:pPr>
      <w:rPr>
        <w:rFonts w:ascii="Arial" w:hAnsi="Arial" w:hint="default"/>
      </w:rPr>
    </w:lvl>
    <w:lvl w:ilvl="8" w:tplc="37E000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350E58"/>
    <w:multiLevelType w:val="hybridMultilevel"/>
    <w:tmpl w:val="093EDD72"/>
    <w:lvl w:ilvl="0" w:tplc="842E4C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A258B1"/>
    <w:multiLevelType w:val="hybridMultilevel"/>
    <w:tmpl w:val="6980B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7692370">
    <w:abstractNumId w:val="7"/>
  </w:num>
  <w:num w:numId="2" w16cid:durableId="472066476">
    <w:abstractNumId w:val="3"/>
  </w:num>
  <w:num w:numId="3" w16cid:durableId="1248923733">
    <w:abstractNumId w:val="2"/>
  </w:num>
  <w:num w:numId="4" w16cid:durableId="715396035">
    <w:abstractNumId w:val="6"/>
  </w:num>
  <w:num w:numId="5" w16cid:durableId="64500979">
    <w:abstractNumId w:val="8"/>
  </w:num>
  <w:num w:numId="6" w16cid:durableId="1753551475">
    <w:abstractNumId w:val="0"/>
  </w:num>
  <w:num w:numId="7" w16cid:durableId="944046280">
    <w:abstractNumId w:val="5"/>
  </w:num>
  <w:num w:numId="8" w16cid:durableId="270817290">
    <w:abstractNumId w:val="4"/>
  </w:num>
  <w:num w:numId="9" w16cid:durableId="64962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3322A"/>
    <w:rsid w:val="00070438"/>
    <w:rsid w:val="00080CA2"/>
    <w:rsid w:val="000A6BBB"/>
    <w:rsid w:val="00101F8B"/>
    <w:rsid w:val="00104EAA"/>
    <w:rsid w:val="00114878"/>
    <w:rsid w:val="0013267E"/>
    <w:rsid w:val="001357FA"/>
    <w:rsid w:val="0015352F"/>
    <w:rsid w:val="00155890"/>
    <w:rsid w:val="001702A6"/>
    <w:rsid w:val="00173D7C"/>
    <w:rsid w:val="001F00BB"/>
    <w:rsid w:val="00284556"/>
    <w:rsid w:val="00297396"/>
    <w:rsid w:val="003349F9"/>
    <w:rsid w:val="00346D18"/>
    <w:rsid w:val="00365F8C"/>
    <w:rsid w:val="00381437"/>
    <w:rsid w:val="00391C64"/>
    <w:rsid w:val="003F13B5"/>
    <w:rsid w:val="004136AA"/>
    <w:rsid w:val="004369A3"/>
    <w:rsid w:val="00460501"/>
    <w:rsid w:val="00477E82"/>
    <w:rsid w:val="004A3337"/>
    <w:rsid w:val="00511EA8"/>
    <w:rsid w:val="00530CB2"/>
    <w:rsid w:val="00534043"/>
    <w:rsid w:val="005835FD"/>
    <w:rsid w:val="005903F2"/>
    <w:rsid w:val="0059395B"/>
    <w:rsid w:val="005E57A5"/>
    <w:rsid w:val="005F24B4"/>
    <w:rsid w:val="00605ABB"/>
    <w:rsid w:val="006128AC"/>
    <w:rsid w:val="00646F28"/>
    <w:rsid w:val="0065376A"/>
    <w:rsid w:val="00656E50"/>
    <w:rsid w:val="00694CA7"/>
    <w:rsid w:val="006A0166"/>
    <w:rsid w:val="006A6700"/>
    <w:rsid w:val="006C2D07"/>
    <w:rsid w:val="006C4A7C"/>
    <w:rsid w:val="006C523F"/>
    <w:rsid w:val="006D1F14"/>
    <w:rsid w:val="006D4B94"/>
    <w:rsid w:val="006E0B06"/>
    <w:rsid w:val="006E3C9D"/>
    <w:rsid w:val="00754A3C"/>
    <w:rsid w:val="00774185"/>
    <w:rsid w:val="007B40D8"/>
    <w:rsid w:val="007C4F08"/>
    <w:rsid w:val="007D6F01"/>
    <w:rsid w:val="00807F9D"/>
    <w:rsid w:val="008158A3"/>
    <w:rsid w:val="00840EBD"/>
    <w:rsid w:val="00847282"/>
    <w:rsid w:val="00857F62"/>
    <w:rsid w:val="00880FFC"/>
    <w:rsid w:val="00891235"/>
    <w:rsid w:val="0089558F"/>
    <w:rsid w:val="008B70E7"/>
    <w:rsid w:val="008F553A"/>
    <w:rsid w:val="009243E3"/>
    <w:rsid w:val="009A6FB4"/>
    <w:rsid w:val="00A07E66"/>
    <w:rsid w:val="00A120E8"/>
    <w:rsid w:val="00A81A00"/>
    <w:rsid w:val="00AA79F3"/>
    <w:rsid w:val="00AB6A7B"/>
    <w:rsid w:val="00AD194F"/>
    <w:rsid w:val="00B06C0A"/>
    <w:rsid w:val="00B552A1"/>
    <w:rsid w:val="00B72E8D"/>
    <w:rsid w:val="00B760F6"/>
    <w:rsid w:val="00B8447D"/>
    <w:rsid w:val="00B93447"/>
    <w:rsid w:val="00BA63ED"/>
    <w:rsid w:val="00BD2B96"/>
    <w:rsid w:val="00BE55DD"/>
    <w:rsid w:val="00BE6FB3"/>
    <w:rsid w:val="00C967EF"/>
    <w:rsid w:val="00CC4CE1"/>
    <w:rsid w:val="00CD56D2"/>
    <w:rsid w:val="00D6388E"/>
    <w:rsid w:val="00D82CA3"/>
    <w:rsid w:val="00D84917"/>
    <w:rsid w:val="00DA4F6C"/>
    <w:rsid w:val="00DB74D7"/>
    <w:rsid w:val="00DC0596"/>
    <w:rsid w:val="00DF06D0"/>
    <w:rsid w:val="00E056E4"/>
    <w:rsid w:val="00E25FE1"/>
    <w:rsid w:val="00E6150F"/>
    <w:rsid w:val="00E9383B"/>
    <w:rsid w:val="00EB09D1"/>
    <w:rsid w:val="00EC6060"/>
    <w:rsid w:val="00F04F36"/>
    <w:rsid w:val="00F27FAC"/>
    <w:rsid w:val="00F5083F"/>
    <w:rsid w:val="00FC1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346D18"/>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346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46D18"/>
    <w:pPr>
      <w:spacing w:after="0"/>
    </w:pPr>
    <w:rPr>
      <w:rFonts w:eastAsia="Times New Roman" w:cs="Times New Roman"/>
      <w:sz w:val="20"/>
      <w:szCs w:val="20"/>
      <w:lang w:eastAsia="en-US"/>
    </w:rPr>
  </w:style>
  <w:style w:type="character" w:customStyle="1" w:styleId="FootnoteTextChar">
    <w:name w:val="Footnote Text Char"/>
    <w:basedOn w:val="DefaultParagraphFont"/>
    <w:link w:val="FootnoteText"/>
    <w:uiPriority w:val="99"/>
    <w:rsid w:val="00346D18"/>
    <w:rPr>
      <w:rFonts w:ascii="Arial" w:eastAsia="Times New Roman" w:hAnsi="Arial" w:cs="Times New Roman"/>
      <w:sz w:val="20"/>
      <w:szCs w:val="20"/>
    </w:rPr>
  </w:style>
  <w:style w:type="character" w:styleId="FootnoteReference">
    <w:name w:val="footnote reference"/>
    <w:basedOn w:val="DefaultParagraphFont"/>
    <w:uiPriority w:val="99"/>
    <w:unhideWhenUsed/>
    <w:rsid w:val="00346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72946">
      <w:bodyDiv w:val="1"/>
      <w:marLeft w:val="0"/>
      <w:marRight w:val="0"/>
      <w:marTop w:val="0"/>
      <w:marBottom w:val="0"/>
      <w:divBdr>
        <w:top w:val="none" w:sz="0" w:space="0" w:color="auto"/>
        <w:left w:val="none" w:sz="0" w:space="0" w:color="auto"/>
        <w:bottom w:val="none" w:sz="0" w:space="0" w:color="auto"/>
        <w:right w:val="none" w:sz="0" w:space="0" w:color="auto"/>
      </w:divBdr>
      <w:divsChild>
        <w:div w:id="1342854610">
          <w:marLeft w:val="360"/>
          <w:marRight w:val="0"/>
          <w:marTop w:val="200"/>
          <w:marBottom w:val="0"/>
          <w:divBdr>
            <w:top w:val="none" w:sz="0" w:space="0" w:color="auto"/>
            <w:left w:val="none" w:sz="0" w:space="0" w:color="auto"/>
            <w:bottom w:val="none" w:sz="0" w:space="0" w:color="auto"/>
            <w:right w:val="none" w:sz="0" w:space="0" w:color="auto"/>
          </w:divBdr>
        </w:div>
      </w:divsChild>
    </w:div>
    <w:div w:id="142090708">
      <w:bodyDiv w:val="1"/>
      <w:marLeft w:val="0"/>
      <w:marRight w:val="0"/>
      <w:marTop w:val="0"/>
      <w:marBottom w:val="0"/>
      <w:divBdr>
        <w:top w:val="none" w:sz="0" w:space="0" w:color="auto"/>
        <w:left w:val="none" w:sz="0" w:space="0" w:color="auto"/>
        <w:bottom w:val="none" w:sz="0" w:space="0" w:color="auto"/>
        <w:right w:val="none" w:sz="0" w:space="0" w:color="auto"/>
      </w:divBdr>
    </w:div>
    <w:div w:id="197088850">
      <w:bodyDiv w:val="1"/>
      <w:marLeft w:val="0"/>
      <w:marRight w:val="0"/>
      <w:marTop w:val="0"/>
      <w:marBottom w:val="0"/>
      <w:divBdr>
        <w:top w:val="none" w:sz="0" w:space="0" w:color="auto"/>
        <w:left w:val="none" w:sz="0" w:space="0" w:color="auto"/>
        <w:bottom w:val="none" w:sz="0" w:space="0" w:color="auto"/>
        <w:right w:val="none" w:sz="0" w:space="0" w:color="auto"/>
      </w:divBdr>
    </w:div>
    <w:div w:id="350566814">
      <w:bodyDiv w:val="1"/>
      <w:marLeft w:val="0"/>
      <w:marRight w:val="0"/>
      <w:marTop w:val="0"/>
      <w:marBottom w:val="0"/>
      <w:divBdr>
        <w:top w:val="none" w:sz="0" w:space="0" w:color="auto"/>
        <w:left w:val="none" w:sz="0" w:space="0" w:color="auto"/>
        <w:bottom w:val="none" w:sz="0" w:space="0" w:color="auto"/>
        <w:right w:val="none" w:sz="0" w:space="0" w:color="auto"/>
      </w:divBdr>
    </w:div>
    <w:div w:id="521239343">
      <w:bodyDiv w:val="1"/>
      <w:marLeft w:val="0"/>
      <w:marRight w:val="0"/>
      <w:marTop w:val="0"/>
      <w:marBottom w:val="0"/>
      <w:divBdr>
        <w:top w:val="none" w:sz="0" w:space="0" w:color="auto"/>
        <w:left w:val="none" w:sz="0" w:space="0" w:color="auto"/>
        <w:bottom w:val="none" w:sz="0" w:space="0" w:color="auto"/>
        <w:right w:val="none" w:sz="0" w:space="0" w:color="auto"/>
      </w:divBdr>
    </w:div>
    <w:div w:id="567616523">
      <w:bodyDiv w:val="1"/>
      <w:marLeft w:val="0"/>
      <w:marRight w:val="0"/>
      <w:marTop w:val="0"/>
      <w:marBottom w:val="0"/>
      <w:divBdr>
        <w:top w:val="none" w:sz="0" w:space="0" w:color="auto"/>
        <w:left w:val="none" w:sz="0" w:space="0" w:color="auto"/>
        <w:bottom w:val="none" w:sz="0" w:space="0" w:color="auto"/>
        <w:right w:val="none" w:sz="0" w:space="0" w:color="auto"/>
      </w:divBdr>
      <w:divsChild>
        <w:div w:id="1625118363">
          <w:marLeft w:val="360"/>
          <w:marRight w:val="0"/>
          <w:marTop w:val="200"/>
          <w:marBottom w:val="0"/>
          <w:divBdr>
            <w:top w:val="none" w:sz="0" w:space="0" w:color="auto"/>
            <w:left w:val="none" w:sz="0" w:space="0" w:color="auto"/>
            <w:bottom w:val="none" w:sz="0" w:space="0" w:color="auto"/>
            <w:right w:val="none" w:sz="0" w:space="0" w:color="auto"/>
          </w:divBdr>
        </w:div>
      </w:divsChild>
    </w:div>
    <w:div w:id="648704277">
      <w:bodyDiv w:val="1"/>
      <w:marLeft w:val="0"/>
      <w:marRight w:val="0"/>
      <w:marTop w:val="0"/>
      <w:marBottom w:val="0"/>
      <w:divBdr>
        <w:top w:val="none" w:sz="0" w:space="0" w:color="auto"/>
        <w:left w:val="none" w:sz="0" w:space="0" w:color="auto"/>
        <w:bottom w:val="none" w:sz="0" w:space="0" w:color="auto"/>
        <w:right w:val="none" w:sz="0" w:space="0" w:color="auto"/>
      </w:divBdr>
      <w:divsChild>
        <w:div w:id="1543981279">
          <w:marLeft w:val="1166"/>
          <w:marRight w:val="0"/>
          <w:marTop w:val="0"/>
          <w:marBottom w:val="0"/>
          <w:divBdr>
            <w:top w:val="none" w:sz="0" w:space="0" w:color="auto"/>
            <w:left w:val="none" w:sz="0" w:space="0" w:color="auto"/>
            <w:bottom w:val="none" w:sz="0" w:space="0" w:color="auto"/>
            <w:right w:val="none" w:sz="0" w:space="0" w:color="auto"/>
          </w:divBdr>
        </w:div>
        <w:div w:id="219678996">
          <w:marLeft w:val="1166"/>
          <w:marRight w:val="0"/>
          <w:marTop w:val="0"/>
          <w:marBottom w:val="0"/>
          <w:divBdr>
            <w:top w:val="none" w:sz="0" w:space="0" w:color="auto"/>
            <w:left w:val="none" w:sz="0" w:space="0" w:color="auto"/>
            <w:bottom w:val="none" w:sz="0" w:space="0" w:color="auto"/>
            <w:right w:val="none" w:sz="0" w:space="0" w:color="auto"/>
          </w:divBdr>
        </w:div>
        <w:div w:id="1194076854">
          <w:marLeft w:val="1166"/>
          <w:marRight w:val="0"/>
          <w:marTop w:val="0"/>
          <w:marBottom w:val="0"/>
          <w:divBdr>
            <w:top w:val="none" w:sz="0" w:space="0" w:color="auto"/>
            <w:left w:val="none" w:sz="0" w:space="0" w:color="auto"/>
            <w:bottom w:val="none" w:sz="0" w:space="0" w:color="auto"/>
            <w:right w:val="none" w:sz="0" w:space="0" w:color="auto"/>
          </w:divBdr>
        </w:div>
      </w:divsChild>
    </w:div>
    <w:div w:id="996810720">
      <w:bodyDiv w:val="1"/>
      <w:marLeft w:val="0"/>
      <w:marRight w:val="0"/>
      <w:marTop w:val="0"/>
      <w:marBottom w:val="0"/>
      <w:divBdr>
        <w:top w:val="none" w:sz="0" w:space="0" w:color="auto"/>
        <w:left w:val="none" w:sz="0" w:space="0" w:color="auto"/>
        <w:bottom w:val="none" w:sz="0" w:space="0" w:color="auto"/>
        <w:right w:val="none" w:sz="0" w:space="0" w:color="auto"/>
      </w:divBdr>
    </w:div>
    <w:div w:id="1024525931">
      <w:bodyDiv w:val="1"/>
      <w:marLeft w:val="0"/>
      <w:marRight w:val="0"/>
      <w:marTop w:val="0"/>
      <w:marBottom w:val="0"/>
      <w:divBdr>
        <w:top w:val="none" w:sz="0" w:space="0" w:color="auto"/>
        <w:left w:val="none" w:sz="0" w:space="0" w:color="auto"/>
        <w:bottom w:val="none" w:sz="0" w:space="0" w:color="auto"/>
        <w:right w:val="none" w:sz="0" w:space="0" w:color="auto"/>
      </w:divBdr>
    </w:div>
    <w:div w:id="12003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3873F8"/>
    <w:rsid w:val="00417A06"/>
    <w:rsid w:val="00483DB8"/>
    <w:rsid w:val="006C523F"/>
    <w:rsid w:val="006E0B06"/>
    <w:rsid w:val="007C4604"/>
    <w:rsid w:val="00891235"/>
    <w:rsid w:val="00A120E8"/>
    <w:rsid w:val="00CD56D2"/>
    <w:rsid w:val="00D107AD"/>
    <w:rsid w:val="00D45E60"/>
    <w:rsid w:val="00EB09D1"/>
    <w:rsid w:val="00FC1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2025-06-11T00:00:00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7" ma:contentTypeDescription="Create a new document." ma:contentTypeScope="" ma:versionID="7943146fc0f322333ceca9aafc38276c">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650056a66ad2bb3e4920eed18ff366a7"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b74cb5-5b42-45d1-bf76-a12fd7c8e392}"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3.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4.xml><?xml version="1.0" encoding="utf-8"?>
<ds:datastoreItem xmlns:ds="http://schemas.openxmlformats.org/officeDocument/2006/customXml" ds:itemID="{4F8BC351-A420-4058-BAAE-87FAB5B4A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54a0358b-ecfc-4e45-bc8c-71ba0bd8217c"/>
    <ds:schemaRef ds:uri="5f843945-7347-4826-a579-b398510b097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Schools Forum Report</vt:lpstr>
    </vt:vector>
  </TitlesOfParts>
  <Company>Tower Hamlets</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Contigency fund update</dc:title>
  <dc:subject>
  </dc:subject>
  <dc:creator>Catherine Grace</dc:creator>
  <cp:keywords>
  </cp:keywords>
  <dc:description>
  </dc:description>
  <cp:lastModifiedBy>Phillip Nduoyo</cp:lastModifiedBy>
  <cp:revision>6</cp:revision>
  <dcterms:created xsi:type="dcterms:W3CDTF">2025-06-11T09:14:00Z</dcterms:created>
  <dcterms:modified xsi:type="dcterms:W3CDTF">2025-06-12T13:11:00Z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MediaServiceImageTags">
    <vt:lpwstr/>
  </property>
</Properties>
</file>