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722C8C25" w:rsidR="003B3AEF" w:rsidRPr="00C353A6" w:rsidRDefault="00933FF4" w:rsidP="00C353A6">
      <w:pPr>
        <w:jc w:val="center"/>
        <w:rPr>
          <w:sz w:val="36"/>
          <w:szCs w:val="36"/>
        </w:rPr>
      </w:pPr>
      <w:r w:rsidRPr="00C353A6">
        <w:rPr>
          <w:sz w:val="36"/>
          <w:szCs w:val="36"/>
        </w:rPr>
        <w:t>AGENDA ITEM</w:t>
      </w:r>
      <w:r w:rsidR="00C56B7A">
        <w:rPr>
          <w:sz w:val="36"/>
          <w:szCs w:val="36"/>
        </w:rPr>
        <w:t xml:space="preserve"> 5</w:t>
      </w:r>
    </w:p>
    <w:p w14:paraId="3242CD15" w14:textId="77777777" w:rsidR="00933FF4" w:rsidRPr="00933FF4" w:rsidRDefault="00933FF4" w:rsidP="00933FF4">
      <w:pPr>
        <w:jc w:val="center"/>
        <w:rPr>
          <w:b/>
          <w:sz w:val="32"/>
          <w:szCs w:val="32"/>
        </w:rPr>
      </w:pPr>
    </w:p>
    <w:p w14:paraId="09196C8F" w14:textId="762CF9CB"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0C56B7A">
        <w:rPr>
          <w:b/>
          <w:bCs/>
          <w:sz w:val="32"/>
          <w:szCs w:val="32"/>
        </w:rPr>
        <w:t>Falling Rolls Policy</w:t>
      </w:r>
    </w:p>
    <w:p w14:paraId="09C7313C" w14:textId="77777777" w:rsidR="00C56B7A" w:rsidRDefault="00C56B7A" w:rsidP="00933FF4">
      <w:pPr>
        <w:rPr>
          <w:b/>
          <w:bCs/>
        </w:rPr>
      </w:pPr>
    </w:p>
    <w:p w14:paraId="05C488A5" w14:textId="1D52BA71" w:rsidR="003B3AEF" w:rsidRPr="00C353A6" w:rsidRDefault="002511E5" w:rsidP="00933FF4">
      <w:pPr>
        <w:rPr>
          <w:b/>
          <w:bCs/>
        </w:rPr>
      </w:pPr>
      <w:r w:rsidRPr="00C353A6">
        <w:rPr>
          <w:b/>
          <w:bCs/>
        </w:rPr>
        <w:t xml:space="preserve">Author of the </w:t>
      </w:r>
      <w:r w:rsidR="00295350" w:rsidRPr="00C353A6">
        <w:rPr>
          <w:b/>
          <w:bCs/>
        </w:rPr>
        <w:t>paper:</w:t>
      </w:r>
      <w:r w:rsidR="00C56B7A">
        <w:rPr>
          <w:b/>
          <w:bCs/>
        </w:rPr>
        <w:t xml:space="preserve"> Leslie Oosthuizen</w:t>
      </w:r>
    </w:p>
    <w:p w14:paraId="19EFC765" w14:textId="77777777" w:rsidR="002511E5" w:rsidRDefault="002511E5" w:rsidP="00933FF4">
      <w:pPr>
        <w:rPr>
          <w:b/>
          <w:bCs/>
        </w:rPr>
      </w:pPr>
    </w:p>
    <w:p w14:paraId="5FBAC801" w14:textId="7526A0DB" w:rsidR="003B3AEF" w:rsidRDefault="003B3AEF" w:rsidP="00933FF4">
      <w:pPr>
        <w:rPr>
          <w:b/>
          <w:bCs/>
        </w:rPr>
      </w:pPr>
      <w:r w:rsidRPr="5DEB1779">
        <w:rPr>
          <w:b/>
          <w:bCs/>
        </w:rPr>
        <w:t xml:space="preserve">Officer to present the paper to Schools Forum: </w:t>
      </w:r>
      <w:r w:rsidR="00C56B7A">
        <w:rPr>
          <w:b/>
          <w:bCs/>
        </w:rPr>
        <w:t>Leslie Oosthuizen</w:t>
      </w:r>
    </w:p>
    <w:p w14:paraId="1B97B2B2" w14:textId="77777777" w:rsidR="00F91A57" w:rsidRPr="00CB5A97" w:rsidRDefault="00F91A57" w:rsidP="00933FF4"/>
    <w:p w14:paraId="642FCB09" w14:textId="7FB3316E" w:rsidR="00346D9A" w:rsidRPr="004C13B7" w:rsidRDefault="00346D9A" w:rsidP="00346D9A">
      <w:pPr>
        <w:rPr>
          <w:rFonts w:cs="Arial"/>
          <w:b/>
        </w:rPr>
      </w:pPr>
      <w:r w:rsidRPr="004C13B7">
        <w:rPr>
          <w:rFonts w:cs="Arial"/>
          <w:b/>
        </w:rPr>
        <w:t>Details on who has been consulted with on this paper to date:</w:t>
      </w:r>
      <w:r w:rsidR="00C56B7A">
        <w:rPr>
          <w:rFonts w:cs="Arial"/>
          <w:b/>
        </w:rPr>
        <w:t xml:space="preserve"> DfE</w:t>
      </w:r>
    </w:p>
    <w:p w14:paraId="25AF1275" w14:textId="77777777" w:rsidR="003B3AEF" w:rsidRPr="00CB5A97" w:rsidRDefault="003B3AEF" w:rsidP="00933FF4">
      <w:pPr>
        <w:rPr>
          <w:highlight w:val="yellow"/>
        </w:rPr>
      </w:pPr>
    </w:p>
    <w:p w14:paraId="447A28A0" w14:textId="0BE1A001" w:rsidR="00200347" w:rsidRDefault="003B3AEF" w:rsidP="0004045E">
      <w:pPr>
        <w:spacing w:after="120"/>
        <w:rPr>
          <w:b/>
        </w:rPr>
      </w:pPr>
      <w:r w:rsidRPr="00CC3A17">
        <w:rPr>
          <w:b/>
        </w:rPr>
        <w:t>Executive Summary</w:t>
      </w:r>
      <w:r w:rsidR="000261CC">
        <w:rPr>
          <w:b/>
        </w:rPr>
        <w:t>:</w:t>
      </w:r>
    </w:p>
    <w:p w14:paraId="2AD4B98E" w14:textId="77777777" w:rsidR="00C56B7A" w:rsidRDefault="00C56B7A" w:rsidP="0004045E">
      <w:pPr>
        <w:spacing w:after="120"/>
        <w:rPr>
          <w:b/>
        </w:rPr>
      </w:pPr>
    </w:p>
    <w:p w14:paraId="43ABD39F" w14:textId="04411DD4" w:rsidR="00C56B7A" w:rsidRDefault="00C56B7A" w:rsidP="00C56B7A">
      <w:pPr>
        <w:spacing w:after="120"/>
        <w:rPr>
          <w:bCs/>
        </w:rPr>
      </w:pPr>
      <w:r w:rsidRPr="002A599C">
        <w:rPr>
          <w:bCs/>
        </w:rPr>
        <w:t xml:space="preserve">This report </w:t>
      </w:r>
      <w:r>
        <w:rPr>
          <w:bCs/>
        </w:rPr>
        <w:t>sets out the current DfE policy for Falling Rolls</w:t>
      </w:r>
      <w:r w:rsidRPr="002A599C">
        <w:rPr>
          <w:bCs/>
        </w:rPr>
        <w:t xml:space="preserve"> 202</w:t>
      </w:r>
      <w:r w:rsidR="00EE1BB4">
        <w:rPr>
          <w:bCs/>
        </w:rPr>
        <w:t>4</w:t>
      </w:r>
      <w:r>
        <w:rPr>
          <w:bCs/>
        </w:rPr>
        <w:t>-2</w:t>
      </w:r>
      <w:r w:rsidR="00EE1BB4">
        <w:rPr>
          <w:bCs/>
        </w:rPr>
        <w:t>5</w:t>
      </w:r>
      <w:r>
        <w:rPr>
          <w:bCs/>
        </w:rPr>
        <w:t xml:space="preserve">.  </w:t>
      </w:r>
    </w:p>
    <w:p w14:paraId="37B0B710" w14:textId="77777777" w:rsidR="00C56B7A" w:rsidRPr="0004045E" w:rsidRDefault="00C56B7A" w:rsidP="0004045E">
      <w:pPr>
        <w:spacing w:after="120"/>
        <w:rPr>
          <w:b/>
        </w:rPr>
      </w:pPr>
    </w:p>
    <w:p w14:paraId="1D755107" w14:textId="77777777" w:rsidR="003B3AEF" w:rsidRPr="00CC3A17" w:rsidRDefault="003B3AEF"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50CCF87C" w14:textId="77777777" w:rsidR="00D65370" w:rsidRDefault="00D65370" w:rsidP="00933FF4">
      <w:pPr>
        <w:spacing w:after="120"/>
      </w:pPr>
    </w:p>
    <w:p w14:paraId="6C8BECCC" w14:textId="77777777" w:rsidR="00C56B7A" w:rsidRDefault="00C56B7A" w:rsidP="00C56B7A">
      <w:pPr>
        <w:rPr>
          <w:bCs/>
          <w:sz w:val="22"/>
          <w:szCs w:val="22"/>
        </w:rPr>
      </w:pPr>
      <w:r>
        <w:rPr>
          <w:bCs/>
          <w:sz w:val="22"/>
          <w:szCs w:val="22"/>
        </w:rPr>
        <w:t>Schools Forum are asked to:</w:t>
      </w:r>
    </w:p>
    <w:p w14:paraId="4F083729" w14:textId="77777777" w:rsidR="00C56B7A" w:rsidRDefault="00C56B7A" w:rsidP="00C56B7A">
      <w:pPr>
        <w:rPr>
          <w:bCs/>
          <w:sz w:val="22"/>
          <w:szCs w:val="22"/>
        </w:rPr>
      </w:pPr>
    </w:p>
    <w:p w14:paraId="0938ECD9" w14:textId="71A0D159" w:rsidR="00C56B7A" w:rsidRDefault="00C56B7A" w:rsidP="00C56B7A">
      <w:r>
        <w:t>Note and discuss the contents of this report</w:t>
      </w:r>
    </w:p>
    <w:p w14:paraId="6AF6C253" w14:textId="77777777" w:rsidR="00C56B7A" w:rsidRDefault="00C56B7A" w:rsidP="00C56B7A"/>
    <w:p w14:paraId="42D63C6A" w14:textId="64EE50C3" w:rsidR="00C56B7A" w:rsidRDefault="00C56B7A" w:rsidP="00A40E8B">
      <w:pPr>
        <w:pStyle w:val="ListParagraph"/>
        <w:numPr>
          <w:ilvl w:val="0"/>
          <w:numId w:val="24"/>
        </w:numPr>
        <w:ind w:left="426" w:hanging="426"/>
      </w:pPr>
      <w:r>
        <w:t>Background</w:t>
      </w:r>
    </w:p>
    <w:p w14:paraId="150F31DB" w14:textId="77777777" w:rsidR="004A67A9" w:rsidRDefault="004A67A9" w:rsidP="004A67A9">
      <w:pPr>
        <w:pStyle w:val="ListParagraph"/>
        <w:ind w:left="426"/>
      </w:pPr>
    </w:p>
    <w:p w14:paraId="1CAC2C52" w14:textId="391B85AD" w:rsidR="00A40E8B" w:rsidRDefault="00A40E8B" w:rsidP="00A40E8B">
      <w:pPr>
        <w:pStyle w:val="ListParagraph"/>
        <w:numPr>
          <w:ilvl w:val="1"/>
          <w:numId w:val="24"/>
        </w:numPr>
        <w:ind w:left="709" w:hanging="709"/>
      </w:pPr>
      <w:r>
        <w:t>The School Forum requested a discussion regarding the Falling Rolls policy as a significant number of schools were experiencing a reduction in funding due to a reduction in in pupil numbers.</w:t>
      </w:r>
    </w:p>
    <w:p w14:paraId="1B0A4DDF" w14:textId="77777777" w:rsidR="004A67A9" w:rsidRDefault="004A67A9" w:rsidP="004A67A9">
      <w:pPr>
        <w:pStyle w:val="ListParagraph"/>
        <w:ind w:left="709"/>
      </w:pPr>
    </w:p>
    <w:p w14:paraId="5D81E33D" w14:textId="28BC77D0" w:rsidR="004A67A9" w:rsidRDefault="004A67A9" w:rsidP="00A40E8B">
      <w:pPr>
        <w:pStyle w:val="ListParagraph"/>
        <w:numPr>
          <w:ilvl w:val="1"/>
          <w:numId w:val="24"/>
        </w:numPr>
        <w:ind w:left="709" w:hanging="709"/>
      </w:pPr>
      <w:r>
        <w:t>The report sets out the guidance published by the DfE regarding falling rolls and when such a factor may be used in the schools’ formula funding.</w:t>
      </w:r>
    </w:p>
    <w:p w14:paraId="19DB4A3A" w14:textId="0CC352B8" w:rsidR="00A40E8B" w:rsidRDefault="00A40E8B" w:rsidP="004A67A9">
      <w:pPr>
        <w:pStyle w:val="ListParagraph"/>
        <w:ind w:left="709"/>
      </w:pPr>
    </w:p>
    <w:p w14:paraId="64CC1459" w14:textId="77777777" w:rsidR="00C56B7A" w:rsidRDefault="00C56B7A" w:rsidP="00C56B7A">
      <w:pPr>
        <w:pStyle w:val="ListParagraph"/>
        <w:ind w:left="716"/>
      </w:pPr>
    </w:p>
    <w:p w14:paraId="34F11F2D" w14:textId="77777777" w:rsidR="00C56B7A" w:rsidRDefault="00C56B7A" w:rsidP="00C56B7A">
      <w:pPr>
        <w:pStyle w:val="ListParagraph"/>
        <w:numPr>
          <w:ilvl w:val="0"/>
          <w:numId w:val="24"/>
        </w:numPr>
        <w:rPr>
          <w:b/>
          <w:bCs/>
        </w:rPr>
      </w:pPr>
      <w:r w:rsidRPr="00C56B7A">
        <w:rPr>
          <w:b/>
          <w:bCs/>
        </w:rPr>
        <w:t> Operational guidance on falling rolls funding</w:t>
      </w:r>
    </w:p>
    <w:p w14:paraId="20FD4470" w14:textId="77777777" w:rsidR="00EE1BB4" w:rsidRDefault="00EE1BB4" w:rsidP="00EE1BB4">
      <w:pPr>
        <w:pStyle w:val="ListParagraph"/>
        <w:ind w:left="360"/>
        <w:rPr>
          <w:b/>
          <w:bCs/>
        </w:rPr>
      </w:pPr>
    </w:p>
    <w:p w14:paraId="339BF404" w14:textId="77777777" w:rsidR="00EE1BB4" w:rsidRDefault="00C56B7A" w:rsidP="00EE1BB4">
      <w:pPr>
        <w:pStyle w:val="ListParagraph"/>
        <w:numPr>
          <w:ilvl w:val="1"/>
          <w:numId w:val="30"/>
        </w:numPr>
        <w:ind w:left="709" w:hanging="709"/>
      </w:pPr>
      <w:r w:rsidRPr="00C56B7A">
        <w:t>This information outlines operational guidance regarding local authorities’ falling rolls funds, also published in the </w:t>
      </w:r>
      <w:hyperlink r:id="rId11" w:history="1">
        <w:r w:rsidRPr="00C56B7A">
          <w:rPr>
            <w:rStyle w:val="Hyperlink"/>
          </w:rPr>
          <w:t>schools operational guide: 2024 to 2025</w:t>
        </w:r>
      </w:hyperlink>
    </w:p>
    <w:p w14:paraId="2DD169A2" w14:textId="77777777" w:rsidR="00EE1BB4" w:rsidRDefault="00EE1BB4" w:rsidP="00EE1BB4">
      <w:pPr>
        <w:pStyle w:val="ListParagraph"/>
        <w:ind w:left="709"/>
      </w:pPr>
    </w:p>
    <w:p w14:paraId="21E61C84" w14:textId="77777777" w:rsidR="00EE1BB4" w:rsidRDefault="00C56B7A" w:rsidP="00EE1BB4">
      <w:pPr>
        <w:pStyle w:val="ListParagraph"/>
        <w:numPr>
          <w:ilvl w:val="1"/>
          <w:numId w:val="30"/>
        </w:numPr>
        <w:ind w:left="709" w:hanging="709"/>
      </w:pPr>
      <w:r w:rsidRPr="00C56B7A">
        <w:t xml:space="preserve">Falling rolls funding will be distributed </w:t>
      </w:r>
      <w:proofErr w:type="gramStart"/>
      <w:r w:rsidRPr="00C56B7A">
        <w:t>on the basis of</w:t>
      </w:r>
      <w:proofErr w:type="gramEnd"/>
      <w:r w:rsidRPr="00C56B7A">
        <w:t xml:space="preserve"> the reduction in pupil numbers that local authorities experience for each year. It is based on the observed differences between the primary and secondary number on roll in each local authority between the October 2022 and October 2023 school censuses. Falling rolls are measured at the MSOA within each local authority – these are areas used by the ONS based on population data, which allow us to capture falling rolls in small geographical areas within local authorities. The falling rolls allocation for each local authority will be £140,000 per MSOA which sees a 10% </w:t>
      </w:r>
      <w:r w:rsidRPr="00C56B7A">
        <w:lastRenderedPageBreak/>
        <w:t>or greater reduction in the number of pupils on roll between the two census years. This allocation will be subject to an ACA.</w:t>
      </w:r>
    </w:p>
    <w:p w14:paraId="629CC845" w14:textId="77777777" w:rsidR="00EE1BB4" w:rsidRDefault="00EE1BB4" w:rsidP="00EE1BB4"/>
    <w:p w14:paraId="015AC2D8" w14:textId="77777777" w:rsidR="00EE1BB4" w:rsidRDefault="00C56B7A" w:rsidP="00EE1BB4">
      <w:pPr>
        <w:pStyle w:val="ListParagraph"/>
        <w:numPr>
          <w:ilvl w:val="1"/>
          <w:numId w:val="30"/>
        </w:numPr>
        <w:ind w:left="709" w:hanging="709"/>
      </w:pPr>
      <w:r w:rsidRPr="00C56B7A">
        <w:t>Local authorities will continue to have discretion over whether to operate a falling rolls fund. Where local authorities operate a fund, they will only be able to provide funding where school capacity data 2022 (SCAP) shows that school places will be required in the subsequent three to five years. This SCAP requirement replaces previous guidance that funding may only be used where local planning data shows that the surplus places will be needed within the next 3 financial years.</w:t>
      </w:r>
    </w:p>
    <w:p w14:paraId="11F1782B" w14:textId="77777777" w:rsidR="00EE1BB4" w:rsidRDefault="00EE1BB4" w:rsidP="00EE1BB4">
      <w:pPr>
        <w:pStyle w:val="ListParagraph"/>
      </w:pPr>
    </w:p>
    <w:p w14:paraId="343F74B8" w14:textId="77777777" w:rsidR="00EE1BB4" w:rsidRDefault="00C56B7A" w:rsidP="00EE1BB4">
      <w:pPr>
        <w:pStyle w:val="ListParagraph"/>
        <w:numPr>
          <w:ilvl w:val="1"/>
          <w:numId w:val="30"/>
        </w:numPr>
        <w:ind w:left="709" w:hanging="709"/>
      </w:pPr>
      <w:r w:rsidRPr="00C56B7A">
        <w:t>The requirement that schools must be Ofsted rated ‘good’ or ‘outstanding’ to be eligible for falling rolls funding will no longer apply from the 2024 to 2025 financial year.</w:t>
      </w:r>
    </w:p>
    <w:p w14:paraId="016D922F" w14:textId="77777777" w:rsidR="00EE1BB4" w:rsidRDefault="00EE1BB4" w:rsidP="00EE1BB4">
      <w:pPr>
        <w:pStyle w:val="ListParagraph"/>
      </w:pPr>
    </w:p>
    <w:p w14:paraId="17DABBAB" w14:textId="796D46D4" w:rsidR="00EE1BB4" w:rsidRDefault="00C56B7A" w:rsidP="00EE1BB4">
      <w:pPr>
        <w:pStyle w:val="ListParagraph"/>
        <w:numPr>
          <w:ilvl w:val="1"/>
          <w:numId w:val="30"/>
        </w:numPr>
        <w:ind w:left="709" w:hanging="709"/>
      </w:pPr>
      <w:r w:rsidRPr="00C56B7A">
        <w:t xml:space="preserve">The </w:t>
      </w:r>
      <w:proofErr w:type="gramStart"/>
      <w:r w:rsidRPr="00C56B7A">
        <w:t>schools</w:t>
      </w:r>
      <w:proofErr w:type="gramEnd"/>
      <w:r w:rsidRPr="00C56B7A">
        <w:t xml:space="preserve"> forum should agree both the value of the fund and the criteria for allocation, and the local authority should consult </w:t>
      </w:r>
      <w:proofErr w:type="gramStart"/>
      <w:r w:rsidRPr="00C56B7A">
        <w:t>schools</w:t>
      </w:r>
      <w:proofErr w:type="gramEnd"/>
      <w:r w:rsidRPr="00C56B7A">
        <w:t xml:space="preserve"> forum before expenditure is incurred. As with the growth fund, the falling rolls fund is within the NFF </w:t>
      </w:r>
      <w:proofErr w:type="gramStart"/>
      <w:r w:rsidRPr="00C56B7A">
        <w:t>schools</w:t>
      </w:r>
      <w:proofErr w:type="gramEnd"/>
      <w:r w:rsidRPr="00C56B7A">
        <w:t xml:space="preserve"> block</w:t>
      </w:r>
      <w:r w:rsidR="00EE1BB4">
        <w:t>.</w:t>
      </w:r>
    </w:p>
    <w:p w14:paraId="3D5E56E7" w14:textId="77777777" w:rsidR="00EE1BB4" w:rsidRPr="00EE1BB4" w:rsidRDefault="00EE1BB4" w:rsidP="00EE1BB4">
      <w:pPr>
        <w:pStyle w:val="ListParagraph"/>
        <w:rPr>
          <w:b/>
          <w:bCs/>
        </w:rPr>
      </w:pPr>
    </w:p>
    <w:p w14:paraId="34A774D3" w14:textId="77777777" w:rsidR="004A67A9" w:rsidRDefault="00C56B7A" w:rsidP="004A67A9">
      <w:pPr>
        <w:pStyle w:val="ListParagraph"/>
        <w:numPr>
          <w:ilvl w:val="0"/>
          <w:numId w:val="24"/>
        </w:numPr>
        <w:rPr>
          <w:b/>
          <w:bCs/>
        </w:rPr>
      </w:pPr>
      <w:r w:rsidRPr="00EE1BB4">
        <w:rPr>
          <w:b/>
          <w:bCs/>
        </w:rPr>
        <w:t> Setting falling rolls funding criteria</w:t>
      </w:r>
    </w:p>
    <w:p w14:paraId="18B0F9E3" w14:textId="77777777" w:rsidR="004A67A9" w:rsidRDefault="004A67A9" w:rsidP="004A67A9">
      <w:pPr>
        <w:pStyle w:val="ListParagraph"/>
        <w:ind w:left="360"/>
        <w:rPr>
          <w:b/>
          <w:bCs/>
        </w:rPr>
      </w:pPr>
    </w:p>
    <w:p w14:paraId="357CCBC7" w14:textId="4524ED11" w:rsidR="00EE1BB4" w:rsidRPr="004A67A9" w:rsidRDefault="00C56B7A" w:rsidP="004A67A9">
      <w:pPr>
        <w:pStyle w:val="ListParagraph"/>
        <w:numPr>
          <w:ilvl w:val="1"/>
          <w:numId w:val="24"/>
        </w:numPr>
        <w:ind w:left="709" w:hanging="709"/>
        <w:rPr>
          <w:b/>
          <w:bCs/>
        </w:rPr>
      </w:pPr>
      <w:r w:rsidRPr="00C56B7A">
        <w:t>Criteria for allocating falling rolls funding should contain clear objective trigger points for qualification and a clear formula for calculating allocations. Compliant criteria would generally contain some of the features set out below:</w:t>
      </w:r>
    </w:p>
    <w:p w14:paraId="2378918A" w14:textId="77777777" w:rsidR="00EE1BB4" w:rsidRPr="00EE1BB4" w:rsidRDefault="00EE1BB4" w:rsidP="00EE1BB4">
      <w:pPr>
        <w:pStyle w:val="ListParagraph"/>
        <w:ind w:left="709"/>
        <w:rPr>
          <w:b/>
          <w:bCs/>
        </w:rPr>
      </w:pPr>
    </w:p>
    <w:p w14:paraId="517E8820" w14:textId="77777777" w:rsidR="004A67A9" w:rsidRPr="004A67A9" w:rsidRDefault="00C56B7A" w:rsidP="004A67A9">
      <w:pPr>
        <w:pStyle w:val="ListParagraph"/>
        <w:numPr>
          <w:ilvl w:val="2"/>
          <w:numId w:val="24"/>
        </w:numPr>
        <w:ind w:left="709" w:hanging="709"/>
        <w:rPr>
          <w:b/>
          <w:bCs/>
        </w:rPr>
      </w:pPr>
      <w:r w:rsidRPr="00C56B7A">
        <w:t>SCAP shows that school places will be required in the subsequent three to five years (this is a mandatory requirement)</w:t>
      </w:r>
      <w:r w:rsidR="00EE1BB4">
        <w:t>.</w:t>
      </w:r>
    </w:p>
    <w:p w14:paraId="6B9B057B" w14:textId="77777777" w:rsidR="004A67A9" w:rsidRPr="004A67A9" w:rsidRDefault="00C56B7A" w:rsidP="004A67A9">
      <w:pPr>
        <w:pStyle w:val="ListParagraph"/>
        <w:numPr>
          <w:ilvl w:val="2"/>
          <w:numId w:val="24"/>
        </w:numPr>
        <w:ind w:left="709" w:hanging="709"/>
        <w:rPr>
          <w:b/>
          <w:bCs/>
        </w:rPr>
      </w:pPr>
      <w:r w:rsidRPr="00C56B7A">
        <w:t>surplus capacity exceeds a minimum number of pupils, or a percentage of the published admission number</w:t>
      </w:r>
      <w:r w:rsidR="004A67A9">
        <w:t xml:space="preserve"> </w:t>
      </w:r>
    </w:p>
    <w:p w14:paraId="462E2910" w14:textId="77777777" w:rsidR="004A67A9" w:rsidRPr="004A67A9" w:rsidRDefault="00C56B7A" w:rsidP="004A67A9">
      <w:pPr>
        <w:pStyle w:val="ListParagraph"/>
        <w:numPr>
          <w:ilvl w:val="2"/>
          <w:numId w:val="24"/>
        </w:numPr>
        <w:ind w:left="709" w:hanging="709"/>
        <w:rPr>
          <w:b/>
          <w:bCs/>
        </w:rPr>
      </w:pPr>
      <w:r w:rsidRPr="00C56B7A">
        <w:t>formula funding available to the school will not support provision of an appropriate curriculum for the existing cohort</w:t>
      </w:r>
      <w:r w:rsidR="00EE1BB4">
        <w:t>.</w:t>
      </w:r>
    </w:p>
    <w:p w14:paraId="5F89BA66" w14:textId="77777777" w:rsidR="004A67A9" w:rsidRPr="004A67A9" w:rsidRDefault="00C56B7A" w:rsidP="004A67A9">
      <w:pPr>
        <w:pStyle w:val="ListParagraph"/>
        <w:numPr>
          <w:ilvl w:val="2"/>
          <w:numId w:val="24"/>
        </w:numPr>
        <w:ind w:left="709" w:hanging="709"/>
        <w:rPr>
          <w:b/>
          <w:bCs/>
        </w:rPr>
      </w:pPr>
      <w:r w:rsidRPr="00C56B7A">
        <w:t>the school will need to make redundancies to contain spending within its formula budget and it is expected (using SCAP data – detailed above) that these posts will need to be re-filled in the subsequent 3 to 5 years.</w:t>
      </w:r>
    </w:p>
    <w:p w14:paraId="0412FFAD" w14:textId="77777777" w:rsidR="004A67A9" w:rsidRPr="004A67A9" w:rsidRDefault="004A67A9" w:rsidP="004A67A9">
      <w:pPr>
        <w:pStyle w:val="ListParagraph"/>
        <w:ind w:left="709"/>
        <w:rPr>
          <w:b/>
          <w:bCs/>
        </w:rPr>
      </w:pPr>
    </w:p>
    <w:p w14:paraId="53132BEC" w14:textId="77777777" w:rsidR="004A67A9" w:rsidRPr="004A67A9" w:rsidRDefault="00C56B7A" w:rsidP="004A67A9">
      <w:pPr>
        <w:pStyle w:val="ListParagraph"/>
        <w:numPr>
          <w:ilvl w:val="1"/>
          <w:numId w:val="24"/>
        </w:numPr>
        <w:ind w:left="709" w:hanging="709"/>
        <w:rPr>
          <w:b/>
          <w:bCs/>
        </w:rPr>
      </w:pPr>
      <w:r w:rsidRPr="00C56B7A">
        <w:t>Local authorities, working closely with other responsible bodies, will want to manage the local school estate efficiently and reduce or find alternative uses for high levels of spare capacity, to avoid detriment to the educational offer or financial position of schools in the area. Falling rolls funding should only be used to support schools where the places are forecast to be needed over the short-medium term.</w:t>
      </w:r>
    </w:p>
    <w:p w14:paraId="1C9934AD" w14:textId="77777777" w:rsidR="004A67A9" w:rsidRPr="004A67A9" w:rsidRDefault="004A67A9" w:rsidP="004A67A9">
      <w:pPr>
        <w:pStyle w:val="ListParagraph"/>
        <w:ind w:left="709"/>
        <w:rPr>
          <w:b/>
          <w:bCs/>
        </w:rPr>
      </w:pPr>
    </w:p>
    <w:p w14:paraId="6FB01F20" w14:textId="77777777" w:rsidR="004A67A9" w:rsidRPr="004A67A9" w:rsidRDefault="00C56B7A" w:rsidP="004A67A9">
      <w:pPr>
        <w:pStyle w:val="ListParagraph"/>
        <w:numPr>
          <w:ilvl w:val="1"/>
          <w:numId w:val="24"/>
        </w:numPr>
        <w:ind w:left="709" w:hanging="709"/>
        <w:rPr>
          <w:b/>
          <w:bCs/>
        </w:rPr>
      </w:pPr>
      <w:r w:rsidRPr="00C56B7A">
        <w:t>Growth and falling rolls funding can be used to help meet the revenue costs, for mainstream schools, of removing or repurposing surplus places. For example, the growth and falling rolls fund could be used to meet the revenue costs faced by schools for repurposing space to create SEN provision or early years places. Such use of funding must be for revenue, rather than capital costs.</w:t>
      </w:r>
    </w:p>
    <w:p w14:paraId="52A6FDE5" w14:textId="77777777" w:rsidR="004A67A9" w:rsidRDefault="004A67A9" w:rsidP="004A67A9">
      <w:pPr>
        <w:pStyle w:val="ListParagraph"/>
      </w:pPr>
    </w:p>
    <w:p w14:paraId="68C9EDCE" w14:textId="44F1149A" w:rsidR="00A40E8B" w:rsidRPr="004A67A9" w:rsidRDefault="00C56B7A" w:rsidP="004A67A9">
      <w:pPr>
        <w:pStyle w:val="ListParagraph"/>
        <w:numPr>
          <w:ilvl w:val="1"/>
          <w:numId w:val="24"/>
        </w:numPr>
        <w:ind w:left="709" w:hanging="709"/>
        <w:rPr>
          <w:b/>
          <w:bCs/>
        </w:rPr>
      </w:pPr>
      <w:r w:rsidRPr="00C56B7A">
        <w:t>Methodologies for distributing funding could include:</w:t>
      </w:r>
    </w:p>
    <w:p w14:paraId="25B4EDC6" w14:textId="77777777" w:rsidR="00A40E8B" w:rsidRDefault="00A40E8B" w:rsidP="00A40E8B">
      <w:pPr>
        <w:pStyle w:val="ListParagraph"/>
      </w:pPr>
    </w:p>
    <w:p w14:paraId="5CCDB4E0" w14:textId="77777777" w:rsidR="00A40E8B" w:rsidRDefault="00C56B7A" w:rsidP="004A67A9">
      <w:pPr>
        <w:pStyle w:val="ListParagraph"/>
        <w:numPr>
          <w:ilvl w:val="2"/>
          <w:numId w:val="31"/>
        </w:numPr>
        <w:ind w:left="709" w:hanging="709"/>
      </w:pPr>
      <w:r w:rsidRPr="00C56B7A">
        <w:t>a rate per vacant place, up to a specified maximum place number (place value likely to be based on basic entitlement)</w:t>
      </w:r>
    </w:p>
    <w:p w14:paraId="5727EA39" w14:textId="5F41079B" w:rsidR="00C56B7A" w:rsidRDefault="00C56B7A" w:rsidP="004A67A9">
      <w:pPr>
        <w:pStyle w:val="ListParagraph"/>
        <w:numPr>
          <w:ilvl w:val="2"/>
          <w:numId w:val="31"/>
        </w:numPr>
        <w:ind w:left="709" w:hanging="709"/>
      </w:pPr>
      <w:r w:rsidRPr="00C56B7A">
        <w:t>a lump sum payment with clear parameters for calculation (for example, the estimated cost of providing an appropriate curriculum, or estimated salary costs equivalent to the number of staff who would otherwise be made redundant)</w:t>
      </w:r>
    </w:p>
    <w:p w14:paraId="00FF9DBD" w14:textId="77777777" w:rsidR="004A67A9" w:rsidRPr="00C56B7A" w:rsidRDefault="004A67A9" w:rsidP="004A67A9"/>
    <w:p w14:paraId="31517A2E" w14:textId="77777777" w:rsidR="00C56B7A" w:rsidRDefault="00C56B7A" w:rsidP="00A40E8B">
      <w:pPr>
        <w:pStyle w:val="ListParagraph"/>
        <w:numPr>
          <w:ilvl w:val="1"/>
          <w:numId w:val="31"/>
        </w:numPr>
        <w:ind w:left="709" w:hanging="709"/>
      </w:pPr>
      <w:r w:rsidRPr="00C56B7A">
        <w:t xml:space="preserve">Local authorities should report any falling rolls funds remaining at the end of the financial year to the </w:t>
      </w:r>
      <w:proofErr w:type="gramStart"/>
      <w:r w:rsidRPr="00C56B7A">
        <w:t>schools</w:t>
      </w:r>
      <w:proofErr w:type="gramEnd"/>
      <w:r w:rsidRPr="00C56B7A">
        <w:t xml:space="preserve"> forum. Funding may be carried forward to the following funding period, as with any other centrally retained budget.</w:t>
      </w:r>
    </w:p>
    <w:p w14:paraId="75D9CA06" w14:textId="77777777" w:rsidR="00A40E8B" w:rsidRPr="00C56B7A" w:rsidRDefault="00A40E8B" w:rsidP="00A40E8B">
      <w:pPr>
        <w:pStyle w:val="ListParagraph"/>
        <w:ind w:left="360"/>
      </w:pPr>
    </w:p>
    <w:p w14:paraId="1DC8F8A6" w14:textId="135FD790" w:rsidR="00C56B7A" w:rsidRDefault="00C56B7A" w:rsidP="00A40E8B">
      <w:pPr>
        <w:pStyle w:val="ListParagraph"/>
        <w:numPr>
          <w:ilvl w:val="0"/>
          <w:numId w:val="31"/>
        </w:numPr>
        <w:rPr>
          <w:b/>
          <w:bCs/>
        </w:rPr>
      </w:pPr>
      <w:r w:rsidRPr="00C56B7A">
        <w:rPr>
          <w:b/>
          <w:bCs/>
        </w:rPr>
        <w:t>Examples of compliant criteria for falling rolls funding</w:t>
      </w:r>
    </w:p>
    <w:p w14:paraId="7B1C9B1C" w14:textId="77777777" w:rsidR="00A40E8B" w:rsidRPr="00C56B7A" w:rsidRDefault="00A40E8B" w:rsidP="00A40E8B">
      <w:pPr>
        <w:pStyle w:val="ListParagraph"/>
        <w:ind w:left="360"/>
        <w:rPr>
          <w:b/>
          <w:bCs/>
        </w:rPr>
      </w:pPr>
    </w:p>
    <w:p w14:paraId="41F7CC26" w14:textId="77777777" w:rsidR="00C56B7A" w:rsidRDefault="00C56B7A" w:rsidP="00A40E8B">
      <w:pPr>
        <w:pStyle w:val="ListParagraph"/>
        <w:numPr>
          <w:ilvl w:val="1"/>
          <w:numId w:val="31"/>
        </w:numPr>
        <w:ind w:left="709" w:hanging="709"/>
      </w:pPr>
      <w:r w:rsidRPr="00C56B7A">
        <w:t>Some examples of local authorities’ compliant criteria are shown below.</w:t>
      </w:r>
    </w:p>
    <w:p w14:paraId="43BE5CB4" w14:textId="77777777" w:rsidR="00A40E8B" w:rsidRPr="00C56B7A" w:rsidRDefault="00A40E8B" w:rsidP="00A40E8B">
      <w:pPr>
        <w:pStyle w:val="ListParagraph"/>
        <w:ind w:left="502"/>
      </w:pPr>
    </w:p>
    <w:p w14:paraId="5A5FB175" w14:textId="77777777" w:rsidR="00C56B7A" w:rsidRDefault="00C56B7A" w:rsidP="00A40E8B">
      <w:pPr>
        <w:pStyle w:val="ListParagraph"/>
        <w:numPr>
          <w:ilvl w:val="1"/>
          <w:numId w:val="31"/>
        </w:numPr>
        <w:ind w:left="709" w:hanging="709"/>
        <w:rPr>
          <w:b/>
          <w:bCs/>
        </w:rPr>
      </w:pPr>
      <w:r w:rsidRPr="00C56B7A">
        <w:rPr>
          <w:b/>
          <w:bCs/>
        </w:rPr>
        <w:t>Example 1</w:t>
      </w:r>
    </w:p>
    <w:p w14:paraId="0ADE7923" w14:textId="77777777" w:rsidR="00A40E8B" w:rsidRPr="00A40E8B" w:rsidRDefault="00A40E8B" w:rsidP="00A40E8B">
      <w:pPr>
        <w:pStyle w:val="ListParagraph"/>
        <w:rPr>
          <w:b/>
          <w:bCs/>
        </w:rPr>
      </w:pPr>
    </w:p>
    <w:p w14:paraId="693E01F8" w14:textId="77777777" w:rsidR="00A40E8B" w:rsidRPr="00C56B7A" w:rsidRDefault="00A40E8B" w:rsidP="00A40E8B">
      <w:pPr>
        <w:pStyle w:val="ListParagraph"/>
        <w:ind w:left="709"/>
        <w:rPr>
          <w:b/>
          <w:bCs/>
        </w:rPr>
      </w:pPr>
    </w:p>
    <w:p w14:paraId="2A7F8CD9" w14:textId="77777777" w:rsidR="00A40E8B" w:rsidRDefault="00C56B7A" w:rsidP="004A67A9">
      <w:pPr>
        <w:pStyle w:val="ListParagraph"/>
        <w:numPr>
          <w:ilvl w:val="2"/>
          <w:numId w:val="31"/>
        </w:numPr>
        <w:ind w:left="709" w:hanging="709"/>
      </w:pPr>
      <w:r w:rsidRPr="00C56B7A">
        <w:t>Identification of schools with falling rolls:</w:t>
      </w:r>
    </w:p>
    <w:p w14:paraId="7ED59D20" w14:textId="77777777" w:rsidR="00A40E8B" w:rsidRDefault="00A40E8B" w:rsidP="00A40E8B">
      <w:pPr>
        <w:pStyle w:val="ListParagraph"/>
        <w:ind w:left="360"/>
      </w:pPr>
    </w:p>
    <w:p w14:paraId="1072EEE0" w14:textId="77777777" w:rsidR="00A40E8B" w:rsidRDefault="00C56B7A" w:rsidP="004A67A9">
      <w:pPr>
        <w:pStyle w:val="ListParagraph"/>
        <w:numPr>
          <w:ilvl w:val="2"/>
          <w:numId w:val="31"/>
        </w:numPr>
        <w:ind w:left="709" w:hanging="709"/>
      </w:pPr>
      <w:r w:rsidRPr="00C56B7A">
        <w:t>the total number on roll (NOR) has dropped by at least 5% between last October census and the previous year’s October census</w:t>
      </w:r>
    </w:p>
    <w:p w14:paraId="28B2FF93" w14:textId="77777777" w:rsidR="00A40E8B" w:rsidRDefault="00C56B7A" w:rsidP="004A67A9">
      <w:pPr>
        <w:pStyle w:val="ListParagraph"/>
        <w:numPr>
          <w:ilvl w:val="2"/>
          <w:numId w:val="31"/>
        </w:numPr>
        <w:ind w:left="709" w:hanging="709"/>
      </w:pPr>
      <w:r w:rsidRPr="00C56B7A">
        <w:t>spare capacity of the school is a minimum of 15% of PAN</w:t>
      </w:r>
    </w:p>
    <w:p w14:paraId="084DC4BF" w14:textId="594AE152" w:rsidR="00C56B7A" w:rsidRDefault="00C56B7A" w:rsidP="004A67A9">
      <w:pPr>
        <w:pStyle w:val="ListParagraph"/>
        <w:numPr>
          <w:ilvl w:val="2"/>
          <w:numId w:val="31"/>
        </w:numPr>
        <w:ind w:left="709" w:hanging="709"/>
      </w:pPr>
      <w:r w:rsidRPr="00C56B7A">
        <w:t>school capacity data shows that school places will be required in the subsequent 3 to 5 years</w:t>
      </w:r>
    </w:p>
    <w:p w14:paraId="00DFAC5B" w14:textId="77777777" w:rsidR="00A40E8B" w:rsidRPr="00C56B7A" w:rsidRDefault="00A40E8B" w:rsidP="00A40E8B">
      <w:pPr>
        <w:pStyle w:val="ListParagraph"/>
        <w:ind w:left="360"/>
      </w:pPr>
    </w:p>
    <w:p w14:paraId="00CBD210" w14:textId="1E26FD5F" w:rsidR="00A40E8B" w:rsidRDefault="00C56B7A" w:rsidP="00A40E8B">
      <w:pPr>
        <w:pStyle w:val="ListParagraph"/>
        <w:numPr>
          <w:ilvl w:val="1"/>
          <w:numId w:val="31"/>
        </w:numPr>
        <w:ind w:left="709" w:hanging="709"/>
      </w:pPr>
      <w:r w:rsidRPr="00C56B7A">
        <w:t>Where a school meets all the above criteria, funding will be provided using the following calculation:</w:t>
      </w:r>
    </w:p>
    <w:p w14:paraId="36A15739" w14:textId="77777777" w:rsidR="00A40E8B" w:rsidRPr="00C56B7A" w:rsidRDefault="00A40E8B" w:rsidP="00A40E8B">
      <w:pPr>
        <w:pStyle w:val="ListParagraph"/>
        <w:ind w:left="709"/>
      </w:pPr>
    </w:p>
    <w:p w14:paraId="47BD8B55" w14:textId="77777777" w:rsidR="00C56B7A" w:rsidRDefault="00C56B7A" w:rsidP="00A40E8B">
      <w:pPr>
        <w:pStyle w:val="ListParagraph"/>
        <w:numPr>
          <w:ilvl w:val="1"/>
          <w:numId w:val="31"/>
        </w:numPr>
        <w:ind w:left="709" w:hanging="709"/>
      </w:pPr>
      <w:r w:rsidRPr="00C56B7A">
        <w:t>the NOR as at last October census will be deducted from the NOR of the previous October’s census. The result will be multiplied by the current basic entitlement rate, appropriate to phase, pro rata April to August (5 months)</w:t>
      </w:r>
    </w:p>
    <w:p w14:paraId="77437FBA" w14:textId="77777777" w:rsidR="00A40E8B" w:rsidRPr="00C56B7A" w:rsidRDefault="00A40E8B" w:rsidP="00A40E8B"/>
    <w:p w14:paraId="4D9729A6" w14:textId="77777777" w:rsidR="00C56B7A" w:rsidRDefault="00C56B7A" w:rsidP="00A40E8B">
      <w:pPr>
        <w:pStyle w:val="ListParagraph"/>
        <w:numPr>
          <w:ilvl w:val="0"/>
          <w:numId w:val="31"/>
        </w:numPr>
        <w:rPr>
          <w:b/>
          <w:bCs/>
        </w:rPr>
      </w:pPr>
      <w:r w:rsidRPr="00C56B7A">
        <w:rPr>
          <w:b/>
          <w:bCs/>
        </w:rPr>
        <w:t>Example 2</w:t>
      </w:r>
    </w:p>
    <w:p w14:paraId="764C6CE0" w14:textId="77777777" w:rsidR="00A40E8B" w:rsidRPr="00C56B7A" w:rsidRDefault="00A40E8B" w:rsidP="00A40E8B">
      <w:pPr>
        <w:pStyle w:val="ListParagraph"/>
        <w:ind w:left="360"/>
        <w:rPr>
          <w:b/>
          <w:bCs/>
        </w:rPr>
      </w:pPr>
    </w:p>
    <w:p w14:paraId="3B25A31E" w14:textId="77777777" w:rsidR="00C56B7A" w:rsidRPr="00C56B7A" w:rsidRDefault="00C56B7A" w:rsidP="00A40E8B">
      <w:pPr>
        <w:pStyle w:val="ListParagraph"/>
        <w:numPr>
          <w:ilvl w:val="1"/>
          <w:numId w:val="31"/>
        </w:numPr>
        <w:ind w:left="709" w:hanging="709"/>
      </w:pPr>
      <w:r w:rsidRPr="00C56B7A">
        <w:t xml:space="preserve">Additional funding is allocated based on a proportion of the basic entitlement for vacant places below 85% of the PAN for the normal year of entry (reception or year 7) </w:t>
      </w:r>
      <w:proofErr w:type="gramStart"/>
      <w:r w:rsidRPr="00C56B7A">
        <w:t>and also</w:t>
      </w:r>
      <w:proofErr w:type="gramEnd"/>
      <w:r w:rsidRPr="00C56B7A">
        <w:t xml:space="preserve"> for the next year group after entry (year 1 and year 8). Funding is available for a maximum of 3 years (provided SCAP data shows places are needed in the next 3 to 5 years) after which a school’s PAN may be adjusted or other action taken.</w:t>
      </w:r>
    </w:p>
    <w:p w14:paraId="1E415DBE" w14:textId="77777777" w:rsidR="00C56B7A" w:rsidRDefault="00C56B7A" w:rsidP="00A40E8B">
      <w:pPr>
        <w:pStyle w:val="ListParagraph"/>
        <w:ind w:left="360"/>
      </w:pPr>
    </w:p>
    <w:p w14:paraId="396FD9E7" w14:textId="77777777" w:rsidR="00C56B7A" w:rsidRDefault="00C56B7A" w:rsidP="00C56B7A"/>
    <w:p w14:paraId="4BF4F43D" w14:textId="77777777" w:rsidR="00C56B7A" w:rsidRDefault="00C56B7A" w:rsidP="00C56B7A"/>
    <w:p w14:paraId="256D48BB" w14:textId="77777777" w:rsidR="00C56B7A" w:rsidRPr="00CC3A17" w:rsidRDefault="00C56B7A" w:rsidP="00933FF4">
      <w:pPr>
        <w:spacing w:after="120"/>
      </w:pPr>
    </w:p>
    <w:p w14:paraId="33EF62DC" w14:textId="77777777" w:rsidR="00CC3A17" w:rsidRPr="00CC3A17" w:rsidRDefault="00CC3A17" w:rsidP="00F44713">
      <w:pPr>
        <w:jc w:val="both"/>
        <w:rPr>
          <w:b/>
        </w:rPr>
      </w:pPr>
    </w:p>
    <w:sectPr w:rsidR="00CC3A17" w:rsidRPr="00CC3A17" w:rsidSect="00F32C7A">
      <w:footerReference w:type="default" r:id="rId12"/>
      <w:headerReference w:type="first" r:id="rId13"/>
      <w:footerReference w:type="first" r:id="rId14"/>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1395" w14:textId="77777777" w:rsidR="000A7A37" w:rsidRDefault="000A7A37">
      <w:r>
        <w:separator/>
      </w:r>
    </w:p>
  </w:endnote>
  <w:endnote w:type="continuationSeparator" w:id="0">
    <w:p w14:paraId="7AE01C79" w14:textId="77777777" w:rsidR="000A7A37" w:rsidRDefault="000A7A37">
      <w:r>
        <w:continuationSeparator/>
      </w:r>
    </w:p>
  </w:endnote>
  <w:endnote w:type="continuationNotice" w:id="1">
    <w:p w14:paraId="661ED781" w14:textId="77777777" w:rsidR="000A7A37" w:rsidRDefault="000A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B16F" w14:textId="77777777" w:rsidR="000A7A37" w:rsidRDefault="000A7A37">
      <w:r>
        <w:separator/>
      </w:r>
    </w:p>
  </w:footnote>
  <w:footnote w:type="continuationSeparator" w:id="0">
    <w:p w14:paraId="330873E4" w14:textId="77777777" w:rsidR="000A7A37" w:rsidRDefault="000A7A37">
      <w:r>
        <w:continuationSeparator/>
      </w:r>
    </w:p>
  </w:footnote>
  <w:footnote w:type="continuationNotice" w:id="1">
    <w:p w14:paraId="0FE6819C" w14:textId="77777777" w:rsidR="000A7A37" w:rsidRDefault="000A7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9264" behindDoc="0" locked="0" layoutInCell="1" allowOverlap="1" wp14:anchorId="6BF81060" wp14:editId="027DA9F8">
          <wp:simplePos x="0" y="0"/>
          <wp:positionH relativeFrom="column">
            <wp:posOffset>996950</wp:posOffset>
          </wp:positionH>
          <wp:positionV relativeFrom="paragraph">
            <wp:posOffset>-457200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4419"/>
    <w:multiLevelType w:val="multilevel"/>
    <w:tmpl w:val="772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A4B89"/>
    <w:multiLevelType w:val="multilevel"/>
    <w:tmpl w:val="4378DF5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7AD8"/>
    <w:multiLevelType w:val="multilevel"/>
    <w:tmpl w:val="E3AA7470"/>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7"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8D360FC"/>
    <w:multiLevelType w:val="multilevel"/>
    <w:tmpl w:val="F0B4D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66AB6"/>
    <w:multiLevelType w:val="multilevel"/>
    <w:tmpl w:val="4378DF5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1A41CC1"/>
    <w:multiLevelType w:val="multilevel"/>
    <w:tmpl w:val="C3D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B4C59"/>
    <w:multiLevelType w:val="multilevel"/>
    <w:tmpl w:val="65C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790784C"/>
    <w:multiLevelType w:val="multilevel"/>
    <w:tmpl w:val="BC18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D3358"/>
    <w:multiLevelType w:val="hybridMultilevel"/>
    <w:tmpl w:val="D8DE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0777ED"/>
    <w:multiLevelType w:val="multilevel"/>
    <w:tmpl w:val="E3AA7470"/>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9"/>
  </w:num>
  <w:num w:numId="2" w16cid:durableId="859008117">
    <w:abstractNumId w:val="6"/>
  </w:num>
  <w:num w:numId="3" w16cid:durableId="1128940347">
    <w:abstractNumId w:val="5"/>
  </w:num>
  <w:num w:numId="4" w16cid:durableId="961350845">
    <w:abstractNumId w:val="28"/>
  </w:num>
  <w:num w:numId="5" w16cid:durableId="2112582821">
    <w:abstractNumId w:val="2"/>
  </w:num>
  <w:num w:numId="6" w16cid:durableId="826749769">
    <w:abstractNumId w:val="30"/>
  </w:num>
  <w:num w:numId="7" w16cid:durableId="711808934">
    <w:abstractNumId w:val="25"/>
  </w:num>
  <w:num w:numId="8" w16cid:durableId="1755011723">
    <w:abstractNumId w:val="19"/>
  </w:num>
  <w:num w:numId="9" w16cid:durableId="168646490">
    <w:abstractNumId w:val="8"/>
  </w:num>
  <w:num w:numId="10" w16cid:durableId="584847387">
    <w:abstractNumId w:val="15"/>
  </w:num>
  <w:num w:numId="11" w16cid:durableId="269240368">
    <w:abstractNumId w:val="7"/>
  </w:num>
  <w:num w:numId="12" w16cid:durableId="688799310">
    <w:abstractNumId w:val="9"/>
  </w:num>
  <w:num w:numId="13" w16cid:durableId="433979666">
    <w:abstractNumId w:val="4"/>
  </w:num>
  <w:num w:numId="14" w16cid:durableId="1935017388">
    <w:abstractNumId w:val="22"/>
  </w:num>
  <w:num w:numId="15" w16cid:durableId="1560676493">
    <w:abstractNumId w:val="14"/>
  </w:num>
  <w:num w:numId="16" w16cid:durableId="833644862">
    <w:abstractNumId w:val="21"/>
  </w:num>
  <w:num w:numId="17" w16cid:durableId="1679307371">
    <w:abstractNumId w:val="31"/>
  </w:num>
  <w:num w:numId="18" w16cid:durableId="1709406665">
    <w:abstractNumId w:val="17"/>
  </w:num>
  <w:num w:numId="19" w16cid:durableId="47539915">
    <w:abstractNumId w:val="13"/>
  </w:num>
  <w:num w:numId="20" w16cid:durableId="813182328">
    <w:abstractNumId w:val="26"/>
  </w:num>
  <w:num w:numId="21" w16cid:durableId="1776166047">
    <w:abstractNumId w:val="16"/>
  </w:num>
  <w:num w:numId="22" w16cid:durableId="525096245">
    <w:abstractNumId w:val="20"/>
  </w:num>
  <w:num w:numId="23" w16cid:durableId="593055344">
    <w:abstractNumId w:val="24"/>
  </w:num>
  <w:num w:numId="24" w16cid:durableId="1552689484">
    <w:abstractNumId w:val="1"/>
  </w:num>
  <w:num w:numId="25" w16cid:durableId="1195922665">
    <w:abstractNumId w:val="23"/>
  </w:num>
  <w:num w:numId="26" w16cid:durableId="981543970">
    <w:abstractNumId w:val="12"/>
  </w:num>
  <w:num w:numId="27" w16cid:durableId="972947619">
    <w:abstractNumId w:val="18"/>
  </w:num>
  <w:num w:numId="28" w16cid:durableId="654727464">
    <w:abstractNumId w:val="0"/>
  </w:num>
  <w:num w:numId="29" w16cid:durableId="1635674101">
    <w:abstractNumId w:val="27"/>
  </w:num>
  <w:num w:numId="30" w16cid:durableId="618490547">
    <w:abstractNumId w:val="10"/>
  </w:num>
  <w:num w:numId="31" w16cid:durableId="590285311">
    <w:abstractNumId w:val="11"/>
  </w:num>
  <w:num w:numId="32" w16cid:durableId="60793128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284B"/>
    <w:rsid w:val="00060FED"/>
    <w:rsid w:val="000649F8"/>
    <w:rsid w:val="0007256E"/>
    <w:rsid w:val="000770D5"/>
    <w:rsid w:val="00077299"/>
    <w:rsid w:val="000813DA"/>
    <w:rsid w:val="00083BBE"/>
    <w:rsid w:val="0008668C"/>
    <w:rsid w:val="000879FB"/>
    <w:rsid w:val="00090CBA"/>
    <w:rsid w:val="00095CEF"/>
    <w:rsid w:val="000A6EEE"/>
    <w:rsid w:val="000A7872"/>
    <w:rsid w:val="000A78CA"/>
    <w:rsid w:val="000A7A37"/>
    <w:rsid w:val="000B09D9"/>
    <w:rsid w:val="000B24B2"/>
    <w:rsid w:val="000B62AF"/>
    <w:rsid w:val="000C12F6"/>
    <w:rsid w:val="000C1387"/>
    <w:rsid w:val="000C2B76"/>
    <w:rsid w:val="000C494D"/>
    <w:rsid w:val="000C55F2"/>
    <w:rsid w:val="000D2210"/>
    <w:rsid w:val="000D23BD"/>
    <w:rsid w:val="000D3037"/>
    <w:rsid w:val="000D6C01"/>
    <w:rsid w:val="000D6FF5"/>
    <w:rsid w:val="000D7FE8"/>
    <w:rsid w:val="000E153F"/>
    <w:rsid w:val="000E5EAC"/>
    <w:rsid w:val="000E6B40"/>
    <w:rsid w:val="000E7C2D"/>
    <w:rsid w:val="000F02CD"/>
    <w:rsid w:val="000F0BCB"/>
    <w:rsid w:val="000F10FE"/>
    <w:rsid w:val="000F77A1"/>
    <w:rsid w:val="000F7FF0"/>
    <w:rsid w:val="00101397"/>
    <w:rsid w:val="00102CEB"/>
    <w:rsid w:val="00106EA4"/>
    <w:rsid w:val="00107D64"/>
    <w:rsid w:val="00115CC1"/>
    <w:rsid w:val="00117547"/>
    <w:rsid w:val="00123518"/>
    <w:rsid w:val="00123BD5"/>
    <w:rsid w:val="00124860"/>
    <w:rsid w:val="00124892"/>
    <w:rsid w:val="0013087F"/>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617F7"/>
    <w:rsid w:val="00163648"/>
    <w:rsid w:val="001637DD"/>
    <w:rsid w:val="001638D3"/>
    <w:rsid w:val="001659C6"/>
    <w:rsid w:val="0017032B"/>
    <w:rsid w:val="00171274"/>
    <w:rsid w:val="001761E9"/>
    <w:rsid w:val="0017674E"/>
    <w:rsid w:val="00177800"/>
    <w:rsid w:val="001778B8"/>
    <w:rsid w:val="00180B04"/>
    <w:rsid w:val="001810FE"/>
    <w:rsid w:val="0018448F"/>
    <w:rsid w:val="00184A94"/>
    <w:rsid w:val="001852E5"/>
    <w:rsid w:val="001878D8"/>
    <w:rsid w:val="0019143A"/>
    <w:rsid w:val="001919B1"/>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48A1"/>
    <w:rsid w:val="001C4EFA"/>
    <w:rsid w:val="001C6F21"/>
    <w:rsid w:val="001D4DD6"/>
    <w:rsid w:val="001D6BA4"/>
    <w:rsid w:val="001E4116"/>
    <w:rsid w:val="001E472B"/>
    <w:rsid w:val="001E7624"/>
    <w:rsid w:val="001F3545"/>
    <w:rsid w:val="001F661F"/>
    <w:rsid w:val="00200347"/>
    <w:rsid w:val="00203198"/>
    <w:rsid w:val="00203EAA"/>
    <w:rsid w:val="002051AB"/>
    <w:rsid w:val="00205496"/>
    <w:rsid w:val="002078E3"/>
    <w:rsid w:val="00213744"/>
    <w:rsid w:val="002167D2"/>
    <w:rsid w:val="002204ED"/>
    <w:rsid w:val="00221B84"/>
    <w:rsid w:val="00223C9A"/>
    <w:rsid w:val="002246CA"/>
    <w:rsid w:val="002251FE"/>
    <w:rsid w:val="00225E8D"/>
    <w:rsid w:val="0022611B"/>
    <w:rsid w:val="00227C8E"/>
    <w:rsid w:val="0023028E"/>
    <w:rsid w:val="00231641"/>
    <w:rsid w:val="00231AB4"/>
    <w:rsid w:val="00241252"/>
    <w:rsid w:val="002427BF"/>
    <w:rsid w:val="002452BF"/>
    <w:rsid w:val="00246223"/>
    <w:rsid w:val="00246829"/>
    <w:rsid w:val="00250468"/>
    <w:rsid w:val="002511E5"/>
    <w:rsid w:val="00253B34"/>
    <w:rsid w:val="00254D79"/>
    <w:rsid w:val="00255AF0"/>
    <w:rsid w:val="00255B22"/>
    <w:rsid w:val="00255B4E"/>
    <w:rsid w:val="0025632D"/>
    <w:rsid w:val="0025736A"/>
    <w:rsid w:val="002623C7"/>
    <w:rsid w:val="002640E1"/>
    <w:rsid w:val="00264249"/>
    <w:rsid w:val="00264B6C"/>
    <w:rsid w:val="0026505F"/>
    <w:rsid w:val="00273AC3"/>
    <w:rsid w:val="002843FB"/>
    <w:rsid w:val="00287DBD"/>
    <w:rsid w:val="0029022D"/>
    <w:rsid w:val="00291476"/>
    <w:rsid w:val="0029323C"/>
    <w:rsid w:val="002942EC"/>
    <w:rsid w:val="00294E1F"/>
    <w:rsid w:val="00295350"/>
    <w:rsid w:val="002958F1"/>
    <w:rsid w:val="002A0D9E"/>
    <w:rsid w:val="002A1BF1"/>
    <w:rsid w:val="002A1F3F"/>
    <w:rsid w:val="002A493D"/>
    <w:rsid w:val="002A69DC"/>
    <w:rsid w:val="002B32E8"/>
    <w:rsid w:val="002B4713"/>
    <w:rsid w:val="002B4791"/>
    <w:rsid w:val="002B6C1C"/>
    <w:rsid w:val="002D7915"/>
    <w:rsid w:val="002E27CC"/>
    <w:rsid w:val="002E57C7"/>
    <w:rsid w:val="002F55A8"/>
    <w:rsid w:val="002F6FBC"/>
    <w:rsid w:val="00300DF2"/>
    <w:rsid w:val="0030490E"/>
    <w:rsid w:val="00305F74"/>
    <w:rsid w:val="00306179"/>
    <w:rsid w:val="00306353"/>
    <w:rsid w:val="00307098"/>
    <w:rsid w:val="00307B81"/>
    <w:rsid w:val="0031090B"/>
    <w:rsid w:val="003115CD"/>
    <w:rsid w:val="00316412"/>
    <w:rsid w:val="00322E4D"/>
    <w:rsid w:val="00325AE4"/>
    <w:rsid w:val="00326E03"/>
    <w:rsid w:val="003301FE"/>
    <w:rsid w:val="003322EA"/>
    <w:rsid w:val="003345A8"/>
    <w:rsid w:val="0034258A"/>
    <w:rsid w:val="00346D9A"/>
    <w:rsid w:val="0035001D"/>
    <w:rsid w:val="003512C7"/>
    <w:rsid w:val="0035185E"/>
    <w:rsid w:val="00351F12"/>
    <w:rsid w:val="003531BB"/>
    <w:rsid w:val="003536FC"/>
    <w:rsid w:val="003564B6"/>
    <w:rsid w:val="00361F94"/>
    <w:rsid w:val="003629DA"/>
    <w:rsid w:val="00365C22"/>
    <w:rsid w:val="00365E3C"/>
    <w:rsid w:val="00367965"/>
    <w:rsid w:val="00371393"/>
    <w:rsid w:val="003754E3"/>
    <w:rsid w:val="00383021"/>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3995"/>
    <w:rsid w:val="003D435E"/>
    <w:rsid w:val="003E00BB"/>
    <w:rsid w:val="003E61A9"/>
    <w:rsid w:val="003E6E46"/>
    <w:rsid w:val="003F5D94"/>
    <w:rsid w:val="003F6281"/>
    <w:rsid w:val="00404DAF"/>
    <w:rsid w:val="004056A4"/>
    <w:rsid w:val="00405741"/>
    <w:rsid w:val="00405B39"/>
    <w:rsid w:val="0041038E"/>
    <w:rsid w:val="00410D37"/>
    <w:rsid w:val="004130DB"/>
    <w:rsid w:val="00414FDB"/>
    <w:rsid w:val="00420766"/>
    <w:rsid w:val="00421266"/>
    <w:rsid w:val="00421504"/>
    <w:rsid w:val="004256EA"/>
    <w:rsid w:val="004277FE"/>
    <w:rsid w:val="00432144"/>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73"/>
    <w:rsid w:val="004705A1"/>
    <w:rsid w:val="00472A92"/>
    <w:rsid w:val="0048219E"/>
    <w:rsid w:val="004838C5"/>
    <w:rsid w:val="0048399E"/>
    <w:rsid w:val="004862AC"/>
    <w:rsid w:val="004862E0"/>
    <w:rsid w:val="00486492"/>
    <w:rsid w:val="00491DC6"/>
    <w:rsid w:val="00492604"/>
    <w:rsid w:val="00493052"/>
    <w:rsid w:val="004A0F22"/>
    <w:rsid w:val="004A2E13"/>
    <w:rsid w:val="004A2E94"/>
    <w:rsid w:val="004A64C6"/>
    <w:rsid w:val="004A67A9"/>
    <w:rsid w:val="004B1220"/>
    <w:rsid w:val="004B2762"/>
    <w:rsid w:val="004B347E"/>
    <w:rsid w:val="004B6ED7"/>
    <w:rsid w:val="004B7D19"/>
    <w:rsid w:val="004B7D3B"/>
    <w:rsid w:val="004C10C9"/>
    <w:rsid w:val="004D03E3"/>
    <w:rsid w:val="004D1C4B"/>
    <w:rsid w:val="004D27CE"/>
    <w:rsid w:val="004D4FF7"/>
    <w:rsid w:val="004D5594"/>
    <w:rsid w:val="004D79DD"/>
    <w:rsid w:val="004D7D73"/>
    <w:rsid w:val="004E357D"/>
    <w:rsid w:val="004F6589"/>
    <w:rsid w:val="004F67E3"/>
    <w:rsid w:val="00500576"/>
    <w:rsid w:val="00501776"/>
    <w:rsid w:val="0050651C"/>
    <w:rsid w:val="0050719C"/>
    <w:rsid w:val="00510168"/>
    <w:rsid w:val="005112CE"/>
    <w:rsid w:val="00512519"/>
    <w:rsid w:val="00517934"/>
    <w:rsid w:val="0053007E"/>
    <w:rsid w:val="005301D7"/>
    <w:rsid w:val="0053384C"/>
    <w:rsid w:val="00534464"/>
    <w:rsid w:val="005400C7"/>
    <w:rsid w:val="0054015A"/>
    <w:rsid w:val="00540291"/>
    <w:rsid w:val="005404BE"/>
    <w:rsid w:val="00545A21"/>
    <w:rsid w:val="005520F5"/>
    <w:rsid w:val="00552A9D"/>
    <w:rsid w:val="00557BAC"/>
    <w:rsid w:val="005638F5"/>
    <w:rsid w:val="00565F48"/>
    <w:rsid w:val="005673C2"/>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4723"/>
    <w:rsid w:val="0059662E"/>
    <w:rsid w:val="00597EE4"/>
    <w:rsid w:val="005A152C"/>
    <w:rsid w:val="005A1E97"/>
    <w:rsid w:val="005A2910"/>
    <w:rsid w:val="005A29F4"/>
    <w:rsid w:val="005A2D18"/>
    <w:rsid w:val="005A3C4D"/>
    <w:rsid w:val="005A3F24"/>
    <w:rsid w:val="005A4229"/>
    <w:rsid w:val="005B36F3"/>
    <w:rsid w:val="005B488F"/>
    <w:rsid w:val="005B71A8"/>
    <w:rsid w:val="005C0D40"/>
    <w:rsid w:val="005C1322"/>
    <w:rsid w:val="005C2C39"/>
    <w:rsid w:val="005C6C38"/>
    <w:rsid w:val="005D0E2D"/>
    <w:rsid w:val="005D57DA"/>
    <w:rsid w:val="005D61F5"/>
    <w:rsid w:val="005D6A71"/>
    <w:rsid w:val="005E090C"/>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11F9B"/>
    <w:rsid w:val="00612905"/>
    <w:rsid w:val="006134FA"/>
    <w:rsid w:val="00613717"/>
    <w:rsid w:val="00614512"/>
    <w:rsid w:val="0061485C"/>
    <w:rsid w:val="00615E88"/>
    <w:rsid w:val="00626E54"/>
    <w:rsid w:val="00627670"/>
    <w:rsid w:val="0063063F"/>
    <w:rsid w:val="00635364"/>
    <w:rsid w:val="006370C7"/>
    <w:rsid w:val="00640535"/>
    <w:rsid w:val="006413E6"/>
    <w:rsid w:val="00645430"/>
    <w:rsid w:val="0064560E"/>
    <w:rsid w:val="00646554"/>
    <w:rsid w:val="00646D3B"/>
    <w:rsid w:val="00650C89"/>
    <w:rsid w:val="00651DAF"/>
    <w:rsid w:val="0065202F"/>
    <w:rsid w:val="00653479"/>
    <w:rsid w:val="00661156"/>
    <w:rsid w:val="00663B55"/>
    <w:rsid w:val="00666073"/>
    <w:rsid w:val="00666C61"/>
    <w:rsid w:val="006706BB"/>
    <w:rsid w:val="006706D9"/>
    <w:rsid w:val="00671CCB"/>
    <w:rsid w:val="0067369D"/>
    <w:rsid w:val="00674AD4"/>
    <w:rsid w:val="0068212D"/>
    <w:rsid w:val="00690411"/>
    <w:rsid w:val="00690471"/>
    <w:rsid w:val="00690BB3"/>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34B5"/>
    <w:rsid w:val="006C3E43"/>
    <w:rsid w:val="006C5A10"/>
    <w:rsid w:val="006C63CE"/>
    <w:rsid w:val="006C6470"/>
    <w:rsid w:val="006C75C1"/>
    <w:rsid w:val="006C7A55"/>
    <w:rsid w:val="006D478E"/>
    <w:rsid w:val="006D64E4"/>
    <w:rsid w:val="006E32DC"/>
    <w:rsid w:val="006E4D4F"/>
    <w:rsid w:val="006E6773"/>
    <w:rsid w:val="006E6E13"/>
    <w:rsid w:val="006F119E"/>
    <w:rsid w:val="006F1734"/>
    <w:rsid w:val="006F19C4"/>
    <w:rsid w:val="006F2AAB"/>
    <w:rsid w:val="006F2E0C"/>
    <w:rsid w:val="006F44CE"/>
    <w:rsid w:val="006F4CE3"/>
    <w:rsid w:val="00700E8D"/>
    <w:rsid w:val="007032A6"/>
    <w:rsid w:val="0071067E"/>
    <w:rsid w:val="0071199C"/>
    <w:rsid w:val="00713A80"/>
    <w:rsid w:val="0071531E"/>
    <w:rsid w:val="00715428"/>
    <w:rsid w:val="00715E7F"/>
    <w:rsid w:val="0072267D"/>
    <w:rsid w:val="00722B95"/>
    <w:rsid w:val="007245AD"/>
    <w:rsid w:val="00724C59"/>
    <w:rsid w:val="00725004"/>
    <w:rsid w:val="00727022"/>
    <w:rsid w:val="00727E6B"/>
    <w:rsid w:val="0073156E"/>
    <w:rsid w:val="00734345"/>
    <w:rsid w:val="0073475B"/>
    <w:rsid w:val="0073697C"/>
    <w:rsid w:val="007420EE"/>
    <w:rsid w:val="007443D5"/>
    <w:rsid w:val="00744C03"/>
    <w:rsid w:val="0074574C"/>
    <w:rsid w:val="0075189C"/>
    <w:rsid w:val="007536BC"/>
    <w:rsid w:val="00753F5C"/>
    <w:rsid w:val="00754A70"/>
    <w:rsid w:val="00756E82"/>
    <w:rsid w:val="00763D75"/>
    <w:rsid w:val="00764D51"/>
    <w:rsid w:val="007654C8"/>
    <w:rsid w:val="007664A2"/>
    <w:rsid w:val="007731C8"/>
    <w:rsid w:val="00774579"/>
    <w:rsid w:val="00775B48"/>
    <w:rsid w:val="007766FD"/>
    <w:rsid w:val="00776CAA"/>
    <w:rsid w:val="00777C75"/>
    <w:rsid w:val="007830A0"/>
    <w:rsid w:val="007835A7"/>
    <w:rsid w:val="00785635"/>
    <w:rsid w:val="007868EC"/>
    <w:rsid w:val="00787C74"/>
    <w:rsid w:val="00793F85"/>
    <w:rsid w:val="00795B01"/>
    <w:rsid w:val="007976AC"/>
    <w:rsid w:val="00797C2F"/>
    <w:rsid w:val="007A0400"/>
    <w:rsid w:val="007A417B"/>
    <w:rsid w:val="007B0E4D"/>
    <w:rsid w:val="007B1595"/>
    <w:rsid w:val="007B267B"/>
    <w:rsid w:val="007C0701"/>
    <w:rsid w:val="007C0808"/>
    <w:rsid w:val="007C3603"/>
    <w:rsid w:val="007C5374"/>
    <w:rsid w:val="007C5969"/>
    <w:rsid w:val="007C693F"/>
    <w:rsid w:val="007D15CC"/>
    <w:rsid w:val="007D183D"/>
    <w:rsid w:val="007D3E13"/>
    <w:rsid w:val="007D695C"/>
    <w:rsid w:val="007F1F70"/>
    <w:rsid w:val="007F25A5"/>
    <w:rsid w:val="007F442C"/>
    <w:rsid w:val="007F598E"/>
    <w:rsid w:val="007F68E4"/>
    <w:rsid w:val="00800A7E"/>
    <w:rsid w:val="00800D22"/>
    <w:rsid w:val="008016EC"/>
    <w:rsid w:val="0080587B"/>
    <w:rsid w:val="008059CF"/>
    <w:rsid w:val="00811614"/>
    <w:rsid w:val="00816807"/>
    <w:rsid w:val="00816C93"/>
    <w:rsid w:val="00816F02"/>
    <w:rsid w:val="0082163E"/>
    <w:rsid w:val="00821A96"/>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51B78"/>
    <w:rsid w:val="00851E63"/>
    <w:rsid w:val="0085360B"/>
    <w:rsid w:val="00853979"/>
    <w:rsid w:val="00853D65"/>
    <w:rsid w:val="008551AC"/>
    <w:rsid w:val="0086103F"/>
    <w:rsid w:val="008612D5"/>
    <w:rsid w:val="0086240E"/>
    <w:rsid w:val="00862649"/>
    <w:rsid w:val="0086287B"/>
    <w:rsid w:val="00864A20"/>
    <w:rsid w:val="00865EB7"/>
    <w:rsid w:val="0086682F"/>
    <w:rsid w:val="0087027F"/>
    <w:rsid w:val="00870AB5"/>
    <w:rsid w:val="00871172"/>
    <w:rsid w:val="00875173"/>
    <w:rsid w:val="00876D9E"/>
    <w:rsid w:val="00883BFB"/>
    <w:rsid w:val="00884588"/>
    <w:rsid w:val="00884B12"/>
    <w:rsid w:val="00884F15"/>
    <w:rsid w:val="008859CF"/>
    <w:rsid w:val="00887A6A"/>
    <w:rsid w:val="008918D0"/>
    <w:rsid w:val="00893CD7"/>
    <w:rsid w:val="0089520D"/>
    <w:rsid w:val="0089533B"/>
    <w:rsid w:val="00895ACF"/>
    <w:rsid w:val="00896233"/>
    <w:rsid w:val="00897094"/>
    <w:rsid w:val="008A0721"/>
    <w:rsid w:val="008A3C5C"/>
    <w:rsid w:val="008A44F3"/>
    <w:rsid w:val="008B7AEB"/>
    <w:rsid w:val="008C0499"/>
    <w:rsid w:val="008C0B93"/>
    <w:rsid w:val="008C10D0"/>
    <w:rsid w:val="008C1863"/>
    <w:rsid w:val="008C2594"/>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8AA"/>
    <w:rsid w:val="00901921"/>
    <w:rsid w:val="00901D67"/>
    <w:rsid w:val="0090215F"/>
    <w:rsid w:val="00902B91"/>
    <w:rsid w:val="00905AA3"/>
    <w:rsid w:val="0091068B"/>
    <w:rsid w:val="00910C13"/>
    <w:rsid w:val="00922F7A"/>
    <w:rsid w:val="009307DD"/>
    <w:rsid w:val="009324CE"/>
    <w:rsid w:val="009333EF"/>
    <w:rsid w:val="00933FF4"/>
    <w:rsid w:val="009340B4"/>
    <w:rsid w:val="00936C71"/>
    <w:rsid w:val="00937126"/>
    <w:rsid w:val="009376B7"/>
    <w:rsid w:val="009378DD"/>
    <w:rsid w:val="00940B24"/>
    <w:rsid w:val="0095646E"/>
    <w:rsid w:val="009632BA"/>
    <w:rsid w:val="009633C9"/>
    <w:rsid w:val="00967D19"/>
    <w:rsid w:val="00971B06"/>
    <w:rsid w:val="0097291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E9E"/>
    <w:rsid w:val="009B5F87"/>
    <w:rsid w:val="009C195B"/>
    <w:rsid w:val="009C6A63"/>
    <w:rsid w:val="009D02BA"/>
    <w:rsid w:val="009D102D"/>
    <w:rsid w:val="009D16E8"/>
    <w:rsid w:val="009D22C3"/>
    <w:rsid w:val="009E2CE1"/>
    <w:rsid w:val="009E38B3"/>
    <w:rsid w:val="009E422F"/>
    <w:rsid w:val="009E5D5A"/>
    <w:rsid w:val="009E5E0D"/>
    <w:rsid w:val="009F09E1"/>
    <w:rsid w:val="009F13F7"/>
    <w:rsid w:val="009F2321"/>
    <w:rsid w:val="009F23E8"/>
    <w:rsid w:val="009F7730"/>
    <w:rsid w:val="00A021D0"/>
    <w:rsid w:val="00A0264B"/>
    <w:rsid w:val="00A05C82"/>
    <w:rsid w:val="00A0631F"/>
    <w:rsid w:val="00A119C4"/>
    <w:rsid w:val="00A11C8C"/>
    <w:rsid w:val="00A120E8"/>
    <w:rsid w:val="00A136A7"/>
    <w:rsid w:val="00A21A67"/>
    <w:rsid w:val="00A26126"/>
    <w:rsid w:val="00A270FB"/>
    <w:rsid w:val="00A32FB7"/>
    <w:rsid w:val="00A34330"/>
    <w:rsid w:val="00A3450A"/>
    <w:rsid w:val="00A36065"/>
    <w:rsid w:val="00A3612E"/>
    <w:rsid w:val="00A3769A"/>
    <w:rsid w:val="00A40E8B"/>
    <w:rsid w:val="00A4191B"/>
    <w:rsid w:val="00A41FDD"/>
    <w:rsid w:val="00A4204B"/>
    <w:rsid w:val="00A46BC0"/>
    <w:rsid w:val="00A506EF"/>
    <w:rsid w:val="00A50D2C"/>
    <w:rsid w:val="00A548ED"/>
    <w:rsid w:val="00A5513D"/>
    <w:rsid w:val="00A60DE3"/>
    <w:rsid w:val="00A6624F"/>
    <w:rsid w:val="00A67F16"/>
    <w:rsid w:val="00A70D06"/>
    <w:rsid w:val="00A715B4"/>
    <w:rsid w:val="00A718FC"/>
    <w:rsid w:val="00A71B62"/>
    <w:rsid w:val="00A7607A"/>
    <w:rsid w:val="00A76AC6"/>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15D3"/>
    <w:rsid w:val="00AC15EF"/>
    <w:rsid w:val="00AC36C7"/>
    <w:rsid w:val="00AC481F"/>
    <w:rsid w:val="00AC5485"/>
    <w:rsid w:val="00AC74F5"/>
    <w:rsid w:val="00AC7E50"/>
    <w:rsid w:val="00AD34DC"/>
    <w:rsid w:val="00AD3B31"/>
    <w:rsid w:val="00AD467E"/>
    <w:rsid w:val="00AD63CE"/>
    <w:rsid w:val="00AD6A4F"/>
    <w:rsid w:val="00AE2D02"/>
    <w:rsid w:val="00AE3F0D"/>
    <w:rsid w:val="00AF29ED"/>
    <w:rsid w:val="00AF4619"/>
    <w:rsid w:val="00AF5725"/>
    <w:rsid w:val="00AF5AC9"/>
    <w:rsid w:val="00AF72A6"/>
    <w:rsid w:val="00B006AA"/>
    <w:rsid w:val="00B00BFF"/>
    <w:rsid w:val="00B024C4"/>
    <w:rsid w:val="00B03668"/>
    <w:rsid w:val="00B05C9E"/>
    <w:rsid w:val="00B13C22"/>
    <w:rsid w:val="00B13EFC"/>
    <w:rsid w:val="00B1514D"/>
    <w:rsid w:val="00B156F5"/>
    <w:rsid w:val="00B15DAE"/>
    <w:rsid w:val="00B1657C"/>
    <w:rsid w:val="00B17350"/>
    <w:rsid w:val="00B221F9"/>
    <w:rsid w:val="00B23D6A"/>
    <w:rsid w:val="00B265D3"/>
    <w:rsid w:val="00B341E8"/>
    <w:rsid w:val="00B35C52"/>
    <w:rsid w:val="00B363EA"/>
    <w:rsid w:val="00B3658A"/>
    <w:rsid w:val="00B42738"/>
    <w:rsid w:val="00B42912"/>
    <w:rsid w:val="00B432E2"/>
    <w:rsid w:val="00B44484"/>
    <w:rsid w:val="00B477AA"/>
    <w:rsid w:val="00B51BA6"/>
    <w:rsid w:val="00B52078"/>
    <w:rsid w:val="00B57F41"/>
    <w:rsid w:val="00B57FF0"/>
    <w:rsid w:val="00B60546"/>
    <w:rsid w:val="00B61F72"/>
    <w:rsid w:val="00B62473"/>
    <w:rsid w:val="00B629AF"/>
    <w:rsid w:val="00B65728"/>
    <w:rsid w:val="00B676D3"/>
    <w:rsid w:val="00B7111E"/>
    <w:rsid w:val="00B71EEA"/>
    <w:rsid w:val="00B72BE2"/>
    <w:rsid w:val="00B7462A"/>
    <w:rsid w:val="00B74988"/>
    <w:rsid w:val="00B77246"/>
    <w:rsid w:val="00B7752A"/>
    <w:rsid w:val="00B83052"/>
    <w:rsid w:val="00B8485C"/>
    <w:rsid w:val="00B84A17"/>
    <w:rsid w:val="00B86D60"/>
    <w:rsid w:val="00B87DE5"/>
    <w:rsid w:val="00B91F4A"/>
    <w:rsid w:val="00B92B3E"/>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25E6"/>
    <w:rsid w:val="00C040F5"/>
    <w:rsid w:val="00C04763"/>
    <w:rsid w:val="00C0797B"/>
    <w:rsid w:val="00C12ABE"/>
    <w:rsid w:val="00C14546"/>
    <w:rsid w:val="00C15F7A"/>
    <w:rsid w:val="00C20835"/>
    <w:rsid w:val="00C2337A"/>
    <w:rsid w:val="00C23743"/>
    <w:rsid w:val="00C26020"/>
    <w:rsid w:val="00C32ED2"/>
    <w:rsid w:val="00C33269"/>
    <w:rsid w:val="00C338CE"/>
    <w:rsid w:val="00C33AB2"/>
    <w:rsid w:val="00C34BB6"/>
    <w:rsid w:val="00C34E3E"/>
    <w:rsid w:val="00C353A6"/>
    <w:rsid w:val="00C36824"/>
    <w:rsid w:val="00C369C2"/>
    <w:rsid w:val="00C37D1C"/>
    <w:rsid w:val="00C4577C"/>
    <w:rsid w:val="00C51271"/>
    <w:rsid w:val="00C53C3E"/>
    <w:rsid w:val="00C55838"/>
    <w:rsid w:val="00C56941"/>
    <w:rsid w:val="00C56B7A"/>
    <w:rsid w:val="00C57B44"/>
    <w:rsid w:val="00C60DF6"/>
    <w:rsid w:val="00C617F8"/>
    <w:rsid w:val="00C64FA1"/>
    <w:rsid w:val="00C67665"/>
    <w:rsid w:val="00C679E6"/>
    <w:rsid w:val="00C67A30"/>
    <w:rsid w:val="00C67FDD"/>
    <w:rsid w:val="00C70637"/>
    <w:rsid w:val="00C74493"/>
    <w:rsid w:val="00C76A98"/>
    <w:rsid w:val="00C80C88"/>
    <w:rsid w:val="00C81B0D"/>
    <w:rsid w:val="00C82252"/>
    <w:rsid w:val="00C830C5"/>
    <w:rsid w:val="00C868C2"/>
    <w:rsid w:val="00C8712C"/>
    <w:rsid w:val="00C906C2"/>
    <w:rsid w:val="00C90FFA"/>
    <w:rsid w:val="00C95133"/>
    <w:rsid w:val="00CA009F"/>
    <w:rsid w:val="00CA4964"/>
    <w:rsid w:val="00CB3111"/>
    <w:rsid w:val="00CB458A"/>
    <w:rsid w:val="00CB5A97"/>
    <w:rsid w:val="00CC3237"/>
    <w:rsid w:val="00CC3A17"/>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2018A"/>
    <w:rsid w:val="00D215A1"/>
    <w:rsid w:val="00D2305A"/>
    <w:rsid w:val="00D23DF4"/>
    <w:rsid w:val="00D23E62"/>
    <w:rsid w:val="00D25A3A"/>
    <w:rsid w:val="00D270A0"/>
    <w:rsid w:val="00D271C3"/>
    <w:rsid w:val="00D2769E"/>
    <w:rsid w:val="00D37CAC"/>
    <w:rsid w:val="00D41132"/>
    <w:rsid w:val="00D4220A"/>
    <w:rsid w:val="00D42643"/>
    <w:rsid w:val="00D45A83"/>
    <w:rsid w:val="00D46204"/>
    <w:rsid w:val="00D52052"/>
    <w:rsid w:val="00D54712"/>
    <w:rsid w:val="00D55991"/>
    <w:rsid w:val="00D57CF1"/>
    <w:rsid w:val="00D60070"/>
    <w:rsid w:val="00D62A1F"/>
    <w:rsid w:val="00D65370"/>
    <w:rsid w:val="00D67797"/>
    <w:rsid w:val="00D67851"/>
    <w:rsid w:val="00D702AB"/>
    <w:rsid w:val="00D76549"/>
    <w:rsid w:val="00D76C27"/>
    <w:rsid w:val="00D80A0A"/>
    <w:rsid w:val="00D81BF6"/>
    <w:rsid w:val="00D86424"/>
    <w:rsid w:val="00D90259"/>
    <w:rsid w:val="00D957DD"/>
    <w:rsid w:val="00D97200"/>
    <w:rsid w:val="00DA01FA"/>
    <w:rsid w:val="00DA0BF3"/>
    <w:rsid w:val="00DA1EDC"/>
    <w:rsid w:val="00DA22DF"/>
    <w:rsid w:val="00DA33CB"/>
    <w:rsid w:val="00DA3BAF"/>
    <w:rsid w:val="00DA6401"/>
    <w:rsid w:val="00DA6AB3"/>
    <w:rsid w:val="00DB3C20"/>
    <w:rsid w:val="00DB5723"/>
    <w:rsid w:val="00DB63FE"/>
    <w:rsid w:val="00DC08F4"/>
    <w:rsid w:val="00DC3112"/>
    <w:rsid w:val="00DC5FA6"/>
    <w:rsid w:val="00DD0408"/>
    <w:rsid w:val="00DD39B8"/>
    <w:rsid w:val="00DE4592"/>
    <w:rsid w:val="00DE630D"/>
    <w:rsid w:val="00DF5B28"/>
    <w:rsid w:val="00E01E9A"/>
    <w:rsid w:val="00E02ADF"/>
    <w:rsid w:val="00E077A1"/>
    <w:rsid w:val="00E14102"/>
    <w:rsid w:val="00E164F0"/>
    <w:rsid w:val="00E21E4C"/>
    <w:rsid w:val="00E221C2"/>
    <w:rsid w:val="00E22596"/>
    <w:rsid w:val="00E267F3"/>
    <w:rsid w:val="00E332A9"/>
    <w:rsid w:val="00E3342C"/>
    <w:rsid w:val="00E337C3"/>
    <w:rsid w:val="00E34CAB"/>
    <w:rsid w:val="00E36F58"/>
    <w:rsid w:val="00E37E7D"/>
    <w:rsid w:val="00E4575A"/>
    <w:rsid w:val="00E47329"/>
    <w:rsid w:val="00E5101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4B82"/>
    <w:rsid w:val="00EA7336"/>
    <w:rsid w:val="00EA785E"/>
    <w:rsid w:val="00EB43AA"/>
    <w:rsid w:val="00EB552F"/>
    <w:rsid w:val="00EB5DCB"/>
    <w:rsid w:val="00EB7424"/>
    <w:rsid w:val="00EC10FC"/>
    <w:rsid w:val="00EC21D9"/>
    <w:rsid w:val="00ED15AD"/>
    <w:rsid w:val="00EE08DD"/>
    <w:rsid w:val="00EE1BB4"/>
    <w:rsid w:val="00EE3BD4"/>
    <w:rsid w:val="00EE5A0F"/>
    <w:rsid w:val="00EF05F1"/>
    <w:rsid w:val="00EF2266"/>
    <w:rsid w:val="00EF318C"/>
    <w:rsid w:val="00EF4132"/>
    <w:rsid w:val="00EF7AE5"/>
    <w:rsid w:val="00F013C6"/>
    <w:rsid w:val="00F05E02"/>
    <w:rsid w:val="00F10788"/>
    <w:rsid w:val="00F1406B"/>
    <w:rsid w:val="00F1431A"/>
    <w:rsid w:val="00F15BA1"/>
    <w:rsid w:val="00F178E9"/>
    <w:rsid w:val="00F22F45"/>
    <w:rsid w:val="00F2331E"/>
    <w:rsid w:val="00F23D39"/>
    <w:rsid w:val="00F2462F"/>
    <w:rsid w:val="00F254D7"/>
    <w:rsid w:val="00F254E2"/>
    <w:rsid w:val="00F25E81"/>
    <w:rsid w:val="00F30356"/>
    <w:rsid w:val="00F3089A"/>
    <w:rsid w:val="00F32C7A"/>
    <w:rsid w:val="00F33DE2"/>
    <w:rsid w:val="00F367CD"/>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12B9"/>
    <w:rsid w:val="00F61A33"/>
    <w:rsid w:val="00F61F89"/>
    <w:rsid w:val="00F62AA0"/>
    <w:rsid w:val="00F63519"/>
    <w:rsid w:val="00F64D39"/>
    <w:rsid w:val="00F65CD2"/>
    <w:rsid w:val="00F6765F"/>
    <w:rsid w:val="00F67EAC"/>
    <w:rsid w:val="00F726C6"/>
    <w:rsid w:val="00F75550"/>
    <w:rsid w:val="00F814E5"/>
    <w:rsid w:val="00F81AE5"/>
    <w:rsid w:val="00F8304B"/>
    <w:rsid w:val="00F83532"/>
    <w:rsid w:val="00F85969"/>
    <w:rsid w:val="00F91A57"/>
    <w:rsid w:val="00F91B58"/>
    <w:rsid w:val="00F94AC7"/>
    <w:rsid w:val="00F95619"/>
    <w:rsid w:val="00FA42BB"/>
    <w:rsid w:val="00FA549C"/>
    <w:rsid w:val="00FB06D3"/>
    <w:rsid w:val="00FB21CD"/>
    <w:rsid w:val="00FB5B4F"/>
    <w:rsid w:val="00FC17C0"/>
    <w:rsid w:val="00FC1F05"/>
    <w:rsid w:val="00FC31F0"/>
    <w:rsid w:val="00FC333A"/>
    <w:rsid w:val="00FD1C96"/>
    <w:rsid w:val="00FD5864"/>
    <w:rsid w:val="00FD709A"/>
    <w:rsid w:val="00FE0176"/>
    <w:rsid w:val="00FE2F22"/>
    <w:rsid w:val="00FE323D"/>
    <w:rsid w:val="00FE3979"/>
    <w:rsid w:val="00FE4F10"/>
    <w:rsid w:val="00FF0E42"/>
    <w:rsid w:val="00FF6D53"/>
    <w:rsid w:val="0190F80D"/>
    <w:rsid w:val="0F26D96F"/>
    <w:rsid w:val="15E69286"/>
    <w:rsid w:val="1B792ABC"/>
    <w:rsid w:val="1C23C685"/>
    <w:rsid w:val="1DEA92A0"/>
    <w:rsid w:val="22086057"/>
    <w:rsid w:val="34D5DD47"/>
    <w:rsid w:val="36239875"/>
    <w:rsid w:val="3D378B28"/>
    <w:rsid w:val="42313CE2"/>
    <w:rsid w:val="465E9585"/>
    <w:rsid w:val="5DEB1779"/>
    <w:rsid w:val="607588E2"/>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paragraph" w:styleId="Heading3">
    <w:name w:val="heading 3"/>
    <w:basedOn w:val="Normal"/>
    <w:next w:val="Normal"/>
    <w:link w:val="Heading3Char"/>
    <w:semiHidden/>
    <w:unhideWhenUsed/>
    <w:qFormat/>
    <w:locked/>
    <w:rsid w:val="00C56B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C56B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uiPriority w:val="59"/>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semiHidden/>
    <w:rsid w:val="00C56B7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56B7A"/>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C56B7A"/>
    <w:rPr>
      <w:color w:val="0000FF" w:themeColor="hyperlink"/>
      <w:u w:val="single"/>
    </w:rPr>
  </w:style>
  <w:style w:type="character" w:styleId="UnresolvedMention">
    <w:name w:val="Unresolved Mention"/>
    <w:basedOn w:val="DefaultParagraphFont"/>
    <w:uiPriority w:val="99"/>
    <w:semiHidden/>
    <w:unhideWhenUsed/>
    <w:rsid w:val="00C5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08136964">
      <w:bodyDiv w:val="1"/>
      <w:marLeft w:val="0"/>
      <w:marRight w:val="0"/>
      <w:marTop w:val="0"/>
      <w:marBottom w:val="0"/>
      <w:divBdr>
        <w:top w:val="none" w:sz="0" w:space="0" w:color="auto"/>
        <w:left w:val="none" w:sz="0" w:space="0" w:color="auto"/>
        <w:bottom w:val="none" w:sz="0" w:space="0" w:color="auto"/>
        <w:right w:val="none" w:sz="0" w:space="0" w:color="auto"/>
      </w:divBdr>
      <w:divsChild>
        <w:div w:id="502814566">
          <w:marLeft w:val="-225"/>
          <w:marRight w:val="-225"/>
          <w:marTop w:val="0"/>
          <w:marBottom w:val="0"/>
          <w:divBdr>
            <w:top w:val="none" w:sz="0" w:space="0" w:color="auto"/>
            <w:left w:val="none" w:sz="0" w:space="0" w:color="auto"/>
            <w:bottom w:val="none" w:sz="0" w:space="0" w:color="auto"/>
            <w:right w:val="none" w:sz="0" w:space="0" w:color="auto"/>
          </w:divBdr>
          <w:divsChild>
            <w:div w:id="709913024">
              <w:marLeft w:val="0"/>
              <w:marRight w:val="0"/>
              <w:marTop w:val="0"/>
              <w:marBottom w:val="0"/>
              <w:divBdr>
                <w:top w:val="none" w:sz="0" w:space="0" w:color="auto"/>
                <w:left w:val="none" w:sz="0" w:space="0" w:color="auto"/>
                <w:bottom w:val="none" w:sz="0" w:space="0" w:color="auto"/>
                <w:right w:val="none" w:sz="0" w:space="0" w:color="auto"/>
              </w:divBdr>
              <w:divsChild>
                <w:div w:id="1075859856">
                  <w:marLeft w:val="0"/>
                  <w:marRight w:val="0"/>
                  <w:marTop w:val="0"/>
                  <w:marBottom w:val="675"/>
                  <w:divBdr>
                    <w:top w:val="none" w:sz="0" w:space="0" w:color="auto"/>
                    <w:left w:val="none" w:sz="0" w:space="0" w:color="auto"/>
                    <w:bottom w:val="none" w:sz="0" w:space="0" w:color="auto"/>
                    <w:right w:val="none" w:sz="0" w:space="0" w:color="auto"/>
                  </w:divBdr>
                  <w:divsChild>
                    <w:div w:id="572787261">
                      <w:marLeft w:val="0"/>
                      <w:marRight w:val="0"/>
                      <w:marTop w:val="0"/>
                      <w:marBottom w:val="0"/>
                      <w:divBdr>
                        <w:top w:val="none" w:sz="0" w:space="0" w:color="auto"/>
                        <w:left w:val="none" w:sz="0" w:space="0" w:color="auto"/>
                        <w:bottom w:val="none" w:sz="0" w:space="0" w:color="auto"/>
                        <w:right w:val="none" w:sz="0" w:space="0" w:color="auto"/>
                      </w:divBdr>
                      <w:divsChild>
                        <w:div w:id="5121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0770">
          <w:marLeft w:val="-225"/>
          <w:marRight w:val="-225"/>
          <w:marTop w:val="0"/>
          <w:marBottom w:val="0"/>
          <w:divBdr>
            <w:top w:val="none" w:sz="0" w:space="0" w:color="auto"/>
            <w:left w:val="none" w:sz="0" w:space="0" w:color="auto"/>
            <w:bottom w:val="none" w:sz="0" w:space="0" w:color="auto"/>
            <w:right w:val="none" w:sz="0" w:space="0" w:color="auto"/>
          </w:divBdr>
        </w:div>
      </w:divsChild>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 w:id="2052875531">
      <w:bodyDiv w:val="1"/>
      <w:marLeft w:val="0"/>
      <w:marRight w:val="0"/>
      <w:marTop w:val="0"/>
      <w:marBottom w:val="0"/>
      <w:divBdr>
        <w:top w:val="none" w:sz="0" w:space="0" w:color="auto"/>
        <w:left w:val="none" w:sz="0" w:space="0" w:color="auto"/>
        <w:bottom w:val="none" w:sz="0" w:space="0" w:color="auto"/>
        <w:right w:val="none" w:sz="0" w:space="0" w:color="auto"/>
      </w:divBdr>
      <w:divsChild>
        <w:div w:id="994606213">
          <w:marLeft w:val="-225"/>
          <w:marRight w:val="-225"/>
          <w:marTop w:val="0"/>
          <w:marBottom w:val="0"/>
          <w:divBdr>
            <w:top w:val="none" w:sz="0" w:space="0" w:color="auto"/>
            <w:left w:val="none" w:sz="0" w:space="0" w:color="auto"/>
            <w:bottom w:val="none" w:sz="0" w:space="0" w:color="auto"/>
            <w:right w:val="none" w:sz="0" w:space="0" w:color="auto"/>
          </w:divBdr>
          <w:divsChild>
            <w:div w:id="881677279">
              <w:marLeft w:val="0"/>
              <w:marRight w:val="0"/>
              <w:marTop w:val="0"/>
              <w:marBottom w:val="0"/>
              <w:divBdr>
                <w:top w:val="none" w:sz="0" w:space="0" w:color="auto"/>
                <w:left w:val="none" w:sz="0" w:space="0" w:color="auto"/>
                <w:bottom w:val="none" w:sz="0" w:space="0" w:color="auto"/>
                <w:right w:val="none" w:sz="0" w:space="0" w:color="auto"/>
              </w:divBdr>
              <w:divsChild>
                <w:div w:id="644747316">
                  <w:marLeft w:val="0"/>
                  <w:marRight w:val="0"/>
                  <w:marTop w:val="0"/>
                  <w:marBottom w:val="675"/>
                  <w:divBdr>
                    <w:top w:val="none" w:sz="0" w:space="0" w:color="auto"/>
                    <w:left w:val="none" w:sz="0" w:space="0" w:color="auto"/>
                    <w:bottom w:val="none" w:sz="0" w:space="0" w:color="auto"/>
                    <w:right w:val="none" w:sz="0" w:space="0" w:color="auto"/>
                  </w:divBdr>
                  <w:divsChild>
                    <w:div w:id="1665428862">
                      <w:marLeft w:val="0"/>
                      <w:marRight w:val="0"/>
                      <w:marTop w:val="0"/>
                      <w:marBottom w:val="0"/>
                      <w:divBdr>
                        <w:top w:val="none" w:sz="0" w:space="0" w:color="auto"/>
                        <w:left w:val="none" w:sz="0" w:space="0" w:color="auto"/>
                        <w:bottom w:val="none" w:sz="0" w:space="0" w:color="auto"/>
                        <w:right w:val="none" w:sz="0" w:space="0" w:color="auto"/>
                      </w:divBdr>
                      <w:divsChild>
                        <w:div w:id="5703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409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e-16-schools-funding-local-authority-guidance-for-2024-to-2025/schools-operational-guide-2024-to-20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_Flow_SignoffStatus xmlns="deec781b-51b2-41f5-8977-d833afa0cdb5" xsi:nil="true"/>
    <L xmlns="deec781b-51b2-41f5-8977-d833afa0cdb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2.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customXml/itemProps3.xml><?xml version="1.0" encoding="utf-8"?>
<ds:datastoreItem xmlns:ds="http://schemas.openxmlformats.org/officeDocument/2006/customXml" ds:itemID="{A2A51D67-1DF6-46BA-A546-3630BF22C073}">
  <ds:schemaRefs>
    <ds:schemaRef ds:uri="http://schemas.microsoft.com/sharepoint/v3/contenttype/forms"/>
  </ds:schemaRefs>
</ds:datastoreItem>
</file>

<file path=customXml/itemProps4.xml><?xml version="1.0" encoding="utf-8"?>
<ds:datastoreItem xmlns:ds="http://schemas.openxmlformats.org/officeDocument/2006/customXml" ds:itemID="{184C07CD-4DB0-4123-B475-469A1917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Falling rolls policy</dc:title>
  <dc:creator>David Tully</dc:creator>
  <cp:lastModifiedBy>Phillip Nduoyo</cp:lastModifiedBy>
  <cp:revision>4</cp:revision>
  <cp:lastPrinted>2019-06-12T14:32:00Z</cp:lastPrinted>
  <dcterms:created xsi:type="dcterms:W3CDTF">2025-06-11T15:04:00Z</dcterms:created>
  <dcterms:modified xsi:type="dcterms:W3CDTF">2025-06-12T14:25:00Z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6048200</vt:r8>
  </property>
  <property fmtid="{D5CDD505-2E9C-101B-9397-08002B2CF9AE}" pid="4" name="MediaServiceImageTags">
    <vt:lpwstr/>
  </property>
</Properties>
</file>