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E460C" w14:textId="7167D85E" w:rsidR="00AA79F3" w:rsidRPr="007C4F08" w:rsidRDefault="00000000"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163B18">
            <w:t>DSG closing balances</w:t>
          </w:r>
        </w:sdtContent>
      </w:sdt>
    </w:p>
    <w:p w14:paraId="4B137493" w14:textId="2BECEA54" w:rsidR="00CC4CE1" w:rsidRPr="00BE6FB3" w:rsidRDefault="004A4E1E" w:rsidP="00AA79F3">
      <w:pPr>
        <w:pStyle w:val="Subtitle"/>
        <w:rPr>
          <w:szCs w:val="28"/>
        </w:rPr>
      </w:pPr>
      <w:r w:rsidRPr="5DEB1779">
        <w:rPr>
          <w:bCs/>
          <w:sz w:val="32"/>
          <w:szCs w:val="32"/>
        </w:rPr>
        <w:t xml:space="preserve">Dedicated Schools Grant Outturn </w:t>
      </w:r>
      <w:r w:rsidR="009D57DA">
        <w:rPr>
          <w:szCs w:val="28"/>
        </w:rPr>
        <w:t>2023-24</w:t>
      </w:r>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4-06-19T00:00:00Z">
          <w:dateFormat w:val="dd/MM/yyyy"/>
          <w:lid w:val="en-GB"/>
          <w:storeMappedDataAs w:val="dateTime"/>
          <w:calendar w:val="gregorian"/>
        </w:date>
      </w:sdtPr>
      <w:sdtContent>
        <w:p w14:paraId="491545AC" w14:textId="4CE9CE04" w:rsidR="00CC4CE1" w:rsidRPr="00CC4CE1" w:rsidRDefault="00710735" w:rsidP="00101F8B">
          <w:r>
            <w:t>1</w:t>
          </w:r>
          <w:r w:rsidR="009D57DA">
            <w:t>9</w:t>
          </w:r>
          <w:r>
            <w:t>/</w:t>
          </w:r>
          <w:r w:rsidR="009D57DA">
            <w:t>06</w:t>
          </w:r>
          <w:r>
            <w:t>/202</w:t>
          </w:r>
          <w:r w:rsidR="009D57DA">
            <w:t>4</w:t>
          </w:r>
        </w:p>
      </w:sdtContent>
    </w:sdt>
    <w:p w14:paraId="16189B94" w14:textId="77777777" w:rsidR="00CC4CE1" w:rsidRDefault="00CC4CE1" w:rsidP="00101F8B"/>
    <w:p w14:paraId="6A503581" w14:textId="77777777" w:rsidR="00860FA8" w:rsidRDefault="00860FA8" w:rsidP="00860FA8">
      <w:pPr>
        <w:spacing w:after="120"/>
        <w:rPr>
          <w:b/>
        </w:rPr>
      </w:pPr>
      <w:r w:rsidRPr="00CC3A17">
        <w:rPr>
          <w:b/>
        </w:rPr>
        <w:t>Executive Summary</w:t>
      </w:r>
    </w:p>
    <w:p w14:paraId="3D6E9674" w14:textId="5C7663E0" w:rsidR="004A4E1E" w:rsidRPr="00CC3A17" w:rsidRDefault="004A4E1E" w:rsidP="004A4E1E">
      <w:pPr>
        <w:jc w:val="both"/>
      </w:pPr>
      <w:r w:rsidRPr="00CC3A17">
        <w:t>This report sets out the outturn position (excluding individual schools</w:t>
      </w:r>
      <w:r>
        <w:t xml:space="preserve"> budget</w:t>
      </w:r>
      <w:r w:rsidRPr="00CC3A17">
        <w:t xml:space="preserve">) for </w:t>
      </w:r>
      <w:r w:rsidR="006A1D70">
        <w:t xml:space="preserve">London Borough of </w:t>
      </w:r>
      <w:r w:rsidRPr="00CC3A17">
        <w:t>Tower Hamlets</w:t>
      </w:r>
      <w:r w:rsidR="006A1D70">
        <w:t xml:space="preserve"> (LBTH)</w:t>
      </w:r>
      <w:r w:rsidRPr="00CC3A17">
        <w:t xml:space="preserve"> DSG Budget for 202</w:t>
      </w:r>
      <w:r>
        <w:t>3</w:t>
      </w:r>
      <w:r w:rsidRPr="00CC3A17">
        <w:t>-2</w:t>
      </w:r>
      <w:r>
        <w:t xml:space="preserve">4 </w:t>
      </w:r>
    </w:p>
    <w:p w14:paraId="568EAC31" w14:textId="77777777" w:rsidR="004A4E1E" w:rsidRDefault="004A4E1E" w:rsidP="004A4E1E">
      <w:pPr>
        <w:jc w:val="both"/>
      </w:pPr>
    </w:p>
    <w:p w14:paraId="3A70BBA7" w14:textId="7D332945" w:rsidR="004A4E1E" w:rsidRPr="00CC3A17" w:rsidRDefault="004A4E1E" w:rsidP="004A4E1E">
      <w:pPr>
        <w:jc w:val="both"/>
      </w:pPr>
      <w:r w:rsidRPr="00CC3A17">
        <w:t xml:space="preserve">The </w:t>
      </w:r>
      <w:r>
        <w:t xml:space="preserve">provisional position of the Dedicated Schools Grant (DSG) at the end of 2023-24 is an overspend of </w:t>
      </w:r>
      <w:r w:rsidRPr="000649F8">
        <w:t>£</w:t>
      </w:r>
      <w:r>
        <w:t xml:space="preserve">2.7 million from the budget position.  </w:t>
      </w:r>
    </w:p>
    <w:p w14:paraId="0FF0C98D" w14:textId="77777777" w:rsidR="009D57DA" w:rsidRPr="0004045E" w:rsidRDefault="009D57DA" w:rsidP="00860FA8">
      <w:pPr>
        <w:spacing w:after="120"/>
        <w:rPr>
          <w:b/>
        </w:rPr>
      </w:pPr>
    </w:p>
    <w:p w14:paraId="57C443E8" w14:textId="77777777" w:rsidR="00860FA8" w:rsidRPr="00CC3A17" w:rsidRDefault="00860FA8" w:rsidP="00860FA8">
      <w:pPr>
        <w:spacing w:after="120"/>
        <w:rPr>
          <w:b/>
        </w:rPr>
      </w:pPr>
      <w:r w:rsidRPr="00CC3A17">
        <w:rPr>
          <w:b/>
        </w:rPr>
        <w:t xml:space="preserve">Details of recommendations and timescales for decisions: </w:t>
      </w:r>
    </w:p>
    <w:p w14:paraId="078B0AC2" w14:textId="476C32C8" w:rsidR="004A4E1E" w:rsidRDefault="004A4E1E" w:rsidP="004A4E1E">
      <w:pPr>
        <w:spacing w:after="120"/>
      </w:pPr>
      <w:r w:rsidRPr="00D65370">
        <w:t>Schools Forum</w:t>
      </w:r>
      <w:r w:rsidRPr="00CC3A17">
        <w:t xml:space="preserve"> is asked to</w:t>
      </w:r>
      <w:r>
        <w:t xml:space="preserve"> </w:t>
      </w:r>
      <w:r w:rsidRPr="00CC3A17">
        <w:t>note the outturn position</w:t>
      </w:r>
      <w:r>
        <w:t xml:space="preserve"> </w:t>
      </w:r>
      <w:r w:rsidR="003F6472">
        <w:t xml:space="preserve">which </w:t>
      </w:r>
      <w:r>
        <w:t>will be reported to the Department of Education and included in the LBTH Note to the Accounts year</w:t>
      </w:r>
      <w:r w:rsidR="001228E4">
        <w:t>-</w:t>
      </w:r>
      <w:r>
        <w:t>end statement.</w:t>
      </w:r>
    </w:p>
    <w:p w14:paraId="381A3668" w14:textId="582F8858" w:rsidR="009D57DA" w:rsidRPr="009D57DA" w:rsidRDefault="009D57DA" w:rsidP="009D57DA">
      <w:pPr>
        <w:spacing w:after="120"/>
        <w:rPr>
          <w:bCs/>
        </w:rPr>
      </w:pPr>
    </w:p>
    <w:p w14:paraId="668674A3" w14:textId="77777777" w:rsidR="00710735" w:rsidRPr="00437FB4" w:rsidRDefault="00710735" w:rsidP="009D57DA">
      <w:pPr>
        <w:pStyle w:val="ListParagraph"/>
        <w:ind w:left="0"/>
        <w:rPr>
          <w:rFonts w:cs="Arial"/>
          <w:color w:val="000000"/>
        </w:rPr>
      </w:pPr>
    </w:p>
    <w:p w14:paraId="4F357D7C" w14:textId="77777777" w:rsidR="00710735" w:rsidRDefault="00710735" w:rsidP="00710735">
      <w:pPr>
        <w:spacing w:line="259" w:lineRule="auto"/>
        <w:rPr>
          <w:color w:val="000000"/>
        </w:rPr>
      </w:pPr>
      <w:r>
        <w:rPr>
          <w:color w:val="000000"/>
        </w:rPr>
        <w:br w:type="page"/>
      </w:r>
    </w:p>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p w14:paraId="0FAAE5DD" w14:textId="7E7CAD17" w:rsidR="00860FA8" w:rsidRPr="00C162AA" w:rsidRDefault="004A4E1E" w:rsidP="00860FA8">
      <w:pPr>
        <w:pStyle w:val="Heading2"/>
        <w:numPr>
          <w:ilvl w:val="0"/>
          <w:numId w:val="1"/>
        </w:numPr>
      </w:pPr>
      <w:r>
        <w:lastRenderedPageBreak/>
        <w:t>Overview</w:t>
      </w:r>
    </w:p>
    <w:p w14:paraId="2A410D7A" w14:textId="13D306E1" w:rsidR="00860FA8" w:rsidRDefault="00860FA8" w:rsidP="00860FA8">
      <w:pPr>
        <w:pStyle w:val="ListParagraph"/>
        <w:ind w:left="360"/>
        <w:rPr>
          <w:rFonts w:cs="Arial"/>
          <w:b/>
          <w:bCs/>
        </w:rPr>
      </w:pPr>
    </w:p>
    <w:p w14:paraId="4B1BF994" w14:textId="77777777" w:rsidR="004A4E1E" w:rsidRPr="00CC3A17" w:rsidRDefault="004A4E1E" w:rsidP="004A4E1E">
      <w:pPr>
        <w:pStyle w:val="ListParagraph"/>
        <w:numPr>
          <w:ilvl w:val="1"/>
          <w:numId w:val="6"/>
        </w:numPr>
        <w:ind w:left="567" w:hanging="567"/>
        <w:jc w:val="both"/>
      </w:pPr>
      <w:r w:rsidRPr="00CC3A17">
        <w:t>The Dedicated Schools Grant (DSG) is distributed by the Department for Education (DfE) on a national formulaic basis.</w:t>
      </w:r>
      <w:r w:rsidRPr="00CC3A17">
        <w:rPr>
          <w:rFonts w:ascii="ArialMT" w:hAnsi="ArialMT" w:cs="ArialMT"/>
        </w:rPr>
        <w:t xml:space="preserve"> </w:t>
      </w:r>
      <w:r w:rsidRPr="00CC3A17">
        <w:t>Th</w:t>
      </w:r>
      <w:r>
        <w:t>is specific grant is</w:t>
      </w:r>
      <w:r w:rsidRPr="00CC3A17">
        <w:t xml:space="preserve"> allocated to local authorities in four blocks: Schools Block (SB), Early Years Block (EYB), High Needs Block (HNB) and the Central Schools Services Block (CSSB).</w:t>
      </w:r>
    </w:p>
    <w:p w14:paraId="0B427D82" w14:textId="77777777" w:rsidR="004A4E1E" w:rsidRPr="00CC3A17" w:rsidRDefault="004A4E1E" w:rsidP="004A4E1E">
      <w:pPr>
        <w:pStyle w:val="ListParagraph"/>
        <w:ind w:left="567"/>
        <w:jc w:val="both"/>
      </w:pPr>
    </w:p>
    <w:p w14:paraId="10D5966F" w14:textId="77777777" w:rsidR="004A4E1E" w:rsidRDefault="004A4E1E" w:rsidP="004A4E1E">
      <w:pPr>
        <w:pStyle w:val="ListParagraph"/>
        <w:numPr>
          <w:ilvl w:val="1"/>
          <w:numId w:val="6"/>
        </w:numPr>
        <w:ind w:left="567" w:hanging="567"/>
        <w:jc w:val="both"/>
      </w:pPr>
      <w:r>
        <w:t>T</w:t>
      </w:r>
      <w:r w:rsidRPr="00CC3A17">
        <w:t xml:space="preserve">he outturn position </w:t>
      </w:r>
      <w:r>
        <w:t>is</w:t>
      </w:r>
      <w:r w:rsidRPr="00CC3A17">
        <w:t xml:space="preserve"> shown after deductions have been made for direct payments to academies</w:t>
      </w:r>
      <w:r>
        <w:t>, and no prior year balances are included.</w:t>
      </w:r>
    </w:p>
    <w:p w14:paraId="6CF8C842" w14:textId="77777777" w:rsidR="004A4E1E" w:rsidRPr="00B03668" w:rsidRDefault="004A4E1E" w:rsidP="004A4E1E">
      <w:pPr>
        <w:pStyle w:val="ListParagraph"/>
        <w:ind w:left="567"/>
        <w:jc w:val="both"/>
      </w:pPr>
    </w:p>
    <w:p w14:paraId="1F278510" w14:textId="00B8804C" w:rsidR="004A4E1E" w:rsidRDefault="004A4E1E" w:rsidP="004A4E1E">
      <w:pPr>
        <w:pStyle w:val="ListParagraph"/>
        <w:numPr>
          <w:ilvl w:val="1"/>
          <w:numId w:val="6"/>
        </w:numPr>
        <w:ind w:left="567" w:hanging="567"/>
        <w:jc w:val="both"/>
      </w:pPr>
      <w:r>
        <w:t xml:space="preserve">The year-end DSG position excludes </w:t>
      </w:r>
      <w:r w:rsidR="003F6472">
        <w:t>all the</w:t>
      </w:r>
      <w:r>
        <w:t xml:space="preserve"> schools balances carried forward from previous years.  It reconciles to the annual allocation.  This will be reported back to the DfE in the Section 151 Outturn Statement and feature in the </w:t>
      </w:r>
      <w:r w:rsidR="003E790D">
        <w:t>B</w:t>
      </w:r>
      <w:r>
        <w:t>oroughs Note to the Accounts.</w:t>
      </w:r>
    </w:p>
    <w:p w14:paraId="5B94C953" w14:textId="77777777" w:rsidR="004A4E1E" w:rsidRDefault="004A4E1E" w:rsidP="004A4E1E">
      <w:pPr>
        <w:pStyle w:val="ListParagraph"/>
      </w:pPr>
    </w:p>
    <w:p w14:paraId="0963F02F" w14:textId="2A3BB703" w:rsidR="004A4E1E" w:rsidRDefault="004A4E1E" w:rsidP="004A4E1E">
      <w:pPr>
        <w:ind w:left="1276" w:hanging="1276"/>
        <w:rPr>
          <w:b/>
        </w:rPr>
      </w:pPr>
      <w:r w:rsidRPr="00F32C7A">
        <w:rPr>
          <w:b/>
        </w:rPr>
        <w:t>Table 1:</w:t>
      </w:r>
      <w:r w:rsidRPr="00F32C7A">
        <w:rPr>
          <w:b/>
        </w:rPr>
        <w:tab/>
        <w:t xml:space="preserve">DSG Budgets, Expenditure and Under/Overspends </w:t>
      </w:r>
      <w:r>
        <w:rPr>
          <w:b/>
        </w:rPr>
        <w:t>per funding block</w:t>
      </w:r>
    </w:p>
    <w:tbl>
      <w:tblPr>
        <w:tblW w:w="8926" w:type="dxa"/>
        <w:tblLook w:val="04A0" w:firstRow="1" w:lastRow="0" w:firstColumn="1" w:lastColumn="0" w:noHBand="0" w:noVBand="1"/>
      </w:tblPr>
      <w:tblGrid>
        <w:gridCol w:w="3681"/>
        <w:gridCol w:w="1843"/>
        <w:gridCol w:w="1843"/>
        <w:gridCol w:w="1559"/>
      </w:tblGrid>
      <w:tr w:rsidR="004A4E1E" w:rsidRPr="002078E3" w14:paraId="0D9704B4" w14:textId="77777777" w:rsidTr="00D21E3E">
        <w:trPr>
          <w:trHeight w:val="613"/>
        </w:trPr>
        <w:tc>
          <w:tcPr>
            <w:tcW w:w="3681" w:type="dxa"/>
            <w:tcBorders>
              <w:top w:val="single" w:sz="4" w:space="0" w:color="auto"/>
              <w:left w:val="single" w:sz="4" w:space="0" w:color="auto"/>
              <w:bottom w:val="single" w:sz="4" w:space="0" w:color="auto"/>
              <w:right w:val="single" w:sz="4" w:space="0" w:color="000000"/>
            </w:tcBorders>
            <w:shd w:val="clear" w:color="000000" w:fill="D9E1F2"/>
            <w:vAlign w:val="center"/>
            <w:hideMark/>
          </w:tcPr>
          <w:p w14:paraId="174067DD" w14:textId="77777777" w:rsidR="004A4E1E" w:rsidRPr="002078E3" w:rsidRDefault="004A4E1E" w:rsidP="009F3BA1">
            <w:pPr>
              <w:rPr>
                <w:b/>
                <w:bCs/>
                <w:sz w:val="20"/>
                <w:szCs w:val="20"/>
              </w:rPr>
            </w:pPr>
            <w:r w:rsidRPr="002078E3">
              <w:rPr>
                <w:b/>
                <w:bCs/>
                <w:sz w:val="20"/>
                <w:szCs w:val="20"/>
              </w:rPr>
              <w:t>Block</w:t>
            </w:r>
          </w:p>
        </w:tc>
        <w:tc>
          <w:tcPr>
            <w:tcW w:w="1843" w:type="dxa"/>
            <w:tcBorders>
              <w:top w:val="single" w:sz="4" w:space="0" w:color="auto"/>
              <w:left w:val="nil"/>
              <w:bottom w:val="single" w:sz="4" w:space="0" w:color="auto"/>
              <w:right w:val="single" w:sz="4" w:space="0" w:color="auto"/>
            </w:tcBorders>
            <w:shd w:val="clear" w:color="000000" w:fill="D9E1F2"/>
            <w:vAlign w:val="center"/>
            <w:hideMark/>
          </w:tcPr>
          <w:p w14:paraId="6F2E8DF9" w14:textId="33062CEE" w:rsidR="004A4E1E" w:rsidRPr="002078E3" w:rsidRDefault="004A4E1E" w:rsidP="00F46B11">
            <w:pPr>
              <w:jc w:val="center"/>
              <w:rPr>
                <w:b/>
                <w:bCs/>
                <w:sz w:val="20"/>
                <w:szCs w:val="20"/>
              </w:rPr>
            </w:pPr>
            <w:r w:rsidRPr="002078E3">
              <w:rPr>
                <w:b/>
                <w:bCs/>
                <w:sz w:val="20"/>
                <w:szCs w:val="20"/>
              </w:rPr>
              <w:t>Allocated DSG funding</w:t>
            </w:r>
            <w:r w:rsidR="00F46B11">
              <w:rPr>
                <w:b/>
                <w:bCs/>
                <w:sz w:val="20"/>
                <w:szCs w:val="20"/>
              </w:rPr>
              <w:t xml:space="preserve"> </w:t>
            </w:r>
            <w:r>
              <w:rPr>
                <w:b/>
                <w:bCs/>
                <w:sz w:val="20"/>
                <w:szCs w:val="20"/>
              </w:rPr>
              <w:t>£000</w:t>
            </w:r>
          </w:p>
        </w:tc>
        <w:tc>
          <w:tcPr>
            <w:tcW w:w="1843" w:type="dxa"/>
            <w:tcBorders>
              <w:top w:val="single" w:sz="4" w:space="0" w:color="auto"/>
              <w:left w:val="nil"/>
              <w:bottom w:val="single" w:sz="4" w:space="0" w:color="auto"/>
              <w:right w:val="single" w:sz="4" w:space="0" w:color="auto"/>
            </w:tcBorders>
            <w:shd w:val="clear" w:color="000000" w:fill="D9E1F2"/>
            <w:vAlign w:val="center"/>
            <w:hideMark/>
          </w:tcPr>
          <w:p w14:paraId="2BBFC51F" w14:textId="07649AA4" w:rsidR="004A4E1E" w:rsidRPr="002078E3" w:rsidRDefault="004A4E1E" w:rsidP="00F46B11">
            <w:pPr>
              <w:jc w:val="center"/>
              <w:rPr>
                <w:b/>
                <w:bCs/>
                <w:sz w:val="20"/>
                <w:szCs w:val="20"/>
              </w:rPr>
            </w:pPr>
            <w:r w:rsidRPr="002078E3">
              <w:rPr>
                <w:b/>
                <w:bCs/>
                <w:sz w:val="20"/>
                <w:szCs w:val="20"/>
              </w:rPr>
              <w:t>Expenditure</w:t>
            </w:r>
            <w:r w:rsidR="00F46B11">
              <w:rPr>
                <w:b/>
                <w:bCs/>
                <w:sz w:val="20"/>
                <w:szCs w:val="20"/>
              </w:rPr>
              <w:t xml:space="preserve">  </w:t>
            </w:r>
            <w:r>
              <w:rPr>
                <w:b/>
                <w:bCs/>
                <w:sz w:val="20"/>
                <w:szCs w:val="20"/>
              </w:rPr>
              <w:t>£000</w:t>
            </w:r>
          </w:p>
        </w:tc>
        <w:tc>
          <w:tcPr>
            <w:tcW w:w="1559" w:type="dxa"/>
            <w:tcBorders>
              <w:top w:val="single" w:sz="4" w:space="0" w:color="auto"/>
              <w:left w:val="nil"/>
              <w:bottom w:val="single" w:sz="4" w:space="0" w:color="auto"/>
              <w:right w:val="single" w:sz="4" w:space="0" w:color="auto"/>
            </w:tcBorders>
            <w:shd w:val="clear" w:color="000000" w:fill="D9E1F2"/>
            <w:vAlign w:val="center"/>
            <w:hideMark/>
          </w:tcPr>
          <w:p w14:paraId="7B01C2B1" w14:textId="5A80E954" w:rsidR="004A4E1E" w:rsidRPr="002078E3" w:rsidRDefault="004A4E1E" w:rsidP="00F46B11">
            <w:pPr>
              <w:jc w:val="center"/>
              <w:rPr>
                <w:b/>
                <w:bCs/>
                <w:sz w:val="20"/>
                <w:szCs w:val="20"/>
              </w:rPr>
            </w:pPr>
            <w:r w:rsidRPr="002078E3">
              <w:rPr>
                <w:b/>
                <w:bCs/>
                <w:sz w:val="20"/>
                <w:szCs w:val="20"/>
              </w:rPr>
              <w:t>Net</w:t>
            </w:r>
            <w:r w:rsidR="00F46B11">
              <w:rPr>
                <w:b/>
                <w:bCs/>
                <w:sz w:val="20"/>
                <w:szCs w:val="20"/>
              </w:rPr>
              <w:t xml:space="preserve">           </w:t>
            </w:r>
            <w:r>
              <w:rPr>
                <w:b/>
                <w:bCs/>
                <w:sz w:val="20"/>
                <w:szCs w:val="20"/>
              </w:rPr>
              <w:t>£000</w:t>
            </w:r>
          </w:p>
        </w:tc>
      </w:tr>
      <w:tr w:rsidR="004A4E1E" w:rsidRPr="002078E3" w14:paraId="28C081D8" w14:textId="77777777" w:rsidTr="009F3BA1">
        <w:trPr>
          <w:trHeight w:val="290"/>
        </w:trPr>
        <w:tc>
          <w:tcPr>
            <w:tcW w:w="3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9C1F5D" w14:textId="77777777" w:rsidR="004A4E1E" w:rsidRPr="002078E3" w:rsidRDefault="004A4E1E" w:rsidP="004A4E1E">
            <w:pPr>
              <w:rPr>
                <w:sz w:val="20"/>
                <w:szCs w:val="20"/>
              </w:rPr>
            </w:pPr>
            <w:r>
              <w:rPr>
                <w:b/>
                <w:bCs/>
                <w:color w:val="000000"/>
                <w:sz w:val="20"/>
                <w:szCs w:val="20"/>
              </w:rPr>
              <w:t xml:space="preserve"> Schools block </w:t>
            </w:r>
          </w:p>
        </w:tc>
        <w:tc>
          <w:tcPr>
            <w:tcW w:w="1843" w:type="dxa"/>
            <w:tcBorders>
              <w:top w:val="nil"/>
              <w:left w:val="nil"/>
              <w:bottom w:val="single" w:sz="4" w:space="0" w:color="auto"/>
              <w:right w:val="single" w:sz="4" w:space="0" w:color="auto"/>
            </w:tcBorders>
            <w:shd w:val="clear" w:color="000000" w:fill="FFE699"/>
            <w:noWrap/>
            <w:vAlign w:val="center"/>
            <w:hideMark/>
          </w:tcPr>
          <w:p w14:paraId="016C38E9" w14:textId="29ECBE94" w:rsidR="004A4E1E" w:rsidRPr="002078E3" w:rsidRDefault="004A4E1E" w:rsidP="004A4E1E">
            <w:pPr>
              <w:jc w:val="center"/>
              <w:rPr>
                <w:rFonts w:ascii="Calibri" w:hAnsi="Calibri" w:cs="Calibri"/>
                <w:color w:val="000000"/>
                <w:sz w:val="22"/>
                <w:szCs w:val="22"/>
              </w:rPr>
            </w:pPr>
            <w:r>
              <w:rPr>
                <w:rFonts w:ascii="Calibri" w:hAnsi="Calibri" w:cs="Calibri"/>
                <w:color w:val="000000"/>
                <w:sz w:val="22"/>
                <w:szCs w:val="22"/>
              </w:rPr>
              <w:t>209,955</w:t>
            </w:r>
          </w:p>
        </w:tc>
        <w:tc>
          <w:tcPr>
            <w:tcW w:w="1843" w:type="dxa"/>
            <w:tcBorders>
              <w:top w:val="nil"/>
              <w:left w:val="nil"/>
              <w:bottom w:val="nil"/>
              <w:right w:val="nil"/>
            </w:tcBorders>
            <w:shd w:val="clear" w:color="auto" w:fill="auto"/>
            <w:noWrap/>
            <w:vAlign w:val="center"/>
            <w:hideMark/>
          </w:tcPr>
          <w:p w14:paraId="2FCFFB84" w14:textId="1BC76ABF" w:rsidR="004A4E1E" w:rsidRPr="002078E3" w:rsidRDefault="004A4E1E" w:rsidP="004A4E1E">
            <w:pPr>
              <w:jc w:val="center"/>
              <w:rPr>
                <w:rFonts w:ascii="Calibri" w:hAnsi="Calibri" w:cs="Calibri"/>
                <w:sz w:val="22"/>
                <w:szCs w:val="22"/>
              </w:rPr>
            </w:pPr>
            <w:r>
              <w:rPr>
                <w:rFonts w:ascii="Calibri" w:hAnsi="Calibri" w:cs="Calibri"/>
                <w:color w:val="000000"/>
                <w:sz w:val="22"/>
                <w:szCs w:val="22"/>
              </w:rPr>
              <w:t>207,949</w:t>
            </w:r>
          </w:p>
        </w:tc>
        <w:tc>
          <w:tcPr>
            <w:tcW w:w="1559" w:type="dxa"/>
            <w:tcBorders>
              <w:top w:val="nil"/>
              <w:left w:val="single" w:sz="4" w:space="0" w:color="auto"/>
              <w:bottom w:val="single" w:sz="4" w:space="0" w:color="auto"/>
              <w:right w:val="single" w:sz="4" w:space="0" w:color="auto"/>
            </w:tcBorders>
            <w:shd w:val="clear" w:color="000000" w:fill="DBDBDB"/>
            <w:vAlign w:val="center"/>
            <w:hideMark/>
          </w:tcPr>
          <w:p w14:paraId="58F0CB9F" w14:textId="3C41DC29" w:rsidR="004A4E1E" w:rsidRPr="002078E3" w:rsidRDefault="004A4E1E" w:rsidP="004A4E1E">
            <w:pPr>
              <w:jc w:val="center"/>
              <w:rPr>
                <w:sz w:val="20"/>
                <w:szCs w:val="20"/>
              </w:rPr>
            </w:pPr>
            <w:r>
              <w:rPr>
                <w:rFonts w:ascii="Calibri" w:hAnsi="Calibri" w:cs="Calibri"/>
                <w:color w:val="000000"/>
                <w:sz w:val="22"/>
                <w:szCs w:val="22"/>
              </w:rPr>
              <w:t>2,006</w:t>
            </w:r>
          </w:p>
        </w:tc>
      </w:tr>
      <w:tr w:rsidR="004A4E1E" w:rsidRPr="002078E3" w14:paraId="70C38520" w14:textId="77777777" w:rsidTr="009F3BA1">
        <w:trPr>
          <w:trHeight w:val="290"/>
        </w:trPr>
        <w:tc>
          <w:tcPr>
            <w:tcW w:w="3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420CFD" w14:textId="77777777" w:rsidR="004A4E1E" w:rsidRPr="002078E3" w:rsidRDefault="004A4E1E" w:rsidP="004A4E1E">
            <w:pPr>
              <w:rPr>
                <w:sz w:val="20"/>
                <w:szCs w:val="20"/>
              </w:rPr>
            </w:pPr>
            <w:r>
              <w:rPr>
                <w:b/>
                <w:bCs/>
                <w:color w:val="000000"/>
                <w:sz w:val="20"/>
                <w:szCs w:val="20"/>
              </w:rPr>
              <w:t xml:space="preserve"> Central school services block </w:t>
            </w:r>
          </w:p>
        </w:tc>
        <w:tc>
          <w:tcPr>
            <w:tcW w:w="1843" w:type="dxa"/>
            <w:tcBorders>
              <w:top w:val="nil"/>
              <w:left w:val="nil"/>
              <w:bottom w:val="single" w:sz="4" w:space="0" w:color="auto"/>
              <w:right w:val="single" w:sz="4" w:space="0" w:color="auto"/>
            </w:tcBorders>
            <w:shd w:val="clear" w:color="000000" w:fill="FFE699"/>
            <w:noWrap/>
            <w:vAlign w:val="center"/>
            <w:hideMark/>
          </w:tcPr>
          <w:p w14:paraId="0CF937BB" w14:textId="572CB139" w:rsidR="004A4E1E" w:rsidRPr="002078E3" w:rsidRDefault="004A4E1E" w:rsidP="004A4E1E">
            <w:pPr>
              <w:jc w:val="center"/>
              <w:rPr>
                <w:rFonts w:ascii="Calibri" w:hAnsi="Calibri" w:cs="Calibri"/>
                <w:color w:val="000000"/>
                <w:sz w:val="22"/>
                <w:szCs w:val="22"/>
              </w:rPr>
            </w:pPr>
            <w:r>
              <w:rPr>
                <w:rFonts w:ascii="Calibri" w:hAnsi="Calibri" w:cs="Calibri"/>
                <w:color w:val="000000"/>
                <w:sz w:val="22"/>
                <w:szCs w:val="22"/>
              </w:rPr>
              <w:t>3,157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FDBB11D" w14:textId="22C76864" w:rsidR="004A4E1E" w:rsidRPr="002078E3" w:rsidRDefault="004A4E1E" w:rsidP="004A4E1E">
            <w:pPr>
              <w:jc w:val="center"/>
              <w:rPr>
                <w:sz w:val="20"/>
                <w:szCs w:val="20"/>
              </w:rPr>
            </w:pPr>
            <w:r>
              <w:rPr>
                <w:rFonts w:ascii="Calibri" w:hAnsi="Calibri" w:cs="Calibri"/>
                <w:color w:val="000000"/>
                <w:sz w:val="22"/>
                <w:szCs w:val="22"/>
              </w:rPr>
              <w:t>3,249</w:t>
            </w:r>
          </w:p>
        </w:tc>
        <w:tc>
          <w:tcPr>
            <w:tcW w:w="1559" w:type="dxa"/>
            <w:tcBorders>
              <w:top w:val="nil"/>
              <w:left w:val="nil"/>
              <w:bottom w:val="single" w:sz="4" w:space="0" w:color="auto"/>
              <w:right w:val="single" w:sz="4" w:space="0" w:color="auto"/>
            </w:tcBorders>
            <w:shd w:val="clear" w:color="000000" w:fill="DBDBDB"/>
            <w:vAlign w:val="center"/>
            <w:hideMark/>
          </w:tcPr>
          <w:p w14:paraId="3A267782" w14:textId="2F842063" w:rsidR="004A4E1E" w:rsidRPr="000649F8" w:rsidRDefault="004A4E1E" w:rsidP="004A4E1E">
            <w:pPr>
              <w:jc w:val="center"/>
              <w:rPr>
                <w:sz w:val="20"/>
                <w:szCs w:val="20"/>
              </w:rPr>
            </w:pPr>
            <w:r>
              <w:rPr>
                <w:rFonts w:ascii="Calibri" w:hAnsi="Calibri" w:cs="Calibri"/>
                <w:color w:val="000000"/>
                <w:sz w:val="22"/>
                <w:szCs w:val="22"/>
              </w:rPr>
              <w:t>-92</w:t>
            </w:r>
          </w:p>
        </w:tc>
      </w:tr>
      <w:tr w:rsidR="004A4E1E" w:rsidRPr="002078E3" w14:paraId="5270A87A" w14:textId="77777777" w:rsidTr="009F3BA1">
        <w:trPr>
          <w:trHeight w:val="290"/>
        </w:trPr>
        <w:tc>
          <w:tcPr>
            <w:tcW w:w="3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D700BB" w14:textId="77777777" w:rsidR="004A4E1E" w:rsidRPr="002078E3" w:rsidRDefault="004A4E1E" w:rsidP="004A4E1E">
            <w:pPr>
              <w:rPr>
                <w:sz w:val="20"/>
                <w:szCs w:val="20"/>
              </w:rPr>
            </w:pPr>
            <w:r>
              <w:rPr>
                <w:b/>
                <w:bCs/>
                <w:color w:val="000000"/>
                <w:sz w:val="20"/>
                <w:szCs w:val="20"/>
              </w:rPr>
              <w:t xml:space="preserve"> High needs block </w:t>
            </w:r>
          </w:p>
        </w:tc>
        <w:tc>
          <w:tcPr>
            <w:tcW w:w="1843" w:type="dxa"/>
            <w:tcBorders>
              <w:top w:val="nil"/>
              <w:left w:val="nil"/>
              <w:bottom w:val="single" w:sz="4" w:space="0" w:color="auto"/>
              <w:right w:val="single" w:sz="4" w:space="0" w:color="auto"/>
            </w:tcBorders>
            <w:shd w:val="clear" w:color="000000" w:fill="FFE699"/>
            <w:noWrap/>
            <w:vAlign w:val="center"/>
            <w:hideMark/>
          </w:tcPr>
          <w:p w14:paraId="2E43D330" w14:textId="49217410" w:rsidR="004A4E1E" w:rsidRPr="002078E3" w:rsidRDefault="004A4E1E" w:rsidP="004A4E1E">
            <w:pPr>
              <w:jc w:val="center"/>
              <w:rPr>
                <w:rFonts w:ascii="Calibri" w:hAnsi="Calibri" w:cs="Calibri"/>
                <w:color w:val="000000"/>
                <w:sz w:val="22"/>
                <w:szCs w:val="22"/>
              </w:rPr>
            </w:pPr>
            <w:r>
              <w:rPr>
                <w:rFonts w:ascii="Calibri" w:hAnsi="Calibri"/>
                <w:sz w:val="22"/>
                <w:szCs w:val="22"/>
              </w:rPr>
              <w:t>76,870</w:t>
            </w:r>
          </w:p>
        </w:tc>
        <w:tc>
          <w:tcPr>
            <w:tcW w:w="1843" w:type="dxa"/>
            <w:tcBorders>
              <w:top w:val="nil"/>
              <w:left w:val="nil"/>
              <w:bottom w:val="single" w:sz="4" w:space="0" w:color="auto"/>
              <w:right w:val="single" w:sz="4" w:space="0" w:color="auto"/>
            </w:tcBorders>
            <w:shd w:val="clear" w:color="auto" w:fill="auto"/>
            <w:vAlign w:val="center"/>
            <w:hideMark/>
          </w:tcPr>
          <w:p w14:paraId="7B099653" w14:textId="5B766069" w:rsidR="004A4E1E" w:rsidRPr="002078E3" w:rsidRDefault="004A4E1E" w:rsidP="004A4E1E">
            <w:pPr>
              <w:jc w:val="center"/>
              <w:rPr>
                <w:sz w:val="20"/>
                <w:szCs w:val="20"/>
              </w:rPr>
            </w:pPr>
            <w:r>
              <w:rPr>
                <w:rFonts w:ascii="Calibri" w:hAnsi="Calibri"/>
                <w:sz w:val="22"/>
                <w:szCs w:val="22"/>
              </w:rPr>
              <w:t>82,929</w:t>
            </w:r>
          </w:p>
        </w:tc>
        <w:tc>
          <w:tcPr>
            <w:tcW w:w="1559" w:type="dxa"/>
            <w:tcBorders>
              <w:top w:val="nil"/>
              <w:left w:val="nil"/>
              <w:bottom w:val="single" w:sz="4" w:space="0" w:color="auto"/>
              <w:right w:val="single" w:sz="4" w:space="0" w:color="auto"/>
            </w:tcBorders>
            <w:shd w:val="clear" w:color="000000" w:fill="DBDBDB"/>
            <w:vAlign w:val="center"/>
            <w:hideMark/>
          </w:tcPr>
          <w:p w14:paraId="39D8EFB4" w14:textId="087B4B1A" w:rsidR="004A4E1E" w:rsidRPr="002623C7" w:rsidRDefault="004A4E1E" w:rsidP="004A4E1E">
            <w:pPr>
              <w:jc w:val="center"/>
              <w:rPr>
                <w:rFonts w:ascii="Calibri" w:hAnsi="Calibri" w:cs="Calibri"/>
                <w:color w:val="000000"/>
                <w:sz w:val="22"/>
                <w:szCs w:val="22"/>
              </w:rPr>
            </w:pPr>
            <w:r>
              <w:rPr>
                <w:rFonts w:ascii="Calibri" w:hAnsi="Calibri"/>
                <w:sz w:val="22"/>
                <w:szCs w:val="22"/>
              </w:rPr>
              <w:t>-6,058</w:t>
            </w:r>
          </w:p>
        </w:tc>
      </w:tr>
      <w:tr w:rsidR="004A4E1E" w:rsidRPr="002078E3" w14:paraId="5CCF04D1" w14:textId="77777777" w:rsidTr="009F3BA1">
        <w:trPr>
          <w:trHeight w:val="305"/>
        </w:trPr>
        <w:tc>
          <w:tcPr>
            <w:tcW w:w="368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6FC333A" w14:textId="77777777" w:rsidR="004A4E1E" w:rsidRPr="002078E3" w:rsidRDefault="004A4E1E" w:rsidP="004A4E1E">
            <w:pPr>
              <w:rPr>
                <w:sz w:val="20"/>
                <w:szCs w:val="20"/>
              </w:rPr>
            </w:pPr>
            <w:r>
              <w:rPr>
                <w:b/>
                <w:bCs/>
                <w:color w:val="000000"/>
                <w:sz w:val="20"/>
                <w:szCs w:val="20"/>
              </w:rPr>
              <w:t xml:space="preserve"> Early years block </w:t>
            </w:r>
          </w:p>
        </w:tc>
        <w:tc>
          <w:tcPr>
            <w:tcW w:w="1843" w:type="dxa"/>
            <w:tcBorders>
              <w:top w:val="nil"/>
              <w:left w:val="nil"/>
              <w:bottom w:val="single" w:sz="4" w:space="0" w:color="auto"/>
              <w:right w:val="single" w:sz="4" w:space="0" w:color="auto"/>
            </w:tcBorders>
            <w:shd w:val="clear" w:color="000000" w:fill="FFE699"/>
            <w:noWrap/>
            <w:vAlign w:val="center"/>
            <w:hideMark/>
          </w:tcPr>
          <w:p w14:paraId="544608EB" w14:textId="09845AF7" w:rsidR="004A4E1E" w:rsidRPr="002078E3" w:rsidRDefault="004A4E1E" w:rsidP="004A4E1E">
            <w:pPr>
              <w:jc w:val="center"/>
              <w:rPr>
                <w:rFonts w:ascii="Calibri" w:hAnsi="Calibri" w:cs="Calibri"/>
                <w:color w:val="000000"/>
                <w:sz w:val="22"/>
                <w:szCs w:val="22"/>
              </w:rPr>
            </w:pPr>
            <w:r>
              <w:rPr>
                <w:rFonts w:ascii="Calibri" w:hAnsi="Calibri"/>
                <w:sz w:val="22"/>
                <w:szCs w:val="22"/>
              </w:rPr>
              <w:t>30,163</w:t>
            </w:r>
          </w:p>
        </w:tc>
        <w:tc>
          <w:tcPr>
            <w:tcW w:w="1843" w:type="dxa"/>
            <w:tcBorders>
              <w:top w:val="nil"/>
              <w:left w:val="nil"/>
              <w:bottom w:val="nil"/>
              <w:right w:val="nil"/>
            </w:tcBorders>
            <w:shd w:val="clear" w:color="000000" w:fill="FFFFFF"/>
            <w:noWrap/>
            <w:vAlign w:val="center"/>
            <w:hideMark/>
          </w:tcPr>
          <w:p w14:paraId="1DD0F8D6" w14:textId="312F78FF" w:rsidR="004A4E1E" w:rsidRPr="002078E3" w:rsidRDefault="004A4E1E" w:rsidP="004A4E1E">
            <w:pPr>
              <w:jc w:val="center"/>
              <w:rPr>
                <w:sz w:val="20"/>
                <w:szCs w:val="20"/>
              </w:rPr>
            </w:pPr>
            <w:r>
              <w:rPr>
                <w:rFonts w:ascii="Calibri" w:hAnsi="Calibri"/>
                <w:color w:val="000000"/>
                <w:sz w:val="22"/>
                <w:szCs w:val="22"/>
              </w:rPr>
              <w:t>28,778</w:t>
            </w:r>
          </w:p>
        </w:tc>
        <w:tc>
          <w:tcPr>
            <w:tcW w:w="1559" w:type="dxa"/>
            <w:tcBorders>
              <w:top w:val="nil"/>
              <w:left w:val="single" w:sz="4" w:space="0" w:color="auto"/>
              <w:bottom w:val="single" w:sz="4" w:space="0" w:color="auto"/>
              <w:right w:val="single" w:sz="4" w:space="0" w:color="auto"/>
            </w:tcBorders>
            <w:shd w:val="clear" w:color="000000" w:fill="DBDBDB"/>
            <w:vAlign w:val="center"/>
            <w:hideMark/>
          </w:tcPr>
          <w:p w14:paraId="74E6FEEF" w14:textId="43E056DF" w:rsidR="004A4E1E" w:rsidRPr="002623C7" w:rsidRDefault="004A4E1E" w:rsidP="004A4E1E">
            <w:pPr>
              <w:jc w:val="center"/>
              <w:rPr>
                <w:rFonts w:ascii="Calibri" w:hAnsi="Calibri" w:cs="Calibri"/>
                <w:color w:val="000000"/>
                <w:sz w:val="22"/>
                <w:szCs w:val="22"/>
              </w:rPr>
            </w:pPr>
            <w:r>
              <w:rPr>
                <w:rFonts w:ascii="Calibri" w:hAnsi="Calibri"/>
                <w:color w:val="000000"/>
                <w:sz w:val="22"/>
                <w:szCs w:val="22"/>
              </w:rPr>
              <w:t>1,385</w:t>
            </w:r>
          </w:p>
        </w:tc>
      </w:tr>
      <w:tr w:rsidR="004A4E1E" w:rsidRPr="002078E3" w14:paraId="12ADE839" w14:textId="77777777" w:rsidTr="009F3BA1">
        <w:trPr>
          <w:trHeight w:val="29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0CF8B8A5" w14:textId="77777777" w:rsidR="004A4E1E" w:rsidRPr="002078E3" w:rsidRDefault="004A4E1E" w:rsidP="004A4E1E">
            <w:pPr>
              <w:rPr>
                <w:sz w:val="20"/>
                <w:szCs w:val="20"/>
              </w:rPr>
            </w:pPr>
            <w:r>
              <w:rPr>
                <w:b/>
                <w:bCs/>
                <w:color w:val="000000"/>
                <w:sz w:val="20"/>
                <w:szCs w:val="20"/>
              </w:rPr>
              <w:t xml:space="preserve"> Total DSG allocation </w:t>
            </w:r>
          </w:p>
        </w:tc>
        <w:tc>
          <w:tcPr>
            <w:tcW w:w="1843" w:type="dxa"/>
            <w:tcBorders>
              <w:top w:val="nil"/>
              <w:left w:val="nil"/>
              <w:bottom w:val="single" w:sz="4" w:space="0" w:color="auto"/>
              <w:right w:val="single" w:sz="4" w:space="0" w:color="auto"/>
            </w:tcBorders>
            <w:shd w:val="clear" w:color="000000" w:fill="FFE699"/>
            <w:noWrap/>
            <w:vAlign w:val="center"/>
            <w:hideMark/>
          </w:tcPr>
          <w:p w14:paraId="3CD048F0" w14:textId="6C45C76B" w:rsidR="004A4E1E" w:rsidRPr="002078E3" w:rsidRDefault="004A4E1E" w:rsidP="004A4E1E">
            <w:pPr>
              <w:jc w:val="center"/>
              <w:rPr>
                <w:rFonts w:ascii="Calibri" w:hAnsi="Calibri" w:cs="Calibri"/>
                <w:color w:val="000000"/>
                <w:sz w:val="22"/>
                <w:szCs w:val="22"/>
              </w:rPr>
            </w:pPr>
            <w:r>
              <w:rPr>
                <w:rFonts w:ascii="Calibri" w:hAnsi="Calibri" w:cs="Calibri"/>
                <w:b/>
                <w:bCs/>
                <w:color w:val="000000"/>
                <w:sz w:val="22"/>
                <w:szCs w:val="22"/>
              </w:rPr>
              <w:t>320,146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D8B0578" w14:textId="4224FFFB" w:rsidR="004A4E1E" w:rsidRPr="002078E3" w:rsidRDefault="004A4E1E" w:rsidP="004A4E1E">
            <w:pPr>
              <w:jc w:val="center"/>
              <w:rPr>
                <w:sz w:val="20"/>
                <w:szCs w:val="20"/>
              </w:rPr>
            </w:pPr>
            <w:r>
              <w:rPr>
                <w:rFonts w:ascii="Calibri" w:hAnsi="Calibri"/>
                <w:b/>
                <w:bCs/>
                <w:sz w:val="22"/>
                <w:szCs w:val="22"/>
              </w:rPr>
              <w:t>322,906</w:t>
            </w:r>
          </w:p>
        </w:tc>
        <w:tc>
          <w:tcPr>
            <w:tcW w:w="1559" w:type="dxa"/>
            <w:tcBorders>
              <w:top w:val="nil"/>
              <w:left w:val="nil"/>
              <w:bottom w:val="single" w:sz="4" w:space="0" w:color="auto"/>
              <w:right w:val="single" w:sz="4" w:space="0" w:color="auto"/>
            </w:tcBorders>
            <w:shd w:val="clear" w:color="000000" w:fill="DBDBDB"/>
            <w:vAlign w:val="center"/>
            <w:hideMark/>
          </w:tcPr>
          <w:p w14:paraId="795D7DBE" w14:textId="77DB26B0" w:rsidR="004A4E1E" w:rsidRPr="002623C7" w:rsidRDefault="004A4E1E" w:rsidP="004A4E1E">
            <w:pPr>
              <w:jc w:val="center"/>
              <w:rPr>
                <w:rFonts w:ascii="Calibri" w:hAnsi="Calibri" w:cs="Calibri"/>
                <w:b/>
                <w:bCs/>
                <w:color w:val="000000"/>
                <w:sz w:val="22"/>
                <w:szCs w:val="22"/>
              </w:rPr>
            </w:pPr>
            <w:r>
              <w:rPr>
                <w:rFonts w:ascii="Calibri" w:hAnsi="Calibri"/>
                <w:b/>
                <w:bCs/>
                <w:sz w:val="22"/>
                <w:szCs w:val="22"/>
              </w:rPr>
              <w:t>-2,759</w:t>
            </w:r>
          </w:p>
        </w:tc>
      </w:tr>
    </w:tbl>
    <w:p w14:paraId="17A97907" w14:textId="77777777" w:rsidR="004A4E1E" w:rsidRDefault="004A4E1E" w:rsidP="004A4E1E">
      <w:pPr>
        <w:pStyle w:val="ListParagraph"/>
        <w:ind w:left="567"/>
        <w:jc w:val="both"/>
      </w:pPr>
    </w:p>
    <w:p w14:paraId="6D1F114C" w14:textId="06EC7833" w:rsidR="00860FA8" w:rsidRPr="00C162AA" w:rsidRDefault="00163B18" w:rsidP="00860FA8">
      <w:pPr>
        <w:pStyle w:val="ListParagraph"/>
        <w:autoSpaceDE w:val="0"/>
        <w:autoSpaceDN w:val="0"/>
        <w:adjustRightInd w:val="0"/>
        <w:ind w:left="426"/>
        <w:rPr>
          <w:color w:val="000000"/>
        </w:rPr>
      </w:pP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p>
    <w:p w14:paraId="3DE2C500" w14:textId="76A5BC8D" w:rsidR="00357C95" w:rsidRDefault="009F3BA1" w:rsidP="009F3BA1">
      <w:pPr>
        <w:pStyle w:val="Heading2"/>
        <w:numPr>
          <w:ilvl w:val="0"/>
          <w:numId w:val="1"/>
        </w:numPr>
      </w:pPr>
      <w:r w:rsidRPr="009F3BA1">
        <w:lastRenderedPageBreak/>
        <w:t>DSG Blocks</w:t>
      </w:r>
      <w:r w:rsidR="00357C95" w:rsidRPr="009F3BA1">
        <w:t xml:space="preserve"> Position</w:t>
      </w:r>
    </w:p>
    <w:p w14:paraId="0A778779" w14:textId="77777777" w:rsidR="009F3BA1" w:rsidRPr="009F3BA1" w:rsidRDefault="009F3BA1" w:rsidP="009F3BA1"/>
    <w:p w14:paraId="3FAC7062" w14:textId="2CAB2882" w:rsidR="00357C95" w:rsidRDefault="009F3BA1" w:rsidP="009F3BA1">
      <w:pPr>
        <w:pStyle w:val="Heading2"/>
        <w:numPr>
          <w:ilvl w:val="1"/>
          <w:numId w:val="1"/>
        </w:numPr>
        <w:ind w:left="567" w:hanging="573"/>
        <w:rPr>
          <w:b w:val="0"/>
          <w:bCs w:val="0"/>
          <w:color w:val="auto"/>
          <w:sz w:val="24"/>
          <w:szCs w:val="24"/>
        </w:rPr>
      </w:pPr>
      <w:r>
        <w:rPr>
          <w:b w:val="0"/>
          <w:bCs w:val="0"/>
          <w:color w:val="auto"/>
          <w:sz w:val="24"/>
          <w:szCs w:val="24"/>
        </w:rPr>
        <w:t xml:space="preserve">The </w:t>
      </w:r>
      <w:r w:rsidRPr="009F3BA1">
        <w:rPr>
          <w:b w:val="0"/>
          <w:bCs w:val="0"/>
          <w:color w:val="auto"/>
          <w:sz w:val="24"/>
          <w:szCs w:val="24"/>
        </w:rPr>
        <w:t xml:space="preserve">Schools Block was underspent </w:t>
      </w:r>
      <w:r>
        <w:rPr>
          <w:b w:val="0"/>
          <w:bCs w:val="0"/>
          <w:color w:val="auto"/>
          <w:sz w:val="24"/>
          <w:szCs w:val="24"/>
        </w:rPr>
        <w:t>at the end of 2023-24</w:t>
      </w:r>
      <w:r w:rsidRPr="009F3BA1">
        <w:rPr>
          <w:b w:val="0"/>
          <w:bCs w:val="0"/>
          <w:color w:val="auto"/>
          <w:sz w:val="24"/>
          <w:szCs w:val="24"/>
        </w:rPr>
        <w:t xml:space="preserve"> following the delay in opening a new academy.  </w:t>
      </w:r>
      <w:r>
        <w:rPr>
          <w:b w:val="0"/>
          <w:bCs w:val="0"/>
          <w:color w:val="auto"/>
          <w:sz w:val="24"/>
          <w:szCs w:val="24"/>
        </w:rPr>
        <w:t>S</w:t>
      </w:r>
      <w:r w:rsidRPr="009F3BA1">
        <w:rPr>
          <w:b w:val="0"/>
          <w:bCs w:val="0"/>
          <w:color w:val="auto"/>
          <w:sz w:val="24"/>
          <w:szCs w:val="24"/>
        </w:rPr>
        <w:t xml:space="preserve">chools </w:t>
      </w:r>
      <w:r w:rsidR="004D4BDF">
        <w:rPr>
          <w:b w:val="0"/>
          <w:bCs w:val="0"/>
          <w:color w:val="auto"/>
          <w:sz w:val="24"/>
          <w:szCs w:val="24"/>
        </w:rPr>
        <w:t>F</w:t>
      </w:r>
      <w:r w:rsidRPr="009F3BA1">
        <w:rPr>
          <w:b w:val="0"/>
          <w:bCs w:val="0"/>
          <w:color w:val="auto"/>
          <w:sz w:val="24"/>
          <w:szCs w:val="24"/>
        </w:rPr>
        <w:t>orum were asked to consider taking forward th</w:t>
      </w:r>
      <w:r>
        <w:rPr>
          <w:b w:val="0"/>
          <w:bCs w:val="0"/>
          <w:color w:val="auto"/>
          <w:sz w:val="24"/>
          <w:szCs w:val="24"/>
        </w:rPr>
        <w:t xml:space="preserve">is to 2024-25 on the assumption that the </w:t>
      </w:r>
      <w:r w:rsidR="00D8494E">
        <w:rPr>
          <w:b w:val="0"/>
          <w:bCs w:val="0"/>
          <w:color w:val="auto"/>
          <w:sz w:val="24"/>
          <w:szCs w:val="24"/>
        </w:rPr>
        <w:t>growth</w:t>
      </w:r>
      <w:r>
        <w:rPr>
          <w:b w:val="0"/>
          <w:bCs w:val="0"/>
          <w:color w:val="auto"/>
          <w:sz w:val="24"/>
          <w:szCs w:val="24"/>
        </w:rPr>
        <w:t xml:space="preserve"> funding was at </w:t>
      </w:r>
      <w:r w:rsidR="00D8494E">
        <w:rPr>
          <w:b w:val="0"/>
          <w:bCs w:val="0"/>
          <w:color w:val="auto"/>
          <w:sz w:val="24"/>
          <w:szCs w:val="24"/>
        </w:rPr>
        <w:t xml:space="preserve">risk of being insufficient.  </w:t>
      </w:r>
      <w:r w:rsidR="00D21E3E">
        <w:rPr>
          <w:b w:val="0"/>
          <w:bCs w:val="0"/>
          <w:color w:val="auto"/>
          <w:sz w:val="24"/>
          <w:szCs w:val="24"/>
        </w:rPr>
        <w:t>When this need</w:t>
      </w:r>
      <w:r w:rsidR="00D8494E">
        <w:rPr>
          <w:b w:val="0"/>
          <w:bCs w:val="0"/>
          <w:color w:val="auto"/>
          <w:sz w:val="24"/>
          <w:szCs w:val="24"/>
        </w:rPr>
        <w:t xml:space="preserve"> did not materialise, and the </w:t>
      </w:r>
      <w:r w:rsidR="0008083C">
        <w:rPr>
          <w:b w:val="0"/>
          <w:bCs w:val="0"/>
          <w:color w:val="auto"/>
          <w:sz w:val="24"/>
          <w:szCs w:val="24"/>
        </w:rPr>
        <w:t>Local Authority</w:t>
      </w:r>
      <w:r w:rsidR="00D8494E">
        <w:rPr>
          <w:b w:val="0"/>
          <w:bCs w:val="0"/>
          <w:color w:val="auto"/>
          <w:sz w:val="24"/>
          <w:szCs w:val="24"/>
        </w:rPr>
        <w:t xml:space="preserve"> are proposing</w:t>
      </w:r>
      <w:r w:rsidR="00D21E3E">
        <w:rPr>
          <w:b w:val="0"/>
          <w:bCs w:val="0"/>
          <w:color w:val="auto"/>
          <w:sz w:val="24"/>
          <w:szCs w:val="24"/>
        </w:rPr>
        <w:t xml:space="preserve"> </w:t>
      </w:r>
      <w:r w:rsidR="00D8494E">
        <w:rPr>
          <w:b w:val="0"/>
          <w:bCs w:val="0"/>
          <w:color w:val="auto"/>
          <w:sz w:val="24"/>
          <w:szCs w:val="24"/>
        </w:rPr>
        <w:t>that the surplus would be better used to reduce the overall overspend.</w:t>
      </w:r>
    </w:p>
    <w:p w14:paraId="604813BA" w14:textId="77777777" w:rsidR="00F46B11" w:rsidRDefault="00F46B11" w:rsidP="00F46B11">
      <w:pPr>
        <w:pStyle w:val="ListParagraph"/>
        <w:ind w:left="360"/>
        <w:rPr>
          <w:b/>
        </w:rPr>
      </w:pPr>
    </w:p>
    <w:p w14:paraId="161CA7D0" w14:textId="45AC5991" w:rsidR="00F46B11" w:rsidRDefault="00F46B11" w:rsidP="00F46B11">
      <w:pPr>
        <w:pStyle w:val="ListParagraph"/>
        <w:ind w:left="360"/>
        <w:rPr>
          <w:b/>
        </w:rPr>
      </w:pPr>
      <w:r w:rsidRPr="00F46B11">
        <w:rPr>
          <w:b/>
        </w:rPr>
        <w:t xml:space="preserve">Table </w:t>
      </w:r>
      <w:r>
        <w:rPr>
          <w:b/>
        </w:rPr>
        <w:t>2</w:t>
      </w:r>
      <w:r w:rsidRPr="00F46B11">
        <w:rPr>
          <w:b/>
        </w:rPr>
        <w:t>:</w:t>
      </w:r>
      <w:r w:rsidRPr="00F46B11">
        <w:rPr>
          <w:b/>
        </w:rPr>
        <w:tab/>
      </w:r>
      <w:r>
        <w:rPr>
          <w:b/>
        </w:rPr>
        <w:t xml:space="preserve">Schools </w:t>
      </w:r>
      <w:r w:rsidR="00D21E3E">
        <w:rPr>
          <w:b/>
        </w:rPr>
        <w:t>B</w:t>
      </w:r>
      <w:r>
        <w:rPr>
          <w:b/>
        </w:rPr>
        <w:t>lock b</w:t>
      </w:r>
      <w:r w:rsidRPr="00F46B11">
        <w:rPr>
          <w:b/>
        </w:rPr>
        <w:t>udgets</w:t>
      </w:r>
      <w:r>
        <w:rPr>
          <w:b/>
        </w:rPr>
        <w:t xml:space="preserve"> &amp; e</w:t>
      </w:r>
      <w:r w:rsidRPr="00F46B11">
        <w:rPr>
          <w:b/>
        </w:rPr>
        <w:t xml:space="preserve">xpenditure </w:t>
      </w:r>
    </w:p>
    <w:p w14:paraId="1217F20A" w14:textId="77777777" w:rsidR="00D21E3E" w:rsidRPr="00F46B11" w:rsidRDefault="00D21E3E" w:rsidP="00F46B11">
      <w:pPr>
        <w:pStyle w:val="ListParagraph"/>
        <w:ind w:left="360"/>
        <w:rPr>
          <w:b/>
        </w:rPr>
      </w:pPr>
    </w:p>
    <w:tbl>
      <w:tblPr>
        <w:tblW w:w="9028" w:type="dxa"/>
        <w:tblInd w:w="323" w:type="dxa"/>
        <w:tblLook w:val="04A0" w:firstRow="1" w:lastRow="0" w:firstColumn="1" w:lastColumn="0" w:noHBand="0" w:noVBand="1"/>
      </w:tblPr>
      <w:tblGrid>
        <w:gridCol w:w="3641"/>
        <w:gridCol w:w="1276"/>
        <w:gridCol w:w="1276"/>
        <w:gridCol w:w="1559"/>
        <w:gridCol w:w="1276"/>
      </w:tblGrid>
      <w:tr w:rsidR="00F46B11" w:rsidRPr="00F46B11" w14:paraId="2CC80B46" w14:textId="77777777" w:rsidTr="009E0C87">
        <w:trPr>
          <w:trHeight w:val="510"/>
        </w:trPr>
        <w:tc>
          <w:tcPr>
            <w:tcW w:w="36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6D89E0" w14:textId="77777777" w:rsidR="00F46B11" w:rsidRPr="00F46B11" w:rsidRDefault="00F46B11" w:rsidP="00F46B11">
            <w:pPr>
              <w:spacing w:after="0"/>
              <w:rPr>
                <w:rFonts w:eastAsia="Times New Roman"/>
                <w:b/>
                <w:bCs/>
                <w:color w:val="000000"/>
                <w:sz w:val="20"/>
                <w:szCs w:val="20"/>
              </w:rPr>
            </w:pPr>
            <w:r w:rsidRPr="00F46B11">
              <w:rPr>
                <w:rFonts w:eastAsia="Times New Roman"/>
                <w:b/>
                <w:bCs/>
                <w:color w:val="000000"/>
                <w:sz w:val="20"/>
                <w:szCs w:val="20"/>
              </w:rPr>
              <w:t> </w:t>
            </w:r>
          </w:p>
        </w:tc>
        <w:tc>
          <w:tcPr>
            <w:tcW w:w="1276" w:type="dxa"/>
            <w:tcBorders>
              <w:top w:val="single" w:sz="4" w:space="0" w:color="auto"/>
              <w:left w:val="nil"/>
              <w:bottom w:val="single" w:sz="4" w:space="0" w:color="auto"/>
              <w:right w:val="single" w:sz="4" w:space="0" w:color="auto"/>
            </w:tcBorders>
            <w:shd w:val="clear" w:color="000000" w:fill="D9E1F2"/>
          </w:tcPr>
          <w:p w14:paraId="3E562814" w14:textId="77777777" w:rsidR="00F46B11" w:rsidRPr="00F46B11" w:rsidRDefault="00F46B11" w:rsidP="00F46B11">
            <w:pPr>
              <w:spacing w:after="0"/>
              <w:jc w:val="center"/>
              <w:rPr>
                <w:rFonts w:eastAsia="Times New Roman"/>
                <w:b/>
                <w:bCs/>
                <w:color w:val="000000"/>
                <w:sz w:val="20"/>
                <w:szCs w:val="20"/>
              </w:rPr>
            </w:pPr>
          </w:p>
        </w:tc>
        <w:tc>
          <w:tcPr>
            <w:tcW w:w="1276" w:type="dxa"/>
            <w:tcBorders>
              <w:top w:val="single" w:sz="8" w:space="0" w:color="auto"/>
              <w:left w:val="single" w:sz="4" w:space="0" w:color="auto"/>
              <w:bottom w:val="nil"/>
              <w:right w:val="single" w:sz="8" w:space="0" w:color="auto"/>
            </w:tcBorders>
            <w:shd w:val="clear" w:color="000000" w:fill="D9E1F2"/>
            <w:vAlign w:val="center"/>
            <w:hideMark/>
          </w:tcPr>
          <w:p w14:paraId="265D25E6" w14:textId="7B9AFE57" w:rsidR="00F46B11" w:rsidRDefault="00D21E3E" w:rsidP="00F46B11">
            <w:pPr>
              <w:spacing w:after="0"/>
              <w:jc w:val="center"/>
              <w:rPr>
                <w:rFonts w:eastAsia="Times New Roman"/>
                <w:b/>
                <w:bCs/>
                <w:color w:val="000000"/>
                <w:sz w:val="20"/>
                <w:szCs w:val="20"/>
              </w:rPr>
            </w:pPr>
            <w:r w:rsidRPr="00F46B11">
              <w:rPr>
                <w:rFonts w:eastAsia="Times New Roman"/>
                <w:b/>
                <w:bCs/>
                <w:color w:val="000000"/>
                <w:sz w:val="20"/>
                <w:szCs w:val="20"/>
              </w:rPr>
              <w:t>B</w:t>
            </w:r>
            <w:r w:rsidR="00F46B11" w:rsidRPr="00F46B11">
              <w:rPr>
                <w:rFonts w:eastAsia="Times New Roman"/>
                <w:b/>
                <w:bCs/>
                <w:color w:val="000000"/>
                <w:sz w:val="20"/>
                <w:szCs w:val="20"/>
              </w:rPr>
              <w:t>udget</w:t>
            </w:r>
          </w:p>
          <w:p w14:paraId="734F26EC" w14:textId="5618F600" w:rsidR="00D21E3E" w:rsidRPr="00F46B11" w:rsidRDefault="00D21E3E" w:rsidP="00F46B11">
            <w:pPr>
              <w:spacing w:after="0"/>
              <w:jc w:val="center"/>
              <w:rPr>
                <w:rFonts w:eastAsia="Times New Roman"/>
                <w:b/>
                <w:bCs/>
                <w:color w:val="000000"/>
                <w:sz w:val="20"/>
                <w:szCs w:val="20"/>
              </w:rPr>
            </w:pPr>
            <w:r>
              <w:rPr>
                <w:rFonts w:eastAsia="Times New Roman"/>
                <w:b/>
                <w:bCs/>
                <w:color w:val="000000"/>
                <w:sz w:val="20"/>
                <w:szCs w:val="20"/>
              </w:rPr>
              <w:t>£000</w:t>
            </w:r>
          </w:p>
        </w:tc>
        <w:tc>
          <w:tcPr>
            <w:tcW w:w="1559" w:type="dxa"/>
            <w:tcBorders>
              <w:top w:val="single" w:sz="8" w:space="0" w:color="auto"/>
              <w:left w:val="nil"/>
              <w:bottom w:val="nil"/>
              <w:right w:val="single" w:sz="8" w:space="0" w:color="auto"/>
            </w:tcBorders>
            <w:shd w:val="clear" w:color="000000" w:fill="D9E1F2"/>
            <w:vAlign w:val="center"/>
            <w:hideMark/>
          </w:tcPr>
          <w:p w14:paraId="68C65EF5" w14:textId="319763ED" w:rsidR="00F46B11" w:rsidRDefault="00D21E3E" w:rsidP="00F46B11">
            <w:pPr>
              <w:spacing w:after="0"/>
              <w:jc w:val="center"/>
              <w:rPr>
                <w:rFonts w:eastAsia="Times New Roman"/>
                <w:b/>
                <w:bCs/>
                <w:color w:val="000000"/>
                <w:sz w:val="20"/>
                <w:szCs w:val="20"/>
              </w:rPr>
            </w:pPr>
            <w:r w:rsidRPr="00F46B11">
              <w:rPr>
                <w:rFonts w:eastAsia="Times New Roman"/>
                <w:b/>
                <w:bCs/>
                <w:color w:val="000000"/>
                <w:sz w:val="20"/>
                <w:szCs w:val="20"/>
              </w:rPr>
              <w:t>O</w:t>
            </w:r>
            <w:r w:rsidR="00F46B11" w:rsidRPr="00F46B11">
              <w:rPr>
                <w:rFonts w:eastAsia="Times New Roman"/>
                <w:b/>
                <w:bCs/>
                <w:color w:val="000000"/>
                <w:sz w:val="20"/>
                <w:szCs w:val="20"/>
              </w:rPr>
              <w:t>utturn</w:t>
            </w:r>
          </w:p>
          <w:p w14:paraId="3E950FB0" w14:textId="009B320E" w:rsidR="00D21E3E" w:rsidRPr="00F46B11" w:rsidRDefault="00D21E3E" w:rsidP="00F46B11">
            <w:pPr>
              <w:spacing w:after="0"/>
              <w:jc w:val="center"/>
              <w:rPr>
                <w:rFonts w:eastAsia="Times New Roman"/>
                <w:b/>
                <w:bCs/>
                <w:color w:val="000000"/>
                <w:sz w:val="20"/>
                <w:szCs w:val="20"/>
              </w:rPr>
            </w:pPr>
            <w:r>
              <w:rPr>
                <w:rFonts w:eastAsia="Times New Roman"/>
                <w:b/>
                <w:bCs/>
                <w:color w:val="000000"/>
                <w:sz w:val="20"/>
                <w:szCs w:val="20"/>
              </w:rPr>
              <w:t>£000</w:t>
            </w:r>
          </w:p>
        </w:tc>
        <w:tc>
          <w:tcPr>
            <w:tcW w:w="1276" w:type="dxa"/>
            <w:tcBorders>
              <w:top w:val="single" w:sz="8" w:space="0" w:color="auto"/>
              <w:left w:val="nil"/>
              <w:bottom w:val="nil"/>
              <w:right w:val="single" w:sz="8" w:space="0" w:color="auto"/>
            </w:tcBorders>
            <w:shd w:val="clear" w:color="000000" w:fill="D9E1F2"/>
            <w:vAlign w:val="center"/>
            <w:hideMark/>
          </w:tcPr>
          <w:p w14:paraId="7C04F5B3" w14:textId="77777777" w:rsidR="00F46B11" w:rsidRDefault="00F46B11" w:rsidP="00F46B11">
            <w:pPr>
              <w:spacing w:after="0"/>
              <w:jc w:val="center"/>
              <w:rPr>
                <w:rFonts w:eastAsia="Times New Roman"/>
                <w:b/>
                <w:bCs/>
                <w:color w:val="000000"/>
                <w:sz w:val="20"/>
                <w:szCs w:val="20"/>
              </w:rPr>
            </w:pPr>
            <w:r w:rsidRPr="00F46B11">
              <w:rPr>
                <w:rFonts w:eastAsia="Times New Roman"/>
                <w:b/>
                <w:bCs/>
                <w:color w:val="000000"/>
                <w:sz w:val="20"/>
                <w:szCs w:val="20"/>
              </w:rPr>
              <w:t xml:space="preserve">Net </w:t>
            </w:r>
          </w:p>
          <w:p w14:paraId="7787B8C3" w14:textId="2C19830D" w:rsidR="00D21E3E" w:rsidRPr="00F46B11" w:rsidRDefault="00D21E3E" w:rsidP="00F46B11">
            <w:pPr>
              <w:spacing w:after="0"/>
              <w:jc w:val="center"/>
              <w:rPr>
                <w:rFonts w:eastAsia="Times New Roman"/>
                <w:b/>
                <w:bCs/>
                <w:color w:val="000000"/>
                <w:sz w:val="20"/>
                <w:szCs w:val="20"/>
              </w:rPr>
            </w:pPr>
            <w:r>
              <w:rPr>
                <w:rFonts w:eastAsia="Times New Roman"/>
                <w:b/>
                <w:bCs/>
                <w:color w:val="000000"/>
                <w:sz w:val="20"/>
                <w:szCs w:val="20"/>
              </w:rPr>
              <w:t>£000</w:t>
            </w:r>
          </w:p>
        </w:tc>
      </w:tr>
      <w:tr w:rsidR="00F46B11" w:rsidRPr="00F46B11" w14:paraId="66143F13" w14:textId="77777777" w:rsidTr="009E0C87">
        <w:trPr>
          <w:trHeight w:val="290"/>
        </w:trPr>
        <w:tc>
          <w:tcPr>
            <w:tcW w:w="3641" w:type="dxa"/>
            <w:tcBorders>
              <w:top w:val="nil"/>
              <w:left w:val="single" w:sz="4" w:space="0" w:color="auto"/>
              <w:bottom w:val="single" w:sz="4" w:space="0" w:color="auto"/>
              <w:right w:val="single" w:sz="4" w:space="0" w:color="auto"/>
            </w:tcBorders>
            <w:shd w:val="clear" w:color="000000" w:fill="FFFFFF"/>
            <w:vAlign w:val="center"/>
            <w:hideMark/>
          </w:tcPr>
          <w:p w14:paraId="11654EC7" w14:textId="0E8D1257" w:rsidR="00F46B11" w:rsidRPr="00F46B11" w:rsidRDefault="009E0C87" w:rsidP="00F46B11">
            <w:pPr>
              <w:spacing w:after="0"/>
              <w:rPr>
                <w:rFonts w:eastAsia="Times New Roman"/>
                <w:b/>
                <w:bCs/>
                <w:color w:val="000000"/>
                <w:sz w:val="20"/>
                <w:szCs w:val="20"/>
              </w:rPr>
            </w:pPr>
            <w:r>
              <w:rPr>
                <w:rFonts w:eastAsia="Times New Roman"/>
                <w:b/>
                <w:bCs/>
                <w:color w:val="000000"/>
                <w:sz w:val="20"/>
                <w:szCs w:val="20"/>
              </w:rPr>
              <w:t xml:space="preserve">Individual </w:t>
            </w:r>
            <w:r w:rsidR="008A3BFD">
              <w:rPr>
                <w:rFonts w:eastAsia="Times New Roman"/>
                <w:b/>
                <w:bCs/>
                <w:color w:val="000000"/>
                <w:sz w:val="20"/>
                <w:szCs w:val="20"/>
              </w:rPr>
              <w:t>S</w:t>
            </w:r>
            <w:r w:rsidR="00F46B11" w:rsidRPr="00F46B11">
              <w:rPr>
                <w:rFonts w:eastAsia="Times New Roman"/>
                <w:b/>
                <w:bCs/>
                <w:color w:val="000000"/>
                <w:sz w:val="20"/>
                <w:szCs w:val="20"/>
              </w:rPr>
              <w:t xml:space="preserve">chools </w:t>
            </w:r>
            <w:r>
              <w:rPr>
                <w:rFonts w:eastAsia="Times New Roman"/>
                <w:b/>
                <w:bCs/>
                <w:color w:val="000000"/>
                <w:sz w:val="20"/>
                <w:szCs w:val="20"/>
              </w:rPr>
              <w:t>Budgets (ISB)</w:t>
            </w:r>
            <w:r w:rsidR="00F46B11">
              <w:rPr>
                <w:rFonts w:eastAsia="Times New Roman"/>
                <w:b/>
                <w:bCs/>
                <w:color w:val="000000"/>
                <w:sz w:val="20"/>
                <w:szCs w:val="20"/>
              </w:rPr>
              <w:t xml:space="preserve">                 </w:t>
            </w:r>
          </w:p>
        </w:tc>
        <w:tc>
          <w:tcPr>
            <w:tcW w:w="1276" w:type="dxa"/>
            <w:tcBorders>
              <w:top w:val="single" w:sz="4" w:space="0" w:color="auto"/>
              <w:left w:val="nil"/>
              <w:bottom w:val="single" w:sz="4" w:space="0" w:color="auto"/>
              <w:right w:val="single" w:sz="4" w:space="0" w:color="auto"/>
            </w:tcBorders>
          </w:tcPr>
          <w:p w14:paraId="2C68DBF3" w14:textId="280DDD85" w:rsidR="00F46B11" w:rsidRPr="00F46B11" w:rsidRDefault="00F46B11" w:rsidP="00F46B11">
            <w:pPr>
              <w:spacing w:after="0"/>
              <w:jc w:val="center"/>
              <w:rPr>
                <w:rFonts w:ascii="Calibri" w:eastAsia="Times New Roman" w:hAnsi="Calibri" w:cs="Calibri"/>
                <w:color w:val="000000"/>
                <w:sz w:val="22"/>
                <w:szCs w:val="22"/>
              </w:rPr>
            </w:pPr>
            <w:r w:rsidRPr="00F46B11">
              <w:rPr>
                <w:rFonts w:ascii="Calibri" w:eastAsia="Times New Roman" w:hAnsi="Calibri" w:cs="Calibri"/>
                <w:color w:val="000000"/>
                <w:sz w:val="22"/>
                <w:szCs w:val="22"/>
              </w:rPr>
              <w:t>97.7%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F3AB" w14:textId="49C1D72E" w:rsidR="00F46B11" w:rsidRPr="00F46B11" w:rsidRDefault="00F46B11" w:rsidP="00F46B11">
            <w:pPr>
              <w:spacing w:after="0"/>
              <w:jc w:val="center"/>
              <w:rPr>
                <w:rFonts w:ascii="Calibri" w:eastAsia="Times New Roman" w:hAnsi="Calibri" w:cs="Calibri"/>
                <w:color w:val="000000"/>
                <w:sz w:val="22"/>
                <w:szCs w:val="22"/>
              </w:rPr>
            </w:pPr>
            <w:r w:rsidRPr="00F46B11">
              <w:rPr>
                <w:rFonts w:ascii="Calibri" w:eastAsia="Times New Roman" w:hAnsi="Calibri" w:cs="Calibri"/>
                <w:color w:val="000000"/>
                <w:sz w:val="22"/>
                <w:szCs w:val="22"/>
              </w:rPr>
              <w:t>205,229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20FDCFB" w14:textId="77777777" w:rsidR="00F46B11" w:rsidRPr="00F46B11" w:rsidRDefault="00F46B11" w:rsidP="00F46B11">
            <w:pPr>
              <w:spacing w:after="0"/>
              <w:jc w:val="center"/>
              <w:rPr>
                <w:rFonts w:ascii="Calibri" w:eastAsia="Times New Roman" w:hAnsi="Calibri" w:cs="Calibri"/>
                <w:color w:val="000000"/>
                <w:sz w:val="22"/>
                <w:szCs w:val="22"/>
              </w:rPr>
            </w:pPr>
            <w:r w:rsidRPr="00F46B11">
              <w:rPr>
                <w:rFonts w:ascii="Calibri" w:eastAsia="Times New Roman" w:hAnsi="Calibri" w:cs="Calibri"/>
                <w:color w:val="000000"/>
                <w:sz w:val="22"/>
                <w:szCs w:val="22"/>
              </w:rPr>
              <w:t>205,229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9D7EBE" w14:textId="77777777" w:rsidR="00F46B11" w:rsidRPr="00F46B11" w:rsidRDefault="00F46B11" w:rsidP="00F46B11">
            <w:pPr>
              <w:spacing w:after="0"/>
              <w:jc w:val="center"/>
              <w:rPr>
                <w:rFonts w:ascii="Calibri" w:eastAsia="Times New Roman" w:hAnsi="Calibri" w:cs="Calibri"/>
                <w:color w:val="000000"/>
                <w:sz w:val="22"/>
                <w:szCs w:val="22"/>
              </w:rPr>
            </w:pPr>
            <w:r w:rsidRPr="00F46B11">
              <w:rPr>
                <w:rFonts w:ascii="Calibri" w:eastAsia="Times New Roman" w:hAnsi="Calibri" w:cs="Calibri"/>
                <w:color w:val="000000"/>
                <w:sz w:val="22"/>
                <w:szCs w:val="22"/>
              </w:rPr>
              <w:t>0</w:t>
            </w:r>
          </w:p>
        </w:tc>
      </w:tr>
      <w:tr w:rsidR="00F46B11" w:rsidRPr="00F46B11" w14:paraId="5F288FF6" w14:textId="77777777" w:rsidTr="009E0C87">
        <w:trPr>
          <w:trHeight w:val="290"/>
        </w:trPr>
        <w:tc>
          <w:tcPr>
            <w:tcW w:w="3641" w:type="dxa"/>
            <w:tcBorders>
              <w:top w:val="nil"/>
              <w:left w:val="single" w:sz="4" w:space="0" w:color="auto"/>
              <w:bottom w:val="single" w:sz="4" w:space="0" w:color="auto"/>
              <w:right w:val="single" w:sz="4" w:space="0" w:color="auto"/>
            </w:tcBorders>
            <w:shd w:val="clear" w:color="000000" w:fill="FFFFFF"/>
            <w:noWrap/>
            <w:vAlign w:val="center"/>
            <w:hideMark/>
          </w:tcPr>
          <w:p w14:paraId="31C4A601" w14:textId="1B747E13" w:rsidR="00F46B11" w:rsidRPr="00F46B11" w:rsidRDefault="004A018A" w:rsidP="00F46B11">
            <w:pPr>
              <w:spacing w:after="0"/>
              <w:rPr>
                <w:rFonts w:eastAsia="Times New Roman"/>
                <w:b/>
                <w:bCs/>
                <w:color w:val="000000"/>
                <w:sz w:val="20"/>
                <w:szCs w:val="20"/>
              </w:rPr>
            </w:pPr>
            <w:r>
              <w:rPr>
                <w:rFonts w:eastAsia="Times New Roman"/>
                <w:b/>
                <w:bCs/>
                <w:color w:val="000000"/>
                <w:sz w:val="20"/>
                <w:szCs w:val="20"/>
              </w:rPr>
              <w:t>D</w:t>
            </w:r>
            <w:r w:rsidR="00F46B11" w:rsidRPr="00F46B11">
              <w:rPr>
                <w:rFonts w:eastAsia="Times New Roman"/>
                <w:b/>
                <w:bCs/>
                <w:color w:val="000000"/>
                <w:sz w:val="20"/>
                <w:szCs w:val="20"/>
              </w:rPr>
              <w:t>e</w:t>
            </w:r>
            <w:r>
              <w:rPr>
                <w:rFonts w:eastAsia="Times New Roman"/>
                <w:b/>
                <w:bCs/>
                <w:color w:val="000000"/>
                <w:sz w:val="20"/>
                <w:szCs w:val="20"/>
              </w:rPr>
              <w:t>-</w:t>
            </w:r>
            <w:r w:rsidR="00F46B11" w:rsidRPr="00F46B11">
              <w:rPr>
                <w:rFonts w:eastAsia="Times New Roman"/>
                <w:b/>
                <w:bCs/>
                <w:color w:val="000000"/>
                <w:sz w:val="20"/>
                <w:szCs w:val="20"/>
              </w:rPr>
              <w:t>delegated budgets</w:t>
            </w:r>
            <w:r w:rsidR="00F46B11">
              <w:rPr>
                <w:rFonts w:eastAsia="Times New Roman"/>
                <w:b/>
                <w:bCs/>
                <w:color w:val="000000"/>
                <w:sz w:val="20"/>
                <w:szCs w:val="20"/>
              </w:rPr>
              <w:t xml:space="preserve"> </w:t>
            </w:r>
          </w:p>
        </w:tc>
        <w:tc>
          <w:tcPr>
            <w:tcW w:w="1276" w:type="dxa"/>
            <w:tcBorders>
              <w:top w:val="single" w:sz="4" w:space="0" w:color="auto"/>
              <w:left w:val="nil"/>
              <w:bottom w:val="single" w:sz="4" w:space="0" w:color="auto"/>
              <w:right w:val="single" w:sz="4" w:space="0" w:color="auto"/>
            </w:tcBorders>
          </w:tcPr>
          <w:p w14:paraId="15B0919F" w14:textId="3BAD3742" w:rsidR="00F46B11" w:rsidRPr="00F46B11" w:rsidRDefault="00F46B11" w:rsidP="00F46B11">
            <w:pPr>
              <w:spacing w:after="0"/>
              <w:jc w:val="center"/>
              <w:rPr>
                <w:rFonts w:ascii="Calibri" w:eastAsia="Times New Roman" w:hAnsi="Calibri" w:cs="Calibri"/>
                <w:color w:val="000000"/>
                <w:sz w:val="22"/>
                <w:szCs w:val="22"/>
              </w:rPr>
            </w:pPr>
            <w:r w:rsidRPr="00F46B11">
              <w:rPr>
                <w:rFonts w:ascii="Calibri" w:eastAsia="Times New Roman" w:hAnsi="Calibri" w:cs="Calibri"/>
                <w:color w:val="000000"/>
                <w:sz w:val="22"/>
                <w:szCs w:val="22"/>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0212FA1" w14:textId="72F0A9D7" w:rsidR="00F46B11" w:rsidRPr="00F46B11" w:rsidRDefault="00F46B11" w:rsidP="00F46B11">
            <w:pPr>
              <w:spacing w:after="0"/>
              <w:jc w:val="center"/>
              <w:rPr>
                <w:rFonts w:ascii="Calibri" w:eastAsia="Times New Roman" w:hAnsi="Calibri" w:cs="Calibri"/>
                <w:color w:val="000000"/>
                <w:sz w:val="22"/>
                <w:szCs w:val="22"/>
              </w:rPr>
            </w:pPr>
            <w:r w:rsidRPr="00F46B11">
              <w:rPr>
                <w:rFonts w:ascii="Calibri" w:eastAsia="Times New Roman" w:hAnsi="Calibri" w:cs="Calibri"/>
                <w:color w:val="000000"/>
                <w:sz w:val="22"/>
                <w:szCs w:val="22"/>
              </w:rPr>
              <w:t>855</w:t>
            </w:r>
          </w:p>
        </w:tc>
        <w:tc>
          <w:tcPr>
            <w:tcW w:w="1559" w:type="dxa"/>
            <w:tcBorders>
              <w:top w:val="nil"/>
              <w:left w:val="nil"/>
              <w:bottom w:val="single" w:sz="4" w:space="0" w:color="auto"/>
              <w:right w:val="single" w:sz="4" w:space="0" w:color="auto"/>
            </w:tcBorders>
            <w:shd w:val="clear" w:color="auto" w:fill="auto"/>
            <w:noWrap/>
            <w:vAlign w:val="center"/>
            <w:hideMark/>
          </w:tcPr>
          <w:p w14:paraId="742D2753" w14:textId="77777777" w:rsidR="00F46B11" w:rsidRPr="00F46B11" w:rsidRDefault="00F46B11" w:rsidP="00F46B11">
            <w:pPr>
              <w:spacing w:after="0"/>
              <w:jc w:val="center"/>
              <w:rPr>
                <w:rFonts w:ascii="Calibri" w:eastAsia="Times New Roman" w:hAnsi="Calibri" w:cs="Calibri"/>
                <w:color w:val="000000"/>
                <w:sz w:val="22"/>
                <w:szCs w:val="22"/>
              </w:rPr>
            </w:pPr>
            <w:r w:rsidRPr="00F46B11">
              <w:rPr>
                <w:rFonts w:ascii="Calibri" w:eastAsia="Times New Roman" w:hAnsi="Calibri" w:cs="Calibri"/>
                <w:color w:val="000000"/>
                <w:sz w:val="22"/>
                <w:szCs w:val="22"/>
              </w:rPr>
              <w:t>522</w:t>
            </w:r>
          </w:p>
        </w:tc>
        <w:tc>
          <w:tcPr>
            <w:tcW w:w="1276" w:type="dxa"/>
            <w:tcBorders>
              <w:top w:val="nil"/>
              <w:left w:val="nil"/>
              <w:bottom w:val="single" w:sz="4" w:space="0" w:color="auto"/>
              <w:right w:val="single" w:sz="4" w:space="0" w:color="auto"/>
            </w:tcBorders>
            <w:shd w:val="clear" w:color="auto" w:fill="auto"/>
            <w:vAlign w:val="center"/>
            <w:hideMark/>
          </w:tcPr>
          <w:p w14:paraId="034A9451" w14:textId="77777777" w:rsidR="00F46B11" w:rsidRPr="00F46B11" w:rsidRDefault="00F46B11" w:rsidP="00F46B11">
            <w:pPr>
              <w:spacing w:after="0"/>
              <w:jc w:val="center"/>
              <w:rPr>
                <w:rFonts w:ascii="Calibri" w:eastAsia="Times New Roman" w:hAnsi="Calibri" w:cs="Calibri"/>
                <w:color w:val="000000"/>
                <w:sz w:val="22"/>
                <w:szCs w:val="22"/>
              </w:rPr>
            </w:pPr>
            <w:r w:rsidRPr="00F46B11">
              <w:rPr>
                <w:rFonts w:ascii="Calibri" w:eastAsia="Times New Roman" w:hAnsi="Calibri" w:cs="Calibri"/>
                <w:color w:val="000000"/>
                <w:sz w:val="22"/>
                <w:szCs w:val="22"/>
              </w:rPr>
              <w:t>333</w:t>
            </w:r>
          </w:p>
        </w:tc>
      </w:tr>
      <w:tr w:rsidR="00F46B11" w:rsidRPr="00F46B11" w14:paraId="61E906C4" w14:textId="77777777" w:rsidTr="009E0C87">
        <w:trPr>
          <w:trHeight w:val="290"/>
        </w:trPr>
        <w:tc>
          <w:tcPr>
            <w:tcW w:w="3641" w:type="dxa"/>
            <w:tcBorders>
              <w:top w:val="nil"/>
              <w:left w:val="single" w:sz="4" w:space="0" w:color="auto"/>
              <w:bottom w:val="single" w:sz="4" w:space="0" w:color="auto"/>
              <w:right w:val="single" w:sz="4" w:space="0" w:color="auto"/>
            </w:tcBorders>
            <w:shd w:val="clear" w:color="000000" w:fill="FFFFFF"/>
            <w:noWrap/>
            <w:vAlign w:val="center"/>
            <w:hideMark/>
          </w:tcPr>
          <w:p w14:paraId="3227B47A" w14:textId="77777777" w:rsidR="00F46B11" w:rsidRPr="00F46B11" w:rsidRDefault="00F46B11" w:rsidP="00F46B11">
            <w:pPr>
              <w:spacing w:after="0"/>
              <w:rPr>
                <w:rFonts w:eastAsia="Times New Roman"/>
                <w:b/>
                <w:bCs/>
                <w:color w:val="000000"/>
                <w:sz w:val="20"/>
                <w:szCs w:val="20"/>
              </w:rPr>
            </w:pPr>
            <w:r w:rsidRPr="00F46B11">
              <w:rPr>
                <w:rFonts w:eastAsia="Times New Roman"/>
                <w:b/>
                <w:bCs/>
                <w:color w:val="000000"/>
                <w:sz w:val="20"/>
                <w:szCs w:val="20"/>
              </w:rPr>
              <w:t>Growth</w:t>
            </w:r>
          </w:p>
        </w:tc>
        <w:tc>
          <w:tcPr>
            <w:tcW w:w="1276" w:type="dxa"/>
            <w:tcBorders>
              <w:top w:val="single" w:sz="4" w:space="0" w:color="auto"/>
              <w:left w:val="nil"/>
              <w:bottom w:val="single" w:sz="4" w:space="0" w:color="auto"/>
              <w:right w:val="single" w:sz="4" w:space="0" w:color="auto"/>
            </w:tcBorders>
          </w:tcPr>
          <w:p w14:paraId="177897E9" w14:textId="7DCA5BDF" w:rsidR="00F46B11" w:rsidRPr="00F46B11" w:rsidRDefault="00F46B11" w:rsidP="00F46B11">
            <w:pPr>
              <w:spacing w:after="0"/>
              <w:jc w:val="center"/>
              <w:rPr>
                <w:rFonts w:ascii="Calibri" w:eastAsia="Times New Roman" w:hAnsi="Calibri" w:cs="Calibri"/>
                <w:color w:val="000000"/>
                <w:sz w:val="22"/>
                <w:szCs w:val="22"/>
              </w:rPr>
            </w:pPr>
            <w:r>
              <w:rPr>
                <w:rFonts w:ascii="Calibri" w:eastAsia="Times New Roman" w:hAnsi="Calibri" w:cs="Calibri"/>
                <w:color w:val="000000"/>
                <w:sz w:val="22"/>
                <w:szCs w:val="22"/>
              </w:rPr>
              <w:t>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8436A36" w14:textId="05689068" w:rsidR="00F46B11" w:rsidRPr="00F46B11" w:rsidRDefault="00F46B11" w:rsidP="00F46B11">
            <w:pPr>
              <w:spacing w:after="0"/>
              <w:jc w:val="center"/>
              <w:rPr>
                <w:rFonts w:ascii="Calibri" w:eastAsia="Times New Roman" w:hAnsi="Calibri" w:cs="Calibri"/>
                <w:color w:val="000000"/>
                <w:sz w:val="22"/>
                <w:szCs w:val="22"/>
              </w:rPr>
            </w:pPr>
            <w:r w:rsidRPr="00F46B11">
              <w:rPr>
                <w:rFonts w:ascii="Calibri" w:eastAsia="Times New Roman" w:hAnsi="Calibri" w:cs="Calibri"/>
                <w:color w:val="000000"/>
                <w:sz w:val="22"/>
                <w:szCs w:val="22"/>
              </w:rPr>
              <w:t>2,739</w:t>
            </w:r>
          </w:p>
        </w:tc>
        <w:tc>
          <w:tcPr>
            <w:tcW w:w="1559" w:type="dxa"/>
            <w:tcBorders>
              <w:top w:val="nil"/>
              <w:left w:val="nil"/>
              <w:bottom w:val="single" w:sz="4" w:space="0" w:color="auto"/>
              <w:right w:val="single" w:sz="4" w:space="0" w:color="auto"/>
            </w:tcBorders>
            <w:shd w:val="clear" w:color="auto" w:fill="auto"/>
            <w:noWrap/>
            <w:vAlign w:val="center"/>
            <w:hideMark/>
          </w:tcPr>
          <w:p w14:paraId="0D4E74CF" w14:textId="77777777" w:rsidR="00F46B11" w:rsidRPr="00F46B11" w:rsidRDefault="00F46B11" w:rsidP="00F46B11">
            <w:pPr>
              <w:spacing w:after="0"/>
              <w:jc w:val="center"/>
              <w:rPr>
                <w:rFonts w:ascii="Calibri" w:eastAsia="Times New Roman" w:hAnsi="Calibri" w:cs="Calibri"/>
                <w:color w:val="000000"/>
                <w:sz w:val="22"/>
                <w:szCs w:val="22"/>
              </w:rPr>
            </w:pPr>
            <w:r w:rsidRPr="00F46B11">
              <w:rPr>
                <w:rFonts w:ascii="Calibri" w:eastAsia="Times New Roman" w:hAnsi="Calibri" w:cs="Calibri"/>
                <w:color w:val="000000"/>
                <w:sz w:val="22"/>
                <w:szCs w:val="22"/>
              </w:rPr>
              <w:t>1,066</w:t>
            </w:r>
          </w:p>
        </w:tc>
        <w:tc>
          <w:tcPr>
            <w:tcW w:w="1276" w:type="dxa"/>
            <w:tcBorders>
              <w:top w:val="nil"/>
              <w:left w:val="nil"/>
              <w:bottom w:val="single" w:sz="4" w:space="0" w:color="auto"/>
              <w:right w:val="single" w:sz="4" w:space="0" w:color="auto"/>
            </w:tcBorders>
            <w:shd w:val="clear" w:color="auto" w:fill="auto"/>
            <w:vAlign w:val="center"/>
            <w:hideMark/>
          </w:tcPr>
          <w:p w14:paraId="15E3DEDA" w14:textId="77777777" w:rsidR="00F46B11" w:rsidRPr="00F46B11" w:rsidRDefault="00F46B11" w:rsidP="00F46B11">
            <w:pPr>
              <w:spacing w:after="0"/>
              <w:jc w:val="center"/>
              <w:rPr>
                <w:rFonts w:ascii="Calibri" w:eastAsia="Times New Roman" w:hAnsi="Calibri" w:cs="Calibri"/>
                <w:color w:val="000000"/>
                <w:sz w:val="22"/>
                <w:szCs w:val="22"/>
              </w:rPr>
            </w:pPr>
            <w:r w:rsidRPr="00F46B11">
              <w:rPr>
                <w:rFonts w:ascii="Calibri" w:eastAsia="Times New Roman" w:hAnsi="Calibri" w:cs="Calibri"/>
                <w:color w:val="000000"/>
                <w:sz w:val="22"/>
                <w:szCs w:val="22"/>
              </w:rPr>
              <w:t>1,673</w:t>
            </w:r>
          </w:p>
        </w:tc>
      </w:tr>
      <w:tr w:rsidR="00F46B11" w:rsidRPr="00F46B11" w14:paraId="659AE99E" w14:textId="77777777" w:rsidTr="009E0C87">
        <w:trPr>
          <w:trHeight w:val="290"/>
        </w:trPr>
        <w:tc>
          <w:tcPr>
            <w:tcW w:w="3641" w:type="dxa"/>
            <w:tcBorders>
              <w:top w:val="nil"/>
              <w:left w:val="single" w:sz="4" w:space="0" w:color="auto"/>
              <w:bottom w:val="single" w:sz="4" w:space="0" w:color="auto"/>
              <w:right w:val="single" w:sz="4" w:space="0" w:color="auto"/>
            </w:tcBorders>
            <w:shd w:val="clear" w:color="000000" w:fill="FFFFFF"/>
            <w:vAlign w:val="center"/>
            <w:hideMark/>
          </w:tcPr>
          <w:p w14:paraId="43B58889" w14:textId="77777777" w:rsidR="00F46B11" w:rsidRPr="00F46B11" w:rsidRDefault="00F46B11" w:rsidP="00F46B11">
            <w:pPr>
              <w:spacing w:after="0"/>
              <w:rPr>
                <w:rFonts w:eastAsia="Times New Roman"/>
                <w:b/>
                <w:bCs/>
                <w:color w:val="000000"/>
                <w:sz w:val="20"/>
                <w:szCs w:val="20"/>
              </w:rPr>
            </w:pPr>
            <w:r w:rsidRPr="00F46B11">
              <w:rPr>
                <w:rFonts w:eastAsia="Times New Roman"/>
                <w:b/>
                <w:bCs/>
                <w:color w:val="000000"/>
                <w:sz w:val="20"/>
                <w:szCs w:val="20"/>
              </w:rPr>
              <w:t>Education services</w:t>
            </w:r>
          </w:p>
        </w:tc>
        <w:tc>
          <w:tcPr>
            <w:tcW w:w="1276" w:type="dxa"/>
            <w:tcBorders>
              <w:top w:val="single" w:sz="4" w:space="0" w:color="auto"/>
              <w:left w:val="nil"/>
              <w:bottom w:val="single" w:sz="4" w:space="0" w:color="auto"/>
              <w:right w:val="single" w:sz="4" w:space="0" w:color="auto"/>
            </w:tcBorders>
          </w:tcPr>
          <w:p w14:paraId="5163D6F0" w14:textId="5E7EE180" w:rsidR="00F46B11" w:rsidRPr="00F46B11" w:rsidRDefault="00F46B11" w:rsidP="00F46B11">
            <w:pPr>
              <w:spacing w:after="0"/>
              <w:jc w:val="center"/>
              <w:rPr>
                <w:rFonts w:ascii="Calibri" w:eastAsia="Times New Roman" w:hAnsi="Calibri" w:cs="Calibri"/>
                <w:color w:val="000000"/>
                <w:sz w:val="22"/>
                <w:szCs w:val="22"/>
              </w:rPr>
            </w:pPr>
            <w:r>
              <w:rPr>
                <w:rFonts w:ascii="Calibri" w:eastAsia="Times New Roman" w:hAnsi="Calibri" w:cs="Calibri"/>
                <w:color w:val="000000"/>
                <w:sz w:val="22"/>
                <w:szCs w:val="22"/>
              </w:rPr>
              <w:t>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643C8DC" w14:textId="314C263E" w:rsidR="00F46B11" w:rsidRPr="00F46B11" w:rsidRDefault="00F46B11" w:rsidP="00F46B11">
            <w:pPr>
              <w:spacing w:after="0"/>
              <w:jc w:val="center"/>
              <w:rPr>
                <w:rFonts w:ascii="Calibri" w:eastAsia="Times New Roman" w:hAnsi="Calibri" w:cs="Calibri"/>
                <w:color w:val="000000"/>
                <w:sz w:val="22"/>
                <w:szCs w:val="22"/>
              </w:rPr>
            </w:pPr>
            <w:r w:rsidRPr="00F46B11">
              <w:rPr>
                <w:rFonts w:ascii="Calibri" w:eastAsia="Times New Roman" w:hAnsi="Calibri" w:cs="Calibri"/>
                <w:color w:val="000000"/>
                <w:sz w:val="22"/>
                <w:szCs w:val="22"/>
              </w:rPr>
              <w:t>1,133</w:t>
            </w:r>
          </w:p>
        </w:tc>
        <w:tc>
          <w:tcPr>
            <w:tcW w:w="1559" w:type="dxa"/>
            <w:tcBorders>
              <w:top w:val="nil"/>
              <w:left w:val="nil"/>
              <w:bottom w:val="single" w:sz="4" w:space="0" w:color="auto"/>
              <w:right w:val="single" w:sz="4" w:space="0" w:color="auto"/>
            </w:tcBorders>
            <w:shd w:val="clear" w:color="auto" w:fill="auto"/>
            <w:noWrap/>
            <w:vAlign w:val="center"/>
            <w:hideMark/>
          </w:tcPr>
          <w:p w14:paraId="117D78A4" w14:textId="77777777" w:rsidR="00F46B11" w:rsidRPr="00F46B11" w:rsidRDefault="00F46B11" w:rsidP="00F46B11">
            <w:pPr>
              <w:spacing w:after="0"/>
              <w:jc w:val="center"/>
              <w:rPr>
                <w:rFonts w:ascii="Calibri" w:eastAsia="Times New Roman" w:hAnsi="Calibri" w:cs="Calibri"/>
                <w:color w:val="000000"/>
                <w:sz w:val="22"/>
                <w:szCs w:val="22"/>
              </w:rPr>
            </w:pPr>
            <w:r w:rsidRPr="00F46B11">
              <w:rPr>
                <w:rFonts w:ascii="Calibri" w:eastAsia="Times New Roman" w:hAnsi="Calibri" w:cs="Calibri"/>
                <w:color w:val="000000"/>
                <w:sz w:val="22"/>
                <w:szCs w:val="22"/>
              </w:rPr>
              <w:t>1,133</w:t>
            </w:r>
          </w:p>
        </w:tc>
        <w:tc>
          <w:tcPr>
            <w:tcW w:w="1276" w:type="dxa"/>
            <w:tcBorders>
              <w:top w:val="nil"/>
              <w:left w:val="nil"/>
              <w:bottom w:val="single" w:sz="4" w:space="0" w:color="auto"/>
              <w:right w:val="single" w:sz="4" w:space="0" w:color="auto"/>
            </w:tcBorders>
            <w:shd w:val="clear" w:color="auto" w:fill="auto"/>
            <w:vAlign w:val="center"/>
            <w:hideMark/>
          </w:tcPr>
          <w:p w14:paraId="1589E174" w14:textId="77777777" w:rsidR="00F46B11" w:rsidRPr="00F46B11" w:rsidRDefault="00F46B11" w:rsidP="00F46B11">
            <w:pPr>
              <w:spacing w:after="0"/>
              <w:jc w:val="center"/>
              <w:rPr>
                <w:rFonts w:ascii="Calibri" w:eastAsia="Times New Roman" w:hAnsi="Calibri" w:cs="Calibri"/>
                <w:color w:val="000000"/>
                <w:sz w:val="22"/>
                <w:szCs w:val="22"/>
              </w:rPr>
            </w:pPr>
            <w:r w:rsidRPr="00F46B11">
              <w:rPr>
                <w:rFonts w:ascii="Calibri" w:eastAsia="Times New Roman" w:hAnsi="Calibri" w:cs="Calibri"/>
                <w:color w:val="000000"/>
                <w:sz w:val="22"/>
                <w:szCs w:val="22"/>
              </w:rPr>
              <w:t>0</w:t>
            </w:r>
          </w:p>
        </w:tc>
      </w:tr>
      <w:tr w:rsidR="00F46B11" w:rsidRPr="00F46B11" w14:paraId="3BD5ADDA" w14:textId="77777777" w:rsidTr="009E0C87">
        <w:trPr>
          <w:trHeight w:val="290"/>
        </w:trPr>
        <w:tc>
          <w:tcPr>
            <w:tcW w:w="3641" w:type="dxa"/>
            <w:tcBorders>
              <w:top w:val="nil"/>
              <w:left w:val="single" w:sz="4" w:space="0" w:color="auto"/>
              <w:bottom w:val="single" w:sz="4" w:space="0" w:color="auto"/>
              <w:right w:val="single" w:sz="4" w:space="0" w:color="auto"/>
            </w:tcBorders>
            <w:shd w:val="clear" w:color="000000" w:fill="FFFFFF"/>
            <w:vAlign w:val="center"/>
            <w:hideMark/>
          </w:tcPr>
          <w:p w14:paraId="0301415F" w14:textId="4F98E9D3" w:rsidR="00F46B11" w:rsidRPr="00F46B11" w:rsidRDefault="004A018A" w:rsidP="00F46B11">
            <w:pPr>
              <w:spacing w:after="0"/>
              <w:rPr>
                <w:rFonts w:eastAsia="Times New Roman"/>
                <w:b/>
                <w:bCs/>
                <w:color w:val="000000"/>
                <w:sz w:val="20"/>
                <w:szCs w:val="20"/>
              </w:rPr>
            </w:pPr>
            <w:r>
              <w:rPr>
                <w:rFonts w:eastAsia="Times New Roman"/>
                <w:b/>
                <w:bCs/>
                <w:color w:val="000000"/>
                <w:sz w:val="20"/>
                <w:szCs w:val="20"/>
              </w:rPr>
              <w:t>T</w:t>
            </w:r>
            <w:r w:rsidR="00F46B11" w:rsidRPr="00F46B11">
              <w:rPr>
                <w:rFonts w:eastAsia="Times New Roman"/>
                <w:b/>
                <w:bCs/>
                <w:color w:val="000000"/>
                <w:sz w:val="20"/>
                <w:szCs w:val="20"/>
              </w:rPr>
              <w:t>otal</w:t>
            </w:r>
          </w:p>
        </w:tc>
        <w:tc>
          <w:tcPr>
            <w:tcW w:w="1276" w:type="dxa"/>
            <w:tcBorders>
              <w:top w:val="single" w:sz="4" w:space="0" w:color="auto"/>
              <w:left w:val="nil"/>
              <w:bottom w:val="single" w:sz="4" w:space="0" w:color="auto"/>
              <w:right w:val="single" w:sz="4" w:space="0" w:color="auto"/>
            </w:tcBorders>
            <w:shd w:val="clear" w:color="000000" w:fill="DBDBDB"/>
          </w:tcPr>
          <w:p w14:paraId="019F8E73" w14:textId="55A358EB" w:rsidR="00F46B11" w:rsidRPr="00F46B11" w:rsidRDefault="00F46B11" w:rsidP="00F46B11">
            <w:pPr>
              <w:spacing w:after="0"/>
              <w:ind w:hanging="102"/>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100%</w:t>
            </w:r>
          </w:p>
        </w:tc>
        <w:tc>
          <w:tcPr>
            <w:tcW w:w="1276" w:type="dxa"/>
            <w:tcBorders>
              <w:top w:val="nil"/>
              <w:left w:val="single" w:sz="4" w:space="0" w:color="auto"/>
              <w:bottom w:val="single" w:sz="4" w:space="0" w:color="auto"/>
              <w:right w:val="single" w:sz="4" w:space="0" w:color="auto"/>
            </w:tcBorders>
            <w:shd w:val="clear" w:color="000000" w:fill="DBDBDB"/>
            <w:vAlign w:val="center"/>
            <w:hideMark/>
          </w:tcPr>
          <w:p w14:paraId="62358D5C" w14:textId="6A05F547" w:rsidR="00F46B11" w:rsidRPr="00F46B11" w:rsidRDefault="00F46B11" w:rsidP="00F46B11">
            <w:pPr>
              <w:spacing w:after="0"/>
              <w:jc w:val="center"/>
              <w:rPr>
                <w:rFonts w:ascii="Calibri" w:eastAsia="Times New Roman" w:hAnsi="Calibri" w:cs="Calibri"/>
                <w:b/>
                <w:bCs/>
                <w:color w:val="000000"/>
                <w:sz w:val="22"/>
                <w:szCs w:val="22"/>
              </w:rPr>
            </w:pPr>
            <w:r w:rsidRPr="00F46B11">
              <w:rPr>
                <w:rFonts w:ascii="Calibri" w:eastAsia="Times New Roman" w:hAnsi="Calibri" w:cs="Calibri"/>
                <w:b/>
                <w:bCs/>
                <w:color w:val="000000"/>
                <w:sz w:val="22"/>
                <w:szCs w:val="22"/>
              </w:rPr>
              <w:t>209,955</w:t>
            </w:r>
          </w:p>
        </w:tc>
        <w:tc>
          <w:tcPr>
            <w:tcW w:w="1559" w:type="dxa"/>
            <w:tcBorders>
              <w:top w:val="nil"/>
              <w:left w:val="nil"/>
              <w:bottom w:val="single" w:sz="4" w:space="0" w:color="auto"/>
              <w:right w:val="single" w:sz="4" w:space="0" w:color="auto"/>
            </w:tcBorders>
            <w:shd w:val="clear" w:color="000000" w:fill="DBDBDB"/>
            <w:vAlign w:val="center"/>
            <w:hideMark/>
          </w:tcPr>
          <w:p w14:paraId="3B7CF6F0" w14:textId="77777777" w:rsidR="00F46B11" w:rsidRPr="00F46B11" w:rsidRDefault="00F46B11" w:rsidP="00F46B11">
            <w:pPr>
              <w:spacing w:after="0"/>
              <w:jc w:val="center"/>
              <w:rPr>
                <w:rFonts w:ascii="Calibri" w:eastAsia="Times New Roman" w:hAnsi="Calibri" w:cs="Calibri"/>
                <w:b/>
                <w:bCs/>
                <w:color w:val="000000"/>
                <w:sz w:val="22"/>
                <w:szCs w:val="22"/>
              </w:rPr>
            </w:pPr>
            <w:r w:rsidRPr="00F46B11">
              <w:rPr>
                <w:rFonts w:ascii="Calibri" w:eastAsia="Times New Roman" w:hAnsi="Calibri" w:cs="Calibri"/>
                <w:b/>
                <w:bCs/>
                <w:color w:val="000000"/>
                <w:sz w:val="22"/>
                <w:szCs w:val="22"/>
              </w:rPr>
              <w:t>207,949</w:t>
            </w:r>
          </w:p>
        </w:tc>
        <w:tc>
          <w:tcPr>
            <w:tcW w:w="1276" w:type="dxa"/>
            <w:tcBorders>
              <w:top w:val="nil"/>
              <w:left w:val="nil"/>
              <w:bottom w:val="single" w:sz="4" w:space="0" w:color="auto"/>
              <w:right w:val="single" w:sz="4" w:space="0" w:color="auto"/>
            </w:tcBorders>
            <w:shd w:val="clear" w:color="000000" w:fill="DBDBDB"/>
            <w:vAlign w:val="center"/>
            <w:hideMark/>
          </w:tcPr>
          <w:p w14:paraId="441A30FA" w14:textId="77777777" w:rsidR="00F46B11" w:rsidRPr="00F46B11" w:rsidRDefault="00F46B11" w:rsidP="00F46B11">
            <w:pPr>
              <w:spacing w:after="0"/>
              <w:jc w:val="center"/>
              <w:rPr>
                <w:rFonts w:ascii="Calibri" w:eastAsia="Times New Roman" w:hAnsi="Calibri" w:cs="Calibri"/>
                <w:b/>
                <w:bCs/>
                <w:color w:val="000000"/>
                <w:sz w:val="22"/>
                <w:szCs w:val="22"/>
              </w:rPr>
            </w:pPr>
            <w:r w:rsidRPr="00F46B11">
              <w:rPr>
                <w:rFonts w:ascii="Calibri" w:eastAsia="Times New Roman" w:hAnsi="Calibri" w:cs="Calibri"/>
                <w:b/>
                <w:bCs/>
                <w:color w:val="000000"/>
                <w:sz w:val="22"/>
                <w:szCs w:val="22"/>
              </w:rPr>
              <w:t>2,006</w:t>
            </w:r>
          </w:p>
        </w:tc>
      </w:tr>
    </w:tbl>
    <w:p w14:paraId="0B515196" w14:textId="77777777" w:rsidR="009F3BA1" w:rsidRPr="009F3BA1" w:rsidRDefault="009F3BA1" w:rsidP="009F3BA1"/>
    <w:p w14:paraId="73CB385E" w14:textId="6142FD71" w:rsidR="00D21E3E" w:rsidRDefault="00D21E3E" w:rsidP="00D21E3E">
      <w:pPr>
        <w:pStyle w:val="Heading2"/>
        <w:numPr>
          <w:ilvl w:val="1"/>
          <w:numId w:val="1"/>
        </w:numPr>
        <w:ind w:left="567" w:hanging="573"/>
        <w:rPr>
          <w:b w:val="0"/>
          <w:bCs w:val="0"/>
          <w:color w:val="auto"/>
          <w:sz w:val="24"/>
          <w:szCs w:val="24"/>
        </w:rPr>
      </w:pPr>
      <w:r>
        <w:rPr>
          <w:b w:val="0"/>
          <w:bCs w:val="0"/>
          <w:color w:val="auto"/>
          <w:sz w:val="24"/>
          <w:szCs w:val="24"/>
        </w:rPr>
        <w:t>The Central Schools Service Block largely came in on budget</w:t>
      </w:r>
      <w:r w:rsidR="000B09BF">
        <w:rPr>
          <w:b w:val="0"/>
          <w:bCs w:val="0"/>
          <w:color w:val="auto"/>
          <w:sz w:val="24"/>
          <w:szCs w:val="24"/>
        </w:rPr>
        <w:t>.  T</w:t>
      </w:r>
      <w:r>
        <w:rPr>
          <w:b w:val="0"/>
          <w:bCs w:val="0"/>
          <w:color w:val="auto"/>
          <w:sz w:val="24"/>
          <w:szCs w:val="24"/>
        </w:rPr>
        <w:t>his is centrally managed</w:t>
      </w:r>
      <w:r w:rsidR="009A645F">
        <w:rPr>
          <w:b w:val="0"/>
          <w:bCs w:val="0"/>
          <w:color w:val="auto"/>
          <w:sz w:val="24"/>
          <w:szCs w:val="24"/>
        </w:rPr>
        <w:t xml:space="preserve"> and the u</w:t>
      </w:r>
      <w:r>
        <w:rPr>
          <w:b w:val="0"/>
          <w:bCs w:val="0"/>
          <w:color w:val="auto"/>
          <w:sz w:val="24"/>
          <w:szCs w:val="24"/>
        </w:rPr>
        <w:t xml:space="preserve">nder and overspends were netted off to a minimum impact.  The exception </w:t>
      </w:r>
      <w:r w:rsidR="00143497">
        <w:rPr>
          <w:b w:val="0"/>
          <w:bCs w:val="0"/>
          <w:color w:val="auto"/>
          <w:sz w:val="24"/>
          <w:szCs w:val="24"/>
        </w:rPr>
        <w:t xml:space="preserve">to this was a £147k overspend in </w:t>
      </w:r>
      <w:r>
        <w:rPr>
          <w:b w:val="0"/>
          <w:bCs w:val="0"/>
          <w:color w:val="auto"/>
          <w:sz w:val="24"/>
          <w:szCs w:val="24"/>
        </w:rPr>
        <w:t xml:space="preserve">historic severance and retirement costs in schools.  </w:t>
      </w:r>
      <w:r w:rsidR="00143497">
        <w:rPr>
          <w:b w:val="0"/>
          <w:bCs w:val="0"/>
          <w:color w:val="auto"/>
          <w:sz w:val="24"/>
          <w:szCs w:val="24"/>
        </w:rPr>
        <w:t>T</w:t>
      </w:r>
      <w:r>
        <w:rPr>
          <w:b w:val="0"/>
          <w:bCs w:val="0"/>
          <w:color w:val="auto"/>
          <w:sz w:val="24"/>
          <w:szCs w:val="24"/>
        </w:rPr>
        <w:t>he DfE are directing local authorities to reduce the budget, at a greater rate that the reduction in costs.</w:t>
      </w:r>
    </w:p>
    <w:p w14:paraId="0E0D3ED9" w14:textId="77777777" w:rsidR="00D21E3E" w:rsidRPr="00D21E3E" w:rsidRDefault="00D21E3E" w:rsidP="00D21E3E"/>
    <w:p w14:paraId="2D67BA15" w14:textId="2B19C7E6" w:rsidR="00143497" w:rsidRDefault="00143497" w:rsidP="00D21E3E">
      <w:pPr>
        <w:pStyle w:val="Heading2"/>
        <w:numPr>
          <w:ilvl w:val="1"/>
          <w:numId w:val="1"/>
        </w:numPr>
        <w:ind w:left="567" w:hanging="573"/>
        <w:rPr>
          <w:b w:val="0"/>
          <w:bCs w:val="0"/>
          <w:color w:val="auto"/>
          <w:sz w:val="24"/>
          <w:szCs w:val="24"/>
        </w:rPr>
      </w:pPr>
      <w:r>
        <w:rPr>
          <w:b w:val="0"/>
          <w:bCs w:val="0"/>
          <w:color w:val="auto"/>
          <w:sz w:val="24"/>
          <w:szCs w:val="24"/>
        </w:rPr>
        <w:t>The Early Years Block underspend</w:t>
      </w:r>
      <w:r w:rsidR="009A645F">
        <w:rPr>
          <w:b w:val="0"/>
          <w:bCs w:val="0"/>
          <w:color w:val="auto"/>
          <w:sz w:val="24"/>
          <w:szCs w:val="24"/>
        </w:rPr>
        <w:t xml:space="preserve"> is mainly</w:t>
      </w:r>
      <w:r>
        <w:rPr>
          <w:b w:val="0"/>
          <w:bCs w:val="0"/>
          <w:color w:val="auto"/>
          <w:sz w:val="24"/>
          <w:szCs w:val="24"/>
        </w:rPr>
        <w:t xml:space="preserve"> due to the impact of the funding system.  The allocations are calculated using the January census’ at the beginning and end of the </w:t>
      </w:r>
      <w:r w:rsidR="009A645F">
        <w:rPr>
          <w:b w:val="0"/>
          <w:bCs w:val="0"/>
          <w:color w:val="auto"/>
          <w:sz w:val="24"/>
          <w:szCs w:val="24"/>
        </w:rPr>
        <w:t>financial</w:t>
      </w:r>
      <w:r>
        <w:rPr>
          <w:b w:val="0"/>
          <w:bCs w:val="0"/>
          <w:color w:val="auto"/>
          <w:sz w:val="24"/>
          <w:szCs w:val="24"/>
        </w:rPr>
        <w:t xml:space="preserve"> year period.   Both exceed the census in the autumn, leading to a welcome saving.</w:t>
      </w:r>
      <w:r w:rsidR="00163B18">
        <w:rPr>
          <w:b w:val="0"/>
          <w:bCs w:val="0"/>
          <w:color w:val="auto"/>
          <w:sz w:val="24"/>
          <w:szCs w:val="24"/>
        </w:rPr>
        <w:br/>
      </w:r>
      <w:r w:rsidR="00163B18">
        <w:rPr>
          <w:b w:val="0"/>
          <w:bCs w:val="0"/>
          <w:color w:val="auto"/>
          <w:sz w:val="24"/>
          <w:szCs w:val="24"/>
        </w:rPr>
        <w:br/>
      </w:r>
      <w:r w:rsidR="00163B18">
        <w:rPr>
          <w:b w:val="0"/>
          <w:bCs w:val="0"/>
          <w:color w:val="auto"/>
          <w:sz w:val="24"/>
          <w:szCs w:val="24"/>
        </w:rPr>
        <w:br/>
      </w:r>
      <w:r w:rsidR="00163B18">
        <w:rPr>
          <w:b w:val="0"/>
          <w:bCs w:val="0"/>
          <w:color w:val="auto"/>
          <w:sz w:val="24"/>
          <w:szCs w:val="24"/>
        </w:rPr>
        <w:br/>
      </w:r>
      <w:r w:rsidR="00163B18">
        <w:rPr>
          <w:b w:val="0"/>
          <w:bCs w:val="0"/>
          <w:color w:val="auto"/>
          <w:sz w:val="24"/>
          <w:szCs w:val="24"/>
        </w:rPr>
        <w:br/>
      </w:r>
      <w:r w:rsidR="00163B18">
        <w:rPr>
          <w:b w:val="0"/>
          <w:bCs w:val="0"/>
          <w:color w:val="auto"/>
          <w:sz w:val="24"/>
          <w:szCs w:val="24"/>
        </w:rPr>
        <w:br/>
      </w:r>
      <w:r w:rsidR="00163B18">
        <w:rPr>
          <w:b w:val="0"/>
          <w:bCs w:val="0"/>
          <w:color w:val="auto"/>
          <w:sz w:val="24"/>
          <w:szCs w:val="24"/>
        </w:rPr>
        <w:br/>
      </w:r>
      <w:r w:rsidR="00163B18">
        <w:rPr>
          <w:b w:val="0"/>
          <w:bCs w:val="0"/>
          <w:color w:val="auto"/>
          <w:sz w:val="24"/>
          <w:szCs w:val="24"/>
        </w:rPr>
        <w:br/>
      </w:r>
      <w:r w:rsidR="00163B18">
        <w:rPr>
          <w:b w:val="0"/>
          <w:bCs w:val="0"/>
          <w:color w:val="auto"/>
          <w:sz w:val="24"/>
          <w:szCs w:val="24"/>
        </w:rPr>
        <w:br/>
      </w:r>
      <w:r w:rsidR="00163B18">
        <w:rPr>
          <w:b w:val="0"/>
          <w:bCs w:val="0"/>
          <w:color w:val="auto"/>
          <w:sz w:val="24"/>
          <w:szCs w:val="24"/>
        </w:rPr>
        <w:br/>
      </w:r>
      <w:r w:rsidR="00163B18">
        <w:rPr>
          <w:b w:val="0"/>
          <w:bCs w:val="0"/>
          <w:color w:val="auto"/>
          <w:sz w:val="24"/>
          <w:szCs w:val="24"/>
        </w:rPr>
        <w:br/>
      </w:r>
      <w:r w:rsidR="00163B18">
        <w:rPr>
          <w:b w:val="0"/>
          <w:bCs w:val="0"/>
          <w:color w:val="auto"/>
          <w:sz w:val="24"/>
          <w:szCs w:val="24"/>
        </w:rPr>
        <w:br/>
      </w:r>
      <w:r w:rsidR="00163B18">
        <w:rPr>
          <w:b w:val="0"/>
          <w:bCs w:val="0"/>
          <w:color w:val="auto"/>
          <w:sz w:val="24"/>
          <w:szCs w:val="24"/>
        </w:rPr>
        <w:br/>
      </w:r>
    </w:p>
    <w:p w14:paraId="5012BFB2" w14:textId="64CA1E97" w:rsidR="00143497" w:rsidRDefault="00143497" w:rsidP="00143497">
      <w:pPr>
        <w:pStyle w:val="Heading2"/>
        <w:ind w:left="567"/>
        <w:rPr>
          <w:b w:val="0"/>
          <w:bCs w:val="0"/>
          <w:color w:val="auto"/>
          <w:sz w:val="24"/>
          <w:szCs w:val="24"/>
        </w:rPr>
      </w:pPr>
      <w:r>
        <w:rPr>
          <w:b w:val="0"/>
          <w:bCs w:val="0"/>
          <w:color w:val="auto"/>
          <w:sz w:val="24"/>
          <w:szCs w:val="24"/>
        </w:rPr>
        <w:t xml:space="preserve"> </w:t>
      </w:r>
    </w:p>
    <w:p w14:paraId="031CBF3C" w14:textId="7A50FCAE" w:rsidR="00143497" w:rsidRDefault="00143497" w:rsidP="00D21E3E">
      <w:pPr>
        <w:pStyle w:val="Heading2"/>
        <w:numPr>
          <w:ilvl w:val="1"/>
          <w:numId w:val="1"/>
        </w:numPr>
        <w:ind w:left="567" w:hanging="573"/>
        <w:rPr>
          <w:b w:val="0"/>
          <w:bCs w:val="0"/>
          <w:color w:val="auto"/>
          <w:sz w:val="24"/>
          <w:szCs w:val="24"/>
        </w:rPr>
      </w:pPr>
      <w:r>
        <w:rPr>
          <w:b w:val="0"/>
          <w:bCs w:val="0"/>
          <w:color w:val="auto"/>
          <w:sz w:val="24"/>
          <w:szCs w:val="24"/>
        </w:rPr>
        <w:lastRenderedPageBreak/>
        <w:t>The High Needs Block is discussed elsewhere on this agenda, however the anticipated break-even position previously reported to Schools Forum did not materialise.  Action is being taken to strengthen</w:t>
      </w:r>
      <w:r w:rsidR="00D21E3E">
        <w:rPr>
          <w:b w:val="0"/>
          <w:bCs w:val="0"/>
          <w:color w:val="auto"/>
          <w:sz w:val="24"/>
          <w:szCs w:val="24"/>
        </w:rPr>
        <w:t xml:space="preserve"> </w:t>
      </w:r>
      <w:r>
        <w:rPr>
          <w:b w:val="0"/>
          <w:bCs w:val="0"/>
          <w:color w:val="auto"/>
          <w:sz w:val="24"/>
          <w:szCs w:val="24"/>
        </w:rPr>
        <w:t xml:space="preserve">and add transparency to the SLAs with high needs providers for the future.  </w:t>
      </w:r>
    </w:p>
    <w:p w14:paraId="1C5B943C" w14:textId="77777777" w:rsidR="008158A3" w:rsidRDefault="008158A3" w:rsidP="00101F8B"/>
    <w:p w14:paraId="2C2FD48A" w14:textId="26C122C7" w:rsidR="00143497" w:rsidRDefault="00143497" w:rsidP="00CB475C">
      <w:pPr>
        <w:pStyle w:val="Heading2"/>
        <w:numPr>
          <w:ilvl w:val="1"/>
          <w:numId w:val="1"/>
        </w:numPr>
        <w:ind w:left="567" w:hanging="573"/>
      </w:pPr>
      <w:r w:rsidRPr="00CB475C">
        <w:rPr>
          <w:b w:val="0"/>
          <w:bCs w:val="0"/>
          <w:color w:val="auto"/>
          <w:sz w:val="24"/>
          <w:szCs w:val="24"/>
        </w:rPr>
        <w:t xml:space="preserve">As a result of the overall savings in </w:t>
      </w:r>
      <w:r w:rsidR="00871F7A" w:rsidRPr="00CB475C">
        <w:rPr>
          <w:b w:val="0"/>
          <w:bCs w:val="0"/>
          <w:color w:val="auto"/>
          <w:sz w:val="24"/>
          <w:szCs w:val="24"/>
        </w:rPr>
        <w:t xml:space="preserve">the Schools and Early years blocks, it is proposed that these are used to reduce the High Needs overspend as in previous years.  This overspend is a burden to all schools and pupils in the borough, so reducing it benefits the </w:t>
      </w:r>
      <w:r w:rsidR="000C3BD9">
        <w:rPr>
          <w:b w:val="0"/>
          <w:bCs w:val="0"/>
          <w:color w:val="auto"/>
          <w:sz w:val="24"/>
          <w:szCs w:val="24"/>
        </w:rPr>
        <w:t xml:space="preserve">whole </w:t>
      </w:r>
      <w:r w:rsidR="00871F7A" w:rsidRPr="00CB475C">
        <w:rPr>
          <w:b w:val="0"/>
          <w:bCs w:val="0"/>
          <w:color w:val="auto"/>
          <w:sz w:val="24"/>
          <w:szCs w:val="24"/>
        </w:rPr>
        <w:t xml:space="preserve">education </w:t>
      </w:r>
      <w:r w:rsidR="005916AF" w:rsidRPr="00CB475C">
        <w:rPr>
          <w:b w:val="0"/>
          <w:bCs w:val="0"/>
          <w:color w:val="auto"/>
          <w:sz w:val="24"/>
          <w:szCs w:val="24"/>
        </w:rPr>
        <w:t>community</w:t>
      </w:r>
      <w:r w:rsidR="00CB475C" w:rsidRPr="00CB475C">
        <w:rPr>
          <w:b w:val="0"/>
          <w:bCs w:val="0"/>
          <w:color w:val="auto"/>
          <w:sz w:val="24"/>
          <w:szCs w:val="24"/>
        </w:rPr>
        <w:t xml:space="preserve">.  This would reduce the HN </w:t>
      </w:r>
      <w:r w:rsidR="0060576F">
        <w:rPr>
          <w:b w:val="0"/>
          <w:bCs w:val="0"/>
          <w:color w:val="auto"/>
          <w:sz w:val="24"/>
          <w:szCs w:val="24"/>
        </w:rPr>
        <w:t xml:space="preserve">2023-24 </w:t>
      </w:r>
      <w:r w:rsidR="00CB475C" w:rsidRPr="00CB475C">
        <w:rPr>
          <w:b w:val="0"/>
          <w:bCs w:val="0"/>
          <w:color w:val="auto"/>
          <w:sz w:val="24"/>
          <w:szCs w:val="24"/>
        </w:rPr>
        <w:t>overspend by £3.</w:t>
      </w:r>
      <w:r w:rsidR="00310281">
        <w:rPr>
          <w:b w:val="0"/>
          <w:bCs w:val="0"/>
          <w:color w:val="auto"/>
          <w:sz w:val="24"/>
          <w:szCs w:val="24"/>
        </w:rPr>
        <w:t>4</w:t>
      </w:r>
      <w:r w:rsidR="00CB475C" w:rsidRPr="00CB475C">
        <w:rPr>
          <w:b w:val="0"/>
          <w:bCs w:val="0"/>
          <w:color w:val="auto"/>
          <w:sz w:val="24"/>
          <w:szCs w:val="24"/>
        </w:rPr>
        <w:t xml:space="preserve"> mill </w:t>
      </w:r>
      <w:r w:rsidR="0060576F">
        <w:rPr>
          <w:b w:val="0"/>
          <w:bCs w:val="0"/>
          <w:color w:val="auto"/>
          <w:sz w:val="24"/>
          <w:szCs w:val="24"/>
        </w:rPr>
        <w:t xml:space="preserve">from -£6.1 mill </w:t>
      </w:r>
      <w:r w:rsidR="00CB475C" w:rsidRPr="00CB475C">
        <w:rPr>
          <w:b w:val="0"/>
          <w:bCs w:val="0"/>
          <w:color w:val="auto"/>
          <w:sz w:val="24"/>
          <w:szCs w:val="24"/>
        </w:rPr>
        <w:t>to -£2.</w:t>
      </w:r>
      <w:r w:rsidR="00067B08">
        <w:rPr>
          <w:b w:val="0"/>
          <w:bCs w:val="0"/>
          <w:color w:val="auto"/>
          <w:sz w:val="24"/>
          <w:szCs w:val="24"/>
        </w:rPr>
        <w:t>7</w:t>
      </w:r>
      <w:r w:rsidR="00CB475C" w:rsidRPr="00CB475C">
        <w:rPr>
          <w:b w:val="0"/>
          <w:bCs w:val="0"/>
          <w:color w:val="auto"/>
          <w:sz w:val="24"/>
          <w:szCs w:val="24"/>
        </w:rPr>
        <w:t xml:space="preserve"> mill, and cumulatively </w:t>
      </w:r>
      <w:r w:rsidR="0060576F">
        <w:rPr>
          <w:b w:val="0"/>
          <w:bCs w:val="0"/>
          <w:color w:val="auto"/>
          <w:sz w:val="24"/>
          <w:szCs w:val="24"/>
        </w:rPr>
        <w:t>from -£19.</w:t>
      </w:r>
      <w:r w:rsidR="003F1753">
        <w:rPr>
          <w:b w:val="0"/>
          <w:bCs w:val="0"/>
          <w:color w:val="auto"/>
          <w:sz w:val="24"/>
          <w:szCs w:val="24"/>
        </w:rPr>
        <w:t>1</w:t>
      </w:r>
      <w:r w:rsidR="0060576F">
        <w:rPr>
          <w:b w:val="0"/>
          <w:bCs w:val="0"/>
          <w:color w:val="auto"/>
          <w:sz w:val="24"/>
          <w:szCs w:val="24"/>
        </w:rPr>
        <w:t xml:space="preserve"> mill </w:t>
      </w:r>
      <w:r w:rsidR="00CB475C" w:rsidRPr="00CB475C">
        <w:rPr>
          <w:b w:val="0"/>
          <w:bCs w:val="0"/>
          <w:color w:val="auto"/>
          <w:sz w:val="24"/>
          <w:szCs w:val="24"/>
        </w:rPr>
        <w:t>to -£</w:t>
      </w:r>
      <w:r w:rsidR="00791189">
        <w:rPr>
          <w:b w:val="0"/>
          <w:bCs w:val="0"/>
          <w:color w:val="auto"/>
          <w:sz w:val="24"/>
          <w:szCs w:val="24"/>
        </w:rPr>
        <w:t>15.7</w:t>
      </w:r>
      <w:r w:rsidR="00CB475C" w:rsidRPr="00CB475C">
        <w:rPr>
          <w:b w:val="0"/>
          <w:bCs w:val="0"/>
          <w:color w:val="auto"/>
          <w:sz w:val="24"/>
          <w:szCs w:val="24"/>
        </w:rPr>
        <w:t xml:space="preserve"> mill</w:t>
      </w:r>
      <w:r w:rsidR="00CB475C">
        <w:t>.</w:t>
      </w:r>
    </w:p>
    <w:p w14:paraId="64EC7A74" w14:textId="77777777" w:rsidR="00CB475C" w:rsidRPr="00CB475C" w:rsidRDefault="00CB475C" w:rsidP="00CB475C"/>
    <w:p w14:paraId="46DC53F8" w14:textId="7C2529BC" w:rsidR="00CB475C" w:rsidRPr="00CB475C" w:rsidRDefault="00CB475C" w:rsidP="00101F8B">
      <w:pPr>
        <w:rPr>
          <w:b/>
          <w:bCs/>
        </w:rPr>
      </w:pPr>
      <w:r w:rsidRPr="00CB475C">
        <w:rPr>
          <w:b/>
          <w:bCs/>
        </w:rPr>
        <w:t>Table 3</w:t>
      </w:r>
      <w:r>
        <w:rPr>
          <w:b/>
          <w:bCs/>
        </w:rPr>
        <w:t>: C</w:t>
      </w:r>
      <w:r w:rsidRPr="00CB475C">
        <w:rPr>
          <w:b/>
          <w:bCs/>
        </w:rPr>
        <w:t>umulative DSG balances and HN overspends</w:t>
      </w:r>
    </w:p>
    <w:tbl>
      <w:tblPr>
        <w:tblW w:w="9349" w:type="dxa"/>
        <w:tblLook w:val="04A0" w:firstRow="1" w:lastRow="0" w:firstColumn="1" w:lastColumn="0" w:noHBand="0" w:noVBand="1"/>
      </w:tblPr>
      <w:tblGrid>
        <w:gridCol w:w="3109"/>
        <w:gridCol w:w="2080"/>
        <w:gridCol w:w="2080"/>
        <w:gridCol w:w="2080"/>
      </w:tblGrid>
      <w:tr w:rsidR="00CB475C" w:rsidRPr="00CB475C" w14:paraId="3FF9F6BE" w14:textId="77777777" w:rsidTr="00163B18">
        <w:trPr>
          <w:trHeight w:val="520"/>
        </w:trPr>
        <w:tc>
          <w:tcPr>
            <w:tcW w:w="3109" w:type="dxa"/>
            <w:tcBorders>
              <w:top w:val="single" w:sz="8" w:space="0" w:color="auto"/>
              <w:left w:val="single" w:sz="8" w:space="0" w:color="auto"/>
              <w:bottom w:val="single" w:sz="8" w:space="0" w:color="DEEAF6" w:themeColor="accent5" w:themeTint="33"/>
              <w:right w:val="single" w:sz="8" w:space="0" w:color="auto"/>
            </w:tcBorders>
            <w:shd w:val="clear" w:color="000000" w:fill="DBE5F1"/>
            <w:vAlign w:val="center"/>
            <w:hideMark/>
          </w:tcPr>
          <w:p w14:paraId="73E3BD97" w14:textId="4D0531C3" w:rsidR="00CB475C" w:rsidRPr="00CB475C" w:rsidRDefault="00CB475C" w:rsidP="00CB475C">
            <w:pPr>
              <w:spacing w:after="0"/>
              <w:jc w:val="center"/>
              <w:rPr>
                <w:rFonts w:eastAsia="Times New Roman"/>
                <w:b/>
                <w:bCs/>
                <w:color w:val="000000"/>
                <w:sz w:val="20"/>
                <w:szCs w:val="20"/>
              </w:rPr>
            </w:pPr>
          </w:p>
        </w:tc>
        <w:tc>
          <w:tcPr>
            <w:tcW w:w="2080" w:type="dxa"/>
            <w:tcBorders>
              <w:top w:val="single" w:sz="8" w:space="0" w:color="auto"/>
              <w:left w:val="nil"/>
              <w:bottom w:val="nil"/>
              <w:right w:val="single" w:sz="8" w:space="0" w:color="auto"/>
            </w:tcBorders>
            <w:shd w:val="clear" w:color="000000" w:fill="DBE5F1"/>
            <w:vAlign w:val="center"/>
            <w:hideMark/>
          </w:tcPr>
          <w:p w14:paraId="02ED4664" w14:textId="77777777" w:rsidR="00CB475C" w:rsidRPr="00CB475C" w:rsidRDefault="00CB475C" w:rsidP="00CB475C">
            <w:pPr>
              <w:spacing w:after="0"/>
              <w:jc w:val="center"/>
              <w:rPr>
                <w:rFonts w:eastAsia="Times New Roman"/>
                <w:b/>
                <w:bCs/>
                <w:color w:val="000000"/>
                <w:sz w:val="20"/>
                <w:szCs w:val="20"/>
              </w:rPr>
            </w:pPr>
            <w:r w:rsidRPr="00CB475C">
              <w:rPr>
                <w:rFonts w:eastAsia="Times New Roman"/>
                <w:b/>
                <w:bCs/>
                <w:sz w:val="20"/>
                <w:szCs w:val="20"/>
              </w:rPr>
              <w:t>B/F prior years (*)</w:t>
            </w:r>
          </w:p>
        </w:tc>
        <w:tc>
          <w:tcPr>
            <w:tcW w:w="2080" w:type="dxa"/>
            <w:tcBorders>
              <w:top w:val="single" w:sz="8" w:space="0" w:color="auto"/>
              <w:left w:val="nil"/>
              <w:bottom w:val="nil"/>
              <w:right w:val="single" w:sz="8" w:space="0" w:color="auto"/>
            </w:tcBorders>
            <w:shd w:val="clear" w:color="000000" w:fill="DBE5F1"/>
            <w:vAlign w:val="center"/>
            <w:hideMark/>
          </w:tcPr>
          <w:p w14:paraId="63B2199B" w14:textId="77777777" w:rsidR="00CB475C" w:rsidRPr="00CB475C" w:rsidRDefault="00CB475C" w:rsidP="00CB475C">
            <w:pPr>
              <w:spacing w:after="0"/>
              <w:jc w:val="center"/>
              <w:rPr>
                <w:rFonts w:eastAsia="Times New Roman"/>
                <w:b/>
                <w:bCs/>
                <w:color w:val="000000"/>
                <w:sz w:val="20"/>
                <w:szCs w:val="20"/>
              </w:rPr>
            </w:pPr>
            <w:r w:rsidRPr="00CB475C">
              <w:rPr>
                <w:rFonts w:eastAsia="Times New Roman"/>
                <w:b/>
                <w:bCs/>
                <w:sz w:val="20"/>
                <w:szCs w:val="20"/>
              </w:rPr>
              <w:t>2023-34</w:t>
            </w:r>
          </w:p>
        </w:tc>
        <w:tc>
          <w:tcPr>
            <w:tcW w:w="2080" w:type="dxa"/>
            <w:tcBorders>
              <w:top w:val="single" w:sz="8" w:space="0" w:color="auto"/>
              <w:left w:val="nil"/>
              <w:bottom w:val="nil"/>
              <w:right w:val="single" w:sz="8" w:space="0" w:color="auto"/>
            </w:tcBorders>
            <w:shd w:val="clear" w:color="000000" w:fill="DBE5F1"/>
            <w:vAlign w:val="center"/>
            <w:hideMark/>
          </w:tcPr>
          <w:p w14:paraId="428D40C1" w14:textId="77777777" w:rsidR="00CB475C" w:rsidRPr="00CB475C" w:rsidRDefault="00CB475C" w:rsidP="00CB475C">
            <w:pPr>
              <w:spacing w:after="0"/>
              <w:jc w:val="center"/>
              <w:rPr>
                <w:rFonts w:eastAsia="Times New Roman"/>
                <w:b/>
                <w:bCs/>
                <w:color w:val="000000"/>
                <w:sz w:val="20"/>
                <w:szCs w:val="20"/>
              </w:rPr>
            </w:pPr>
            <w:r w:rsidRPr="00CB475C">
              <w:rPr>
                <w:rFonts w:eastAsia="Times New Roman"/>
                <w:b/>
                <w:bCs/>
                <w:sz w:val="20"/>
                <w:szCs w:val="20"/>
              </w:rPr>
              <w:t xml:space="preserve">Cumulative </w:t>
            </w:r>
          </w:p>
        </w:tc>
      </w:tr>
      <w:tr w:rsidR="00CB475C" w:rsidRPr="00CB475C" w14:paraId="27806DAC" w14:textId="77777777" w:rsidTr="00163B18">
        <w:trPr>
          <w:trHeight w:val="290"/>
        </w:trPr>
        <w:tc>
          <w:tcPr>
            <w:tcW w:w="3109" w:type="dxa"/>
            <w:tcBorders>
              <w:top w:val="single" w:sz="8" w:space="0" w:color="DEEAF6" w:themeColor="accent5" w:themeTint="33"/>
              <w:left w:val="single" w:sz="8" w:space="0" w:color="auto"/>
              <w:bottom w:val="single" w:sz="8" w:space="0" w:color="DEEAF6" w:themeColor="accent5" w:themeTint="33"/>
              <w:right w:val="single" w:sz="8" w:space="0" w:color="auto"/>
            </w:tcBorders>
            <w:shd w:val="clear" w:color="000000" w:fill="DBE5F1"/>
            <w:vAlign w:val="center"/>
            <w:hideMark/>
          </w:tcPr>
          <w:p w14:paraId="737BAD90" w14:textId="5B52DFFA" w:rsidR="00CB475C" w:rsidRPr="00CB475C" w:rsidRDefault="00163B18" w:rsidP="00163B18">
            <w:pPr>
              <w:spacing w:after="0"/>
              <w:jc w:val="center"/>
              <w:rPr>
                <w:rFonts w:eastAsia="Times New Roman"/>
                <w:b/>
                <w:bCs/>
                <w:color w:val="000000"/>
                <w:sz w:val="20"/>
                <w:szCs w:val="20"/>
              </w:rPr>
            </w:pPr>
            <w:r w:rsidRPr="00CB475C">
              <w:rPr>
                <w:rFonts w:eastAsia="Times New Roman"/>
                <w:b/>
                <w:bCs/>
                <w:sz w:val="20"/>
                <w:szCs w:val="20"/>
              </w:rPr>
              <w:t>Block</w:t>
            </w:r>
          </w:p>
        </w:tc>
        <w:tc>
          <w:tcPr>
            <w:tcW w:w="2080" w:type="dxa"/>
            <w:tcBorders>
              <w:top w:val="nil"/>
              <w:left w:val="nil"/>
              <w:bottom w:val="nil"/>
              <w:right w:val="single" w:sz="8" w:space="0" w:color="auto"/>
            </w:tcBorders>
            <w:shd w:val="clear" w:color="000000" w:fill="DBE5F1"/>
            <w:vAlign w:val="center"/>
            <w:hideMark/>
          </w:tcPr>
          <w:p w14:paraId="6ABE65A5" w14:textId="77777777" w:rsidR="00CB475C" w:rsidRPr="00CB475C" w:rsidRDefault="00CB475C" w:rsidP="00CB475C">
            <w:pPr>
              <w:spacing w:after="0"/>
              <w:jc w:val="center"/>
              <w:rPr>
                <w:rFonts w:eastAsia="Times New Roman"/>
                <w:color w:val="000000"/>
                <w:sz w:val="20"/>
                <w:szCs w:val="20"/>
              </w:rPr>
            </w:pPr>
            <w:r w:rsidRPr="00CB475C">
              <w:rPr>
                <w:rFonts w:eastAsia="Times New Roman"/>
                <w:sz w:val="20"/>
                <w:szCs w:val="20"/>
              </w:rPr>
              <w:t>Under/(over) spend</w:t>
            </w:r>
          </w:p>
        </w:tc>
        <w:tc>
          <w:tcPr>
            <w:tcW w:w="2080" w:type="dxa"/>
            <w:tcBorders>
              <w:top w:val="nil"/>
              <w:left w:val="nil"/>
              <w:bottom w:val="nil"/>
              <w:right w:val="single" w:sz="8" w:space="0" w:color="auto"/>
            </w:tcBorders>
            <w:shd w:val="clear" w:color="000000" w:fill="DBE5F1"/>
            <w:vAlign w:val="center"/>
            <w:hideMark/>
          </w:tcPr>
          <w:p w14:paraId="254E605B" w14:textId="77777777" w:rsidR="00CB475C" w:rsidRPr="00CB475C" w:rsidRDefault="00CB475C" w:rsidP="00CB475C">
            <w:pPr>
              <w:spacing w:after="0"/>
              <w:jc w:val="center"/>
              <w:rPr>
                <w:rFonts w:eastAsia="Times New Roman"/>
                <w:color w:val="000000"/>
                <w:sz w:val="20"/>
                <w:szCs w:val="20"/>
              </w:rPr>
            </w:pPr>
            <w:r w:rsidRPr="00CB475C">
              <w:rPr>
                <w:rFonts w:eastAsia="Times New Roman"/>
                <w:sz w:val="20"/>
                <w:szCs w:val="20"/>
              </w:rPr>
              <w:t>Under/(over) spend</w:t>
            </w:r>
          </w:p>
        </w:tc>
        <w:tc>
          <w:tcPr>
            <w:tcW w:w="2080" w:type="dxa"/>
            <w:tcBorders>
              <w:top w:val="nil"/>
              <w:left w:val="nil"/>
              <w:bottom w:val="nil"/>
              <w:right w:val="single" w:sz="8" w:space="0" w:color="auto"/>
            </w:tcBorders>
            <w:shd w:val="clear" w:color="000000" w:fill="DBE5F1"/>
            <w:vAlign w:val="center"/>
            <w:hideMark/>
          </w:tcPr>
          <w:p w14:paraId="4AD34EBC" w14:textId="77777777" w:rsidR="00CB475C" w:rsidRPr="00CB475C" w:rsidRDefault="00CB475C" w:rsidP="00CB475C">
            <w:pPr>
              <w:spacing w:after="0"/>
              <w:jc w:val="center"/>
              <w:rPr>
                <w:rFonts w:eastAsia="Times New Roman"/>
                <w:color w:val="000000"/>
                <w:sz w:val="20"/>
                <w:szCs w:val="20"/>
              </w:rPr>
            </w:pPr>
            <w:r w:rsidRPr="00CB475C">
              <w:rPr>
                <w:rFonts w:eastAsia="Times New Roman"/>
                <w:sz w:val="20"/>
                <w:szCs w:val="20"/>
              </w:rPr>
              <w:t>Under/(over) spend</w:t>
            </w:r>
          </w:p>
        </w:tc>
      </w:tr>
      <w:tr w:rsidR="00CB475C" w:rsidRPr="00CB475C" w14:paraId="631E1D96" w14:textId="77777777" w:rsidTr="00163B18">
        <w:trPr>
          <w:trHeight w:val="300"/>
        </w:trPr>
        <w:tc>
          <w:tcPr>
            <w:tcW w:w="3109" w:type="dxa"/>
            <w:tcBorders>
              <w:top w:val="single" w:sz="8" w:space="0" w:color="DEEAF6" w:themeColor="accent5" w:themeTint="33"/>
              <w:left w:val="single" w:sz="8" w:space="0" w:color="auto"/>
              <w:bottom w:val="single" w:sz="8" w:space="0" w:color="000000"/>
              <w:right w:val="single" w:sz="8" w:space="0" w:color="auto"/>
            </w:tcBorders>
            <w:shd w:val="clear" w:color="000000" w:fill="DBE5F1"/>
            <w:vAlign w:val="center"/>
            <w:hideMark/>
          </w:tcPr>
          <w:p w14:paraId="04FC1E21" w14:textId="77777777" w:rsidR="00CB475C" w:rsidRPr="00CB475C" w:rsidRDefault="00CB475C" w:rsidP="00CB475C">
            <w:pPr>
              <w:spacing w:after="0"/>
              <w:rPr>
                <w:rFonts w:eastAsia="Times New Roman"/>
                <w:b/>
                <w:bCs/>
                <w:color w:val="000000"/>
                <w:sz w:val="20"/>
                <w:szCs w:val="20"/>
              </w:rPr>
            </w:pPr>
          </w:p>
        </w:tc>
        <w:tc>
          <w:tcPr>
            <w:tcW w:w="2080" w:type="dxa"/>
            <w:tcBorders>
              <w:top w:val="nil"/>
              <w:left w:val="nil"/>
              <w:bottom w:val="single" w:sz="8" w:space="0" w:color="auto"/>
              <w:right w:val="single" w:sz="8" w:space="0" w:color="auto"/>
            </w:tcBorders>
            <w:shd w:val="clear" w:color="000000" w:fill="DBE5F1"/>
            <w:vAlign w:val="center"/>
            <w:hideMark/>
          </w:tcPr>
          <w:p w14:paraId="571C85C5" w14:textId="77777777" w:rsidR="00CB475C" w:rsidRPr="00CB475C" w:rsidRDefault="00CB475C" w:rsidP="00CB475C">
            <w:pPr>
              <w:spacing w:after="0"/>
              <w:jc w:val="center"/>
              <w:rPr>
                <w:rFonts w:eastAsia="Times New Roman"/>
                <w:b/>
                <w:bCs/>
                <w:color w:val="000000"/>
                <w:sz w:val="20"/>
                <w:szCs w:val="20"/>
              </w:rPr>
            </w:pPr>
            <w:r w:rsidRPr="00CB475C">
              <w:rPr>
                <w:rFonts w:eastAsia="Times New Roman"/>
                <w:b/>
                <w:bCs/>
                <w:sz w:val="20"/>
                <w:szCs w:val="20"/>
              </w:rPr>
              <w:t>£ mill</w:t>
            </w:r>
          </w:p>
        </w:tc>
        <w:tc>
          <w:tcPr>
            <w:tcW w:w="2080" w:type="dxa"/>
            <w:tcBorders>
              <w:top w:val="nil"/>
              <w:left w:val="nil"/>
              <w:bottom w:val="single" w:sz="8" w:space="0" w:color="auto"/>
              <w:right w:val="single" w:sz="8" w:space="0" w:color="auto"/>
            </w:tcBorders>
            <w:shd w:val="clear" w:color="000000" w:fill="DBE5F1"/>
            <w:vAlign w:val="center"/>
            <w:hideMark/>
          </w:tcPr>
          <w:p w14:paraId="7C44AFBA" w14:textId="77777777" w:rsidR="00CB475C" w:rsidRPr="00CB475C" w:rsidRDefault="00CB475C" w:rsidP="00CB475C">
            <w:pPr>
              <w:spacing w:after="0"/>
              <w:jc w:val="center"/>
              <w:rPr>
                <w:rFonts w:eastAsia="Times New Roman"/>
                <w:b/>
                <w:bCs/>
                <w:color w:val="000000"/>
                <w:sz w:val="20"/>
                <w:szCs w:val="20"/>
              </w:rPr>
            </w:pPr>
            <w:r w:rsidRPr="00CB475C">
              <w:rPr>
                <w:rFonts w:eastAsia="Times New Roman"/>
                <w:b/>
                <w:bCs/>
                <w:sz w:val="20"/>
                <w:szCs w:val="20"/>
              </w:rPr>
              <w:t>£ mill</w:t>
            </w:r>
          </w:p>
        </w:tc>
        <w:tc>
          <w:tcPr>
            <w:tcW w:w="2080" w:type="dxa"/>
            <w:tcBorders>
              <w:top w:val="nil"/>
              <w:left w:val="nil"/>
              <w:bottom w:val="single" w:sz="8" w:space="0" w:color="auto"/>
              <w:right w:val="single" w:sz="8" w:space="0" w:color="auto"/>
            </w:tcBorders>
            <w:shd w:val="clear" w:color="000000" w:fill="DBE5F1"/>
            <w:vAlign w:val="center"/>
            <w:hideMark/>
          </w:tcPr>
          <w:p w14:paraId="7216789D" w14:textId="77777777" w:rsidR="00CB475C" w:rsidRPr="00CB475C" w:rsidRDefault="00CB475C" w:rsidP="00CB475C">
            <w:pPr>
              <w:spacing w:after="0"/>
              <w:jc w:val="center"/>
              <w:rPr>
                <w:rFonts w:eastAsia="Times New Roman"/>
                <w:b/>
                <w:bCs/>
                <w:color w:val="000000"/>
                <w:sz w:val="20"/>
                <w:szCs w:val="20"/>
              </w:rPr>
            </w:pPr>
            <w:r w:rsidRPr="00CB475C">
              <w:rPr>
                <w:rFonts w:eastAsia="Times New Roman"/>
                <w:b/>
                <w:bCs/>
                <w:sz w:val="20"/>
                <w:szCs w:val="20"/>
              </w:rPr>
              <w:t>£ mill</w:t>
            </w:r>
          </w:p>
        </w:tc>
      </w:tr>
      <w:tr w:rsidR="00CB475C" w:rsidRPr="00CB475C" w14:paraId="457FA3C6" w14:textId="77777777" w:rsidTr="00CB475C">
        <w:trPr>
          <w:trHeight w:val="30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1561FBC1" w14:textId="77777777" w:rsidR="00CB475C" w:rsidRPr="00CB475C" w:rsidRDefault="00CB475C" w:rsidP="00CB475C">
            <w:pPr>
              <w:spacing w:after="0"/>
              <w:rPr>
                <w:rFonts w:eastAsia="Times New Roman"/>
                <w:b/>
                <w:bCs/>
                <w:color w:val="000000"/>
                <w:sz w:val="20"/>
                <w:szCs w:val="20"/>
              </w:rPr>
            </w:pPr>
            <w:r w:rsidRPr="00CB475C">
              <w:rPr>
                <w:rFonts w:eastAsia="Times New Roman"/>
                <w:b/>
                <w:bCs/>
                <w:color w:val="000000"/>
                <w:sz w:val="20"/>
                <w:szCs w:val="20"/>
              </w:rPr>
              <w:t xml:space="preserve"> Schools block </w:t>
            </w:r>
          </w:p>
        </w:tc>
        <w:tc>
          <w:tcPr>
            <w:tcW w:w="2080" w:type="dxa"/>
            <w:tcBorders>
              <w:top w:val="nil"/>
              <w:left w:val="nil"/>
              <w:bottom w:val="single" w:sz="8" w:space="0" w:color="auto"/>
              <w:right w:val="single" w:sz="8" w:space="0" w:color="auto"/>
            </w:tcBorders>
            <w:shd w:val="clear" w:color="auto" w:fill="auto"/>
            <w:vAlign w:val="center"/>
            <w:hideMark/>
          </w:tcPr>
          <w:p w14:paraId="6B03E30B" w14:textId="77777777" w:rsidR="00CB475C" w:rsidRPr="00CB475C" w:rsidRDefault="00CB475C" w:rsidP="00CB475C">
            <w:pPr>
              <w:spacing w:after="0"/>
              <w:jc w:val="center"/>
              <w:rPr>
                <w:rFonts w:eastAsia="Times New Roman"/>
                <w:color w:val="000000"/>
                <w:sz w:val="22"/>
                <w:szCs w:val="22"/>
              </w:rPr>
            </w:pPr>
            <w:r w:rsidRPr="00CB475C">
              <w:rPr>
                <w:rFonts w:eastAsia="Times New Roman"/>
                <w:color w:val="000000"/>
                <w:sz w:val="22"/>
                <w:szCs w:val="22"/>
              </w:rPr>
              <w:t>0</w:t>
            </w:r>
          </w:p>
        </w:tc>
        <w:tc>
          <w:tcPr>
            <w:tcW w:w="2080" w:type="dxa"/>
            <w:tcBorders>
              <w:top w:val="nil"/>
              <w:left w:val="nil"/>
              <w:bottom w:val="single" w:sz="8" w:space="0" w:color="auto"/>
              <w:right w:val="single" w:sz="8" w:space="0" w:color="auto"/>
            </w:tcBorders>
            <w:shd w:val="clear" w:color="auto" w:fill="auto"/>
            <w:vAlign w:val="center"/>
            <w:hideMark/>
          </w:tcPr>
          <w:p w14:paraId="0F2A053A" w14:textId="77777777" w:rsidR="00CB475C" w:rsidRPr="00CB475C" w:rsidRDefault="00CB475C" w:rsidP="00CB475C">
            <w:pPr>
              <w:spacing w:after="0"/>
              <w:jc w:val="center"/>
              <w:rPr>
                <w:rFonts w:eastAsia="Times New Roman"/>
                <w:color w:val="000000"/>
                <w:sz w:val="22"/>
                <w:szCs w:val="22"/>
              </w:rPr>
            </w:pPr>
            <w:r w:rsidRPr="00CB475C">
              <w:rPr>
                <w:rFonts w:eastAsia="Times New Roman"/>
                <w:color w:val="000000"/>
                <w:sz w:val="22"/>
                <w:szCs w:val="22"/>
              </w:rPr>
              <w:t>2.0</w:t>
            </w:r>
          </w:p>
        </w:tc>
        <w:tc>
          <w:tcPr>
            <w:tcW w:w="2080" w:type="dxa"/>
            <w:tcBorders>
              <w:top w:val="nil"/>
              <w:left w:val="nil"/>
              <w:bottom w:val="single" w:sz="8" w:space="0" w:color="auto"/>
              <w:right w:val="single" w:sz="8" w:space="0" w:color="auto"/>
            </w:tcBorders>
            <w:shd w:val="clear" w:color="auto" w:fill="auto"/>
            <w:vAlign w:val="center"/>
            <w:hideMark/>
          </w:tcPr>
          <w:p w14:paraId="5A1728A8" w14:textId="77777777" w:rsidR="00CB475C" w:rsidRPr="00CB475C" w:rsidRDefault="00CB475C" w:rsidP="00CB475C">
            <w:pPr>
              <w:spacing w:after="0"/>
              <w:jc w:val="center"/>
              <w:rPr>
                <w:rFonts w:eastAsia="Times New Roman"/>
                <w:color w:val="000000"/>
                <w:sz w:val="22"/>
                <w:szCs w:val="22"/>
              </w:rPr>
            </w:pPr>
            <w:r w:rsidRPr="00CB475C">
              <w:rPr>
                <w:rFonts w:eastAsia="Times New Roman"/>
                <w:color w:val="000000"/>
                <w:sz w:val="22"/>
                <w:szCs w:val="22"/>
              </w:rPr>
              <w:t>2.0</w:t>
            </w:r>
          </w:p>
        </w:tc>
      </w:tr>
      <w:tr w:rsidR="00CB475C" w:rsidRPr="00CB475C" w14:paraId="0363E85B" w14:textId="77777777" w:rsidTr="00CB475C">
        <w:trPr>
          <w:trHeight w:val="30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CBACE9A" w14:textId="77777777" w:rsidR="00CB475C" w:rsidRPr="00CB475C" w:rsidRDefault="00CB475C" w:rsidP="00CB475C">
            <w:pPr>
              <w:spacing w:after="0"/>
              <w:rPr>
                <w:rFonts w:eastAsia="Times New Roman"/>
                <w:b/>
                <w:bCs/>
                <w:color w:val="000000"/>
                <w:sz w:val="20"/>
                <w:szCs w:val="20"/>
              </w:rPr>
            </w:pPr>
            <w:r w:rsidRPr="00CB475C">
              <w:rPr>
                <w:rFonts w:eastAsia="Times New Roman"/>
                <w:b/>
                <w:bCs/>
                <w:color w:val="000000"/>
                <w:sz w:val="20"/>
                <w:szCs w:val="20"/>
              </w:rPr>
              <w:t xml:space="preserve"> Central school services block </w:t>
            </w:r>
          </w:p>
        </w:tc>
        <w:tc>
          <w:tcPr>
            <w:tcW w:w="2080" w:type="dxa"/>
            <w:tcBorders>
              <w:top w:val="nil"/>
              <w:left w:val="nil"/>
              <w:bottom w:val="single" w:sz="8" w:space="0" w:color="auto"/>
              <w:right w:val="single" w:sz="8" w:space="0" w:color="auto"/>
            </w:tcBorders>
            <w:shd w:val="clear" w:color="auto" w:fill="auto"/>
            <w:vAlign w:val="center"/>
            <w:hideMark/>
          </w:tcPr>
          <w:p w14:paraId="3594C476" w14:textId="77777777" w:rsidR="00CB475C" w:rsidRPr="00CB475C" w:rsidRDefault="00CB475C" w:rsidP="00CB475C">
            <w:pPr>
              <w:spacing w:after="0"/>
              <w:jc w:val="center"/>
              <w:rPr>
                <w:rFonts w:eastAsia="Times New Roman"/>
                <w:color w:val="000000"/>
                <w:sz w:val="22"/>
                <w:szCs w:val="22"/>
              </w:rPr>
            </w:pPr>
            <w:r w:rsidRPr="00CB475C">
              <w:rPr>
                <w:rFonts w:eastAsia="Times New Roman"/>
                <w:color w:val="000000"/>
                <w:sz w:val="22"/>
                <w:szCs w:val="22"/>
              </w:rPr>
              <w:t>0</w:t>
            </w:r>
          </w:p>
        </w:tc>
        <w:tc>
          <w:tcPr>
            <w:tcW w:w="2080" w:type="dxa"/>
            <w:tcBorders>
              <w:top w:val="nil"/>
              <w:left w:val="nil"/>
              <w:bottom w:val="single" w:sz="8" w:space="0" w:color="auto"/>
              <w:right w:val="single" w:sz="8" w:space="0" w:color="auto"/>
            </w:tcBorders>
            <w:shd w:val="clear" w:color="auto" w:fill="auto"/>
            <w:vAlign w:val="center"/>
            <w:hideMark/>
          </w:tcPr>
          <w:p w14:paraId="2741A687" w14:textId="77777777" w:rsidR="00CB475C" w:rsidRPr="00CB475C" w:rsidRDefault="00CB475C" w:rsidP="00CB475C">
            <w:pPr>
              <w:spacing w:after="0"/>
              <w:jc w:val="center"/>
              <w:rPr>
                <w:rFonts w:eastAsia="Times New Roman"/>
                <w:color w:val="000000"/>
                <w:sz w:val="22"/>
                <w:szCs w:val="22"/>
              </w:rPr>
            </w:pPr>
            <w:r w:rsidRPr="00CB475C">
              <w:rPr>
                <w:rFonts w:eastAsia="Times New Roman"/>
                <w:color w:val="000000"/>
                <w:sz w:val="22"/>
                <w:szCs w:val="22"/>
              </w:rPr>
              <w:t>-0.1</w:t>
            </w:r>
          </w:p>
        </w:tc>
        <w:tc>
          <w:tcPr>
            <w:tcW w:w="2080" w:type="dxa"/>
            <w:tcBorders>
              <w:top w:val="nil"/>
              <w:left w:val="nil"/>
              <w:bottom w:val="single" w:sz="8" w:space="0" w:color="auto"/>
              <w:right w:val="single" w:sz="8" w:space="0" w:color="auto"/>
            </w:tcBorders>
            <w:shd w:val="clear" w:color="auto" w:fill="auto"/>
            <w:vAlign w:val="center"/>
            <w:hideMark/>
          </w:tcPr>
          <w:p w14:paraId="1C9E63B5" w14:textId="77777777" w:rsidR="00CB475C" w:rsidRPr="00CB475C" w:rsidRDefault="00CB475C" w:rsidP="00CB475C">
            <w:pPr>
              <w:spacing w:after="0"/>
              <w:jc w:val="center"/>
              <w:rPr>
                <w:rFonts w:eastAsia="Times New Roman"/>
                <w:color w:val="000000"/>
                <w:sz w:val="22"/>
                <w:szCs w:val="22"/>
              </w:rPr>
            </w:pPr>
            <w:r w:rsidRPr="00CB475C">
              <w:rPr>
                <w:rFonts w:eastAsia="Times New Roman"/>
                <w:color w:val="000000"/>
                <w:sz w:val="22"/>
                <w:szCs w:val="22"/>
              </w:rPr>
              <w:t>-0.1</w:t>
            </w:r>
          </w:p>
        </w:tc>
      </w:tr>
      <w:tr w:rsidR="00CB475C" w:rsidRPr="00CB475C" w14:paraId="68F09216" w14:textId="77777777" w:rsidTr="00CB475C">
        <w:trPr>
          <w:trHeight w:val="30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2AD5971E" w14:textId="77777777" w:rsidR="00CB475C" w:rsidRPr="00CB475C" w:rsidRDefault="00CB475C" w:rsidP="00CB475C">
            <w:pPr>
              <w:spacing w:after="0"/>
              <w:rPr>
                <w:rFonts w:eastAsia="Times New Roman"/>
                <w:b/>
                <w:bCs/>
                <w:color w:val="000000"/>
                <w:sz w:val="20"/>
                <w:szCs w:val="20"/>
              </w:rPr>
            </w:pPr>
            <w:r w:rsidRPr="00CB475C">
              <w:rPr>
                <w:rFonts w:eastAsia="Times New Roman"/>
                <w:b/>
                <w:bCs/>
                <w:color w:val="000000"/>
                <w:sz w:val="20"/>
                <w:szCs w:val="20"/>
              </w:rPr>
              <w:t xml:space="preserve"> High needs block </w:t>
            </w:r>
          </w:p>
        </w:tc>
        <w:tc>
          <w:tcPr>
            <w:tcW w:w="2080" w:type="dxa"/>
            <w:tcBorders>
              <w:top w:val="nil"/>
              <w:left w:val="nil"/>
              <w:bottom w:val="single" w:sz="8" w:space="0" w:color="auto"/>
              <w:right w:val="single" w:sz="8" w:space="0" w:color="auto"/>
            </w:tcBorders>
            <w:shd w:val="clear" w:color="auto" w:fill="auto"/>
            <w:vAlign w:val="center"/>
            <w:hideMark/>
          </w:tcPr>
          <w:p w14:paraId="5F132C3E" w14:textId="4996AC02" w:rsidR="00CB475C" w:rsidRPr="00CB475C" w:rsidRDefault="00CB475C" w:rsidP="00CB475C">
            <w:pPr>
              <w:spacing w:after="0"/>
              <w:jc w:val="center"/>
              <w:rPr>
                <w:rFonts w:eastAsia="Times New Roman"/>
                <w:color w:val="000000"/>
                <w:sz w:val="22"/>
                <w:szCs w:val="22"/>
              </w:rPr>
            </w:pPr>
            <w:r w:rsidRPr="00CB475C">
              <w:rPr>
                <w:rFonts w:eastAsia="Times New Roman"/>
                <w:color w:val="000000"/>
                <w:sz w:val="22"/>
                <w:szCs w:val="22"/>
              </w:rPr>
              <w:t>-13</w:t>
            </w:r>
          </w:p>
        </w:tc>
        <w:tc>
          <w:tcPr>
            <w:tcW w:w="2080" w:type="dxa"/>
            <w:tcBorders>
              <w:top w:val="nil"/>
              <w:left w:val="nil"/>
              <w:bottom w:val="single" w:sz="8" w:space="0" w:color="auto"/>
              <w:right w:val="single" w:sz="8" w:space="0" w:color="auto"/>
            </w:tcBorders>
            <w:shd w:val="clear" w:color="auto" w:fill="auto"/>
            <w:vAlign w:val="center"/>
            <w:hideMark/>
          </w:tcPr>
          <w:p w14:paraId="7D953843" w14:textId="77777777" w:rsidR="00CB475C" w:rsidRPr="00CB475C" w:rsidRDefault="00CB475C" w:rsidP="00CB475C">
            <w:pPr>
              <w:spacing w:after="0"/>
              <w:jc w:val="center"/>
              <w:rPr>
                <w:rFonts w:eastAsia="Times New Roman"/>
                <w:color w:val="000000"/>
                <w:sz w:val="22"/>
                <w:szCs w:val="22"/>
              </w:rPr>
            </w:pPr>
            <w:r w:rsidRPr="00CB475C">
              <w:rPr>
                <w:rFonts w:eastAsia="Times New Roman"/>
                <w:color w:val="000000"/>
                <w:sz w:val="22"/>
                <w:szCs w:val="22"/>
              </w:rPr>
              <w:t>-6.1</w:t>
            </w:r>
          </w:p>
        </w:tc>
        <w:tc>
          <w:tcPr>
            <w:tcW w:w="2080" w:type="dxa"/>
            <w:tcBorders>
              <w:top w:val="nil"/>
              <w:left w:val="nil"/>
              <w:bottom w:val="single" w:sz="8" w:space="0" w:color="auto"/>
              <w:right w:val="single" w:sz="8" w:space="0" w:color="auto"/>
            </w:tcBorders>
            <w:shd w:val="clear" w:color="auto" w:fill="auto"/>
            <w:vAlign w:val="center"/>
            <w:hideMark/>
          </w:tcPr>
          <w:p w14:paraId="609C5833" w14:textId="46557BC7" w:rsidR="00CB475C" w:rsidRPr="00CB475C" w:rsidRDefault="00CB475C" w:rsidP="00CB475C">
            <w:pPr>
              <w:spacing w:after="0"/>
              <w:jc w:val="center"/>
              <w:rPr>
                <w:rFonts w:eastAsia="Times New Roman"/>
                <w:color w:val="000000"/>
                <w:sz w:val="22"/>
                <w:szCs w:val="22"/>
              </w:rPr>
            </w:pPr>
            <w:r w:rsidRPr="00CB475C">
              <w:rPr>
                <w:rFonts w:eastAsia="Times New Roman"/>
                <w:color w:val="000000"/>
                <w:sz w:val="22"/>
                <w:szCs w:val="22"/>
              </w:rPr>
              <w:t>-19.</w:t>
            </w:r>
            <w:r w:rsidR="009555AD">
              <w:rPr>
                <w:rFonts w:eastAsia="Times New Roman"/>
                <w:color w:val="000000"/>
                <w:sz w:val="22"/>
                <w:szCs w:val="22"/>
              </w:rPr>
              <w:t>1</w:t>
            </w:r>
          </w:p>
        </w:tc>
      </w:tr>
      <w:tr w:rsidR="00CB475C" w:rsidRPr="00CB475C" w14:paraId="7EDDAF73" w14:textId="77777777" w:rsidTr="00CB475C">
        <w:trPr>
          <w:trHeight w:val="30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02155F8" w14:textId="77777777" w:rsidR="00CB475C" w:rsidRPr="00CB475C" w:rsidRDefault="00CB475C" w:rsidP="00CB475C">
            <w:pPr>
              <w:spacing w:after="0"/>
              <w:rPr>
                <w:rFonts w:eastAsia="Times New Roman"/>
                <w:b/>
                <w:bCs/>
                <w:color w:val="000000"/>
                <w:sz w:val="20"/>
                <w:szCs w:val="20"/>
              </w:rPr>
            </w:pPr>
            <w:r w:rsidRPr="00CB475C">
              <w:rPr>
                <w:rFonts w:eastAsia="Times New Roman"/>
                <w:b/>
                <w:bCs/>
                <w:color w:val="000000"/>
                <w:sz w:val="20"/>
                <w:szCs w:val="20"/>
              </w:rPr>
              <w:t xml:space="preserve"> Early years block </w:t>
            </w:r>
          </w:p>
        </w:tc>
        <w:tc>
          <w:tcPr>
            <w:tcW w:w="2080" w:type="dxa"/>
            <w:tcBorders>
              <w:top w:val="nil"/>
              <w:left w:val="nil"/>
              <w:bottom w:val="single" w:sz="8" w:space="0" w:color="auto"/>
              <w:right w:val="single" w:sz="8" w:space="0" w:color="auto"/>
            </w:tcBorders>
            <w:shd w:val="clear" w:color="auto" w:fill="auto"/>
            <w:vAlign w:val="center"/>
            <w:hideMark/>
          </w:tcPr>
          <w:p w14:paraId="49EBEE39" w14:textId="77777777" w:rsidR="00CB475C" w:rsidRPr="00CB475C" w:rsidRDefault="00CB475C" w:rsidP="00CB475C">
            <w:pPr>
              <w:spacing w:after="0"/>
              <w:jc w:val="center"/>
              <w:rPr>
                <w:rFonts w:eastAsia="Times New Roman"/>
                <w:color w:val="000000"/>
                <w:sz w:val="22"/>
                <w:szCs w:val="22"/>
              </w:rPr>
            </w:pPr>
            <w:r w:rsidRPr="00CB475C">
              <w:rPr>
                <w:rFonts w:eastAsia="Times New Roman"/>
                <w:color w:val="000000"/>
                <w:sz w:val="22"/>
                <w:szCs w:val="22"/>
              </w:rPr>
              <w:t>0</w:t>
            </w:r>
          </w:p>
        </w:tc>
        <w:tc>
          <w:tcPr>
            <w:tcW w:w="2080" w:type="dxa"/>
            <w:tcBorders>
              <w:top w:val="nil"/>
              <w:left w:val="nil"/>
              <w:bottom w:val="single" w:sz="8" w:space="0" w:color="auto"/>
              <w:right w:val="single" w:sz="8" w:space="0" w:color="auto"/>
            </w:tcBorders>
            <w:shd w:val="clear" w:color="auto" w:fill="auto"/>
            <w:vAlign w:val="center"/>
            <w:hideMark/>
          </w:tcPr>
          <w:p w14:paraId="7B1EE688" w14:textId="77777777" w:rsidR="00CB475C" w:rsidRPr="00CB475C" w:rsidRDefault="00CB475C" w:rsidP="00CB475C">
            <w:pPr>
              <w:spacing w:after="0"/>
              <w:jc w:val="center"/>
              <w:rPr>
                <w:rFonts w:eastAsia="Times New Roman"/>
                <w:color w:val="000000"/>
                <w:sz w:val="22"/>
                <w:szCs w:val="22"/>
              </w:rPr>
            </w:pPr>
            <w:r w:rsidRPr="00CB475C">
              <w:rPr>
                <w:rFonts w:eastAsia="Times New Roman"/>
                <w:color w:val="000000"/>
                <w:sz w:val="22"/>
                <w:szCs w:val="22"/>
              </w:rPr>
              <w:t>1.4</w:t>
            </w:r>
          </w:p>
        </w:tc>
        <w:tc>
          <w:tcPr>
            <w:tcW w:w="2080" w:type="dxa"/>
            <w:tcBorders>
              <w:top w:val="nil"/>
              <w:left w:val="nil"/>
              <w:bottom w:val="single" w:sz="8" w:space="0" w:color="auto"/>
              <w:right w:val="single" w:sz="8" w:space="0" w:color="auto"/>
            </w:tcBorders>
            <w:shd w:val="clear" w:color="auto" w:fill="auto"/>
            <w:vAlign w:val="center"/>
            <w:hideMark/>
          </w:tcPr>
          <w:p w14:paraId="6B7EE9D6" w14:textId="77777777" w:rsidR="00CB475C" w:rsidRPr="00CB475C" w:rsidRDefault="00CB475C" w:rsidP="00CB475C">
            <w:pPr>
              <w:spacing w:after="0"/>
              <w:jc w:val="center"/>
              <w:rPr>
                <w:rFonts w:eastAsia="Times New Roman"/>
                <w:color w:val="000000"/>
                <w:sz w:val="22"/>
                <w:szCs w:val="22"/>
              </w:rPr>
            </w:pPr>
            <w:r w:rsidRPr="00CB475C">
              <w:rPr>
                <w:rFonts w:eastAsia="Times New Roman"/>
                <w:color w:val="000000"/>
                <w:sz w:val="22"/>
                <w:szCs w:val="22"/>
              </w:rPr>
              <w:t>1.4</w:t>
            </w:r>
          </w:p>
        </w:tc>
      </w:tr>
      <w:tr w:rsidR="00CB475C" w:rsidRPr="00CB475C" w14:paraId="2F6F0FF9" w14:textId="77777777" w:rsidTr="00CB475C">
        <w:trPr>
          <w:trHeight w:val="30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19A0C099" w14:textId="77777777" w:rsidR="00CB475C" w:rsidRPr="00CB475C" w:rsidRDefault="00CB475C" w:rsidP="00CB475C">
            <w:pPr>
              <w:spacing w:after="0"/>
              <w:rPr>
                <w:rFonts w:eastAsia="Times New Roman"/>
                <w:b/>
                <w:bCs/>
                <w:color w:val="000000"/>
                <w:sz w:val="20"/>
                <w:szCs w:val="20"/>
              </w:rPr>
            </w:pPr>
            <w:r w:rsidRPr="00CB475C">
              <w:rPr>
                <w:rFonts w:eastAsia="Times New Roman"/>
                <w:b/>
                <w:bCs/>
                <w:color w:val="000000"/>
                <w:sz w:val="20"/>
                <w:szCs w:val="20"/>
              </w:rPr>
              <w:t xml:space="preserve">Total DSG allocation </w:t>
            </w:r>
          </w:p>
        </w:tc>
        <w:tc>
          <w:tcPr>
            <w:tcW w:w="208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095DC3" w14:textId="3ABF6762" w:rsidR="00CB475C" w:rsidRPr="00CB475C" w:rsidRDefault="00CB475C" w:rsidP="00CB475C">
            <w:pPr>
              <w:spacing w:after="0"/>
              <w:jc w:val="center"/>
              <w:rPr>
                <w:rFonts w:ascii="Calibri" w:eastAsia="Times New Roman" w:hAnsi="Calibri" w:cs="Calibri"/>
                <w:b/>
                <w:bCs/>
                <w:color w:val="000000"/>
                <w:sz w:val="22"/>
                <w:szCs w:val="22"/>
              </w:rPr>
            </w:pPr>
            <w:r w:rsidRPr="00CB475C">
              <w:rPr>
                <w:rFonts w:ascii="Calibri" w:eastAsia="Times New Roman" w:hAnsi="Calibri" w:cs="Calibri"/>
                <w:b/>
                <w:bCs/>
                <w:color w:val="000000"/>
                <w:sz w:val="22"/>
                <w:szCs w:val="22"/>
              </w:rPr>
              <w:t>-13</w:t>
            </w:r>
          </w:p>
        </w:tc>
        <w:tc>
          <w:tcPr>
            <w:tcW w:w="2080" w:type="dxa"/>
            <w:tcBorders>
              <w:top w:val="single" w:sz="4" w:space="0" w:color="auto"/>
              <w:left w:val="nil"/>
              <w:bottom w:val="single" w:sz="4" w:space="0" w:color="auto"/>
              <w:right w:val="single" w:sz="4" w:space="0" w:color="auto"/>
            </w:tcBorders>
            <w:shd w:val="clear" w:color="000000" w:fill="DBDBDB"/>
            <w:vAlign w:val="center"/>
            <w:hideMark/>
          </w:tcPr>
          <w:p w14:paraId="4D5ED3D0" w14:textId="77777777" w:rsidR="00CB475C" w:rsidRPr="00CB475C" w:rsidRDefault="00CB475C" w:rsidP="00CB475C">
            <w:pPr>
              <w:spacing w:after="0"/>
              <w:jc w:val="center"/>
              <w:rPr>
                <w:rFonts w:ascii="Calibri" w:eastAsia="Times New Roman" w:hAnsi="Calibri" w:cs="Calibri"/>
                <w:b/>
                <w:bCs/>
                <w:color w:val="000000"/>
                <w:sz w:val="22"/>
                <w:szCs w:val="22"/>
              </w:rPr>
            </w:pPr>
            <w:r w:rsidRPr="00CB475C">
              <w:rPr>
                <w:rFonts w:ascii="Calibri" w:eastAsia="Times New Roman" w:hAnsi="Calibri"/>
                <w:b/>
                <w:bCs/>
                <w:color w:val="000000"/>
                <w:sz w:val="22"/>
                <w:szCs w:val="22"/>
              </w:rPr>
              <w:t>-2.8</w:t>
            </w:r>
          </w:p>
        </w:tc>
        <w:tc>
          <w:tcPr>
            <w:tcW w:w="2080" w:type="dxa"/>
            <w:tcBorders>
              <w:top w:val="single" w:sz="4" w:space="0" w:color="auto"/>
              <w:left w:val="nil"/>
              <w:bottom w:val="single" w:sz="4" w:space="0" w:color="auto"/>
              <w:right w:val="single" w:sz="4" w:space="0" w:color="auto"/>
            </w:tcBorders>
            <w:shd w:val="clear" w:color="000000" w:fill="DBDBDB"/>
            <w:vAlign w:val="center"/>
            <w:hideMark/>
          </w:tcPr>
          <w:p w14:paraId="49F0A176" w14:textId="7ECFDAE9" w:rsidR="00CB475C" w:rsidRPr="00CB475C" w:rsidRDefault="00CB475C" w:rsidP="00CB475C">
            <w:pPr>
              <w:spacing w:after="0"/>
              <w:jc w:val="center"/>
              <w:rPr>
                <w:rFonts w:ascii="Calibri" w:eastAsia="Times New Roman" w:hAnsi="Calibri" w:cs="Calibri"/>
                <w:b/>
                <w:bCs/>
                <w:color w:val="000000"/>
                <w:sz w:val="22"/>
                <w:szCs w:val="22"/>
              </w:rPr>
            </w:pPr>
            <w:r w:rsidRPr="00CB475C">
              <w:rPr>
                <w:rFonts w:ascii="Calibri" w:eastAsia="Times New Roman" w:hAnsi="Calibri"/>
                <w:b/>
                <w:bCs/>
                <w:color w:val="000000"/>
                <w:sz w:val="22"/>
                <w:szCs w:val="22"/>
              </w:rPr>
              <w:t>-1</w:t>
            </w:r>
            <w:r w:rsidR="00DE389C">
              <w:rPr>
                <w:rFonts w:ascii="Calibri" w:eastAsia="Times New Roman" w:hAnsi="Calibri"/>
                <w:b/>
                <w:bCs/>
                <w:color w:val="000000"/>
                <w:sz w:val="22"/>
                <w:szCs w:val="22"/>
              </w:rPr>
              <w:t>5.8</w:t>
            </w:r>
          </w:p>
        </w:tc>
      </w:tr>
    </w:tbl>
    <w:p w14:paraId="60A97D89" w14:textId="0C334F27" w:rsidR="00C162AA" w:rsidRDefault="00C162AA" w:rsidP="0095694A">
      <w:pPr>
        <w:pStyle w:val="ListParagraph"/>
        <w:ind w:left="0"/>
        <w:rPr>
          <w:color w:val="000000"/>
        </w:rPr>
      </w:pPr>
    </w:p>
    <w:p w14:paraId="65DBBDA2" w14:textId="77777777" w:rsidR="008A3BFD" w:rsidRDefault="008A3BFD" w:rsidP="0095694A">
      <w:pPr>
        <w:pStyle w:val="ListParagraph"/>
        <w:ind w:left="0"/>
        <w:rPr>
          <w:color w:val="000000"/>
        </w:rPr>
      </w:pPr>
    </w:p>
    <w:p w14:paraId="33D001D1" w14:textId="77777777" w:rsidR="008A3BFD" w:rsidRDefault="008A3BFD" w:rsidP="0095694A">
      <w:pPr>
        <w:pStyle w:val="ListParagraph"/>
        <w:ind w:left="0"/>
        <w:rPr>
          <w:color w:val="000000"/>
        </w:rPr>
      </w:pPr>
    </w:p>
    <w:p w14:paraId="035E3EA4" w14:textId="77777777" w:rsidR="008A3BFD" w:rsidRDefault="008A3BFD" w:rsidP="0095694A">
      <w:pPr>
        <w:pStyle w:val="ListParagraph"/>
        <w:ind w:left="0"/>
        <w:rPr>
          <w:color w:val="000000"/>
        </w:rPr>
      </w:pPr>
    </w:p>
    <w:p w14:paraId="7CF38C38" w14:textId="77777777" w:rsidR="008A3BFD" w:rsidRDefault="008A3BFD" w:rsidP="0095694A">
      <w:pPr>
        <w:pStyle w:val="ListParagraph"/>
        <w:ind w:left="0"/>
        <w:rPr>
          <w:color w:val="000000"/>
        </w:rPr>
      </w:pPr>
    </w:p>
    <w:p w14:paraId="791831D9" w14:textId="77777777" w:rsidR="008A3BFD" w:rsidRDefault="008A3BFD" w:rsidP="0095694A">
      <w:pPr>
        <w:pStyle w:val="ListParagraph"/>
        <w:ind w:left="0"/>
        <w:rPr>
          <w:color w:val="000000"/>
        </w:rPr>
      </w:pPr>
    </w:p>
    <w:p w14:paraId="3C1F0DFB" w14:textId="77777777" w:rsidR="008A3BFD" w:rsidRDefault="008A3BFD" w:rsidP="0095694A">
      <w:pPr>
        <w:pStyle w:val="ListParagraph"/>
        <w:ind w:left="0"/>
        <w:rPr>
          <w:color w:val="000000"/>
        </w:rPr>
      </w:pPr>
    </w:p>
    <w:p w14:paraId="4AD3ECB6" w14:textId="77777777" w:rsidR="008A3BFD" w:rsidRDefault="008A3BFD" w:rsidP="0095694A">
      <w:pPr>
        <w:pStyle w:val="ListParagraph"/>
        <w:ind w:left="0"/>
        <w:rPr>
          <w:color w:val="000000"/>
        </w:rPr>
      </w:pPr>
    </w:p>
    <w:p w14:paraId="34B791EE" w14:textId="77777777" w:rsidR="008A3BFD" w:rsidRDefault="008A3BFD" w:rsidP="0095694A">
      <w:pPr>
        <w:pStyle w:val="ListParagraph"/>
        <w:ind w:left="0"/>
        <w:rPr>
          <w:color w:val="000000"/>
        </w:rPr>
      </w:pPr>
    </w:p>
    <w:p w14:paraId="47505639" w14:textId="77777777" w:rsidR="008A3BFD" w:rsidRDefault="008A3BFD" w:rsidP="0095694A">
      <w:pPr>
        <w:pStyle w:val="ListParagraph"/>
        <w:ind w:left="0"/>
        <w:rPr>
          <w:color w:val="000000"/>
        </w:rPr>
      </w:pPr>
    </w:p>
    <w:p w14:paraId="17DA8048" w14:textId="77777777" w:rsidR="008A3BFD" w:rsidRDefault="008A3BFD" w:rsidP="0095694A">
      <w:pPr>
        <w:pStyle w:val="ListParagraph"/>
        <w:ind w:left="0"/>
        <w:rPr>
          <w:color w:val="000000"/>
        </w:rPr>
      </w:pPr>
    </w:p>
    <w:p w14:paraId="69ABFE02" w14:textId="77777777" w:rsidR="008A3BFD" w:rsidRDefault="008A3BFD" w:rsidP="0095694A">
      <w:pPr>
        <w:pStyle w:val="ListParagraph"/>
        <w:ind w:left="0"/>
        <w:rPr>
          <w:color w:val="000000"/>
        </w:rPr>
      </w:pPr>
    </w:p>
    <w:sectPr w:rsidR="008A3BFD" w:rsidSect="00163B18">
      <w:headerReference w:type="first" r:id="rId13"/>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CA093" w14:textId="77777777" w:rsidR="001778A8" w:rsidRDefault="001778A8" w:rsidP="00101F8B">
      <w:r>
        <w:separator/>
      </w:r>
    </w:p>
    <w:p w14:paraId="4958DF13" w14:textId="77777777" w:rsidR="001778A8" w:rsidRDefault="001778A8" w:rsidP="00101F8B"/>
    <w:p w14:paraId="7172B42A" w14:textId="77777777" w:rsidR="001778A8" w:rsidRDefault="001778A8" w:rsidP="00101F8B"/>
    <w:p w14:paraId="5876AE69" w14:textId="77777777" w:rsidR="001778A8" w:rsidRDefault="001778A8" w:rsidP="00101F8B"/>
    <w:p w14:paraId="5C0DD56C" w14:textId="77777777" w:rsidR="001778A8" w:rsidRDefault="001778A8" w:rsidP="00101F8B"/>
    <w:p w14:paraId="19C183ED" w14:textId="77777777" w:rsidR="001778A8" w:rsidRDefault="001778A8" w:rsidP="00101F8B"/>
  </w:endnote>
  <w:endnote w:type="continuationSeparator" w:id="0">
    <w:p w14:paraId="7A129111" w14:textId="77777777" w:rsidR="001778A8" w:rsidRDefault="001778A8" w:rsidP="00101F8B">
      <w:r>
        <w:continuationSeparator/>
      </w:r>
    </w:p>
    <w:p w14:paraId="35543BED" w14:textId="77777777" w:rsidR="001778A8" w:rsidRDefault="001778A8" w:rsidP="00101F8B"/>
    <w:p w14:paraId="7B8BCB96" w14:textId="77777777" w:rsidR="001778A8" w:rsidRDefault="001778A8" w:rsidP="00101F8B"/>
    <w:p w14:paraId="3D0E2730" w14:textId="77777777" w:rsidR="001778A8" w:rsidRDefault="001778A8" w:rsidP="00101F8B"/>
    <w:p w14:paraId="63023347" w14:textId="77777777" w:rsidR="001778A8" w:rsidRDefault="001778A8" w:rsidP="00101F8B"/>
    <w:p w14:paraId="667618A3" w14:textId="77777777" w:rsidR="001778A8" w:rsidRDefault="001778A8"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5C4BA" w14:textId="77777777" w:rsidR="001778A8" w:rsidRDefault="001778A8" w:rsidP="00101F8B">
      <w:r>
        <w:separator/>
      </w:r>
    </w:p>
    <w:p w14:paraId="2618D1D6" w14:textId="77777777" w:rsidR="001778A8" w:rsidRDefault="001778A8" w:rsidP="00101F8B"/>
    <w:p w14:paraId="2136D669" w14:textId="77777777" w:rsidR="001778A8" w:rsidRDefault="001778A8" w:rsidP="00101F8B"/>
    <w:p w14:paraId="4FCC418D" w14:textId="77777777" w:rsidR="001778A8" w:rsidRDefault="001778A8" w:rsidP="00101F8B"/>
    <w:p w14:paraId="69FB9C08" w14:textId="77777777" w:rsidR="001778A8" w:rsidRDefault="001778A8" w:rsidP="00101F8B"/>
    <w:p w14:paraId="749DC8A1" w14:textId="77777777" w:rsidR="001778A8" w:rsidRDefault="001778A8" w:rsidP="00101F8B"/>
  </w:footnote>
  <w:footnote w:type="continuationSeparator" w:id="0">
    <w:p w14:paraId="3AE04ECF" w14:textId="77777777" w:rsidR="001778A8" w:rsidRDefault="001778A8" w:rsidP="00101F8B">
      <w:r>
        <w:continuationSeparator/>
      </w:r>
    </w:p>
    <w:p w14:paraId="4A3C3A0F" w14:textId="77777777" w:rsidR="001778A8" w:rsidRDefault="001778A8" w:rsidP="00101F8B"/>
    <w:p w14:paraId="038C29A5" w14:textId="77777777" w:rsidR="001778A8" w:rsidRDefault="001778A8" w:rsidP="00101F8B"/>
    <w:p w14:paraId="33264A67" w14:textId="77777777" w:rsidR="001778A8" w:rsidRDefault="001778A8" w:rsidP="00101F8B"/>
    <w:p w14:paraId="5F011261" w14:textId="77777777" w:rsidR="001778A8" w:rsidRDefault="001778A8" w:rsidP="00101F8B"/>
    <w:p w14:paraId="472AFF96" w14:textId="77777777" w:rsidR="001778A8" w:rsidRDefault="001778A8"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F084A"/>
    <w:multiLevelType w:val="multilevel"/>
    <w:tmpl w:val="637CFC88"/>
    <w:lvl w:ilvl="0">
      <w:start w:val="1"/>
      <w:numFmt w:val="decimal"/>
      <w:lvlText w:val="%1."/>
      <w:lvlJc w:val="left"/>
      <w:pPr>
        <w:ind w:left="501" w:hanging="360"/>
      </w:pPr>
    </w:lvl>
    <w:lvl w:ilvl="1">
      <w:start w:val="1"/>
      <w:numFmt w:val="decimal"/>
      <w:lvlText w:val="%1.%2."/>
      <w:lvlJc w:val="left"/>
      <w:pPr>
        <w:ind w:left="933" w:hanging="432"/>
      </w:pPr>
      <w:rPr>
        <w:b w:val="0"/>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1"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9ED3402"/>
    <w:multiLevelType w:val="multilevel"/>
    <w:tmpl w:val="637CFC88"/>
    <w:lvl w:ilvl="0">
      <w:start w:val="1"/>
      <w:numFmt w:val="decimal"/>
      <w:lvlText w:val="%1."/>
      <w:lvlJc w:val="left"/>
      <w:pPr>
        <w:ind w:left="360" w:hanging="360"/>
      </w:pPr>
    </w:lvl>
    <w:lvl w:ilvl="1">
      <w:start w:val="1"/>
      <w:numFmt w:val="decimal"/>
      <w:lvlText w:val="%1.%2."/>
      <w:lvlJc w:val="left"/>
      <w:pPr>
        <w:ind w:left="128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691A69"/>
    <w:multiLevelType w:val="multilevel"/>
    <w:tmpl w:val="311EB9AC"/>
    <w:lvl w:ilvl="0">
      <w:start w:val="1"/>
      <w:numFmt w:val="decimal"/>
      <w:lvlText w:val="%1."/>
      <w:lvlJc w:val="left"/>
      <w:pPr>
        <w:ind w:left="1080" w:hanging="720"/>
      </w:pPr>
      <w:rPr>
        <w:rFonts w:hint="default"/>
        <w:b/>
        <w:bCs/>
        <w:i w:val="0"/>
        <w:iCs w:val="0"/>
      </w:rPr>
    </w:lvl>
    <w:lvl w:ilvl="1">
      <w:start w:val="1"/>
      <w:numFmt w:val="decimal"/>
      <w:isLgl/>
      <w:lvlText w:val="%1.%2"/>
      <w:lvlJc w:val="left"/>
      <w:pPr>
        <w:ind w:left="22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6991B0B"/>
    <w:multiLevelType w:val="hybridMultilevel"/>
    <w:tmpl w:val="37A40070"/>
    <w:lvl w:ilvl="0" w:tplc="2E40AC28">
      <w:start w:val="1"/>
      <w:numFmt w:val="bullet"/>
      <w:lvlText w:val="•"/>
      <w:lvlJc w:val="left"/>
      <w:pPr>
        <w:tabs>
          <w:tab w:val="num" w:pos="720"/>
        </w:tabs>
        <w:ind w:left="720" w:hanging="360"/>
      </w:pPr>
      <w:rPr>
        <w:rFonts w:ascii="Arial" w:hAnsi="Arial" w:hint="default"/>
      </w:rPr>
    </w:lvl>
    <w:lvl w:ilvl="1" w:tplc="257ED8C6">
      <w:numFmt w:val="bullet"/>
      <w:lvlText w:val="•"/>
      <w:lvlJc w:val="left"/>
      <w:pPr>
        <w:tabs>
          <w:tab w:val="num" w:pos="1440"/>
        </w:tabs>
        <w:ind w:left="1440" w:hanging="360"/>
      </w:pPr>
      <w:rPr>
        <w:rFonts w:ascii="Arial" w:hAnsi="Arial" w:hint="default"/>
      </w:rPr>
    </w:lvl>
    <w:lvl w:ilvl="2" w:tplc="D9484808" w:tentative="1">
      <w:start w:val="1"/>
      <w:numFmt w:val="bullet"/>
      <w:lvlText w:val="•"/>
      <w:lvlJc w:val="left"/>
      <w:pPr>
        <w:tabs>
          <w:tab w:val="num" w:pos="2160"/>
        </w:tabs>
        <w:ind w:left="2160" w:hanging="360"/>
      </w:pPr>
      <w:rPr>
        <w:rFonts w:ascii="Arial" w:hAnsi="Arial" w:hint="default"/>
      </w:rPr>
    </w:lvl>
    <w:lvl w:ilvl="3" w:tplc="E8D492EC" w:tentative="1">
      <w:start w:val="1"/>
      <w:numFmt w:val="bullet"/>
      <w:lvlText w:val="•"/>
      <w:lvlJc w:val="left"/>
      <w:pPr>
        <w:tabs>
          <w:tab w:val="num" w:pos="2880"/>
        </w:tabs>
        <w:ind w:left="2880" w:hanging="360"/>
      </w:pPr>
      <w:rPr>
        <w:rFonts w:ascii="Arial" w:hAnsi="Arial" w:hint="default"/>
      </w:rPr>
    </w:lvl>
    <w:lvl w:ilvl="4" w:tplc="0990245A" w:tentative="1">
      <w:start w:val="1"/>
      <w:numFmt w:val="bullet"/>
      <w:lvlText w:val="•"/>
      <w:lvlJc w:val="left"/>
      <w:pPr>
        <w:tabs>
          <w:tab w:val="num" w:pos="3600"/>
        </w:tabs>
        <w:ind w:left="3600" w:hanging="360"/>
      </w:pPr>
      <w:rPr>
        <w:rFonts w:ascii="Arial" w:hAnsi="Arial" w:hint="default"/>
      </w:rPr>
    </w:lvl>
    <w:lvl w:ilvl="5" w:tplc="E4E4C62C" w:tentative="1">
      <w:start w:val="1"/>
      <w:numFmt w:val="bullet"/>
      <w:lvlText w:val="•"/>
      <w:lvlJc w:val="left"/>
      <w:pPr>
        <w:tabs>
          <w:tab w:val="num" w:pos="4320"/>
        </w:tabs>
        <w:ind w:left="4320" w:hanging="360"/>
      </w:pPr>
      <w:rPr>
        <w:rFonts w:ascii="Arial" w:hAnsi="Arial" w:hint="default"/>
      </w:rPr>
    </w:lvl>
    <w:lvl w:ilvl="6" w:tplc="33E2B34A" w:tentative="1">
      <w:start w:val="1"/>
      <w:numFmt w:val="bullet"/>
      <w:lvlText w:val="•"/>
      <w:lvlJc w:val="left"/>
      <w:pPr>
        <w:tabs>
          <w:tab w:val="num" w:pos="5040"/>
        </w:tabs>
        <w:ind w:left="5040" w:hanging="360"/>
      </w:pPr>
      <w:rPr>
        <w:rFonts w:ascii="Arial" w:hAnsi="Arial" w:hint="default"/>
      </w:rPr>
    </w:lvl>
    <w:lvl w:ilvl="7" w:tplc="ACE0B622" w:tentative="1">
      <w:start w:val="1"/>
      <w:numFmt w:val="bullet"/>
      <w:lvlText w:val="•"/>
      <w:lvlJc w:val="left"/>
      <w:pPr>
        <w:tabs>
          <w:tab w:val="num" w:pos="5760"/>
        </w:tabs>
        <w:ind w:left="5760" w:hanging="360"/>
      </w:pPr>
      <w:rPr>
        <w:rFonts w:ascii="Arial" w:hAnsi="Arial" w:hint="default"/>
      </w:rPr>
    </w:lvl>
    <w:lvl w:ilvl="8" w:tplc="B22CD5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AD2CFC"/>
    <w:multiLevelType w:val="multilevel"/>
    <w:tmpl w:val="D3EC9770"/>
    <w:lvl w:ilvl="0">
      <w:start w:val="1"/>
      <w:numFmt w:val="decimal"/>
      <w:lvlText w:val="%1."/>
      <w:lvlJc w:val="left"/>
      <w:pPr>
        <w:ind w:left="360" w:hanging="360"/>
      </w:pPr>
    </w:lvl>
    <w:lvl w:ilvl="1">
      <w:start w:val="1"/>
      <w:numFmt w:val="decimal"/>
      <w:lvlText w:val="%1.%2."/>
      <w:lvlJc w:val="left"/>
      <w:pPr>
        <w:ind w:left="432" w:hanging="432"/>
      </w:pPr>
      <w:rPr>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9034499">
    <w:abstractNumId w:val="5"/>
  </w:num>
  <w:num w:numId="2" w16cid:durableId="1085416488">
    <w:abstractNumId w:val="0"/>
  </w:num>
  <w:num w:numId="3" w16cid:durableId="437601456">
    <w:abstractNumId w:val="4"/>
  </w:num>
  <w:num w:numId="4" w16cid:durableId="1766345715">
    <w:abstractNumId w:val="2"/>
  </w:num>
  <w:num w:numId="5" w16cid:durableId="1419016064">
    <w:abstractNumId w:val="3"/>
  </w:num>
  <w:num w:numId="6" w16cid:durableId="269240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43B69"/>
    <w:rsid w:val="00067B08"/>
    <w:rsid w:val="00070438"/>
    <w:rsid w:val="0008083C"/>
    <w:rsid w:val="00080CA2"/>
    <w:rsid w:val="00097F8B"/>
    <w:rsid w:val="000A6D45"/>
    <w:rsid w:val="000B09BF"/>
    <w:rsid w:val="000C3BD9"/>
    <w:rsid w:val="000D4591"/>
    <w:rsid w:val="00101F8B"/>
    <w:rsid w:val="00112B5B"/>
    <w:rsid w:val="00114878"/>
    <w:rsid w:val="00114BBD"/>
    <w:rsid w:val="001228E4"/>
    <w:rsid w:val="00122C60"/>
    <w:rsid w:val="001357FA"/>
    <w:rsid w:val="00140894"/>
    <w:rsid w:val="00143497"/>
    <w:rsid w:val="00163B18"/>
    <w:rsid w:val="001702A6"/>
    <w:rsid w:val="00173D7C"/>
    <w:rsid w:val="001778A8"/>
    <w:rsid w:val="001D61A4"/>
    <w:rsid w:val="0024060F"/>
    <w:rsid w:val="00246231"/>
    <w:rsid w:val="00260028"/>
    <w:rsid w:val="00277846"/>
    <w:rsid w:val="00284556"/>
    <w:rsid w:val="00297396"/>
    <w:rsid w:val="002F4BBA"/>
    <w:rsid w:val="00310281"/>
    <w:rsid w:val="003577D2"/>
    <w:rsid w:val="00357C95"/>
    <w:rsid w:val="003A0900"/>
    <w:rsid w:val="003A09D3"/>
    <w:rsid w:val="003E790D"/>
    <w:rsid w:val="003F1753"/>
    <w:rsid w:val="003F6472"/>
    <w:rsid w:val="00400E83"/>
    <w:rsid w:val="004106B0"/>
    <w:rsid w:val="004369A3"/>
    <w:rsid w:val="004A018A"/>
    <w:rsid w:val="004A4E1E"/>
    <w:rsid w:val="004D4BDF"/>
    <w:rsid w:val="00534043"/>
    <w:rsid w:val="005916AF"/>
    <w:rsid w:val="00591BD2"/>
    <w:rsid w:val="005B33BF"/>
    <w:rsid w:val="005B66E8"/>
    <w:rsid w:val="005C7403"/>
    <w:rsid w:val="005D512C"/>
    <w:rsid w:val="005E57A5"/>
    <w:rsid w:val="005F24B4"/>
    <w:rsid w:val="005F5665"/>
    <w:rsid w:val="0060576F"/>
    <w:rsid w:val="00682014"/>
    <w:rsid w:val="006A16D6"/>
    <w:rsid w:val="006A1D70"/>
    <w:rsid w:val="006A6700"/>
    <w:rsid w:val="00710735"/>
    <w:rsid w:val="00774185"/>
    <w:rsid w:val="00791189"/>
    <w:rsid w:val="007B40D8"/>
    <w:rsid w:val="007C4F08"/>
    <w:rsid w:val="008158A3"/>
    <w:rsid w:val="00826846"/>
    <w:rsid w:val="00860FA8"/>
    <w:rsid w:val="00871F7A"/>
    <w:rsid w:val="00880FFC"/>
    <w:rsid w:val="00882E8C"/>
    <w:rsid w:val="008913F1"/>
    <w:rsid w:val="008A3BFD"/>
    <w:rsid w:val="008B70E7"/>
    <w:rsid w:val="009126DF"/>
    <w:rsid w:val="009555AD"/>
    <w:rsid w:val="0095694A"/>
    <w:rsid w:val="00993A92"/>
    <w:rsid w:val="009A645F"/>
    <w:rsid w:val="009D57DA"/>
    <w:rsid w:val="009E0C87"/>
    <w:rsid w:val="009F3BA1"/>
    <w:rsid w:val="00AA189C"/>
    <w:rsid w:val="00AA79F3"/>
    <w:rsid w:val="00AC75ED"/>
    <w:rsid w:val="00AD2661"/>
    <w:rsid w:val="00B1304B"/>
    <w:rsid w:val="00BA63ED"/>
    <w:rsid w:val="00BC54B3"/>
    <w:rsid w:val="00BD4595"/>
    <w:rsid w:val="00BD478B"/>
    <w:rsid w:val="00BE57EE"/>
    <w:rsid w:val="00BE6FB3"/>
    <w:rsid w:val="00BF0E43"/>
    <w:rsid w:val="00C162AA"/>
    <w:rsid w:val="00C25800"/>
    <w:rsid w:val="00C85AD7"/>
    <w:rsid w:val="00C967EF"/>
    <w:rsid w:val="00CB475C"/>
    <w:rsid w:val="00CC1D78"/>
    <w:rsid w:val="00CC1EAD"/>
    <w:rsid w:val="00CC4CE1"/>
    <w:rsid w:val="00CC7966"/>
    <w:rsid w:val="00CF024F"/>
    <w:rsid w:val="00D1109F"/>
    <w:rsid w:val="00D21E3E"/>
    <w:rsid w:val="00D265DB"/>
    <w:rsid w:val="00D45506"/>
    <w:rsid w:val="00D651F9"/>
    <w:rsid w:val="00D7541F"/>
    <w:rsid w:val="00D82CA3"/>
    <w:rsid w:val="00D8494E"/>
    <w:rsid w:val="00DC0596"/>
    <w:rsid w:val="00DD4093"/>
    <w:rsid w:val="00DE389C"/>
    <w:rsid w:val="00E056E4"/>
    <w:rsid w:val="00EB6CAC"/>
    <w:rsid w:val="00EC546E"/>
    <w:rsid w:val="00F23B62"/>
    <w:rsid w:val="00F27FAC"/>
    <w:rsid w:val="00F46B11"/>
    <w:rsid w:val="00F5083F"/>
    <w:rsid w:val="00F86478"/>
    <w:rsid w:val="00FF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710735"/>
    <w:pPr>
      <w:spacing w:after="0"/>
      <w:ind w:left="720"/>
      <w:contextualSpacing/>
    </w:pPr>
    <w:rPr>
      <w:rFonts w:eastAsia="Times New Roman" w:cs="Times New Roman"/>
    </w:rPr>
  </w:style>
  <w:style w:type="character" w:styleId="UnresolvedMention">
    <w:name w:val="Unresolved Mention"/>
    <w:basedOn w:val="DefaultParagraphFont"/>
    <w:uiPriority w:val="99"/>
    <w:semiHidden/>
    <w:unhideWhenUsed/>
    <w:rsid w:val="00860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3901">
      <w:bodyDiv w:val="1"/>
      <w:marLeft w:val="0"/>
      <w:marRight w:val="0"/>
      <w:marTop w:val="0"/>
      <w:marBottom w:val="0"/>
      <w:divBdr>
        <w:top w:val="none" w:sz="0" w:space="0" w:color="auto"/>
        <w:left w:val="none" w:sz="0" w:space="0" w:color="auto"/>
        <w:bottom w:val="none" w:sz="0" w:space="0" w:color="auto"/>
        <w:right w:val="none" w:sz="0" w:space="0" w:color="auto"/>
      </w:divBdr>
    </w:div>
    <w:div w:id="70086908">
      <w:bodyDiv w:val="1"/>
      <w:marLeft w:val="0"/>
      <w:marRight w:val="0"/>
      <w:marTop w:val="0"/>
      <w:marBottom w:val="0"/>
      <w:divBdr>
        <w:top w:val="none" w:sz="0" w:space="0" w:color="auto"/>
        <w:left w:val="none" w:sz="0" w:space="0" w:color="auto"/>
        <w:bottom w:val="none" w:sz="0" w:space="0" w:color="auto"/>
        <w:right w:val="none" w:sz="0" w:space="0" w:color="auto"/>
      </w:divBdr>
    </w:div>
    <w:div w:id="128086252">
      <w:bodyDiv w:val="1"/>
      <w:marLeft w:val="0"/>
      <w:marRight w:val="0"/>
      <w:marTop w:val="0"/>
      <w:marBottom w:val="0"/>
      <w:divBdr>
        <w:top w:val="none" w:sz="0" w:space="0" w:color="auto"/>
        <w:left w:val="none" w:sz="0" w:space="0" w:color="auto"/>
        <w:bottom w:val="none" w:sz="0" w:space="0" w:color="auto"/>
        <w:right w:val="none" w:sz="0" w:space="0" w:color="auto"/>
      </w:divBdr>
    </w:div>
    <w:div w:id="405761148">
      <w:bodyDiv w:val="1"/>
      <w:marLeft w:val="0"/>
      <w:marRight w:val="0"/>
      <w:marTop w:val="0"/>
      <w:marBottom w:val="0"/>
      <w:divBdr>
        <w:top w:val="none" w:sz="0" w:space="0" w:color="auto"/>
        <w:left w:val="none" w:sz="0" w:space="0" w:color="auto"/>
        <w:bottom w:val="none" w:sz="0" w:space="0" w:color="auto"/>
        <w:right w:val="none" w:sz="0" w:space="0" w:color="auto"/>
      </w:divBdr>
    </w:div>
    <w:div w:id="529228150">
      <w:bodyDiv w:val="1"/>
      <w:marLeft w:val="0"/>
      <w:marRight w:val="0"/>
      <w:marTop w:val="0"/>
      <w:marBottom w:val="0"/>
      <w:divBdr>
        <w:top w:val="none" w:sz="0" w:space="0" w:color="auto"/>
        <w:left w:val="none" w:sz="0" w:space="0" w:color="auto"/>
        <w:bottom w:val="none" w:sz="0" w:space="0" w:color="auto"/>
        <w:right w:val="none" w:sz="0" w:space="0" w:color="auto"/>
      </w:divBdr>
      <w:divsChild>
        <w:div w:id="1419719248">
          <w:marLeft w:val="360"/>
          <w:marRight w:val="0"/>
          <w:marTop w:val="200"/>
          <w:marBottom w:val="0"/>
          <w:divBdr>
            <w:top w:val="none" w:sz="0" w:space="0" w:color="auto"/>
            <w:left w:val="none" w:sz="0" w:space="0" w:color="auto"/>
            <w:bottom w:val="none" w:sz="0" w:space="0" w:color="auto"/>
            <w:right w:val="none" w:sz="0" w:space="0" w:color="auto"/>
          </w:divBdr>
        </w:div>
        <w:div w:id="1109199517">
          <w:marLeft w:val="1080"/>
          <w:marRight w:val="0"/>
          <w:marTop w:val="100"/>
          <w:marBottom w:val="0"/>
          <w:divBdr>
            <w:top w:val="none" w:sz="0" w:space="0" w:color="auto"/>
            <w:left w:val="none" w:sz="0" w:space="0" w:color="auto"/>
            <w:bottom w:val="none" w:sz="0" w:space="0" w:color="auto"/>
            <w:right w:val="none" w:sz="0" w:space="0" w:color="auto"/>
          </w:divBdr>
        </w:div>
        <w:div w:id="1196431785">
          <w:marLeft w:val="1080"/>
          <w:marRight w:val="0"/>
          <w:marTop w:val="100"/>
          <w:marBottom w:val="0"/>
          <w:divBdr>
            <w:top w:val="none" w:sz="0" w:space="0" w:color="auto"/>
            <w:left w:val="none" w:sz="0" w:space="0" w:color="auto"/>
            <w:bottom w:val="none" w:sz="0" w:space="0" w:color="auto"/>
            <w:right w:val="none" w:sz="0" w:space="0" w:color="auto"/>
          </w:divBdr>
        </w:div>
        <w:div w:id="276452544">
          <w:marLeft w:val="1080"/>
          <w:marRight w:val="0"/>
          <w:marTop w:val="100"/>
          <w:marBottom w:val="0"/>
          <w:divBdr>
            <w:top w:val="none" w:sz="0" w:space="0" w:color="auto"/>
            <w:left w:val="none" w:sz="0" w:space="0" w:color="auto"/>
            <w:bottom w:val="none" w:sz="0" w:space="0" w:color="auto"/>
            <w:right w:val="none" w:sz="0" w:space="0" w:color="auto"/>
          </w:divBdr>
        </w:div>
        <w:div w:id="1950575967">
          <w:marLeft w:val="360"/>
          <w:marRight w:val="0"/>
          <w:marTop w:val="200"/>
          <w:marBottom w:val="0"/>
          <w:divBdr>
            <w:top w:val="none" w:sz="0" w:space="0" w:color="auto"/>
            <w:left w:val="none" w:sz="0" w:space="0" w:color="auto"/>
            <w:bottom w:val="none" w:sz="0" w:space="0" w:color="auto"/>
            <w:right w:val="none" w:sz="0" w:space="0" w:color="auto"/>
          </w:divBdr>
        </w:div>
        <w:div w:id="123088910">
          <w:marLeft w:val="1080"/>
          <w:marRight w:val="0"/>
          <w:marTop w:val="100"/>
          <w:marBottom w:val="0"/>
          <w:divBdr>
            <w:top w:val="none" w:sz="0" w:space="0" w:color="auto"/>
            <w:left w:val="none" w:sz="0" w:space="0" w:color="auto"/>
            <w:bottom w:val="none" w:sz="0" w:space="0" w:color="auto"/>
            <w:right w:val="none" w:sz="0" w:space="0" w:color="auto"/>
          </w:divBdr>
        </w:div>
        <w:div w:id="1273320129">
          <w:marLeft w:val="1080"/>
          <w:marRight w:val="0"/>
          <w:marTop w:val="100"/>
          <w:marBottom w:val="0"/>
          <w:divBdr>
            <w:top w:val="none" w:sz="0" w:space="0" w:color="auto"/>
            <w:left w:val="none" w:sz="0" w:space="0" w:color="auto"/>
            <w:bottom w:val="none" w:sz="0" w:space="0" w:color="auto"/>
            <w:right w:val="none" w:sz="0" w:space="0" w:color="auto"/>
          </w:divBdr>
        </w:div>
        <w:div w:id="627128427">
          <w:marLeft w:val="1080"/>
          <w:marRight w:val="0"/>
          <w:marTop w:val="100"/>
          <w:marBottom w:val="0"/>
          <w:divBdr>
            <w:top w:val="none" w:sz="0" w:space="0" w:color="auto"/>
            <w:left w:val="none" w:sz="0" w:space="0" w:color="auto"/>
            <w:bottom w:val="none" w:sz="0" w:space="0" w:color="auto"/>
            <w:right w:val="none" w:sz="0" w:space="0" w:color="auto"/>
          </w:divBdr>
        </w:div>
        <w:div w:id="1402364902">
          <w:marLeft w:val="1080"/>
          <w:marRight w:val="0"/>
          <w:marTop w:val="100"/>
          <w:marBottom w:val="0"/>
          <w:divBdr>
            <w:top w:val="none" w:sz="0" w:space="0" w:color="auto"/>
            <w:left w:val="none" w:sz="0" w:space="0" w:color="auto"/>
            <w:bottom w:val="none" w:sz="0" w:space="0" w:color="auto"/>
            <w:right w:val="none" w:sz="0" w:space="0" w:color="auto"/>
          </w:divBdr>
        </w:div>
      </w:divsChild>
    </w:div>
    <w:div w:id="587081198">
      <w:bodyDiv w:val="1"/>
      <w:marLeft w:val="0"/>
      <w:marRight w:val="0"/>
      <w:marTop w:val="0"/>
      <w:marBottom w:val="0"/>
      <w:divBdr>
        <w:top w:val="none" w:sz="0" w:space="0" w:color="auto"/>
        <w:left w:val="none" w:sz="0" w:space="0" w:color="auto"/>
        <w:bottom w:val="none" w:sz="0" w:space="0" w:color="auto"/>
        <w:right w:val="none" w:sz="0" w:space="0" w:color="auto"/>
      </w:divBdr>
    </w:div>
    <w:div w:id="1460876267">
      <w:bodyDiv w:val="1"/>
      <w:marLeft w:val="0"/>
      <w:marRight w:val="0"/>
      <w:marTop w:val="0"/>
      <w:marBottom w:val="0"/>
      <w:divBdr>
        <w:top w:val="none" w:sz="0" w:space="0" w:color="auto"/>
        <w:left w:val="none" w:sz="0" w:space="0" w:color="auto"/>
        <w:bottom w:val="none" w:sz="0" w:space="0" w:color="auto"/>
        <w:right w:val="none" w:sz="0" w:space="0" w:color="auto"/>
      </w:divBdr>
    </w:div>
    <w:div w:id="1829706418">
      <w:bodyDiv w:val="1"/>
      <w:marLeft w:val="0"/>
      <w:marRight w:val="0"/>
      <w:marTop w:val="0"/>
      <w:marBottom w:val="0"/>
      <w:divBdr>
        <w:top w:val="none" w:sz="0" w:space="0" w:color="auto"/>
        <w:left w:val="none" w:sz="0" w:space="0" w:color="auto"/>
        <w:bottom w:val="none" w:sz="0" w:space="0" w:color="auto"/>
        <w:right w:val="none" w:sz="0" w:space="0" w:color="auto"/>
      </w:divBdr>
    </w:div>
    <w:div w:id="21095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E01A9"/>
    <w:rsid w:val="00386436"/>
    <w:rsid w:val="003873F8"/>
    <w:rsid w:val="00417A06"/>
    <w:rsid w:val="00D107AD"/>
    <w:rsid w:val="00D75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2024-06-19T00:00:00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eec781b-51b2-41f5-8977-d833afa0cdb5" xsi:nil="true"/>
    <Date xmlns="deec781b-51b2-41f5-8977-d833afa0cdb5" xsi:nil="true"/>
    <TaxCatchAll xmlns="30d79745-92fc-4b4e-a213-f975f2a6d945" xsi:nil="true"/>
    <lcf76f155ced4ddcb4097134ff3c332f xmlns="deec781b-51b2-41f5-8977-d833afa0cdb5">
      <Terms xmlns="http://schemas.microsoft.com/office/infopath/2007/PartnerControls"/>
    </lcf76f155ced4ddcb4097134ff3c332f>
    <L xmlns="deec781b-51b2-41f5-8977-d833afa0cdb5" xsi:nil="true"/>
    <Done xmlns="deec781b-51b2-41f5-8977-d833afa0cdb5">false</Don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29" ma:contentTypeDescription="Create a new document." ma:contentTypeScope="" ma:versionID="cfcf0413ba7b6b2c46576595219a5b48">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b389b49cba1aaa29cfbb4b71e9f9ebcb"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L" minOccurs="0"/>
                <xsd:element ref="ns2:eaa51672-e18c-4904-822f-49e1c3d33f7cCountryOrRegion" minOccurs="0"/>
                <xsd:element ref="ns2:eaa51672-e18c-4904-822f-49e1c3d33f7cState" minOccurs="0"/>
                <xsd:element ref="ns2:eaa51672-e18c-4904-822f-49e1c3d33f7cCity" minOccurs="0"/>
                <xsd:element ref="ns2:eaa51672-e18c-4904-822f-49e1c3d33f7cPostalCode" minOccurs="0"/>
                <xsd:element ref="ns2:eaa51672-e18c-4904-822f-49e1c3d33f7cStreet" minOccurs="0"/>
                <xsd:element ref="ns2:eaa51672-e18c-4904-822f-49e1c3d33f7cGeoLoc" minOccurs="0"/>
                <xsd:element ref="ns2:eaa51672-e18c-4904-822f-49e1c3d33f7cDispName" minOccurs="0"/>
                <xsd:element ref="ns2:_Flow_SignoffStatus" minOccurs="0"/>
                <xsd:element ref="ns2:MediaServiceObjectDetectorVersions" minOccurs="0"/>
                <xsd:element ref="ns2:Date" minOccurs="0"/>
                <xsd:element ref="ns2:MediaServiceSearchProperties" minOccurs="0"/>
                <xsd:element ref="ns2: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L" ma:index="24" nillable="true" ma:displayName="L" ma:format="Dropdown" ma:internalName="L">
      <xsd:simpleType>
        <xsd:restriction base="dms:Unknown"/>
      </xsd:simpleType>
    </xsd:element>
    <xsd:element name="eaa51672-e18c-4904-822f-49e1c3d33f7cCountryOrRegion" ma:index="25" nillable="true" ma:displayName="L: Country/Region" ma:internalName="CountryOrRegion" ma:readOnly="true">
      <xsd:simpleType>
        <xsd:restriction base="dms:Text"/>
      </xsd:simpleType>
    </xsd:element>
    <xsd:element name="eaa51672-e18c-4904-822f-49e1c3d33f7cState" ma:index="26" nillable="true" ma:displayName="L: State" ma:internalName="State" ma:readOnly="true">
      <xsd:simpleType>
        <xsd:restriction base="dms:Text"/>
      </xsd:simpleType>
    </xsd:element>
    <xsd:element name="eaa51672-e18c-4904-822f-49e1c3d33f7cCity" ma:index="27" nillable="true" ma:displayName="L: City" ma:internalName="City" ma:readOnly="true">
      <xsd:simpleType>
        <xsd:restriction base="dms:Text"/>
      </xsd:simpleType>
    </xsd:element>
    <xsd:element name="eaa51672-e18c-4904-822f-49e1c3d33f7cPostalCode" ma:index="28" nillable="true" ma:displayName="L: Postal Code" ma:internalName="PostalCode" ma:readOnly="true">
      <xsd:simpleType>
        <xsd:restriction base="dms:Text"/>
      </xsd:simpleType>
    </xsd:element>
    <xsd:element name="eaa51672-e18c-4904-822f-49e1c3d33f7cStreet" ma:index="29" nillable="true" ma:displayName="L: Street" ma:internalName="Street" ma:readOnly="true">
      <xsd:simpleType>
        <xsd:restriction base="dms:Text"/>
      </xsd:simpleType>
    </xsd:element>
    <xsd:element name="eaa51672-e18c-4904-822f-49e1c3d33f7cGeoLoc" ma:index="30" nillable="true" ma:displayName="L: Coordinates" ma:internalName="GeoLoc" ma:readOnly="true">
      <xsd:simpleType>
        <xsd:restriction base="dms:Unknown"/>
      </xsd:simpleType>
    </xsd:element>
    <xsd:element name="eaa51672-e18c-4904-822f-49e1c3d33f7cDispName" ma:index="31" nillable="true" ma:displayName="L: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Date" ma:index="34" nillable="true" ma:displayName="Date" ma:format="DateOnly" ma:internalName="Dat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Done" ma:index="36" nillable="true" ma:displayName="Done" ma:default="0" ma:description="Test Script written" ma:format="Dropdown" ma:internalName="Do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3.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deec781b-51b2-41f5-8977-d833afa0cdb5"/>
    <ds:schemaRef ds:uri="30d79745-92fc-4b4e-a213-f975f2a6d945"/>
  </ds:schemaRefs>
</ds:datastoreItem>
</file>

<file path=customXml/itemProps4.xml><?xml version="1.0" encoding="utf-8"?>
<ds:datastoreItem xmlns:ds="http://schemas.openxmlformats.org/officeDocument/2006/customXml" ds:itemID="{2F1576D6-3F99-42EA-89CB-EAD867925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658</Words>
  <Characters>3386</Characters>
  <Application>Microsoft Office Word</Application>
  <DocSecurity>0</DocSecurity>
  <Lines>207</Lines>
  <Paragraphs>106</Paragraphs>
  <ScaleCrop>false</ScaleCrop>
  <HeadingPairs>
    <vt:vector size="2" baseType="variant">
      <vt:variant>
        <vt:lpstr>Title</vt:lpstr>
      </vt:variant>
      <vt:variant>
        <vt:i4>1</vt:i4>
      </vt:variant>
    </vt:vector>
  </HeadingPairs>
  <TitlesOfParts>
    <vt:vector size="1" baseType="lpstr">
      <vt:lpstr>Schools Forum Report</vt:lpstr>
    </vt:vector>
  </TitlesOfParts>
  <Company>Tower Hamlets</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 closing balances</dc:title>
  <dc:subject>
  </dc:subject>
  <dc:creator>Sara Walsingham</dc:creator>
  <cp:keywords>
  </cp:keywords>
  <dc:description>
  </dc:description>
  <cp:lastModifiedBy>Phillip Nduoyo</cp:lastModifiedBy>
  <cp:revision>4</cp:revision>
  <dcterms:created xsi:type="dcterms:W3CDTF">2024-06-05T16:01:00Z</dcterms:created>
  <dcterms:modified xsi:type="dcterms:W3CDTF">2024-07-04T08:54:00Z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MediaServiceImageTags">
    <vt:lpwstr/>
  </property>
  <property fmtid="{D5CDD505-2E9C-101B-9397-08002B2CF9AE}" pid="4" name="GrammarlyDocumentId">
    <vt:lpwstr>4aba4fd161fccaca42a0dd448e17ae89ba32a6aa963a7af7d1a78fbbf4cccdac</vt:lpwstr>
  </property>
</Properties>
</file>