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699"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060"/>
      </w:tblGrid>
      <w:tr w:rsidR="004C11CF" w:rsidRPr="002374A3" w14:paraId="7443CCC4" w14:textId="77777777" w:rsidTr="00250726">
        <w:tc>
          <w:tcPr>
            <w:tcW w:w="9108" w:type="dxa"/>
          </w:tcPr>
          <w:p w14:paraId="4A532F20" w14:textId="77777777" w:rsidR="004C11CF" w:rsidRPr="002374A3" w:rsidRDefault="0013261A" w:rsidP="002374A3">
            <w:pPr>
              <w:pStyle w:val="BodyTextIndent"/>
              <w:rPr>
                <w:b/>
                <w:sz w:val="32"/>
                <w:szCs w:val="32"/>
              </w:rPr>
            </w:pPr>
            <w:r>
              <w:rPr>
                <w:b/>
                <w:sz w:val="32"/>
                <w:szCs w:val="32"/>
              </w:rPr>
              <w:t xml:space="preserve">AGENDA ITEM </w:t>
            </w:r>
            <w:r w:rsidR="00CA43D1">
              <w:rPr>
                <w:b/>
                <w:sz w:val="32"/>
                <w:szCs w:val="32"/>
              </w:rPr>
              <w:t>5</w:t>
            </w:r>
          </w:p>
        </w:tc>
      </w:tr>
    </w:tbl>
    <w:p w14:paraId="68137BDA" w14:textId="77777777" w:rsidR="003D08B1" w:rsidRPr="004C11CF" w:rsidRDefault="003D08B1" w:rsidP="004C11CF"/>
    <w:p w14:paraId="4E8355C0" w14:textId="77777777" w:rsidR="003D08B1" w:rsidRDefault="003D08B1" w:rsidP="003D08B1">
      <w:pPr>
        <w:rPr>
          <w:b/>
        </w:rPr>
      </w:pPr>
      <w:bookmarkStart w:id="0" w:name="_GoBack"/>
      <w:bookmarkEnd w:id="0"/>
    </w:p>
    <w:p w14:paraId="1F7D94BF"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CA43D1">
        <w:rPr>
          <w:b/>
          <w:sz w:val="32"/>
          <w:szCs w:val="32"/>
        </w:rPr>
        <w:t>Centrally Retained Budgets</w:t>
      </w:r>
    </w:p>
    <w:p w14:paraId="2FC02FBD" w14:textId="77777777" w:rsidR="001E4116" w:rsidRDefault="001E4116" w:rsidP="001E4116">
      <w:pPr>
        <w:rPr>
          <w:b/>
          <w:u w:val="single"/>
        </w:rPr>
      </w:pPr>
    </w:p>
    <w:p w14:paraId="7AF44304"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Author of the paper: </w:t>
      </w:r>
      <w:r w:rsidR="00CA43D1">
        <w:rPr>
          <w:b/>
        </w:rPr>
        <w:t>Steve Worth</w:t>
      </w:r>
      <w:r w:rsidR="00862649">
        <w:rPr>
          <w:b/>
        </w:rPr>
        <w:t xml:space="preserve">  </w:t>
      </w:r>
    </w:p>
    <w:p w14:paraId="07BBFD19" w14:textId="77777777" w:rsidR="001E4116" w:rsidRDefault="001E4116" w:rsidP="001E4116"/>
    <w:p w14:paraId="51E9594F"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Officer to present the paper to </w:t>
      </w:r>
      <w:r w:rsidR="00025F55">
        <w:rPr>
          <w:b/>
        </w:rPr>
        <w:t>Schools Forum</w:t>
      </w:r>
      <w:r>
        <w:rPr>
          <w:b/>
        </w:rPr>
        <w:t xml:space="preserve">: </w:t>
      </w:r>
      <w:r w:rsidR="00CA43D1">
        <w:rPr>
          <w:b/>
        </w:rPr>
        <w:t>Steve Worth</w:t>
      </w:r>
    </w:p>
    <w:p w14:paraId="00141281" w14:textId="77777777" w:rsidR="001E4116" w:rsidRDefault="001E4116" w:rsidP="001E4116"/>
    <w:p w14:paraId="1D169A6F"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p>
    <w:p w14:paraId="072F5751" w14:textId="77777777" w:rsidR="001E4116" w:rsidRDefault="001E4116" w:rsidP="001E4116">
      <w:pPr>
        <w:spacing w:after="120"/>
        <w:rPr>
          <w:b/>
        </w:rPr>
      </w:pPr>
    </w:p>
    <w:p w14:paraId="3E356803" w14:textId="77777777" w:rsidR="001E4116" w:rsidRDefault="001E4116" w:rsidP="001E4116">
      <w:pPr>
        <w:pBdr>
          <w:top w:val="single" w:sz="4" w:space="1" w:color="auto"/>
          <w:left w:val="single" w:sz="4" w:space="1" w:color="auto"/>
          <w:bottom w:val="single" w:sz="4" w:space="1" w:color="auto"/>
          <w:right w:val="single" w:sz="4" w:space="1" w:color="auto"/>
        </w:pBdr>
        <w:spacing w:after="120"/>
        <w:rPr>
          <w:b/>
        </w:rPr>
      </w:pPr>
      <w:r>
        <w:rPr>
          <w:b/>
        </w:rPr>
        <w:t>Executive</w:t>
      </w:r>
      <w:r w:rsidRPr="008E3BB6">
        <w:rPr>
          <w:b/>
        </w:rPr>
        <w:t xml:space="preserve"> Summary</w:t>
      </w:r>
      <w:r w:rsidR="00CA43D1">
        <w:rPr>
          <w:b/>
        </w:rPr>
        <w:t>:</w:t>
      </w:r>
    </w:p>
    <w:p w14:paraId="21E40DAA" w14:textId="77777777" w:rsidR="00CA43D1" w:rsidRDefault="00CA43D1" w:rsidP="001E4116">
      <w:pPr>
        <w:pBdr>
          <w:top w:val="single" w:sz="4" w:space="1" w:color="auto"/>
          <w:left w:val="single" w:sz="4" w:space="1" w:color="auto"/>
          <w:bottom w:val="single" w:sz="4" w:space="1" w:color="auto"/>
          <w:right w:val="single" w:sz="4" w:space="1" w:color="auto"/>
        </w:pBdr>
        <w:spacing w:after="120"/>
      </w:pPr>
      <w:r w:rsidRPr="00CA43D1">
        <w:t>Following</w:t>
      </w:r>
      <w:r>
        <w:t xml:space="preserve"> earlier reports to Forum on centrally retained budgets, officers undertook to review the position in previous years.</w:t>
      </w:r>
    </w:p>
    <w:p w14:paraId="44ECECAD" w14:textId="77777777" w:rsidR="00CA43D1" w:rsidRDefault="00CA43D1" w:rsidP="001E4116">
      <w:pPr>
        <w:pBdr>
          <w:top w:val="single" w:sz="4" w:space="1" w:color="auto"/>
          <w:left w:val="single" w:sz="4" w:space="1" w:color="auto"/>
          <w:bottom w:val="single" w:sz="4" w:space="1" w:color="auto"/>
          <w:right w:val="single" w:sz="4" w:space="1" w:color="auto"/>
        </w:pBdr>
        <w:spacing w:after="120"/>
      </w:pPr>
      <w:r>
        <w:t>This report looks at the budgets agreed by Forum and, as far as possible, the actual spend against them.</w:t>
      </w:r>
    </w:p>
    <w:p w14:paraId="50409259" w14:textId="77777777" w:rsidR="00CA43D1" w:rsidRDefault="00CA43D1" w:rsidP="001E4116">
      <w:pPr>
        <w:pBdr>
          <w:top w:val="single" w:sz="4" w:space="1" w:color="auto"/>
          <w:left w:val="single" w:sz="4" w:space="1" w:color="auto"/>
          <w:bottom w:val="single" w:sz="4" w:space="1" w:color="auto"/>
          <w:right w:val="single" w:sz="4" w:space="1" w:color="auto"/>
        </w:pBdr>
        <w:spacing w:after="120"/>
      </w:pPr>
      <w:r>
        <w:t xml:space="preserve">The review was to </w:t>
      </w:r>
      <w:r w:rsidR="00E729B7">
        <w:t xml:space="preserve">provide greater transparency </w:t>
      </w:r>
      <w:proofErr w:type="gramStart"/>
      <w:r w:rsidR="00E729B7">
        <w:t>so as to</w:t>
      </w:r>
      <w:proofErr w:type="gramEnd"/>
      <w:r w:rsidR="00E729B7">
        <w:t xml:space="preserve"> </w:t>
      </w:r>
      <w:r>
        <w:t>help the Council and Forum in future decision making.</w:t>
      </w:r>
    </w:p>
    <w:p w14:paraId="583B3094" w14:textId="77777777" w:rsidR="00CA43D1" w:rsidRPr="00CA43D1" w:rsidRDefault="00CA43D1" w:rsidP="001E4116">
      <w:pPr>
        <w:pBdr>
          <w:top w:val="single" w:sz="4" w:space="1" w:color="auto"/>
          <w:left w:val="single" w:sz="4" w:space="1" w:color="auto"/>
          <w:bottom w:val="single" w:sz="4" w:space="1" w:color="auto"/>
          <w:right w:val="single" w:sz="4" w:space="1" w:color="auto"/>
        </w:pBdr>
        <w:spacing w:after="120"/>
      </w:pPr>
    </w:p>
    <w:p w14:paraId="71C38C35" w14:textId="77777777" w:rsidR="001E4116" w:rsidRDefault="001E4116" w:rsidP="001E4116"/>
    <w:p w14:paraId="75E6C36A"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Details of recommendations and timescales for decisions: </w:t>
      </w:r>
    </w:p>
    <w:p w14:paraId="30E3A495" w14:textId="77777777" w:rsidR="00254308" w:rsidRDefault="00254308" w:rsidP="007303C1">
      <w:pPr>
        <w:pBdr>
          <w:top w:val="single" w:sz="4" w:space="1" w:color="auto"/>
          <w:left w:val="single" w:sz="4" w:space="1" w:color="auto"/>
          <w:bottom w:val="single" w:sz="4" w:space="1" w:color="auto"/>
          <w:right w:val="single" w:sz="4" w:space="1" w:color="auto"/>
        </w:pBdr>
        <w:spacing w:after="120"/>
      </w:pPr>
    </w:p>
    <w:p w14:paraId="282DB156" w14:textId="77777777" w:rsidR="007303C1" w:rsidRDefault="00EE5A0F" w:rsidP="007303C1">
      <w:pPr>
        <w:pBdr>
          <w:top w:val="single" w:sz="4" w:space="1" w:color="auto"/>
          <w:left w:val="single" w:sz="4" w:space="1" w:color="auto"/>
          <w:bottom w:val="single" w:sz="4" w:space="1" w:color="auto"/>
          <w:right w:val="single" w:sz="4" w:space="1" w:color="auto"/>
        </w:pBdr>
        <w:spacing w:after="120"/>
      </w:pPr>
      <w:r w:rsidRPr="00B51BA6">
        <w:t>Schools Forum is</w:t>
      </w:r>
      <w:r w:rsidR="00CA43D1">
        <w:t xml:space="preserve"> asked to note the report.</w:t>
      </w:r>
    </w:p>
    <w:p w14:paraId="7BF8F579" w14:textId="77777777" w:rsidR="0013261A" w:rsidRDefault="0013261A" w:rsidP="0013261A">
      <w:pPr>
        <w:pBdr>
          <w:top w:val="single" w:sz="4" w:space="1" w:color="auto"/>
          <w:left w:val="single" w:sz="4" w:space="1" w:color="auto"/>
          <w:bottom w:val="single" w:sz="4" w:space="1" w:color="auto"/>
          <w:right w:val="single" w:sz="4" w:space="1" w:color="auto"/>
        </w:pBdr>
        <w:spacing w:after="120"/>
      </w:pPr>
    </w:p>
    <w:p w14:paraId="18EE1CDE" w14:textId="77777777" w:rsidR="003B3B7C" w:rsidRDefault="003B3B7C" w:rsidP="00FE0176">
      <w:pPr>
        <w:pStyle w:val="Header"/>
        <w:jc w:val="center"/>
        <w:rPr>
          <w:b/>
        </w:rPr>
      </w:pPr>
    </w:p>
    <w:p w14:paraId="01D63882" w14:textId="77777777" w:rsidR="00254308" w:rsidRDefault="00254308">
      <w:pPr>
        <w:rPr>
          <w:b/>
          <w:sz w:val="22"/>
          <w:szCs w:val="22"/>
        </w:rPr>
      </w:pPr>
      <w:r>
        <w:rPr>
          <w:b/>
          <w:sz w:val="22"/>
          <w:szCs w:val="22"/>
        </w:rPr>
        <w:br w:type="page"/>
      </w:r>
    </w:p>
    <w:p w14:paraId="12428E20" w14:textId="77777777" w:rsidR="00312A79" w:rsidRDefault="00312A79" w:rsidP="00312A79">
      <w:pPr>
        <w:pStyle w:val="ListParagraph"/>
        <w:numPr>
          <w:ilvl w:val="0"/>
          <w:numId w:val="44"/>
        </w:numPr>
        <w:rPr>
          <w:b/>
          <w:sz w:val="22"/>
          <w:szCs w:val="22"/>
        </w:rPr>
      </w:pPr>
      <w:r w:rsidRPr="00FC42BD">
        <w:rPr>
          <w:b/>
          <w:sz w:val="22"/>
          <w:szCs w:val="22"/>
        </w:rPr>
        <w:lastRenderedPageBreak/>
        <w:t>D</w:t>
      </w:r>
      <w:r w:rsidR="0020168A">
        <w:rPr>
          <w:b/>
          <w:sz w:val="22"/>
          <w:szCs w:val="22"/>
        </w:rPr>
        <w:t xml:space="preserve">edicated </w:t>
      </w:r>
      <w:r w:rsidRPr="00FC42BD">
        <w:rPr>
          <w:b/>
          <w:sz w:val="22"/>
          <w:szCs w:val="22"/>
        </w:rPr>
        <w:t>S</w:t>
      </w:r>
      <w:r w:rsidR="0020168A">
        <w:rPr>
          <w:b/>
          <w:sz w:val="22"/>
          <w:szCs w:val="22"/>
        </w:rPr>
        <w:t xml:space="preserve">chools </w:t>
      </w:r>
      <w:r w:rsidRPr="00FC42BD">
        <w:rPr>
          <w:b/>
          <w:sz w:val="22"/>
          <w:szCs w:val="22"/>
        </w:rPr>
        <w:t>G</w:t>
      </w:r>
      <w:r w:rsidR="0020168A">
        <w:rPr>
          <w:b/>
          <w:sz w:val="22"/>
          <w:szCs w:val="22"/>
        </w:rPr>
        <w:t>rant (DSG)</w:t>
      </w:r>
      <w:r w:rsidRPr="00FC42BD">
        <w:rPr>
          <w:b/>
          <w:sz w:val="22"/>
          <w:szCs w:val="22"/>
        </w:rPr>
        <w:t xml:space="preserve"> Centrally Retained Budgets.</w:t>
      </w:r>
    </w:p>
    <w:p w14:paraId="1E530C44" w14:textId="77777777" w:rsidR="00312A79" w:rsidRDefault="00312A79" w:rsidP="00312A79">
      <w:pPr>
        <w:pStyle w:val="ListParagraph"/>
        <w:ind w:left="360"/>
        <w:rPr>
          <w:sz w:val="22"/>
          <w:szCs w:val="22"/>
        </w:rPr>
      </w:pPr>
    </w:p>
    <w:p w14:paraId="730A3E61" w14:textId="77777777" w:rsidR="00B1190A" w:rsidRPr="00B1190A" w:rsidRDefault="00312A79" w:rsidP="00312A79">
      <w:pPr>
        <w:pStyle w:val="ListParagraph"/>
        <w:numPr>
          <w:ilvl w:val="1"/>
          <w:numId w:val="44"/>
        </w:numPr>
        <w:rPr>
          <w:b/>
          <w:sz w:val="22"/>
          <w:szCs w:val="22"/>
        </w:rPr>
      </w:pPr>
      <w:r>
        <w:rPr>
          <w:sz w:val="22"/>
          <w:szCs w:val="22"/>
        </w:rPr>
        <w:t xml:space="preserve">This report </w:t>
      </w:r>
      <w:r w:rsidR="00B762DC">
        <w:rPr>
          <w:sz w:val="22"/>
          <w:szCs w:val="22"/>
        </w:rPr>
        <w:t xml:space="preserve">and its appendices </w:t>
      </w:r>
      <w:r>
        <w:rPr>
          <w:sz w:val="22"/>
          <w:szCs w:val="22"/>
        </w:rPr>
        <w:t>set out the statutory position on what can</w:t>
      </w:r>
      <w:r w:rsidR="00B762DC">
        <w:rPr>
          <w:sz w:val="22"/>
          <w:szCs w:val="22"/>
        </w:rPr>
        <w:t xml:space="preserve"> be retained centrally and look</w:t>
      </w:r>
      <w:r>
        <w:rPr>
          <w:sz w:val="22"/>
          <w:szCs w:val="22"/>
        </w:rPr>
        <w:t xml:space="preserve"> at what budgets Forum has agreed to reta</w:t>
      </w:r>
      <w:r w:rsidR="00B1190A">
        <w:rPr>
          <w:sz w:val="22"/>
          <w:szCs w:val="22"/>
        </w:rPr>
        <w:t>in over the last three</w:t>
      </w:r>
      <w:r>
        <w:rPr>
          <w:sz w:val="22"/>
          <w:szCs w:val="22"/>
        </w:rPr>
        <w:t xml:space="preserve"> years and, as far as possible, what has been spent against them.</w:t>
      </w:r>
    </w:p>
    <w:p w14:paraId="6B07F97C" w14:textId="77777777" w:rsidR="00B1190A" w:rsidRPr="00B1190A" w:rsidRDefault="00B1190A" w:rsidP="00B1190A">
      <w:pPr>
        <w:pStyle w:val="ListParagraph"/>
        <w:ind w:left="792"/>
        <w:rPr>
          <w:b/>
          <w:sz w:val="22"/>
          <w:szCs w:val="22"/>
        </w:rPr>
      </w:pPr>
    </w:p>
    <w:p w14:paraId="2BFAF9C4" w14:textId="77777777" w:rsidR="00B762DC" w:rsidRPr="00B762DC" w:rsidRDefault="00B1190A" w:rsidP="00312A79">
      <w:pPr>
        <w:pStyle w:val="ListParagraph"/>
        <w:numPr>
          <w:ilvl w:val="1"/>
          <w:numId w:val="44"/>
        </w:numPr>
        <w:rPr>
          <w:b/>
          <w:sz w:val="22"/>
          <w:szCs w:val="22"/>
        </w:rPr>
      </w:pPr>
      <w:r>
        <w:rPr>
          <w:sz w:val="22"/>
          <w:szCs w:val="22"/>
        </w:rPr>
        <w:t>The review is to try to bring greater transparency to the process and to reassess as part of the budget setting process for 2020-21 which budgets should remain and which should be redirecte</w:t>
      </w:r>
      <w:r w:rsidR="00B762DC">
        <w:rPr>
          <w:sz w:val="22"/>
          <w:szCs w:val="22"/>
        </w:rPr>
        <w:t>d.</w:t>
      </w:r>
    </w:p>
    <w:p w14:paraId="564CA773" w14:textId="77777777" w:rsidR="00B762DC" w:rsidRPr="00B762DC" w:rsidRDefault="00B762DC" w:rsidP="00B762DC">
      <w:pPr>
        <w:pStyle w:val="ListParagraph"/>
        <w:rPr>
          <w:sz w:val="22"/>
          <w:szCs w:val="22"/>
        </w:rPr>
      </w:pPr>
    </w:p>
    <w:p w14:paraId="55C0B90C" w14:textId="77777777" w:rsidR="00B762DC" w:rsidRPr="00B762DC" w:rsidRDefault="00B1190A" w:rsidP="00312A79">
      <w:pPr>
        <w:pStyle w:val="ListParagraph"/>
        <w:numPr>
          <w:ilvl w:val="1"/>
          <w:numId w:val="44"/>
        </w:numPr>
        <w:rPr>
          <w:b/>
          <w:sz w:val="22"/>
          <w:szCs w:val="22"/>
        </w:rPr>
      </w:pPr>
      <w:r>
        <w:rPr>
          <w:sz w:val="22"/>
          <w:szCs w:val="22"/>
        </w:rPr>
        <w:t>Greater transparency was provided in the closing positi</w:t>
      </w:r>
      <w:r w:rsidR="006F2F2E">
        <w:rPr>
          <w:sz w:val="22"/>
          <w:szCs w:val="22"/>
        </w:rPr>
        <w:t>on for 2018-19 when the outturn</w:t>
      </w:r>
      <w:r>
        <w:rPr>
          <w:sz w:val="22"/>
          <w:szCs w:val="22"/>
        </w:rPr>
        <w:t xml:space="preserve"> on each budget </w:t>
      </w:r>
      <w:r w:rsidR="006F2F2E">
        <w:rPr>
          <w:sz w:val="22"/>
          <w:szCs w:val="22"/>
        </w:rPr>
        <w:t xml:space="preserve">agreed by Forum </w:t>
      </w:r>
      <w:r>
        <w:rPr>
          <w:sz w:val="22"/>
          <w:szCs w:val="22"/>
        </w:rPr>
        <w:t xml:space="preserve">was separately identified. Applying this to earlier years identified some issues where spend was not correctly </w:t>
      </w:r>
      <w:r w:rsidR="00CD6D80">
        <w:rPr>
          <w:sz w:val="22"/>
          <w:szCs w:val="22"/>
        </w:rPr>
        <w:t>allocated against budgets and the positions set out in</w:t>
      </w:r>
      <w:r w:rsidR="00254308">
        <w:rPr>
          <w:sz w:val="22"/>
          <w:szCs w:val="22"/>
        </w:rPr>
        <w:t xml:space="preserve"> Appendix 1 for 2017-18 and 2016-17</w:t>
      </w:r>
      <w:r w:rsidR="00CD6D80">
        <w:rPr>
          <w:sz w:val="22"/>
          <w:szCs w:val="22"/>
        </w:rPr>
        <w:t xml:space="preserve"> </w:t>
      </w:r>
      <w:r w:rsidR="00B762DC">
        <w:rPr>
          <w:sz w:val="22"/>
          <w:szCs w:val="22"/>
        </w:rPr>
        <w:t>will</w:t>
      </w:r>
      <w:r w:rsidR="00CD6D80">
        <w:rPr>
          <w:sz w:val="22"/>
          <w:szCs w:val="22"/>
        </w:rPr>
        <w:t xml:space="preserve"> contain err</w:t>
      </w:r>
      <w:r w:rsidR="00B762DC">
        <w:rPr>
          <w:sz w:val="22"/>
          <w:szCs w:val="22"/>
        </w:rPr>
        <w:t>ors of omission and commission.</w:t>
      </w:r>
    </w:p>
    <w:p w14:paraId="5D87EC21" w14:textId="77777777" w:rsidR="00B762DC" w:rsidRPr="00B762DC" w:rsidRDefault="00B762DC" w:rsidP="00B762DC">
      <w:pPr>
        <w:pStyle w:val="ListParagraph"/>
        <w:rPr>
          <w:sz w:val="22"/>
          <w:szCs w:val="22"/>
        </w:rPr>
      </w:pPr>
    </w:p>
    <w:p w14:paraId="427AA7F9" w14:textId="77777777" w:rsidR="004B451C" w:rsidRPr="00D26E78" w:rsidRDefault="00CD6D80" w:rsidP="00312A79">
      <w:pPr>
        <w:pStyle w:val="ListParagraph"/>
        <w:numPr>
          <w:ilvl w:val="1"/>
          <w:numId w:val="44"/>
        </w:numPr>
        <w:rPr>
          <w:b/>
          <w:sz w:val="22"/>
          <w:szCs w:val="22"/>
        </w:rPr>
      </w:pPr>
      <w:r>
        <w:rPr>
          <w:sz w:val="22"/>
          <w:szCs w:val="22"/>
        </w:rPr>
        <w:t>For 2019-20 and future years</w:t>
      </w:r>
      <w:r w:rsidR="004B451C">
        <w:rPr>
          <w:sz w:val="22"/>
          <w:szCs w:val="22"/>
        </w:rPr>
        <w:t>,</w:t>
      </w:r>
      <w:r>
        <w:rPr>
          <w:sz w:val="22"/>
          <w:szCs w:val="22"/>
        </w:rPr>
        <w:t xml:space="preserve"> the School Finance Team</w:t>
      </w:r>
      <w:r w:rsidR="004B451C">
        <w:rPr>
          <w:sz w:val="22"/>
          <w:szCs w:val="22"/>
        </w:rPr>
        <w:t xml:space="preserve"> is working to ensure greater clarity around the use of budget codes and the timely allocation and reallocation of costs.</w:t>
      </w:r>
    </w:p>
    <w:p w14:paraId="768ACA34" w14:textId="77777777" w:rsidR="00D26E78" w:rsidRPr="00D26E78" w:rsidRDefault="00D26E78" w:rsidP="00D26E78">
      <w:pPr>
        <w:pStyle w:val="ListParagraph"/>
        <w:rPr>
          <w:b/>
          <w:sz w:val="22"/>
          <w:szCs w:val="22"/>
        </w:rPr>
      </w:pPr>
    </w:p>
    <w:p w14:paraId="457C296C" w14:textId="77777777" w:rsidR="00D26E78" w:rsidRPr="004B451C" w:rsidRDefault="00D26E78" w:rsidP="00312A79">
      <w:pPr>
        <w:pStyle w:val="ListParagraph"/>
        <w:numPr>
          <w:ilvl w:val="1"/>
          <w:numId w:val="44"/>
        </w:numPr>
        <w:rPr>
          <w:b/>
          <w:sz w:val="22"/>
          <w:szCs w:val="22"/>
        </w:rPr>
      </w:pPr>
      <w:r>
        <w:rPr>
          <w:sz w:val="22"/>
          <w:szCs w:val="22"/>
        </w:rPr>
        <w:t>It should be noted that where a ‘contribution’ is agreed the budgeted and actual spend should be the same.</w:t>
      </w:r>
    </w:p>
    <w:p w14:paraId="474DE9E1" w14:textId="77777777" w:rsidR="004B451C" w:rsidRPr="004B451C" w:rsidRDefault="004B451C" w:rsidP="004B451C">
      <w:pPr>
        <w:pStyle w:val="ListParagraph"/>
        <w:rPr>
          <w:sz w:val="22"/>
          <w:szCs w:val="22"/>
        </w:rPr>
      </w:pPr>
    </w:p>
    <w:p w14:paraId="131227D2" w14:textId="77777777" w:rsidR="00D825DD" w:rsidRDefault="00D825DD">
      <w:pPr>
        <w:rPr>
          <w:b/>
          <w:sz w:val="22"/>
          <w:szCs w:val="22"/>
        </w:rPr>
      </w:pPr>
      <w:r>
        <w:rPr>
          <w:b/>
          <w:sz w:val="22"/>
          <w:szCs w:val="22"/>
        </w:rPr>
        <w:br w:type="page"/>
      </w:r>
    </w:p>
    <w:p w14:paraId="3A8E56EA" w14:textId="77777777" w:rsidR="00D825DD" w:rsidRDefault="00D825DD" w:rsidP="00D825DD">
      <w:pPr>
        <w:rPr>
          <w:b/>
          <w:sz w:val="22"/>
          <w:szCs w:val="22"/>
        </w:rPr>
      </w:pPr>
      <w:r>
        <w:rPr>
          <w:b/>
          <w:sz w:val="22"/>
          <w:szCs w:val="22"/>
        </w:rPr>
        <w:lastRenderedPageBreak/>
        <w:t>Appendix</w:t>
      </w:r>
      <w:r w:rsidR="002B5651">
        <w:rPr>
          <w:b/>
          <w:sz w:val="22"/>
          <w:szCs w:val="22"/>
        </w:rPr>
        <w:t xml:space="preserve"> </w:t>
      </w:r>
      <w:r>
        <w:rPr>
          <w:b/>
          <w:sz w:val="22"/>
          <w:szCs w:val="22"/>
        </w:rPr>
        <w:t>2</w:t>
      </w:r>
      <w:r w:rsidR="002B5651">
        <w:rPr>
          <w:b/>
          <w:sz w:val="22"/>
          <w:szCs w:val="22"/>
        </w:rPr>
        <w:t>.</w:t>
      </w:r>
      <w:r>
        <w:rPr>
          <w:b/>
          <w:sz w:val="22"/>
          <w:szCs w:val="22"/>
        </w:rPr>
        <w:t xml:space="preserve"> </w:t>
      </w:r>
      <w:r w:rsidR="002B5651">
        <w:rPr>
          <w:b/>
          <w:sz w:val="22"/>
          <w:szCs w:val="22"/>
        </w:rPr>
        <w:t xml:space="preserve">Centrally retained funded allowed by funding block. </w:t>
      </w:r>
    </w:p>
    <w:p w14:paraId="01A92E9F" w14:textId="77777777" w:rsidR="00B762DC" w:rsidRPr="00D825DD" w:rsidRDefault="00B762DC" w:rsidP="00D825DD">
      <w:pPr>
        <w:rPr>
          <w:b/>
          <w:sz w:val="22"/>
          <w:szCs w:val="22"/>
        </w:rPr>
      </w:pPr>
    </w:p>
    <w:p w14:paraId="526E348C" w14:textId="77777777" w:rsidR="00B762DC" w:rsidRPr="00B762DC" w:rsidRDefault="00B762DC" w:rsidP="00B762DC">
      <w:pPr>
        <w:rPr>
          <w:sz w:val="22"/>
          <w:szCs w:val="22"/>
        </w:rPr>
      </w:pPr>
      <w:r w:rsidRPr="00B762DC">
        <w:rPr>
          <w:sz w:val="22"/>
          <w:szCs w:val="22"/>
        </w:rPr>
        <w:t>The DSG is split into four funding blocks:</w:t>
      </w:r>
    </w:p>
    <w:p w14:paraId="68E2ADD5" w14:textId="77777777" w:rsidR="00B762DC" w:rsidRPr="00B762DC" w:rsidRDefault="00B762DC" w:rsidP="00B762DC">
      <w:pPr>
        <w:pStyle w:val="ListParagraph"/>
        <w:ind w:left="360"/>
        <w:rPr>
          <w:sz w:val="22"/>
          <w:szCs w:val="22"/>
        </w:rPr>
      </w:pPr>
    </w:p>
    <w:p w14:paraId="5B33BAEA" w14:textId="77777777" w:rsidR="00B762DC" w:rsidRPr="00B762DC" w:rsidRDefault="00B762DC" w:rsidP="00B762DC">
      <w:pPr>
        <w:pStyle w:val="ListParagraph"/>
        <w:numPr>
          <w:ilvl w:val="0"/>
          <w:numId w:val="48"/>
        </w:numPr>
        <w:rPr>
          <w:sz w:val="22"/>
          <w:szCs w:val="22"/>
        </w:rPr>
      </w:pPr>
      <w:r w:rsidRPr="00B762DC">
        <w:rPr>
          <w:sz w:val="22"/>
          <w:szCs w:val="22"/>
        </w:rPr>
        <w:t>The Schools Block (SB).</w:t>
      </w:r>
    </w:p>
    <w:p w14:paraId="6A968A7B" w14:textId="77777777" w:rsidR="00B762DC" w:rsidRPr="00B762DC" w:rsidRDefault="00B762DC" w:rsidP="00B762DC">
      <w:pPr>
        <w:pStyle w:val="ListParagraph"/>
        <w:numPr>
          <w:ilvl w:val="0"/>
          <w:numId w:val="48"/>
        </w:numPr>
        <w:rPr>
          <w:sz w:val="22"/>
          <w:szCs w:val="22"/>
        </w:rPr>
      </w:pPr>
      <w:r w:rsidRPr="00B762DC">
        <w:rPr>
          <w:sz w:val="22"/>
          <w:szCs w:val="22"/>
        </w:rPr>
        <w:t>The Central Schools Services Block (CSSB).</w:t>
      </w:r>
    </w:p>
    <w:p w14:paraId="2C4B8AF8" w14:textId="77777777" w:rsidR="00B762DC" w:rsidRPr="00B762DC" w:rsidRDefault="00B762DC" w:rsidP="00B762DC">
      <w:pPr>
        <w:pStyle w:val="ListParagraph"/>
        <w:numPr>
          <w:ilvl w:val="0"/>
          <w:numId w:val="48"/>
        </w:numPr>
        <w:rPr>
          <w:sz w:val="22"/>
          <w:szCs w:val="22"/>
        </w:rPr>
      </w:pPr>
      <w:r w:rsidRPr="00B762DC">
        <w:rPr>
          <w:sz w:val="22"/>
          <w:szCs w:val="22"/>
        </w:rPr>
        <w:t>The Early Years Block (EYB).</w:t>
      </w:r>
    </w:p>
    <w:p w14:paraId="691F105A" w14:textId="77777777" w:rsidR="00B762DC" w:rsidRPr="00B762DC" w:rsidRDefault="00B762DC" w:rsidP="00B762DC">
      <w:pPr>
        <w:pStyle w:val="ListParagraph"/>
        <w:numPr>
          <w:ilvl w:val="0"/>
          <w:numId w:val="48"/>
        </w:numPr>
        <w:rPr>
          <w:sz w:val="22"/>
          <w:szCs w:val="22"/>
        </w:rPr>
      </w:pPr>
      <w:r w:rsidRPr="00B762DC">
        <w:rPr>
          <w:sz w:val="22"/>
          <w:szCs w:val="22"/>
        </w:rPr>
        <w:t>The High Needs Block (HNB).</w:t>
      </w:r>
    </w:p>
    <w:p w14:paraId="67C338BD" w14:textId="77777777" w:rsidR="00B762DC" w:rsidRPr="00B762DC" w:rsidRDefault="00B762DC" w:rsidP="00B762DC">
      <w:pPr>
        <w:pStyle w:val="ListParagraph"/>
        <w:ind w:left="360"/>
        <w:rPr>
          <w:sz w:val="22"/>
          <w:szCs w:val="22"/>
        </w:rPr>
      </w:pPr>
    </w:p>
    <w:p w14:paraId="4764A804" w14:textId="77777777" w:rsidR="00B762DC" w:rsidRDefault="00B762DC" w:rsidP="00B762DC">
      <w:pPr>
        <w:rPr>
          <w:sz w:val="22"/>
          <w:szCs w:val="22"/>
        </w:rPr>
      </w:pPr>
      <w:r w:rsidRPr="00B762DC">
        <w:rPr>
          <w:sz w:val="22"/>
          <w:szCs w:val="22"/>
        </w:rPr>
        <w:t>The type of expenditure that can be centrally retained is set out in regulations for each block.</w:t>
      </w:r>
    </w:p>
    <w:p w14:paraId="7B8E76DE" w14:textId="77777777" w:rsidR="00B762DC" w:rsidRDefault="00B762DC" w:rsidP="00B762DC">
      <w:pPr>
        <w:rPr>
          <w:sz w:val="22"/>
          <w:szCs w:val="22"/>
        </w:rPr>
      </w:pPr>
    </w:p>
    <w:p w14:paraId="2373258D" w14:textId="77777777" w:rsidR="00B762DC" w:rsidRPr="00B762DC" w:rsidRDefault="00B762DC" w:rsidP="00B762DC">
      <w:pPr>
        <w:rPr>
          <w:sz w:val="22"/>
          <w:szCs w:val="22"/>
        </w:rPr>
      </w:pPr>
      <w:r w:rsidRPr="00B762DC">
        <w:rPr>
          <w:sz w:val="22"/>
          <w:szCs w:val="22"/>
        </w:rPr>
        <w:t xml:space="preserve">Each funding block is determined by a national funding formula and in the first three blocks the Schools Forum has the power to agree what and how much is </w:t>
      </w:r>
      <w:r>
        <w:rPr>
          <w:sz w:val="22"/>
          <w:szCs w:val="22"/>
        </w:rPr>
        <w:t xml:space="preserve">retained. </w:t>
      </w:r>
    </w:p>
    <w:p w14:paraId="1374524A" w14:textId="77777777" w:rsidR="00312A79" w:rsidRPr="00B762DC" w:rsidRDefault="00312A79" w:rsidP="00B762DC">
      <w:pPr>
        <w:rPr>
          <w:b/>
          <w:sz w:val="22"/>
          <w:szCs w:val="22"/>
        </w:rPr>
      </w:pPr>
    </w:p>
    <w:p w14:paraId="70859FF8" w14:textId="77777777" w:rsidR="00312A79" w:rsidRDefault="00312A79" w:rsidP="002B5651">
      <w:pPr>
        <w:pStyle w:val="ListParagraph"/>
        <w:numPr>
          <w:ilvl w:val="0"/>
          <w:numId w:val="46"/>
        </w:numPr>
        <w:rPr>
          <w:b/>
          <w:sz w:val="22"/>
          <w:szCs w:val="22"/>
        </w:rPr>
      </w:pPr>
      <w:r w:rsidRPr="002B5651">
        <w:rPr>
          <w:b/>
          <w:sz w:val="22"/>
          <w:szCs w:val="22"/>
        </w:rPr>
        <w:t>Schools Block.</w:t>
      </w:r>
    </w:p>
    <w:p w14:paraId="5156EB0C" w14:textId="77777777" w:rsidR="002B5651" w:rsidRPr="002B5651" w:rsidRDefault="002B5651" w:rsidP="002B5651">
      <w:pPr>
        <w:rPr>
          <w:b/>
          <w:sz w:val="22"/>
          <w:szCs w:val="22"/>
        </w:rPr>
      </w:pPr>
    </w:p>
    <w:p w14:paraId="0E84123D" w14:textId="77777777" w:rsidR="00312A79" w:rsidRDefault="00312A79" w:rsidP="00312A79">
      <w:pPr>
        <w:pStyle w:val="ListParagraph"/>
        <w:numPr>
          <w:ilvl w:val="1"/>
          <w:numId w:val="46"/>
        </w:numPr>
        <w:rPr>
          <w:sz w:val="22"/>
          <w:szCs w:val="22"/>
        </w:rPr>
      </w:pPr>
      <w:r w:rsidRPr="002B5651">
        <w:rPr>
          <w:sz w:val="22"/>
          <w:szCs w:val="22"/>
        </w:rPr>
        <w:t xml:space="preserve">Regulations allow Local Authorities to top-slice two contingencies that should eventually be passed to schools. </w:t>
      </w:r>
      <w:r w:rsidR="002B5651" w:rsidRPr="002B5651">
        <w:rPr>
          <w:sz w:val="22"/>
          <w:szCs w:val="22"/>
        </w:rPr>
        <w:t>These are the Growth Fund, r</w:t>
      </w:r>
      <w:r w:rsidRPr="002B5651">
        <w:rPr>
          <w:sz w:val="22"/>
          <w:szCs w:val="22"/>
        </w:rPr>
        <w:t>etained to provide additional funding to schools undergoing planned exp</w:t>
      </w:r>
      <w:r w:rsidR="002B5651">
        <w:rPr>
          <w:sz w:val="22"/>
          <w:szCs w:val="22"/>
        </w:rPr>
        <w:t xml:space="preserve">ansion </w:t>
      </w:r>
      <w:r w:rsidR="002B5651" w:rsidRPr="002B5651">
        <w:rPr>
          <w:sz w:val="22"/>
          <w:szCs w:val="22"/>
        </w:rPr>
        <w:t>and t</w:t>
      </w:r>
      <w:r w:rsidRPr="002B5651">
        <w:rPr>
          <w:sz w:val="22"/>
          <w:szCs w:val="22"/>
        </w:rPr>
        <w:t>h</w:t>
      </w:r>
      <w:r w:rsidR="002B5651" w:rsidRPr="002B5651">
        <w:rPr>
          <w:sz w:val="22"/>
          <w:szCs w:val="22"/>
        </w:rPr>
        <w:t xml:space="preserve">e </w:t>
      </w:r>
      <w:r w:rsidRPr="002B5651">
        <w:rPr>
          <w:sz w:val="22"/>
          <w:szCs w:val="22"/>
        </w:rPr>
        <w:t xml:space="preserve">Falling Rolls Fund, which protects good and outstanding schools with temporary falling rolls. </w:t>
      </w:r>
    </w:p>
    <w:p w14:paraId="7BBC70B1" w14:textId="77777777" w:rsidR="002B5651" w:rsidRPr="002B5651" w:rsidRDefault="002B5651" w:rsidP="002B5651">
      <w:pPr>
        <w:pStyle w:val="ListParagraph"/>
        <w:ind w:left="792"/>
        <w:rPr>
          <w:sz w:val="22"/>
          <w:szCs w:val="22"/>
        </w:rPr>
      </w:pPr>
    </w:p>
    <w:p w14:paraId="073C41E5" w14:textId="77777777" w:rsidR="00312A79" w:rsidRPr="00306B42" w:rsidRDefault="00312A79" w:rsidP="002B5651">
      <w:pPr>
        <w:pStyle w:val="ListParagraph"/>
        <w:numPr>
          <w:ilvl w:val="1"/>
          <w:numId w:val="46"/>
        </w:numPr>
        <w:rPr>
          <w:b/>
          <w:sz w:val="22"/>
          <w:szCs w:val="22"/>
        </w:rPr>
      </w:pPr>
      <w:r>
        <w:rPr>
          <w:sz w:val="22"/>
          <w:szCs w:val="22"/>
        </w:rPr>
        <w:t xml:space="preserve">In </w:t>
      </w:r>
      <w:proofErr w:type="gramStart"/>
      <w:r>
        <w:rPr>
          <w:sz w:val="22"/>
          <w:szCs w:val="22"/>
        </w:rPr>
        <w:t>addition</w:t>
      </w:r>
      <w:proofErr w:type="gramEnd"/>
      <w:r>
        <w:rPr>
          <w:sz w:val="22"/>
          <w:szCs w:val="22"/>
        </w:rPr>
        <w:t xml:space="preserve"> LAs can ask forums to de-delegate funding from maintained schools to create budgets for a limited number of central services. These fall into three groups.</w:t>
      </w:r>
    </w:p>
    <w:p w14:paraId="2DB8B0F4" w14:textId="77777777" w:rsidR="00312A79" w:rsidRPr="00306B42" w:rsidRDefault="00312A79" w:rsidP="00312A79">
      <w:pPr>
        <w:pStyle w:val="ListParagraph"/>
        <w:rPr>
          <w:b/>
          <w:sz w:val="22"/>
          <w:szCs w:val="22"/>
        </w:rPr>
      </w:pPr>
    </w:p>
    <w:p w14:paraId="2169546A" w14:textId="77777777" w:rsidR="00670279" w:rsidRPr="00670279" w:rsidRDefault="00312A79" w:rsidP="00670279">
      <w:pPr>
        <w:pStyle w:val="ListParagraph"/>
        <w:numPr>
          <w:ilvl w:val="3"/>
          <w:numId w:val="46"/>
        </w:numPr>
        <w:ind w:hanging="310"/>
        <w:rPr>
          <w:sz w:val="22"/>
          <w:szCs w:val="22"/>
        </w:rPr>
      </w:pPr>
      <w:r>
        <w:rPr>
          <w:sz w:val="22"/>
          <w:szCs w:val="22"/>
        </w:rPr>
        <w:t>Funding for central s</w:t>
      </w:r>
      <w:r w:rsidRPr="00306B42">
        <w:rPr>
          <w:sz w:val="22"/>
          <w:szCs w:val="22"/>
        </w:rPr>
        <w:t>ervices delegated</w:t>
      </w:r>
      <w:r>
        <w:rPr>
          <w:sz w:val="22"/>
          <w:szCs w:val="22"/>
        </w:rPr>
        <w:t xml:space="preserve"> to schools in 2013 (primary and secondary schools only). The</w:t>
      </w:r>
      <w:r w:rsidR="00670279">
        <w:rPr>
          <w:sz w:val="22"/>
          <w:szCs w:val="22"/>
        </w:rPr>
        <w:t xml:space="preserve"> services for which de-delegation is allowed are set out below:</w:t>
      </w:r>
    </w:p>
    <w:p w14:paraId="60D81CD4" w14:textId="77777777" w:rsidR="00670279" w:rsidRPr="00670279" w:rsidRDefault="00670279" w:rsidP="00670279">
      <w:pPr>
        <w:pStyle w:val="ListParagraph"/>
        <w:ind w:left="1728"/>
        <w:rPr>
          <w:b/>
          <w:sz w:val="22"/>
          <w:szCs w:val="22"/>
        </w:rPr>
      </w:pPr>
    </w:p>
    <w:p w14:paraId="5DD6E54E" w14:textId="77777777" w:rsidR="00670279" w:rsidRPr="00670279" w:rsidRDefault="00670279" w:rsidP="00670279">
      <w:pPr>
        <w:pStyle w:val="ListParagraph"/>
        <w:numPr>
          <w:ilvl w:val="2"/>
          <w:numId w:val="47"/>
        </w:numPr>
        <w:rPr>
          <w:sz w:val="22"/>
          <w:szCs w:val="22"/>
        </w:rPr>
      </w:pPr>
      <w:r w:rsidRPr="00670279">
        <w:rPr>
          <w:sz w:val="22"/>
          <w:szCs w:val="22"/>
        </w:rPr>
        <w:t>Contingencies (including schools in financial difficulties and deficits of closing schools)</w:t>
      </w:r>
    </w:p>
    <w:p w14:paraId="1827B795" w14:textId="77777777" w:rsidR="00670279" w:rsidRPr="00670279" w:rsidRDefault="00670279" w:rsidP="00670279">
      <w:pPr>
        <w:pStyle w:val="ListParagraph"/>
        <w:numPr>
          <w:ilvl w:val="2"/>
          <w:numId w:val="47"/>
        </w:numPr>
        <w:rPr>
          <w:sz w:val="22"/>
          <w:szCs w:val="22"/>
        </w:rPr>
      </w:pPr>
      <w:r w:rsidRPr="00670279">
        <w:rPr>
          <w:sz w:val="22"/>
          <w:szCs w:val="22"/>
        </w:rPr>
        <w:t>Behaviour support services</w:t>
      </w:r>
    </w:p>
    <w:p w14:paraId="46BA853A" w14:textId="77777777" w:rsidR="00670279" w:rsidRPr="00670279" w:rsidRDefault="00670279" w:rsidP="00670279">
      <w:pPr>
        <w:pStyle w:val="ListParagraph"/>
        <w:numPr>
          <w:ilvl w:val="2"/>
          <w:numId w:val="47"/>
        </w:numPr>
        <w:rPr>
          <w:sz w:val="22"/>
          <w:szCs w:val="22"/>
        </w:rPr>
      </w:pPr>
      <w:r w:rsidRPr="00670279">
        <w:rPr>
          <w:sz w:val="22"/>
          <w:szCs w:val="22"/>
        </w:rPr>
        <w:t>Support to underperforming ethnic groups and bilingual learners</w:t>
      </w:r>
    </w:p>
    <w:p w14:paraId="7C95E173" w14:textId="77777777" w:rsidR="00670279" w:rsidRPr="00670279" w:rsidRDefault="00670279" w:rsidP="00670279">
      <w:pPr>
        <w:pStyle w:val="ListParagraph"/>
        <w:numPr>
          <w:ilvl w:val="2"/>
          <w:numId w:val="47"/>
        </w:numPr>
        <w:rPr>
          <w:sz w:val="22"/>
          <w:szCs w:val="22"/>
        </w:rPr>
      </w:pPr>
      <w:r w:rsidRPr="00670279">
        <w:rPr>
          <w:sz w:val="22"/>
          <w:szCs w:val="22"/>
        </w:rPr>
        <w:t>Checking free school meals eligibility</w:t>
      </w:r>
    </w:p>
    <w:p w14:paraId="1CF701C0" w14:textId="77777777" w:rsidR="00670279" w:rsidRPr="00670279" w:rsidRDefault="00670279" w:rsidP="00670279">
      <w:pPr>
        <w:pStyle w:val="ListParagraph"/>
        <w:numPr>
          <w:ilvl w:val="2"/>
          <w:numId w:val="47"/>
        </w:numPr>
        <w:rPr>
          <w:sz w:val="22"/>
          <w:szCs w:val="22"/>
        </w:rPr>
      </w:pPr>
      <w:r w:rsidRPr="00670279">
        <w:rPr>
          <w:sz w:val="22"/>
          <w:szCs w:val="22"/>
        </w:rPr>
        <w:t>Insurance</w:t>
      </w:r>
    </w:p>
    <w:p w14:paraId="4B0AD7B9" w14:textId="77777777" w:rsidR="00670279" w:rsidRPr="00670279" w:rsidRDefault="00670279" w:rsidP="00670279">
      <w:pPr>
        <w:pStyle w:val="ListParagraph"/>
        <w:numPr>
          <w:ilvl w:val="2"/>
          <w:numId w:val="47"/>
        </w:numPr>
        <w:rPr>
          <w:sz w:val="22"/>
          <w:szCs w:val="22"/>
        </w:rPr>
      </w:pPr>
      <w:r w:rsidRPr="00670279">
        <w:rPr>
          <w:sz w:val="22"/>
          <w:szCs w:val="22"/>
        </w:rPr>
        <w:t>Museum and library services</w:t>
      </w:r>
    </w:p>
    <w:p w14:paraId="7A02BE27" w14:textId="77777777" w:rsidR="00670279" w:rsidRPr="00670279" w:rsidRDefault="00670279" w:rsidP="00670279">
      <w:pPr>
        <w:pStyle w:val="ListParagraph"/>
        <w:numPr>
          <w:ilvl w:val="2"/>
          <w:numId w:val="47"/>
        </w:numPr>
        <w:rPr>
          <w:sz w:val="22"/>
          <w:szCs w:val="22"/>
        </w:rPr>
      </w:pPr>
      <w:r w:rsidRPr="00670279">
        <w:rPr>
          <w:sz w:val="22"/>
          <w:szCs w:val="22"/>
        </w:rPr>
        <w:t>Staff costs supply cover (for example, long-term sickness, maternity, trade union and public duties)</w:t>
      </w:r>
    </w:p>
    <w:p w14:paraId="5645D83A" w14:textId="77777777" w:rsidR="00670279" w:rsidRPr="00670279" w:rsidRDefault="00670279" w:rsidP="00670279">
      <w:pPr>
        <w:pStyle w:val="ListParagraph"/>
        <w:numPr>
          <w:ilvl w:val="2"/>
          <w:numId w:val="47"/>
        </w:numPr>
        <w:rPr>
          <w:sz w:val="22"/>
          <w:szCs w:val="22"/>
        </w:rPr>
      </w:pPr>
      <w:r w:rsidRPr="00670279">
        <w:rPr>
          <w:sz w:val="22"/>
          <w:szCs w:val="22"/>
        </w:rPr>
        <w:t>Licences and subscriptions (other than ESFA arranged).</w:t>
      </w:r>
    </w:p>
    <w:p w14:paraId="5084FEDD" w14:textId="77777777" w:rsidR="00670279" w:rsidRPr="002B5651" w:rsidRDefault="00670279" w:rsidP="00670279">
      <w:pPr>
        <w:pStyle w:val="ListParagraph"/>
        <w:ind w:left="1728"/>
        <w:rPr>
          <w:sz w:val="22"/>
          <w:szCs w:val="22"/>
        </w:rPr>
      </w:pPr>
    </w:p>
    <w:p w14:paraId="19323D4D" w14:textId="77777777" w:rsidR="00312A79" w:rsidRDefault="00312A79" w:rsidP="002B5651">
      <w:pPr>
        <w:pStyle w:val="ListParagraph"/>
        <w:numPr>
          <w:ilvl w:val="3"/>
          <w:numId w:val="46"/>
        </w:numPr>
        <w:ind w:hanging="310"/>
        <w:rPr>
          <w:sz w:val="22"/>
          <w:szCs w:val="22"/>
        </w:rPr>
      </w:pPr>
      <w:r>
        <w:rPr>
          <w:sz w:val="22"/>
          <w:szCs w:val="22"/>
        </w:rPr>
        <w:t>Funding for former</w:t>
      </w:r>
      <w:r w:rsidR="00670279">
        <w:rPr>
          <w:sz w:val="22"/>
          <w:szCs w:val="22"/>
        </w:rPr>
        <w:t xml:space="preserve"> Education Services Grant</w:t>
      </w:r>
      <w:r>
        <w:rPr>
          <w:sz w:val="22"/>
          <w:szCs w:val="22"/>
        </w:rPr>
        <w:t xml:space="preserve"> </w:t>
      </w:r>
      <w:r w:rsidR="00670279">
        <w:rPr>
          <w:sz w:val="22"/>
          <w:szCs w:val="22"/>
        </w:rPr>
        <w:t>(</w:t>
      </w:r>
      <w:r>
        <w:rPr>
          <w:sz w:val="22"/>
          <w:szCs w:val="22"/>
        </w:rPr>
        <w:t>ESG</w:t>
      </w:r>
      <w:r w:rsidR="00670279">
        <w:rPr>
          <w:sz w:val="22"/>
          <w:szCs w:val="22"/>
        </w:rPr>
        <w:t>)</w:t>
      </w:r>
      <w:r>
        <w:rPr>
          <w:sz w:val="22"/>
          <w:szCs w:val="22"/>
        </w:rPr>
        <w:t xml:space="preserve"> general duties (primary, secondary, special and PRUs). T</w:t>
      </w:r>
      <w:r w:rsidR="00670279">
        <w:rPr>
          <w:sz w:val="22"/>
          <w:szCs w:val="22"/>
        </w:rPr>
        <w:t>hese cover services provided under the following broad headings:</w:t>
      </w:r>
    </w:p>
    <w:p w14:paraId="376684B8" w14:textId="77777777" w:rsidR="00670279" w:rsidRDefault="00670279" w:rsidP="00670279">
      <w:pPr>
        <w:pStyle w:val="ListParagraph"/>
        <w:ind w:left="1728"/>
        <w:rPr>
          <w:sz w:val="22"/>
          <w:szCs w:val="22"/>
        </w:rPr>
      </w:pPr>
    </w:p>
    <w:p w14:paraId="72FE6733" w14:textId="77777777" w:rsidR="00670279" w:rsidRPr="00670279" w:rsidRDefault="00670279" w:rsidP="00670279">
      <w:pPr>
        <w:pStyle w:val="ListParagraph"/>
        <w:ind w:left="1728"/>
        <w:rPr>
          <w:sz w:val="22"/>
          <w:szCs w:val="22"/>
        </w:rPr>
      </w:pPr>
      <w:r w:rsidRPr="00670279">
        <w:rPr>
          <w:sz w:val="22"/>
          <w:szCs w:val="22"/>
        </w:rPr>
        <w:t>Statutory and Regulatory Duties</w:t>
      </w:r>
    </w:p>
    <w:p w14:paraId="24C9FFFF" w14:textId="77777777" w:rsidR="00670279" w:rsidRPr="00670279" w:rsidRDefault="00670279" w:rsidP="00670279">
      <w:pPr>
        <w:pStyle w:val="ListParagraph"/>
        <w:ind w:left="1728"/>
        <w:rPr>
          <w:sz w:val="22"/>
          <w:szCs w:val="22"/>
        </w:rPr>
      </w:pPr>
      <w:r w:rsidRPr="00670279">
        <w:rPr>
          <w:sz w:val="22"/>
          <w:szCs w:val="22"/>
        </w:rPr>
        <w:t>Education Welfare</w:t>
      </w:r>
    </w:p>
    <w:p w14:paraId="746EA5D6" w14:textId="77777777" w:rsidR="00670279" w:rsidRPr="00670279" w:rsidRDefault="00670279" w:rsidP="00670279">
      <w:pPr>
        <w:pStyle w:val="ListParagraph"/>
        <w:ind w:left="1728"/>
        <w:rPr>
          <w:sz w:val="22"/>
          <w:szCs w:val="22"/>
        </w:rPr>
      </w:pPr>
      <w:r w:rsidRPr="00670279">
        <w:rPr>
          <w:sz w:val="22"/>
          <w:szCs w:val="22"/>
        </w:rPr>
        <w:t>Asset Management</w:t>
      </w:r>
    </w:p>
    <w:p w14:paraId="53DCF887" w14:textId="77777777" w:rsidR="00670279" w:rsidRPr="00670279" w:rsidRDefault="00670279" w:rsidP="00670279">
      <w:pPr>
        <w:pStyle w:val="ListParagraph"/>
        <w:ind w:left="1728"/>
        <w:rPr>
          <w:sz w:val="22"/>
          <w:szCs w:val="22"/>
        </w:rPr>
      </w:pPr>
      <w:r w:rsidRPr="00670279">
        <w:rPr>
          <w:sz w:val="22"/>
          <w:szCs w:val="22"/>
        </w:rPr>
        <w:t>Central Support services</w:t>
      </w:r>
    </w:p>
    <w:p w14:paraId="5F374190" w14:textId="77777777" w:rsidR="00670279" w:rsidRDefault="00670279" w:rsidP="00670279">
      <w:pPr>
        <w:pStyle w:val="ListParagraph"/>
        <w:ind w:left="1728"/>
        <w:rPr>
          <w:sz w:val="22"/>
          <w:szCs w:val="22"/>
        </w:rPr>
      </w:pPr>
      <w:r w:rsidRPr="00670279">
        <w:rPr>
          <w:sz w:val="22"/>
          <w:szCs w:val="22"/>
        </w:rPr>
        <w:t>Redundancy &amp; Early Retirement</w:t>
      </w:r>
      <w:r>
        <w:rPr>
          <w:sz w:val="22"/>
          <w:szCs w:val="22"/>
        </w:rPr>
        <w:t>.</w:t>
      </w:r>
    </w:p>
    <w:p w14:paraId="65DB0814" w14:textId="77777777" w:rsidR="00670279" w:rsidRDefault="00670279" w:rsidP="00670279">
      <w:pPr>
        <w:pStyle w:val="ListParagraph"/>
        <w:ind w:left="1728"/>
        <w:rPr>
          <w:sz w:val="22"/>
          <w:szCs w:val="22"/>
        </w:rPr>
      </w:pPr>
    </w:p>
    <w:p w14:paraId="1ED1CE25" w14:textId="77777777" w:rsidR="00312A79" w:rsidRPr="00306B42" w:rsidRDefault="00312A79" w:rsidP="002B5651">
      <w:pPr>
        <w:pStyle w:val="ListParagraph"/>
        <w:numPr>
          <w:ilvl w:val="3"/>
          <w:numId w:val="46"/>
        </w:numPr>
        <w:ind w:hanging="310"/>
        <w:rPr>
          <w:sz w:val="22"/>
          <w:szCs w:val="22"/>
        </w:rPr>
      </w:pPr>
      <w:r>
        <w:rPr>
          <w:sz w:val="22"/>
          <w:szCs w:val="22"/>
        </w:rPr>
        <w:t>Funding for additional school improvement. School improvement was formerly funded through the ESG. Following its abolition, funding for LA statutory functions was provided through the School Improvement Monitoring and Brokering Grant. Additional services can be provided for maintained mainstream schools if forum agrees t</w:t>
      </w:r>
      <w:r w:rsidR="00670279">
        <w:rPr>
          <w:sz w:val="22"/>
          <w:szCs w:val="22"/>
        </w:rPr>
        <w:t>o de-delegate.</w:t>
      </w:r>
    </w:p>
    <w:p w14:paraId="71DE23FA" w14:textId="77777777" w:rsidR="00312A79" w:rsidRPr="00927A23" w:rsidRDefault="00312A79" w:rsidP="00312A79">
      <w:pPr>
        <w:pStyle w:val="ListParagraph"/>
        <w:ind w:left="792"/>
        <w:rPr>
          <w:b/>
          <w:sz w:val="22"/>
          <w:szCs w:val="22"/>
        </w:rPr>
      </w:pPr>
    </w:p>
    <w:p w14:paraId="7217130C" w14:textId="77777777" w:rsidR="00312A79" w:rsidRPr="00044504" w:rsidRDefault="00312A79" w:rsidP="002B5651">
      <w:pPr>
        <w:pStyle w:val="ListParagraph"/>
        <w:numPr>
          <w:ilvl w:val="0"/>
          <w:numId w:val="46"/>
        </w:numPr>
        <w:rPr>
          <w:b/>
          <w:sz w:val="22"/>
          <w:szCs w:val="22"/>
        </w:rPr>
      </w:pPr>
      <w:r>
        <w:rPr>
          <w:b/>
          <w:sz w:val="22"/>
          <w:szCs w:val="22"/>
        </w:rPr>
        <w:t xml:space="preserve">Central School Services Block. </w:t>
      </w:r>
      <w:r>
        <w:rPr>
          <w:sz w:val="22"/>
          <w:szCs w:val="22"/>
        </w:rPr>
        <w:t>This block was created in 2018</w:t>
      </w:r>
      <w:r w:rsidRPr="00044504">
        <w:rPr>
          <w:sz w:val="22"/>
          <w:szCs w:val="22"/>
        </w:rPr>
        <w:t xml:space="preserve"> and covers three areas:</w:t>
      </w:r>
    </w:p>
    <w:p w14:paraId="7A429C7B" w14:textId="77777777" w:rsidR="00312A79" w:rsidRDefault="00312A79" w:rsidP="00312A79">
      <w:pPr>
        <w:pStyle w:val="ListParagraph"/>
        <w:ind w:left="1224"/>
        <w:rPr>
          <w:sz w:val="22"/>
          <w:szCs w:val="22"/>
        </w:rPr>
      </w:pPr>
    </w:p>
    <w:p w14:paraId="687A14E4" w14:textId="77777777" w:rsidR="00312A79" w:rsidRDefault="00312A79" w:rsidP="002B5651">
      <w:pPr>
        <w:pStyle w:val="ListParagraph"/>
        <w:numPr>
          <w:ilvl w:val="1"/>
          <w:numId w:val="46"/>
        </w:numPr>
        <w:rPr>
          <w:sz w:val="22"/>
          <w:szCs w:val="22"/>
        </w:rPr>
      </w:pPr>
      <w:r w:rsidRPr="00AC21B5">
        <w:rPr>
          <w:sz w:val="22"/>
          <w:szCs w:val="22"/>
        </w:rPr>
        <w:t>Ongoing services.</w:t>
      </w:r>
      <w:r>
        <w:rPr>
          <w:sz w:val="22"/>
          <w:szCs w:val="22"/>
        </w:rPr>
        <w:t xml:space="preserve"> Funding </w:t>
      </w:r>
      <w:r w:rsidRPr="00AC21B5">
        <w:rPr>
          <w:sz w:val="22"/>
          <w:szCs w:val="22"/>
        </w:rPr>
        <w:t>is through a national formula (with tr</w:t>
      </w:r>
      <w:r w:rsidR="007164B5">
        <w:rPr>
          <w:sz w:val="22"/>
          <w:szCs w:val="22"/>
        </w:rPr>
        <w:t>ansitional protection). For 2019-20</w:t>
      </w:r>
      <w:r w:rsidRPr="00AC21B5">
        <w:rPr>
          <w:sz w:val="22"/>
          <w:szCs w:val="22"/>
        </w:rPr>
        <w:t xml:space="preserve"> this totalled </w:t>
      </w:r>
      <w:r w:rsidR="007164B5">
        <w:rPr>
          <w:sz w:val="22"/>
          <w:szCs w:val="22"/>
        </w:rPr>
        <w:t>£2.02</w:t>
      </w:r>
      <w:r w:rsidRPr="00AC21B5">
        <w:rPr>
          <w:sz w:val="22"/>
          <w:szCs w:val="22"/>
        </w:rPr>
        <w:t>9m.</w:t>
      </w:r>
      <w:r>
        <w:rPr>
          <w:sz w:val="22"/>
          <w:szCs w:val="22"/>
        </w:rPr>
        <w:t xml:space="preserve"> The charge for copyright licences is set nationally</w:t>
      </w:r>
      <w:r w:rsidR="00B92CDD">
        <w:rPr>
          <w:sz w:val="22"/>
          <w:szCs w:val="22"/>
        </w:rPr>
        <w:t>.</w:t>
      </w:r>
      <w:r>
        <w:rPr>
          <w:sz w:val="22"/>
          <w:szCs w:val="22"/>
        </w:rPr>
        <w:t xml:space="preserve">   </w:t>
      </w:r>
      <w:r w:rsidRPr="00AC21B5">
        <w:rPr>
          <w:sz w:val="22"/>
          <w:szCs w:val="22"/>
        </w:rPr>
        <w:t xml:space="preserve"> </w:t>
      </w:r>
    </w:p>
    <w:p w14:paraId="2E80528F" w14:textId="77777777" w:rsidR="00312A79" w:rsidRPr="00AC21B5" w:rsidRDefault="00312A79" w:rsidP="00312A79">
      <w:pPr>
        <w:pStyle w:val="ListParagraph"/>
        <w:ind w:left="1728"/>
        <w:rPr>
          <w:sz w:val="22"/>
          <w:szCs w:val="22"/>
        </w:rPr>
      </w:pPr>
    </w:p>
    <w:p w14:paraId="0BEC08BA" w14:textId="77777777" w:rsidR="00312A79" w:rsidRDefault="00312A79" w:rsidP="002B5651">
      <w:pPr>
        <w:pStyle w:val="ListParagraph"/>
        <w:numPr>
          <w:ilvl w:val="1"/>
          <w:numId w:val="46"/>
        </w:numPr>
        <w:rPr>
          <w:sz w:val="22"/>
          <w:szCs w:val="22"/>
        </w:rPr>
      </w:pPr>
      <w:r w:rsidRPr="00AC21B5">
        <w:rPr>
          <w:sz w:val="22"/>
          <w:szCs w:val="22"/>
        </w:rPr>
        <w:t>Historical Commitments.</w:t>
      </w:r>
      <w:r>
        <w:rPr>
          <w:sz w:val="22"/>
          <w:szCs w:val="22"/>
        </w:rPr>
        <w:t xml:space="preserve"> Prior to April 2013 a </w:t>
      </w:r>
      <w:proofErr w:type="gramStart"/>
      <w:r>
        <w:rPr>
          <w:sz w:val="22"/>
          <w:szCs w:val="22"/>
        </w:rPr>
        <w:t>schools</w:t>
      </w:r>
      <w:proofErr w:type="gramEnd"/>
      <w:r>
        <w:rPr>
          <w:sz w:val="22"/>
          <w:szCs w:val="22"/>
        </w:rPr>
        <w:t xml:space="preserve"> forum could agree to centrally retain funding for either of the following:</w:t>
      </w:r>
    </w:p>
    <w:p w14:paraId="791773B3" w14:textId="77777777" w:rsidR="00312A79" w:rsidRDefault="00312A79" w:rsidP="00312A79">
      <w:pPr>
        <w:pStyle w:val="ListParagraph"/>
        <w:ind w:left="1728"/>
        <w:rPr>
          <w:sz w:val="22"/>
          <w:szCs w:val="22"/>
        </w:rPr>
      </w:pPr>
    </w:p>
    <w:p w14:paraId="13BE99B5" w14:textId="77777777" w:rsidR="00312A79" w:rsidRDefault="00312A79" w:rsidP="00B92CDD">
      <w:pPr>
        <w:pStyle w:val="ListParagraph"/>
        <w:numPr>
          <w:ilvl w:val="4"/>
          <w:numId w:val="46"/>
        </w:numPr>
        <w:ind w:left="1701" w:hanging="283"/>
        <w:rPr>
          <w:sz w:val="22"/>
          <w:szCs w:val="22"/>
        </w:rPr>
      </w:pPr>
      <w:r>
        <w:rPr>
          <w:sz w:val="22"/>
          <w:szCs w:val="22"/>
        </w:rPr>
        <w:t>Combined services, in which DSG funding was combined with other resources to provide services for the benefit of pupils generally.</w:t>
      </w:r>
    </w:p>
    <w:p w14:paraId="121B7C04" w14:textId="77777777" w:rsidR="00312A79" w:rsidRDefault="00312A79" w:rsidP="00B92CDD">
      <w:pPr>
        <w:pStyle w:val="ListParagraph"/>
        <w:numPr>
          <w:ilvl w:val="4"/>
          <w:numId w:val="46"/>
        </w:numPr>
        <w:ind w:left="1701" w:hanging="283"/>
        <w:rPr>
          <w:sz w:val="22"/>
          <w:szCs w:val="22"/>
        </w:rPr>
      </w:pPr>
      <w:r>
        <w:rPr>
          <w:sz w:val="22"/>
          <w:szCs w:val="22"/>
        </w:rPr>
        <w:t>To compensate non-DSG budgets for costs arising due to savings in DSG budgets. An example would be the incurring of redundancy costs (non-DSG) due to a school reorganisation that resulted in DSG savings.</w:t>
      </w:r>
    </w:p>
    <w:p w14:paraId="43714EF7" w14:textId="77777777" w:rsidR="001B21E0" w:rsidRDefault="001B21E0" w:rsidP="001B21E0">
      <w:pPr>
        <w:pStyle w:val="ListParagraph"/>
        <w:ind w:left="1701"/>
        <w:rPr>
          <w:sz w:val="22"/>
          <w:szCs w:val="22"/>
        </w:rPr>
      </w:pPr>
    </w:p>
    <w:p w14:paraId="6CEF2555" w14:textId="77777777" w:rsidR="00312A79" w:rsidRDefault="00312A79" w:rsidP="001B21E0">
      <w:pPr>
        <w:ind w:left="720"/>
        <w:rPr>
          <w:sz w:val="22"/>
          <w:szCs w:val="22"/>
        </w:rPr>
      </w:pPr>
      <w:r>
        <w:rPr>
          <w:sz w:val="22"/>
          <w:szCs w:val="22"/>
        </w:rPr>
        <w:t xml:space="preserve">No new commitments can be entered into and the Education and Skills Funding Agency (ESFA) expect historical commitments to be reducing and will investigate those that don’t. These commitments are funded through a lump sum, currently £2.782m, but the ESFA will begin to reduce this from 2020-21. </w:t>
      </w:r>
    </w:p>
    <w:p w14:paraId="2D781249" w14:textId="77777777" w:rsidR="00B92CDD" w:rsidRDefault="00B92CDD" w:rsidP="00312A79">
      <w:pPr>
        <w:ind w:left="1418"/>
        <w:rPr>
          <w:sz w:val="22"/>
          <w:szCs w:val="22"/>
        </w:rPr>
      </w:pPr>
    </w:p>
    <w:p w14:paraId="72623D47" w14:textId="77777777" w:rsidR="002B5651" w:rsidRPr="00B92CDD" w:rsidRDefault="00312A79" w:rsidP="002B5651">
      <w:pPr>
        <w:pStyle w:val="ListParagraph"/>
        <w:numPr>
          <w:ilvl w:val="1"/>
          <w:numId w:val="46"/>
        </w:numPr>
        <w:rPr>
          <w:b/>
        </w:rPr>
      </w:pPr>
      <w:r w:rsidRPr="00B92CDD">
        <w:rPr>
          <w:sz w:val="22"/>
          <w:szCs w:val="22"/>
        </w:rPr>
        <w:t xml:space="preserve">An allocation of £630k </w:t>
      </w:r>
      <w:r w:rsidR="00B92CDD" w:rsidRPr="00B92CDD">
        <w:rPr>
          <w:sz w:val="22"/>
          <w:szCs w:val="22"/>
        </w:rPr>
        <w:t>in respect of retained</w:t>
      </w:r>
      <w:r w:rsidRPr="00B92CDD">
        <w:rPr>
          <w:sz w:val="22"/>
          <w:szCs w:val="22"/>
        </w:rPr>
        <w:t xml:space="preserve"> duties </w:t>
      </w:r>
      <w:r w:rsidR="00B92CDD" w:rsidRPr="00B92CDD">
        <w:rPr>
          <w:sz w:val="22"/>
          <w:szCs w:val="22"/>
        </w:rPr>
        <w:t xml:space="preserve">formerly funded through the </w:t>
      </w:r>
      <w:proofErr w:type="gramStart"/>
      <w:r w:rsidR="00B92CDD" w:rsidRPr="00B92CDD">
        <w:rPr>
          <w:sz w:val="22"/>
          <w:szCs w:val="22"/>
        </w:rPr>
        <w:t xml:space="preserve">ESG </w:t>
      </w:r>
      <w:r w:rsidRPr="00B92CDD">
        <w:rPr>
          <w:sz w:val="22"/>
          <w:szCs w:val="22"/>
        </w:rPr>
        <w:t xml:space="preserve"> was</w:t>
      </w:r>
      <w:proofErr w:type="gramEnd"/>
      <w:r w:rsidRPr="00B92CDD">
        <w:rPr>
          <w:sz w:val="22"/>
          <w:szCs w:val="22"/>
        </w:rPr>
        <w:t xml:space="preserve"> transferred into this block</w:t>
      </w:r>
      <w:r w:rsidR="00B92CDD">
        <w:rPr>
          <w:sz w:val="22"/>
          <w:szCs w:val="22"/>
        </w:rPr>
        <w:t>, it covers the same broad areas set out in 1.2 b) but for services provided to both maintained schools and academies.</w:t>
      </w:r>
    </w:p>
    <w:p w14:paraId="3DD5C6ED" w14:textId="77777777" w:rsidR="00B92CDD" w:rsidRPr="00B92CDD" w:rsidRDefault="00B92CDD" w:rsidP="00B92CDD">
      <w:pPr>
        <w:pStyle w:val="ListParagraph"/>
        <w:ind w:left="792"/>
        <w:rPr>
          <w:b/>
        </w:rPr>
      </w:pPr>
    </w:p>
    <w:p w14:paraId="4D3D4EEF" w14:textId="77777777" w:rsidR="00312A79" w:rsidRPr="002B5651" w:rsidRDefault="00312A79" w:rsidP="002B5651">
      <w:pPr>
        <w:pStyle w:val="ListParagraph"/>
        <w:numPr>
          <w:ilvl w:val="0"/>
          <w:numId w:val="46"/>
        </w:numPr>
        <w:rPr>
          <w:b/>
        </w:rPr>
      </w:pPr>
      <w:r w:rsidRPr="002B5651">
        <w:rPr>
          <w:b/>
          <w:sz w:val="22"/>
          <w:szCs w:val="22"/>
        </w:rPr>
        <w:t>Early Years Block.</w:t>
      </w:r>
    </w:p>
    <w:p w14:paraId="440A02B0" w14:textId="77777777" w:rsidR="00312A79" w:rsidRDefault="00312A79" w:rsidP="00312A79">
      <w:pPr>
        <w:pStyle w:val="ListParagraph"/>
        <w:ind w:left="792"/>
        <w:rPr>
          <w:b/>
          <w:sz w:val="22"/>
          <w:szCs w:val="22"/>
        </w:rPr>
      </w:pPr>
      <w:r>
        <w:rPr>
          <w:b/>
          <w:sz w:val="22"/>
          <w:szCs w:val="22"/>
        </w:rPr>
        <w:t xml:space="preserve"> </w:t>
      </w:r>
    </w:p>
    <w:p w14:paraId="4F15E7F0" w14:textId="77777777" w:rsidR="00312A79" w:rsidRPr="00B84FBD" w:rsidRDefault="00312A79" w:rsidP="002B5651">
      <w:pPr>
        <w:pStyle w:val="ListParagraph"/>
        <w:numPr>
          <w:ilvl w:val="1"/>
          <w:numId w:val="46"/>
        </w:numPr>
        <w:rPr>
          <w:b/>
          <w:sz w:val="22"/>
          <w:szCs w:val="22"/>
        </w:rPr>
      </w:pPr>
      <w:r>
        <w:rPr>
          <w:sz w:val="22"/>
          <w:szCs w:val="22"/>
        </w:rPr>
        <w:t xml:space="preserve">The great majority of this funding must be delegated or devolved to early years providers. Central retention is limited to 5% of the funding for </w:t>
      </w:r>
      <w:proofErr w:type="gramStart"/>
      <w:r>
        <w:rPr>
          <w:sz w:val="22"/>
          <w:szCs w:val="22"/>
        </w:rPr>
        <w:t>three and four year</w:t>
      </w:r>
      <w:proofErr w:type="gramEnd"/>
      <w:r w:rsidR="00B92CDD">
        <w:rPr>
          <w:sz w:val="22"/>
          <w:szCs w:val="22"/>
        </w:rPr>
        <w:t xml:space="preserve"> olds</w:t>
      </w:r>
      <w:r>
        <w:rPr>
          <w:sz w:val="22"/>
          <w:szCs w:val="22"/>
        </w:rPr>
        <w:t xml:space="preserve">. </w:t>
      </w:r>
    </w:p>
    <w:p w14:paraId="166FBF67" w14:textId="77777777" w:rsidR="00312A79" w:rsidRPr="002B5651" w:rsidRDefault="00312A79" w:rsidP="002B5651">
      <w:pPr>
        <w:rPr>
          <w:sz w:val="22"/>
          <w:szCs w:val="22"/>
        </w:rPr>
      </w:pPr>
    </w:p>
    <w:p w14:paraId="580E8465" w14:textId="77777777" w:rsidR="00312A79" w:rsidRDefault="00312A79" w:rsidP="00312A79">
      <w:pPr>
        <w:pStyle w:val="ListParagraph"/>
        <w:ind w:left="792"/>
        <w:rPr>
          <w:b/>
          <w:sz w:val="22"/>
          <w:szCs w:val="22"/>
        </w:rPr>
      </w:pPr>
    </w:p>
    <w:p w14:paraId="3FF9F673" w14:textId="77777777" w:rsidR="00312A79" w:rsidRDefault="00312A79">
      <w:pPr>
        <w:rPr>
          <w:b/>
        </w:rPr>
      </w:pPr>
    </w:p>
    <w:p w14:paraId="737078DC" w14:textId="77777777" w:rsidR="003B3B7C" w:rsidRDefault="003B3B7C" w:rsidP="003B3B7C">
      <w:pPr>
        <w:pStyle w:val="Header"/>
        <w:ind w:left="360"/>
        <w:rPr>
          <w:b/>
        </w:rPr>
      </w:pPr>
    </w:p>
    <w:p w14:paraId="3CD97D05" w14:textId="77777777" w:rsidR="003B3B7C" w:rsidRDefault="003B3B7C" w:rsidP="003B3B7C">
      <w:pPr>
        <w:pStyle w:val="Header"/>
        <w:ind w:left="360"/>
        <w:rPr>
          <w:b/>
        </w:rPr>
      </w:pPr>
    </w:p>
    <w:p w14:paraId="7E9DEE45" w14:textId="77777777" w:rsidR="00ED7730" w:rsidRPr="00A37785" w:rsidRDefault="00ED7730" w:rsidP="002B5651">
      <w:pPr>
        <w:pStyle w:val="Header"/>
        <w:rPr>
          <w:b/>
        </w:rPr>
      </w:pPr>
    </w:p>
    <w:sectPr w:rsidR="00ED7730" w:rsidRPr="00A37785" w:rsidSect="004C11CF">
      <w:headerReference w:type="default" r:id="rId11"/>
      <w:footerReference w:type="default" r:id="rId12"/>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47F73" w14:textId="77777777" w:rsidR="0096294A" w:rsidRDefault="0096294A">
      <w:r>
        <w:separator/>
      </w:r>
    </w:p>
  </w:endnote>
  <w:endnote w:type="continuationSeparator" w:id="0">
    <w:p w14:paraId="7C333A9E" w14:textId="77777777" w:rsidR="0096294A" w:rsidRDefault="0096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5096" w14:textId="77777777" w:rsidR="0096294A" w:rsidRDefault="0096294A">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337AAB">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347A" w14:textId="77777777" w:rsidR="0096294A" w:rsidRDefault="0096294A">
      <w:r>
        <w:separator/>
      </w:r>
    </w:p>
  </w:footnote>
  <w:footnote w:type="continuationSeparator" w:id="0">
    <w:p w14:paraId="594B63AD" w14:textId="77777777" w:rsidR="0096294A" w:rsidRDefault="0096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B360" w14:textId="77777777" w:rsidR="0096294A" w:rsidRDefault="00250726">
    <w:pPr>
      <w:pStyle w:val="Header"/>
    </w:pPr>
    <w:r>
      <w:t xml:space="preserve">Schools Forum – October 2019 - </w:t>
    </w:r>
    <w:sdt>
      <w:sdtPr>
        <w:alias w:val="Title"/>
        <w:tag w:val=""/>
        <w:id w:val="1488062918"/>
        <w:placeholder>
          <w:docPart w:val="29723D00F68D46A8BB89087AB61900EB"/>
        </w:placeholder>
        <w:dataBinding w:prefixMappings="xmlns:ns0='http://purl.org/dc/elements/1.1/' xmlns:ns1='http://schemas.openxmlformats.org/package/2006/metadata/core-properties' " w:xpath="/ns1:coreProperties[1]/ns0:title[1]" w:storeItemID="{6C3C8BC8-F283-45AE-878A-BAB7291924A1}"/>
        <w:text/>
      </w:sdtPr>
      <w:sdtContent>
        <w:r>
          <w:t>Centrally Retained Budgets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6527261"/>
    <w:multiLevelType w:val="hybridMultilevel"/>
    <w:tmpl w:val="0FC093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693229"/>
    <w:multiLevelType w:val="multilevel"/>
    <w:tmpl w:val="2D86C9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3203"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6823E30"/>
    <w:multiLevelType w:val="multilevel"/>
    <w:tmpl w:val="249263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3203"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37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6"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7" w15:restartNumberingAfterBreak="0">
    <w:nsid w:val="7E583AD9"/>
    <w:multiLevelType w:val="multilevel"/>
    <w:tmpl w:val="249263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1927"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43"/>
  </w:num>
  <w:num w:numId="3">
    <w:abstractNumId w:val="36"/>
  </w:num>
  <w:num w:numId="4">
    <w:abstractNumId w:val="5"/>
  </w:num>
  <w:num w:numId="5">
    <w:abstractNumId w:val="41"/>
  </w:num>
  <w:num w:numId="6">
    <w:abstractNumId w:val="20"/>
  </w:num>
  <w:num w:numId="7">
    <w:abstractNumId w:val="19"/>
  </w:num>
  <w:num w:numId="8">
    <w:abstractNumId w:val="15"/>
  </w:num>
  <w:num w:numId="9">
    <w:abstractNumId w:val="17"/>
  </w:num>
  <w:num w:numId="10">
    <w:abstractNumId w:val="26"/>
  </w:num>
  <w:num w:numId="11">
    <w:abstractNumId w:val="33"/>
  </w:num>
  <w:num w:numId="12">
    <w:abstractNumId w:val="45"/>
  </w:num>
  <w:num w:numId="13">
    <w:abstractNumId w:val="46"/>
  </w:num>
  <w:num w:numId="14">
    <w:abstractNumId w:val="11"/>
  </w:num>
  <w:num w:numId="15">
    <w:abstractNumId w:val="39"/>
  </w:num>
  <w:num w:numId="16">
    <w:abstractNumId w:val="4"/>
  </w:num>
  <w:num w:numId="17">
    <w:abstractNumId w:val="42"/>
  </w:num>
  <w:num w:numId="18">
    <w:abstractNumId w:val="7"/>
  </w:num>
  <w:num w:numId="19">
    <w:abstractNumId w:val="31"/>
  </w:num>
  <w:num w:numId="20">
    <w:abstractNumId w:val="18"/>
  </w:num>
  <w:num w:numId="21">
    <w:abstractNumId w:val="10"/>
  </w:num>
  <w:num w:numId="22">
    <w:abstractNumId w:val="22"/>
  </w:num>
  <w:num w:numId="23">
    <w:abstractNumId w:val="16"/>
  </w:num>
  <w:num w:numId="24">
    <w:abstractNumId w:val="34"/>
  </w:num>
  <w:num w:numId="25">
    <w:abstractNumId w:val="2"/>
  </w:num>
  <w:num w:numId="26">
    <w:abstractNumId w:val="25"/>
  </w:num>
  <w:num w:numId="27">
    <w:abstractNumId w:val="24"/>
  </w:num>
  <w:num w:numId="28">
    <w:abstractNumId w:val="13"/>
  </w:num>
  <w:num w:numId="29">
    <w:abstractNumId w:val="30"/>
  </w:num>
  <w:num w:numId="30">
    <w:abstractNumId w:val="6"/>
  </w:num>
  <w:num w:numId="31">
    <w:abstractNumId w:val="1"/>
  </w:num>
  <w:num w:numId="32">
    <w:abstractNumId w:val="3"/>
  </w:num>
  <w:num w:numId="33">
    <w:abstractNumId w:val="35"/>
  </w:num>
  <w:num w:numId="34">
    <w:abstractNumId w:val="37"/>
  </w:num>
  <w:num w:numId="35">
    <w:abstractNumId w:val="28"/>
  </w:num>
  <w:num w:numId="36">
    <w:abstractNumId w:val="12"/>
  </w:num>
  <w:num w:numId="37">
    <w:abstractNumId w:val="40"/>
  </w:num>
  <w:num w:numId="38">
    <w:abstractNumId w:val="8"/>
  </w:num>
  <w:num w:numId="39">
    <w:abstractNumId w:val="9"/>
  </w:num>
  <w:num w:numId="40">
    <w:abstractNumId w:val="0"/>
  </w:num>
  <w:num w:numId="41">
    <w:abstractNumId w:val="38"/>
  </w:num>
  <w:num w:numId="42">
    <w:abstractNumId w:val="29"/>
  </w:num>
  <w:num w:numId="43">
    <w:abstractNumId w:val="32"/>
  </w:num>
  <w:num w:numId="44">
    <w:abstractNumId w:val="21"/>
  </w:num>
  <w:num w:numId="45">
    <w:abstractNumId w:val="27"/>
  </w:num>
  <w:num w:numId="46">
    <w:abstractNumId w:val="47"/>
  </w:num>
  <w:num w:numId="47">
    <w:abstractNumId w:val="2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79CF"/>
    <w:rsid w:val="000106AF"/>
    <w:rsid w:val="00011A38"/>
    <w:rsid w:val="0001228D"/>
    <w:rsid w:val="00014128"/>
    <w:rsid w:val="000149FD"/>
    <w:rsid w:val="00025F55"/>
    <w:rsid w:val="00026A03"/>
    <w:rsid w:val="00030F6F"/>
    <w:rsid w:val="000339DC"/>
    <w:rsid w:val="00041E9D"/>
    <w:rsid w:val="00046FCB"/>
    <w:rsid w:val="0005284B"/>
    <w:rsid w:val="00053B81"/>
    <w:rsid w:val="00060FED"/>
    <w:rsid w:val="0007256E"/>
    <w:rsid w:val="00077299"/>
    <w:rsid w:val="00083BBE"/>
    <w:rsid w:val="00087E04"/>
    <w:rsid w:val="000A2234"/>
    <w:rsid w:val="000A7872"/>
    <w:rsid w:val="000A78CA"/>
    <w:rsid w:val="000C1387"/>
    <w:rsid w:val="000D3037"/>
    <w:rsid w:val="000D5510"/>
    <w:rsid w:val="000D6FF5"/>
    <w:rsid w:val="000E153F"/>
    <w:rsid w:val="000E7C2D"/>
    <w:rsid w:val="000F0BCB"/>
    <w:rsid w:val="000F1054"/>
    <w:rsid w:val="00102CEB"/>
    <w:rsid w:val="00110AE1"/>
    <w:rsid w:val="00125730"/>
    <w:rsid w:val="00126384"/>
    <w:rsid w:val="00127374"/>
    <w:rsid w:val="00131EEB"/>
    <w:rsid w:val="0013261A"/>
    <w:rsid w:val="00133AC3"/>
    <w:rsid w:val="001445AD"/>
    <w:rsid w:val="00151AD1"/>
    <w:rsid w:val="00152F4B"/>
    <w:rsid w:val="001619A7"/>
    <w:rsid w:val="001637DD"/>
    <w:rsid w:val="001638D3"/>
    <w:rsid w:val="00171274"/>
    <w:rsid w:val="00177800"/>
    <w:rsid w:val="00184A94"/>
    <w:rsid w:val="0019143A"/>
    <w:rsid w:val="001A2886"/>
    <w:rsid w:val="001A74CC"/>
    <w:rsid w:val="001B1591"/>
    <w:rsid w:val="001B21E0"/>
    <w:rsid w:val="001B259F"/>
    <w:rsid w:val="001C209A"/>
    <w:rsid w:val="001C6F21"/>
    <w:rsid w:val="001D32A0"/>
    <w:rsid w:val="001D4975"/>
    <w:rsid w:val="001D6BA4"/>
    <w:rsid w:val="001E4116"/>
    <w:rsid w:val="001E472B"/>
    <w:rsid w:val="001E70F6"/>
    <w:rsid w:val="0020168A"/>
    <w:rsid w:val="00205496"/>
    <w:rsid w:val="00221B84"/>
    <w:rsid w:val="002246CA"/>
    <w:rsid w:val="00231641"/>
    <w:rsid w:val="002374A3"/>
    <w:rsid w:val="00246254"/>
    <w:rsid w:val="002467C4"/>
    <w:rsid w:val="00250726"/>
    <w:rsid w:val="00253B34"/>
    <w:rsid w:val="00254308"/>
    <w:rsid w:val="00256938"/>
    <w:rsid w:val="00257D10"/>
    <w:rsid w:val="0026062F"/>
    <w:rsid w:val="0026098B"/>
    <w:rsid w:val="002640E1"/>
    <w:rsid w:val="00264249"/>
    <w:rsid w:val="00266DE2"/>
    <w:rsid w:val="00287DBD"/>
    <w:rsid w:val="0029022D"/>
    <w:rsid w:val="00291476"/>
    <w:rsid w:val="0029323C"/>
    <w:rsid w:val="002958F1"/>
    <w:rsid w:val="002A69DC"/>
    <w:rsid w:val="002A734B"/>
    <w:rsid w:val="002B5651"/>
    <w:rsid w:val="002F4FB8"/>
    <w:rsid w:val="002F55A8"/>
    <w:rsid w:val="003044B1"/>
    <w:rsid w:val="0030490E"/>
    <w:rsid w:val="00304E15"/>
    <w:rsid w:val="00312A79"/>
    <w:rsid w:val="00322E4D"/>
    <w:rsid w:val="003322EA"/>
    <w:rsid w:val="00337AAB"/>
    <w:rsid w:val="00351F12"/>
    <w:rsid w:val="003531BB"/>
    <w:rsid w:val="003564B6"/>
    <w:rsid w:val="00361F94"/>
    <w:rsid w:val="0038332C"/>
    <w:rsid w:val="003867AC"/>
    <w:rsid w:val="003920CB"/>
    <w:rsid w:val="003925D5"/>
    <w:rsid w:val="00397511"/>
    <w:rsid w:val="003B2548"/>
    <w:rsid w:val="003B3B0E"/>
    <w:rsid w:val="003B3B7C"/>
    <w:rsid w:val="003B700C"/>
    <w:rsid w:val="003B7621"/>
    <w:rsid w:val="003C4300"/>
    <w:rsid w:val="003D08B1"/>
    <w:rsid w:val="003D29D2"/>
    <w:rsid w:val="003D435E"/>
    <w:rsid w:val="003D4611"/>
    <w:rsid w:val="003E00BB"/>
    <w:rsid w:val="00405B39"/>
    <w:rsid w:val="00407F2D"/>
    <w:rsid w:val="00410D37"/>
    <w:rsid w:val="00411EEB"/>
    <w:rsid w:val="00421266"/>
    <w:rsid w:val="004256EA"/>
    <w:rsid w:val="00434425"/>
    <w:rsid w:val="00434EDA"/>
    <w:rsid w:val="00444C0E"/>
    <w:rsid w:val="00446519"/>
    <w:rsid w:val="004478AE"/>
    <w:rsid w:val="00447E7C"/>
    <w:rsid w:val="004503C6"/>
    <w:rsid w:val="0045059B"/>
    <w:rsid w:val="00451CF7"/>
    <w:rsid w:val="00457528"/>
    <w:rsid w:val="00465312"/>
    <w:rsid w:val="0046718D"/>
    <w:rsid w:val="004705A1"/>
    <w:rsid w:val="004862AC"/>
    <w:rsid w:val="004862E0"/>
    <w:rsid w:val="00486492"/>
    <w:rsid w:val="004A0F22"/>
    <w:rsid w:val="004A2E94"/>
    <w:rsid w:val="004B451C"/>
    <w:rsid w:val="004B6ED7"/>
    <w:rsid w:val="004C11CF"/>
    <w:rsid w:val="004D4FF7"/>
    <w:rsid w:val="004D7D73"/>
    <w:rsid w:val="004F67E3"/>
    <w:rsid w:val="00501776"/>
    <w:rsid w:val="0050651C"/>
    <w:rsid w:val="005065B0"/>
    <w:rsid w:val="00510168"/>
    <w:rsid w:val="005210A6"/>
    <w:rsid w:val="0054015A"/>
    <w:rsid w:val="00540291"/>
    <w:rsid w:val="00545A21"/>
    <w:rsid w:val="00550AD9"/>
    <w:rsid w:val="00552A9D"/>
    <w:rsid w:val="00565F48"/>
    <w:rsid w:val="00572E2A"/>
    <w:rsid w:val="00580113"/>
    <w:rsid w:val="00581CFC"/>
    <w:rsid w:val="00582A23"/>
    <w:rsid w:val="005840FC"/>
    <w:rsid w:val="00584A63"/>
    <w:rsid w:val="005934AD"/>
    <w:rsid w:val="005A2910"/>
    <w:rsid w:val="005A29F4"/>
    <w:rsid w:val="005A3C4D"/>
    <w:rsid w:val="005D57DA"/>
    <w:rsid w:val="005E12B9"/>
    <w:rsid w:val="005E7EBC"/>
    <w:rsid w:val="005F1CE0"/>
    <w:rsid w:val="005F399C"/>
    <w:rsid w:val="00603459"/>
    <w:rsid w:val="00604DF8"/>
    <w:rsid w:val="00611B3F"/>
    <w:rsid w:val="006134FA"/>
    <w:rsid w:val="00613717"/>
    <w:rsid w:val="0064655C"/>
    <w:rsid w:val="00646D3B"/>
    <w:rsid w:val="0065202F"/>
    <w:rsid w:val="00664ED4"/>
    <w:rsid w:val="00670279"/>
    <w:rsid w:val="006706BB"/>
    <w:rsid w:val="00671CCB"/>
    <w:rsid w:val="0067369D"/>
    <w:rsid w:val="00673A87"/>
    <w:rsid w:val="00674AD4"/>
    <w:rsid w:val="00690471"/>
    <w:rsid w:val="00695F0A"/>
    <w:rsid w:val="0069748F"/>
    <w:rsid w:val="006A1261"/>
    <w:rsid w:val="006B15C2"/>
    <w:rsid w:val="006C3030"/>
    <w:rsid w:val="006C3E43"/>
    <w:rsid w:val="006C5DF1"/>
    <w:rsid w:val="006C63CE"/>
    <w:rsid w:val="006C6470"/>
    <w:rsid w:val="006C75C1"/>
    <w:rsid w:val="006C7A55"/>
    <w:rsid w:val="006D64E4"/>
    <w:rsid w:val="006F119E"/>
    <w:rsid w:val="006F1734"/>
    <w:rsid w:val="006F2AAB"/>
    <w:rsid w:val="006F2E0C"/>
    <w:rsid w:val="006F2F2E"/>
    <w:rsid w:val="007047E2"/>
    <w:rsid w:val="0070740D"/>
    <w:rsid w:val="0071067E"/>
    <w:rsid w:val="00715428"/>
    <w:rsid w:val="00715552"/>
    <w:rsid w:val="007164B5"/>
    <w:rsid w:val="007303C1"/>
    <w:rsid w:val="00734345"/>
    <w:rsid w:val="007420EE"/>
    <w:rsid w:val="007443D5"/>
    <w:rsid w:val="00755561"/>
    <w:rsid w:val="00764A57"/>
    <w:rsid w:val="007654C8"/>
    <w:rsid w:val="00775279"/>
    <w:rsid w:val="00777C75"/>
    <w:rsid w:val="0078151E"/>
    <w:rsid w:val="007830A0"/>
    <w:rsid w:val="00793F85"/>
    <w:rsid w:val="007976AC"/>
    <w:rsid w:val="00797C2F"/>
    <w:rsid w:val="007B267B"/>
    <w:rsid w:val="007C0808"/>
    <w:rsid w:val="007C5374"/>
    <w:rsid w:val="007D15CC"/>
    <w:rsid w:val="007D3E13"/>
    <w:rsid w:val="007D695C"/>
    <w:rsid w:val="007E4B79"/>
    <w:rsid w:val="007F442C"/>
    <w:rsid w:val="007F598E"/>
    <w:rsid w:val="007F68E4"/>
    <w:rsid w:val="008016EC"/>
    <w:rsid w:val="008059CF"/>
    <w:rsid w:val="008113A1"/>
    <w:rsid w:val="00811614"/>
    <w:rsid w:val="00816F02"/>
    <w:rsid w:val="0082686D"/>
    <w:rsid w:val="008276F5"/>
    <w:rsid w:val="00827831"/>
    <w:rsid w:val="00830781"/>
    <w:rsid w:val="0083113B"/>
    <w:rsid w:val="008311F6"/>
    <w:rsid w:val="00833A23"/>
    <w:rsid w:val="008415CA"/>
    <w:rsid w:val="00842A36"/>
    <w:rsid w:val="00843CA0"/>
    <w:rsid w:val="00851B78"/>
    <w:rsid w:val="00853979"/>
    <w:rsid w:val="008551AC"/>
    <w:rsid w:val="00862649"/>
    <w:rsid w:val="00875173"/>
    <w:rsid w:val="00876D9E"/>
    <w:rsid w:val="008779FF"/>
    <w:rsid w:val="00884935"/>
    <w:rsid w:val="00887A6A"/>
    <w:rsid w:val="008918D0"/>
    <w:rsid w:val="0089533B"/>
    <w:rsid w:val="00897094"/>
    <w:rsid w:val="008B3A21"/>
    <w:rsid w:val="008C0499"/>
    <w:rsid w:val="008C10D0"/>
    <w:rsid w:val="008C1863"/>
    <w:rsid w:val="008C709C"/>
    <w:rsid w:val="008D3826"/>
    <w:rsid w:val="008E4D27"/>
    <w:rsid w:val="008E7125"/>
    <w:rsid w:val="008F1F04"/>
    <w:rsid w:val="008F308F"/>
    <w:rsid w:val="00901921"/>
    <w:rsid w:val="00903441"/>
    <w:rsid w:val="00910F12"/>
    <w:rsid w:val="009324CE"/>
    <w:rsid w:val="00937126"/>
    <w:rsid w:val="009376B7"/>
    <w:rsid w:val="0094732F"/>
    <w:rsid w:val="0096294A"/>
    <w:rsid w:val="00967412"/>
    <w:rsid w:val="0097070D"/>
    <w:rsid w:val="00974443"/>
    <w:rsid w:val="00977FE3"/>
    <w:rsid w:val="00982C1A"/>
    <w:rsid w:val="00983BE3"/>
    <w:rsid w:val="009A6B26"/>
    <w:rsid w:val="009B5F87"/>
    <w:rsid w:val="009C6A63"/>
    <w:rsid w:val="009D02BA"/>
    <w:rsid w:val="009D7EF1"/>
    <w:rsid w:val="009E2CE1"/>
    <w:rsid w:val="009F0DD3"/>
    <w:rsid w:val="00A021D0"/>
    <w:rsid w:val="00A0264B"/>
    <w:rsid w:val="00A270FB"/>
    <w:rsid w:val="00A3092C"/>
    <w:rsid w:val="00A35101"/>
    <w:rsid w:val="00A37785"/>
    <w:rsid w:val="00A4191B"/>
    <w:rsid w:val="00A41FDD"/>
    <w:rsid w:val="00A46BC0"/>
    <w:rsid w:val="00A47AD0"/>
    <w:rsid w:val="00A7074D"/>
    <w:rsid w:val="00A70D06"/>
    <w:rsid w:val="00A869BA"/>
    <w:rsid w:val="00A90D5D"/>
    <w:rsid w:val="00A90DE9"/>
    <w:rsid w:val="00A9242E"/>
    <w:rsid w:val="00AB7124"/>
    <w:rsid w:val="00AC481F"/>
    <w:rsid w:val="00AC6895"/>
    <w:rsid w:val="00AD467E"/>
    <w:rsid w:val="00AE2D02"/>
    <w:rsid w:val="00AF4619"/>
    <w:rsid w:val="00AF72A6"/>
    <w:rsid w:val="00B006AA"/>
    <w:rsid w:val="00B00BFF"/>
    <w:rsid w:val="00B1190A"/>
    <w:rsid w:val="00B156F5"/>
    <w:rsid w:val="00B23309"/>
    <w:rsid w:val="00B265D3"/>
    <w:rsid w:val="00B35C52"/>
    <w:rsid w:val="00B42738"/>
    <w:rsid w:val="00B42912"/>
    <w:rsid w:val="00B51BA6"/>
    <w:rsid w:val="00B52078"/>
    <w:rsid w:val="00B57BC9"/>
    <w:rsid w:val="00B57F41"/>
    <w:rsid w:val="00B60546"/>
    <w:rsid w:val="00B61622"/>
    <w:rsid w:val="00B62473"/>
    <w:rsid w:val="00B63F5E"/>
    <w:rsid w:val="00B676D3"/>
    <w:rsid w:val="00B7111E"/>
    <w:rsid w:val="00B72BE2"/>
    <w:rsid w:val="00B762DC"/>
    <w:rsid w:val="00B83052"/>
    <w:rsid w:val="00B8684F"/>
    <w:rsid w:val="00B87DE5"/>
    <w:rsid w:val="00B91F4A"/>
    <w:rsid w:val="00B92CDD"/>
    <w:rsid w:val="00BB00C3"/>
    <w:rsid w:val="00BB0A45"/>
    <w:rsid w:val="00BB2F65"/>
    <w:rsid w:val="00BB4758"/>
    <w:rsid w:val="00BC510D"/>
    <w:rsid w:val="00BD0C88"/>
    <w:rsid w:val="00BD1077"/>
    <w:rsid w:val="00BD2F97"/>
    <w:rsid w:val="00BD403B"/>
    <w:rsid w:val="00BE3436"/>
    <w:rsid w:val="00BF12DE"/>
    <w:rsid w:val="00BF6E7C"/>
    <w:rsid w:val="00BF75F9"/>
    <w:rsid w:val="00C12ABE"/>
    <w:rsid w:val="00C21CE7"/>
    <w:rsid w:val="00C26020"/>
    <w:rsid w:val="00C33AB2"/>
    <w:rsid w:val="00C36824"/>
    <w:rsid w:val="00C51271"/>
    <w:rsid w:val="00C56941"/>
    <w:rsid w:val="00C617F8"/>
    <w:rsid w:val="00C679E6"/>
    <w:rsid w:val="00C67FDD"/>
    <w:rsid w:val="00C72642"/>
    <w:rsid w:val="00C81B0D"/>
    <w:rsid w:val="00C85CF0"/>
    <w:rsid w:val="00C90FFA"/>
    <w:rsid w:val="00CA43D1"/>
    <w:rsid w:val="00CA4964"/>
    <w:rsid w:val="00CB440D"/>
    <w:rsid w:val="00CB458A"/>
    <w:rsid w:val="00CC3237"/>
    <w:rsid w:val="00CC73F0"/>
    <w:rsid w:val="00CD0D8A"/>
    <w:rsid w:val="00CD2C9C"/>
    <w:rsid w:val="00CD6D80"/>
    <w:rsid w:val="00CD764A"/>
    <w:rsid w:val="00CF1CF1"/>
    <w:rsid w:val="00CF2A2E"/>
    <w:rsid w:val="00CF341E"/>
    <w:rsid w:val="00CF36A1"/>
    <w:rsid w:val="00D25CD7"/>
    <w:rsid w:val="00D26E78"/>
    <w:rsid w:val="00D2769E"/>
    <w:rsid w:val="00D37CAC"/>
    <w:rsid w:val="00D40B8C"/>
    <w:rsid w:val="00D4115F"/>
    <w:rsid w:val="00D46204"/>
    <w:rsid w:val="00D62A1F"/>
    <w:rsid w:val="00D702AB"/>
    <w:rsid w:val="00D728E7"/>
    <w:rsid w:val="00D74697"/>
    <w:rsid w:val="00D76549"/>
    <w:rsid w:val="00D825DD"/>
    <w:rsid w:val="00D86424"/>
    <w:rsid w:val="00D957DD"/>
    <w:rsid w:val="00DA22DF"/>
    <w:rsid w:val="00DB3C20"/>
    <w:rsid w:val="00DC5FA6"/>
    <w:rsid w:val="00DD39B8"/>
    <w:rsid w:val="00DF7CEF"/>
    <w:rsid w:val="00E21E4C"/>
    <w:rsid w:val="00E221C2"/>
    <w:rsid w:val="00E301F8"/>
    <w:rsid w:val="00E332A9"/>
    <w:rsid w:val="00E36F58"/>
    <w:rsid w:val="00E56071"/>
    <w:rsid w:val="00E6124D"/>
    <w:rsid w:val="00E67ECA"/>
    <w:rsid w:val="00E729B7"/>
    <w:rsid w:val="00E93F8D"/>
    <w:rsid w:val="00E968CD"/>
    <w:rsid w:val="00EB2573"/>
    <w:rsid w:val="00EB7424"/>
    <w:rsid w:val="00EC21D9"/>
    <w:rsid w:val="00ED7730"/>
    <w:rsid w:val="00EE5A0F"/>
    <w:rsid w:val="00EF05F1"/>
    <w:rsid w:val="00EF0FE3"/>
    <w:rsid w:val="00EF144A"/>
    <w:rsid w:val="00EF2266"/>
    <w:rsid w:val="00EF318C"/>
    <w:rsid w:val="00EF4132"/>
    <w:rsid w:val="00F01125"/>
    <w:rsid w:val="00F013C6"/>
    <w:rsid w:val="00F05E02"/>
    <w:rsid w:val="00F1431A"/>
    <w:rsid w:val="00F2140C"/>
    <w:rsid w:val="00F22F45"/>
    <w:rsid w:val="00F2331E"/>
    <w:rsid w:val="00F24751"/>
    <w:rsid w:val="00F25E81"/>
    <w:rsid w:val="00F30356"/>
    <w:rsid w:val="00F325BC"/>
    <w:rsid w:val="00F33DE2"/>
    <w:rsid w:val="00F413F5"/>
    <w:rsid w:val="00F44713"/>
    <w:rsid w:val="00F474E9"/>
    <w:rsid w:val="00F503A4"/>
    <w:rsid w:val="00F50B6B"/>
    <w:rsid w:val="00F51BA2"/>
    <w:rsid w:val="00F530A2"/>
    <w:rsid w:val="00F601D7"/>
    <w:rsid w:val="00F6086C"/>
    <w:rsid w:val="00F61F89"/>
    <w:rsid w:val="00F6765F"/>
    <w:rsid w:val="00F67EAC"/>
    <w:rsid w:val="00F75550"/>
    <w:rsid w:val="00F8304B"/>
    <w:rsid w:val="00F95A14"/>
    <w:rsid w:val="00FA7D95"/>
    <w:rsid w:val="00FB1C19"/>
    <w:rsid w:val="00FC1F05"/>
    <w:rsid w:val="00FC333A"/>
    <w:rsid w:val="00FD189B"/>
    <w:rsid w:val="00FE0176"/>
    <w:rsid w:val="00FE1AA1"/>
    <w:rsid w:val="00FE1E66"/>
    <w:rsid w:val="00FE323D"/>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DF156"/>
  <w15:docId w15:val="{D85574C3-2B1E-4D6B-AE6B-42E3A6EC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styleId="FootnoteReference">
    <w:name w:val="footnote reference"/>
    <w:basedOn w:val="DefaultParagraphFont"/>
    <w:rsid w:val="00312A79"/>
    <w:rPr>
      <w:vertAlign w:val="superscript"/>
    </w:rPr>
  </w:style>
  <w:style w:type="character" w:styleId="PlaceholderText">
    <w:name w:val="Placeholder Text"/>
    <w:basedOn w:val="DefaultParagraphFont"/>
    <w:uiPriority w:val="99"/>
    <w:semiHidden/>
    <w:rsid w:val="002507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723D00F68D46A8BB89087AB61900EB"/>
        <w:category>
          <w:name w:val="General"/>
          <w:gallery w:val="placeholder"/>
        </w:category>
        <w:types>
          <w:type w:val="bbPlcHdr"/>
        </w:types>
        <w:behaviors>
          <w:behavior w:val="content"/>
        </w:behaviors>
        <w:guid w:val="{940EC7B0-86CC-46B6-B57F-D594778B7216}"/>
      </w:docPartPr>
      <w:docPartBody>
        <w:p w:rsidR="00000000" w:rsidRDefault="00CF28D5">
          <w:r w:rsidRPr="00B92B5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D5"/>
    <w:rsid w:val="00CF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D5"/>
    <w:rPr>
      <w:rFonts w:cs="Times New Roman"/>
      <w:sz w:val="3276"/>
      <w:szCs w:val="3276"/>
    </w:rPr>
  </w:style>
  <w:style w:type="character" w:default="1" w:styleId="DefaultParagraphFont">
    <w:name w:val="Default Paragraph Font"/>
    <w:uiPriority w:val="1"/>
    <w:semiHidden/>
    <w:unhideWhenUsed/>
    <w:rsid w:val="00CF28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8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9247-6E7C-4937-B4C2-8C05C54CA729}">
  <ds:schemaRefs>
    <ds:schemaRef ds:uri="http://schemas.microsoft.com/sharepoint/v3/contenttype/forms"/>
  </ds:schemaRefs>
</ds:datastoreItem>
</file>

<file path=customXml/itemProps2.xml><?xml version="1.0" encoding="utf-8"?>
<ds:datastoreItem xmlns:ds="http://schemas.openxmlformats.org/officeDocument/2006/customXml" ds:itemID="{EC4F62EC-EE44-4B03-A73B-226D044E3D13}">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e6623a06-f9bd-45d8-a4b2-dc257bd4f76c"/>
    <ds:schemaRef ds:uri="d63a0efd-3f7d-4421-b00f-74ef63be0d9f"/>
  </ds:schemaRefs>
</ds:datastoreItem>
</file>

<file path=customXml/itemProps3.xml><?xml version="1.0" encoding="utf-8"?>
<ds:datastoreItem xmlns:ds="http://schemas.openxmlformats.org/officeDocument/2006/customXml" ds:itemID="{DA472D06-72C0-4C23-B5FB-BB80896E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5AE26-4DCD-4FFE-83F8-679A7B11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823</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Centrally Retained Budgets</dc:title>
  <dc:creator>David Tully</dc:creator>
  <cp:lastModifiedBy>Christopher Philpot</cp:lastModifiedBy>
  <cp:revision>2</cp:revision>
  <cp:lastPrinted>2013-09-11T15:08:00Z</cp:lastPrinted>
  <dcterms:created xsi:type="dcterms:W3CDTF">2021-01-20T14:27:00Z</dcterms:created>
  <dcterms:modified xsi:type="dcterms:W3CDTF">2021-01-20T14:27:00Z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2007800</vt:r8>
  </property>
</Properties>
</file>