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060EB" w14:textId="77777777" w:rsidR="00673A87" w:rsidRDefault="00673A87"/>
    <w:tbl>
      <w:tblPr>
        <w:tblStyle w:val="TableGrid"/>
        <w:tblpPr w:leftFromText="180" w:rightFromText="180" w:vertAnchor="text" w:horzAnchor="margin" w:tblpX="108" w:tblpY="34"/>
        <w:tblW w:w="0" w:type="auto"/>
        <w:tblLook w:val="01E0" w:firstRow="1" w:lastRow="1" w:firstColumn="1" w:lastColumn="1" w:noHBand="0" w:noVBand="0"/>
      </w:tblPr>
      <w:tblGrid>
        <w:gridCol w:w="9060"/>
      </w:tblGrid>
      <w:tr w:rsidR="004C11CF" w:rsidRPr="002374A3" w14:paraId="4D4060ED" w14:textId="77777777" w:rsidTr="00703E39">
        <w:tc>
          <w:tcPr>
            <w:tcW w:w="9108" w:type="dxa"/>
          </w:tcPr>
          <w:p w14:paraId="4D4060EC" w14:textId="77777777" w:rsidR="004C11CF" w:rsidRPr="002374A3" w:rsidRDefault="0013261A" w:rsidP="002374A3">
            <w:pPr>
              <w:pStyle w:val="BodyTextIndent"/>
              <w:rPr>
                <w:b/>
                <w:sz w:val="32"/>
                <w:szCs w:val="32"/>
              </w:rPr>
            </w:pPr>
            <w:r>
              <w:rPr>
                <w:b/>
                <w:sz w:val="32"/>
                <w:szCs w:val="32"/>
              </w:rPr>
              <w:t xml:space="preserve">AGENDA ITEM </w:t>
            </w:r>
            <w:r w:rsidR="00AD3D5A">
              <w:rPr>
                <w:b/>
                <w:sz w:val="32"/>
                <w:szCs w:val="32"/>
              </w:rPr>
              <w:t>4</w:t>
            </w:r>
          </w:p>
        </w:tc>
      </w:tr>
    </w:tbl>
    <w:p w14:paraId="4D4060EE" w14:textId="77777777" w:rsidR="003D08B1" w:rsidRPr="004C11CF" w:rsidRDefault="003D08B1" w:rsidP="004C11CF"/>
    <w:p w14:paraId="4D4060EF" w14:textId="77777777" w:rsidR="003D08B1" w:rsidRDefault="003D08B1" w:rsidP="003D08B1">
      <w:pPr>
        <w:rPr>
          <w:b/>
        </w:rPr>
      </w:pPr>
    </w:p>
    <w:p w14:paraId="4D4060F0" w14:textId="77777777" w:rsidR="001E4116" w:rsidRPr="003D08B1" w:rsidRDefault="0013261A" w:rsidP="004C11CF">
      <w:pPr>
        <w:pStyle w:val="BodyTextIndent"/>
        <w:pBdr>
          <w:top w:val="single" w:sz="4" w:space="1" w:color="auto"/>
          <w:left w:val="single" w:sz="4" w:space="1" w:color="auto"/>
          <w:bottom w:val="single" w:sz="4" w:space="1" w:color="auto"/>
          <w:right w:val="single" w:sz="4" w:space="4" w:color="auto"/>
        </w:pBdr>
        <w:tabs>
          <w:tab w:val="clear" w:pos="360"/>
        </w:tabs>
        <w:ind w:left="0" w:firstLine="0"/>
        <w:jc w:val="both"/>
        <w:rPr>
          <w:b/>
          <w:sz w:val="32"/>
          <w:szCs w:val="32"/>
        </w:rPr>
      </w:pPr>
      <w:r>
        <w:rPr>
          <w:b/>
          <w:sz w:val="32"/>
          <w:szCs w:val="32"/>
        </w:rPr>
        <w:t xml:space="preserve">Title of report: </w:t>
      </w:r>
      <w:r w:rsidR="00346537">
        <w:rPr>
          <w:b/>
          <w:sz w:val="32"/>
          <w:szCs w:val="32"/>
        </w:rPr>
        <w:t>DSG Recovery Plan</w:t>
      </w:r>
    </w:p>
    <w:p w14:paraId="4D4060F1" w14:textId="77777777" w:rsidR="001E4116" w:rsidRDefault="001E4116" w:rsidP="001E4116">
      <w:pPr>
        <w:rPr>
          <w:b/>
          <w:u w:val="single"/>
        </w:rPr>
      </w:pPr>
    </w:p>
    <w:p w14:paraId="4D4060F2" w14:textId="77777777" w:rsidR="001E4116" w:rsidRPr="007F598E" w:rsidRDefault="001E4116" w:rsidP="001E4116">
      <w:pPr>
        <w:pBdr>
          <w:top w:val="single" w:sz="4" w:space="1" w:color="auto"/>
          <w:left w:val="single" w:sz="4" w:space="4" w:color="auto"/>
          <w:bottom w:val="single" w:sz="4" w:space="1" w:color="auto"/>
          <w:right w:val="single" w:sz="4" w:space="4" w:color="auto"/>
        </w:pBdr>
      </w:pPr>
      <w:r>
        <w:rPr>
          <w:b/>
        </w:rPr>
        <w:t xml:space="preserve">Author of the paper: </w:t>
      </w:r>
      <w:r w:rsidR="00346537">
        <w:rPr>
          <w:b/>
        </w:rPr>
        <w:t>John O’Shea</w:t>
      </w:r>
    </w:p>
    <w:p w14:paraId="4D4060F3" w14:textId="77777777" w:rsidR="001E4116" w:rsidRDefault="001E4116" w:rsidP="001E4116"/>
    <w:p w14:paraId="4D4060F4" w14:textId="77777777" w:rsidR="001E4116" w:rsidRPr="007F598E" w:rsidRDefault="001E4116" w:rsidP="001E4116">
      <w:pPr>
        <w:pBdr>
          <w:top w:val="single" w:sz="4" w:space="1" w:color="auto"/>
          <w:left w:val="single" w:sz="4" w:space="4" w:color="auto"/>
          <w:bottom w:val="single" w:sz="4" w:space="1" w:color="auto"/>
          <w:right w:val="single" w:sz="4" w:space="4" w:color="auto"/>
        </w:pBdr>
      </w:pPr>
      <w:r>
        <w:rPr>
          <w:b/>
        </w:rPr>
        <w:t xml:space="preserve">Officer to present the paper to </w:t>
      </w:r>
      <w:r w:rsidR="00025F55">
        <w:rPr>
          <w:b/>
        </w:rPr>
        <w:t>Schools Forum</w:t>
      </w:r>
      <w:r>
        <w:rPr>
          <w:b/>
        </w:rPr>
        <w:t xml:space="preserve">: </w:t>
      </w:r>
      <w:r w:rsidR="00346537">
        <w:rPr>
          <w:b/>
        </w:rPr>
        <w:t>John O’Shea</w:t>
      </w:r>
    </w:p>
    <w:p w14:paraId="4D4060F5" w14:textId="77777777" w:rsidR="001E4116" w:rsidRDefault="001E4116" w:rsidP="001E4116"/>
    <w:p w14:paraId="4D4060F6" w14:textId="77777777" w:rsidR="001E4116" w:rsidRDefault="001E4116" w:rsidP="001E4116">
      <w:pPr>
        <w:pBdr>
          <w:top w:val="single" w:sz="4" w:space="1" w:color="auto"/>
          <w:left w:val="single" w:sz="4" w:space="4" w:color="auto"/>
          <w:bottom w:val="single" w:sz="4" w:space="1" w:color="auto"/>
          <w:right w:val="single" w:sz="4" w:space="4" w:color="auto"/>
        </w:pBdr>
        <w:rPr>
          <w:b/>
        </w:rPr>
      </w:pPr>
      <w:r>
        <w:rPr>
          <w:b/>
        </w:rPr>
        <w:t>Details on who has been consulted with on this paper to date:</w:t>
      </w:r>
    </w:p>
    <w:p w14:paraId="4D4060F7" w14:textId="77777777" w:rsidR="00346537" w:rsidRDefault="00693970" w:rsidP="001E4116">
      <w:pPr>
        <w:pBdr>
          <w:top w:val="single" w:sz="4" w:space="1" w:color="auto"/>
          <w:left w:val="single" w:sz="4" w:space="4" w:color="auto"/>
          <w:bottom w:val="single" w:sz="4" w:space="1" w:color="auto"/>
          <w:right w:val="single" w:sz="4" w:space="4" w:color="auto"/>
        </w:pBdr>
        <w:rPr>
          <w:b/>
        </w:rPr>
      </w:pPr>
      <w:r>
        <w:rPr>
          <w:b/>
        </w:rPr>
        <w:t>Steve Worth</w:t>
      </w:r>
    </w:p>
    <w:p w14:paraId="4D4060F8" w14:textId="77777777" w:rsidR="00231A6E" w:rsidRDefault="00693970" w:rsidP="001E4116">
      <w:pPr>
        <w:pBdr>
          <w:top w:val="single" w:sz="4" w:space="1" w:color="auto"/>
          <w:left w:val="single" w:sz="4" w:space="4" w:color="auto"/>
          <w:bottom w:val="single" w:sz="4" w:space="1" w:color="auto"/>
          <w:right w:val="single" w:sz="4" w:space="4" w:color="auto"/>
        </w:pBdr>
        <w:rPr>
          <w:b/>
        </w:rPr>
      </w:pPr>
      <w:r>
        <w:rPr>
          <w:b/>
        </w:rPr>
        <w:t>Sandra Smith</w:t>
      </w:r>
    </w:p>
    <w:p w14:paraId="4D4060F9" w14:textId="77777777" w:rsidR="001E4116" w:rsidRDefault="001E4116" w:rsidP="001E4116">
      <w:pPr>
        <w:spacing w:after="120"/>
        <w:rPr>
          <w:b/>
        </w:rPr>
      </w:pPr>
    </w:p>
    <w:p w14:paraId="4D4060FA" w14:textId="77777777" w:rsidR="001E4116" w:rsidRDefault="001E4116" w:rsidP="001E4116">
      <w:pPr>
        <w:pBdr>
          <w:top w:val="single" w:sz="4" w:space="1" w:color="auto"/>
          <w:left w:val="single" w:sz="4" w:space="1" w:color="auto"/>
          <w:bottom w:val="single" w:sz="4" w:space="1" w:color="auto"/>
          <w:right w:val="single" w:sz="4" w:space="1" w:color="auto"/>
        </w:pBdr>
        <w:spacing w:after="120"/>
        <w:rPr>
          <w:b/>
        </w:rPr>
      </w:pPr>
      <w:r>
        <w:rPr>
          <w:b/>
        </w:rPr>
        <w:t>Executive</w:t>
      </w:r>
      <w:r w:rsidRPr="008E3BB6">
        <w:rPr>
          <w:b/>
        </w:rPr>
        <w:t xml:space="preserve"> Summary</w:t>
      </w:r>
    </w:p>
    <w:p w14:paraId="4D4060FB" w14:textId="77777777" w:rsidR="00346537" w:rsidRDefault="009B74D8" w:rsidP="001E4116">
      <w:pPr>
        <w:pBdr>
          <w:top w:val="single" w:sz="4" w:space="1" w:color="auto"/>
          <w:left w:val="single" w:sz="4" w:space="1" w:color="auto"/>
          <w:bottom w:val="single" w:sz="4" w:space="1" w:color="auto"/>
          <w:right w:val="single" w:sz="4" w:space="1" w:color="auto"/>
        </w:pBdr>
        <w:spacing w:after="120"/>
        <w:rPr>
          <w:sz w:val="22"/>
          <w:szCs w:val="22"/>
        </w:rPr>
      </w:pPr>
      <w:r>
        <w:rPr>
          <w:sz w:val="22"/>
          <w:szCs w:val="22"/>
        </w:rPr>
        <w:t>The High N</w:t>
      </w:r>
      <w:r w:rsidRPr="009B74D8">
        <w:rPr>
          <w:sz w:val="22"/>
          <w:szCs w:val="22"/>
        </w:rPr>
        <w:t>eeds Funding Block</w:t>
      </w:r>
      <w:r>
        <w:rPr>
          <w:sz w:val="22"/>
          <w:szCs w:val="22"/>
        </w:rPr>
        <w:t xml:space="preserve"> (HNFB)</w:t>
      </w:r>
      <w:r w:rsidRPr="009B74D8">
        <w:rPr>
          <w:sz w:val="22"/>
          <w:szCs w:val="22"/>
        </w:rPr>
        <w:t xml:space="preserve"> is part of the overall De</w:t>
      </w:r>
      <w:r w:rsidR="00012660">
        <w:rPr>
          <w:sz w:val="22"/>
          <w:szCs w:val="22"/>
        </w:rPr>
        <w:t>dicated</w:t>
      </w:r>
      <w:r w:rsidRPr="009B74D8">
        <w:rPr>
          <w:sz w:val="22"/>
          <w:szCs w:val="22"/>
        </w:rPr>
        <w:t xml:space="preserve"> Schools Grant and provides funding for education, support and services required by children and young people with Special Educational Needs</w:t>
      </w:r>
      <w:r>
        <w:rPr>
          <w:sz w:val="22"/>
          <w:szCs w:val="22"/>
        </w:rPr>
        <w:t xml:space="preserve"> (SEN)</w:t>
      </w:r>
      <w:r w:rsidRPr="009B74D8">
        <w:rPr>
          <w:sz w:val="22"/>
          <w:szCs w:val="22"/>
        </w:rPr>
        <w:t>. It also provides resource for those who have been excluded from mainstream school and require alternative provision.</w:t>
      </w:r>
    </w:p>
    <w:p w14:paraId="4D4060FC" w14:textId="77777777" w:rsidR="002D432E" w:rsidRDefault="002D432E" w:rsidP="001E4116">
      <w:pPr>
        <w:pBdr>
          <w:top w:val="single" w:sz="4" w:space="1" w:color="auto"/>
          <w:left w:val="single" w:sz="4" w:space="1" w:color="auto"/>
          <w:bottom w:val="single" w:sz="4" w:space="1" w:color="auto"/>
          <w:right w:val="single" w:sz="4" w:space="1" w:color="auto"/>
        </w:pBdr>
        <w:spacing w:after="120"/>
        <w:rPr>
          <w:sz w:val="22"/>
          <w:szCs w:val="22"/>
        </w:rPr>
      </w:pPr>
      <w:r>
        <w:rPr>
          <w:sz w:val="22"/>
          <w:szCs w:val="22"/>
        </w:rPr>
        <w:t>Nationally, the pressure on the SEN HNFB is at crisis point with very few local authorities reporting underspends and those that are report that it is a case of when their budgets go into deficit, rather than if they go into deficit.</w:t>
      </w:r>
    </w:p>
    <w:p w14:paraId="4D4060FD" w14:textId="77777777" w:rsidR="009B74D8" w:rsidRDefault="009B74D8" w:rsidP="001E4116">
      <w:pPr>
        <w:pBdr>
          <w:top w:val="single" w:sz="4" w:space="1" w:color="auto"/>
          <w:left w:val="single" w:sz="4" w:space="1" w:color="auto"/>
          <w:bottom w:val="single" w:sz="4" w:space="1" w:color="auto"/>
          <w:right w:val="single" w:sz="4" w:space="1" w:color="auto"/>
        </w:pBdr>
        <w:spacing w:after="120"/>
        <w:rPr>
          <w:sz w:val="22"/>
          <w:szCs w:val="22"/>
        </w:rPr>
      </w:pPr>
      <w:r>
        <w:rPr>
          <w:sz w:val="22"/>
          <w:szCs w:val="22"/>
        </w:rPr>
        <w:t>In 2018-19 the SEN section of the HNFB</w:t>
      </w:r>
      <w:r w:rsidR="002D432E">
        <w:rPr>
          <w:sz w:val="22"/>
          <w:szCs w:val="22"/>
        </w:rPr>
        <w:t xml:space="preserve"> for Tower Hamlets</w:t>
      </w:r>
      <w:r>
        <w:rPr>
          <w:sz w:val="22"/>
          <w:szCs w:val="22"/>
        </w:rPr>
        <w:t xml:space="preserve"> reported a £7m deficit, the result of three years of accumulated pressure on this block. The to</w:t>
      </w:r>
      <w:r w:rsidR="002D432E">
        <w:rPr>
          <w:sz w:val="22"/>
          <w:szCs w:val="22"/>
        </w:rPr>
        <w:t>tal deficit meant that the</w:t>
      </w:r>
      <w:r>
        <w:rPr>
          <w:sz w:val="22"/>
          <w:szCs w:val="22"/>
        </w:rPr>
        <w:t xml:space="preserve"> DSG deficit was greater than 1%, requiring the council to submit a Recovery Plan to the Department for Education.</w:t>
      </w:r>
    </w:p>
    <w:p w14:paraId="4D4060FE" w14:textId="77777777" w:rsidR="002D432E" w:rsidRDefault="009B74D8" w:rsidP="001E4116">
      <w:pPr>
        <w:pBdr>
          <w:top w:val="single" w:sz="4" w:space="1" w:color="auto"/>
          <w:left w:val="single" w:sz="4" w:space="1" w:color="auto"/>
          <w:bottom w:val="single" w:sz="4" w:space="1" w:color="auto"/>
          <w:right w:val="single" w:sz="4" w:space="1" w:color="auto"/>
        </w:pBdr>
        <w:spacing w:after="120"/>
        <w:rPr>
          <w:sz w:val="22"/>
          <w:szCs w:val="22"/>
        </w:rPr>
      </w:pPr>
      <w:r>
        <w:rPr>
          <w:sz w:val="22"/>
          <w:szCs w:val="22"/>
        </w:rPr>
        <w:t xml:space="preserve">The recovery plan requires the agreement of Schools Forum and due to </w:t>
      </w:r>
      <w:proofErr w:type="gramStart"/>
      <w:r>
        <w:rPr>
          <w:sz w:val="22"/>
          <w:szCs w:val="22"/>
        </w:rPr>
        <w:t>timescales</w:t>
      </w:r>
      <w:proofErr w:type="gramEnd"/>
      <w:r>
        <w:rPr>
          <w:sz w:val="22"/>
          <w:szCs w:val="22"/>
        </w:rPr>
        <w:t xml:space="preserve"> this could not be sought prior to the end of the 2018-19 school year</w:t>
      </w:r>
      <w:r w:rsidR="002D432E">
        <w:rPr>
          <w:sz w:val="22"/>
          <w:szCs w:val="22"/>
        </w:rPr>
        <w:t>. The council was advised to submit the plan and seek approval of Schools Forum at the first meeting of the new school year.</w:t>
      </w:r>
    </w:p>
    <w:p w14:paraId="4D4060FF" w14:textId="77777777" w:rsidR="002D432E" w:rsidRDefault="002D432E" w:rsidP="001E4116">
      <w:pPr>
        <w:pBdr>
          <w:top w:val="single" w:sz="4" w:space="1" w:color="auto"/>
          <w:left w:val="single" w:sz="4" w:space="1" w:color="auto"/>
          <w:bottom w:val="single" w:sz="4" w:space="1" w:color="auto"/>
          <w:right w:val="single" w:sz="4" w:space="1" w:color="auto"/>
        </w:pBdr>
        <w:spacing w:after="120"/>
        <w:rPr>
          <w:sz w:val="22"/>
          <w:szCs w:val="22"/>
        </w:rPr>
      </w:pPr>
      <w:r>
        <w:rPr>
          <w:sz w:val="22"/>
          <w:szCs w:val="22"/>
        </w:rPr>
        <w:t>The DSG Recovery Plan is unlikely to reduce the entire deficit in the timescales required and is presented to Schools forum with the following</w:t>
      </w:r>
      <w:r w:rsidR="00176EBE">
        <w:rPr>
          <w:sz w:val="22"/>
          <w:szCs w:val="22"/>
        </w:rPr>
        <w:t xml:space="preserve"> points to note:</w:t>
      </w:r>
    </w:p>
    <w:p w14:paraId="4D406100" w14:textId="77777777" w:rsidR="00176EBE" w:rsidRDefault="00176EBE" w:rsidP="00176EBE">
      <w:pPr>
        <w:pBdr>
          <w:top w:val="single" w:sz="4" w:space="1" w:color="auto"/>
          <w:left w:val="single" w:sz="4" w:space="1" w:color="auto"/>
          <w:bottom w:val="single" w:sz="4" w:space="1" w:color="auto"/>
          <w:right w:val="single" w:sz="4" w:space="1" w:color="auto"/>
        </w:pBdr>
        <w:tabs>
          <w:tab w:val="left" w:pos="567"/>
        </w:tabs>
        <w:spacing w:after="120"/>
        <w:rPr>
          <w:sz w:val="22"/>
          <w:szCs w:val="22"/>
        </w:rPr>
      </w:pPr>
      <w:r>
        <w:rPr>
          <w:sz w:val="22"/>
          <w:szCs w:val="22"/>
        </w:rPr>
        <w:tab/>
        <w:t xml:space="preserve">1. The council has had no further feedback from the DFE on the proposed plan </w:t>
      </w:r>
      <w:r>
        <w:rPr>
          <w:sz w:val="22"/>
          <w:szCs w:val="22"/>
        </w:rPr>
        <w:tab/>
        <w:t>submitted</w:t>
      </w:r>
    </w:p>
    <w:p w14:paraId="4D406101" w14:textId="77777777" w:rsidR="00176EBE" w:rsidRDefault="00176EBE" w:rsidP="00176EBE">
      <w:pPr>
        <w:pBdr>
          <w:top w:val="single" w:sz="4" w:space="1" w:color="auto"/>
          <w:left w:val="single" w:sz="4" w:space="1" w:color="auto"/>
          <w:bottom w:val="single" w:sz="4" w:space="1" w:color="auto"/>
          <w:right w:val="single" w:sz="4" w:space="1" w:color="auto"/>
        </w:pBdr>
        <w:tabs>
          <w:tab w:val="left" w:pos="567"/>
        </w:tabs>
        <w:spacing w:after="120"/>
        <w:rPr>
          <w:sz w:val="22"/>
          <w:szCs w:val="22"/>
        </w:rPr>
      </w:pPr>
      <w:r>
        <w:rPr>
          <w:sz w:val="22"/>
          <w:szCs w:val="22"/>
        </w:rPr>
        <w:tab/>
        <w:t xml:space="preserve">2. The government has announced a £700m increase in funding, without releasing </w:t>
      </w:r>
      <w:r>
        <w:rPr>
          <w:sz w:val="22"/>
          <w:szCs w:val="22"/>
        </w:rPr>
        <w:tab/>
        <w:t>details of the allocation, or the conditions for the use of any funding</w:t>
      </w:r>
    </w:p>
    <w:p w14:paraId="4D406102" w14:textId="77777777" w:rsidR="00346537" w:rsidRPr="00176EBE" w:rsidRDefault="00176EBE" w:rsidP="00176EBE">
      <w:pPr>
        <w:pBdr>
          <w:top w:val="single" w:sz="4" w:space="1" w:color="auto"/>
          <w:left w:val="single" w:sz="4" w:space="1" w:color="auto"/>
          <w:bottom w:val="single" w:sz="4" w:space="1" w:color="auto"/>
          <w:right w:val="single" w:sz="4" w:space="1" w:color="auto"/>
        </w:pBdr>
        <w:tabs>
          <w:tab w:val="left" w:pos="567"/>
        </w:tabs>
        <w:spacing w:after="120"/>
        <w:rPr>
          <w:sz w:val="22"/>
          <w:szCs w:val="22"/>
        </w:rPr>
      </w:pPr>
      <w:r>
        <w:rPr>
          <w:sz w:val="22"/>
          <w:szCs w:val="22"/>
        </w:rPr>
        <w:tab/>
        <w:t>3. Following the recent public consultation, the council has taken advice and will re-</w:t>
      </w:r>
      <w:r>
        <w:rPr>
          <w:sz w:val="22"/>
          <w:szCs w:val="22"/>
        </w:rPr>
        <w:tab/>
        <w:t>consult on top-up fee amounts prior to any final decision about top-up rates</w:t>
      </w:r>
    </w:p>
    <w:p w14:paraId="4D406103" w14:textId="77777777" w:rsidR="001E4116" w:rsidRDefault="001E4116" w:rsidP="001E4116"/>
    <w:p w14:paraId="4D406104" w14:textId="77777777" w:rsidR="00F6086C" w:rsidRPr="00F6086C" w:rsidRDefault="001E4116" w:rsidP="00F6086C">
      <w:pPr>
        <w:pBdr>
          <w:top w:val="single" w:sz="4" w:space="1" w:color="auto"/>
          <w:left w:val="single" w:sz="4" w:space="1" w:color="auto"/>
          <w:bottom w:val="single" w:sz="4" w:space="1" w:color="auto"/>
          <w:right w:val="single" w:sz="4" w:space="1" w:color="auto"/>
        </w:pBdr>
        <w:rPr>
          <w:b/>
        </w:rPr>
      </w:pPr>
      <w:r>
        <w:rPr>
          <w:b/>
        </w:rPr>
        <w:t xml:space="preserve">Details of recommendations and timescales for decisions: </w:t>
      </w:r>
    </w:p>
    <w:p w14:paraId="4D406105" w14:textId="77777777" w:rsidR="000E615B" w:rsidRPr="000E615B" w:rsidRDefault="00EE5A0F" w:rsidP="0013261A">
      <w:pPr>
        <w:pBdr>
          <w:top w:val="single" w:sz="4" w:space="1" w:color="auto"/>
          <w:left w:val="single" w:sz="4" w:space="1" w:color="auto"/>
          <w:bottom w:val="single" w:sz="4" w:space="1" w:color="auto"/>
          <w:right w:val="single" w:sz="4" w:space="1" w:color="auto"/>
        </w:pBdr>
        <w:spacing w:after="120"/>
        <w:rPr>
          <w:sz w:val="22"/>
          <w:szCs w:val="22"/>
        </w:rPr>
      </w:pPr>
      <w:r w:rsidRPr="000E615B">
        <w:rPr>
          <w:sz w:val="22"/>
          <w:szCs w:val="22"/>
        </w:rPr>
        <w:t>Schools Forum is</w:t>
      </w:r>
      <w:r w:rsidR="00346537" w:rsidRPr="000E615B">
        <w:rPr>
          <w:sz w:val="22"/>
          <w:szCs w:val="22"/>
        </w:rPr>
        <w:t xml:space="preserve"> asked to comment on the </w:t>
      </w:r>
      <w:r w:rsidR="000E615B" w:rsidRPr="000E615B">
        <w:rPr>
          <w:sz w:val="22"/>
          <w:szCs w:val="22"/>
        </w:rPr>
        <w:t xml:space="preserve">current form of the </w:t>
      </w:r>
      <w:r w:rsidR="00346537" w:rsidRPr="000E615B">
        <w:rPr>
          <w:sz w:val="22"/>
          <w:szCs w:val="22"/>
        </w:rPr>
        <w:t>DSG Recovery Plan submitted to the DFE.</w:t>
      </w:r>
      <w:r w:rsidR="006B59E2">
        <w:rPr>
          <w:sz w:val="22"/>
          <w:szCs w:val="22"/>
        </w:rPr>
        <w:t xml:space="preserve"> </w:t>
      </w:r>
      <w:r w:rsidR="00B74BC5" w:rsidRPr="006B59E2">
        <w:rPr>
          <w:sz w:val="22"/>
          <w:szCs w:val="22"/>
        </w:rPr>
        <w:t>Agree the DSG Recovery Plan in its current form as indicative of the council’s attempts to reduce spending on the SEN portion of the HNFB in a time of reduced funding for SEND nationally and in the knowledge that further funding has been announced by the government.</w:t>
      </w:r>
    </w:p>
    <w:p w14:paraId="4D406106" w14:textId="77777777" w:rsidR="003B3B7C" w:rsidRDefault="003B3B7C">
      <w:pPr>
        <w:rPr>
          <w:b/>
        </w:rPr>
      </w:pPr>
    </w:p>
    <w:p w14:paraId="4D406107" w14:textId="77777777" w:rsidR="003B3B7C" w:rsidRDefault="003B3B7C" w:rsidP="003B3B7C">
      <w:pPr>
        <w:pStyle w:val="Header"/>
        <w:numPr>
          <w:ilvl w:val="0"/>
          <w:numId w:val="43"/>
        </w:numPr>
        <w:rPr>
          <w:b/>
        </w:rPr>
      </w:pPr>
      <w:r>
        <w:rPr>
          <w:b/>
        </w:rPr>
        <w:t>Report</w:t>
      </w:r>
    </w:p>
    <w:p w14:paraId="4D406108" w14:textId="77777777" w:rsidR="00F32D02" w:rsidRDefault="00F32D02" w:rsidP="00F32D02">
      <w:pPr>
        <w:pStyle w:val="Header"/>
        <w:rPr>
          <w:rFonts w:cs="Arial"/>
          <w:b/>
          <w:bCs/>
          <w:iCs/>
          <w:sz w:val="22"/>
          <w:szCs w:val="22"/>
        </w:rPr>
      </w:pPr>
    </w:p>
    <w:p w14:paraId="4D406109" w14:textId="77777777" w:rsidR="004A135A" w:rsidRDefault="004A135A" w:rsidP="00F32D02">
      <w:pPr>
        <w:pStyle w:val="Header"/>
        <w:rPr>
          <w:rFonts w:cs="Arial"/>
          <w:bCs/>
          <w:iCs/>
          <w:sz w:val="22"/>
          <w:szCs w:val="22"/>
        </w:rPr>
      </w:pPr>
      <w:r>
        <w:rPr>
          <w:rFonts w:cs="Arial"/>
          <w:bCs/>
          <w:iCs/>
          <w:sz w:val="22"/>
          <w:szCs w:val="22"/>
        </w:rPr>
        <w:t>Background</w:t>
      </w:r>
    </w:p>
    <w:p w14:paraId="4D40610A" w14:textId="77777777" w:rsidR="004A135A" w:rsidRDefault="004A135A" w:rsidP="00F32D02">
      <w:pPr>
        <w:pStyle w:val="Header"/>
        <w:rPr>
          <w:rFonts w:cs="Arial"/>
          <w:bCs/>
          <w:iCs/>
          <w:sz w:val="22"/>
          <w:szCs w:val="22"/>
        </w:rPr>
      </w:pPr>
    </w:p>
    <w:p w14:paraId="4D40610B" w14:textId="77777777" w:rsidR="004A135A" w:rsidRPr="002E2268" w:rsidRDefault="00F32D02" w:rsidP="00F32D02">
      <w:pPr>
        <w:pStyle w:val="Header"/>
        <w:rPr>
          <w:rFonts w:cs="Arial"/>
          <w:bCs/>
          <w:iCs/>
          <w:sz w:val="22"/>
          <w:szCs w:val="22"/>
        </w:rPr>
      </w:pPr>
      <w:r w:rsidRPr="004A135A">
        <w:rPr>
          <w:rFonts w:cs="Arial"/>
          <w:bCs/>
          <w:iCs/>
          <w:sz w:val="22"/>
          <w:szCs w:val="22"/>
        </w:rPr>
        <w:t>The High Needs Funding Block (HNFB) is one part of the overall De</w:t>
      </w:r>
      <w:r w:rsidR="00012660">
        <w:rPr>
          <w:rFonts w:cs="Arial"/>
          <w:bCs/>
          <w:iCs/>
          <w:sz w:val="22"/>
          <w:szCs w:val="22"/>
        </w:rPr>
        <w:t>dicated</w:t>
      </w:r>
      <w:r w:rsidRPr="004A135A">
        <w:rPr>
          <w:rFonts w:cs="Arial"/>
          <w:bCs/>
          <w:iCs/>
          <w:sz w:val="22"/>
          <w:szCs w:val="22"/>
        </w:rPr>
        <w:t xml:space="preserve"> Schools Grant (DSG)</w:t>
      </w:r>
      <w:r w:rsidR="009E4378" w:rsidRPr="004A135A">
        <w:rPr>
          <w:rFonts w:cs="Arial"/>
          <w:bCs/>
          <w:iCs/>
          <w:sz w:val="22"/>
          <w:szCs w:val="22"/>
        </w:rPr>
        <w:t>. Th</w:t>
      </w:r>
      <w:r w:rsidR="004A135A" w:rsidRPr="004A135A">
        <w:rPr>
          <w:sz w:val="22"/>
          <w:szCs w:val="22"/>
        </w:rPr>
        <w:t xml:space="preserve">e </w:t>
      </w:r>
      <w:r w:rsidR="002E2268">
        <w:rPr>
          <w:sz w:val="22"/>
          <w:szCs w:val="22"/>
        </w:rPr>
        <w:t>HNFB</w:t>
      </w:r>
      <w:r w:rsidR="004A135A" w:rsidRPr="004A135A">
        <w:rPr>
          <w:sz w:val="22"/>
          <w:szCs w:val="22"/>
        </w:rPr>
        <w:t xml:space="preserve"> provides funding for education, support and services required by children and young people with Special Educational Needs</w:t>
      </w:r>
      <w:r w:rsidR="002E2268">
        <w:rPr>
          <w:sz w:val="22"/>
          <w:szCs w:val="22"/>
        </w:rPr>
        <w:t xml:space="preserve"> and Disabilities</w:t>
      </w:r>
      <w:r w:rsidR="004A135A" w:rsidRPr="004A135A">
        <w:rPr>
          <w:sz w:val="22"/>
          <w:szCs w:val="22"/>
        </w:rPr>
        <w:t xml:space="preserve"> (SEND). It also provides resource for those who have been excluded from mainstream school and require alternative provision.</w:t>
      </w:r>
    </w:p>
    <w:p w14:paraId="4D40610C" w14:textId="77777777" w:rsidR="004A135A" w:rsidRDefault="004A135A" w:rsidP="00F32D02">
      <w:pPr>
        <w:pStyle w:val="Header"/>
      </w:pPr>
    </w:p>
    <w:p w14:paraId="4D40610D" w14:textId="77777777" w:rsidR="00F32D02" w:rsidRPr="00FC0ACB" w:rsidRDefault="002E2268" w:rsidP="00FC0ACB">
      <w:pPr>
        <w:spacing w:after="240"/>
        <w:rPr>
          <w:sz w:val="22"/>
          <w:szCs w:val="22"/>
        </w:rPr>
      </w:pPr>
      <w:r w:rsidRPr="002E46E4">
        <w:rPr>
          <w:sz w:val="22"/>
          <w:szCs w:val="22"/>
        </w:rPr>
        <w:t xml:space="preserve">Of the SEND portion of the HNFB the largest amount, approximately 90% is spent on </w:t>
      </w:r>
      <w:r w:rsidR="00012660">
        <w:rPr>
          <w:sz w:val="22"/>
          <w:szCs w:val="22"/>
        </w:rPr>
        <w:t xml:space="preserve">place-led funding and </w:t>
      </w:r>
      <w:r w:rsidRPr="002E46E4">
        <w:rPr>
          <w:sz w:val="22"/>
          <w:szCs w:val="22"/>
        </w:rPr>
        <w:t xml:space="preserve">top-up fees for children and young people with Education, Health and Care Plans (EHCPs). </w:t>
      </w:r>
      <w:r w:rsidR="00F1044E">
        <w:rPr>
          <w:sz w:val="22"/>
          <w:szCs w:val="22"/>
        </w:rPr>
        <w:t xml:space="preserve">The remaining 10% </w:t>
      </w:r>
      <w:r w:rsidR="002E46E4" w:rsidRPr="002E46E4">
        <w:rPr>
          <w:sz w:val="22"/>
          <w:szCs w:val="22"/>
        </w:rPr>
        <w:t xml:space="preserve">is retained by the LA </w:t>
      </w:r>
      <w:r w:rsidR="002E46E4">
        <w:rPr>
          <w:sz w:val="22"/>
          <w:szCs w:val="22"/>
        </w:rPr>
        <w:t xml:space="preserve">and </w:t>
      </w:r>
      <w:r w:rsidR="002E46E4" w:rsidRPr="002E46E4">
        <w:rPr>
          <w:sz w:val="22"/>
          <w:szCs w:val="22"/>
        </w:rPr>
        <w:t>is spent on</w:t>
      </w:r>
      <w:r w:rsidR="002E46E4">
        <w:rPr>
          <w:sz w:val="22"/>
          <w:szCs w:val="22"/>
        </w:rPr>
        <w:t xml:space="preserve"> services which support inclusion in the mainstream schools, including </w:t>
      </w:r>
      <w:r w:rsidR="00FC0ACB">
        <w:rPr>
          <w:sz w:val="22"/>
          <w:szCs w:val="22"/>
        </w:rPr>
        <w:t xml:space="preserve">a </w:t>
      </w:r>
      <w:r w:rsidR="00F1044E">
        <w:rPr>
          <w:sz w:val="22"/>
          <w:szCs w:val="22"/>
        </w:rPr>
        <w:t xml:space="preserve">significant contribution to the </w:t>
      </w:r>
      <w:r w:rsidR="002E46E4" w:rsidRPr="002E46E4">
        <w:rPr>
          <w:sz w:val="22"/>
          <w:szCs w:val="22"/>
        </w:rPr>
        <w:t>Support for Learning Service</w:t>
      </w:r>
      <w:r w:rsidR="00F1044E">
        <w:rPr>
          <w:sz w:val="22"/>
          <w:szCs w:val="22"/>
        </w:rPr>
        <w:t xml:space="preserve"> (SLS), </w:t>
      </w:r>
      <w:r w:rsidR="00FC0ACB">
        <w:rPr>
          <w:sz w:val="22"/>
          <w:szCs w:val="22"/>
        </w:rPr>
        <w:t>funding for hospital schooling, the Behaviour and Attendance Support Service (BASS),</w:t>
      </w:r>
      <w:r w:rsidR="002E46E4" w:rsidRPr="002E46E4">
        <w:rPr>
          <w:sz w:val="22"/>
          <w:szCs w:val="22"/>
        </w:rPr>
        <w:t xml:space="preserve"> outreach servi</w:t>
      </w:r>
      <w:r w:rsidR="00FC0ACB">
        <w:rPr>
          <w:sz w:val="22"/>
          <w:szCs w:val="22"/>
        </w:rPr>
        <w:t>ces provided by local special</w:t>
      </w:r>
      <w:r w:rsidR="002E46E4" w:rsidRPr="002E46E4">
        <w:rPr>
          <w:sz w:val="22"/>
          <w:szCs w:val="22"/>
        </w:rPr>
        <w:t xml:space="preserve"> schools, speech and language therapy, specialist equipment and a vulnerable pupils fund. </w:t>
      </w:r>
    </w:p>
    <w:p w14:paraId="4D40610E" w14:textId="77777777" w:rsidR="00F32D02" w:rsidRDefault="00F32D02" w:rsidP="00F32D02">
      <w:pPr>
        <w:jc w:val="both"/>
        <w:rPr>
          <w:rFonts w:cs="Arial"/>
          <w:sz w:val="22"/>
          <w:szCs w:val="22"/>
        </w:rPr>
      </w:pPr>
      <w:r>
        <w:rPr>
          <w:rFonts w:cs="Arial"/>
          <w:sz w:val="22"/>
          <w:szCs w:val="22"/>
        </w:rPr>
        <w:t>Nationally there has been a 34% increase in the number of EHCPs since the introduction of the 2015 SEN Code of Practice. Tower Hamlets (4.4%) has more EHCPs than nationally (3%) and Inner London (3.1%). This number reflects the significant need within the Local Area and is more comparable, though still higher than our near neighbours Hackney (3.5%) and Islington (3.9%).</w:t>
      </w:r>
    </w:p>
    <w:p w14:paraId="4D40610F" w14:textId="77777777" w:rsidR="00F32D02" w:rsidRDefault="00F32D02" w:rsidP="00F32D02">
      <w:pPr>
        <w:jc w:val="both"/>
        <w:rPr>
          <w:rFonts w:cs="Arial"/>
          <w:sz w:val="22"/>
          <w:szCs w:val="22"/>
        </w:rPr>
      </w:pPr>
    </w:p>
    <w:p w14:paraId="4D406110" w14:textId="77777777" w:rsidR="00F32D02" w:rsidRDefault="00F32D02" w:rsidP="00F32D02">
      <w:pPr>
        <w:jc w:val="both"/>
        <w:rPr>
          <w:rFonts w:cs="Arial"/>
          <w:sz w:val="22"/>
          <w:szCs w:val="22"/>
        </w:rPr>
      </w:pPr>
    </w:p>
    <w:p w14:paraId="4D406111" w14:textId="77777777" w:rsidR="00F32D02" w:rsidRDefault="00F32D02" w:rsidP="00F32D02">
      <w:pPr>
        <w:jc w:val="both"/>
        <w:rPr>
          <w:rFonts w:cs="Arial"/>
          <w:sz w:val="22"/>
          <w:szCs w:val="22"/>
        </w:rPr>
      </w:pPr>
      <w:r>
        <w:rPr>
          <w:rFonts w:cs="Arial"/>
          <w:noProof/>
          <w:sz w:val="22"/>
          <w:szCs w:val="22"/>
        </w:rPr>
        <w:drawing>
          <wp:inline distT="0" distB="0" distL="0" distR="0" wp14:anchorId="4D40619F" wp14:editId="6AADC3F2">
            <wp:extent cx="6134100" cy="3596106"/>
            <wp:effectExtent l="0" t="0" r="0" b="4445"/>
            <wp:docPr id="5" name="Picture 5" descr="Graph showing the percentage of pupils with a statement or EHC Plan from 2014/15 (academic) to 2017/18 (academic). Graph compares Tower Hamlets pupils to the mean for all English authorities. Both show a consistent increase, but Tower Hamlets increases from slightly less than 4% in 2014/15 to slightly more than 4% in 2017/18, while the English mean shows an increase from slightly less than 3% in 2014/15 to around 3% in 2017/18. The information comes from Department for Education, Special Educational Needs in England, Metric ID 221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o'shea\AppData\Local\Microsoft\Windows\Temporary Internet Files\Content.IE5\0L5M40DG\line-9146-chart-3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31307" cy="3594469"/>
                    </a:xfrm>
                    <a:prstGeom prst="rect">
                      <a:avLst/>
                    </a:prstGeom>
                    <a:noFill/>
                    <a:ln>
                      <a:noFill/>
                    </a:ln>
                  </pic:spPr>
                </pic:pic>
              </a:graphicData>
            </a:graphic>
          </wp:inline>
        </w:drawing>
      </w:r>
    </w:p>
    <w:p w14:paraId="4D406112" w14:textId="77777777" w:rsidR="00F32D02" w:rsidRPr="006E7306" w:rsidRDefault="00F32D02" w:rsidP="00F32D02">
      <w:pPr>
        <w:jc w:val="both"/>
        <w:rPr>
          <w:rFonts w:cs="Arial"/>
          <w:sz w:val="22"/>
          <w:szCs w:val="22"/>
        </w:rPr>
      </w:pPr>
    </w:p>
    <w:p w14:paraId="4D406113" w14:textId="77777777" w:rsidR="00F32D02" w:rsidRDefault="00F32D02" w:rsidP="00F32D02">
      <w:pPr>
        <w:pStyle w:val="Header"/>
        <w:rPr>
          <w:rFonts w:cs="Arial"/>
          <w:sz w:val="22"/>
          <w:szCs w:val="22"/>
        </w:rPr>
      </w:pPr>
      <w:r>
        <w:rPr>
          <w:rFonts w:cs="Arial"/>
          <w:sz w:val="22"/>
          <w:szCs w:val="22"/>
        </w:rPr>
        <w:t>The pressure on the SEN HN</w:t>
      </w:r>
      <w:r w:rsidR="00FC0ACB">
        <w:rPr>
          <w:rFonts w:cs="Arial"/>
          <w:sz w:val="22"/>
          <w:szCs w:val="22"/>
        </w:rPr>
        <w:t>F</w:t>
      </w:r>
      <w:r>
        <w:rPr>
          <w:rFonts w:cs="Arial"/>
          <w:sz w:val="22"/>
          <w:szCs w:val="22"/>
        </w:rPr>
        <w:t>B is a national issue and very few Local Authorities are reporting underspends, or balanced budgets and where they are the view is that it is when their budgets go into deficit, rather than if they go into deficit.</w:t>
      </w:r>
    </w:p>
    <w:p w14:paraId="4D406114" w14:textId="77777777" w:rsidR="00F32D02" w:rsidRDefault="00F32D02" w:rsidP="00F32D02">
      <w:pPr>
        <w:pStyle w:val="Header"/>
        <w:rPr>
          <w:rFonts w:cs="Arial"/>
          <w:sz w:val="22"/>
          <w:szCs w:val="22"/>
        </w:rPr>
      </w:pPr>
      <w:r>
        <w:rPr>
          <w:rFonts w:cs="Arial"/>
          <w:sz w:val="22"/>
          <w:szCs w:val="22"/>
        </w:rPr>
        <w:t xml:space="preserve"> </w:t>
      </w:r>
    </w:p>
    <w:p w14:paraId="4D406115" w14:textId="77777777" w:rsidR="00FC0ACB" w:rsidRDefault="00FC0ACB">
      <w:pPr>
        <w:rPr>
          <w:rFonts w:cs="Arial"/>
          <w:b/>
          <w:bCs/>
          <w:iCs/>
          <w:sz w:val="22"/>
          <w:szCs w:val="22"/>
        </w:rPr>
      </w:pPr>
    </w:p>
    <w:p w14:paraId="4D406116" w14:textId="77777777" w:rsidR="00176EBE" w:rsidRDefault="00176EBE" w:rsidP="00F32D02">
      <w:pPr>
        <w:pStyle w:val="Header"/>
        <w:rPr>
          <w:rFonts w:cs="Arial"/>
          <w:b/>
          <w:bCs/>
          <w:iCs/>
          <w:sz w:val="22"/>
          <w:szCs w:val="22"/>
        </w:rPr>
      </w:pPr>
      <w:r w:rsidRPr="00176EBE">
        <w:rPr>
          <w:rFonts w:cs="Arial"/>
          <w:b/>
          <w:bCs/>
          <w:iCs/>
          <w:noProof/>
          <w:sz w:val="22"/>
          <w:szCs w:val="22"/>
        </w:rPr>
        <w:lastRenderedPageBreak/>
        <w:drawing>
          <wp:inline distT="0" distB="0" distL="0" distR="0" wp14:anchorId="4D4061A1" wp14:editId="42B2232A">
            <wp:extent cx="5486400" cy="3209290"/>
            <wp:effectExtent l="0" t="0" r="0" b="0"/>
            <wp:docPr id="8" name="image6.png" descr="2 graphs showing national figures for HNFB spending across all authorities in the years 2015-19.&#10;&#10;The first compares total high needs spend to the total high needs block allocation. Total spend was £3569 million in 2015/16 compared to £3446 million block allocation. Total spend was £4188 million in 2018/19 compared to £3901 million block allocation.&#10;&#10;The second graph shows the average spend against the high needs block budget from 2015/16 to 2018/19, including the minimum and maximum spend. In 2015/16 the average was £38,798,000, with a minimum of £3,563,000 and a maximum of £178,029,000. In 2018/19 the average was £45,031,000, with a minimum of £404,000 and a maximum of £212,000,00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2" cstate="print"/>
                    <a:stretch>
                      <a:fillRect/>
                    </a:stretch>
                  </pic:blipFill>
                  <pic:spPr>
                    <a:xfrm>
                      <a:off x="0" y="0"/>
                      <a:ext cx="5486400" cy="3209290"/>
                    </a:xfrm>
                    <a:prstGeom prst="rect">
                      <a:avLst/>
                    </a:prstGeom>
                  </pic:spPr>
                </pic:pic>
              </a:graphicData>
            </a:graphic>
          </wp:inline>
        </w:drawing>
      </w:r>
    </w:p>
    <w:p w14:paraId="4D406117" w14:textId="77777777" w:rsidR="00176EBE" w:rsidRPr="00176EBE" w:rsidRDefault="00176EBE" w:rsidP="00F32D02">
      <w:pPr>
        <w:pStyle w:val="Header"/>
        <w:rPr>
          <w:rFonts w:asciiTheme="minorHAnsi" w:hAnsiTheme="minorHAnsi" w:cs="Arial"/>
          <w:bCs/>
          <w:iCs/>
          <w:sz w:val="16"/>
          <w:szCs w:val="16"/>
        </w:rPr>
      </w:pPr>
      <w:r w:rsidRPr="00176EBE">
        <w:rPr>
          <w:rFonts w:asciiTheme="minorHAnsi" w:hAnsiTheme="minorHAnsi" w:cs="Arial"/>
          <w:bCs/>
          <w:iCs/>
          <w:sz w:val="16"/>
          <w:szCs w:val="16"/>
        </w:rPr>
        <w:t>National Figures for HNFB spending across all authorities</w:t>
      </w:r>
    </w:p>
    <w:p w14:paraId="4D406118" w14:textId="77777777" w:rsidR="00176EBE" w:rsidRDefault="00176EBE" w:rsidP="00F32D02">
      <w:pPr>
        <w:pStyle w:val="Header"/>
        <w:rPr>
          <w:rFonts w:cs="Arial"/>
          <w:b/>
          <w:bCs/>
          <w:iCs/>
          <w:sz w:val="22"/>
          <w:szCs w:val="22"/>
        </w:rPr>
      </w:pPr>
    </w:p>
    <w:p w14:paraId="4D406119" w14:textId="77777777" w:rsidR="00F32D02" w:rsidRDefault="00F32D02" w:rsidP="00F32D02">
      <w:pPr>
        <w:pStyle w:val="Header"/>
        <w:rPr>
          <w:rFonts w:cs="Arial"/>
          <w:b/>
          <w:bCs/>
          <w:iCs/>
          <w:sz w:val="22"/>
          <w:szCs w:val="22"/>
        </w:rPr>
      </w:pPr>
      <w:r>
        <w:rPr>
          <w:rFonts w:cs="Arial"/>
          <w:b/>
          <w:bCs/>
          <w:iCs/>
          <w:sz w:val="22"/>
          <w:szCs w:val="22"/>
        </w:rPr>
        <w:t>Analysis of the Pressures on SEN portion of the HNB</w:t>
      </w:r>
      <w:r w:rsidR="00212E7A">
        <w:rPr>
          <w:rFonts w:cs="Arial"/>
          <w:b/>
          <w:bCs/>
          <w:iCs/>
          <w:sz w:val="22"/>
          <w:szCs w:val="22"/>
        </w:rPr>
        <w:t xml:space="preserve"> in Tower Hamlets</w:t>
      </w:r>
    </w:p>
    <w:p w14:paraId="4D40611A" w14:textId="77777777" w:rsidR="00F32D02" w:rsidRPr="00930E7E" w:rsidRDefault="00F32D02" w:rsidP="00F32D02">
      <w:pPr>
        <w:pStyle w:val="Header"/>
        <w:rPr>
          <w:rFonts w:cs="Arial"/>
          <w:b/>
          <w:bCs/>
          <w:iCs/>
          <w:sz w:val="22"/>
          <w:szCs w:val="22"/>
        </w:rPr>
      </w:pPr>
    </w:p>
    <w:p w14:paraId="4D40611B" w14:textId="77777777" w:rsidR="00F32D02" w:rsidRDefault="007E21FC" w:rsidP="00F32D02">
      <w:pPr>
        <w:rPr>
          <w:rFonts w:cs="Arial"/>
          <w:sz w:val="22"/>
          <w:szCs w:val="22"/>
        </w:rPr>
      </w:pPr>
      <w:r>
        <w:rPr>
          <w:rFonts w:cs="Arial"/>
          <w:bCs/>
          <w:iCs/>
          <w:sz w:val="22"/>
          <w:szCs w:val="22"/>
        </w:rPr>
        <w:t xml:space="preserve">In Tower Hamlets accumulated growth pressures from the 2016/17 financial year have resulted in a cumulative £7m pressure identified in the 2018-19 budget. </w:t>
      </w:r>
      <w:r w:rsidR="00F32D02" w:rsidRPr="00641959">
        <w:rPr>
          <w:rFonts w:cs="Arial"/>
          <w:bCs/>
          <w:iCs/>
          <w:sz w:val="22"/>
          <w:szCs w:val="22"/>
        </w:rPr>
        <w:t>An analysis of each of the co</w:t>
      </w:r>
      <w:r>
        <w:rPr>
          <w:rFonts w:cs="Arial"/>
          <w:bCs/>
          <w:iCs/>
          <w:sz w:val="22"/>
          <w:szCs w:val="22"/>
        </w:rPr>
        <w:t xml:space="preserve">st codes for the SEN HNBF </w:t>
      </w:r>
      <w:r w:rsidR="00FC0ACB">
        <w:rPr>
          <w:rFonts w:cs="Arial"/>
          <w:sz w:val="22"/>
          <w:szCs w:val="22"/>
        </w:rPr>
        <w:t>shows that the</w:t>
      </w:r>
      <w:r w:rsidR="00F32D02">
        <w:rPr>
          <w:rFonts w:cs="Arial"/>
          <w:sz w:val="22"/>
          <w:szCs w:val="22"/>
        </w:rPr>
        <w:t xml:space="preserve"> </w:t>
      </w:r>
      <w:r w:rsidR="00F32D02" w:rsidRPr="00641959">
        <w:rPr>
          <w:rFonts w:cs="Arial"/>
          <w:sz w:val="22"/>
          <w:szCs w:val="22"/>
        </w:rPr>
        <w:t>combination of reducing budget size and increa</w:t>
      </w:r>
      <w:r>
        <w:rPr>
          <w:rFonts w:cs="Arial"/>
          <w:sz w:val="22"/>
          <w:szCs w:val="22"/>
        </w:rPr>
        <w:t xml:space="preserve">sed demand for EHCPs by way </w:t>
      </w:r>
      <w:r w:rsidR="00F1044E">
        <w:rPr>
          <w:rFonts w:cs="Arial"/>
          <w:sz w:val="22"/>
          <w:szCs w:val="22"/>
        </w:rPr>
        <w:t>of an 11-15% increase each year:</w:t>
      </w:r>
    </w:p>
    <w:p w14:paraId="4D40611C" w14:textId="69926AB1" w:rsidR="00F32D02" w:rsidRDefault="00F32D02" w:rsidP="00F32D02">
      <w:pPr>
        <w:rPr>
          <w:rFonts w:cs="Arial"/>
          <w:sz w:val="22"/>
          <w:szCs w:val="22"/>
        </w:rPr>
      </w:pPr>
    </w:p>
    <w:p w14:paraId="3113EF1B" w14:textId="7CC706F6" w:rsidR="00703E39" w:rsidRPr="00703E39" w:rsidRDefault="00703E39" w:rsidP="00F32D02">
      <w:pPr>
        <w:rPr>
          <w:rFonts w:cs="Arial"/>
          <w:b/>
          <w:bCs/>
          <w:sz w:val="22"/>
          <w:szCs w:val="22"/>
        </w:rPr>
      </w:pPr>
      <w:r>
        <w:rPr>
          <w:rFonts w:cs="Arial"/>
          <w:b/>
          <w:bCs/>
          <w:color w:val="000000"/>
          <w:sz w:val="22"/>
          <w:szCs w:val="22"/>
        </w:rPr>
        <w:t xml:space="preserve">Table: </w:t>
      </w:r>
      <w:r w:rsidRPr="00703E39">
        <w:rPr>
          <w:rFonts w:cs="Arial"/>
          <w:b/>
          <w:bCs/>
          <w:color w:val="000000"/>
          <w:sz w:val="22"/>
          <w:szCs w:val="22"/>
        </w:rPr>
        <w:t>Pressure based on growth in numbers of school attendance</w:t>
      </w:r>
    </w:p>
    <w:tbl>
      <w:tblPr>
        <w:tblStyle w:val="TableGrid"/>
        <w:tblpPr w:leftFromText="180" w:rightFromText="180" w:vertAnchor="text" w:tblpY="1"/>
        <w:tblW w:w="6644" w:type="dxa"/>
        <w:tblLayout w:type="fixed"/>
        <w:tblLook w:val="04A0" w:firstRow="1" w:lastRow="0" w:firstColumn="1" w:lastColumn="0" w:noHBand="0" w:noVBand="1"/>
      </w:tblPr>
      <w:tblGrid>
        <w:gridCol w:w="1553"/>
        <w:gridCol w:w="3135"/>
        <w:gridCol w:w="1956"/>
      </w:tblGrid>
      <w:tr w:rsidR="00703E39" w:rsidRPr="00B2205E" w14:paraId="4D406123" w14:textId="77777777" w:rsidTr="00703E39">
        <w:trPr>
          <w:trHeight w:val="300"/>
        </w:trPr>
        <w:tc>
          <w:tcPr>
            <w:tcW w:w="1553" w:type="dxa"/>
            <w:noWrap/>
            <w:hideMark/>
          </w:tcPr>
          <w:p w14:paraId="4D40611F" w14:textId="77777777" w:rsidR="00703E39" w:rsidRPr="00B2205E" w:rsidRDefault="00703E39" w:rsidP="00F32D02">
            <w:pPr>
              <w:rPr>
                <w:rFonts w:cs="Arial"/>
                <w:color w:val="000000"/>
                <w:sz w:val="22"/>
                <w:szCs w:val="22"/>
              </w:rPr>
            </w:pPr>
            <w:r w:rsidRPr="00B2205E">
              <w:rPr>
                <w:rFonts w:cs="Arial"/>
                <w:color w:val="000000"/>
                <w:sz w:val="22"/>
                <w:szCs w:val="22"/>
              </w:rPr>
              <w:t> </w:t>
            </w:r>
          </w:p>
        </w:tc>
        <w:tc>
          <w:tcPr>
            <w:tcW w:w="3135" w:type="dxa"/>
            <w:noWrap/>
            <w:hideMark/>
          </w:tcPr>
          <w:p w14:paraId="4D406120" w14:textId="77777777" w:rsidR="00703E39" w:rsidRPr="00B2205E" w:rsidRDefault="00703E39" w:rsidP="00F32D02">
            <w:pPr>
              <w:rPr>
                <w:rFonts w:cs="Arial"/>
                <w:color w:val="000000"/>
                <w:sz w:val="22"/>
                <w:szCs w:val="22"/>
              </w:rPr>
            </w:pPr>
            <w:r w:rsidRPr="00B2205E">
              <w:rPr>
                <w:rFonts w:cs="Arial"/>
                <w:color w:val="000000"/>
                <w:sz w:val="22"/>
                <w:szCs w:val="22"/>
              </w:rPr>
              <w:t>Analysis</w:t>
            </w:r>
          </w:p>
        </w:tc>
        <w:tc>
          <w:tcPr>
            <w:tcW w:w="1956" w:type="dxa"/>
            <w:noWrap/>
            <w:hideMark/>
          </w:tcPr>
          <w:p w14:paraId="4D406121" w14:textId="77777777" w:rsidR="00703E39" w:rsidRPr="00B2205E" w:rsidRDefault="00703E39" w:rsidP="00F32D02">
            <w:pPr>
              <w:jc w:val="center"/>
              <w:rPr>
                <w:rFonts w:cs="Arial"/>
                <w:color w:val="000000"/>
                <w:sz w:val="22"/>
                <w:szCs w:val="22"/>
              </w:rPr>
            </w:pPr>
            <w:r w:rsidRPr="00B2205E">
              <w:rPr>
                <w:rFonts w:cs="Arial"/>
                <w:color w:val="000000"/>
                <w:sz w:val="22"/>
                <w:szCs w:val="22"/>
              </w:rPr>
              <w:t>£</w:t>
            </w:r>
          </w:p>
        </w:tc>
      </w:tr>
      <w:tr w:rsidR="00703E39" w:rsidRPr="00B2205E" w14:paraId="4D406128" w14:textId="77777777" w:rsidTr="00703E39">
        <w:trPr>
          <w:trHeight w:val="300"/>
        </w:trPr>
        <w:tc>
          <w:tcPr>
            <w:tcW w:w="1553" w:type="dxa"/>
            <w:noWrap/>
            <w:hideMark/>
          </w:tcPr>
          <w:p w14:paraId="4D406124" w14:textId="77777777" w:rsidR="00703E39" w:rsidRPr="00B2205E" w:rsidRDefault="00703E39" w:rsidP="00F32D02">
            <w:pPr>
              <w:rPr>
                <w:rFonts w:cs="Arial"/>
                <w:color w:val="000000"/>
                <w:sz w:val="22"/>
                <w:szCs w:val="22"/>
              </w:rPr>
            </w:pPr>
            <w:r w:rsidRPr="00B2205E">
              <w:rPr>
                <w:rFonts w:cs="Arial"/>
                <w:color w:val="000000"/>
                <w:sz w:val="22"/>
                <w:szCs w:val="22"/>
              </w:rPr>
              <w:t>2015/16</w:t>
            </w:r>
          </w:p>
        </w:tc>
        <w:tc>
          <w:tcPr>
            <w:tcW w:w="3135" w:type="dxa"/>
            <w:noWrap/>
            <w:hideMark/>
          </w:tcPr>
          <w:p w14:paraId="4D406125" w14:textId="77777777" w:rsidR="00703E39" w:rsidRPr="00B2205E" w:rsidRDefault="00703E39" w:rsidP="00F32D02">
            <w:pPr>
              <w:rPr>
                <w:rFonts w:cs="Arial"/>
                <w:color w:val="000000"/>
                <w:sz w:val="22"/>
                <w:szCs w:val="22"/>
              </w:rPr>
            </w:pPr>
            <w:r w:rsidRPr="00B2205E">
              <w:rPr>
                <w:rFonts w:cs="Arial"/>
                <w:color w:val="000000"/>
                <w:sz w:val="22"/>
                <w:szCs w:val="22"/>
              </w:rPr>
              <w:t xml:space="preserve">outturn variance </w:t>
            </w:r>
          </w:p>
        </w:tc>
        <w:tc>
          <w:tcPr>
            <w:tcW w:w="1956" w:type="dxa"/>
            <w:noWrap/>
            <w:hideMark/>
          </w:tcPr>
          <w:p w14:paraId="4D406126" w14:textId="77777777" w:rsidR="00703E39" w:rsidRPr="00B2205E" w:rsidRDefault="00703E39" w:rsidP="00F32D02">
            <w:pPr>
              <w:jc w:val="right"/>
              <w:rPr>
                <w:rFonts w:cs="Arial"/>
                <w:color w:val="000000"/>
                <w:sz w:val="22"/>
                <w:szCs w:val="22"/>
              </w:rPr>
            </w:pPr>
            <w:r w:rsidRPr="004F0A13">
              <w:rPr>
                <w:rFonts w:cs="Arial"/>
                <w:sz w:val="22"/>
                <w:szCs w:val="22"/>
              </w:rPr>
              <w:t xml:space="preserve">-871,561 </w:t>
            </w:r>
          </w:p>
        </w:tc>
      </w:tr>
      <w:tr w:rsidR="00703E39" w:rsidRPr="00B2205E" w14:paraId="4D40612D" w14:textId="77777777" w:rsidTr="00703E39">
        <w:trPr>
          <w:trHeight w:val="300"/>
        </w:trPr>
        <w:tc>
          <w:tcPr>
            <w:tcW w:w="1553" w:type="dxa"/>
            <w:noWrap/>
            <w:hideMark/>
          </w:tcPr>
          <w:p w14:paraId="4D406129" w14:textId="77777777" w:rsidR="00703E39" w:rsidRPr="00B2205E" w:rsidRDefault="00703E39" w:rsidP="00F32D02">
            <w:pPr>
              <w:rPr>
                <w:rFonts w:cs="Arial"/>
                <w:color w:val="000000"/>
                <w:sz w:val="22"/>
                <w:szCs w:val="22"/>
              </w:rPr>
            </w:pPr>
            <w:r w:rsidRPr="00B2205E">
              <w:rPr>
                <w:rFonts w:cs="Arial"/>
                <w:color w:val="000000"/>
                <w:sz w:val="22"/>
                <w:szCs w:val="22"/>
              </w:rPr>
              <w:t>2016/17</w:t>
            </w:r>
          </w:p>
        </w:tc>
        <w:tc>
          <w:tcPr>
            <w:tcW w:w="3135" w:type="dxa"/>
            <w:noWrap/>
            <w:hideMark/>
          </w:tcPr>
          <w:p w14:paraId="4D40612A" w14:textId="77777777" w:rsidR="00703E39" w:rsidRPr="00B2205E" w:rsidRDefault="00703E39" w:rsidP="00F32D02">
            <w:pPr>
              <w:rPr>
                <w:rFonts w:cs="Arial"/>
                <w:color w:val="000000"/>
                <w:sz w:val="22"/>
                <w:szCs w:val="22"/>
              </w:rPr>
            </w:pPr>
            <w:r w:rsidRPr="00B2205E">
              <w:rPr>
                <w:rFonts w:cs="Arial"/>
                <w:color w:val="000000"/>
                <w:sz w:val="22"/>
                <w:szCs w:val="22"/>
              </w:rPr>
              <w:t>Budget increase</w:t>
            </w:r>
          </w:p>
        </w:tc>
        <w:tc>
          <w:tcPr>
            <w:tcW w:w="1956" w:type="dxa"/>
            <w:noWrap/>
            <w:hideMark/>
          </w:tcPr>
          <w:p w14:paraId="4D40612B" w14:textId="77777777" w:rsidR="00703E39" w:rsidRPr="00B2205E" w:rsidRDefault="00703E39" w:rsidP="00F32D02">
            <w:pPr>
              <w:jc w:val="right"/>
              <w:rPr>
                <w:rFonts w:cs="Arial"/>
                <w:color w:val="000000"/>
                <w:sz w:val="22"/>
                <w:szCs w:val="22"/>
              </w:rPr>
            </w:pPr>
            <w:r w:rsidRPr="004F0A13">
              <w:rPr>
                <w:rFonts w:cs="Arial"/>
                <w:sz w:val="22"/>
                <w:szCs w:val="22"/>
              </w:rPr>
              <w:t xml:space="preserve">-66,024 </w:t>
            </w:r>
          </w:p>
        </w:tc>
      </w:tr>
      <w:tr w:rsidR="00703E39" w:rsidRPr="00B2205E" w14:paraId="4D406132" w14:textId="77777777" w:rsidTr="00703E39">
        <w:trPr>
          <w:trHeight w:val="300"/>
        </w:trPr>
        <w:tc>
          <w:tcPr>
            <w:tcW w:w="1553" w:type="dxa"/>
            <w:noWrap/>
            <w:hideMark/>
          </w:tcPr>
          <w:p w14:paraId="4D40612E" w14:textId="77777777" w:rsidR="00703E39" w:rsidRPr="00B2205E" w:rsidRDefault="00703E39" w:rsidP="00F32D02">
            <w:pPr>
              <w:rPr>
                <w:rFonts w:cs="Arial"/>
                <w:color w:val="000000"/>
                <w:sz w:val="22"/>
                <w:szCs w:val="22"/>
              </w:rPr>
            </w:pPr>
            <w:r w:rsidRPr="00B2205E">
              <w:rPr>
                <w:rFonts w:cs="Arial"/>
                <w:color w:val="000000"/>
                <w:sz w:val="22"/>
                <w:szCs w:val="22"/>
              </w:rPr>
              <w:t xml:space="preserve">2016/17 </w:t>
            </w:r>
          </w:p>
        </w:tc>
        <w:tc>
          <w:tcPr>
            <w:tcW w:w="3135" w:type="dxa"/>
            <w:noWrap/>
            <w:hideMark/>
          </w:tcPr>
          <w:p w14:paraId="4D40612F" w14:textId="77777777" w:rsidR="00703E39" w:rsidRPr="00B2205E" w:rsidRDefault="00703E39" w:rsidP="00F32D02">
            <w:pPr>
              <w:rPr>
                <w:rFonts w:cs="Arial"/>
                <w:color w:val="000000"/>
                <w:sz w:val="22"/>
                <w:szCs w:val="22"/>
              </w:rPr>
            </w:pPr>
            <w:r w:rsidRPr="00B2205E">
              <w:rPr>
                <w:rFonts w:cs="Arial"/>
                <w:color w:val="000000"/>
                <w:sz w:val="22"/>
                <w:szCs w:val="22"/>
              </w:rPr>
              <w:t>Growth</w:t>
            </w:r>
          </w:p>
        </w:tc>
        <w:tc>
          <w:tcPr>
            <w:tcW w:w="1956" w:type="dxa"/>
            <w:noWrap/>
            <w:hideMark/>
          </w:tcPr>
          <w:p w14:paraId="4D406130" w14:textId="77777777" w:rsidR="00703E39" w:rsidRPr="00B2205E" w:rsidRDefault="00703E39" w:rsidP="00F32D02">
            <w:pPr>
              <w:jc w:val="right"/>
              <w:rPr>
                <w:rFonts w:cs="Arial"/>
                <w:color w:val="000000"/>
                <w:sz w:val="22"/>
                <w:szCs w:val="22"/>
              </w:rPr>
            </w:pPr>
            <w:r w:rsidRPr="00B2205E">
              <w:rPr>
                <w:rFonts w:cs="Arial"/>
                <w:color w:val="000000"/>
                <w:sz w:val="22"/>
                <w:szCs w:val="22"/>
              </w:rPr>
              <w:t xml:space="preserve">1,843,409 </w:t>
            </w:r>
          </w:p>
        </w:tc>
      </w:tr>
      <w:tr w:rsidR="00703E39" w:rsidRPr="00B2205E" w14:paraId="4D406137" w14:textId="77777777" w:rsidTr="00703E39">
        <w:trPr>
          <w:trHeight w:val="300"/>
        </w:trPr>
        <w:tc>
          <w:tcPr>
            <w:tcW w:w="1553" w:type="dxa"/>
            <w:noWrap/>
            <w:hideMark/>
          </w:tcPr>
          <w:p w14:paraId="4D406133" w14:textId="77777777" w:rsidR="00703E39" w:rsidRPr="00B2205E" w:rsidRDefault="00703E39" w:rsidP="00F32D02">
            <w:pPr>
              <w:rPr>
                <w:rFonts w:cs="Arial"/>
                <w:color w:val="000000"/>
                <w:sz w:val="22"/>
                <w:szCs w:val="22"/>
              </w:rPr>
            </w:pPr>
            <w:r w:rsidRPr="00B2205E">
              <w:rPr>
                <w:rFonts w:cs="Arial"/>
                <w:color w:val="000000"/>
                <w:sz w:val="22"/>
                <w:szCs w:val="22"/>
              </w:rPr>
              <w:t>2017/18</w:t>
            </w:r>
          </w:p>
        </w:tc>
        <w:tc>
          <w:tcPr>
            <w:tcW w:w="3135" w:type="dxa"/>
            <w:noWrap/>
            <w:hideMark/>
          </w:tcPr>
          <w:p w14:paraId="4D406134" w14:textId="77777777" w:rsidR="00703E39" w:rsidRPr="00B2205E" w:rsidRDefault="00703E39" w:rsidP="00F32D02">
            <w:pPr>
              <w:rPr>
                <w:rFonts w:cs="Arial"/>
                <w:color w:val="000000"/>
                <w:sz w:val="22"/>
                <w:szCs w:val="22"/>
              </w:rPr>
            </w:pPr>
            <w:r w:rsidRPr="00B2205E">
              <w:rPr>
                <w:rFonts w:cs="Arial"/>
                <w:color w:val="000000"/>
                <w:sz w:val="22"/>
                <w:szCs w:val="22"/>
              </w:rPr>
              <w:t>Budget reduction</w:t>
            </w:r>
          </w:p>
        </w:tc>
        <w:tc>
          <w:tcPr>
            <w:tcW w:w="1956" w:type="dxa"/>
            <w:noWrap/>
            <w:hideMark/>
          </w:tcPr>
          <w:p w14:paraId="4D406135" w14:textId="77777777" w:rsidR="00703E39" w:rsidRPr="00B2205E" w:rsidRDefault="00703E39" w:rsidP="00F32D02">
            <w:pPr>
              <w:jc w:val="right"/>
              <w:rPr>
                <w:rFonts w:cs="Arial"/>
                <w:color w:val="000000"/>
                <w:sz w:val="22"/>
                <w:szCs w:val="22"/>
              </w:rPr>
            </w:pPr>
            <w:r w:rsidRPr="00B2205E">
              <w:rPr>
                <w:rFonts w:cs="Arial"/>
                <w:color w:val="000000"/>
                <w:sz w:val="22"/>
                <w:szCs w:val="22"/>
              </w:rPr>
              <w:t xml:space="preserve">613,824 </w:t>
            </w:r>
          </w:p>
        </w:tc>
      </w:tr>
      <w:tr w:rsidR="00703E39" w:rsidRPr="00B2205E" w14:paraId="4D40613C" w14:textId="77777777" w:rsidTr="00703E39">
        <w:trPr>
          <w:trHeight w:val="300"/>
        </w:trPr>
        <w:tc>
          <w:tcPr>
            <w:tcW w:w="1553" w:type="dxa"/>
            <w:noWrap/>
            <w:hideMark/>
          </w:tcPr>
          <w:p w14:paraId="4D406138" w14:textId="77777777" w:rsidR="00703E39" w:rsidRPr="00B2205E" w:rsidRDefault="00703E39" w:rsidP="00F32D02">
            <w:pPr>
              <w:rPr>
                <w:rFonts w:cs="Arial"/>
                <w:color w:val="000000"/>
                <w:sz w:val="22"/>
                <w:szCs w:val="22"/>
              </w:rPr>
            </w:pPr>
            <w:r w:rsidRPr="00B2205E">
              <w:rPr>
                <w:rFonts w:cs="Arial"/>
                <w:color w:val="000000"/>
                <w:sz w:val="22"/>
                <w:szCs w:val="22"/>
              </w:rPr>
              <w:t xml:space="preserve">2017/18 </w:t>
            </w:r>
          </w:p>
        </w:tc>
        <w:tc>
          <w:tcPr>
            <w:tcW w:w="3135" w:type="dxa"/>
            <w:noWrap/>
            <w:hideMark/>
          </w:tcPr>
          <w:p w14:paraId="4D406139" w14:textId="77777777" w:rsidR="00703E39" w:rsidRPr="00B2205E" w:rsidRDefault="00703E39" w:rsidP="00F32D02">
            <w:pPr>
              <w:rPr>
                <w:rFonts w:cs="Arial"/>
                <w:color w:val="000000"/>
                <w:sz w:val="22"/>
                <w:szCs w:val="22"/>
              </w:rPr>
            </w:pPr>
            <w:r w:rsidRPr="00B2205E">
              <w:rPr>
                <w:rFonts w:cs="Arial"/>
                <w:color w:val="000000"/>
                <w:sz w:val="22"/>
                <w:szCs w:val="22"/>
              </w:rPr>
              <w:t>Growth</w:t>
            </w:r>
          </w:p>
        </w:tc>
        <w:tc>
          <w:tcPr>
            <w:tcW w:w="1956" w:type="dxa"/>
            <w:noWrap/>
            <w:hideMark/>
          </w:tcPr>
          <w:p w14:paraId="4D40613A" w14:textId="77777777" w:rsidR="00703E39" w:rsidRPr="00B2205E" w:rsidRDefault="00703E39" w:rsidP="00F32D02">
            <w:pPr>
              <w:jc w:val="right"/>
              <w:rPr>
                <w:rFonts w:cs="Arial"/>
                <w:color w:val="000000"/>
                <w:sz w:val="22"/>
                <w:szCs w:val="22"/>
              </w:rPr>
            </w:pPr>
            <w:r w:rsidRPr="00B2205E">
              <w:rPr>
                <w:rFonts w:cs="Arial"/>
                <w:color w:val="000000"/>
                <w:sz w:val="22"/>
                <w:szCs w:val="22"/>
              </w:rPr>
              <w:t xml:space="preserve">1,236,920 </w:t>
            </w:r>
          </w:p>
        </w:tc>
      </w:tr>
      <w:tr w:rsidR="00703E39" w:rsidRPr="00B2205E" w14:paraId="4D406141" w14:textId="77777777" w:rsidTr="00703E39">
        <w:trPr>
          <w:trHeight w:val="300"/>
        </w:trPr>
        <w:tc>
          <w:tcPr>
            <w:tcW w:w="1553" w:type="dxa"/>
            <w:noWrap/>
            <w:hideMark/>
          </w:tcPr>
          <w:p w14:paraId="4D40613D" w14:textId="77777777" w:rsidR="00703E39" w:rsidRPr="00B2205E" w:rsidRDefault="00703E39" w:rsidP="00F32D02">
            <w:pPr>
              <w:rPr>
                <w:rFonts w:cs="Arial"/>
                <w:color w:val="000000"/>
                <w:sz w:val="22"/>
                <w:szCs w:val="22"/>
              </w:rPr>
            </w:pPr>
            <w:r w:rsidRPr="00B2205E">
              <w:rPr>
                <w:rFonts w:cs="Arial"/>
                <w:color w:val="000000"/>
                <w:sz w:val="22"/>
                <w:szCs w:val="22"/>
              </w:rPr>
              <w:t>2018/19</w:t>
            </w:r>
          </w:p>
        </w:tc>
        <w:tc>
          <w:tcPr>
            <w:tcW w:w="3135" w:type="dxa"/>
            <w:noWrap/>
            <w:hideMark/>
          </w:tcPr>
          <w:p w14:paraId="4D40613E" w14:textId="77777777" w:rsidR="00703E39" w:rsidRPr="00B2205E" w:rsidRDefault="00703E39" w:rsidP="00F32D02">
            <w:pPr>
              <w:rPr>
                <w:rFonts w:cs="Arial"/>
                <w:color w:val="000000"/>
                <w:sz w:val="22"/>
                <w:szCs w:val="22"/>
              </w:rPr>
            </w:pPr>
            <w:r w:rsidRPr="00B2205E">
              <w:rPr>
                <w:rFonts w:cs="Arial"/>
                <w:color w:val="000000"/>
                <w:sz w:val="22"/>
                <w:szCs w:val="22"/>
              </w:rPr>
              <w:t>Budget reduction</w:t>
            </w:r>
          </w:p>
        </w:tc>
        <w:tc>
          <w:tcPr>
            <w:tcW w:w="1956" w:type="dxa"/>
            <w:noWrap/>
            <w:hideMark/>
          </w:tcPr>
          <w:p w14:paraId="4D40613F" w14:textId="77777777" w:rsidR="00703E39" w:rsidRPr="00B2205E" w:rsidRDefault="00703E39" w:rsidP="00F32D02">
            <w:pPr>
              <w:jc w:val="right"/>
              <w:rPr>
                <w:rFonts w:cs="Arial"/>
                <w:color w:val="000000"/>
                <w:sz w:val="22"/>
                <w:szCs w:val="22"/>
              </w:rPr>
            </w:pPr>
            <w:r w:rsidRPr="00B2205E">
              <w:rPr>
                <w:rFonts w:cs="Arial"/>
                <w:color w:val="000000"/>
                <w:sz w:val="22"/>
                <w:szCs w:val="22"/>
              </w:rPr>
              <w:t xml:space="preserve">597,653 </w:t>
            </w:r>
          </w:p>
        </w:tc>
      </w:tr>
      <w:tr w:rsidR="00703E39" w:rsidRPr="00B2205E" w14:paraId="4D406146" w14:textId="77777777" w:rsidTr="00703E39">
        <w:trPr>
          <w:trHeight w:val="300"/>
        </w:trPr>
        <w:tc>
          <w:tcPr>
            <w:tcW w:w="1553" w:type="dxa"/>
            <w:noWrap/>
            <w:hideMark/>
          </w:tcPr>
          <w:p w14:paraId="4D406142" w14:textId="77777777" w:rsidR="00703E39" w:rsidRPr="00B2205E" w:rsidRDefault="00703E39" w:rsidP="00F32D02">
            <w:pPr>
              <w:rPr>
                <w:rFonts w:cs="Arial"/>
                <w:color w:val="000000"/>
                <w:sz w:val="22"/>
                <w:szCs w:val="22"/>
              </w:rPr>
            </w:pPr>
            <w:r w:rsidRPr="00B2205E">
              <w:rPr>
                <w:rFonts w:cs="Arial"/>
                <w:color w:val="000000"/>
                <w:sz w:val="22"/>
                <w:szCs w:val="22"/>
              </w:rPr>
              <w:t>2018/19</w:t>
            </w:r>
          </w:p>
        </w:tc>
        <w:tc>
          <w:tcPr>
            <w:tcW w:w="3135" w:type="dxa"/>
            <w:noWrap/>
            <w:hideMark/>
          </w:tcPr>
          <w:p w14:paraId="4D406143" w14:textId="77777777" w:rsidR="00703E39" w:rsidRPr="00B2205E" w:rsidRDefault="00703E39" w:rsidP="00F32D02">
            <w:pPr>
              <w:rPr>
                <w:rFonts w:cs="Arial"/>
                <w:color w:val="000000"/>
                <w:sz w:val="22"/>
                <w:szCs w:val="22"/>
              </w:rPr>
            </w:pPr>
            <w:r w:rsidRPr="00B2205E">
              <w:rPr>
                <w:rFonts w:cs="Arial"/>
                <w:color w:val="000000"/>
                <w:sz w:val="22"/>
                <w:szCs w:val="22"/>
              </w:rPr>
              <w:t>Growth</w:t>
            </w:r>
          </w:p>
        </w:tc>
        <w:tc>
          <w:tcPr>
            <w:tcW w:w="1956" w:type="dxa"/>
            <w:noWrap/>
            <w:hideMark/>
          </w:tcPr>
          <w:p w14:paraId="4D406144" w14:textId="77777777" w:rsidR="00703E39" w:rsidRPr="00B2205E" w:rsidRDefault="00703E39" w:rsidP="00F32D02">
            <w:pPr>
              <w:jc w:val="right"/>
              <w:rPr>
                <w:rFonts w:cs="Arial"/>
                <w:color w:val="000000"/>
                <w:sz w:val="22"/>
                <w:szCs w:val="22"/>
              </w:rPr>
            </w:pPr>
            <w:r w:rsidRPr="00B2205E">
              <w:rPr>
                <w:rFonts w:cs="Arial"/>
                <w:color w:val="000000"/>
                <w:sz w:val="22"/>
                <w:szCs w:val="22"/>
              </w:rPr>
              <w:t xml:space="preserve">3,661,613 </w:t>
            </w:r>
          </w:p>
        </w:tc>
      </w:tr>
      <w:tr w:rsidR="00703E39" w:rsidRPr="00B2205E" w14:paraId="4D40614B" w14:textId="77777777" w:rsidTr="00703E39">
        <w:trPr>
          <w:trHeight w:val="300"/>
        </w:trPr>
        <w:tc>
          <w:tcPr>
            <w:tcW w:w="1553" w:type="dxa"/>
            <w:noWrap/>
            <w:hideMark/>
          </w:tcPr>
          <w:p w14:paraId="4D406147" w14:textId="77777777" w:rsidR="00703E39" w:rsidRPr="00B2205E" w:rsidRDefault="00703E39" w:rsidP="00F32D02">
            <w:pPr>
              <w:rPr>
                <w:rFonts w:cs="Arial"/>
                <w:color w:val="000000"/>
                <w:sz w:val="22"/>
                <w:szCs w:val="22"/>
              </w:rPr>
            </w:pPr>
            <w:r w:rsidRPr="00B2205E">
              <w:rPr>
                <w:rFonts w:cs="Arial"/>
                <w:color w:val="000000"/>
                <w:sz w:val="22"/>
                <w:szCs w:val="22"/>
              </w:rPr>
              <w:t>Total</w:t>
            </w:r>
          </w:p>
        </w:tc>
        <w:tc>
          <w:tcPr>
            <w:tcW w:w="3135" w:type="dxa"/>
            <w:noWrap/>
            <w:hideMark/>
          </w:tcPr>
          <w:p w14:paraId="4D406148" w14:textId="77777777" w:rsidR="00703E39" w:rsidRPr="00B2205E" w:rsidRDefault="00703E39" w:rsidP="00F32D02">
            <w:pPr>
              <w:rPr>
                <w:rFonts w:cs="Arial"/>
                <w:color w:val="000000"/>
                <w:sz w:val="22"/>
                <w:szCs w:val="22"/>
              </w:rPr>
            </w:pPr>
          </w:p>
        </w:tc>
        <w:tc>
          <w:tcPr>
            <w:tcW w:w="1956" w:type="dxa"/>
            <w:noWrap/>
            <w:hideMark/>
          </w:tcPr>
          <w:p w14:paraId="4D406149" w14:textId="77777777" w:rsidR="00703E39" w:rsidRPr="00B2205E" w:rsidRDefault="00703E39" w:rsidP="00F32D02">
            <w:pPr>
              <w:jc w:val="right"/>
              <w:rPr>
                <w:rFonts w:cs="Arial"/>
                <w:b/>
                <w:bCs/>
                <w:color w:val="000000"/>
                <w:sz w:val="22"/>
                <w:szCs w:val="22"/>
              </w:rPr>
            </w:pPr>
            <w:r w:rsidRPr="00B2205E">
              <w:rPr>
                <w:rFonts w:cs="Arial"/>
                <w:b/>
                <w:bCs/>
                <w:color w:val="000000"/>
                <w:sz w:val="22"/>
                <w:szCs w:val="22"/>
              </w:rPr>
              <w:t xml:space="preserve">7,015,834 </w:t>
            </w:r>
          </w:p>
        </w:tc>
      </w:tr>
      <w:tr w:rsidR="00703E39" w:rsidRPr="00B2205E" w14:paraId="4D406150" w14:textId="77777777" w:rsidTr="00703E39">
        <w:trPr>
          <w:trHeight w:val="300"/>
        </w:trPr>
        <w:tc>
          <w:tcPr>
            <w:tcW w:w="1553" w:type="dxa"/>
            <w:noWrap/>
            <w:hideMark/>
          </w:tcPr>
          <w:p w14:paraId="4D40614C" w14:textId="77777777" w:rsidR="00703E39" w:rsidRPr="00B2205E" w:rsidRDefault="00703E39" w:rsidP="00F32D02">
            <w:pPr>
              <w:rPr>
                <w:rFonts w:cs="Arial"/>
                <w:color w:val="000000"/>
                <w:sz w:val="22"/>
                <w:szCs w:val="22"/>
              </w:rPr>
            </w:pPr>
            <w:r w:rsidRPr="00B2205E">
              <w:rPr>
                <w:rFonts w:cs="Arial"/>
                <w:color w:val="000000"/>
                <w:sz w:val="22"/>
                <w:szCs w:val="22"/>
              </w:rPr>
              <w:t> </w:t>
            </w:r>
          </w:p>
        </w:tc>
        <w:tc>
          <w:tcPr>
            <w:tcW w:w="3135" w:type="dxa"/>
            <w:noWrap/>
            <w:hideMark/>
          </w:tcPr>
          <w:p w14:paraId="4D40614D" w14:textId="77777777" w:rsidR="00703E39" w:rsidRPr="00B2205E" w:rsidRDefault="00703E39" w:rsidP="00F32D02">
            <w:pPr>
              <w:rPr>
                <w:rFonts w:cs="Arial"/>
                <w:color w:val="000000"/>
                <w:sz w:val="22"/>
                <w:szCs w:val="22"/>
              </w:rPr>
            </w:pPr>
          </w:p>
        </w:tc>
        <w:tc>
          <w:tcPr>
            <w:tcW w:w="1956" w:type="dxa"/>
            <w:noWrap/>
            <w:hideMark/>
          </w:tcPr>
          <w:p w14:paraId="4D40614E" w14:textId="77777777" w:rsidR="00703E39" w:rsidRPr="00B2205E" w:rsidRDefault="00703E39" w:rsidP="00F32D02">
            <w:pPr>
              <w:rPr>
                <w:rFonts w:cs="Arial"/>
                <w:color w:val="000000"/>
                <w:sz w:val="22"/>
                <w:szCs w:val="22"/>
              </w:rPr>
            </w:pPr>
          </w:p>
        </w:tc>
      </w:tr>
      <w:tr w:rsidR="00703E39" w:rsidRPr="00B2205E" w14:paraId="4D406155" w14:textId="77777777" w:rsidTr="00703E39">
        <w:trPr>
          <w:trHeight w:val="300"/>
        </w:trPr>
        <w:tc>
          <w:tcPr>
            <w:tcW w:w="1553" w:type="dxa"/>
            <w:noWrap/>
            <w:hideMark/>
          </w:tcPr>
          <w:p w14:paraId="4D406151" w14:textId="77777777" w:rsidR="00703E39" w:rsidRPr="00B2205E" w:rsidRDefault="00703E39" w:rsidP="00F32D02">
            <w:pPr>
              <w:rPr>
                <w:rFonts w:cs="Arial"/>
                <w:color w:val="000000"/>
                <w:sz w:val="22"/>
                <w:szCs w:val="22"/>
              </w:rPr>
            </w:pPr>
            <w:r w:rsidRPr="00B2205E">
              <w:rPr>
                <w:rFonts w:cs="Arial"/>
                <w:color w:val="000000"/>
                <w:sz w:val="22"/>
                <w:szCs w:val="22"/>
              </w:rPr>
              <w:t>2019/20</w:t>
            </w:r>
          </w:p>
        </w:tc>
        <w:tc>
          <w:tcPr>
            <w:tcW w:w="3135" w:type="dxa"/>
            <w:noWrap/>
            <w:hideMark/>
          </w:tcPr>
          <w:p w14:paraId="4D406152" w14:textId="77777777" w:rsidR="00703E39" w:rsidRPr="00B2205E" w:rsidRDefault="00703E39" w:rsidP="00F32D02">
            <w:pPr>
              <w:rPr>
                <w:rFonts w:cs="Arial"/>
                <w:color w:val="000000"/>
                <w:sz w:val="22"/>
                <w:szCs w:val="22"/>
              </w:rPr>
            </w:pPr>
            <w:r w:rsidRPr="00B2205E">
              <w:rPr>
                <w:rFonts w:cs="Arial"/>
                <w:color w:val="000000"/>
                <w:sz w:val="22"/>
                <w:szCs w:val="22"/>
              </w:rPr>
              <w:t>Budget increase</w:t>
            </w:r>
          </w:p>
        </w:tc>
        <w:tc>
          <w:tcPr>
            <w:tcW w:w="1956" w:type="dxa"/>
            <w:noWrap/>
            <w:hideMark/>
          </w:tcPr>
          <w:p w14:paraId="4D406153" w14:textId="77777777" w:rsidR="00703E39" w:rsidRPr="00B2205E" w:rsidRDefault="00703E39" w:rsidP="00F32D02">
            <w:pPr>
              <w:jc w:val="right"/>
              <w:rPr>
                <w:rFonts w:cs="Arial"/>
                <w:color w:val="000000"/>
                <w:sz w:val="22"/>
                <w:szCs w:val="22"/>
              </w:rPr>
            </w:pPr>
            <w:r w:rsidRPr="004F0A13">
              <w:rPr>
                <w:rFonts w:cs="Arial"/>
                <w:sz w:val="22"/>
                <w:szCs w:val="22"/>
              </w:rPr>
              <w:t xml:space="preserve">-2,825,976 </w:t>
            </w:r>
          </w:p>
        </w:tc>
      </w:tr>
    </w:tbl>
    <w:p w14:paraId="4D406156" w14:textId="77777777" w:rsidR="00F32D02" w:rsidRPr="00641959" w:rsidRDefault="00F32D02" w:rsidP="00F32D02">
      <w:pPr>
        <w:rPr>
          <w:rFonts w:cs="Arial"/>
          <w:sz w:val="22"/>
          <w:szCs w:val="22"/>
        </w:rPr>
      </w:pPr>
    </w:p>
    <w:p w14:paraId="4D406157" w14:textId="77777777" w:rsidR="00F32D02" w:rsidRDefault="00F32D02" w:rsidP="00F32D02">
      <w:pPr>
        <w:pStyle w:val="Header"/>
        <w:rPr>
          <w:rFonts w:cs="Arial"/>
          <w:bCs/>
          <w:iCs/>
          <w:sz w:val="22"/>
          <w:szCs w:val="22"/>
        </w:rPr>
      </w:pPr>
    </w:p>
    <w:p w14:paraId="4D406158" w14:textId="77777777" w:rsidR="00F32D02" w:rsidRDefault="00F32D02" w:rsidP="00F32D02">
      <w:pPr>
        <w:pStyle w:val="Header"/>
        <w:rPr>
          <w:rFonts w:cs="Arial"/>
          <w:bCs/>
          <w:iCs/>
          <w:sz w:val="22"/>
          <w:szCs w:val="22"/>
        </w:rPr>
      </w:pPr>
    </w:p>
    <w:p w14:paraId="4D406159" w14:textId="77777777" w:rsidR="00F32D02" w:rsidRDefault="00F32D02" w:rsidP="00F32D02">
      <w:pPr>
        <w:pStyle w:val="Header"/>
        <w:rPr>
          <w:rFonts w:cs="Arial"/>
          <w:bCs/>
          <w:iCs/>
          <w:sz w:val="22"/>
          <w:szCs w:val="22"/>
        </w:rPr>
      </w:pPr>
    </w:p>
    <w:p w14:paraId="4D40615A" w14:textId="77777777" w:rsidR="00F32D02" w:rsidRDefault="00F32D02" w:rsidP="00F32D02">
      <w:pPr>
        <w:pStyle w:val="Header"/>
        <w:rPr>
          <w:rFonts w:cs="Arial"/>
          <w:bCs/>
          <w:iCs/>
          <w:sz w:val="22"/>
          <w:szCs w:val="22"/>
        </w:rPr>
      </w:pPr>
    </w:p>
    <w:p w14:paraId="4D40615B" w14:textId="77777777" w:rsidR="00F32D02" w:rsidRDefault="00F32D02" w:rsidP="00F32D02">
      <w:pPr>
        <w:pStyle w:val="Header"/>
        <w:rPr>
          <w:rFonts w:cs="Arial"/>
          <w:bCs/>
          <w:iCs/>
          <w:sz w:val="22"/>
          <w:szCs w:val="22"/>
        </w:rPr>
      </w:pPr>
    </w:p>
    <w:p w14:paraId="4D40615C" w14:textId="77777777" w:rsidR="00F32D02" w:rsidRDefault="00F32D02" w:rsidP="00F32D02">
      <w:pPr>
        <w:pStyle w:val="Header"/>
        <w:rPr>
          <w:rFonts w:cs="Arial"/>
          <w:bCs/>
          <w:iCs/>
          <w:sz w:val="22"/>
          <w:szCs w:val="22"/>
        </w:rPr>
      </w:pPr>
    </w:p>
    <w:p w14:paraId="4D40615D" w14:textId="77777777" w:rsidR="00F32D02" w:rsidRDefault="00F32D02" w:rsidP="00F32D02">
      <w:pPr>
        <w:pStyle w:val="Header"/>
        <w:rPr>
          <w:rFonts w:cs="Arial"/>
          <w:bCs/>
          <w:iCs/>
          <w:sz w:val="22"/>
          <w:szCs w:val="22"/>
        </w:rPr>
      </w:pPr>
    </w:p>
    <w:p w14:paraId="4D40615E" w14:textId="77777777" w:rsidR="00F32D02" w:rsidRDefault="00F32D02" w:rsidP="00F32D02">
      <w:pPr>
        <w:pStyle w:val="Header"/>
        <w:rPr>
          <w:rFonts w:cs="Arial"/>
          <w:bCs/>
          <w:iCs/>
          <w:sz w:val="22"/>
          <w:szCs w:val="22"/>
        </w:rPr>
      </w:pPr>
    </w:p>
    <w:p w14:paraId="4D40615F" w14:textId="77777777" w:rsidR="00F32D02" w:rsidRDefault="00F32D02" w:rsidP="00F32D02">
      <w:pPr>
        <w:pStyle w:val="Header"/>
        <w:rPr>
          <w:rFonts w:cs="Arial"/>
          <w:bCs/>
          <w:iCs/>
          <w:sz w:val="22"/>
          <w:szCs w:val="22"/>
        </w:rPr>
      </w:pPr>
    </w:p>
    <w:p w14:paraId="4D406160" w14:textId="77777777" w:rsidR="00F32D02" w:rsidRDefault="00F32D02" w:rsidP="00F32D02">
      <w:pPr>
        <w:pStyle w:val="Header"/>
        <w:rPr>
          <w:rFonts w:cs="Arial"/>
          <w:bCs/>
          <w:iCs/>
          <w:sz w:val="22"/>
          <w:szCs w:val="22"/>
        </w:rPr>
      </w:pPr>
    </w:p>
    <w:p w14:paraId="4D406161" w14:textId="77777777" w:rsidR="00F32D02" w:rsidRDefault="00F32D02" w:rsidP="00F32D02">
      <w:pPr>
        <w:pStyle w:val="Header"/>
        <w:rPr>
          <w:rFonts w:cs="Arial"/>
          <w:bCs/>
          <w:iCs/>
          <w:sz w:val="22"/>
          <w:szCs w:val="22"/>
        </w:rPr>
      </w:pPr>
    </w:p>
    <w:p w14:paraId="4D406162" w14:textId="77777777" w:rsidR="00F32D02" w:rsidRDefault="00F32D02" w:rsidP="00F32D02">
      <w:pPr>
        <w:pStyle w:val="Header"/>
        <w:rPr>
          <w:rFonts w:cs="Arial"/>
          <w:bCs/>
          <w:iCs/>
          <w:sz w:val="22"/>
          <w:szCs w:val="22"/>
        </w:rPr>
      </w:pPr>
    </w:p>
    <w:p w14:paraId="4D406163" w14:textId="77777777" w:rsidR="00F32D02" w:rsidRDefault="00F32D02" w:rsidP="00F32D02">
      <w:pPr>
        <w:pStyle w:val="Header"/>
        <w:rPr>
          <w:rFonts w:cs="Arial"/>
          <w:bCs/>
          <w:iCs/>
          <w:sz w:val="22"/>
          <w:szCs w:val="22"/>
        </w:rPr>
      </w:pPr>
    </w:p>
    <w:p w14:paraId="4D406164" w14:textId="77777777" w:rsidR="00F32D02" w:rsidRDefault="00F32D02" w:rsidP="00F32D02">
      <w:pPr>
        <w:pStyle w:val="Header"/>
        <w:rPr>
          <w:rFonts w:cs="Arial"/>
          <w:bCs/>
          <w:iCs/>
          <w:sz w:val="22"/>
          <w:szCs w:val="22"/>
        </w:rPr>
      </w:pPr>
    </w:p>
    <w:p w14:paraId="4D406165" w14:textId="77777777" w:rsidR="00F32D02" w:rsidRPr="00B2205E" w:rsidRDefault="00F32D02" w:rsidP="00F32D02">
      <w:pPr>
        <w:pStyle w:val="Header"/>
        <w:rPr>
          <w:rFonts w:cs="Arial"/>
          <w:bCs/>
          <w:iCs/>
          <w:sz w:val="22"/>
          <w:szCs w:val="22"/>
        </w:rPr>
      </w:pPr>
      <w:r w:rsidRPr="00B2205E">
        <w:rPr>
          <w:sz w:val="22"/>
          <w:szCs w:val="22"/>
        </w:rPr>
        <w:t>There was an underspend in 2015/16 and a subsequent budget increase in 2016-17, however, during 2016-17 there was £1.8m growth pressure caused by the increased numbers of EHCPs – this is a combination of an increased number of new plans being issued and the impact of the changes to the code of practice enabling plans to be maintained between the ages of 19-25</w:t>
      </w:r>
      <w:r w:rsidR="001836B8">
        <w:rPr>
          <w:sz w:val="22"/>
          <w:szCs w:val="22"/>
        </w:rPr>
        <w:t>.</w:t>
      </w:r>
    </w:p>
    <w:p w14:paraId="4D406166" w14:textId="77777777" w:rsidR="00F32D02" w:rsidRDefault="00F32D02" w:rsidP="00F32D02">
      <w:pPr>
        <w:pStyle w:val="Header"/>
        <w:rPr>
          <w:rFonts w:cs="Arial"/>
          <w:bCs/>
          <w:iCs/>
          <w:sz w:val="22"/>
          <w:szCs w:val="22"/>
        </w:rPr>
      </w:pPr>
    </w:p>
    <w:p w14:paraId="4D406167" w14:textId="77777777" w:rsidR="00F32D02" w:rsidRPr="00B2205E" w:rsidRDefault="00F32D02" w:rsidP="00F32D02">
      <w:pPr>
        <w:rPr>
          <w:rFonts w:cs="Arial"/>
          <w:sz w:val="22"/>
          <w:szCs w:val="22"/>
        </w:rPr>
      </w:pPr>
      <w:r w:rsidRPr="00B2205E">
        <w:rPr>
          <w:rFonts w:cs="Arial"/>
          <w:sz w:val="22"/>
          <w:szCs w:val="22"/>
        </w:rPr>
        <w:t>In 2017-18 the HNFB budget was reduced by £613k and further growth resulted in an additional £1.2m pressure. At the end of 2017-18 the cumulative pressure was £2.8m.</w:t>
      </w:r>
    </w:p>
    <w:p w14:paraId="4D406168" w14:textId="77777777" w:rsidR="00F32D02" w:rsidRPr="00B2205E" w:rsidRDefault="00F32D02" w:rsidP="00F32D02">
      <w:pPr>
        <w:rPr>
          <w:rFonts w:cs="Arial"/>
          <w:sz w:val="22"/>
          <w:szCs w:val="22"/>
        </w:rPr>
      </w:pPr>
    </w:p>
    <w:p w14:paraId="4D406169" w14:textId="77777777" w:rsidR="00F32D02" w:rsidRPr="00B2205E" w:rsidRDefault="00F32D02" w:rsidP="00F32D02">
      <w:pPr>
        <w:rPr>
          <w:rFonts w:cs="Arial"/>
          <w:sz w:val="22"/>
          <w:szCs w:val="22"/>
        </w:rPr>
      </w:pPr>
      <w:r w:rsidRPr="00B2205E">
        <w:rPr>
          <w:rFonts w:cs="Arial"/>
          <w:sz w:val="22"/>
          <w:szCs w:val="22"/>
        </w:rPr>
        <w:lastRenderedPageBreak/>
        <w:t>Further budget reductions (£597k) and increased growth (£3.7m) has resulted in the cumulative £7m pressure.</w:t>
      </w:r>
    </w:p>
    <w:p w14:paraId="4D40616A" w14:textId="77777777" w:rsidR="00F32D02" w:rsidRPr="00B2205E" w:rsidRDefault="00F32D02" w:rsidP="00F32D02">
      <w:pPr>
        <w:rPr>
          <w:rFonts w:cs="Arial"/>
          <w:sz w:val="22"/>
          <w:szCs w:val="22"/>
        </w:rPr>
      </w:pPr>
    </w:p>
    <w:p w14:paraId="4D40616B" w14:textId="77777777" w:rsidR="00F32D02" w:rsidRPr="00133E53" w:rsidRDefault="00F32D02" w:rsidP="00F32D02">
      <w:pPr>
        <w:rPr>
          <w:b/>
        </w:rPr>
      </w:pPr>
      <w:r w:rsidRPr="00B2205E">
        <w:rPr>
          <w:rFonts w:cs="Arial"/>
          <w:sz w:val="22"/>
          <w:szCs w:val="22"/>
        </w:rPr>
        <w:t xml:space="preserve">For 2019-20 an additional £2.8m has been added to the budget, however, similar growth could see the pressure remaining at £7m at the end of the financial year. </w:t>
      </w:r>
    </w:p>
    <w:p w14:paraId="4D40616C" w14:textId="77777777" w:rsidR="00F32D02" w:rsidRDefault="00F32D02" w:rsidP="00F32D02">
      <w:pPr>
        <w:pStyle w:val="Header"/>
        <w:rPr>
          <w:rFonts w:cs="Arial"/>
          <w:bCs/>
          <w:iCs/>
          <w:sz w:val="22"/>
          <w:szCs w:val="22"/>
        </w:rPr>
      </w:pPr>
    </w:p>
    <w:p w14:paraId="4D40616D" w14:textId="77777777" w:rsidR="00F32D02" w:rsidRDefault="00F32D02" w:rsidP="00F32D02">
      <w:pPr>
        <w:rPr>
          <w:rFonts w:cs="Arial"/>
          <w:sz w:val="22"/>
          <w:szCs w:val="22"/>
        </w:rPr>
      </w:pPr>
      <w:r>
        <w:rPr>
          <w:rFonts w:cs="Arial"/>
          <w:sz w:val="22"/>
          <w:szCs w:val="22"/>
        </w:rPr>
        <w:t>The work related</w:t>
      </w:r>
      <w:r w:rsidRPr="00B2205E">
        <w:rPr>
          <w:rFonts w:cs="Arial"/>
          <w:sz w:val="22"/>
          <w:szCs w:val="22"/>
        </w:rPr>
        <w:t xml:space="preserve"> to the </w:t>
      </w:r>
      <w:r>
        <w:rPr>
          <w:rFonts w:cs="Arial"/>
          <w:sz w:val="22"/>
          <w:szCs w:val="22"/>
        </w:rPr>
        <w:t>SEN HN</w:t>
      </w:r>
      <w:r w:rsidR="00212E7A">
        <w:rPr>
          <w:rFonts w:cs="Arial"/>
          <w:sz w:val="22"/>
          <w:szCs w:val="22"/>
        </w:rPr>
        <w:t>F</w:t>
      </w:r>
      <w:r w:rsidRPr="00B2205E">
        <w:rPr>
          <w:rFonts w:cs="Arial"/>
          <w:sz w:val="22"/>
          <w:szCs w:val="22"/>
        </w:rPr>
        <w:t xml:space="preserve">B Review </w:t>
      </w:r>
      <w:r>
        <w:rPr>
          <w:rFonts w:cs="Arial"/>
          <w:sz w:val="22"/>
          <w:szCs w:val="22"/>
        </w:rPr>
        <w:t xml:space="preserve">carried out by </w:t>
      </w:r>
      <w:r w:rsidR="00212E7A">
        <w:rPr>
          <w:rFonts w:cs="Arial"/>
          <w:sz w:val="22"/>
          <w:szCs w:val="22"/>
        </w:rPr>
        <w:t xml:space="preserve">officers and </w:t>
      </w:r>
      <w:r>
        <w:rPr>
          <w:rFonts w:cs="Arial"/>
          <w:sz w:val="22"/>
          <w:szCs w:val="22"/>
        </w:rPr>
        <w:t xml:space="preserve">Schools Forum, including the SEMH Review, the AP Review and the consultation on SEN HNB Spending </w:t>
      </w:r>
      <w:r w:rsidRPr="00B2205E">
        <w:rPr>
          <w:rFonts w:cs="Arial"/>
          <w:sz w:val="22"/>
          <w:szCs w:val="22"/>
        </w:rPr>
        <w:t>is on</w:t>
      </w:r>
      <w:r w:rsidR="00176EBE">
        <w:rPr>
          <w:rFonts w:cs="Arial"/>
          <w:sz w:val="22"/>
          <w:szCs w:val="22"/>
        </w:rPr>
        <w:t>-</w:t>
      </w:r>
      <w:r w:rsidRPr="00B2205E">
        <w:rPr>
          <w:rFonts w:cs="Arial"/>
          <w:sz w:val="22"/>
          <w:szCs w:val="22"/>
        </w:rPr>
        <w:t xml:space="preserve">going and </w:t>
      </w:r>
      <w:r w:rsidR="00176EBE">
        <w:rPr>
          <w:rFonts w:cs="Arial"/>
          <w:sz w:val="22"/>
          <w:szCs w:val="22"/>
        </w:rPr>
        <w:t>will present long-</w:t>
      </w:r>
      <w:r>
        <w:rPr>
          <w:rFonts w:cs="Arial"/>
          <w:sz w:val="22"/>
          <w:szCs w:val="22"/>
        </w:rPr>
        <w:t xml:space="preserve">term solutions to relieving the pressure on the SEN HNB. It would be unlikely that this work will </w:t>
      </w:r>
      <w:r w:rsidRPr="00B2205E">
        <w:rPr>
          <w:rFonts w:cs="Arial"/>
          <w:sz w:val="22"/>
          <w:szCs w:val="22"/>
        </w:rPr>
        <w:t>produce significant reductions in 2019-20.</w:t>
      </w:r>
      <w:r>
        <w:rPr>
          <w:rFonts w:cs="Arial"/>
          <w:sz w:val="22"/>
          <w:szCs w:val="22"/>
        </w:rPr>
        <w:t xml:space="preserve"> As such there will need to be rigorous monitoring of the SEN HNB to ensure that forecasting is accurate and reflects any additional pressure caused by further growth.</w:t>
      </w:r>
    </w:p>
    <w:p w14:paraId="4D40616E" w14:textId="77777777" w:rsidR="000E2099" w:rsidRDefault="000E2099" w:rsidP="00F32D02">
      <w:pPr>
        <w:rPr>
          <w:rFonts w:cs="Arial"/>
          <w:sz w:val="22"/>
          <w:szCs w:val="22"/>
        </w:rPr>
      </w:pPr>
    </w:p>
    <w:p w14:paraId="4D40616F" w14:textId="77777777" w:rsidR="000E2099" w:rsidRPr="00B2205E" w:rsidRDefault="000E2099" w:rsidP="00F32D02">
      <w:pPr>
        <w:rPr>
          <w:rFonts w:cs="Arial"/>
          <w:sz w:val="22"/>
          <w:szCs w:val="22"/>
        </w:rPr>
      </w:pPr>
      <w:r>
        <w:rPr>
          <w:rFonts w:cs="Arial"/>
          <w:sz w:val="22"/>
          <w:szCs w:val="22"/>
        </w:rPr>
        <w:t xml:space="preserve">The resulting deficit is significant and has meant that the total DSG deficit is greater than the 1% allowed by central government. The council were informed that a recovery plan would </w:t>
      </w:r>
      <w:r w:rsidR="00AA0C74">
        <w:rPr>
          <w:rFonts w:cs="Arial"/>
          <w:sz w:val="22"/>
          <w:szCs w:val="22"/>
        </w:rPr>
        <w:t>need to be submitted to the Depa</w:t>
      </w:r>
      <w:r>
        <w:rPr>
          <w:rFonts w:cs="Arial"/>
          <w:sz w:val="22"/>
          <w:szCs w:val="22"/>
        </w:rPr>
        <w:t>rtment for Education</w:t>
      </w:r>
      <w:r w:rsidR="00AA0C74">
        <w:rPr>
          <w:rFonts w:cs="Arial"/>
          <w:sz w:val="22"/>
          <w:szCs w:val="22"/>
        </w:rPr>
        <w:t xml:space="preserve"> and requested additional time as the notification occurred following the final Schools Forum for the 2018-19 school year.</w:t>
      </w:r>
    </w:p>
    <w:p w14:paraId="4D406170" w14:textId="77777777" w:rsidR="00F32D02" w:rsidRPr="00B2205E" w:rsidRDefault="00F32D02" w:rsidP="00F32D02">
      <w:pPr>
        <w:rPr>
          <w:rFonts w:cs="Arial"/>
          <w:sz w:val="22"/>
          <w:szCs w:val="22"/>
        </w:rPr>
      </w:pPr>
    </w:p>
    <w:p w14:paraId="4D406171" w14:textId="77777777" w:rsidR="00F32D02" w:rsidRPr="00787B16" w:rsidRDefault="007E21FC" w:rsidP="00F32D02">
      <w:pPr>
        <w:rPr>
          <w:rFonts w:cs="Arial"/>
          <w:b/>
          <w:bCs/>
          <w:iCs/>
          <w:sz w:val="22"/>
          <w:szCs w:val="22"/>
        </w:rPr>
      </w:pPr>
      <w:r>
        <w:rPr>
          <w:rFonts w:cs="Arial"/>
          <w:b/>
          <w:bCs/>
          <w:iCs/>
          <w:sz w:val="22"/>
          <w:szCs w:val="22"/>
        </w:rPr>
        <w:t>Steps being taken</w:t>
      </w:r>
    </w:p>
    <w:p w14:paraId="4D406172" w14:textId="77777777" w:rsidR="00F32D02" w:rsidRPr="00B2205E" w:rsidRDefault="00176EBE" w:rsidP="00F32D02">
      <w:pPr>
        <w:contextualSpacing/>
        <w:rPr>
          <w:rFonts w:cs="Arial"/>
          <w:sz w:val="22"/>
          <w:szCs w:val="22"/>
        </w:rPr>
      </w:pPr>
      <w:r>
        <w:rPr>
          <w:rFonts w:cs="Arial"/>
          <w:sz w:val="22"/>
          <w:szCs w:val="22"/>
        </w:rPr>
        <w:t xml:space="preserve">In addition to the areas outlined in the DSG Recovery Plan the following </w:t>
      </w:r>
      <w:r w:rsidR="00F32D02" w:rsidRPr="00B2205E">
        <w:rPr>
          <w:rFonts w:cs="Arial"/>
          <w:sz w:val="22"/>
          <w:szCs w:val="22"/>
        </w:rPr>
        <w:t xml:space="preserve">steps </w:t>
      </w:r>
      <w:r w:rsidR="007E21FC">
        <w:rPr>
          <w:rFonts w:cs="Arial"/>
          <w:sz w:val="22"/>
          <w:szCs w:val="22"/>
        </w:rPr>
        <w:t>are being</w:t>
      </w:r>
      <w:r w:rsidR="00F32D02" w:rsidRPr="00B2205E">
        <w:rPr>
          <w:rFonts w:cs="Arial"/>
          <w:sz w:val="22"/>
          <w:szCs w:val="22"/>
        </w:rPr>
        <w:t xml:space="preserve"> taken to ensure that on</w:t>
      </w:r>
      <w:r w:rsidR="000E2099">
        <w:rPr>
          <w:rFonts w:cs="Arial"/>
          <w:sz w:val="22"/>
          <w:szCs w:val="22"/>
        </w:rPr>
        <w:t>-</w:t>
      </w:r>
      <w:r w:rsidR="00F32D02" w:rsidRPr="00B2205E">
        <w:rPr>
          <w:rFonts w:cs="Arial"/>
          <w:sz w:val="22"/>
          <w:szCs w:val="22"/>
        </w:rPr>
        <w:t>going monitoring of the SEN HNB spend is improved:</w:t>
      </w:r>
    </w:p>
    <w:p w14:paraId="4D406173" w14:textId="77777777" w:rsidR="00F32D02" w:rsidRPr="00B2205E" w:rsidRDefault="00F32D02" w:rsidP="00F32D02">
      <w:pPr>
        <w:rPr>
          <w:rFonts w:cs="Arial"/>
          <w:sz w:val="22"/>
          <w:szCs w:val="22"/>
        </w:rPr>
      </w:pPr>
    </w:p>
    <w:p w14:paraId="4D406174" w14:textId="77777777" w:rsidR="007E21FC" w:rsidRDefault="00F32D02" w:rsidP="007E21FC">
      <w:pPr>
        <w:pStyle w:val="ListParagraph"/>
        <w:numPr>
          <w:ilvl w:val="0"/>
          <w:numId w:val="47"/>
        </w:numPr>
        <w:rPr>
          <w:rFonts w:cs="Arial"/>
          <w:sz w:val="22"/>
          <w:szCs w:val="22"/>
        </w:rPr>
      </w:pPr>
      <w:r w:rsidRPr="007E21FC">
        <w:rPr>
          <w:rFonts w:cs="Arial"/>
          <w:sz w:val="22"/>
          <w:szCs w:val="22"/>
        </w:rPr>
        <w:t>Budget realignment – Some spend is being miscoded – the clearest example is the changing picture in relation to spend on LBTH Academies and free schools.</w:t>
      </w:r>
    </w:p>
    <w:p w14:paraId="4D406175" w14:textId="77777777" w:rsidR="007E21FC" w:rsidRPr="007E21FC" w:rsidRDefault="007E21FC" w:rsidP="007E21FC">
      <w:pPr>
        <w:pStyle w:val="ListParagraph"/>
        <w:rPr>
          <w:rFonts w:cs="Arial"/>
          <w:sz w:val="22"/>
          <w:szCs w:val="22"/>
        </w:rPr>
      </w:pPr>
    </w:p>
    <w:p w14:paraId="4D406176" w14:textId="77777777" w:rsidR="007E21FC" w:rsidRDefault="00F32D02" w:rsidP="007E21FC">
      <w:pPr>
        <w:pStyle w:val="ListParagraph"/>
        <w:numPr>
          <w:ilvl w:val="0"/>
          <w:numId w:val="47"/>
        </w:numPr>
        <w:rPr>
          <w:rFonts w:cs="Arial"/>
          <w:sz w:val="22"/>
          <w:szCs w:val="22"/>
        </w:rPr>
      </w:pPr>
      <w:r w:rsidRPr="007E21FC">
        <w:rPr>
          <w:rFonts w:cs="Arial"/>
          <w:sz w:val="22"/>
          <w:szCs w:val="22"/>
        </w:rPr>
        <w:t>The system of scheduling and using the holding account needs to change so that this is cleared on a monthly basis in much the same way as has been done with school meals.</w:t>
      </w:r>
    </w:p>
    <w:p w14:paraId="4D406177" w14:textId="77777777" w:rsidR="007E21FC" w:rsidRPr="007E21FC" w:rsidRDefault="007E21FC" w:rsidP="007E21FC">
      <w:pPr>
        <w:rPr>
          <w:rFonts w:cs="Arial"/>
          <w:sz w:val="22"/>
          <w:szCs w:val="22"/>
        </w:rPr>
      </w:pPr>
    </w:p>
    <w:p w14:paraId="4D406178" w14:textId="77777777" w:rsidR="007E21FC" w:rsidRDefault="00F32D02" w:rsidP="007E21FC">
      <w:pPr>
        <w:pStyle w:val="ListParagraph"/>
        <w:numPr>
          <w:ilvl w:val="0"/>
          <w:numId w:val="47"/>
        </w:numPr>
        <w:rPr>
          <w:rFonts w:cs="Arial"/>
          <w:sz w:val="22"/>
          <w:szCs w:val="22"/>
        </w:rPr>
      </w:pPr>
      <w:r w:rsidRPr="007E21FC">
        <w:rPr>
          <w:rFonts w:cs="Arial"/>
          <w:sz w:val="22"/>
          <w:szCs w:val="22"/>
        </w:rPr>
        <w:t>Work to improve the systems around budget decision making and unpicking this initial analysis further – including further benchmarking with other Local Authorities. The SEN2 report for 2019 shows that although the number of EHCPs in Inner London has increased further, there are Local Areas where the demand for EHCPs has reduced. Looking closely at what our neighbours are doing to re</w:t>
      </w:r>
      <w:r w:rsidR="007E21FC">
        <w:rPr>
          <w:rFonts w:cs="Arial"/>
          <w:sz w:val="22"/>
          <w:szCs w:val="22"/>
        </w:rPr>
        <w:t>live the pressures on their own</w:t>
      </w:r>
    </w:p>
    <w:p w14:paraId="4D406179" w14:textId="77777777" w:rsidR="007E21FC" w:rsidRPr="007E21FC" w:rsidRDefault="007E21FC" w:rsidP="007E21FC">
      <w:pPr>
        <w:rPr>
          <w:rFonts w:cs="Arial"/>
          <w:sz w:val="22"/>
          <w:szCs w:val="22"/>
        </w:rPr>
      </w:pPr>
    </w:p>
    <w:p w14:paraId="4D40617A" w14:textId="77777777" w:rsidR="00F1044E" w:rsidRDefault="007E21FC" w:rsidP="007E21FC">
      <w:pPr>
        <w:pStyle w:val="ListParagraph"/>
        <w:numPr>
          <w:ilvl w:val="0"/>
          <w:numId w:val="47"/>
        </w:numPr>
        <w:rPr>
          <w:rFonts w:cs="Arial"/>
          <w:sz w:val="22"/>
          <w:szCs w:val="22"/>
        </w:rPr>
      </w:pPr>
      <w:r>
        <w:rPr>
          <w:rFonts w:cs="Arial"/>
          <w:sz w:val="22"/>
          <w:szCs w:val="22"/>
        </w:rPr>
        <w:t>Changes to SEN Panel monitoring and tracking of EHCPs</w:t>
      </w:r>
      <w:r w:rsidR="000E2099">
        <w:rPr>
          <w:rFonts w:cs="Arial"/>
          <w:sz w:val="22"/>
          <w:szCs w:val="22"/>
        </w:rPr>
        <w:t>, including improved tracking of outcomes for children and young people with EHCPs</w:t>
      </w:r>
    </w:p>
    <w:p w14:paraId="4D40617B" w14:textId="77777777" w:rsidR="00F1044E" w:rsidRPr="00F1044E" w:rsidRDefault="00F1044E" w:rsidP="00F1044E">
      <w:pPr>
        <w:rPr>
          <w:rFonts w:cs="Arial"/>
          <w:sz w:val="22"/>
          <w:szCs w:val="22"/>
        </w:rPr>
      </w:pPr>
    </w:p>
    <w:p w14:paraId="4D40617C" w14:textId="77777777" w:rsidR="00F32D02" w:rsidRPr="007E21FC" w:rsidRDefault="00F1044E" w:rsidP="007E21FC">
      <w:pPr>
        <w:pStyle w:val="ListParagraph"/>
        <w:numPr>
          <w:ilvl w:val="0"/>
          <w:numId w:val="47"/>
        </w:numPr>
        <w:rPr>
          <w:rFonts w:cs="Arial"/>
          <w:sz w:val="22"/>
          <w:szCs w:val="22"/>
        </w:rPr>
      </w:pPr>
      <w:r>
        <w:rPr>
          <w:rFonts w:cs="Arial"/>
          <w:sz w:val="22"/>
          <w:szCs w:val="22"/>
        </w:rPr>
        <w:t>Submission and monitoring of the DSG recovery plan.</w:t>
      </w:r>
      <w:r w:rsidR="00F32D02" w:rsidRPr="007E21FC">
        <w:rPr>
          <w:rFonts w:cs="Arial"/>
          <w:sz w:val="22"/>
          <w:szCs w:val="22"/>
        </w:rPr>
        <w:t xml:space="preserve">  </w:t>
      </w:r>
    </w:p>
    <w:p w14:paraId="4D40617D" w14:textId="77777777" w:rsidR="00F32D02" w:rsidRDefault="00F32D02" w:rsidP="00F32D02">
      <w:pPr>
        <w:pStyle w:val="Header"/>
        <w:rPr>
          <w:rFonts w:cs="Arial"/>
          <w:bCs/>
          <w:iCs/>
          <w:sz w:val="22"/>
          <w:szCs w:val="22"/>
        </w:rPr>
      </w:pPr>
    </w:p>
    <w:p w14:paraId="4D40617E" w14:textId="77777777" w:rsidR="00F32D02" w:rsidRDefault="00F32D02" w:rsidP="00F32D02">
      <w:pPr>
        <w:rPr>
          <w:rFonts w:cs="Arial"/>
          <w:bCs/>
          <w:iCs/>
          <w:sz w:val="22"/>
          <w:szCs w:val="22"/>
        </w:rPr>
      </w:pPr>
      <w:r w:rsidRPr="00573ED9">
        <w:rPr>
          <w:rFonts w:cs="Arial"/>
          <w:b/>
          <w:bCs/>
          <w:iCs/>
          <w:sz w:val="22"/>
          <w:szCs w:val="22"/>
        </w:rPr>
        <w:t>Potential Risks</w:t>
      </w:r>
    </w:p>
    <w:p w14:paraId="4D40617F" w14:textId="77777777" w:rsidR="00F32D02" w:rsidRDefault="00F32D02" w:rsidP="00F32D02">
      <w:pPr>
        <w:rPr>
          <w:rFonts w:cs="Arial"/>
          <w:bCs/>
          <w:iCs/>
          <w:sz w:val="22"/>
          <w:szCs w:val="22"/>
        </w:rPr>
      </w:pPr>
      <w:r>
        <w:rPr>
          <w:rFonts w:cs="Arial"/>
          <w:bCs/>
          <w:iCs/>
          <w:sz w:val="22"/>
          <w:szCs w:val="22"/>
        </w:rPr>
        <w:t>Across the Local Area educational outcomes for children and young people with SEND are at, or above national averages, in almost all benchmarks at all key stages. This is a source of great pride for Tower Hamlets and is further reinforced by the fact that Tower Hamlets has the highest percentage of CYP with EHCPs in maintained mainstream schools</w:t>
      </w:r>
      <w:r w:rsidR="00F1044E">
        <w:rPr>
          <w:rFonts w:cs="Arial"/>
          <w:bCs/>
          <w:iCs/>
          <w:sz w:val="22"/>
          <w:szCs w:val="22"/>
        </w:rPr>
        <w:t xml:space="preserve"> across all London authorities:</w:t>
      </w:r>
    </w:p>
    <w:p w14:paraId="4D406180" w14:textId="77777777" w:rsidR="00F32D02" w:rsidRDefault="00F32D02" w:rsidP="00F32D02">
      <w:pPr>
        <w:rPr>
          <w:rFonts w:cs="Arial"/>
          <w:bCs/>
          <w:iCs/>
          <w:sz w:val="22"/>
          <w:szCs w:val="22"/>
        </w:rPr>
      </w:pPr>
    </w:p>
    <w:p w14:paraId="4D406181" w14:textId="77777777" w:rsidR="00F32D02" w:rsidRDefault="00F32D02" w:rsidP="00F32D02">
      <w:pPr>
        <w:rPr>
          <w:rFonts w:cs="Arial"/>
          <w:bCs/>
          <w:iCs/>
          <w:sz w:val="22"/>
          <w:szCs w:val="22"/>
        </w:rPr>
      </w:pPr>
      <w:r>
        <w:rPr>
          <w:noProof/>
        </w:rPr>
        <w:lastRenderedPageBreak/>
        <w:drawing>
          <wp:inline distT="0" distB="0" distL="0" distR="0" wp14:anchorId="4D4061A3" wp14:editId="186D60D1">
            <wp:extent cx="5471160" cy="3672840"/>
            <wp:effectExtent l="0" t="0" r="0" b="3810"/>
            <wp:docPr id="7" name="Picture 7" descr="Graph comparing the percentage of children with EHCP in LA maintained mainstream school across London Boroughs, as well as benchmarks for England, Outer London, London and Inner London. The graph Shows Tower Hamlets has the most (over 50%) with the second most having under 40%, and the Inner London Benchmark just over 30%, and the benchmark for England being just under 2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9176" t="15730" r="23595" b="16573"/>
                    <a:stretch/>
                  </pic:blipFill>
                  <pic:spPr bwMode="auto">
                    <a:xfrm>
                      <a:off x="0" y="0"/>
                      <a:ext cx="5488341" cy="3684374"/>
                    </a:xfrm>
                    <a:prstGeom prst="rect">
                      <a:avLst/>
                    </a:prstGeom>
                    <a:ln>
                      <a:noFill/>
                    </a:ln>
                    <a:extLst>
                      <a:ext uri="{53640926-AAD7-44D8-BBD7-CCE9431645EC}">
                        <a14:shadowObscured xmlns:a14="http://schemas.microsoft.com/office/drawing/2010/main"/>
                      </a:ext>
                    </a:extLst>
                  </pic:spPr>
                </pic:pic>
              </a:graphicData>
            </a:graphic>
          </wp:inline>
        </w:drawing>
      </w:r>
    </w:p>
    <w:p w14:paraId="4D406182" w14:textId="77777777" w:rsidR="00F32D02" w:rsidRPr="00573ED9" w:rsidRDefault="00F32D02" w:rsidP="00F32D02">
      <w:pPr>
        <w:rPr>
          <w:rFonts w:cs="Arial"/>
          <w:b/>
          <w:bCs/>
          <w:iCs/>
          <w:sz w:val="16"/>
          <w:szCs w:val="16"/>
        </w:rPr>
      </w:pPr>
      <w:r>
        <w:rPr>
          <w:rFonts w:cs="Arial"/>
          <w:b/>
          <w:bCs/>
          <w:iCs/>
          <w:sz w:val="16"/>
          <w:szCs w:val="16"/>
        </w:rPr>
        <w:t>Source: ALDCS Sector led improvement data (DfE SEN2 2018)</w:t>
      </w:r>
    </w:p>
    <w:p w14:paraId="4D406183" w14:textId="77777777" w:rsidR="00F32D02" w:rsidRDefault="00F32D02" w:rsidP="00F32D02">
      <w:pPr>
        <w:rPr>
          <w:rFonts w:cs="Arial"/>
          <w:bCs/>
          <w:iCs/>
          <w:sz w:val="22"/>
          <w:szCs w:val="22"/>
        </w:rPr>
      </w:pPr>
    </w:p>
    <w:p w14:paraId="4D406184" w14:textId="77777777" w:rsidR="00F32D02" w:rsidRDefault="00F32D02" w:rsidP="007E21FC">
      <w:pPr>
        <w:pStyle w:val="Header"/>
        <w:rPr>
          <w:b/>
        </w:rPr>
      </w:pPr>
      <w:r>
        <w:rPr>
          <w:rFonts w:cs="Arial"/>
          <w:bCs/>
          <w:iCs/>
          <w:sz w:val="22"/>
          <w:szCs w:val="22"/>
        </w:rPr>
        <w:t>Strategies for relieving the pressure on the SEN HNB will have to be mindful that the top-up funding for Education, Health and Care Plans plays a significant role in supporting a key group of vulnerable children and young people to achieve these excellent educational outcomes.</w:t>
      </w:r>
    </w:p>
    <w:p w14:paraId="4D406185" w14:textId="77777777" w:rsidR="003B3B7C" w:rsidRDefault="003B3B7C" w:rsidP="00F1044E">
      <w:pPr>
        <w:pStyle w:val="Header"/>
        <w:rPr>
          <w:b/>
        </w:rPr>
      </w:pPr>
    </w:p>
    <w:p w14:paraId="4D406186" w14:textId="77777777" w:rsidR="00ED7730" w:rsidRDefault="00FC0ACB" w:rsidP="00FC0ACB">
      <w:pPr>
        <w:rPr>
          <w:b/>
        </w:rPr>
      </w:pPr>
      <w:r>
        <w:rPr>
          <w:b/>
        </w:rPr>
        <w:t>The DSG Recovery Plan</w:t>
      </w:r>
    </w:p>
    <w:p w14:paraId="4D406187" w14:textId="77777777" w:rsidR="00FC0ACB" w:rsidRDefault="00FC0ACB" w:rsidP="00FC0ACB">
      <w:pPr>
        <w:rPr>
          <w:b/>
        </w:rPr>
      </w:pPr>
    </w:p>
    <w:p w14:paraId="4D406188" w14:textId="77777777" w:rsidR="00FC0ACB" w:rsidRPr="000E615B" w:rsidRDefault="001836B8" w:rsidP="00FC0ACB">
      <w:pPr>
        <w:rPr>
          <w:sz w:val="22"/>
          <w:szCs w:val="22"/>
        </w:rPr>
      </w:pPr>
      <w:r>
        <w:rPr>
          <w:sz w:val="22"/>
          <w:szCs w:val="22"/>
        </w:rPr>
        <w:t>Tower Hamlets were one of 32</w:t>
      </w:r>
      <w:r w:rsidR="000E2099" w:rsidRPr="000E615B">
        <w:rPr>
          <w:sz w:val="22"/>
          <w:szCs w:val="22"/>
        </w:rPr>
        <w:t xml:space="preserve"> Local Authorities </w:t>
      </w:r>
      <w:r w:rsidR="00F1044E" w:rsidRPr="000E615B">
        <w:rPr>
          <w:sz w:val="22"/>
          <w:szCs w:val="22"/>
        </w:rPr>
        <w:t xml:space="preserve">across England </w:t>
      </w:r>
      <w:r w:rsidR="00AA0C74" w:rsidRPr="000E615B">
        <w:rPr>
          <w:sz w:val="22"/>
          <w:szCs w:val="22"/>
        </w:rPr>
        <w:t xml:space="preserve">required to submit a DSG Recovery Plan </w:t>
      </w:r>
      <w:r w:rsidR="000E2099" w:rsidRPr="000E615B">
        <w:rPr>
          <w:sz w:val="22"/>
          <w:szCs w:val="22"/>
        </w:rPr>
        <w:t xml:space="preserve">at the end of the 2018-19 financial year. </w:t>
      </w:r>
      <w:r>
        <w:rPr>
          <w:sz w:val="22"/>
          <w:szCs w:val="22"/>
        </w:rPr>
        <w:t xml:space="preserve">This is one fifth of all local authorities. </w:t>
      </w:r>
      <w:r w:rsidR="000E2099" w:rsidRPr="000E615B">
        <w:rPr>
          <w:sz w:val="22"/>
          <w:szCs w:val="22"/>
        </w:rPr>
        <w:t xml:space="preserve">The </w:t>
      </w:r>
      <w:r w:rsidR="00AA0C74" w:rsidRPr="000E615B">
        <w:rPr>
          <w:sz w:val="22"/>
          <w:szCs w:val="22"/>
        </w:rPr>
        <w:t xml:space="preserve">plan must show how the council proposes to bring the DSG back into balance over the next three years. </w:t>
      </w:r>
      <w:r w:rsidR="00AA0C74" w:rsidRPr="006B59E2">
        <w:rPr>
          <w:sz w:val="22"/>
          <w:szCs w:val="22"/>
        </w:rPr>
        <w:t>Although the plan is the council’s and decisions on the spending will be made by officers,</w:t>
      </w:r>
      <w:r w:rsidR="00AA0C74" w:rsidRPr="000E615B">
        <w:rPr>
          <w:sz w:val="22"/>
          <w:szCs w:val="22"/>
        </w:rPr>
        <w:t xml:space="preserve"> the plan is required to be signed off by Schools Forum. Officers requested an extension of the time to submit a plan subsequent to the approval of Schools Forum, however, this was not </w:t>
      </w:r>
      <w:proofErr w:type="gramStart"/>
      <w:r w:rsidR="00AA0C74" w:rsidRPr="000E615B">
        <w:rPr>
          <w:sz w:val="22"/>
          <w:szCs w:val="22"/>
        </w:rPr>
        <w:t>forthcoming</w:t>
      </w:r>
      <w:proofErr w:type="gramEnd"/>
      <w:r w:rsidR="00AA0C74" w:rsidRPr="000E615B">
        <w:rPr>
          <w:sz w:val="22"/>
          <w:szCs w:val="22"/>
        </w:rPr>
        <w:t xml:space="preserve"> and the plan was submitted in the Summer</w:t>
      </w:r>
      <w:r w:rsidR="00F1044E" w:rsidRPr="000E615B">
        <w:rPr>
          <w:sz w:val="22"/>
          <w:szCs w:val="22"/>
        </w:rPr>
        <w:t xml:space="preserve"> given the information available at the time</w:t>
      </w:r>
      <w:r w:rsidR="00AA0C74" w:rsidRPr="000E615B">
        <w:rPr>
          <w:sz w:val="22"/>
          <w:szCs w:val="22"/>
        </w:rPr>
        <w:t>.</w:t>
      </w:r>
    </w:p>
    <w:p w14:paraId="4D406189" w14:textId="77777777" w:rsidR="00AA0C74" w:rsidRPr="000E615B" w:rsidRDefault="00AA0C74" w:rsidP="00FC0ACB">
      <w:pPr>
        <w:rPr>
          <w:sz w:val="22"/>
          <w:szCs w:val="22"/>
        </w:rPr>
      </w:pPr>
    </w:p>
    <w:p w14:paraId="4D40618A" w14:textId="77777777" w:rsidR="00AA0C74" w:rsidRPr="000E615B" w:rsidRDefault="00AA0C74" w:rsidP="00FC0ACB">
      <w:pPr>
        <w:rPr>
          <w:sz w:val="22"/>
          <w:szCs w:val="22"/>
        </w:rPr>
      </w:pPr>
      <w:r w:rsidRPr="000E615B">
        <w:rPr>
          <w:sz w:val="22"/>
          <w:szCs w:val="22"/>
        </w:rPr>
        <w:t>Subsequent to the plan being submitted the government has announced an increase in SEND funding and a review of SEND and the way it is funded.</w:t>
      </w:r>
    </w:p>
    <w:p w14:paraId="4D40618B" w14:textId="77777777" w:rsidR="00F1044E" w:rsidRPr="000E615B" w:rsidRDefault="00F1044E" w:rsidP="00FC0ACB">
      <w:pPr>
        <w:rPr>
          <w:sz w:val="22"/>
          <w:szCs w:val="22"/>
        </w:rPr>
      </w:pPr>
    </w:p>
    <w:p w14:paraId="4D40618C" w14:textId="77777777" w:rsidR="00F1044E" w:rsidRPr="000E615B" w:rsidRDefault="00F1044E" w:rsidP="00FC0ACB">
      <w:pPr>
        <w:rPr>
          <w:sz w:val="22"/>
          <w:szCs w:val="22"/>
        </w:rPr>
      </w:pPr>
      <w:r w:rsidRPr="000E615B">
        <w:rPr>
          <w:sz w:val="22"/>
          <w:szCs w:val="22"/>
        </w:rPr>
        <w:t>The text of the DSG Recover</w:t>
      </w:r>
      <w:r w:rsidR="001836B8">
        <w:rPr>
          <w:sz w:val="22"/>
          <w:szCs w:val="22"/>
        </w:rPr>
        <w:t xml:space="preserve">y Plan can be found in </w:t>
      </w:r>
      <w:r w:rsidR="001836B8" w:rsidRPr="000A4E8F">
        <w:rPr>
          <w:b/>
          <w:sz w:val="22"/>
          <w:szCs w:val="22"/>
        </w:rPr>
        <w:t>appendi</w:t>
      </w:r>
      <w:r w:rsidR="000A4E8F">
        <w:rPr>
          <w:b/>
          <w:sz w:val="22"/>
          <w:szCs w:val="22"/>
        </w:rPr>
        <w:t>x</w:t>
      </w:r>
      <w:r w:rsidR="001836B8" w:rsidRPr="000A4E8F">
        <w:rPr>
          <w:b/>
          <w:sz w:val="22"/>
          <w:szCs w:val="22"/>
        </w:rPr>
        <w:t xml:space="preserve"> 1</w:t>
      </w:r>
      <w:r w:rsidR="000A4E8F">
        <w:rPr>
          <w:b/>
          <w:sz w:val="22"/>
          <w:szCs w:val="22"/>
        </w:rPr>
        <w:t xml:space="preserve"> </w:t>
      </w:r>
      <w:r w:rsidR="000A4E8F">
        <w:rPr>
          <w:sz w:val="22"/>
          <w:szCs w:val="22"/>
        </w:rPr>
        <w:t xml:space="preserve">and financial information is in </w:t>
      </w:r>
      <w:r w:rsidR="000A4E8F" w:rsidRPr="000A4E8F">
        <w:rPr>
          <w:b/>
          <w:sz w:val="22"/>
          <w:szCs w:val="22"/>
        </w:rPr>
        <w:t>appendix 2</w:t>
      </w:r>
      <w:r w:rsidRPr="000E615B">
        <w:rPr>
          <w:sz w:val="22"/>
          <w:szCs w:val="22"/>
        </w:rPr>
        <w:t>, and outlines the main pressures and the measures that the council proposed to take to reduce the deficit. At the time of writing the plan the HNFB Consultation had gone live and the figures used to inform the plan and submitted are based on a 7% reduction to the top-up fees for pupils in Tower Hamlets schools.</w:t>
      </w:r>
      <w:r w:rsidR="000A4E8F">
        <w:rPr>
          <w:sz w:val="22"/>
          <w:szCs w:val="22"/>
        </w:rPr>
        <w:t xml:space="preserve"> This was not pre-empting a decision on the consultation and it</w:t>
      </w:r>
      <w:r w:rsidRPr="000E615B">
        <w:rPr>
          <w:sz w:val="22"/>
          <w:szCs w:val="22"/>
        </w:rPr>
        <w:t xml:space="preserve"> should be noted that following the formal consultation, the decision has been taken to complete a further consultation on top-up fees.</w:t>
      </w:r>
    </w:p>
    <w:p w14:paraId="4D40618D" w14:textId="77777777" w:rsidR="00F1044E" w:rsidRPr="000E615B" w:rsidRDefault="00F1044E" w:rsidP="00FC0ACB">
      <w:pPr>
        <w:rPr>
          <w:sz w:val="22"/>
          <w:szCs w:val="22"/>
        </w:rPr>
      </w:pPr>
    </w:p>
    <w:p w14:paraId="4D40618E" w14:textId="77777777" w:rsidR="00F1044E" w:rsidRPr="000E615B" w:rsidRDefault="00F1044E" w:rsidP="00FC0ACB">
      <w:pPr>
        <w:rPr>
          <w:sz w:val="22"/>
          <w:szCs w:val="22"/>
        </w:rPr>
      </w:pPr>
      <w:r w:rsidRPr="000E615B">
        <w:rPr>
          <w:sz w:val="22"/>
          <w:szCs w:val="22"/>
        </w:rPr>
        <w:t xml:space="preserve">The DSG Recovery Plan also included the transfer of </w:t>
      </w:r>
      <w:r w:rsidRPr="006B59E2">
        <w:rPr>
          <w:sz w:val="22"/>
          <w:szCs w:val="22"/>
        </w:rPr>
        <w:t>£</w:t>
      </w:r>
      <w:r w:rsidR="007931F8" w:rsidRPr="006B59E2">
        <w:rPr>
          <w:sz w:val="22"/>
          <w:szCs w:val="22"/>
        </w:rPr>
        <w:t>500k</w:t>
      </w:r>
      <w:r w:rsidRPr="000E615B">
        <w:rPr>
          <w:sz w:val="22"/>
          <w:szCs w:val="22"/>
        </w:rPr>
        <w:t xml:space="preserve"> from the Central Schools Service agreed previously by Schools Forum in 2018/19 and assumed similar underspends </w:t>
      </w:r>
      <w:r w:rsidRPr="000E615B">
        <w:rPr>
          <w:sz w:val="22"/>
          <w:szCs w:val="22"/>
        </w:rPr>
        <w:lastRenderedPageBreak/>
        <w:t>in the Central Schools Service, which we would also ask Schools Forum to transfer to the HNFB.</w:t>
      </w:r>
    </w:p>
    <w:p w14:paraId="4D40618F" w14:textId="77777777" w:rsidR="00F1044E" w:rsidRPr="000E615B" w:rsidRDefault="00F1044E" w:rsidP="00FC0ACB">
      <w:pPr>
        <w:rPr>
          <w:sz w:val="22"/>
          <w:szCs w:val="22"/>
        </w:rPr>
      </w:pPr>
    </w:p>
    <w:p w14:paraId="4D406190" w14:textId="77777777" w:rsidR="00F1044E" w:rsidRPr="000E615B" w:rsidRDefault="00231A6E" w:rsidP="00FC0ACB">
      <w:pPr>
        <w:rPr>
          <w:sz w:val="22"/>
          <w:szCs w:val="22"/>
        </w:rPr>
      </w:pPr>
      <w:r w:rsidRPr="000E615B">
        <w:rPr>
          <w:sz w:val="22"/>
          <w:szCs w:val="22"/>
        </w:rPr>
        <w:t>Schools Forum is</w:t>
      </w:r>
      <w:r w:rsidR="00F1044E" w:rsidRPr="000E615B">
        <w:rPr>
          <w:sz w:val="22"/>
          <w:szCs w:val="22"/>
        </w:rPr>
        <w:t xml:space="preserve"> being asked to transfer the maximum that can be transferred from the Schools Block to the HNFB in 2021. This figure is £1.3m based upon 2019/20 figures.</w:t>
      </w:r>
    </w:p>
    <w:p w14:paraId="4D406191" w14:textId="77777777" w:rsidR="00F1044E" w:rsidRPr="000E615B" w:rsidRDefault="00F1044E" w:rsidP="00FC0ACB">
      <w:pPr>
        <w:rPr>
          <w:sz w:val="22"/>
          <w:szCs w:val="22"/>
        </w:rPr>
      </w:pPr>
    </w:p>
    <w:p w14:paraId="4D406192" w14:textId="77777777" w:rsidR="00F1044E" w:rsidRPr="000E615B" w:rsidRDefault="00F1044E" w:rsidP="00FC0ACB">
      <w:pPr>
        <w:rPr>
          <w:sz w:val="22"/>
          <w:szCs w:val="22"/>
        </w:rPr>
      </w:pPr>
      <w:r w:rsidRPr="000E615B">
        <w:rPr>
          <w:sz w:val="22"/>
          <w:szCs w:val="22"/>
        </w:rPr>
        <w:t>A further transfer of £0.9m would be sought, however, this would require the approval of the Secretary of State.</w:t>
      </w:r>
    </w:p>
    <w:p w14:paraId="4D406193" w14:textId="77777777" w:rsidR="00F1044E" w:rsidRPr="000E615B" w:rsidRDefault="00F1044E" w:rsidP="00FC0ACB">
      <w:pPr>
        <w:rPr>
          <w:sz w:val="22"/>
          <w:szCs w:val="22"/>
        </w:rPr>
      </w:pPr>
    </w:p>
    <w:p w14:paraId="4D406194" w14:textId="77777777" w:rsidR="00F1044E" w:rsidRPr="000E615B" w:rsidRDefault="00F1044E" w:rsidP="00FC0ACB">
      <w:pPr>
        <w:rPr>
          <w:sz w:val="22"/>
          <w:szCs w:val="22"/>
        </w:rPr>
      </w:pPr>
      <w:r w:rsidRPr="000E615B">
        <w:rPr>
          <w:sz w:val="22"/>
          <w:szCs w:val="22"/>
        </w:rPr>
        <w:t>The DSG Recovery Plan is being presented to Schools Forum as a requirement of the process but it is worth noting that at the time of writing this report:</w:t>
      </w:r>
    </w:p>
    <w:p w14:paraId="4D406195" w14:textId="77777777" w:rsidR="00F1044E" w:rsidRPr="000E615B" w:rsidRDefault="00F1044E" w:rsidP="00FC0ACB">
      <w:pPr>
        <w:rPr>
          <w:sz w:val="22"/>
          <w:szCs w:val="22"/>
        </w:rPr>
      </w:pPr>
    </w:p>
    <w:p w14:paraId="4D406196" w14:textId="77777777" w:rsidR="00F1044E" w:rsidRPr="000E615B" w:rsidRDefault="00F1044E" w:rsidP="00F1044E">
      <w:pPr>
        <w:pStyle w:val="ListParagraph"/>
        <w:numPr>
          <w:ilvl w:val="0"/>
          <w:numId w:val="48"/>
        </w:numPr>
        <w:rPr>
          <w:sz w:val="22"/>
          <w:szCs w:val="22"/>
        </w:rPr>
      </w:pPr>
      <w:r w:rsidRPr="000E615B">
        <w:rPr>
          <w:sz w:val="22"/>
          <w:szCs w:val="22"/>
        </w:rPr>
        <w:t>There</w:t>
      </w:r>
      <w:r w:rsidR="00231A6E" w:rsidRPr="000E615B">
        <w:rPr>
          <w:sz w:val="22"/>
          <w:szCs w:val="22"/>
        </w:rPr>
        <w:t xml:space="preserve"> has been no further contact, </w:t>
      </w:r>
      <w:r w:rsidRPr="000E615B">
        <w:rPr>
          <w:sz w:val="22"/>
          <w:szCs w:val="22"/>
        </w:rPr>
        <w:t xml:space="preserve">information </w:t>
      </w:r>
      <w:r w:rsidR="00231A6E" w:rsidRPr="000E615B">
        <w:rPr>
          <w:sz w:val="22"/>
          <w:szCs w:val="22"/>
        </w:rPr>
        <w:t>or feedback</w:t>
      </w:r>
      <w:r w:rsidRPr="000E615B">
        <w:rPr>
          <w:sz w:val="22"/>
          <w:szCs w:val="22"/>
        </w:rPr>
        <w:t xml:space="preserve"> about the proposed plan from the DFE</w:t>
      </w:r>
      <w:r w:rsidR="00231A6E" w:rsidRPr="000E615B">
        <w:rPr>
          <w:sz w:val="22"/>
          <w:szCs w:val="22"/>
        </w:rPr>
        <w:t>.</w:t>
      </w:r>
    </w:p>
    <w:p w14:paraId="4D406197" w14:textId="77777777" w:rsidR="00F1044E" w:rsidRPr="000E615B" w:rsidRDefault="00F1044E" w:rsidP="00F1044E">
      <w:pPr>
        <w:pStyle w:val="ListParagraph"/>
        <w:numPr>
          <w:ilvl w:val="0"/>
          <w:numId w:val="48"/>
        </w:numPr>
        <w:rPr>
          <w:sz w:val="22"/>
          <w:szCs w:val="22"/>
        </w:rPr>
      </w:pPr>
      <w:r w:rsidRPr="000E615B">
        <w:rPr>
          <w:sz w:val="22"/>
          <w:szCs w:val="22"/>
        </w:rPr>
        <w:t>The government has a</w:t>
      </w:r>
      <w:r w:rsidR="00231A6E" w:rsidRPr="000E615B">
        <w:rPr>
          <w:sz w:val="22"/>
          <w:szCs w:val="22"/>
        </w:rPr>
        <w:t>nnounced a funding increase of £700m, however, the details of the allocation and the conditions for the use of this funding are unknown at this time.</w:t>
      </w:r>
    </w:p>
    <w:p w14:paraId="4D406198" w14:textId="77777777" w:rsidR="00231A6E" w:rsidRPr="000E615B" w:rsidRDefault="00231A6E" w:rsidP="00F1044E">
      <w:pPr>
        <w:pStyle w:val="ListParagraph"/>
        <w:numPr>
          <w:ilvl w:val="0"/>
          <w:numId w:val="48"/>
        </w:numPr>
        <w:rPr>
          <w:sz w:val="22"/>
          <w:szCs w:val="22"/>
        </w:rPr>
      </w:pPr>
      <w:r w:rsidRPr="000E615B">
        <w:rPr>
          <w:sz w:val="22"/>
          <w:szCs w:val="22"/>
        </w:rPr>
        <w:t>A decision has been taken to complete further consultation on the top-up funding rates for EHCPs in Tower Hamlets Schools.</w:t>
      </w:r>
    </w:p>
    <w:p w14:paraId="4D406199" w14:textId="77777777" w:rsidR="00F1044E" w:rsidRPr="000E615B" w:rsidRDefault="00F1044E" w:rsidP="00FC0ACB">
      <w:pPr>
        <w:rPr>
          <w:sz w:val="22"/>
          <w:szCs w:val="22"/>
        </w:rPr>
      </w:pPr>
    </w:p>
    <w:p w14:paraId="4D40619A" w14:textId="77777777" w:rsidR="00F1044E" w:rsidRPr="000E615B" w:rsidRDefault="00212E7A" w:rsidP="00FC0ACB">
      <w:pPr>
        <w:rPr>
          <w:sz w:val="22"/>
          <w:szCs w:val="22"/>
        </w:rPr>
      </w:pPr>
      <w:r w:rsidRPr="000E615B">
        <w:rPr>
          <w:sz w:val="22"/>
          <w:szCs w:val="22"/>
        </w:rPr>
        <w:t>Schools Forum is asked to:</w:t>
      </w:r>
    </w:p>
    <w:p w14:paraId="4D40619B" w14:textId="77777777" w:rsidR="00212E7A" w:rsidRPr="000E615B" w:rsidRDefault="00212E7A" w:rsidP="00FC0ACB">
      <w:pPr>
        <w:rPr>
          <w:sz w:val="22"/>
          <w:szCs w:val="22"/>
        </w:rPr>
      </w:pPr>
    </w:p>
    <w:p w14:paraId="4D40619C" w14:textId="77777777" w:rsidR="00212E7A" w:rsidRPr="000E615B" w:rsidRDefault="00212E7A" w:rsidP="00212E7A">
      <w:pPr>
        <w:pStyle w:val="ListParagraph"/>
        <w:numPr>
          <w:ilvl w:val="0"/>
          <w:numId w:val="49"/>
        </w:numPr>
        <w:rPr>
          <w:sz w:val="22"/>
          <w:szCs w:val="22"/>
        </w:rPr>
      </w:pPr>
      <w:r w:rsidRPr="000E615B">
        <w:rPr>
          <w:sz w:val="22"/>
          <w:szCs w:val="22"/>
        </w:rPr>
        <w:t>Comment on the DSG Recovery Plan in its current form</w:t>
      </w:r>
    </w:p>
    <w:p w14:paraId="4D40619D" w14:textId="77777777" w:rsidR="00212E7A" w:rsidRPr="000E615B" w:rsidRDefault="00212E7A" w:rsidP="00212E7A">
      <w:pPr>
        <w:pStyle w:val="ListParagraph"/>
        <w:numPr>
          <w:ilvl w:val="0"/>
          <w:numId w:val="49"/>
        </w:numPr>
        <w:rPr>
          <w:sz w:val="22"/>
          <w:szCs w:val="22"/>
        </w:rPr>
      </w:pPr>
      <w:r w:rsidRPr="000E615B">
        <w:rPr>
          <w:sz w:val="22"/>
          <w:szCs w:val="22"/>
        </w:rPr>
        <w:t xml:space="preserve">Agree the DSG Recovery Plan in its current form as indicative of the </w:t>
      </w:r>
      <w:r w:rsidR="000E615B" w:rsidRPr="000E615B">
        <w:rPr>
          <w:sz w:val="22"/>
          <w:szCs w:val="22"/>
        </w:rPr>
        <w:t>council’s attempts to reduce spending on the SEN portion of the HNFB in a time of reduced funding for SEND nationally and in the knowledge that further funding has been announced by the government.</w:t>
      </w:r>
    </w:p>
    <w:p w14:paraId="4D40619E" w14:textId="77777777" w:rsidR="00212E7A" w:rsidRPr="00FC0ACB" w:rsidRDefault="00212E7A" w:rsidP="00212E7A">
      <w:pPr>
        <w:pStyle w:val="ListParagraph"/>
      </w:pPr>
      <w:bookmarkStart w:id="0" w:name="_GoBack"/>
      <w:bookmarkEnd w:id="0"/>
    </w:p>
    <w:sectPr w:rsidR="00212E7A" w:rsidRPr="00FC0ACB" w:rsidSect="004C11CF">
      <w:headerReference w:type="default" r:id="rId14"/>
      <w:footerReference w:type="default" r:id="rId15"/>
      <w:pgSz w:w="11906" w:h="16838" w:code="9"/>
      <w:pgMar w:top="1503"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A9CD0" w14:textId="77777777" w:rsidR="002C775C" w:rsidRDefault="002C775C">
      <w:r>
        <w:separator/>
      </w:r>
    </w:p>
  </w:endnote>
  <w:endnote w:type="continuationSeparator" w:id="0">
    <w:p w14:paraId="4A6C8C3A" w14:textId="77777777" w:rsidR="002C775C" w:rsidRDefault="002C7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061AB" w14:textId="77777777" w:rsidR="00212E7A" w:rsidRDefault="00212E7A">
    <w:pPr>
      <w:pStyle w:val="Footer"/>
      <w:jc w:val="center"/>
      <w:rPr>
        <w:b/>
      </w:rPr>
    </w:pPr>
    <w:r>
      <w:rPr>
        <w:rStyle w:val="PageNumber"/>
        <w:b/>
      </w:rPr>
      <w:fldChar w:fldCharType="begin"/>
    </w:r>
    <w:r>
      <w:rPr>
        <w:rStyle w:val="PageNumber"/>
        <w:b/>
      </w:rPr>
      <w:instrText xml:space="preserve"> PAGE </w:instrText>
    </w:r>
    <w:r>
      <w:rPr>
        <w:rStyle w:val="PageNumber"/>
        <w:b/>
      </w:rPr>
      <w:fldChar w:fldCharType="separate"/>
    </w:r>
    <w:r w:rsidR="00AD3D5A">
      <w:rPr>
        <w:rStyle w:val="PageNumber"/>
        <w:b/>
        <w:noProof/>
      </w:rPr>
      <w:t>1</w:t>
    </w:r>
    <w:r>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49816" w14:textId="77777777" w:rsidR="002C775C" w:rsidRDefault="002C775C">
      <w:r>
        <w:separator/>
      </w:r>
    </w:p>
  </w:footnote>
  <w:footnote w:type="continuationSeparator" w:id="0">
    <w:p w14:paraId="58FFD4E8" w14:textId="77777777" w:rsidR="002C775C" w:rsidRDefault="002C7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683006243"/>
      <w:placeholder>
        <w:docPart w:val="835456DEE7DA456E973802FF7A26AF09"/>
      </w:placeholder>
      <w:dataBinding w:prefixMappings="xmlns:ns0='http://purl.org/dc/elements/1.1/' xmlns:ns1='http://schemas.openxmlformats.org/package/2006/metadata/core-properties' " w:xpath="/ns1:coreProperties[1]/ns0:title[1]" w:storeItemID="{6C3C8BC8-F283-45AE-878A-BAB7291924A1}"/>
      <w:text/>
    </w:sdtPr>
    <w:sdtContent>
      <w:p w14:paraId="4D4061AA" w14:textId="139820D6" w:rsidR="00212E7A" w:rsidRDefault="0004079B">
        <w:pPr>
          <w:pStyle w:val="Header"/>
        </w:pPr>
        <w:r>
          <w:t>Schools Forum - October 2019 - DSG Recovery Plan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392"/>
    <w:multiLevelType w:val="hybridMultilevel"/>
    <w:tmpl w:val="FD86B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C73AD"/>
    <w:multiLevelType w:val="hybridMultilevel"/>
    <w:tmpl w:val="F5321764"/>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20075F5"/>
    <w:multiLevelType w:val="hybridMultilevel"/>
    <w:tmpl w:val="33A2522C"/>
    <w:lvl w:ilvl="0" w:tplc="08090003">
      <w:start w:val="1"/>
      <w:numFmt w:val="bullet"/>
      <w:lvlText w:val="o"/>
      <w:lvlJc w:val="left"/>
      <w:pPr>
        <w:tabs>
          <w:tab w:val="num" w:pos="720"/>
        </w:tabs>
        <w:ind w:left="720" w:hanging="360"/>
      </w:pPr>
      <w:rPr>
        <w:rFonts w:ascii="Courier New" w:hAnsi="Courier New" w:cs="Courier Ne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20B1021"/>
    <w:multiLevelType w:val="hybridMultilevel"/>
    <w:tmpl w:val="E286E8CE"/>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856108"/>
    <w:multiLevelType w:val="hybridMultilevel"/>
    <w:tmpl w:val="4D32DC7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68669EB"/>
    <w:multiLevelType w:val="hybridMultilevel"/>
    <w:tmpl w:val="C3C0388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7852285"/>
    <w:multiLevelType w:val="hybridMultilevel"/>
    <w:tmpl w:val="11BA7422"/>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464417"/>
    <w:multiLevelType w:val="hybridMultilevel"/>
    <w:tmpl w:val="EDF69FD8"/>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43440F"/>
    <w:multiLevelType w:val="hybridMultilevel"/>
    <w:tmpl w:val="6966D86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EE4043D"/>
    <w:multiLevelType w:val="hybridMultilevel"/>
    <w:tmpl w:val="99C4A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215D83"/>
    <w:multiLevelType w:val="multilevel"/>
    <w:tmpl w:val="EB966070"/>
    <w:lvl w:ilvl="0">
      <w:start w:val="1"/>
      <w:numFmt w:val="decimal"/>
      <w:pStyle w:val="Heading3"/>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1615AEE"/>
    <w:multiLevelType w:val="hybridMultilevel"/>
    <w:tmpl w:val="7052955E"/>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884345"/>
    <w:multiLevelType w:val="hybridMultilevel"/>
    <w:tmpl w:val="E200D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04336F"/>
    <w:multiLevelType w:val="hybridMultilevel"/>
    <w:tmpl w:val="B352C6C8"/>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33C0C52"/>
    <w:multiLevelType w:val="hybridMultilevel"/>
    <w:tmpl w:val="421453C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58E277C"/>
    <w:multiLevelType w:val="hybridMultilevel"/>
    <w:tmpl w:val="1330A000"/>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16543C4D"/>
    <w:multiLevelType w:val="hybridMultilevel"/>
    <w:tmpl w:val="6DA49F1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15:restartNumberingAfterBreak="0">
    <w:nsid w:val="1D160010"/>
    <w:multiLevelType w:val="hybridMultilevel"/>
    <w:tmpl w:val="E6A8591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13E7992"/>
    <w:multiLevelType w:val="hybridMultilevel"/>
    <w:tmpl w:val="3072F854"/>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21DD51CF"/>
    <w:multiLevelType w:val="hybridMultilevel"/>
    <w:tmpl w:val="338A92C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57C2CF0"/>
    <w:multiLevelType w:val="hybridMultilevel"/>
    <w:tmpl w:val="52642EEC"/>
    <w:lvl w:ilvl="0" w:tplc="4AEA40A2">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B575B6"/>
    <w:multiLevelType w:val="hybridMultilevel"/>
    <w:tmpl w:val="3AAAF8F4"/>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791159"/>
    <w:multiLevelType w:val="hybridMultilevel"/>
    <w:tmpl w:val="2B30307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39EC5F75"/>
    <w:multiLevelType w:val="hybridMultilevel"/>
    <w:tmpl w:val="9854324E"/>
    <w:lvl w:ilvl="0" w:tplc="08090003">
      <w:start w:val="1"/>
      <w:numFmt w:val="bullet"/>
      <w:lvlText w:val="o"/>
      <w:lvlJc w:val="left"/>
      <w:pPr>
        <w:tabs>
          <w:tab w:val="num" w:pos="720"/>
        </w:tabs>
        <w:ind w:left="720" w:hanging="360"/>
      </w:pPr>
      <w:rPr>
        <w:rFonts w:ascii="Courier New" w:hAnsi="Courier New" w:cs="Courier Ne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4E53836"/>
    <w:multiLevelType w:val="hybridMultilevel"/>
    <w:tmpl w:val="A4A25A2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75B2EF8"/>
    <w:multiLevelType w:val="hybridMultilevel"/>
    <w:tmpl w:val="E028E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7D139D"/>
    <w:multiLevelType w:val="hybridMultilevel"/>
    <w:tmpl w:val="08D2A368"/>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49C1406B"/>
    <w:multiLevelType w:val="hybridMultilevel"/>
    <w:tmpl w:val="905CA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EC36C2"/>
    <w:multiLevelType w:val="hybridMultilevel"/>
    <w:tmpl w:val="C9F42DDA"/>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4D073853"/>
    <w:multiLevelType w:val="hybridMultilevel"/>
    <w:tmpl w:val="05B2F83C"/>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1374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2CD3BE9"/>
    <w:multiLevelType w:val="hybridMultilevel"/>
    <w:tmpl w:val="48A8E75A"/>
    <w:lvl w:ilvl="0" w:tplc="4AEA40A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BDE15B3"/>
    <w:multiLevelType w:val="hybridMultilevel"/>
    <w:tmpl w:val="692C468E"/>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4" w15:restartNumberingAfterBreak="0">
    <w:nsid w:val="5D153EFD"/>
    <w:multiLevelType w:val="hybridMultilevel"/>
    <w:tmpl w:val="3B684F0C"/>
    <w:lvl w:ilvl="0" w:tplc="3BB645D4">
      <w:start w:val="1"/>
      <w:numFmt w:val="lowerLetter"/>
      <w:lvlText w:val="%1)"/>
      <w:lvlJc w:val="left"/>
      <w:pPr>
        <w:tabs>
          <w:tab w:val="num" w:pos="1100"/>
        </w:tabs>
        <w:ind w:left="1100" w:hanging="20"/>
      </w:pPr>
      <w:rPr>
        <w:rFonts w:ascii="Arial" w:eastAsia="Lucida Console" w:hAnsi="Arial" w:cs="Lucida Console"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5" w15:restartNumberingAfterBreak="0">
    <w:nsid w:val="5EC27ED5"/>
    <w:multiLevelType w:val="hybridMultilevel"/>
    <w:tmpl w:val="1A7AF970"/>
    <w:lvl w:ilvl="0" w:tplc="4AEA40A2">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55031D"/>
    <w:multiLevelType w:val="hybridMultilevel"/>
    <w:tmpl w:val="899CC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0A20E3"/>
    <w:multiLevelType w:val="hybridMultilevel"/>
    <w:tmpl w:val="A61898E2"/>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8" w15:restartNumberingAfterBreak="0">
    <w:nsid w:val="658E48DF"/>
    <w:multiLevelType w:val="hybridMultilevel"/>
    <w:tmpl w:val="C5FCC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37731D"/>
    <w:multiLevelType w:val="hybridMultilevel"/>
    <w:tmpl w:val="F2240B48"/>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FC11C1C"/>
    <w:multiLevelType w:val="hybridMultilevel"/>
    <w:tmpl w:val="0B749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6F2F4E"/>
    <w:multiLevelType w:val="hybridMultilevel"/>
    <w:tmpl w:val="0FD6D252"/>
    <w:lvl w:ilvl="0" w:tplc="CCDEF40A">
      <w:start w:val="1"/>
      <w:numFmt w:val="bullet"/>
      <w:lvlText w:val="o"/>
      <w:lvlJc w:val="left"/>
      <w:pPr>
        <w:tabs>
          <w:tab w:val="num" w:pos="301"/>
        </w:tabs>
        <w:ind w:left="224" w:hanging="224"/>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2" w15:restartNumberingAfterBreak="0">
    <w:nsid w:val="746E034F"/>
    <w:multiLevelType w:val="hybridMultilevel"/>
    <w:tmpl w:val="558C5DA0"/>
    <w:lvl w:ilvl="0" w:tplc="4AEA40A2">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6E7EA0"/>
    <w:multiLevelType w:val="multilevel"/>
    <w:tmpl w:val="02AA7E7A"/>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6590C01"/>
    <w:multiLevelType w:val="hybridMultilevel"/>
    <w:tmpl w:val="5D20F484"/>
    <w:lvl w:ilvl="0" w:tplc="4AEA40A2">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8B0B01"/>
    <w:multiLevelType w:val="hybridMultilevel"/>
    <w:tmpl w:val="B740B2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6E333F"/>
    <w:multiLevelType w:val="hybridMultilevel"/>
    <w:tmpl w:val="290AEAE4"/>
    <w:lvl w:ilvl="0" w:tplc="8206A21A">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AE16CAC"/>
    <w:multiLevelType w:val="hybridMultilevel"/>
    <w:tmpl w:val="88C6A1B8"/>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8" w15:restartNumberingAfterBreak="0">
    <w:nsid w:val="7FA6452D"/>
    <w:multiLevelType w:val="hybridMultilevel"/>
    <w:tmpl w:val="ED821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44"/>
  </w:num>
  <w:num w:numId="3">
    <w:abstractNumId w:val="35"/>
  </w:num>
  <w:num w:numId="4">
    <w:abstractNumId w:val="5"/>
  </w:num>
  <w:num w:numId="5">
    <w:abstractNumId w:val="42"/>
  </w:num>
  <w:num w:numId="6">
    <w:abstractNumId w:val="21"/>
  </w:num>
  <w:num w:numId="7">
    <w:abstractNumId w:val="20"/>
  </w:num>
  <w:num w:numId="8">
    <w:abstractNumId w:val="16"/>
  </w:num>
  <w:num w:numId="9">
    <w:abstractNumId w:val="18"/>
  </w:num>
  <w:num w:numId="10">
    <w:abstractNumId w:val="25"/>
  </w:num>
  <w:num w:numId="11">
    <w:abstractNumId w:val="32"/>
  </w:num>
  <w:num w:numId="12">
    <w:abstractNumId w:val="46"/>
  </w:num>
  <w:num w:numId="13">
    <w:abstractNumId w:val="47"/>
  </w:num>
  <w:num w:numId="14">
    <w:abstractNumId w:val="13"/>
  </w:num>
  <w:num w:numId="15">
    <w:abstractNumId w:val="39"/>
  </w:num>
  <w:num w:numId="16">
    <w:abstractNumId w:val="4"/>
  </w:num>
  <w:num w:numId="17">
    <w:abstractNumId w:val="43"/>
  </w:num>
  <w:num w:numId="18">
    <w:abstractNumId w:val="7"/>
  </w:num>
  <w:num w:numId="19">
    <w:abstractNumId w:val="30"/>
  </w:num>
  <w:num w:numId="20">
    <w:abstractNumId w:val="19"/>
  </w:num>
  <w:num w:numId="21">
    <w:abstractNumId w:val="11"/>
  </w:num>
  <w:num w:numId="22">
    <w:abstractNumId w:val="22"/>
  </w:num>
  <w:num w:numId="23">
    <w:abstractNumId w:val="17"/>
  </w:num>
  <w:num w:numId="24">
    <w:abstractNumId w:val="33"/>
  </w:num>
  <w:num w:numId="25">
    <w:abstractNumId w:val="2"/>
  </w:num>
  <w:num w:numId="26">
    <w:abstractNumId w:val="24"/>
  </w:num>
  <w:num w:numId="27">
    <w:abstractNumId w:val="23"/>
  </w:num>
  <w:num w:numId="28">
    <w:abstractNumId w:val="15"/>
  </w:num>
  <w:num w:numId="29">
    <w:abstractNumId w:val="29"/>
  </w:num>
  <w:num w:numId="30">
    <w:abstractNumId w:val="6"/>
  </w:num>
  <w:num w:numId="31">
    <w:abstractNumId w:val="1"/>
  </w:num>
  <w:num w:numId="32">
    <w:abstractNumId w:val="3"/>
  </w:num>
  <w:num w:numId="33">
    <w:abstractNumId w:val="34"/>
  </w:num>
  <w:num w:numId="34">
    <w:abstractNumId w:val="37"/>
  </w:num>
  <w:num w:numId="35">
    <w:abstractNumId w:val="27"/>
  </w:num>
  <w:num w:numId="36">
    <w:abstractNumId w:val="14"/>
  </w:num>
  <w:num w:numId="37">
    <w:abstractNumId w:val="41"/>
  </w:num>
  <w:num w:numId="38">
    <w:abstractNumId w:val="8"/>
  </w:num>
  <w:num w:numId="39">
    <w:abstractNumId w:val="9"/>
  </w:num>
  <w:num w:numId="40">
    <w:abstractNumId w:val="0"/>
  </w:num>
  <w:num w:numId="41">
    <w:abstractNumId w:val="38"/>
  </w:num>
  <w:num w:numId="42">
    <w:abstractNumId w:val="28"/>
  </w:num>
  <w:num w:numId="43">
    <w:abstractNumId w:val="31"/>
  </w:num>
  <w:num w:numId="44">
    <w:abstractNumId w:val="40"/>
  </w:num>
  <w:num w:numId="45">
    <w:abstractNumId w:val="12"/>
  </w:num>
  <w:num w:numId="46">
    <w:abstractNumId w:val="10"/>
  </w:num>
  <w:num w:numId="47">
    <w:abstractNumId w:val="48"/>
  </w:num>
  <w:num w:numId="48">
    <w:abstractNumId w:val="26"/>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C3"/>
    <w:rsid w:val="000079CF"/>
    <w:rsid w:val="000106AF"/>
    <w:rsid w:val="00011A38"/>
    <w:rsid w:val="0001228D"/>
    <w:rsid w:val="00012660"/>
    <w:rsid w:val="00014128"/>
    <w:rsid w:val="000149FD"/>
    <w:rsid w:val="00025319"/>
    <w:rsid w:val="00025F55"/>
    <w:rsid w:val="00026A03"/>
    <w:rsid w:val="00030F6F"/>
    <w:rsid w:val="000339DC"/>
    <w:rsid w:val="0004079B"/>
    <w:rsid w:val="00041E9D"/>
    <w:rsid w:val="00046FCB"/>
    <w:rsid w:val="0005284B"/>
    <w:rsid w:val="00053B81"/>
    <w:rsid w:val="00060FED"/>
    <w:rsid w:val="0007256E"/>
    <w:rsid w:val="00077299"/>
    <w:rsid w:val="00080F72"/>
    <w:rsid w:val="00083BBE"/>
    <w:rsid w:val="00087E04"/>
    <w:rsid w:val="00097296"/>
    <w:rsid w:val="000A2234"/>
    <w:rsid w:val="000A4E8F"/>
    <w:rsid w:val="000A7872"/>
    <w:rsid w:val="000A78CA"/>
    <w:rsid w:val="000C1387"/>
    <w:rsid w:val="000C2742"/>
    <w:rsid w:val="000D3037"/>
    <w:rsid w:val="000D5510"/>
    <w:rsid w:val="000D6FF5"/>
    <w:rsid w:val="000E153F"/>
    <w:rsid w:val="000E2099"/>
    <w:rsid w:val="000E615B"/>
    <w:rsid w:val="000E7C2D"/>
    <w:rsid w:val="000F0BCB"/>
    <w:rsid w:val="000F1054"/>
    <w:rsid w:val="00102CEB"/>
    <w:rsid w:val="00110AE1"/>
    <w:rsid w:val="00125730"/>
    <w:rsid w:val="00126384"/>
    <w:rsid w:val="00127374"/>
    <w:rsid w:val="00131345"/>
    <w:rsid w:val="00131EEB"/>
    <w:rsid w:val="0013261A"/>
    <w:rsid w:val="00133AC3"/>
    <w:rsid w:val="001445AD"/>
    <w:rsid w:val="00151AD1"/>
    <w:rsid w:val="00152F4B"/>
    <w:rsid w:val="001619A7"/>
    <w:rsid w:val="001637DD"/>
    <w:rsid w:val="001638D3"/>
    <w:rsid w:val="00171274"/>
    <w:rsid w:val="00176EBE"/>
    <w:rsid w:val="00177800"/>
    <w:rsid w:val="001836B8"/>
    <w:rsid w:val="00184A94"/>
    <w:rsid w:val="0019143A"/>
    <w:rsid w:val="001A2886"/>
    <w:rsid w:val="001A74CC"/>
    <w:rsid w:val="001B1591"/>
    <w:rsid w:val="001B259F"/>
    <w:rsid w:val="001C209A"/>
    <w:rsid w:val="001C6F21"/>
    <w:rsid w:val="001D32A0"/>
    <w:rsid w:val="001D4975"/>
    <w:rsid w:val="001D6BA4"/>
    <w:rsid w:val="001E4116"/>
    <w:rsid w:val="001E472B"/>
    <w:rsid w:val="001E5BB3"/>
    <w:rsid w:val="001E70F6"/>
    <w:rsid w:val="00205496"/>
    <w:rsid w:val="00212E7A"/>
    <w:rsid w:val="00221B84"/>
    <w:rsid w:val="002246CA"/>
    <w:rsid w:val="00231641"/>
    <w:rsid w:val="00231A6E"/>
    <w:rsid w:val="002374A3"/>
    <w:rsid w:val="00240786"/>
    <w:rsid w:val="00246254"/>
    <w:rsid w:val="002467C4"/>
    <w:rsid w:val="00250D9E"/>
    <w:rsid w:val="00253B34"/>
    <w:rsid w:val="00256938"/>
    <w:rsid w:val="00257D10"/>
    <w:rsid w:val="0026062F"/>
    <w:rsid w:val="0026098B"/>
    <w:rsid w:val="002640E1"/>
    <w:rsid w:val="00264249"/>
    <w:rsid w:val="00266DE2"/>
    <w:rsid w:val="00287DBD"/>
    <w:rsid w:val="0029022D"/>
    <w:rsid w:val="00291476"/>
    <w:rsid w:val="0029323C"/>
    <w:rsid w:val="002958F1"/>
    <w:rsid w:val="002A69DC"/>
    <w:rsid w:val="002A734B"/>
    <w:rsid w:val="002B2734"/>
    <w:rsid w:val="002C34AE"/>
    <w:rsid w:val="002C775C"/>
    <w:rsid w:val="002D432E"/>
    <w:rsid w:val="002E2268"/>
    <w:rsid w:val="002E46E4"/>
    <w:rsid w:val="002F4FB8"/>
    <w:rsid w:val="002F55A8"/>
    <w:rsid w:val="003044B1"/>
    <w:rsid w:val="0030490E"/>
    <w:rsid w:val="00304E15"/>
    <w:rsid w:val="00322E4D"/>
    <w:rsid w:val="003322EA"/>
    <w:rsid w:val="00346537"/>
    <w:rsid w:val="00351F12"/>
    <w:rsid w:val="003531BB"/>
    <w:rsid w:val="0035450E"/>
    <w:rsid w:val="003564B6"/>
    <w:rsid w:val="00361F94"/>
    <w:rsid w:val="00366A8F"/>
    <w:rsid w:val="003748AD"/>
    <w:rsid w:val="0038332C"/>
    <w:rsid w:val="003867AC"/>
    <w:rsid w:val="003920CB"/>
    <w:rsid w:val="003925D5"/>
    <w:rsid w:val="00397511"/>
    <w:rsid w:val="003A473C"/>
    <w:rsid w:val="003B2548"/>
    <w:rsid w:val="003B3B0E"/>
    <w:rsid w:val="003B3B7C"/>
    <w:rsid w:val="003B700C"/>
    <w:rsid w:val="003B7621"/>
    <w:rsid w:val="003C13FA"/>
    <w:rsid w:val="003C1C28"/>
    <w:rsid w:val="003C4300"/>
    <w:rsid w:val="003D08B1"/>
    <w:rsid w:val="003D29D2"/>
    <w:rsid w:val="003D435E"/>
    <w:rsid w:val="003D4611"/>
    <w:rsid w:val="003E00BB"/>
    <w:rsid w:val="00405B39"/>
    <w:rsid w:val="00407F2D"/>
    <w:rsid w:val="00410D37"/>
    <w:rsid w:val="00411EEB"/>
    <w:rsid w:val="00421266"/>
    <w:rsid w:val="0042325C"/>
    <w:rsid w:val="004256EA"/>
    <w:rsid w:val="00434EDA"/>
    <w:rsid w:val="00444C0E"/>
    <w:rsid w:val="004455C3"/>
    <w:rsid w:val="00446519"/>
    <w:rsid w:val="004478AE"/>
    <w:rsid w:val="00447E7C"/>
    <w:rsid w:val="004503C6"/>
    <w:rsid w:val="0045059B"/>
    <w:rsid w:val="00451CF7"/>
    <w:rsid w:val="004549CD"/>
    <w:rsid w:val="00457528"/>
    <w:rsid w:val="00465312"/>
    <w:rsid w:val="0046718D"/>
    <w:rsid w:val="004705A1"/>
    <w:rsid w:val="004862AC"/>
    <w:rsid w:val="004862E0"/>
    <w:rsid w:val="00486492"/>
    <w:rsid w:val="004A0F22"/>
    <w:rsid w:val="004A135A"/>
    <w:rsid w:val="004A2E94"/>
    <w:rsid w:val="004A3FAE"/>
    <w:rsid w:val="004B6ED7"/>
    <w:rsid w:val="004C11CF"/>
    <w:rsid w:val="004D4FF7"/>
    <w:rsid w:val="004D7D73"/>
    <w:rsid w:val="004F0A13"/>
    <w:rsid w:val="004F67E3"/>
    <w:rsid w:val="00501776"/>
    <w:rsid w:val="0050651C"/>
    <w:rsid w:val="005065B0"/>
    <w:rsid w:val="00510168"/>
    <w:rsid w:val="005210A6"/>
    <w:rsid w:val="005273D3"/>
    <w:rsid w:val="005358D1"/>
    <w:rsid w:val="0054015A"/>
    <w:rsid w:val="00540291"/>
    <w:rsid w:val="00545A21"/>
    <w:rsid w:val="00550AD9"/>
    <w:rsid w:val="00552A9D"/>
    <w:rsid w:val="00565F48"/>
    <w:rsid w:val="00572E2A"/>
    <w:rsid w:val="00580113"/>
    <w:rsid w:val="00581CFC"/>
    <w:rsid w:val="00582A23"/>
    <w:rsid w:val="005840FC"/>
    <w:rsid w:val="00584A63"/>
    <w:rsid w:val="005934AD"/>
    <w:rsid w:val="005A2910"/>
    <w:rsid w:val="005A29F4"/>
    <w:rsid w:val="005A3C4D"/>
    <w:rsid w:val="005D57DA"/>
    <w:rsid w:val="005E12B9"/>
    <w:rsid w:val="005E7EBC"/>
    <w:rsid w:val="005F1CE0"/>
    <w:rsid w:val="005F399C"/>
    <w:rsid w:val="00603459"/>
    <w:rsid w:val="00604DF8"/>
    <w:rsid w:val="006070CC"/>
    <w:rsid w:val="00611B3F"/>
    <w:rsid w:val="006134FA"/>
    <w:rsid w:val="00613717"/>
    <w:rsid w:val="0064655C"/>
    <w:rsid w:val="00646D3B"/>
    <w:rsid w:val="0065202F"/>
    <w:rsid w:val="00664ED4"/>
    <w:rsid w:val="006706BB"/>
    <w:rsid w:val="00671CCB"/>
    <w:rsid w:val="0067369D"/>
    <w:rsid w:val="00673A87"/>
    <w:rsid w:val="00674AD4"/>
    <w:rsid w:val="00680654"/>
    <w:rsid w:val="00681BE9"/>
    <w:rsid w:val="00690471"/>
    <w:rsid w:val="00693970"/>
    <w:rsid w:val="00695F0A"/>
    <w:rsid w:val="0069748F"/>
    <w:rsid w:val="006A1261"/>
    <w:rsid w:val="006B15C2"/>
    <w:rsid w:val="006B59E2"/>
    <w:rsid w:val="006C3030"/>
    <w:rsid w:val="006C3E43"/>
    <w:rsid w:val="006C5DF1"/>
    <w:rsid w:val="006C63CE"/>
    <w:rsid w:val="006C6470"/>
    <w:rsid w:val="006C75C1"/>
    <w:rsid w:val="006C7A55"/>
    <w:rsid w:val="006D64E4"/>
    <w:rsid w:val="006F119E"/>
    <w:rsid w:val="006F1734"/>
    <w:rsid w:val="006F2AAB"/>
    <w:rsid w:val="006F2E0C"/>
    <w:rsid w:val="00703E39"/>
    <w:rsid w:val="007047E2"/>
    <w:rsid w:val="0070740D"/>
    <w:rsid w:val="0071067E"/>
    <w:rsid w:val="00715428"/>
    <w:rsid w:val="00715552"/>
    <w:rsid w:val="00715E92"/>
    <w:rsid w:val="007303C1"/>
    <w:rsid w:val="00734345"/>
    <w:rsid w:val="00735071"/>
    <w:rsid w:val="007420EE"/>
    <w:rsid w:val="007443D5"/>
    <w:rsid w:val="0074511D"/>
    <w:rsid w:val="00755561"/>
    <w:rsid w:val="00764A57"/>
    <w:rsid w:val="007654C8"/>
    <w:rsid w:val="00775279"/>
    <w:rsid w:val="00777C75"/>
    <w:rsid w:val="0078151E"/>
    <w:rsid w:val="007830A0"/>
    <w:rsid w:val="007871BC"/>
    <w:rsid w:val="007931F8"/>
    <w:rsid w:val="00793619"/>
    <w:rsid w:val="00793F85"/>
    <w:rsid w:val="007976AC"/>
    <w:rsid w:val="00797C2F"/>
    <w:rsid w:val="007B267B"/>
    <w:rsid w:val="007C0808"/>
    <w:rsid w:val="007C5374"/>
    <w:rsid w:val="007D15CC"/>
    <w:rsid w:val="007D3E13"/>
    <w:rsid w:val="007D695C"/>
    <w:rsid w:val="007E21FC"/>
    <w:rsid w:val="007E4B79"/>
    <w:rsid w:val="007F1AFA"/>
    <w:rsid w:val="007F442C"/>
    <w:rsid w:val="007F5155"/>
    <w:rsid w:val="007F598E"/>
    <w:rsid w:val="007F68E4"/>
    <w:rsid w:val="008016EC"/>
    <w:rsid w:val="008059CF"/>
    <w:rsid w:val="008113A1"/>
    <w:rsid w:val="00811614"/>
    <w:rsid w:val="00816F02"/>
    <w:rsid w:val="0082686D"/>
    <w:rsid w:val="008276F5"/>
    <w:rsid w:val="00827831"/>
    <w:rsid w:val="00830781"/>
    <w:rsid w:val="0083113B"/>
    <w:rsid w:val="008311F6"/>
    <w:rsid w:val="00833A23"/>
    <w:rsid w:val="008415CA"/>
    <w:rsid w:val="00842A36"/>
    <w:rsid w:val="00843CA0"/>
    <w:rsid w:val="008468FB"/>
    <w:rsid w:val="00851B78"/>
    <w:rsid w:val="00853979"/>
    <w:rsid w:val="008551AC"/>
    <w:rsid w:val="00862649"/>
    <w:rsid w:val="00875173"/>
    <w:rsid w:val="00876D9E"/>
    <w:rsid w:val="008779FF"/>
    <w:rsid w:val="00884935"/>
    <w:rsid w:val="00887A6A"/>
    <w:rsid w:val="00890244"/>
    <w:rsid w:val="008918D0"/>
    <w:rsid w:val="0089533B"/>
    <w:rsid w:val="00895B8D"/>
    <w:rsid w:val="00897094"/>
    <w:rsid w:val="008B3A21"/>
    <w:rsid w:val="008C0499"/>
    <w:rsid w:val="008C10D0"/>
    <w:rsid w:val="008C1863"/>
    <w:rsid w:val="008C709C"/>
    <w:rsid w:val="008D3826"/>
    <w:rsid w:val="008E2FBD"/>
    <w:rsid w:val="008E4D27"/>
    <w:rsid w:val="008E7125"/>
    <w:rsid w:val="008F1F04"/>
    <w:rsid w:val="008F308F"/>
    <w:rsid w:val="00901921"/>
    <w:rsid w:val="00902A3B"/>
    <w:rsid w:val="00903441"/>
    <w:rsid w:val="00904FDD"/>
    <w:rsid w:val="00910F12"/>
    <w:rsid w:val="0092024C"/>
    <w:rsid w:val="009324CE"/>
    <w:rsid w:val="00937126"/>
    <w:rsid w:val="009376B7"/>
    <w:rsid w:val="00940757"/>
    <w:rsid w:val="0096294A"/>
    <w:rsid w:val="00967412"/>
    <w:rsid w:val="0097070D"/>
    <w:rsid w:val="00974443"/>
    <w:rsid w:val="0097793F"/>
    <w:rsid w:val="00977FE3"/>
    <w:rsid w:val="00982C1A"/>
    <w:rsid w:val="00983BE3"/>
    <w:rsid w:val="00986269"/>
    <w:rsid w:val="009A5901"/>
    <w:rsid w:val="009A6B26"/>
    <w:rsid w:val="009B5F87"/>
    <w:rsid w:val="009B74D8"/>
    <w:rsid w:val="009C6A63"/>
    <w:rsid w:val="009C6C5E"/>
    <w:rsid w:val="009D02BA"/>
    <w:rsid w:val="009D7EF1"/>
    <w:rsid w:val="009E2CE1"/>
    <w:rsid w:val="009E4378"/>
    <w:rsid w:val="009F0DD3"/>
    <w:rsid w:val="00A021D0"/>
    <w:rsid w:val="00A0264B"/>
    <w:rsid w:val="00A270FB"/>
    <w:rsid w:val="00A3092C"/>
    <w:rsid w:val="00A30F6F"/>
    <w:rsid w:val="00A35101"/>
    <w:rsid w:val="00A37785"/>
    <w:rsid w:val="00A4191B"/>
    <w:rsid w:val="00A41FDD"/>
    <w:rsid w:val="00A46BC0"/>
    <w:rsid w:val="00A47AD0"/>
    <w:rsid w:val="00A7074D"/>
    <w:rsid w:val="00A70D06"/>
    <w:rsid w:val="00A869BA"/>
    <w:rsid w:val="00A90D5D"/>
    <w:rsid w:val="00A90DE9"/>
    <w:rsid w:val="00A9242E"/>
    <w:rsid w:val="00AA0C74"/>
    <w:rsid w:val="00AA43DC"/>
    <w:rsid w:val="00AB7124"/>
    <w:rsid w:val="00AC0906"/>
    <w:rsid w:val="00AC481F"/>
    <w:rsid w:val="00AC6895"/>
    <w:rsid w:val="00AD3D5A"/>
    <w:rsid w:val="00AD467E"/>
    <w:rsid w:val="00AE2D02"/>
    <w:rsid w:val="00AF4619"/>
    <w:rsid w:val="00AF72A6"/>
    <w:rsid w:val="00B006AA"/>
    <w:rsid w:val="00B00BFF"/>
    <w:rsid w:val="00B156F5"/>
    <w:rsid w:val="00B23309"/>
    <w:rsid w:val="00B265D3"/>
    <w:rsid w:val="00B35C52"/>
    <w:rsid w:val="00B4068F"/>
    <w:rsid w:val="00B42738"/>
    <w:rsid w:val="00B42912"/>
    <w:rsid w:val="00B51BA6"/>
    <w:rsid w:val="00B52078"/>
    <w:rsid w:val="00B552E7"/>
    <w:rsid w:val="00B57BC9"/>
    <w:rsid w:val="00B57F41"/>
    <w:rsid w:val="00B60546"/>
    <w:rsid w:val="00B61622"/>
    <w:rsid w:val="00B62473"/>
    <w:rsid w:val="00B63F5E"/>
    <w:rsid w:val="00B676D3"/>
    <w:rsid w:val="00B7111E"/>
    <w:rsid w:val="00B72BE2"/>
    <w:rsid w:val="00B74BC5"/>
    <w:rsid w:val="00B83052"/>
    <w:rsid w:val="00B8684F"/>
    <w:rsid w:val="00B87DE5"/>
    <w:rsid w:val="00B91F4A"/>
    <w:rsid w:val="00BB00C3"/>
    <w:rsid w:val="00BB0A45"/>
    <w:rsid w:val="00BB2F65"/>
    <w:rsid w:val="00BB4758"/>
    <w:rsid w:val="00BC17ED"/>
    <w:rsid w:val="00BC510D"/>
    <w:rsid w:val="00BD0C88"/>
    <w:rsid w:val="00BD1077"/>
    <w:rsid w:val="00BD16CF"/>
    <w:rsid w:val="00BD1CBC"/>
    <w:rsid w:val="00BD2F97"/>
    <w:rsid w:val="00BD403B"/>
    <w:rsid w:val="00BE3436"/>
    <w:rsid w:val="00BE751B"/>
    <w:rsid w:val="00BF12DE"/>
    <w:rsid w:val="00BF6E7C"/>
    <w:rsid w:val="00BF75F9"/>
    <w:rsid w:val="00C12ABE"/>
    <w:rsid w:val="00C21CE7"/>
    <w:rsid w:val="00C26020"/>
    <w:rsid w:val="00C33AB2"/>
    <w:rsid w:val="00C36824"/>
    <w:rsid w:val="00C51271"/>
    <w:rsid w:val="00C56941"/>
    <w:rsid w:val="00C617F8"/>
    <w:rsid w:val="00C679E6"/>
    <w:rsid w:val="00C67FDD"/>
    <w:rsid w:val="00C72642"/>
    <w:rsid w:val="00C81B0D"/>
    <w:rsid w:val="00C85CF0"/>
    <w:rsid w:val="00C90FFA"/>
    <w:rsid w:val="00CA4964"/>
    <w:rsid w:val="00CA7838"/>
    <w:rsid w:val="00CB440D"/>
    <w:rsid w:val="00CB458A"/>
    <w:rsid w:val="00CB77D9"/>
    <w:rsid w:val="00CC3237"/>
    <w:rsid w:val="00CC73F0"/>
    <w:rsid w:val="00CD0D8A"/>
    <w:rsid w:val="00CD2C9C"/>
    <w:rsid w:val="00CD764A"/>
    <w:rsid w:val="00CF1CF1"/>
    <w:rsid w:val="00CF2A2E"/>
    <w:rsid w:val="00CF341E"/>
    <w:rsid w:val="00CF36A1"/>
    <w:rsid w:val="00D0264B"/>
    <w:rsid w:val="00D13131"/>
    <w:rsid w:val="00D25CD7"/>
    <w:rsid w:val="00D2769E"/>
    <w:rsid w:val="00D37CAC"/>
    <w:rsid w:val="00D4115F"/>
    <w:rsid w:val="00D4403B"/>
    <w:rsid w:val="00D46204"/>
    <w:rsid w:val="00D62A1F"/>
    <w:rsid w:val="00D64241"/>
    <w:rsid w:val="00D702AB"/>
    <w:rsid w:val="00D728E7"/>
    <w:rsid w:val="00D74697"/>
    <w:rsid w:val="00D76549"/>
    <w:rsid w:val="00D86424"/>
    <w:rsid w:val="00D957DD"/>
    <w:rsid w:val="00DA22DF"/>
    <w:rsid w:val="00DB3C20"/>
    <w:rsid w:val="00DC5FA6"/>
    <w:rsid w:val="00DD39B8"/>
    <w:rsid w:val="00DF7CEF"/>
    <w:rsid w:val="00E06024"/>
    <w:rsid w:val="00E21E4C"/>
    <w:rsid w:val="00E221C2"/>
    <w:rsid w:val="00E301F8"/>
    <w:rsid w:val="00E332A9"/>
    <w:rsid w:val="00E36F58"/>
    <w:rsid w:val="00E47A3B"/>
    <w:rsid w:val="00E56071"/>
    <w:rsid w:val="00E6124D"/>
    <w:rsid w:val="00E67ECA"/>
    <w:rsid w:val="00E93F8D"/>
    <w:rsid w:val="00E968CD"/>
    <w:rsid w:val="00EB2573"/>
    <w:rsid w:val="00EB7424"/>
    <w:rsid w:val="00EC21D9"/>
    <w:rsid w:val="00ED2889"/>
    <w:rsid w:val="00ED7730"/>
    <w:rsid w:val="00EE5A0F"/>
    <w:rsid w:val="00EF05F1"/>
    <w:rsid w:val="00EF0FE3"/>
    <w:rsid w:val="00EF144A"/>
    <w:rsid w:val="00EF2266"/>
    <w:rsid w:val="00EF318C"/>
    <w:rsid w:val="00EF4132"/>
    <w:rsid w:val="00F01125"/>
    <w:rsid w:val="00F013C6"/>
    <w:rsid w:val="00F05E02"/>
    <w:rsid w:val="00F1044E"/>
    <w:rsid w:val="00F1431A"/>
    <w:rsid w:val="00F2140C"/>
    <w:rsid w:val="00F22F45"/>
    <w:rsid w:val="00F2331E"/>
    <w:rsid w:val="00F24751"/>
    <w:rsid w:val="00F25E81"/>
    <w:rsid w:val="00F30356"/>
    <w:rsid w:val="00F325BC"/>
    <w:rsid w:val="00F32D02"/>
    <w:rsid w:val="00F33DE2"/>
    <w:rsid w:val="00F413F5"/>
    <w:rsid w:val="00F44713"/>
    <w:rsid w:val="00F474E9"/>
    <w:rsid w:val="00F503A4"/>
    <w:rsid w:val="00F50B6B"/>
    <w:rsid w:val="00F51BA2"/>
    <w:rsid w:val="00F530A2"/>
    <w:rsid w:val="00F601D7"/>
    <w:rsid w:val="00F6086C"/>
    <w:rsid w:val="00F61F89"/>
    <w:rsid w:val="00F6765F"/>
    <w:rsid w:val="00F67EAC"/>
    <w:rsid w:val="00F75550"/>
    <w:rsid w:val="00F8304B"/>
    <w:rsid w:val="00F95A14"/>
    <w:rsid w:val="00FA7D95"/>
    <w:rsid w:val="00FB1C19"/>
    <w:rsid w:val="00FB7236"/>
    <w:rsid w:val="00FC0ACB"/>
    <w:rsid w:val="00FC1F05"/>
    <w:rsid w:val="00FC216D"/>
    <w:rsid w:val="00FC333A"/>
    <w:rsid w:val="00FD189B"/>
    <w:rsid w:val="00FE0176"/>
    <w:rsid w:val="00FE1AA1"/>
    <w:rsid w:val="00FE1E66"/>
    <w:rsid w:val="00FE323D"/>
    <w:rsid w:val="00FE7B5E"/>
    <w:rsid w:val="00FF19BC"/>
    <w:rsid w:val="00FF74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4060EB"/>
  <w15:docId w15:val="{B184220F-99F4-4869-8CE7-C516EF86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aliases w:val="Numbered - 1"/>
    <w:basedOn w:val="Normal"/>
    <w:next w:val="Normal"/>
    <w:qFormat/>
    <w:rsid w:val="003322EA"/>
    <w:pPr>
      <w:keepNext/>
      <w:keepLines/>
      <w:widowControl w:val="0"/>
      <w:spacing w:before="240" w:after="240"/>
      <w:outlineLvl w:val="0"/>
    </w:pPr>
    <w:rPr>
      <w:b/>
      <w:kern w:val="28"/>
      <w:sz w:val="22"/>
      <w:szCs w:val="20"/>
      <w:lang w:eastAsia="en-US"/>
    </w:rPr>
  </w:style>
  <w:style w:type="paragraph" w:styleId="Heading2">
    <w:name w:val="heading 2"/>
    <w:basedOn w:val="Normal"/>
    <w:next w:val="Normal"/>
    <w:qFormat/>
    <w:rsid w:val="00CF2A2E"/>
    <w:pPr>
      <w:keepNext/>
      <w:spacing w:before="240" w:after="60"/>
      <w:outlineLvl w:val="1"/>
    </w:pPr>
    <w:rPr>
      <w:rFonts w:cs="Arial"/>
      <w:b/>
      <w:bCs/>
      <w:i/>
      <w:iCs/>
      <w:sz w:val="28"/>
      <w:szCs w:val="28"/>
    </w:rPr>
  </w:style>
  <w:style w:type="paragraph" w:styleId="Heading3">
    <w:name w:val="heading 3"/>
    <w:basedOn w:val="ListParagraph"/>
    <w:next w:val="Normal"/>
    <w:link w:val="Heading3Char"/>
    <w:qFormat/>
    <w:rsid w:val="002E46E4"/>
    <w:pPr>
      <w:numPr>
        <w:numId w:val="46"/>
      </w:numPr>
      <w:ind w:left="3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StyleArial">
    <w:name w:val="Style Arial"/>
    <w:basedOn w:val="Normal"/>
    <w:rsid w:val="002246CA"/>
    <w:pPr>
      <w:spacing w:after="120"/>
    </w:pPr>
    <w:rPr>
      <w:rFonts w:cs="Arial"/>
      <w:sz w:val="28"/>
      <w:szCs w:val="20"/>
      <w:lang w:eastAsia="en-US"/>
    </w:rPr>
  </w:style>
  <w:style w:type="paragraph" w:customStyle="1" w:styleId="Default">
    <w:name w:val="Default"/>
    <w:rsid w:val="00CD0D8A"/>
    <w:pPr>
      <w:autoSpaceDE w:val="0"/>
      <w:autoSpaceDN w:val="0"/>
      <w:adjustRightInd w:val="0"/>
    </w:pPr>
    <w:rPr>
      <w:color w:val="000000"/>
      <w:sz w:val="24"/>
      <w:szCs w:val="24"/>
    </w:rPr>
  </w:style>
  <w:style w:type="paragraph" w:customStyle="1" w:styleId="DfESOutNumbered">
    <w:name w:val="DfESOutNumbered"/>
    <w:basedOn w:val="Normal"/>
    <w:rsid w:val="00FE323D"/>
    <w:pPr>
      <w:widowControl w:val="0"/>
      <w:numPr>
        <w:numId w:val="23"/>
      </w:numPr>
      <w:overflowPunct w:val="0"/>
      <w:autoSpaceDE w:val="0"/>
      <w:autoSpaceDN w:val="0"/>
      <w:adjustRightInd w:val="0"/>
      <w:spacing w:after="240"/>
      <w:textAlignment w:val="baseline"/>
    </w:pPr>
    <w:rPr>
      <w:rFonts w:cs="Arial"/>
      <w:sz w:val="22"/>
      <w:szCs w:val="20"/>
      <w:lang w:eastAsia="en-US"/>
    </w:rPr>
  </w:style>
  <w:style w:type="paragraph" w:styleId="BodyTextIndent">
    <w:name w:val="Body Text Indent"/>
    <w:basedOn w:val="Normal"/>
    <w:rsid w:val="003D08B1"/>
    <w:pPr>
      <w:tabs>
        <w:tab w:val="left" w:pos="360"/>
      </w:tabs>
      <w:spacing w:after="120"/>
      <w:ind w:left="360" w:hanging="360"/>
    </w:pPr>
    <w:rPr>
      <w:sz w:val="22"/>
      <w:szCs w:val="20"/>
      <w:lang w:val="en-US" w:eastAsia="en-US"/>
    </w:rPr>
  </w:style>
  <w:style w:type="character" w:styleId="Strong">
    <w:name w:val="Strong"/>
    <w:qFormat/>
    <w:rsid w:val="00D46204"/>
    <w:rPr>
      <w:b/>
      <w:bCs/>
    </w:rPr>
  </w:style>
  <w:style w:type="paragraph" w:styleId="BodyText">
    <w:name w:val="Body Text"/>
    <w:basedOn w:val="Normal"/>
    <w:rsid w:val="003322EA"/>
    <w:pPr>
      <w:spacing w:after="120"/>
    </w:pPr>
  </w:style>
  <w:style w:type="character" w:customStyle="1" w:styleId="endsenrhsennumparatext">
    <w:name w:val="ends enrhs ennumparatext"/>
    <w:basedOn w:val="DefaultParagraphFont"/>
    <w:rsid w:val="004503C6"/>
  </w:style>
  <w:style w:type="character" w:styleId="Hyperlink">
    <w:name w:val="Hyperlink"/>
    <w:rsid w:val="004503C6"/>
    <w:rPr>
      <w:color w:val="0000FF"/>
      <w:u w:val="single"/>
    </w:rPr>
  </w:style>
  <w:style w:type="paragraph" w:styleId="Revision">
    <w:name w:val="Revision"/>
    <w:hidden/>
    <w:uiPriority w:val="99"/>
    <w:semiHidden/>
    <w:rsid w:val="003044B1"/>
    <w:rPr>
      <w:rFonts w:ascii="Arial" w:hAnsi="Arial"/>
      <w:sz w:val="24"/>
      <w:szCs w:val="24"/>
    </w:rPr>
  </w:style>
  <w:style w:type="character" w:customStyle="1" w:styleId="HeaderChar">
    <w:name w:val="Header Char"/>
    <w:basedOn w:val="DefaultParagraphFont"/>
    <w:link w:val="Header"/>
    <w:rsid w:val="003044B1"/>
    <w:rPr>
      <w:rFonts w:ascii="Arial" w:hAnsi="Arial"/>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link w:val="ListParagraphChar"/>
    <w:uiPriority w:val="34"/>
    <w:qFormat/>
    <w:rsid w:val="00BF75F9"/>
    <w:pPr>
      <w:ind w:left="720"/>
      <w:contextualSpacing/>
    </w:pPr>
  </w:style>
  <w:style w:type="character" w:customStyle="1" w:styleId="FooterChar">
    <w:name w:val="Footer Char"/>
    <w:basedOn w:val="DefaultParagraphFont"/>
    <w:link w:val="Footer"/>
    <w:uiPriority w:val="99"/>
    <w:rsid w:val="00F32D02"/>
    <w:rPr>
      <w:rFonts w:ascii="Arial" w:hAnsi="Arial"/>
      <w:sz w:val="24"/>
      <w:szCs w:val="24"/>
    </w:rPr>
  </w:style>
  <w:style w:type="character" w:customStyle="1" w:styleId="ListParagraphChar">
    <w:name w:val="List Paragraph Char"/>
    <w:aliases w:val="Dot pt Char,No Spacing1 Char,List Paragraph Char Char Char Char,Indicator Text Char,Numbered Para 1 Char,Bullet 1 Char,F5 List Paragraph Char,Bullet Points Char,MAIN CONTENT Char,List Paragraph12 Char,Bullet Style Char"/>
    <w:link w:val="ListParagraph"/>
    <w:uiPriority w:val="34"/>
    <w:qFormat/>
    <w:locked/>
    <w:rsid w:val="009E4378"/>
    <w:rPr>
      <w:rFonts w:ascii="Arial" w:hAnsi="Arial"/>
      <w:sz w:val="24"/>
      <w:szCs w:val="24"/>
    </w:rPr>
  </w:style>
  <w:style w:type="character" w:customStyle="1" w:styleId="e24kjd">
    <w:name w:val="e24kjd"/>
    <w:basedOn w:val="DefaultParagraphFont"/>
    <w:rsid w:val="009E4378"/>
  </w:style>
  <w:style w:type="character" w:customStyle="1" w:styleId="Heading3Char">
    <w:name w:val="Heading 3 Char"/>
    <w:basedOn w:val="DefaultParagraphFont"/>
    <w:link w:val="Heading3"/>
    <w:rsid w:val="002E46E4"/>
    <w:rPr>
      <w:rFonts w:ascii="Arial" w:hAnsi="Arial"/>
      <w:b/>
      <w:sz w:val="24"/>
      <w:szCs w:val="24"/>
    </w:rPr>
  </w:style>
  <w:style w:type="character" w:styleId="PlaceholderText">
    <w:name w:val="Placeholder Text"/>
    <w:basedOn w:val="DefaultParagraphFont"/>
    <w:uiPriority w:val="99"/>
    <w:semiHidden/>
    <w:rsid w:val="000407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33036">
      <w:bodyDiv w:val="1"/>
      <w:marLeft w:val="0"/>
      <w:marRight w:val="0"/>
      <w:marTop w:val="0"/>
      <w:marBottom w:val="0"/>
      <w:divBdr>
        <w:top w:val="none" w:sz="0" w:space="0" w:color="auto"/>
        <w:left w:val="none" w:sz="0" w:space="0" w:color="auto"/>
        <w:bottom w:val="none" w:sz="0" w:space="0" w:color="auto"/>
        <w:right w:val="none" w:sz="0" w:space="0" w:color="auto"/>
      </w:divBdr>
    </w:div>
    <w:div w:id="415053442">
      <w:bodyDiv w:val="1"/>
      <w:marLeft w:val="0"/>
      <w:marRight w:val="0"/>
      <w:marTop w:val="0"/>
      <w:marBottom w:val="0"/>
      <w:divBdr>
        <w:top w:val="none" w:sz="0" w:space="0" w:color="auto"/>
        <w:left w:val="none" w:sz="0" w:space="0" w:color="auto"/>
        <w:bottom w:val="none" w:sz="0" w:space="0" w:color="auto"/>
        <w:right w:val="none" w:sz="0" w:space="0" w:color="auto"/>
      </w:divBdr>
    </w:div>
    <w:div w:id="427700498">
      <w:bodyDiv w:val="1"/>
      <w:marLeft w:val="0"/>
      <w:marRight w:val="0"/>
      <w:marTop w:val="0"/>
      <w:marBottom w:val="0"/>
      <w:divBdr>
        <w:top w:val="none" w:sz="0" w:space="0" w:color="auto"/>
        <w:left w:val="none" w:sz="0" w:space="0" w:color="auto"/>
        <w:bottom w:val="none" w:sz="0" w:space="0" w:color="auto"/>
        <w:right w:val="none" w:sz="0" w:space="0" w:color="auto"/>
      </w:divBdr>
    </w:div>
    <w:div w:id="509226230">
      <w:bodyDiv w:val="1"/>
      <w:marLeft w:val="0"/>
      <w:marRight w:val="0"/>
      <w:marTop w:val="0"/>
      <w:marBottom w:val="0"/>
      <w:divBdr>
        <w:top w:val="none" w:sz="0" w:space="0" w:color="auto"/>
        <w:left w:val="none" w:sz="0" w:space="0" w:color="auto"/>
        <w:bottom w:val="none" w:sz="0" w:space="0" w:color="auto"/>
        <w:right w:val="none" w:sz="0" w:space="0" w:color="auto"/>
      </w:divBdr>
    </w:div>
    <w:div w:id="603533794">
      <w:bodyDiv w:val="1"/>
      <w:marLeft w:val="0"/>
      <w:marRight w:val="0"/>
      <w:marTop w:val="0"/>
      <w:marBottom w:val="0"/>
      <w:divBdr>
        <w:top w:val="none" w:sz="0" w:space="0" w:color="auto"/>
        <w:left w:val="none" w:sz="0" w:space="0" w:color="auto"/>
        <w:bottom w:val="none" w:sz="0" w:space="0" w:color="auto"/>
        <w:right w:val="none" w:sz="0" w:space="0" w:color="auto"/>
      </w:divBdr>
    </w:div>
    <w:div w:id="630719211">
      <w:bodyDiv w:val="1"/>
      <w:marLeft w:val="0"/>
      <w:marRight w:val="0"/>
      <w:marTop w:val="0"/>
      <w:marBottom w:val="0"/>
      <w:divBdr>
        <w:top w:val="none" w:sz="0" w:space="0" w:color="auto"/>
        <w:left w:val="none" w:sz="0" w:space="0" w:color="auto"/>
        <w:bottom w:val="none" w:sz="0" w:space="0" w:color="auto"/>
        <w:right w:val="none" w:sz="0" w:space="0" w:color="auto"/>
      </w:divBdr>
    </w:div>
    <w:div w:id="811874710">
      <w:bodyDiv w:val="1"/>
      <w:marLeft w:val="0"/>
      <w:marRight w:val="0"/>
      <w:marTop w:val="0"/>
      <w:marBottom w:val="0"/>
      <w:divBdr>
        <w:top w:val="none" w:sz="0" w:space="0" w:color="auto"/>
        <w:left w:val="none" w:sz="0" w:space="0" w:color="auto"/>
        <w:bottom w:val="none" w:sz="0" w:space="0" w:color="auto"/>
        <w:right w:val="none" w:sz="0" w:space="0" w:color="auto"/>
      </w:divBdr>
    </w:div>
    <w:div w:id="982854105">
      <w:bodyDiv w:val="1"/>
      <w:marLeft w:val="0"/>
      <w:marRight w:val="0"/>
      <w:marTop w:val="0"/>
      <w:marBottom w:val="0"/>
      <w:divBdr>
        <w:top w:val="none" w:sz="0" w:space="0" w:color="auto"/>
        <w:left w:val="none" w:sz="0" w:space="0" w:color="auto"/>
        <w:bottom w:val="none" w:sz="0" w:space="0" w:color="auto"/>
        <w:right w:val="none" w:sz="0" w:space="0" w:color="auto"/>
      </w:divBdr>
    </w:div>
    <w:div w:id="1292860967">
      <w:bodyDiv w:val="1"/>
      <w:marLeft w:val="0"/>
      <w:marRight w:val="0"/>
      <w:marTop w:val="0"/>
      <w:marBottom w:val="0"/>
      <w:divBdr>
        <w:top w:val="none" w:sz="0" w:space="0" w:color="auto"/>
        <w:left w:val="none" w:sz="0" w:space="0" w:color="auto"/>
        <w:bottom w:val="none" w:sz="0" w:space="0" w:color="auto"/>
        <w:right w:val="none" w:sz="0" w:space="0" w:color="auto"/>
      </w:divBdr>
    </w:div>
    <w:div w:id="1299458805">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87748885">
      <w:bodyDiv w:val="1"/>
      <w:marLeft w:val="0"/>
      <w:marRight w:val="0"/>
      <w:marTop w:val="0"/>
      <w:marBottom w:val="0"/>
      <w:divBdr>
        <w:top w:val="none" w:sz="0" w:space="0" w:color="auto"/>
        <w:left w:val="none" w:sz="0" w:space="0" w:color="auto"/>
        <w:bottom w:val="none" w:sz="0" w:space="0" w:color="auto"/>
        <w:right w:val="none" w:sz="0" w:space="0" w:color="auto"/>
      </w:divBdr>
    </w:div>
    <w:div w:id="1790053945">
      <w:bodyDiv w:val="1"/>
      <w:marLeft w:val="0"/>
      <w:marRight w:val="0"/>
      <w:marTop w:val="0"/>
      <w:marBottom w:val="0"/>
      <w:divBdr>
        <w:top w:val="none" w:sz="0" w:space="0" w:color="auto"/>
        <w:left w:val="none" w:sz="0" w:space="0" w:color="auto"/>
        <w:bottom w:val="none" w:sz="0" w:space="0" w:color="auto"/>
        <w:right w:val="none" w:sz="0" w:space="0" w:color="auto"/>
      </w:divBdr>
    </w:div>
    <w:div w:id="21211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5456DEE7DA456E973802FF7A26AF09"/>
        <w:category>
          <w:name w:val="General"/>
          <w:gallery w:val="placeholder"/>
        </w:category>
        <w:types>
          <w:type w:val="bbPlcHdr"/>
        </w:types>
        <w:behaviors>
          <w:behavior w:val="content"/>
        </w:behaviors>
        <w:guid w:val="{E783B983-DC7E-42BC-85E5-43D623CB10E0}"/>
      </w:docPartPr>
      <w:docPartBody>
        <w:p w:rsidR="00000000" w:rsidRDefault="00302060">
          <w:r w:rsidRPr="000D44A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60"/>
    <w:rsid w:val="00302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060"/>
    <w:rPr>
      <w:rFonts w:cs="Times New Roman"/>
      <w:sz w:val="3276"/>
      <w:szCs w:val="3276"/>
    </w:rPr>
  </w:style>
  <w:style w:type="character" w:default="1" w:styleId="DefaultParagraphFont">
    <w:name w:val="Default Paragraph Font"/>
    <w:uiPriority w:val="1"/>
    <w:semiHidden/>
    <w:unhideWhenUsed/>
    <w:rsid w:val="003020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20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F75DA0EAC73D4F8BFB2683A879819F" ma:contentTypeVersion="12" ma:contentTypeDescription="Create a new document." ma:contentTypeScope="" ma:versionID="6b463ecf96306ed88f5cfe2ebebbcce0">
  <xsd:schema xmlns:xsd="http://www.w3.org/2001/XMLSchema" xmlns:xs="http://www.w3.org/2001/XMLSchema" xmlns:p="http://schemas.microsoft.com/office/2006/metadata/properties" xmlns:ns3="d63a0efd-3f7d-4421-b00f-74ef63be0d9f" xmlns:ns4="e6623a06-f9bd-45d8-a4b2-dc257bd4f76c" targetNamespace="http://schemas.microsoft.com/office/2006/metadata/properties" ma:root="true" ma:fieldsID="57021878386b93f7d8401937da547593" ns3:_="" ns4:_="">
    <xsd:import namespace="d63a0efd-3f7d-4421-b00f-74ef63be0d9f"/>
    <xsd:import namespace="e6623a06-f9bd-45d8-a4b2-dc257bd4f7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a0efd-3f7d-4421-b00f-74ef63be0d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23a06-f9bd-45d8-a4b2-dc257bd4f7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A4B45-F82C-4CDF-B6E5-1198A626F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a0efd-3f7d-4421-b00f-74ef63be0d9f"/>
    <ds:schemaRef ds:uri="e6623a06-f9bd-45d8-a4b2-dc257bd4f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6AD49D-A60B-481A-BC79-B69A6C09F33D}">
  <ds:schemaRefs>
    <ds:schemaRef ds:uri="http://schemas.microsoft.com/sharepoint/v3/contenttype/forms"/>
  </ds:schemaRefs>
</ds:datastoreItem>
</file>

<file path=customXml/itemProps3.xml><?xml version="1.0" encoding="utf-8"?>
<ds:datastoreItem xmlns:ds="http://schemas.openxmlformats.org/officeDocument/2006/customXml" ds:itemID="{48054174-3DF1-4E48-B4D6-409C05986245}">
  <ds:schemaRefs>
    <ds:schemaRef ds:uri="d63a0efd-3f7d-4421-b00f-74ef63be0d9f"/>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e6623a06-f9bd-45d8-a4b2-dc257bd4f76c"/>
    <ds:schemaRef ds:uri="http://www.w3.org/XML/1998/namespace"/>
  </ds:schemaRefs>
</ds:datastoreItem>
</file>

<file path=customXml/itemProps4.xml><?xml version="1.0" encoding="utf-8"?>
<ds:datastoreItem xmlns:ds="http://schemas.openxmlformats.org/officeDocument/2006/customXml" ds:itemID="{574614C9-9F6F-42D2-BF1E-752789179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1681</Words>
  <Characters>9583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Children Schools and Families CMBM – July 2010</vt:lpstr>
    </vt:vector>
  </TitlesOfParts>
  <Company>London Borough of Tower Hamlets</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Forum - October 2019 - DSG Recovery Plan</dc:title>
  <dc:creator>David Tully</dc:creator>
  <cp:lastModifiedBy>Christopher Philpot</cp:lastModifiedBy>
  <cp:revision>2</cp:revision>
  <cp:lastPrinted>2013-09-11T15:08:00Z</cp:lastPrinted>
  <dcterms:created xsi:type="dcterms:W3CDTF">2021-01-20T13:26:00Z</dcterms:created>
  <dcterms:modified xsi:type="dcterms:W3CDTF">2021-01-20T13:26:00Z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0x0101009FF75DA0EAC73D4F8BFB2683A879819F</vt:lpwstr>
  </property>
  <property fmtid="{D5CDD505-2E9C-101B-9397-08002B2CF9AE}" pid="3" name="Order">
    <vt:r8>2010200</vt:r8>
  </property>
</Properties>
</file>