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384A" w14:textId="77777777" w:rsidR="00673A87" w:rsidRDefault="00673A87"/>
    <w:tbl>
      <w:tblPr>
        <w:tblStyle w:val="TableGrid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8302"/>
      </w:tblGrid>
      <w:tr w:rsidR="004C11CF" w:rsidRPr="002374A3" w14:paraId="12E79701" w14:textId="77777777" w:rsidTr="00801453">
        <w:tc>
          <w:tcPr>
            <w:tcW w:w="9108" w:type="dxa"/>
          </w:tcPr>
          <w:p w14:paraId="46AA6B6A" w14:textId="45A541E1" w:rsidR="004C11CF" w:rsidRPr="002374A3" w:rsidRDefault="0013261A" w:rsidP="00616733">
            <w:pPr>
              <w:pStyle w:val="BodyTextInden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AGENDA ITEM </w:t>
            </w:r>
            <w:r w:rsidR="00FE7BD9">
              <w:rPr>
                <w:b/>
                <w:sz w:val="32"/>
                <w:szCs w:val="32"/>
              </w:rPr>
              <w:t>5</w:t>
            </w:r>
          </w:p>
        </w:tc>
      </w:tr>
    </w:tbl>
    <w:p w14:paraId="5998BE81" w14:textId="77777777" w:rsidR="003D08B1" w:rsidRPr="004C11CF" w:rsidRDefault="003D08B1" w:rsidP="004C11CF"/>
    <w:p w14:paraId="53D13D18" w14:textId="77777777" w:rsidR="003D08B1" w:rsidRDefault="003D08B1" w:rsidP="003D08B1">
      <w:pPr>
        <w:rPr>
          <w:b/>
        </w:rPr>
      </w:pPr>
    </w:p>
    <w:p w14:paraId="1D21A095" w14:textId="77777777" w:rsidR="001E4116" w:rsidRPr="003D08B1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F91B89">
        <w:rPr>
          <w:b/>
          <w:sz w:val="32"/>
          <w:szCs w:val="32"/>
        </w:rPr>
        <w:t>Schools Block Strategy</w:t>
      </w:r>
      <w:r w:rsidR="002B5AFA">
        <w:rPr>
          <w:b/>
          <w:sz w:val="32"/>
          <w:szCs w:val="32"/>
        </w:rPr>
        <w:t xml:space="preserve"> 202</w:t>
      </w:r>
      <w:r w:rsidR="00A11694">
        <w:rPr>
          <w:b/>
          <w:sz w:val="32"/>
          <w:szCs w:val="32"/>
        </w:rPr>
        <w:t>1</w:t>
      </w:r>
      <w:r w:rsidR="002B5AFA">
        <w:rPr>
          <w:b/>
          <w:sz w:val="32"/>
          <w:szCs w:val="32"/>
        </w:rPr>
        <w:t>-2</w:t>
      </w:r>
      <w:r w:rsidR="00A11694">
        <w:rPr>
          <w:b/>
          <w:sz w:val="32"/>
          <w:szCs w:val="32"/>
        </w:rPr>
        <w:t>2</w:t>
      </w:r>
      <w:bookmarkStart w:id="0" w:name="_GoBack"/>
      <w:bookmarkEnd w:id="0"/>
    </w:p>
    <w:p w14:paraId="2E1A25F5" w14:textId="77777777" w:rsidR="001E4116" w:rsidRDefault="001E4116" w:rsidP="001E4116">
      <w:pPr>
        <w:rPr>
          <w:b/>
          <w:u w:val="single"/>
        </w:rPr>
      </w:pPr>
    </w:p>
    <w:p w14:paraId="3C2EF9D3" w14:textId="2CAE6A53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 xml:space="preserve">Author of the paper: </w:t>
      </w:r>
      <w:r w:rsidR="00862649" w:rsidRPr="00556BC3">
        <w:rPr>
          <w:rFonts w:cs="Arial"/>
          <w:b/>
        </w:rPr>
        <w:t xml:space="preserve">  </w:t>
      </w:r>
      <w:r w:rsidR="00DD667C">
        <w:rPr>
          <w:rFonts w:cs="Arial"/>
          <w:b/>
        </w:rPr>
        <w:t>Kay Goodacre</w:t>
      </w:r>
    </w:p>
    <w:p w14:paraId="7132FAFA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BD3352B" w14:textId="77777777" w:rsidR="001E4116" w:rsidRPr="00556BC3" w:rsidRDefault="001E4116" w:rsidP="001E4116">
      <w:pPr>
        <w:rPr>
          <w:rFonts w:cs="Arial"/>
        </w:rPr>
      </w:pPr>
    </w:p>
    <w:p w14:paraId="00AB7F47" w14:textId="336B607E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 xml:space="preserve">Officer to present the paper to </w:t>
      </w:r>
      <w:r w:rsidR="00025F55" w:rsidRPr="00556BC3">
        <w:rPr>
          <w:rFonts w:cs="Arial"/>
          <w:b/>
        </w:rPr>
        <w:t>Schools Forum</w:t>
      </w:r>
      <w:r w:rsidRPr="00556BC3">
        <w:rPr>
          <w:rFonts w:cs="Arial"/>
          <w:b/>
        </w:rPr>
        <w:t xml:space="preserve">: </w:t>
      </w:r>
      <w:r w:rsidR="00DD667C">
        <w:rPr>
          <w:rFonts w:cs="Arial"/>
          <w:b/>
        </w:rPr>
        <w:t>Kay Goodacre</w:t>
      </w:r>
    </w:p>
    <w:p w14:paraId="4E3E734D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DA26C4" w14:textId="77777777" w:rsidR="001E4116" w:rsidRPr="00556BC3" w:rsidRDefault="001E4116" w:rsidP="001E4116">
      <w:pPr>
        <w:rPr>
          <w:rFonts w:cs="Arial"/>
        </w:rPr>
      </w:pPr>
    </w:p>
    <w:p w14:paraId="680E11AE" w14:textId="77777777" w:rsidR="001E4116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556BC3">
        <w:rPr>
          <w:rFonts w:cs="Arial"/>
          <w:b/>
        </w:rPr>
        <w:t>Details on who has been consulted with on this paper to date:</w:t>
      </w:r>
    </w:p>
    <w:p w14:paraId="7EC9304D" w14:textId="77777777" w:rsidR="00616733" w:rsidRPr="00556BC3" w:rsidRDefault="00616733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74EEFFD" w14:textId="77777777" w:rsidR="001E4116" w:rsidRPr="00556BC3" w:rsidRDefault="001E4116" w:rsidP="001E4116">
      <w:pPr>
        <w:spacing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91B89" w:rsidRPr="00556BC3" w14:paraId="26C176F5" w14:textId="77777777" w:rsidTr="00F91B89">
        <w:tc>
          <w:tcPr>
            <w:tcW w:w="9286" w:type="dxa"/>
          </w:tcPr>
          <w:p w14:paraId="7A5973AE" w14:textId="77777777" w:rsidR="00F91B89" w:rsidRPr="00556BC3" w:rsidRDefault="00F91B89" w:rsidP="001E4116">
            <w:pPr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Executive Summary.</w:t>
            </w:r>
          </w:p>
          <w:p w14:paraId="54B7D1F2" w14:textId="77777777" w:rsidR="006D33DC" w:rsidRPr="00556BC3" w:rsidRDefault="006D33DC" w:rsidP="001E4116">
            <w:pPr>
              <w:rPr>
                <w:rFonts w:cs="Arial"/>
                <w:b/>
              </w:rPr>
            </w:pPr>
          </w:p>
          <w:p w14:paraId="2AFE14F2" w14:textId="41AA7A27" w:rsidR="00F91B89" w:rsidRPr="00556BC3" w:rsidRDefault="00E20B44" w:rsidP="00F91B89">
            <w:pPr>
              <w:rPr>
                <w:rFonts w:cs="Arial"/>
              </w:rPr>
            </w:pPr>
            <w:r>
              <w:rPr>
                <w:rFonts w:cs="Arial"/>
              </w:rPr>
              <w:t xml:space="preserve">This is a follow up report </w:t>
            </w:r>
            <w:r w:rsidR="005647B7">
              <w:rPr>
                <w:rFonts w:cs="Arial"/>
              </w:rPr>
              <w:t>to the report presented at the October meeting</w:t>
            </w:r>
            <w:r w:rsidR="008D21DC">
              <w:rPr>
                <w:rFonts w:cs="Arial"/>
              </w:rPr>
              <w:t xml:space="preserve"> and </w:t>
            </w:r>
            <w:r w:rsidR="00AF78F7">
              <w:rPr>
                <w:rFonts w:cs="Arial"/>
              </w:rPr>
              <w:t>addresses issues that required further consideration.</w:t>
            </w:r>
          </w:p>
          <w:p w14:paraId="7A7ADCC3" w14:textId="386BDB8E" w:rsidR="00AF78F7" w:rsidRPr="00CA6843" w:rsidRDefault="00842351" w:rsidP="00913C44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Schools block modelling</w:t>
            </w:r>
          </w:p>
          <w:p w14:paraId="787D5013" w14:textId="56999BDE" w:rsidR="00CA6843" w:rsidRPr="00AF78F7" w:rsidRDefault="00CA6843" w:rsidP="00913C44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 xml:space="preserve">Use of potential </w:t>
            </w:r>
            <w:r w:rsidR="00842351">
              <w:rPr>
                <w:rFonts w:cs="Arial"/>
              </w:rPr>
              <w:t>h</w:t>
            </w:r>
            <w:r>
              <w:rPr>
                <w:rFonts w:cs="Arial"/>
              </w:rPr>
              <w:t>eadroom</w:t>
            </w:r>
          </w:p>
          <w:p w14:paraId="6F399AD8" w14:textId="7F3F3386" w:rsidR="00BA4D2F" w:rsidRPr="00B57ACD" w:rsidRDefault="00BA4D2F" w:rsidP="0031372B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B57ACD">
              <w:rPr>
                <w:rFonts w:cs="Arial"/>
              </w:rPr>
              <w:t>The de-delegation of:</w:t>
            </w:r>
          </w:p>
          <w:p w14:paraId="0FF64A4E" w14:textId="610CB315" w:rsidR="00BA4D2F" w:rsidRPr="00556BC3" w:rsidRDefault="00EC1C95" w:rsidP="00913C44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LA services provided </w:t>
            </w:r>
            <w:r w:rsidR="002C4E0E">
              <w:rPr>
                <w:rFonts w:cs="Arial"/>
              </w:rPr>
              <w:t>on behalf of maintained schools</w:t>
            </w:r>
            <w:r w:rsidR="0006017B" w:rsidRPr="00556BC3">
              <w:rPr>
                <w:rFonts w:cs="Arial"/>
              </w:rPr>
              <w:t>.</w:t>
            </w:r>
          </w:p>
          <w:p w14:paraId="768D534C" w14:textId="77777777" w:rsidR="00F91B89" w:rsidRPr="00216804" w:rsidRDefault="006D33DC" w:rsidP="001E4116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 w:rsidRPr="00556BC3">
              <w:rPr>
                <w:rFonts w:cs="Arial"/>
              </w:rPr>
              <w:t>Forme</w:t>
            </w:r>
            <w:r w:rsidR="00D77378" w:rsidRPr="00556BC3">
              <w:rPr>
                <w:rFonts w:cs="Arial"/>
              </w:rPr>
              <w:t>r Education Services Grant</w:t>
            </w:r>
            <w:r w:rsidRPr="00556BC3">
              <w:rPr>
                <w:rFonts w:cs="Arial"/>
              </w:rPr>
              <w:t xml:space="preserve"> </w:t>
            </w:r>
            <w:r w:rsidR="00D77378" w:rsidRPr="00556BC3">
              <w:rPr>
                <w:rFonts w:cs="Arial"/>
              </w:rPr>
              <w:t xml:space="preserve">(ESG) </w:t>
            </w:r>
            <w:r w:rsidRPr="00556BC3">
              <w:rPr>
                <w:rFonts w:cs="Arial"/>
              </w:rPr>
              <w:t>general duties elements.</w:t>
            </w:r>
          </w:p>
        </w:tc>
      </w:tr>
    </w:tbl>
    <w:p w14:paraId="66FD61A7" w14:textId="77777777" w:rsidR="006D33DC" w:rsidRPr="00556BC3" w:rsidRDefault="006D33DC" w:rsidP="00FE0176">
      <w:pPr>
        <w:pStyle w:val="Header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6D33DC" w:rsidRPr="00556BC3" w14:paraId="6FC2784B" w14:textId="77777777" w:rsidTr="006D33DC">
        <w:tc>
          <w:tcPr>
            <w:tcW w:w="9286" w:type="dxa"/>
          </w:tcPr>
          <w:p w14:paraId="21983CE7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  <w:r w:rsidRPr="00556BC3">
              <w:rPr>
                <w:rFonts w:cs="Arial"/>
                <w:b/>
              </w:rPr>
              <w:t>Recommendations.</w:t>
            </w:r>
          </w:p>
          <w:p w14:paraId="68653FB5" w14:textId="77777777" w:rsidR="006D33DC" w:rsidRPr="00556BC3" w:rsidRDefault="006D33DC" w:rsidP="006D33DC">
            <w:pPr>
              <w:pStyle w:val="Header"/>
              <w:rPr>
                <w:rFonts w:cs="Arial"/>
                <w:b/>
              </w:rPr>
            </w:pPr>
          </w:p>
          <w:p w14:paraId="0F4A0223" w14:textId="77777777" w:rsidR="006D33DC" w:rsidRPr="00556BC3" w:rsidRDefault="006D33DC" w:rsidP="006D33DC">
            <w:pPr>
              <w:pStyle w:val="Header"/>
              <w:rPr>
                <w:rFonts w:cs="Arial"/>
              </w:rPr>
            </w:pPr>
            <w:r w:rsidRPr="00556BC3">
              <w:rPr>
                <w:rFonts w:cs="Arial"/>
              </w:rPr>
              <w:t>Forum is asked to:</w:t>
            </w:r>
          </w:p>
          <w:p w14:paraId="4C2E3972" w14:textId="38D2F789" w:rsidR="009241BD" w:rsidRDefault="009241BD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Confirm that the national Funding Formula continues to be used from </w:t>
            </w:r>
            <w:r w:rsidR="00B51DEF">
              <w:rPr>
                <w:rFonts w:cs="Arial"/>
              </w:rPr>
              <w:t>2021 to 2022 funding allocation</w:t>
            </w:r>
            <w:r w:rsidR="00C31811">
              <w:rPr>
                <w:rFonts w:cs="Arial"/>
              </w:rPr>
              <w:t>s.</w:t>
            </w:r>
          </w:p>
          <w:p w14:paraId="2540A41A" w14:textId="6B2E9FA9" w:rsidR="00216804" w:rsidRPr="00041123" w:rsidRDefault="00216804" w:rsidP="0021680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 xml:space="preserve">Agree </w:t>
            </w:r>
            <w:r>
              <w:rPr>
                <w:rFonts w:cs="Arial"/>
              </w:rPr>
              <w:t>to</w:t>
            </w:r>
            <w:r w:rsidR="00573478">
              <w:rPr>
                <w:rFonts w:cs="Arial"/>
              </w:rPr>
              <w:t xml:space="preserve"> include in the School funding formula an allocation of funding to meet the additional costs of rent at Oaklands school.</w:t>
            </w:r>
          </w:p>
          <w:p w14:paraId="4B6C1A86" w14:textId="77777777" w:rsidR="009A6C15" w:rsidRDefault="009A6C15" w:rsidP="00913C4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Agree to a targeted high needs block transfer form headroom</w:t>
            </w:r>
          </w:p>
          <w:p w14:paraId="7A2DBDD9" w14:textId="1470D9C3" w:rsidR="00C768A7" w:rsidRPr="00556BC3" w:rsidRDefault="00C768A7" w:rsidP="00913C44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>Primary school representatives are asked to</w:t>
            </w:r>
            <w:r w:rsidR="000075A9">
              <w:rPr>
                <w:rFonts w:cs="Arial"/>
              </w:rPr>
              <w:t xml:space="preserve"> agree t</w:t>
            </w:r>
            <w:r w:rsidR="00257FDB">
              <w:rPr>
                <w:rFonts w:cs="Arial"/>
              </w:rPr>
              <w:t>o include in the formula modelling</w:t>
            </w:r>
            <w:r w:rsidRPr="00556BC3">
              <w:rPr>
                <w:rFonts w:cs="Arial"/>
              </w:rPr>
              <w:t xml:space="preserve"> </w:t>
            </w:r>
            <w:r w:rsidR="00257FDB">
              <w:rPr>
                <w:rFonts w:cs="Arial"/>
              </w:rPr>
              <w:t>the p</w:t>
            </w:r>
            <w:r w:rsidR="00041123">
              <w:rPr>
                <w:rFonts w:cs="Arial"/>
              </w:rPr>
              <w:t xml:space="preserve">roposed </w:t>
            </w:r>
            <w:r w:rsidRPr="00556BC3">
              <w:rPr>
                <w:rFonts w:cs="Arial"/>
              </w:rPr>
              <w:t xml:space="preserve">de-delegation </w:t>
            </w:r>
            <w:r w:rsidR="00E552A8" w:rsidRPr="00556BC3">
              <w:rPr>
                <w:rFonts w:cs="Arial"/>
              </w:rPr>
              <w:t xml:space="preserve">of services, </w:t>
            </w:r>
            <w:r w:rsidRPr="00556BC3">
              <w:rPr>
                <w:rFonts w:cs="Arial"/>
              </w:rPr>
              <w:t>rates and values set out</w:t>
            </w:r>
            <w:r w:rsidR="00910F0D">
              <w:rPr>
                <w:rFonts w:cs="Arial"/>
              </w:rPr>
              <w:t xml:space="preserve"> at the previous forum meeting</w:t>
            </w:r>
          </w:p>
          <w:p w14:paraId="756A9107" w14:textId="37232C0B" w:rsidR="0054472B" w:rsidRDefault="00C768A7" w:rsidP="0054472B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 xml:space="preserve">Secondary school representatives are asked to </w:t>
            </w:r>
            <w:r w:rsidR="00040ABD">
              <w:rPr>
                <w:rFonts w:cs="Arial"/>
              </w:rPr>
              <w:t xml:space="preserve">agree to </w:t>
            </w:r>
            <w:r w:rsidR="00633ED2">
              <w:rPr>
                <w:rFonts w:cs="Arial"/>
              </w:rPr>
              <w:t xml:space="preserve">include in the formula modelling the </w:t>
            </w:r>
            <w:r w:rsidR="00216804">
              <w:rPr>
                <w:rFonts w:cs="Arial"/>
              </w:rPr>
              <w:t xml:space="preserve">proposed </w:t>
            </w:r>
            <w:r w:rsidRPr="00556BC3">
              <w:rPr>
                <w:rFonts w:cs="Arial"/>
              </w:rPr>
              <w:t xml:space="preserve">de-delegation </w:t>
            </w:r>
            <w:r w:rsidR="00216804">
              <w:rPr>
                <w:rFonts w:cs="Arial"/>
              </w:rPr>
              <w:t xml:space="preserve">of services </w:t>
            </w:r>
            <w:r w:rsidRPr="00556BC3">
              <w:rPr>
                <w:rFonts w:cs="Arial"/>
              </w:rPr>
              <w:t xml:space="preserve">rates and values set </w:t>
            </w:r>
            <w:r w:rsidR="00910F0D">
              <w:rPr>
                <w:rFonts w:cs="Arial"/>
              </w:rPr>
              <w:t xml:space="preserve">out at the previous forum </w:t>
            </w:r>
            <w:r w:rsidR="00FA39CF">
              <w:rPr>
                <w:rFonts w:cs="Arial"/>
              </w:rPr>
              <w:t>meeting</w:t>
            </w:r>
            <w:r w:rsidR="0054472B" w:rsidRPr="00556BC3">
              <w:rPr>
                <w:rFonts w:cs="Arial"/>
              </w:rPr>
              <w:t xml:space="preserve"> </w:t>
            </w:r>
          </w:p>
          <w:p w14:paraId="49732024" w14:textId="13BD7EB6" w:rsidR="0054472B" w:rsidRPr="00556BC3" w:rsidRDefault="0054472B" w:rsidP="0054472B">
            <w:pPr>
              <w:pStyle w:val="Header"/>
              <w:numPr>
                <w:ilvl w:val="0"/>
                <w:numId w:val="3"/>
              </w:numPr>
              <w:rPr>
                <w:rFonts w:cs="Arial"/>
              </w:rPr>
            </w:pPr>
            <w:r w:rsidRPr="00556BC3">
              <w:rPr>
                <w:rFonts w:cs="Arial"/>
              </w:rPr>
              <w:t>School representatives are asked to</w:t>
            </w:r>
            <w:r>
              <w:rPr>
                <w:rFonts w:cs="Arial"/>
              </w:rPr>
              <w:t xml:space="preserve"> agree to include in the funding formula modelling the current contribution </w:t>
            </w:r>
            <w:r w:rsidRPr="00556BC3">
              <w:rPr>
                <w:rFonts w:cs="Arial"/>
              </w:rPr>
              <w:t xml:space="preserve">of former ESG funded services </w:t>
            </w:r>
            <w:r>
              <w:rPr>
                <w:rFonts w:cs="Arial"/>
              </w:rPr>
              <w:t>at the same rate as in 2020/21 adjusted by inflation.</w:t>
            </w:r>
          </w:p>
          <w:p w14:paraId="47D9208C" w14:textId="60A4DFF7" w:rsidR="002A18E2" w:rsidRPr="00B4534F" w:rsidRDefault="002A18E2" w:rsidP="0054472B">
            <w:pPr>
              <w:pStyle w:val="Header"/>
              <w:ind w:left="720"/>
              <w:rPr>
                <w:rFonts w:cs="Arial"/>
              </w:rPr>
            </w:pPr>
          </w:p>
        </w:tc>
      </w:tr>
    </w:tbl>
    <w:p w14:paraId="128DC27F" w14:textId="77777777" w:rsidR="002A18E2" w:rsidRPr="00556BC3" w:rsidRDefault="002A18E2" w:rsidP="00B4534F">
      <w:pPr>
        <w:pStyle w:val="Header"/>
        <w:rPr>
          <w:rFonts w:cs="Arial"/>
          <w:b/>
        </w:rPr>
      </w:pPr>
    </w:p>
    <w:p w14:paraId="23CBFF60" w14:textId="5DC819AC" w:rsidR="00B77DDE" w:rsidRDefault="00B77DDE" w:rsidP="00B77DDE">
      <w:pPr>
        <w:rPr>
          <w:rFonts w:cs="Arial"/>
          <w:b/>
        </w:rPr>
      </w:pPr>
    </w:p>
    <w:p w14:paraId="608DD2C5" w14:textId="3BDBB000" w:rsidR="000B5DBB" w:rsidRDefault="000B5DBB" w:rsidP="00B77DDE">
      <w:pPr>
        <w:rPr>
          <w:rFonts w:cs="Arial"/>
          <w:b/>
        </w:rPr>
      </w:pPr>
    </w:p>
    <w:p w14:paraId="75FBC112" w14:textId="562ABDE8" w:rsidR="000B5DBB" w:rsidRDefault="000B5DBB" w:rsidP="00B77DDE">
      <w:pPr>
        <w:rPr>
          <w:rFonts w:cs="Arial"/>
          <w:b/>
        </w:rPr>
      </w:pPr>
    </w:p>
    <w:p w14:paraId="40C45C8D" w14:textId="77777777" w:rsidR="000B5DBB" w:rsidRDefault="000B5DBB" w:rsidP="00B77DDE">
      <w:pPr>
        <w:rPr>
          <w:rFonts w:cs="Arial"/>
          <w:b/>
        </w:rPr>
      </w:pPr>
    </w:p>
    <w:p w14:paraId="636B2F51" w14:textId="3E001254" w:rsidR="00660345" w:rsidRPr="00B77DDE" w:rsidRDefault="00660345" w:rsidP="00B77DDE">
      <w:pPr>
        <w:rPr>
          <w:rFonts w:cs="Arial"/>
          <w:b/>
        </w:rPr>
      </w:pPr>
      <w:r w:rsidRPr="00B77DDE">
        <w:rPr>
          <w:rFonts w:cs="Arial"/>
          <w:b/>
        </w:rPr>
        <w:lastRenderedPageBreak/>
        <w:t>Background.</w:t>
      </w:r>
    </w:p>
    <w:p w14:paraId="39862153" w14:textId="5695AFE9" w:rsidR="009926CF" w:rsidRDefault="009926CF" w:rsidP="009926CF">
      <w:pPr>
        <w:rPr>
          <w:rFonts w:cs="Arial"/>
          <w:b/>
        </w:rPr>
      </w:pPr>
    </w:p>
    <w:p w14:paraId="478A5C21" w14:textId="55CBECB9" w:rsidR="009926CF" w:rsidRPr="00C31811" w:rsidRDefault="00DB63B1" w:rsidP="009926CF">
      <w:pPr>
        <w:rPr>
          <w:rFonts w:cs="Arial"/>
          <w:b/>
        </w:rPr>
      </w:pPr>
      <w:r>
        <w:rPr>
          <w:rFonts w:cs="Arial"/>
          <w:b/>
        </w:rPr>
        <w:t>P</w:t>
      </w:r>
      <w:r w:rsidR="009926CF" w:rsidRPr="00C31811">
        <w:rPr>
          <w:rFonts w:cs="Arial"/>
          <w:b/>
        </w:rPr>
        <w:t xml:space="preserve">apers presented to </w:t>
      </w:r>
      <w:r w:rsidR="00CE0991">
        <w:rPr>
          <w:rFonts w:cs="Arial"/>
          <w:b/>
        </w:rPr>
        <w:t>previous</w:t>
      </w:r>
      <w:r w:rsidR="009926CF" w:rsidRPr="00C31811">
        <w:rPr>
          <w:rFonts w:cs="Arial"/>
          <w:b/>
        </w:rPr>
        <w:t xml:space="preserve"> forum have considered the </w:t>
      </w:r>
      <w:r w:rsidR="00850D93" w:rsidRPr="00C31811">
        <w:rPr>
          <w:rFonts w:cs="Arial"/>
          <w:b/>
        </w:rPr>
        <w:t xml:space="preserve">background of Schools funding and the settlement </w:t>
      </w:r>
      <w:r w:rsidR="00410C1F" w:rsidRPr="00C31811">
        <w:rPr>
          <w:rFonts w:cs="Arial"/>
          <w:b/>
        </w:rPr>
        <w:t xml:space="preserve">made through the national funding formula. Information was presented in the October meeting that gave a comprehensive </w:t>
      </w:r>
      <w:r w:rsidR="006B3B29" w:rsidRPr="00C31811">
        <w:rPr>
          <w:rFonts w:cs="Arial"/>
          <w:b/>
        </w:rPr>
        <w:t xml:space="preserve">breakdown of the </w:t>
      </w:r>
      <w:r w:rsidR="00712F32" w:rsidRPr="00C31811">
        <w:rPr>
          <w:rFonts w:cs="Arial"/>
          <w:b/>
        </w:rPr>
        <w:t>different blo</w:t>
      </w:r>
      <w:r w:rsidR="00D52119" w:rsidRPr="00C31811">
        <w:rPr>
          <w:rFonts w:cs="Arial"/>
          <w:b/>
        </w:rPr>
        <w:t>cks and the indicative settlement. This paper will address the issues raised at the last meeting</w:t>
      </w:r>
      <w:r>
        <w:rPr>
          <w:rFonts w:cs="Arial"/>
          <w:b/>
        </w:rPr>
        <w:t xml:space="preserve"> that </w:t>
      </w:r>
      <w:r w:rsidR="00AB56A3">
        <w:rPr>
          <w:rFonts w:cs="Arial"/>
          <w:b/>
        </w:rPr>
        <w:t>require further discussion on agreement</w:t>
      </w:r>
      <w:r w:rsidR="00D52119" w:rsidRPr="00C31811">
        <w:rPr>
          <w:rFonts w:cs="Arial"/>
          <w:b/>
        </w:rPr>
        <w:t>.</w:t>
      </w:r>
    </w:p>
    <w:p w14:paraId="5460C624" w14:textId="150A1F2D" w:rsidR="009926CF" w:rsidRPr="00C31811" w:rsidRDefault="009926CF" w:rsidP="009926CF">
      <w:pPr>
        <w:pStyle w:val="ListParagraph"/>
        <w:keepNext/>
        <w:ind w:left="360"/>
        <w:rPr>
          <w:rFonts w:cs="Arial"/>
          <w:b/>
        </w:rPr>
      </w:pPr>
    </w:p>
    <w:p w14:paraId="405AB4F9" w14:textId="77777777" w:rsidR="009926CF" w:rsidRDefault="009926CF" w:rsidP="009926CF">
      <w:pPr>
        <w:pStyle w:val="ListParagraph"/>
        <w:keepNext/>
        <w:ind w:left="360"/>
        <w:rPr>
          <w:rFonts w:cs="Arial"/>
          <w:b/>
        </w:rPr>
      </w:pPr>
    </w:p>
    <w:p w14:paraId="7EF84208" w14:textId="77777777" w:rsidR="009926CF" w:rsidRDefault="009926CF" w:rsidP="009926CF">
      <w:pPr>
        <w:pStyle w:val="ListParagraph"/>
        <w:keepNext/>
        <w:ind w:left="360"/>
        <w:rPr>
          <w:rFonts w:cs="Arial"/>
          <w:b/>
        </w:rPr>
      </w:pPr>
    </w:p>
    <w:p w14:paraId="7EB32211" w14:textId="50BF4256" w:rsidR="002A18E2" w:rsidRPr="00556BC3" w:rsidRDefault="008C6C9C" w:rsidP="003C130C">
      <w:pPr>
        <w:pStyle w:val="ListParagraph"/>
        <w:keepNext/>
        <w:numPr>
          <w:ilvl w:val="0"/>
          <w:numId w:val="7"/>
        </w:numPr>
        <w:rPr>
          <w:rFonts w:cs="Arial"/>
          <w:b/>
        </w:rPr>
      </w:pPr>
      <w:r w:rsidRPr="00556BC3">
        <w:rPr>
          <w:rFonts w:cs="Arial"/>
          <w:b/>
        </w:rPr>
        <w:t>Tower Haml</w:t>
      </w:r>
      <w:r w:rsidR="008D795D" w:rsidRPr="00556BC3">
        <w:rPr>
          <w:rFonts w:cs="Arial"/>
          <w:b/>
        </w:rPr>
        <w:t>ets Schools Funding Formula 202</w:t>
      </w:r>
      <w:r w:rsidR="00E811DF">
        <w:rPr>
          <w:rFonts w:cs="Arial"/>
          <w:b/>
        </w:rPr>
        <w:t>1</w:t>
      </w:r>
      <w:r w:rsidR="008D795D" w:rsidRPr="00556BC3">
        <w:rPr>
          <w:rFonts w:cs="Arial"/>
          <w:b/>
        </w:rPr>
        <w:t>-2</w:t>
      </w:r>
      <w:r w:rsidR="00E811DF">
        <w:rPr>
          <w:rFonts w:cs="Arial"/>
          <w:b/>
        </w:rPr>
        <w:t>2</w:t>
      </w:r>
      <w:r w:rsidRPr="00556BC3">
        <w:rPr>
          <w:rFonts w:cs="Arial"/>
          <w:b/>
        </w:rPr>
        <w:t>.</w:t>
      </w:r>
    </w:p>
    <w:p w14:paraId="392EEFD2" w14:textId="77777777" w:rsidR="008C6C9C" w:rsidRPr="00556BC3" w:rsidRDefault="008C6C9C" w:rsidP="003C130C">
      <w:pPr>
        <w:pStyle w:val="ListParagraph"/>
        <w:keepNext/>
        <w:ind w:left="360"/>
        <w:rPr>
          <w:rFonts w:cs="Arial"/>
          <w:b/>
        </w:rPr>
      </w:pPr>
    </w:p>
    <w:p w14:paraId="69C70A20" w14:textId="0E6FA7DC" w:rsidR="008F4D73" w:rsidRPr="00050E57" w:rsidRDefault="00965C59" w:rsidP="0055647D">
      <w:pPr>
        <w:pStyle w:val="ListParagraph"/>
        <w:numPr>
          <w:ilvl w:val="1"/>
          <w:numId w:val="7"/>
        </w:numPr>
        <w:rPr>
          <w:rFonts w:cs="Arial"/>
          <w:b/>
        </w:rPr>
      </w:pPr>
      <w:r w:rsidRPr="00050E57">
        <w:rPr>
          <w:rFonts w:cs="Arial"/>
        </w:rPr>
        <w:t xml:space="preserve">Forum recommended </w:t>
      </w:r>
      <w:r w:rsidR="0098108B" w:rsidRPr="00050E57">
        <w:rPr>
          <w:rFonts w:cs="Arial"/>
        </w:rPr>
        <w:t xml:space="preserve">the use of the National Funding Formula (NFF) </w:t>
      </w:r>
      <w:r w:rsidR="00E811DF" w:rsidRPr="00050E57">
        <w:rPr>
          <w:rFonts w:cs="Arial"/>
        </w:rPr>
        <w:t>to the Council in the 2019-20 and 2020-21 financial years</w:t>
      </w:r>
      <w:r w:rsidR="0098108B" w:rsidRPr="00050E57">
        <w:rPr>
          <w:rFonts w:cs="Arial"/>
        </w:rPr>
        <w:t xml:space="preserve">. This was agreed and the NFF factors and values used in </w:t>
      </w:r>
      <w:r w:rsidR="00660345" w:rsidRPr="00050E57">
        <w:rPr>
          <w:rFonts w:cs="Arial"/>
        </w:rPr>
        <w:t>Tower Hamlets</w:t>
      </w:r>
      <w:r w:rsidR="0098108B" w:rsidRPr="00050E57">
        <w:rPr>
          <w:rFonts w:cs="Arial"/>
        </w:rPr>
        <w:t>’</w:t>
      </w:r>
      <w:r w:rsidR="00660345" w:rsidRPr="00050E57">
        <w:rPr>
          <w:rFonts w:cs="Arial"/>
        </w:rPr>
        <w:t xml:space="preserve"> Schools Funding Formula. </w:t>
      </w:r>
      <w:r w:rsidR="008A6D93">
        <w:rPr>
          <w:rFonts w:cs="Arial"/>
        </w:rPr>
        <w:t xml:space="preserve"> Continuation of the national funding formula will be modelled and presented to forum in the January meeting</w:t>
      </w:r>
      <w:r w:rsidR="00980E43">
        <w:rPr>
          <w:rFonts w:cs="Arial"/>
        </w:rPr>
        <w:t xml:space="preserve"> and forum are asked to confirm their agreement to this.</w:t>
      </w:r>
    </w:p>
    <w:p w14:paraId="35982E16" w14:textId="397361DE" w:rsidR="00343A0B" w:rsidRPr="00B77DDE" w:rsidRDefault="00343A0B" w:rsidP="00B77DDE">
      <w:pPr>
        <w:rPr>
          <w:rFonts w:cs="Arial"/>
          <w:b/>
        </w:rPr>
      </w:pPr>
    </w:p>
    <w:p w14:paraId="09F7D97C" w14:textId="7C086E69" w:rsidR="00980E43" w:rsidRPr="000E5566" w:rsidRDefault="00980E43" w:rsidP="00F50D1A">
      <w:pPr>
        <w:pStyle w:val="ListParagraph"/>
        <w:numPr>
          <w:ilvl w:val="1"/>
          <w:numId w:val="7"/>
        </w:numPr>
        <w:rPr>
          <w:rFonts w:cs="Arial"/>
          <w:b/>
        </w:rPr>
      </w:pPr>
      <w:r w:rsidRPr="000E5566">
        <w:rPr>
          <w:rFonts w:cs="Arial"/>
          <w:bCs/>
        </w:rPr>
        <w:t xml:space="preserve">The subject of the rental payment to Oaklands was considered in the October meeting and concern was raised about how this would </w:t>
      </w:r>
      <w:r w:rsidR="00807D0F" w:rsidRPr="000E5566">
        <w:rPr>
          <w:rFonts w:cs="Arial"/>
          <w:bCs/>
        </w:rPr>
        <w:t>a</w:t>
      </w:r>
      <w:r w:rsidRPr="000E5566">
        <w:rPr>
          <w:rFonts w:cs="Arial"/>
          <w:bCs/>
        </w:rPr>
        <w:t xml:space="preserve">ffect </w:t>
      </w:r>
      <w:r w:rsidR="003F11C6" w:rsidRPr="000E5566">
        <w:rPr>
          <w:rFonts w:cs="Arial"/>
          <w:bCs/>
        </w:rPr>
        <w:t>overall funding</w:t>
      </w:r>
      <w:r w:rsidR="00807D0F" w:rsidRPr="000E5566">
        <w:rPr>
          <w:rFonts w:cs="Arial"/>
          <w:bCs/>
        </w:rPr>
        <w:t xml:space="preserve">. As with all premises factors in the NFF these are funded by the DfE </w:t>
      </w:r>
      <w:r w:rsidR="00D5536A" w:rsidRPr="000E5566">
        <w:rPr>
          <w:rFonts w:cs="Arial"/>
          <w:bCs/>
        </w:rPr>
        <w:t xml:space="preserve">as additional funding over the </w:t>
      </w:r>
      <w:r w:rsidR="00D4304D">
        <w:rPr>
          <w:rFonts w:cs="Arial"/>
          <w:bCs/>
        </w:rPr>
        <w:t>stan</w:t>
      </w:r>
      <w:r w:rsidR="000F7F24">
        <w:rPr>
          <w:rFonts w:cs="Arial"/>
          <w:bCs/>
        </w:rPr>
        <w:t>dard</w:t>
      </w:r>
      <w:r w:rsidR="00D5536A" w:rsidRPr="000E5566">
        <w:rPr>
          <w:rFonts w:cs="Arial"/>
          <w:bCs/>
        </w:rPr>
        <w:t xml:space="preserve"> </w:t>
      </w:r>
      <w:r w:rsidR="00D4304D">
        <w:rPr>
          <w:rFonts w:cs="Arial"/>
          <w:bCs/>
        </w:rPr>
        <w:t xml:space="preserve">NFF </w:t>
      </w:r>
      <w:r w:rsidR="00D5536A" w:rsidRPr="000E5566">
        <w:rPr>
          <w:rFonts w:cs="Arial"/>
          <w:bCs/>
        </w:rPr>
        <w:t xml:space="preserve">allocation </w:t>
      </w:r>
      <w:r w:rsidR="004661DF" w:rsidRPr="000E5566">
        <w:rPr>
          <w:rFonts w:cs="Arial"/>
          <w:bCs/>
        </w:rPr>
        <w:t xml:space="preserve">so whilst </w:t>
      </w:r>
      <w:r w:rsidR="00AC1811" w:rsidRPr="000E5566">
        <w:rPr>
          <w:rFonts w:cs="Arial"/>
          <w:bCs/>
        </w:rPr>
        <w:t xml:space="preserve">this would be funded from the overall allocation of funding </w:t>
      </w:r>
      <w:r w:rsidR="00A11B5F" w:rsidRPr="000E5566">
        <w:rPr>
          <w:rFonts w:cs="Arial"/>
          <w:bCs/>
        </w:rPr>
        <w:t>to all schools in 2021/22</w:t>
      </w:r>
      <w:r w:rsidR="00F67E4E" w:rsidRPr="000E5566">
        <w:rPr>
          <w:rFonts w:cs="Arial"/>
          <w:bCs/>
        </w:rPr>
        <w:t xml:space="preserve">, this would be received as additional funding going forward. </w:t>
      </w:r>
      <w:r w:rsidR="00C046D1" w:rsidRPr="000E5566">
        <w:rPr>
          <w:rFonts w:cs="Arial"/>
          <w:bCs/>
        </w:rPr>
        <w:t xml:space="preserve">Concern was made at the previous forum that Oaklands School had a higher base of funding than other equivalent schools </w:t>
      </w:r>
      <w:r w:rsidR="004035AF" w:rsidRPr="000E5566">
        <w:rPr>
          <w:rFonts w:cs="Arial"/>
          <w:bCs/>
        </w:rPr>
        <w:t xml:space="preserve">which analysis showed not to be the case. </w:t>
      </w:r>
      <w:r w:rsidR="001E48F4" w:rsidRPr="000E5566">
        <w:rPr>
          <w:rFonts w:cs="Arial"/>
          <w:bCs/>
        </w:rPr>
        <w:t xml:space="preserve">Currently there is one other allocation of rent for a school within the formula and therefore introducing a rent payment for Oaklands would be </w:t>
      </w:r>
      <w:r w:rsidR="00007944" w:rsidRPr="000E5566">
        <w:rPr>
          <w:rFonts w:cs="Arial"/>
          <w:bCs/>
        </w:rPr>
        <w:t>on a consistent basis with previous decisions.</w:t>
      </w:r>
      <w:r w:rsidR="000F7F24">
        <w:rPr>
          <w:rFonts w:cs="Arial"/>
          <w:bCs/>
        </w:rPr>
        <w:t xml:space="preserve"> Forum are as</w:t>
      </w:r>
      <w:r w:rsidR="00700F58">
        <w:rPr>
          <w:rFonts w:cs="Arial"/>
          <w:bCs/>
        </w:rPr>
        <w:t xml:space="preserve"> asked to confirm that any additional rent payable would be funded to O</w:t>
      </w:r>
      <w:r w:rsidR="003C3563">
        <w:rPr>
          <w:rFonts w:cs="Arial"/>
          <w:bCs/>
        </w:rPr>
        <w:t>a</w:t>
      </w:r>
      <w:r w:rsidR="00700F58">
        <w:rPr>
          <w:rFonts w:cs="Arial"/>
          <w:bCs/>
        </w:rPr>
        <w:t>kland</w:t>
      </w:r>
      <w:r w:rsidR="003C3563">
        <w:rPr>
          <w:rFonts w:cs="Arial"/>
          <w:bCs/>
        </w:rPr>
        <w:t>s School.</w:t>
      </w:r>
    </w:p>
    <w:p w14:paraId="01A8215B" w14:textId="58343894" w:rsidR="004F3EEC" w:rsidRPr="00C11BD2" w:rsidRDefault="00126AD5" w:rsidP="000E5566">
      <w:pPr>
        <w:pStyle w:val="ListParagraph"/>
        <w:ind w:left="792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C11BD2">
        <w:rPr>
          <w:rFonts w:cs="Arial"/>
          <w:bCs/>
        </w:rPr>
        <w:t xml:space="preserve"> </w:t>
      </w:r>
    </w:p>
    <w:p w14:paraId="2A145975" w14:textId="77777777" w:rsidR="00DD60C2" w:rsidRPr="00DD60C2" w:rsidRDefault="00DD60C2" w:rsidP="00DD60C2">
      <w:pPr>
        <w:pStyle w:val="ListParagraph"/>
        <w:rPr>
          <w:rFonts w:cs="Arial"/>
        </w:rPr>
      </w:pPr>
    </w:p>
    <w:p w14:paraId="69B89639" w14:textId="6BFDF8F4" w:rsidR="008C6C9C" w:rsidRPr="00470680" w:rsidRDefault="00705392" w:rsidP="00B72338">
      <w:pPr>
        <w:pStyle w:val="ListParagraph"/>
        <w:numPr>
          <w:ilvl w:val="1"/>
          <w:numId w:val="7"/>
        </w:numPr>
        <w:rPr>
          <w:rFonts w:cs="Arial"/>
          <w:b/>
        </w:rPr>
      </w:pPr>
      <w:r>
        <w:rPr>
          <w:rFonts w:cs="Arial"/>
        </w:rPr>
        <w:t xml:space="preserve">In 2020-21 </w:t>
      </w:r>
      <w:r w:rsidR="00C12C34">
        <w:rPr>
          <w:rFonts w:cs="Arial"/>
        </w:rPr>
        <w:t xml:space="preserve">the </w:t>
      </w:r>
      <w:r w:rsidR="003C3563">
        <w:rPr>
          <w:rFonts w:cs="Arial"/>
        </w:rPr>
        <w:t>Schools Block</w:t>
      </w:r>
      <w:r w:rsidR="00C12C34">
        <w:rPr>
          <w:rFonts w:cs="Arial"/>
        </w:rPr>
        <w:t xml:space="preserve"> was greater than the sum of formula funded allocations, the maximum MFG and the Growth Fund. This ‘headroom’ amounted to £1.031m and Forum agreed this could be transferred into the HNB to help offset pressures in that block. </w:t>
      </w:r>
      <w:r>
        <w:rPr>
          <w:rFonts w:cs="Arial"/>
        </w:rPr>
        <w:t xml:space="preserve">Forum </w:t>
      </w:r>
      <w:r w:rsidR="00C12C34">
        <w:rPr>
          <w:rFonts w:cs="Arial"/>
        </w:rPr>
        <w:t xml:space="preserve">is asked to agree to the principle that any such headroom in 2021-22, up to the limit of 0.5% of the block (excluded funding for the former grants) be transferred in 2021-22. </w:t>
      </w:r>
      <w:r w:rsidR="00294E57">
        <w:rPr>
          <w:rFonts w:cs="Arial"/>
        </w:rPr>
        <w:t>However</w:t>
      </w:r>
      <w:r w:rsidR="00431055">
        <w:rPr>
          <w:rFonts w:cs="Arial"/>
        </w:rPr>
        <w:t>,</w:t>
      </w:r>
      <w:r w:rsidR="00294E57">
        <w:rPr>
          <w:rFonts w:cs="Arial"/>
        </w:rPr>
        <w:t xml:space="preserve"> we </w:t>
      </w:r>
      <w:r w:rsidR="00BC31C3">
        <w:rPr>
          <w:rFonts w:cs="Arial"/>
        </w:rPr>
        <w:t>would recommend that rather than going into general high needs funding t</w:t>
      </w:r>
      <w:r w:rsidR="003461C6">
        <w:rPr>
          <w:rFonts w:cs="Arial"/>
        </w:rPr>
        <w:t xml:space="preserve">hat this funding is specifically targeted at those schools that have </w:t>
      </w:r>
      <w:r w:rsidR="0020116F">
        <w:rPr>
          <w:rFonts w:cs="Arial"/>
        </w:rPr>
        <w:t xml:space="preserve">exceptional levels of EHCPs over and above </w:t>
      </w:r>
      <w:r w:rsidR="00D272D3">
        <w:rPr>
          <w:rFonts w:cs="Arial"/>
        </w:rPr>
        <w:t>equivalent schools that are not addressed through their levels of</w:t>
      </w:r>
      <w:r w:rsidR="00BC31C3">
        <w:rPr>
          <w:rFonts w:cs="Arial"/>
        </w:rPr>
        <w:t xml:space="preserve"> </w:t>
      </w:r>
      <w:r w:rsidR="00A161BC">
        <w:rPr>
          <w:rFonts w:cs="Arial"/>
        </w:rPr>
        <w:t xml:space="preserve">notional </w:t>
      </w:r>
      <w:r w:rsidR="00A21337">
        <w:rPr>
          <w:rFonts w:cs="Arial"/>
        </w:rPr>
        <w:t xml:space="preserve">SEN. </w:t>
      </w:r>
      <w:r w:rsidR="00431055">
        <w:rPr>
          <w:rFonts w:cs="Arial"/>
        </w:rPr>
        <w:t xml:space="preserve">If Forum agree this </w:t>
      </w:r>
      <w:r w:rsidR="0054472B">
        <w:rPr>
          <w:rFonts w:cs="Arial"/>
        </w:rPr>
        <w:t xml:space="preserve">in </w:t>
      </w:r>
      <w:proofErr w:type="gramStart"/>
      <w:r w:rsidR="0054472B">
        <w:rPr>
          <w:rFonts w:cs="Arial"/>
        </w:rPr>
        <w:t>principle</w:t>
      </w:r>
      <w:proofErr w:type="gramEnd"/>
      <w:r w:rsidR="0054472B">
        <w:rPr>
          <w:rFonts w:cs="Arial"/>
        </w:rPr>
        <w:t xml:space="preserve"> we will bring forward a future paper with an allocation methodology.</w:t>
      </w:r>
    </w:p>
    <w:p w14:paraId="6968014D" w14:textId="77777777" w:rsidR="00470680" w:rsidRPr="00470680" w:rsidRDefault="00470680" w:rsidP="00470680">
      <w:pPr>
        <w:pStyle w:val="ListParagraph"/>
        <w:rPr>
          <w:rFonts w:cs="Arial"/>
          <w:b/>
        </w:rPr>
      </w:pPr>
    </w:p>
    <w:p w14:paraId="2A516EA0" w14:textId="77777777" w:rsidR="00C26414" w:rsidRPr="00556BC3" w:rsidRDefault="00C26414" w:rsidP="00C26414">
      <w:pPr>
        <w:pStyle w:val="ListParagraph"/>
        <w:keepNext/>
        <w:numPr>
          <w:ilvl w:val="0"/>
          <w:numId w:val="7"/>
        </w:numPr>
        <w:rPr>
          <w:rFonts w:cs="Arial"/>
          <w:b/>
        </w:rPr>
      </w:pPr>
      <w:r w:rsidRPr="00556BC3">
        <w:rPr>
          <w:rFonts w:cs="Arial"/>
          <w:b/>
        </w:rPr>
        <w:lastRenderedPageBreak/>
        <w:t>De-Delegation.</w:t>
      </w:r>
    </w:p>
    <w:p w14:paraId="110DC7DF" w14:textId="2833E392" w:rsidR="00C26414" w:rsidRDefault="00C26414" w:rsidP="00C26414">
      <w:pPr>
        <w:pStyle w:val="ListParagraph"/>
        <w:keepNext/>
        <w:ind w:left="360"/>
        <w:rPr>
          <w:rFonts w:cs="Arial"/>
          <w:b/>
        </w:rPr>
      </w:pPr>
    </w:p>
    <w:p w14:paraId="69AE23B7" w14:textId="6CE1B4AD" w:rsidR="00744FB5" w:rsidRPr="00744FB5" w:rsidRDefault="00744FB5" w:rsidP="00C26414">
      <w:pPr>
        <w:pStyle w:val="ListParagraph"/>
        <w:keepNext/>
        <w:ind w:left="360"/>
        <w:rPr>
          <w:rFonts w:cs="Arial"/>
          <w:bCs/>
        </w:rPr>
      </w:pPr>
      <w:r>
        <w:rPr>
          <w:rFonts w:cs="Arial"/>
          <w:bCs/>
        </w:rPr>
        <w:t xml:space="preserve">We have </w:t>
      </w:r>
      <w:r w:rsidR="00123B3E">
        <w:rPr>
          <w:rFonts w:cs="Arial"/>
          <w:bCs/>
        </w:rPr>
        <w:t xml:space="preserve">represented the tables that were given at the last forum for </w:t>
      </w:r>
      <w:r w:rsidR="00E9699E">
        <w:rPr>
          <w:rFonts w:cs="Arial"/>
          <w:bCs/>
        </w:rPr>
        <w:t xml:space="preserve">re- </w:t>
      </w:r>
      <w:r w:rsidR="00123B3E">
        <w:rPr>
          <w:rFonts w:cs="Arial"/>
          <w:bCs/>
        </w:rPr>
        <w:t>consideration</w:t>
      </w:r>
      <w:r w:rsidR="00E9699E">
        <w:rPr>
          <w:rFonts w:cs="Arial"/>
          <w:bCs/>
        </w:rPr>
        <w:t xml:space="preserve">. </w:t>
      </w:r>
      <w:r w:rsidR="007E60EE">
        <w:rPr>
          <w:rFonts w:cs="Arial"/>
          <w:bCs/>
        </w:rPr>
        <w:t xml:space="preserve">Whilst concerns were made to the </w:t>
      </w:r>
      <w:r w:rsidR="00E97279">
        <w:rPr>
          <w:rFonts w:cs="Arial"/>
          <w:bCs/>
        </w:rPr>
        <w:t>de delegation of the behaviour service, we would ask that forum agree these rates</w:t>
      </w:r>
      <w:r w:rsidR="0016799B">
        <w:rPr>
          <w:rFonts w:cs="Arial"/>
          <w:bCs/>
        </w:rPr>
        <w:t xml:space="preserve"> be modelled </w:t>
      </w:r>
      <w:r w:rsidR="00E97279">
        <w:rPr>
          <w:rFonts w:cs="Arial"/>
          <w:bCs/>
        </w:rPr>
        <w:t xml:space="preserve"> for the current financial year and that in turn the LA agree to </w:t>
      </w:r>
      <w:r w:rsidR="005A430D">
        <w:rPr>
          <w:rFonts w:cs="Arial"/>
          <w:bCs/>
        </w:rPr>
        <w:t>bring forward detailed reporting on the use of funding bi-annually</w:t>
      </w:r>
      <w:r w:rsidR="001B36FF">
        <w:rPr>
          <w:rFonts w:cs="Arial"/>
          <w:bCs/>
        </w:rPr>
        <w:t xml:space="preserve">. As the </w:t>
      </w:r>
      <w:r w:rsidR="001D5C12">
        <w:rPr>
          <w:rFonts w:cs="Arial"/>
          <w:bCs/>
        </w:rPr>
        <w:t xml:space="preserve">contribution to these services supports staff costs any reduction in contribution would </w:t>
      </w:r>
      <w:r w:rsidR="00E9128B">
        <w:rPr>
          <w:rFonts w:cs="Arial"/>
          <w:bCs/>
        </w:rPr>
        <w:t>need significant planning time.</w:t>
      </w:r>
      <w:r w:rsidR="007E3ECB">
        <w:rPr>
          <w:rFonts w:cs="Arial"/>
          <w:bCs/>
        </w:rPr>
        <w:t xml:space="preserve"> The proposal is to </w:t>
      </w:r>
      <w:r w:rsidR="00AE482B">
        <w:rPr>
          <w:rFonts w:cs="Arial"/>
          <w:bCs/>
        </w:rPr>
        <w:t>increase the rate on the same basis as the increase in the schools block so representing no real increase to schools.</w:t>
      </w:r>
    </w:p>
    <w:p w14:paraId="1C4FA633" w14:textId="77777777" w:rsidR="00744FB5" w:rsidRPr="00556BC3" w:rsidRDefault="00744FB5" w:rsidP="00C26414">
      <w:pPr>
        <w:pStyle w:val="ListParagraph"/>
        <w:keepNext/>
        <w:ind w:left="360"/>
        <w:rPr>
          <w:rFonts w:cs="Arial"/>
          <w:b/>
        </w:rPr>
      </w:pPr>
    </w:p>
    <w:p w14:paraId="58B95E06" w14:textId="77777777" w:rsidR="00C26414" w:rsidRPr="00556BC3" w:rsidRDefault="00C26414" w:rsidP="00C26414">
      <w:pPr>
        <w:pStyle w:val="ListParagraph"/>
        <w:keepNext/>
        <w:numPr>
          <w:ilvl w:val="1"/>
          <w:numId w:val="7"/>
        </w:numPr>
        <w:rPr>
          <w:rFonts w:cs="Arial"/>
          <w:b/>
        </w:rPr>
      </w:pPr>
      <w:r w:rsidRPr="00556BC3">
        <w:rPr>
          <w:rFonts w:cs="Arial"/>
          <w:b/>
        </w:rPr>
        <w:t>De-Delegation of Delegated Services.</w:t>
      </w:r>
    </w:p>
    <w:p w14:paraId="55526D0A" w14:textId="77777777" w:rsidR="009759E5" w:rsidRDefault="009759E5" w:rsidP="008C223D">
      <w:pPr>
        <w:pStyle w:val="ListParagraph"/>
        <w:keepNext/>
        <w:ind w:left="360" w:firstLine="360"/>
        <w:rPr>
          <w:rFonts w:cs="Arial"/>
          <w:b/>
        </w:rPr>
      </w:pPr>
    </w:p>
    <w:p w14:paraId="562E0DD2" w14:textId="2872F4CC" w:rsidR="00C26414" w:rsidRDefault="00B20B09" w:rsidP="008C223D">
      <w:pPr>
        <w:pStyle w:val="ListParagraph"/>
        <w:keepNext/>
        <w:ind w:left="360" w:firstLine="360"/>
        <w:rPr>
          <w:rFonts w:cs="Arial"/>
          <w:b/>
        </w:rPr>
      </w:pPr>
      <w:bookmarkStart w:id="1" w:name="_Hlk51158506"/>
      <w:r w:rsidRPr="00556BC3">
        <w:rPr>
          <w:rFonts w:cs="Arial"/>
          <w:b/>
        </w:rPr>
        <w:t xml:space="preserve">Table </w:t>
      </w:r>
      <w:r w:rsidR="009840D0">
        <w:rPr>
          <w:rFonts w:cs="Arial"/>
          <w:b/>
        </w:rPr>
        <w:t>1</w:t>
      </w:r>
      <w:r w:rsidR="00C26414" w:rsidRPr="00556BC3">
        <w:rPr>
          <w:rFonts w:cs="Arial"/>
          <w:b/>
        </w:rPr>
        <w:t>:  Agreed De-Delegation 20</w:t>
      </w:r>
      <w:r w:rsidR="00F54DAC">
        <w:rPr>
          <w:rFonts w:cs="Arial"/>
          <w:b/>
        </w:rPr>
        <w:t>20</w:t>
      </w:r>
      <w:r w:rsidR="00C26414" w:rsidRPr="00556BC3">
        <w:rPr>
          <w:rFonts w:cs="Arial"/>
          <w:b/>
        </w:rPr>
        <w:t>-2</w:t>
      </w:r>
      <w:r w:rsidR="00F54DAC">
        <w:rPr>
          <w:rFonts w:cs="Arial"/>
          <w:b/>
        </w:rPr>
        <w:t>1</w:t>
      </w:r>
      <w:r w:rsidR="00C26414" w:rsidRPr="00556BC3">
        <w:rPr>
          <w:rFonts w:cs="Arial"/>
          <w:b/>
        </w:rPr>
        <w:t>.</w:t>
      </w:r>
    </w:p>
    <w:bookmarkEnd w:id="1"/>
    <w:p w14:paraId="3FD50E6D" w14:textId="77777777" w:rsidR="00695283" w:rsidRPr="008F4D73" w:rsidRDefault="00695283" w:rsidP="008F4D73">
      <w:pPr>
        <w:keepNext/>
        <w:rPr>
          <w:rFonts w:cs="Arial"/>
          <w:b/>
        </w:rPr>
      </w:pPr>
    </w:p>
    <w:tbl>
      <w:tblPr>
        <w:tblStyle w:val="TableGrid"/>
        <w:tblW w:w="8602" w:type="dxa"/>
        <w:tblLook w:val="04A0" w:firstRow="1" w:lastRow="0" w:firstColumn="1" w:lastColumn="0" w:noHBand="0" w:noVBand="1"/>
      </w:tblPr>
      <w:tblGrid>
        <w:gridCol w:w="3343"/>
        <w:gridCol w:w="1003"/>
        <w:gridCol w:w="1007"/>
        <w:gridCol w:w="1130"/>
        <w:gridCol w:w="989"/>
        <w:gridCol w:w="1130"/>
      </w:tblGrid>
      <w:tr w:rsidR="00695283" w14:paraId="1BABD61A" w14:textId="77777777" w:rsidTr="00801453">
        <w:tc>
          <w:tcPr>
            <w:tcW w:w="3357" w:type="dxa"/>
            <w:hideMark/>
          </w:tcPr>
          <w:p w14:paraId="6B973CF8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bookmarkStart w:id="2" w:name="_Hlk51158481"/>
            <w:r w:rsidRPr="00695283">
              <w:rPr>
                <w:rFonts w:cs="Arial"/>
                <w:b/>
                <w:bCs/>
              </w:rPr>
              <w:t>Component</w:t>
            </w:r>
          </w:p>
        </w:tc>
        <w:tc>
          <w:tcPr>
            <w:tcW w:w="978" w:type="dxa"/>
            <w:hideMark/>
          </w:tcPr>
          <w:p w14:paraId="240AD9FA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 xml:space="preserve">£/Pupil </w:t>
            </w: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1007" w:type="dxa"/>
            <w:hideMark/>
          </w:tcPr>
          <w:p w14:paraId="4F59043E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£/Pupil Sec</w:t>
            </w:r>
          </w:p>
        </w:tc>
        <w:tc>
          <w:tcPr>
            <w:tcW w:w="1134" w:type="dxa"/>
            <w:hideMark/>
          </w:tcPr>
          <w:p w14:paraId="25048FBF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992" w:type="dxa"/>
            <w:hideMark/>
          </w:tcPr>
          <w:p w14:paraId="3B0B6855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Sec</w:t>
            </w:r>
          </w:p>
        </w:tc>
        <w:tc>
          <w:tcPr>
            <w:tcW w:w="1134" w:type="dxa"/>
            <w:hideMark/>
          </w:tcPr>
          <w:p w14:paraId="3FAE4578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</w:tr>
      <w:tr w:rsidR="00695283" w14:paraId="2C937E2B" w14:textId="77777777" w:rsidTr="00801453">
        <w:tc>
          <w:tcPr>
            <w:tcW w:w="3357" w:type="dxa"/>
            <w:hideMark/>
          </w:tcPr>
          <w:p w14:paraId="2A415E31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a</w:t>
            </w:r>
          </w:p>
        </w:tc>
        <w:tc>
          <w:tcPr>
            <w:tcW w:w="978" w:type="dxa"/>
            <w:hideMark/>
          </w:tcPr>
          <w:p w14:paraId="28C740DD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b</w:t>
            </w:r>
          </w:p>
        </w:tc>
        <w:tc>
          <w:tcPr>
            <w:tcW w:w="1007" w:type="dxa"/>
            <w:hideMark/>
          </w:tcPr>
          <w:p w14:paraId="7F102790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c</w:t>
            </w:r>
          </w:p>
        </w:tc>
        <w:tc>
          <w:tcPr>
            <w:tcW w:w="1134" w:type="dxa"/>
            <w:hideMark/>
          </w:tcPr>
          <w:p w14:paraId="29CAB1E1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d</w:t>
            </w:r>
          </w:p>
        </w:tc>
        <w:tc>
          <w:tcPr>
            <w:tcW w:w="992" w:type="dxa"/>
            <w:hideMark/>
          </w:tcPr>
          <w:p w14:paraId="6016D43C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e</w:t>
            </w:r>
          </w:p>
        </w:tc>
        <w:tc>
          <w:tcPr>
            <w:tcW w:w="1134" w:type="dxa"/>
            <w:hideMark/>
          </w:tcPr>
          <w:p w14:paraId="66D8F748" w14:textId="77777777" w:rsidR="00695283" w:rsidRPr="00695283" w:rsidRDefault="00695283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f</w:t>
            </w:r>
          </w:p>
        </w:tc>
      </w:tr>
      <w:tr w:rsidR="00695283" w14:paraId="3A97133A" w14:textId="77777777" w:rsidTr="00801453">
        <w:tc>
          <w:tcPr>
            <w:tcW w:w="3357" w:type="dxa"/>
            <w:hideMark/>
          </w:tcPr>
          <w:p w14:paraId="315BF883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Pupil Numbers – October 2019</w:t>
            </w:r>
          </w:p>
        </w:tc>
        <w:tc>
          <w:tcPr>
            <w:tcW w:w="978" w:type="dxa"/>
          </w:tcPr>
          <w:p w14:paraId="3059789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7374A2EE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5C9B6F62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19,380</w:t>
            </w:r>
          </w:p>
        </w:tc>
        <w:tc>
          <w:tcPr>
            <w:tcW w:w="992" w:type="dxa"/>
            <w:hideMark/>
          </w:tcPr>
          <w:p w14:paraId="520CE43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9,586</w:t>
            </w:r>
          </w:p>
        </w:tc>
        <w:tc>
          <w:tcPr>
            <w:tcW w:w="1134" w:type="dxa"/>
            <w:hideMark/>
          </w:tcPr>
          <w:p w14:paraId="539C9F46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28,966</w:t>
            </w:r>
          </w:p>
        </w:tc>
      </w:tr>
      <w:tr w:rsidR="00695283" w14:paraId="692F214B" w14:textId="77777777" w:rsidTr="00801453">
        <w:tc>
          <w:tcPr>
            <w:tcW w:w="3357" w:type="dxa"/>
          </w:tcPr>
          <w:p w14:paraId="50C966E5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</w:p>
        </w:tc>
        <w:tc>
          <w:tcPr>
            <w:tcW w:w="978" w:type="dxa"/>
          </w:tcPr>
          <w:p w14:paraId="597D3C5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348033E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35536F5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992" w:type="dxa"/>
            <w:hideMark/>
          </w:tcPr>
          <w:p w14:paraId="5CE361AD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1134" w:type="dxa"/>
            <w:hideMark/>
          </w:tcPr>
          <w:p w14:paraId="1A271A7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</w:tr>
      <w:tr w:rsidR="00695283" w14:paraId="523178A7" w14:textId="77777777" w:rsidTr="00801453">
        <w:tc>
          <w:tcPr>
            <w:tcW w:w="3357" w:type="dxa"/>
            <w:hideMark/>
          </w:tcPr>
          <w:p w14:paraId="501D20D3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Contingencies (not growth).</w:t>
            </w:r>
          </w:p>
        </w:tc>
        <w:tc>
          <w:tcPr>
            <w:tcW w:w="978" w:type="dxa"/>
            <w:hideMark/>
          </w:tcPr>
          <w:p w14:paraId="08810BA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15.20</w:t>
            </w:r>
          </w:p>
        </w:tc>
        <w:tc>
          <w:tcPr>
            <w:tcW w:w="1007" w:type="dxa"/>
            <w:hideMark/>
          </w:tcPr>
          <w:p w14:paraId="59A9E18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15.20</w:t>
            </w:r>
          </w:p>
        </w:tc>
        <w:tc>
          <w:tcPr>
            <w:tcW w:w="1134" w:type="dxa"/>
            <w:hideMark/>
          </w:tcPr>
          <w:p w14:paraId="653F1280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294.6</w:t>
            </w:r>
          </w:p>
        </w:tc>
        <w:tc>
          <w:tcPr>
            <w:tcW w:w="992" w:type="dxa"/>
            <w:hideMark/>
          </w:tcPr>
          <w:p w14:paraId="3FB5936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145.7</w:t>
            </w:r>
          </w:p>
        </w:tc>
        <w:tc>
          <w:tcPr>
            <w:tcW w:w="1134" w:type="dxa"/>
            <w:hideMark/>
          </w:tcPr>
          <w:p w14:paraId="33E4237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440.3</w:t>
            </w:r>
          </w:p>
        </w:tc>
      </w:tr>
      <w:tr w:rsidR="00695283" w14:paraId="78ACB6D0" w14:textId="77777777" w:rsidTr="00801453">
        <w:tc>
          <w:tcPr>
            <w:tcW w:w="3357" w:type="dxa"/>
            <w:hideMark/>
          </w:tcPr>
          <w:p w14:paraId="4EEE7223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Free school meal eligibility</w:t>
            </w:r>
          </w:p>
        </w:tc>
        <w:tc>
          <w:tcPr>
            <w:tcW w:w="978" w:type="dxa"/>
            <w:hideMark/>
          </w:tcPr>
          <w:p w14:paraId="2C9D8FE5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3.93</w:t>
            </w:r>
          </w:p>
        </w:tc>
        <w:tc>
          <w:tcPr>
            <w:tcW w:w="1007" w:type="dxa"/>
            <w:hideMark/>
          </w:tcPr>
          <w:p w14:paraId="33A5FC3D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3.93</w:t>
            </w:r>
          </w:p>
        </w:tc>
        <w:tc>
          <w:tcPr>
            <w:tcW w:w="1134" w:type="dxa"/>
            <w:hideMark/>
          </w:tcPr>
          <w:p w14:paraId="01CA84E8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76.2</w:t>
            </w:r>
          </w:p>
        </w:tc>
        <w:tc>
          <w:tcPr>
            <w:tcW w:w="992" w:type="dxa"/>
            <w:hideMark/>
          </w:tcPr>
          <w:p w14:paraId="51597C77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37.7</w:t>
            </w:r>
          </w:p>
        </w:tc>
        <w:tc>
          <w:tcPr>
            <w:tcW w:w="1134" w:type="dxa"/>
            <w:hideMark/>
          </w:tcPr>
          <w:p w14:paraId="7108C64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113.9</w:t>
            </w:r>
          </w:p>
        </w:tc>
      </w:tr>
      <w:tr w:rsidR="00695283" w14:paraId="2757A2E0" w14:textId="77777777" w:rsidTr="00801453">
        <w:tc>
          <w:tcPr>
            <w:tcW w:w="3357" w:type="dxa"/>
            <w:hideMark/>
          </w:tcPr>
          <w:p w14:paraId="14EE3BFB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Licences/subscriptions</w:t>
            </w:r>
          </w:p>
        </w:tc>
        <w:tc>
          <w:tcPr>
            <w:tcW w:w="978" w:type="dxa"/>
          </w:tcPr>
          <w:p w14:paraId="127FCDC0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4C04EFC1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746E9102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0BDE805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207AF00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</w:tr>
      <w:tr w:rsidR="00695283" w14:paraId="1ACCDF45" w14:textId="77777777" w:rsidTr="00801453">
        <w:tc>
          <w:tcPr>
            <w:tcW w:w="3357" w:type="dxa"/>
            <w:hideMark/>
          </w:tcPr>
          <w:p w14:paraId="68102CC9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  <w:vertAlign w:val="superscript"/>
              </w:rPr>
            </w:pPr>
            <w:r w:rsidRPr="00695283">
              <w:rPr>
                <w:rFonts w:cs="Arial"/>
              </w:rPr>
              <w:t>Trade Union Facilities</w:t>
            </w:r>
          </w:p>
        </w:tc>
        <w:tc>
          <w:tcPr>
            <w:tcW w:w="978" w:type="dxa"/>
            <w:hideMark/>
          </w:tcPr>
          <w:p w14:paraId="4F930AD0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5.00</w:t>
            </w:r>
          </w:p>
        </w:tc>
        <w:tc>
          <w:tcPr>
            <w:tcW w:w="1007" w:type="dxa"/>
            <w:hideMark/>
          </w:tcPr>
          <w:p w14:paraId="5712A7B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5.00</w:t>
            </w:r>
          </w:p>
        </w:tc>
        <w:tc>
          <w:tcPr>
            <w:tcW w:w="1134" w:type="dxa"/>
            <w:hideMark/>
          </w:tcPr>
          <w:p w14:paraId="01B86B9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96.9</w:t>
            </w:r>
          </w:p>
        </w:tc>
        <w:tc>
          <w:tcPr>
            <w:tcW w:w="992" w:type="dxa"/>
            <w:hideMark/>
          </w:tcPr>
          <w:p w14:paraId="1B03AF4F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47.9</w:t>
            </w:r>
          </w:p>
        </w:tc>
        <w:tc>
          <w:tcPr>
            <w:tcW w:w="1134" w:type="dxa"/>
            <w:hideMark/>
          </w:tcPr>
          <w:p w14:paraId="7769396C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144.8</w:t>
            </w:r>
          </w:p>
        </w:tc>
      </w:tr>
      <w:tr w:rsidR="00695283" w14:paraId="17F0C28D" w14:textId="77777777" w:rsidTr="00801453">
        <w:tc>
          <w:tcPr>
            <w:tcW w:w="3357" w:type="dxa"/>
            <w:hideMark/>
          </w:tcPr>
          <w:p w14:paraId="409E176F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Behaviour Support /anti-bullying.</w:t>
            </w:r>
          </w:p>
        </w:tc>
        <w:tc>
          <w:tcPr>
            <w:tcW w:w="978" w:type="dxa"/>
            <w:hideMark/>
          </w:tcPr>
          <w:p w14:paraId="0BF5CE1A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4.21</w:t>
            </w:r>
          </w:p>
        </w:tc>
        <w:tc>
          <w:tcPr>
            <w:tcW w:w="1007" w:type="dxa"/>
          </w:tcPr>
          <w:p w14:paraId="6FF06793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7.24</w:t>
            </w:r>
          </w:p>
          <w:p w14:paraId="74C2721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629F56E2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81.6</w:t>
            </w:r>
          </w:p>
        </w:tc>
        <w:tc>
          <w:tcPr>
            <w:tcW w:w="992" w:type="dxa"/>
            <w:hideMark/>
          </w:tcPr>
          <w:p w14:paraId="15D5126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69.4</w:t>
            </w:r>
          </w:p>
        </w:tc>
        <w:tc>
          <w:tcPr>
            <w:tcW w:w="1134" w:type="dxa"/>
            <w:hideMark/>
          </w:tcPr>
          <w:p w14:paraId="2A303F15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151.0</w:t>
            </w:r>
          </w:p>
        </w:tc>
      </w:tr>
      <w:tr w:rsidR="00695283" w14:paraId="32800802" w14:textId="77777777" w:rsidTr="00801453">
        <w:tc>
          <w:tcPr>
            <w:tcW w:w="3357" w:type="dxa"/>
            <w:hideMark/>
          </w:tcPr>
          <w:p w14:paraId="0A645E5D" w14:textId="77777777" w:rsidR="00695283" w:rsidRPr="00695283" w:rsidRDefault="00695283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78" w:type="dxa"/>
            <w:hideMark/>
          </w:tcPr>
          <w:p w14:paraId="4784BFAC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28.34</w:t>
            </w:r>
          </w:p>
        </w:tc>
        <w:tc>
          <w:tcPr>
            <w:tcW w:w="1007" w:type="dxa"/>
            <w:hideMark/>
          </w:tcPr>
          <w:p w14:paraId="4AB9F191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31.37</w:t>
            </w:r>
          </w:p>
        </w:tc>
        <w:tc>
          <w:tcPr>
            <w:tcW w:w="1134" w:type="dxa"/>
            <w:hideMark/>
          </w:tcPr>
          <w:p w14:paraId="5A751779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549.</w:t>
            </w:r>
            <w:r w:rsidR="00312926">
              <w:rPr>
                <w:rFonts w:cs="Arial"/>
              </w:rPr>
              <w:t>3</w:t>
            </w:r>
          </w:p>
        </w:tc>
        <w:tc>
          <w:tcPr>
            <w:tcW w:w="992" w:type="dxa"/>
            <w:hideMark/>
          </w:tcPr>
          <w:p w14:paraId="591267F4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300.7</w:t>
            </w:r>
          </w:p>
        </w:tc>
        <w:tc>
          <w:tcPr>
            <w:tcW w:w="1134" w:type="dxa"/>
            <w:hideMark/>
          </w:tcPr>
          <w:p w14:paraId="322AE42B" w14:textId="77777777" w:rsidR="00695283" w:rsidRPr="00695283" w:rsidRDefault="00695283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850.0</w:t>
            </w:r>
          </w:p>
        </w:tc>
      </w:tr>
      <w:bookmarkEnd w:id="2"/>
    </w:tbl>
    <w:p w14:paraId="74C00C04" w14:textId="77777777" w:rsidR="00C26414" w:rsidRPr="00695283" w:rsidRDefault="00C26414" w:rsidP="00695283">
      <w:pPr>
        <w:keepNext/>
        <w:rPr>
          <w:rFonts w:cs="Arial"/>
          <w:b/>
        </w:rPr>
      </w:pPr>
    </w:p>
    <w:p w14:paraId="0699E6C0" w14:textId="77777777" w:rsidR="00C26414" w:rsidRPr="008C223D" w:rsidRDefault="00C26414" w:rsidP="008C223D">
      <w:pPr>
        <w:rPr>
          <w:rFonts w:cs="Arial"/>
        </w:rPr>
      </w:pPr>
    </w:p>
    <w:p w14:paraId="0EC1BE5E" w14:textId="6FE63D50" w:rsidR="009840D0" w:rsidRPr="007E3ECB" w:rsidRDefault="008C1811" w:rsidP="00AE482B">
      <w:pPr>
        <w:pStyle w:val="ListParagraph"/>
        <w:keepNext/>
        <w:rPr>
          <w:rFonts w:cs="Arial"/>
        </w:rPr>
      </w:pPr>
      <w:r w:rsidRPr="007E3ECB">
        <w:rPr>
          <w:rFonts w:cs="Arial"/>
          <w:b/>
        </w:rPr>
        <w:t xml:space="preserve">Table </w:t>
      </w:r>
      <w:r w:rsidR="007E3ECB" w:rsidRPr="007E3ECB">
        <w:rPr>
          <w:rFonts w:cs="Arial"/>
          <w:b/>
        </w:rPr>
        <w:t>2</w:t>
      </w:r>
      <w:r w:rsidRPr="007E3ECB">
        <w:rPr>
          <w:rFonts w:cs="Arial"/>
          <w:b/>
        </w:rPr>
        <w:t xml:space="preserve">:  Proposed </w:t>
      </w:r>
      <w:r w:rsidR="0008027B" w:rsidRPr="007E3ECB">
        <w:rPr>
          <w:rFonts w:cs="Arial"/>
          <w:b/>
        </w:rPr>
        <w:t xml:space="preserve">Indicative </w:t>
      </w:r>
      <w:r w:rsidRPr="007E3ECB">
        <w:rPr>
          <w:rFonts w:cs="Arial"/>
          <w:b/>
        </w:rPr>
        <w:t>De-Delegation 2021-22.</w:t>
      </w:r>
    </w:p>
    <w:p w14:paraId="16532511" w14:textId="77777777" w:rsidR="009840D0" w:rsidRPr="009840D0" w:rsidRDefault="009840D0" w:rsidP="00AE482B">
      <w:pPr>
        <w:pStyle w:val="ListParagraph"/>
        <w:keepNext/>
        <w:rPr>
          <w:rFonts w:cs="Arial"/>
        </w:rPr>
      </w:pPr>
    </w:p>
    <w:tbl>
      <w:tblPr>
        <w:tblStyle w:val="TableGrid"/>
        <w:tblW w:w="8602" w:type="dxa"/>
        <w:tblLook w:val="04A0" w:firstRow="1" w:lastRow="0" w:firstColumn="1" w:lastColumn="0" w:noHBand="0" w:noVBand="1"/>
      </w:tblPr>
      <w:tblGrid>
        <w:gridCol w:w="3343"/>
        <w:gridCol w:w="1003"/>
        <w:gridCol w:w="1007"/>
        <w:gridCol w:w="1130"/>
        <w:gridCol w:w="989"/>
        <w:gridCol w:w="1130"/>
      </w:tblGrid>
      <w:tr w:rsidR="008C1811" w:rsidRPr="00695283" w14:paraId="5030567F" w14:textId="77777777" w:rsidTr="00801453">
        <w:tc>
          <w:tcPr>
            <w:tcW w:w="3357" w:type="dxa"/>
            <w:hideMark/>
          </w:tcPr>
          <w:p w14:paraId="62FDBF27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Compon</w:t>
            </w:r>
            <w:r>
              <w:rPr>
                <w:rFonts w:cs="Arial"/>
                <w:b/>
                <w:bCs/>
              </w:rPr>
              <w:t>ent</w:t>
            </w:r>
          </w:p>
        </w:tc>
        <w:tc>
          <w:tcPr>
            <w:tcW w:w="978" w:type="dxa"/>
            <w:hideMark/>
          </w:tcPr>
          <w:p w14:paraId="3B9B26E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 xml:space="preserve">£/Pupil </w:t>
            </w: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1007" w:type="dxa"/>
            <w:hideMark/>
          </w:tcPr>
          <w:p w14:paraId="4A30C07D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£/Pupil Sec</w:t>
            </w:r>
          </w:p>
        </w:tc>
        <w:tc>
          <w:tcPr>
            <w:tcW w:w="1134" w:type="dxa"/>
            <w:hideMark/>
          </w:tcPr>
          <w:p w14:paraId="4B556150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proofErr w:type="spellStart"/>
            <w:r w:rsidRPr="00695283">
              <w:rPr>
                <w:rFonts w:cs="Arial"/>
                <w:b/>
                <w:bCs/>
              </w:rPr>
              <w:t>Pri</w:t>
            </w:r>
            <w:proofErr w:type="spellEnd"/>
          </w:p>
        </w:tc>
        <w:tc>
          <w:tcPr>
            <w:tcW w:w="992" w:type="dxa"/>
            <w:hideMark/>
          </w:tcPr>
          <w:p w14:paraId="2583151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Sec</w:t>
            </w:r>
          </w:p>
        </w:tc>
        <w:tc>
          <w:tcPr>
            <w:tcW w:w="1134" w:type="dxa"/>
            <w:hideMark/>
          </w:tcPr>
          <w:p w14:paraId="30CD548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</w:tr>
      <w:tr w:rsidR="008C1811" w:rsidRPr="00695283" w14:paraId="4E785C39" w14:textId="77777777" w:rsidTr="00801453">
        <w:tc>
          <w:tcPr>
            <w:tcW w:w="3357" w:type="dxa"/>
            <w:hideMark/>
          </w:tcPr>
          <w:p w14:paraId="69731A5B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a</w:t>
            </w:r>
          </w:p>
        </w:tc>
        <w:tc>
          <w:tcPr>
            <w:tcW w:w="978" w:type="dxa"/>
            <w:hideMark/>
          </w:tcPr>
          <w:p w14:paraId="7FC6F530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b</w:t>
            </w:r>
          </w:p>
        </w:tc>
        <w:tc>
          <w:tcPr>
            <w:tcW w:w="1007" w:type="dxa"/>
            <w:hideMark/>
          </w:tcPr>
          <w:p w14:paraId="0EB9345E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c</w:t>
            </w:r>
          </w:p>
        </w:tc>
        <w:tc>
          <w:tcPr>
            <w:tcW w:w="1134" w:type="dxa"/>
            <w:hideMark/>
          </w:tcPr>
          <w:p w14:paraId="721AAC6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d</w:t>
            </w:r>
          </w:p>
        </w:tc>
        <w:tc>
          <w:tcPr>
            <w:tcW w:w="992" w:type="dxa"/>
            <w:hideMark/>
          </w:tcPr>
          <w:p w14:paraId="0455A6D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e</w:t>
            </w:r>
          </w:p>
        </w:tc>
        <w:tc>
          <w:tcPr>
            <w:tcW w:w="1134" w:type="dxa"/>
            <w:hideMark/>
          </w:tcPr>
          <w:p w14:paraId="64EF616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center"/>
              <w:rPr>
                <w:rFonts w:cs="Arial"/>
              </w:rPr>
            </w:pPr>
            <w:r w:rsidRPr="00695283">
              <w:rPr>
                <w:rFonts w:cs="Arial"/>
              </w:rPr>
              <w:t>f</w:t>
            </w:r>
          </w:p>
        </w:tc>
      </w:tr>
      <w:tr w:rsidR="008C1811" w:rsidRPr="00695283" w14:paraId="30E79CF6" w14:textId="77777777" w:rsidTr="00801453">
        <w:tc>
          <w:tcPr>
            <w:tcW w:w="3357" w:type="dxa"/>
            <w:hideMark/>
          </w:tcPr>
          <w:p w14:paraId="7A76CC3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Pupil Numbers – October 2019</w:t>
            </w:r>
          </w:p>
        </w:tc>
        <w:tc>
          <w:tcPr>
            <w:tcW w:w="978" w:type="dxa"/>
          </w:tcPr>
          <w:p w14:paraId="3A84A40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0D95A924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41868293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19,380</w:t>
            </w:r>
          </w:p>
        </w:tc>
        <w:tc>
          <w:tcPr>
            <w:tcW w:w="992" w:type="dxa"/>
            <w:hideMark/>
          </w:tcPr>
          <w:p w14:paraId="604C1997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9,586</w:t>
            </w:r>
          </w:p>
        </w:tc>
        <w:tc>
          <w:tcPr>
            <w:tcW w:w="1134" w:type="dxa"/>
            <w:hideMark/>
          </w:tcPr>
          <w:p w14:paraId="627EAE0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28,966</w:t>
            </w:r>
          </w:p>
        </w:tc>
      </w:tr>
      <w:tr w:rsidR="008C1811" w:rsidRPr="00695283" w14:paraId="25014962" w14:textId="77777777" w:rsidTr="00801453">
        <w:tc>
          <w:tcPr>
            <w:tcW w:w="3357" w:type="dxa"/>
          </w:tcPr>
          <w:p w14:paraId="407D4F5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</w:p>
        </w:tc>
        <w:tc>
          <w:tcPr>
            <w:tcW w:w="978" w:type="dxa"/>
          </w:tcPr>
          <w:p w14:paraId="2259FC33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712CF57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64D18DE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992" w:type="dxa"/>
            <w:hideMark/>
          </w:tcPr>
          <w:p w14:paraId="563DAF4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  <w:tc>
          <w:tcPr>
            <w:tcW w:w="1134" w:type="dxa"/>
            <w:hideMark/>
          </w:tcPr>
          <w:p w14:paraId="177956BD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£000</w:t>
            </w:r>
          </w:p>
        </w:tc>
      </w:tr>
      <w:tr w:rsidR="008C1811" w:rsidRPr="00695283" w14:paraId="00737A4E" w14:textId="77777777" w:rsidTr="00801453">
        <w:tc>
          <w:tcPr>
            <w:tcW w:w="3357" w:type="dxa"/>
            <w:hideMark/>
          </w:tcPr>
          <w:p w14:paraId="3D68FB5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Contingencies (not growth).</w:t>
            </w:r>
          </w:p>
        </w:tc>
        <w:tc>
          <w:tcPr>
            <w:tcW w:w="978" w:type="dxa"/>
            <w:hideMark/>
          </w:tcPr>
          <w:p w14:paraId="7F7ED7B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</w:t>
            </w:r>
            <w:r>
              <w:rPr>
                <w:rFonts w:cs="Arial"/>
              </w:rPr>
              <w:t>50</w:t>
            </w:r>
          </w:p>
        </w:tc>
        <w:tc>
          <w:tcPr>
            <w:tcW w:w="1007" w:type="dxa"/>
            <w:hideMark/>
          </w:tcPr>
          <w:p w14:paraId="4025D67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15.</w:t>
            </w:r>
            <w:r>
              <w:rPr>
                <w:rFonts w:cs="Arial"/>
              </w:rPr>
              <w:t>50</w:t>
            </w:r>
          </w:p>
        </w:tc>
        <w:tc>
          <w:tcPr>
            <w:tcW w:w="1134" w:type="dxa"/>
            <w:hideMark/>
          </w:tcPr>
          <w:p w14:paraId="06A1E841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</w:tc>
        <w:tc>
          <w:tcPr>
            <w:tcW w:w="992" w:type="dxa"/>
            <w:hideMark/>
          </w:tcPr>
          <w:p w14:paraId="0C57C89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hideMark/>
          </w:tcPr>
          <w:p w14:paraId="1EB77E42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44</w:t>
            </w:r>
            <w:r>
              <w:rPr>
                <w:rFonts w:cs="Arial"/>
              </w:rPr>
              <w:t>9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</w:p>
        </w:tc>
      </w:tr>
      <w:tr w:rsidR="008C1811" w:rsidRPr="00695283" w14:paraId="23F16AC6" w14:textId="77777777" w:rsidTr="00801453">
        <w:tc>
          <w:tcPr>
            <w:tcW w:w="3357" w:type="dxa"/>
            <w:hideMark/>
          </w:tcPr>
          <w:p w14:paraId="6927AB0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Free school meal eligibility</w:t>
            </w:r>
          </w:p>
        </w:tc>
        <w:tc>
          <w:tcPr>
            <w:tcW w:w="978" w:type="dxa"/>
            <w:hideMark/>
          </w:tcPr>
          <w:p w14:paraId="31D8D0D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4.00</w:t>
            </w:r>
          </w:p>
        </w:tc>
        <w:tc>
          <w:tcPr>
            <w:tcW w:w="1007" w:type="dxa"/>
            <w:hideMark/>
          </w:tcPr>
          <w:p w14:paraId="65D15865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4.00</w:t>
            </w:r>
          </w:p>
        </w:tc>
        <w:tc>
          <w:tcPr>
            <w:tcW w:w="1134" w:type="dxa"/>
            <w:hideMark/>
          </w:tcPr>
          <w:p w14:paraId="2B38F7AE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</w:t>
            </w:r>
            <w:r>
              <w:rPr>
                <w:rFonts w:cs="Arial"/>
              </w:rPr>
              <w:t>7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  <w:tc>
          <w:tcPr>
            <w:tcW w:w="992" w:type="dxa"/>
            <w:hideMark/>
          </w:tcPr>
          <w:p w14:paraId="438291A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</w:tc>
        <w:tc>
          <w:tcPr>
            <w:tcW w:w="1134" w:type="dxa"/>
            <w:hideMark/>
          </w:tcPr>
          <w:p w14:paraId="031A5311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11</w:t>
            </w:r>
            <w:r>
              <w:rPr>
                <w:rFonts w:cs="Arial"/>
              </w:rPr>
              <w:t>5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</w:tr>
      <w:tr w:rsidR="008C1811" w:rsidRPr="00695283" w14:paraId="578C5C85" w14:textId="77777777" w:rsidTr="00801453">
        <w:tc>
          <w:tcPr>
            <w:tcW w:w="3357" w:type="dxa"/>
            <w:hideMark/>
          </w:tcPr>
          <w:p w14:paraId="7F99FF3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Licences/subscriptions</w:t>
            </w:r>
          </w:p>
        </w:tc>
        <w:tc>
          <w:tcPr>
            <w:tcW w:w="978" w:type="dxa"/>
          </w:tcPr>
          <w:p w14:paraId="51E147F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007" w:type="dxa"/>
          </w:tcPr>
          <w:p w14:paraId="4A936863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14186FA4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87F999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22349D89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</w:tr>
      <w:tr w:rsidR="008C1811" w:rsidRPr="00695283" w14:paraId="0B4D6AE8" w14:textId="77777777" w:rsidTr="00801453">
        <w:tc>
          <w:tcPr>
            <w:tcW w:w="3357" w:type="dxa"/>
            <w:hideMark/>
          </w:tcPr>
          <w:p w14:paraId="3EC64CA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  <w:vertAlign w:val="superscript"/>
              </w:rPr>
            </w:pPr>
            <w:r w:rsidRPr="00695283">
              <w:rPr>
                <w:rFonts w:cs="Arial"/>
              </w:rPr>
              <w:t>Trade Union Facilities</w:t>
            </w:r>
          </w:p>
        </w:tc>
        <w:tc>
          <w:tcPr>
            <w:tcW w:w="978" w:type="dxa"/>
            <w:hideMark/>
          </w:tcPr>
          <w:p w14:paraId="5877A9E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</w:t>
            </w:r>
            <w:r>
              <w:rPr>
                <w:rFonts w:cs="Arial"/>
              </w:rPr>
              <w:t>1</w:t>
            </w:r>
            <w:r w:rsidRPr="00695283">
              <w:rPr>
                <w:rFonts w:cs="Arial"/>
              </w:rPr>
              <w:t>0</w:t>
            </w:r>
          </w:p>
        </w:tc>
        <w:tc>
          <w:tcPr>
            <w:tcW w:w="1007" w:type="dxa"/>
            <w:hideMark/>
          </w:tcPr>
          <w:p w14:paraId="01BE4A8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5.</w:t>
            </w:r>
            <w:r>
              <w:rPr>
                <w:rFonts w:cs="Arial"/>
              </w:rPr>
              <w:t>1</w:t>
            </w:r>
            <w:r w:rsidRPr="00695283">
              <w:rPr>
                <w:rFonts w:cs="Arial"/>
              </w:rPr>
              <w:t>0</w:t>
            </w:r>
          </w:p>
        </w:tc>
        <w:tc>
          <w:tcPr>
            <w:tcW w:w="1134" w:type="dxa"/>
            <w:hideMark/>
          </w:tcPr>
          <w:p w14:paraId="7C3DF2A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9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  <w:tc>
          <w:tcPr>
            <w:tcW w:w="992" w:type="dxa"/>
            <w:hideMark/>
          </w:tcPr>
          <w:p w14:paraId="6F941504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</w:t>
            </w:r>
            <w:r>
              <w:rPr>
                <w:rFonts w:cs="Arial"/>
              </w:rPr>
              <w:t>8</w:t>
            </w:r>
            <w:r w:rsidRPr="00695283">
              <w:rPr>
                <w:rFonts w:cs="Arial"/>
              </w:rPr>
              <w:t>.9</w:t>
            </w:r>
          </w:p>
        </w:tc>
        <w:tc>
          <w:tcPr>
            <w:tcW w:w="1134" w:type="dxa"/>
            <w:hideMark/>
          </w:tcPr>
          <w:p w14:paraId="1EF72B8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14</w:t>
            </w:r>
            <w:r>
              <w:rPr>
                <w:rFonts w:cs="Arial"/>
              </w:rPr>
              <w:t>7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7</w:t>
            </w:r>
          </w:p>
        </w:tc>
      </w:tr>
      <w:tr w:rsidR="008C1811" w:rsidRPr="00695283" w14:paraId="4FCF4679" w14:textId="77777777" w:rsidTr="00801453">
        <w:tc>
          <w:tcPr>
            <w:tcW w:w="3357" w:type="dxa"/>
            <w:hideMark/>
          </w:tcPr>
          <w:p w14:paraId="340AF4BD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</w:rPr>
            </w:pPr>
            <w:r w:rsidRPr="00695283">
              <w:rPr>
                <w:rFonts w:cs="Arial"/>
              </w:rPr>
              <w:t>Behaviour Support /anti-bullying.</w:t>
            </w:r>
          </w:p>
        </w:tc>
        <w:tc>
          <w:tcPr>
            <w:tcW w:w="978" w:type="dxa"/>
            <w:hideMark/>
          </w:tcPr>
          <w:p w14:paraId="235BC1D1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4.2</w:t>
            </w:r>
            <w:r>
              <w:rPr>
                <w:rFonts w:cs="Arial"/>
              </w:rPr>
              <w:t>9</w:t>
            </w:r>
          </w:p>
        </w:tc>
        <w:tc>
          <w:tcPr>
            <w:tcW w:w="1007" w:type="dxa"/>
          </w:tcPr>
          <w:p w14:paraId="12272986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7.</w:t>
            </w:r>
            <w:r>
              <w:rPr>
                <w:rFonts w:cs="Arial"/>
              </w:rPr>
              <w:t>38</w:t>
            </w:r>
          </w:p>
          <w:p w14:paraId="0370AEC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</w:p>
        </w:tc>
        <w:tc>
          <w:tcPr>
            <w:tcW w:w="1134" w:type="dxa"/>
            <w:hideMark/>
          </w:tcPr>
          <w:p w14:paraId="14EEE65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</w:t>
            </w:r>
            <w:r>
              <w:rPr>
                <w:rFonts w:cs="Arial"/>
              </w:rPr>
              <w:t>3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</w:tc>
        <w:tc>
          <w:tcPr>
            <w:tcW w:w="992" w:type="dxa"/>
            <w:hideMark/>
          </w:tcPr>
          <w:p w14:paraId="2C0822E0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70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7</w:t>
            </w:r>
          </w:p>
        </w:tc>
        <w:tc>
          <w:tcPr>
            <w:tcW w:w="1134" w:type="dxa"/>
            <w:hideMark/>
          </w:tcPr>
          <w:p w14:paraId="4F2EC1D7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15</w:t>
            </w:r>
            <w:r>
              <w:rPr>
                <w:rFonts w:cs="Arial"/>
              </w:rPr>
              <w:t>3</w:t>
            </w:r>
            <w:r w:rsidRPr="00695283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</w:tr>
      <w:tr w:rsidR="008C1811" w:rsidRPr="00695283" w14:paraId="283E6F85" w14:textId="77777777" w:rsidTr="00801453">
        <w:tc>
          <w:tcPr>
            <w:tcW w:w="3357" w:type="dxa"/>
            <w:hideMark/>
          </w:tcPr>
          <w:p w14:paraId="5DCF62FA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rPr>
                <w:rFonts w:cs="Arial"/>
                <w:b/>
                <w:bCs/>
              </w:rPr>
            </w:pPr>
            <w:r w:rsidRPr="006952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78" w:type="dxa"/>
            <w:hideMark/>
          </w:tcPr>
          <w:p w14:paraId="7814F48C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28.</w:t>
            </w:r>
            <w:r w:rsidR="00AC63C4">
              <w:rPr>
                <w:rFonts w:cs="Arial"/>
              </w:rPr>
              <w:t>89</w:t>
            </w:r>
          </w:p>
        </w:tc>
        <w:tc>
          <w:tcPr>
            <w:tcW w:w="1007" w:type="dxa"/>
            <w:hideMark/>
          </w:tcPr>
          <w:p w14:paraId="56F695FF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31.</w:t>
            </w:r>
            <w:r w:rsidR="00AC63C4">
              <w:rPr>
                <w:rFonts w:cs="Arial"/>
              </w:rPr>
              <w:t>98</w:t>
            </w:r>
          </w:p>
        </w:tc>
        <w:tc>
          <w:tcPr>
            <w:tcW w:w="1134" w:type="dxa"/>
            <w:hideMark/>
          </w:tcPr>
          <w:p w14:paraId="4CE52A4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5</w:t>
            </w:r>
            <w:r w:rsidR="00871925">
              <w:rPr>
                <w:rFonts w:cs="Arial"/>
              </w:rPr>
              <w:t>5</w:t>
            </w:r>
            <w:r w:rsidRPr="00695283">
              <w:rPr>
                <w:rFonts w:cs="Arial"/>
              </w:rPr>
              <w:t>9.</w:t>
            </w:r>
            <w:r w:rsidR="00871925">
              <w:rPr>
                <w:rFonts w:cs="Arial"/>
              </w:rPr>
              <w:t>8</w:t>
            </w:r>
          </w:p>
        </w:tc>
        <w:tc>
          <w:tcPr>
            <w:tcW w:w="992" w:type="dxa"/>
            <w:hideMark/>
          </w:tcPr>
          <w:p w14:paraId="0E93F369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30</w:t>
            </w:r>
            <w:r w:rsidR="00871925">
              <w:rPr>
                <w:rFonts w:cs="Arial"/>
              </w:rPr>
              <w:t>6</w:t>
            </w:r>
            <w:r w:rsidRPr="00695283">
              <w:rPr>
                <w:rFonts w:cs="Arial"/>
              </w:rPr>
              <w:t>.</w:t>
            </w:r>
            <w:r w:rsidR="00871925">
              <w:rPr>
                <w:rFonts w:cs="Arial"/>
              </w:rPr>
              <w:t>5</w:t>
            </w:r>
          </w:p>
        </w:tc>
        <w:tc>
          <w:tcPr>
            <w:tcW w:w="1134" w:type="dxa"/>
            <w:hideMark/>
          </w:tcPr>
          <w:p w14:paraId="5CEDC228" w14:textId="77777777" w:rsidR="008C1811" w:rsidRPr="00695283" w:rsidRDefault="008C1811" w:rsidP="00F13C46">
            <w:pPr>
              <w:keepNext/>
              <w:spacing w:after="160" w:line="252" w:lineRule="auto"/>
              <w:contextualSpacing/>
              <w:jc w:val="right"/>
              <w:rPr>
                <w:rFonts w:cs="Arial"/>
              </w:rPr>
            </w:pPr>
            <w:r w:rsidRPr="00695283">
              <w:rPr>
                <w:rFonts w:cs="Arial"/>
              </w:rPr>
              <w:t>8</w:t>
            </w:r>
            <w:r w:rsidR="00871925">
              <w:rPr>
                <w:rFonts w:cs="Arial"/>
              </w:rPr>
              <w:t>66</w:t>
            </w:r>
            <w:r w:rsidRPr="00695283">
              <w:rPr>
                <w:rFonts w:cs="Arial"/>
              </w:rPr>
              <w:t>.</w:t>
            </w:r>
            <w:r w:rsidR="00871925">
              <w:rPr>
                <w:rFonts w:cs="Arial"/>
              </w:rPr>
              <w:t>3</w:t>
            </w:r>
          </w:p>
        </w:tc>
      </w:tr>
    </w:tbl>
    <w:p w14:paraId="7E4905DF" w14:textId="77777777" w:rsidR="008C1811" w:rsidRPr="00556BC3" w:rsidRDefault="008C1811" w:rsidP="008C1811">
      <w:pPr>
        <w:pStyle w:val="ListParagraph"/>
        <w:ind w:left="1418"/>
        <w:rPr>
          <w:rFonts w:cs="Arial"/>
        </w:rPr>
      </w:pPr>
    </w:p>
    <w:p w14:paraId="527343EE" w14:textId="77777777" w:rsidR="00C26414" w:rsidRPr="00695283" w:rsidRDefault="00C26414" w:rsidP="00695283">
      <w:pPr>
        <w:rPr>
          <w:rFonts w:cs="Arial"/>
        </w:rPr>
      </w:pPr>
    </w:p>
    <w:p w14:paraId="0426C98B" w14:textId="005D6807" w:rsidR="00C26414" w:rsidRDefault="00B04E42" w:rsidP="00856F72">
      <w:pPr>
        <w:pStyle w:val="ListParagraph"/>
        <w:numPr>
          <w:ilvl w:val="2"/>
          <w:numId w:val="7"/>
        </w:numPr>
        <w:ind w:left="1418" w:hanging="709"/>
        <w:rPr>
          <w:rFonts w:cs="Arial"/>
        </w:rPr>
      </w:pPr>
      <w:r w:rsidRPr="00F60F81">
        <w:rPr>
          <w:rFonts w:cs="Arial"/>
        </w:rPr>
        <w:lastRenderedPageBreak/>
        <w:t xml:space="preserve">We ask that maintained primary representative and maintained secondary representative </w:t>
      </w:r>
      <w:r w:rsidR="00040ABD" w:rsidRPr="00F60F81">
        <w:rPr>
          <w:rFonts w:cs="Arial"/>
        </w:rPr>
        <w:t xml:space="preserve">agree these rates are </w:t>
      </w:r>
      <w:r w:rsidR="000529E6">
        <w:rPr>
          <w:rFonts w:cs="Arial"/>
        </w:rPr>
        <w:t>agreed for</w:t>
      </w:r>
      <w:r w:rsidR="00040ABD" w:rsidRPr="00F60F81">
        <w:rPr>
          <w:rFonts w:cs="Arial"/>
        </w:rPr>
        <w:t xml:space="preserve"> </w:t>
      </w:r>
      <w:r w:rsidR="000529E6">
        <w:rPr>
          <w:rFonts w:cs="Arial"/>
        </w:rPr>
        <w:t>t</w:t>
      </w:r>
      <w:r w:rsidR="00040ABD" w:rsidRPr="00F60F81">
        <w:rPr>
          <w:rFonts w:cs="Arial"/>
        </w:rPr>
        <w:t xml:space="preserve">he school </w:t>
      </w:r>
      <w:r w:rsidR="00F60F81" w:rsidRPr="00F60F81">
        <w:rPr>
          <w:rFonts w:cs="Arial"/>
        </w:rPr>
        <w:t>funding models to be bought back to the January meeting</w:t>
      </w:r>
      <w:r w:rsidR="008C223D" w:rsidRPr="00F60F81">
        <w:rPr>
          <w:rFonts w:cs="Arial"/>
        </w:rPr>
        <w:t xml:space="preserve"> </w:t>
      </w:r>
    </w:p>
    <w:p w14:paraId="12A30532" w14:textId="77777777" w:rsidR="00F60F81" w:rsidRPr="00556BC3" w:rsidRDefault="00F60F81" w:rsidP="00F60F81">
      <w:pPr>
        <w:pStyle w:val="ListParagraph"/>
        <w:ind w:left="1418"/>
        <w:rPr>
          <w:rFonts w:cs="Arial"/>
        </w:rPr>
      </w:pPr>
    </w:p>
    <w:p w14:paraId="06D78A2C" w14:textId="77777777" w:rsidR="005B0608" w:rsidRPr="005B0608" w:rsidRDefault="00C26414" w:rsidP="00CA39D4">
      <w:pPr>
        <w:pStyle w:val="ListParagraph"/>
        <w:keepNext/>
        <w:numPr>
          <w:ilvl w:val="1"/>
          <w:numId w:val="7"/>
        </w:numPr>
        <w:rPr>
          <w:rFonts w:cs="Arial"/>
        </w:rPr>
      </w:pPr>
      <w:r w:rsidRPr="009A2121">
        <w:rPr>
          <w:rFonts w:cs="Arial"/>
          <w:b/>
        </w:rPr>
        <w:t>Former Education Services Grant (ESG) Services.</w:t>
      </w:r>
    </w:p>
    <w:p w14:paraId="2F179B0E" w14:textId="77777777" w:rsidR="00C26414" w:rsidRPr="00556BC3" w:rsidRDefault="00C26414" w:rsidP="00C26414">
      <w:pPr>
        <w:rPr>
          <w:rFonts w:cs="Arial"/>
        </w:rPr>
      </w:pPr>
    </w:p>
    <w:p w14:paraId="37A435F0" w14:textId="3EEEB3D9" w:rsidR="00C26414" w:rsidRDefault="000D325D" w:rsidP="00C26414">
      <w:pPr>
        <w:pStyle w:val="ListParagraph"/>
        <w:numPr>
          <w:ilvl w:val="2"/>
          <w:numId w:val="7"/>
        </w:numPr>
        <w:ind w:left="1418" w:hanging="698"/>
        <w:rPr>
          <w:rFonts w:cs="Arial"/>
        </w:rPr>
      </w:pPr>
      <w:r>
        <w:rPr>
          <w:rFonts w:cs="Arial"/>
        </w:rPr>
        <w:t>In 2020-21 Forum agreed to de-delegate £27.5</w:t>
      </w:r>
      <w:r w:rsidR="00AB062C">
        <w:rPr>
          <w:rFonts w:cs="Arial"/>
        </w:rPr>
        <w:t>0</w:t>
      </w:r>
      <w:r>
        <w:rPr>
          <w:rFonts w:cs="Arial"/>
        </w:rPr>
        <w:t xml:space="preserve"> per pupil from mainstream schools </w:t>
      </w:r>
      <w:r w:rsidR="001871C0">
        <w:rPr>
          <w:rFonts w:cs="Arial"/>
        </w:rPr>
        <w:t xml:space="preserve">(total £796.6k) </w:t>
      </w:r>
      <w:r>
        <w:rPr>
          <w:rFonts w:cs="Arial"/>
        </w:rPr>
        <w:t>and £80 per place from</w:t>
      </w:r>
      <w:r w:rsidR="001871C0">
        <w:rPr>
          <w:rFonts w:cs="Arial"/>
        </w:rPr>
        <w:t xml:space="preserve"> special schools (total £69.2k).</w:t>
      </w:r>
      <w:r>
        <w:rPr>
          <w:rFonts w:cs="Arial"/>
        </w:rPr>
        <w:t xml:space="preserve"> </w:t>
      </w:r>
      <w:r w:rsidR="00C26414" w:rsidRPr="00556BC3">
        <w:rPr>
          <w:rFonts w:cs="Arial"/>
        </w:rPr>
        <w:t xml:space="preserve">The LA is seeking Forum’s </w:t>
      </w:r>
      <w:r w:rsidR="00463B83">
        <w:rPr>
          <w:rFonts w:cs="Arial"/>
        </w:rPr>
        <w:t xml:space="preserve">approval </w:t>
      </w:r>
      <w:r w:rsidR="00C26414" w:rsidRPr="00556BC3">
        <w:rPr>
          <w:rFonts w:cs="Arial"/>
        </w:rPr>
        <w:t xml:space="preserve">to de-delegate the same amount </w:t>
      </w:r>
      <w:r w:rsidR="00864CD6">
        <w:rPr>
          <w:rFonts w:cs="Arial"/>
        </w:rPr>
        <w:t xml:space="preserve">adjusted </w:t>
      </w:r>
      <w:r w:rsidR="00C26414" w:rsidRPr="00556BC3">
        <w:rPr>
          <w:rFonts w:cs="Arial"/>
        </w:rPr>
        <w:t xml:space="preserve">for </w:t>
      </w:r>
      <w:r w:rsidR="00FB28CD">
        <w:rPr>
          <w:rFonts w:cs="Arial"/>
        </w:rPr>
        <w:t xml:space="preserve">inflation for </w:t>
      </w:r>
      <w:r w:rsidR="00C26414" w:rsidRPr="00556BC3">
        <w:rPr>
          <w:rFonts w:cs="Arial"/>
        </w:rPr>
        <w:t>202</w:t>
      </w:r>
      <w:r w:rsidR="001871C0">
        <w:rPr>
          <w:rFonts w:cs="Arial"/>
        </w:rPr>
        <w:t>1</w:t>
      </w:r>
      <w:r w:rsidR="00C26414" w:rsidRPr="00556BC3">
        <w:rPr>
          <w:rFonts w:cs="Arial"/>
        </w:rPr>
        <w:t>-2</w:t>
      </w:r>
      <w:r w:rsidR="001871C0">
        <w:rPr>
          <w:rFonts w:cs="Arial"/>
        </w:rPr>
        <w:t>2</w:t>
      </w:r>
      <w:r w:rsidR="00FB28CD">
        <w:rPr>
          <w:rFonts w:cs="Arial"/>
        </w:rPr>
        <w:t xml:space="preserve">. The rates would therefore be </w:t>
      </w:r>
      <w:r w:rsidR="00B653DF">
        <w:rPr>
          <w:rFonts w:cs="Arial"/>
        </w:rPr>
        <w:t xml:space="preserve">£28.05 </w:t>
      </w:r>
      <w:r w:rsidR="00AF3155">
        <w:rPr>
          <w:rFonts w:cs="Arial"/>
        </w:rPr>
        <w:t xml:space="preserve">for a maintained school and £81.60 for a special school. </w:t>
      </w:r>
      <w:r w:rsidR="00324B7B">
        <w:rPr>
          <w:rFonts w:cs="Arial"/>
        </w:rPr>
        <w:t xml:space="preserve">These rates represent a contribution </w:t>
      </w:r>
      <w:r w:rsidR="003368C4">
        <w:rPr>
          <w:rFonts w:cs="Arial"/>
        </w:rPr>
        <w:t xml:space="preserve">only </w:t>
      </w:r>
      <w:r w:rsidR="00324B7B">
        <w:rPr>
          <w:rFonts w:cs="Arial"/>
        </w:rPr>
        <w:t>to cost</w:t>
      </w:r>
      <w:r w:rsidR="002C131C">
        <w:rPr>
          <w:rFonts w:cs="Arial"/>
        </w:rPr>
        <w:t xml:space="preserve">s and do not fully represent the </w:t>
      </w:r>
      <w:r w:rsidR="003368C4">
        <w:rPr>
          <w:rFonts w:cs="Arial"/>
        </w:rPr>
        <w:t xml:space="preserve">full </w:t>
      </w:r>
      <w:r w:rsidR="002C131C">
        <w:rPr>
          <w:rFonts w:cs="Arial"/>
        </w:rPr>
        <w:t xml:space="preserve">cost to the LA of providing </w:t>
      </w:r>
      <w:r w:rsidR="003368C4">
        <w:rPr>
          <w:rFonts w:cs="Arial"/>
        </w:rPr>
        <w:t>statutory</w:t>
      </w:r>
      <w:r w:rsidR="002C131C">
        <w:rPr>
          <w:rFonts w:cs="Arial"/>
        </w:rPr>
        <w:t xml:space="preserve"> services.</w:t>
      </w:r>
      <w:r w:rsidR="00C26414" w:rsidRPr="00556BC3">
        <w:rPr>
          <w:rFonts w:cs="Arial"/>
        </w:rPr>
        <w:t xml:space="preserve"> </w:t>
      </w:r>
      <w:r w:rsidR="00090691">
        <w:rPr>
          <w:rFonts w:cs="Arial"/>
        </w:rPr>
        <w:t xml:space="preserve">These are services that Academies would be required to fund from their </w:t>
      </w:r>
      <w:r w:rsidR="00421AE9">
        <w:rPr>
          <w:rFonts w:cs="Arial"/>
        </w:rPr>
        <w:t xml:space="preserve">equivalent grant allocation. </w:t>
      </w:r>
      <w:r w:rsidR="00C01939">
        <w:rPr>
          <w:rFonts w:cs="Arial"/>
        </w:rPr>
        <w:t xml:space="preserve">Services </w:t>
      </w:r>
      <w:r w:rsidR="00421AE9">
        <w:rPr>
          <w:rFonts w:cs="Arial"/>
        </w:rPr>
        <w:t xml:space="preserve">include </w:t>
      </w:r>
      <w:r w:rsidR="00C26414" w:rsidRPr="00556BC3">
        <w:rPr>
          <w:rFonts w:cs="Arial"/>
        </w:rPr>
        <w:t xml:space="preserve">finance </w:t>
      </w:r>
      <w:r w:rsidR="00421AE9">
        <w:rPr>
          <w:rFonts w:cs="Arial"/>
        </w:rPr>
        <w:t>monitoring and support, external and internal audit</w:t>
      </w:r>
      <w:r w:rsidR="00C26414" w:rsidRPr="00556BC3">
        <w:rPr>
          <w:rFonts w:cs="Arial"/>
        </w:rPr>
        <w:t xml:space="preserve">, </w:t>
      </w:r>
      <w:r w:rsidR="00421AE9">
        <w:rPr>
          <w:rFonts w:cs="Arial"/>
        </w:rPr>
        <w:t xml:space="preserve">legal and </w:t>
      </w:r>
      <w:r w:rsidR="00C26414" w:rsidRPr="00556BC3">
        <w:rPr>
          <w:rFonts w:cs="Arial"/>
        </w:rPr>
        <w:t>HR</w:t>
      </w:r>
      <w:r w:rsidR="00D71DE3">
        <w:rPr>
          <w:rFonts w:cs="Arial"/>
        </w:rPr>
        <w:t xml:space="preserve"> support.</w:t>
      </w:r>
      <w:r w:rsidR="00C26414" w:rsidRPr="00556BC3">
        <w:rPr>
          <w:rFonts w:cs="Arial"/>
        </w:rPr>
        <w:t xml:space="preserve"> </w:t>
      </w:r>
      <w:r w:rsidR="00BA0BC2">
        <w:rPr>
          <w:rFonts w:cs="Arial"/>
        </w:rPr>
        <w:t xml:space="preserve"> The equivalent funding that was transferred from L</w:t>
      </w:r>
      <w:r w:rsidR="001A583E">
        <w:rPr>
          <w:rFonts w:cs="Arial"/>
        </w:rPr>
        <w:t xml:space="preserve">As to Schools in the NFF rebasing in 2017/18 was £66 per pupil so this represents less that half of the funding </w:t>
      </w:r>
      <w:r w:rsidR="003F6658">
        <w:rPr>
          <w:rFonts w:cs="Arial"/>
        </w:rPr>
        <w:t>previously directly allocated directly to LAs, as a proportion of the</w:t>
      </w:r>
      <w:r w:rsidR="00960344">
        <w:rPr>
          <w:rFonts w:cs="Arial"/>
        </w:rPr>
        <w:t xml:space="preserve"> total maintained schools block it represents 0.4%</w:t>
      </w:r>
      <w:r w:rsidR="00AB062C">
        <w:rPr>
          <w:rFonts w:cs="Arial"/>
        </w:rPr>
        <w:t>.</w:t>
      </w:r>
      <w:r w:rsidR="00C01939">
        <w:rPr>
          <w:rFonts w:cs="Arial"/>
        </w:rPr>
        <w:t xml:space="preserve"> Forum are asked to agree </w:t>
      </w:r>
      <w:r w:rsidR="00BF02E9">
        <w:rPr>
          <w:rFonts w:cs="Arial"/>
        </w:rPr>
        <w:t>these rates in the modelling being bought back to the Forum in January.</w:t>
      </w:r>
    </w:p>
    <w:p w14:paraId="66765329" w14:textId="04C76C38" w:rsidR="00A455F1" w:rsidRDefault="00A455F1" w:rsidP="00A455F1">
      <w:pPr>
        <w:ind w:left="720"/>
        <w:rPr>
          <w:rFonts w:cs="Arial"/>
        </w:rPr>
      </w:pPr>
    </w:p>
    <w:p w14:paraId="718F4BB0" w14:textId="371585A8" w:rsidR="00A455F1" w:rsidRPr="00A455F1" w:rsidRDefault="00A455F1" w:rsidP="00A455F1">
      <w:pPr>
        <w:ind w:left="720"/>
        <w:rPr>
          <w:rFonts w:cs="Arial"/>
        </w:rPr>
      </w:pPr>
    </w:p>
    <w:p w14:paraId="59B75255" w14:textId="4FB560A3" w:rsidR="00BA0BC2" w:rsidRDefault="00BA0BC2" w:rsidP="00BA0BC2">
      <w:pPr>
        <w:pStyle w:val="ListParagraph"/>
        <w:ind w:left="792"/>
        <w:rPr>
          <w:rFonts w:cs="Arial"/>
        </w:rPr>
      </w:pPr>
    </w:p>
    <w:p w14:paraId="1D7F7D18" w14:textId="77777777" w:rsidR="00A455F1" w:rsidRDefault="00A455F1" w:rsidP="00BA0BC2">
      <w:pPr>
        <w:pStyle w:val="ListParagraph"/>
        <w:ind w:left="792"/>
        <w:rPr>
          <w:rFonts w:cs="Arial"/>
        </w:rPr>
      </w:pPr>
    </w:p>
    <w:p w14:paraId="291AF246" w14:textId="77777777" w:rsidR="00A455F1" w:rsidRPr="00556BC3" w:rsidRDefault="00A455F1" w:rsidP="00BA0BC2">
      <w:pPr>
        <w:pStyle w:val="ListParagraph"/>
        <w:ind w:left="792"/>
        <w:rPr>
          <w:rFonts w:cs="Arial"/>
        </w:rPr>
      </w:pPr>
    </w:p>
    <w:p w14:paraId="31B60776" w14:textId="77777777" w:rsidR="00C26414" w:rsidRPr="00556BC3" w:rsidRDefault="00C26414" w:rsidP="00C26414">
      <w:pPr>
        <w:pStyle w:val="ListParagraph"/>
        <w:rPr>
          <w:rFonts w:cs="Arial"/>
        </w:rPr>
      </w:pPr>
    </w:p>
    <w:p w14:paraId="2F491A73" w14:textId="77777777" w:rsidR="00A423E2" w:rsidRDefault="00A423E2" w:rsidP="00C26414">
      <w:pPr>
        <w:keepNext/>
        <w:ind w:left="1560" w:hanging="851"/>
        <w:rPr>
          <w:rFonts w:cs="Arial"/>
          <w:b/>
        </w:rPr>
      </w:pPr>
    </w:p>
    <w:p w14:paraId="22888CCA" w14:textId="77777777" w:rsidR="00C26414" w:rsidRPr="00556BC3" w:rsidRDefault="00C26414" w:rsidP="00C26414">
      <w:pPr>
        <w:rPr>
          <w:rFonts w:cs="Arial"/>
        </w:rPr>
      </w:pPr>
    </w:p>
    <w:p w14:paraId="6B8DE125" w14:textId="77777777" w:rsidR="00C26414" w:rsidRPr="00556BC3" w:rsidRDefault="00C26414" w:rsidP="00C26414">
      <w:pPr>
        <w:pStyle w:val="ListParagraph"/>
        <w:ind w:left="360"/>
        <w:rPr>
          <w:rFonts w:cs="Arial"/>
        </w:rPr>
      </w:pPr>
    </w:p>
    <w:p w14:paraId="3D033863" w14:textId="0793E429" w:rsidR="00C26414" w:rsidRPr="00556BC3" w:rsidRDefault="00C26414" w:rsidP="00C26414">
      <w:pPr>
        <w:pStyle w:val="ListParagraph"/>
        <w:ind w:left="360"/>
        <w:rPr>
          <w:rFonts w:cs="Arial"/>
        </w:rPr>
      </w:pPr>
      <w:r w:rsidRPr="00556BC3">
        <w:rPr>
          <w:rFonts w:cs="Arial"/>
        </w:rPr>
        <w:t xml:space="preserve"> </w:t>
      </w:r>
    </w:p>
    <w:sectPr w:rsidR="00C26414" w:rsidRPr="00556BC3" w:rsidSect="00C8281D">
      <w:headerReference w:type="default" r:id="rId11"/>
      <w:footerReference w:type="default" r:id="rId12"/>
      <w:pgSz w:w="11906" w:h="16838"/>
      <w:pgMar w:top="1134" w:right="1797" w:bottom="113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F1DE" w14:textId="77777777" w:rsidR="00B03D93" w:rsidRDefault="00B03D93">
      <w:r>
        <w:separator/>
      </w:r>
    </w:p>
  </w:endnote>
  <w:endnote w:type="continuationSeparator" w:id="0">
    <w:p w14:paraId="6D4D275E" w14:textId="77777777" w:rsidR="00B03D93" w:rsidRDefault="00B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9FA3" w14:textId="77777777" w:rsidR="00C11BD2" w:rsidRDefault="00C11BD2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15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AB1B" w14:textId="77777777" w:rsidR="00B03D93" w:rsidRDefault="00B03D93">
      <w:r>
        <w:separator/>
      </w:r>
    </w:p>
  </w:footnote>
  <w:footnote w:type="continuationSeparator" w:id="0">
    <w:p w14:paraId="1237F231" w14:textId="77777777" w:rsidR="00B03D93" w:rsidRDefault="00B0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993102046"/>
      <w:placeholder>
        <w:docPart w:val="C7689890D6DC476281B7C558A61C0D5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87A7BE9" w14:textId="0E047D69" w:rsidR="00C11BD2" w:rsidRDefault="007807F0">
        <w:pPr>
          <w:pStyle w:val="Header"/>
        </w:pPr>
        <w:r>
          <w:t xml:space="preserve">Schools Forum – December 2020 - </w:t>
        </w:r>
        <w:r w:rsidR="00331582">
          <w:t>Schools Block Strategy 2021-22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5B4"/>
    <w:multiLevelType w:val="hybridMultilevel"/>
    <w:tmpl w:val="431CE12E"/>
    <w:lvl w:ilvl="0" w:tplc="283ABAA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1731872"/>
    <w:multiLevelType w:val="hybridMultilevel"/>
    <w:tmpl w:val="23024FC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8506A28"/>
    <w:multiLevelType w:val="hybridMultilevel"/>
    <w:tmpl w:val="9FBEB5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BAF00D1"/>
    <w:multiLevelType w:val="hybridMultilevel"/>
    <w:tmpl w:val="FCF4C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10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2531"/>
    <w:rsid w:val="000075A9"/>
    <w:rsid w:val="00007944"/>
    <w:rsid w:val="000079CF"/>
    <w:rsid w:val="00010134"/>
    <w:rsid w:val="000106AF"/>
    <w:rsid w:val="00011A38"/>
    <w:rsid w:val="0001228D"/>
    <w:rsid w:val="00014128"/>
    <w:rsid w:val="000149FD"/>
    <w:rsid w:val="00025F55"/>
    <w:rsid w:val="00026A03"/>
    <w:rsid w:val="00030F6F"/>
    <w:rsid w:val="000339DC"/>
    <w:rsid w:val="00036092"/>
    <w:rsid w:val="00040ABD"/>
    <w:rsid w:val="00041123"/>
    <w:rsid w:val="00041E9D"/>
    <w:rsid w:val="000443EB"/>
    <w:rsid w:val="00044BF9"/>
    <w:rsid w:val="00046FCB"/>
    <w:rsid w:val="00050E57"/>
    <w:rsid w:val="0005284B"/>
    <w:rsid w:val="000529E6"/>
    <w:rsid w:val="00053B81"/>
    <w:rsid w:val="0006017B"/>
    <w:rsid w:val="00060FED"/>
    <w:rsid w:val="00063E5F"/>
    <w:rsid w:val="0007256E"/>
    <w:rsid w:val="00074483"/>
    <w:rsid w:val="00077299"/>
    <w:rsid w:val="0008027B"/>
    <w:rsid w:val="00082D81"/>
    <w:rsid w:val="00083BBE"/>
    <w:rsid w:val="00087E04"/>
    <w:rsid w:val="00090691"/>
    <w:rsid w:val="000906A2"/>
    <w:rsid w:val="000961D0"/>
    <w:rsid w:val="000A2234"/>
    <w:rsid w:val="000A7872"/>
    <w:rsid w:val="000A78CA"/>
    <w:rsid w:val="000A7A7A"/>
    <w:rsid w:val="000B00E7"/>
    <w:rsid w:val="000B5DBB"/>
    <w:rsid w:val="000C1387"/>
    <w:rsid w:val="000D3037"/>
    <w:rsid w:val="000D325D"/>
    <w:rsid w:val="000D5510"/>
    <w:rsid w:val="000D6FF5"/>
    <w:rsid w:val="000D7F04"/>
    <w:rsid w:val="000E153F"/>
    <w:rsid w:val="000E5566"/>
    <w:rsid w:val="000E7C2D"/>
    <w:rsid w:val="000F0BCB"/>
    <w:rsid w:val="000F1054"/>
    <w:rsid w:val="000F7F24"/>
    <w:rsid w:val="00102CEB"/>
    <w:rsid w:val="00105935"/>
    <w:rsid w:val="00110AE1"/>
    <w:rsid w:val="00112247"/>
    <w:rsid w:val="0011473C"/>
    <w:rsid w:val="001228A0"/>
    <w:rsid w:val="00123B3E"/>
    <w:rsid w:val="00125730"/>
    <w:rsid w:val="00126384"/>
    <w:rsid w:val="00126AD5"/>
    <w:rsid w:val="00127374"/>
    <w:rsid w:val="00131EEB"/>
    <w:rsid w:val="00132316"/>
    <w:rsid w:val="0013261A"/>
    <w:rsid w:val="00132AEB"/>
    <w:rsid w:val="00133AC3"/>
    <w:rsid w:val="001445AD"/>
    <w:rsid w:val="00146058"/>
    <w:rsid w:val="00147E71"/>
    <w:rsid w:val="00151AD1"/>
    <w:rsid w:val="00152F4B"/>
    <w:rsid w:val="001619A7"/>
    <w:rsid w:val="001637DD"/>
    <w:rsid w:val="001638D3"/>
    <w:rsid w:val="0016799B"/>
    <w:rsid w:val="00171274"/>
    <w:rsid w:val="00174CDA"/>
    <w:rsid w:val="00177800"/>
    <w:rsid w:val="00184A94"/>
    <w:rsid w:val="00184DD1"/>
    <w:rsid w:val="001871C0"/>
    <w:rsid w:val="0019143A"/>
    <w:rsid w:val="00191AE2"/>
    <w:rsid w:val="00196A2B"/>
    <w:rsid w:val="001A2886"/>
    <w:rsid w:val="001A3DE9"/>
    <w:rsid w:val="001A4069"/>
    <w:rsid w:val="001A583E"/>
    <w:rsid w:val="001A74CC"/>
    <w:rsid w:val="001B0607"/>
    <w:rsid w:val="001B1591"/>
    <w:rsid w:val="001B259F"/>
    <w:rsid w:val="001B36FF"/>
    <w:rsid w:val="001B44A2"/>
    <w:rsid w:val="001B481B"/>
    <w:rsid w:val="001C0093"/>
    <w:rsid w:val="001C0DA9"/>
    <w:rsid w:val="001C1360"/>
    <w:rsid w:val="001C209A"/>
    <w:rsid w:val="001C6F21"/>
    <w:rsid w:val="001D259C"/>
    <w:rsid w:val="001D32A0"/>
    <w:rsid w:val="001D4975"/>
    <w:rsid w:val="001D5C12"/>
    <w:rsid w:val="001D6BA4"/>
    <w:rsid w:val="001E0569"/>
    <w:rsid w:val="001E3CBE"/>
    <w:rsid w:val="001E4116"/>
    <w:rsid w:val="001E472B"/>
    <w:rsid w:val="001E48F4"/>
    <w:rsid w:val="001E70F6"/>
    <w:rsid w:val="001F3436"/>
    <w:rsid w:val="001F66E2"/>
    <w:rsid w:val="0020116F"/>
    <w:rsid w:val="002014B4"/>
    <w:rsid w:val="00205496"/>
    <w:rsid w:val="00212E55"/>
    <w:rsid w:val="00216804"/>
    <w:rsid w:val="002204C8"/>
    <w:rsid w:val="00221B84"/>
    <w:rsid w:val="002246CA"/>
    <w:rsid w:val="00226C0A"/>
    <w:rsid w:val="00227A06"/>
    <w:rsid w:val="00231641"/>
    <w:rsid w:val="002374A3"/>
    <w:rsid w:val="00237AD1"/>
    <w:rsid w:val="00246254"/>
    <w:rsid w:val="002467C4"/>
    <w:rsid w:val="00247157"/>
    <w:rsid w:val="002512A7"/>
    <w:rsid w:val="00253B34"/>
    <w:rsid w:val="00256938"/>
    <w:rsid w:val="00257D10"/>
    <w:rsid w:val="00257FDB"/>
    <w:rsid w:val="0026062F"/>
    <w:rsid w:val="0026098B"/>
    <w:rsid w:val="00263DD7"/>
    <w:rsid w:val="002640E1"/>
    <w:rsid w:val="00264249"/>
    <w:rsid w:val="00266DE2"/>
    <w:rsid w:val="00273603"/>
    <w:rsid w:val="00277C77"/>
    <w:rsid w:val="00280108"/>
    <w:rsid w:val="00281FD7"/>
    <w:rsid w:val="00283507"/>
    <w:rsid w:val="00287DBD"/>
    <w:rsid w:val="0029022D"/>
    <w:rsid w:val="00290DA3"/>
    <w:rsid w:val="00291476"/>
    <w:rsid w:val="0029323C"/>
    <w:rsid w:val="00294E57"/>
    <w:rsid w:val="002958F1"/>
    <w:rsid w:val="00295DDE"/>
    <w:rsid w:val="002A097D"/>
    <w:rsid w:val="002A18E2"/>
    <w:rsid w:val="002A252A"/>
    <w:rsid w:val="002A69DC"/>
    <w:rsid w:val="002A734B"/>
    <w:rsid w:val="002B4510"/>
    <w:rsid w:val="002B5AFA"/>
    <w:rsid w:val="002C131C"/>
    <w:rsid w:val="002C4E0E"/>
    <w:rsid w:val="002C54E5"/>
    <w:rsid w:val="002D1FF6"/>
    <w:rsid w:val="002D76A6"/>
    <w:rsid w:val="002D7D56"/>
    <w:rsid w:val="002E356B"/>
    <w:rsid w:val="002E4201"/>
    <w:rsid w:val="002E44F4"/>
    <w:rsid w:val="002F4FB8"/>
    <w:rsid w:val="002F55A8"/>
    <w:rsid w:val="00303E97"/>
    <w:rsid w:val="003044B1"/>
    <w:rsid w:val="0030490E"/>
    <w:rsid w:val="00304E15"/>
    <w:rsid w:val="00312926"/>
    <w:rsid w:val="00314D6B"/>
    <w:rsid w:val="00322E4D"/>
    <w:rsid w:val="00324B7B"/>
    <w:rsid w:val="00326947"/>
    <w:rsid w:val="00331582"/>
    <w:rsid w:val="003322EA"/>
    <w:rsid w:val="00335AA0"/>
    <w:rsid w:val="003368C4"/>
    <w:rsid w:val="00340F9D"/>
    <w:rsid w:val="00342F8E"/>
    <w:rsid w:val="00343A0B"/>
    <w:rsid w:val="003461C6"/>
    <w:rsid w:val="00351F12"/>
    <w:rsid w:val="003525DB"/>
    <w:rsid w:val="00352700"/>
    <w:rsid w:val="003531BB"/>
    <w:rsid w:val="003564B6"/>
    <w:rsid w:val="0036088C"/>
    <w:rsid w:val="00361F94"/>
    <w:rsid w:val="0036520C"/>
    <w:rsid w:val="0038332C"/>
    <w:rsid w:val="003867AC"/>
    <w:rsid w:val="003920CB"/>
    <w:rsid w:val="003925D5"/>
    <w:rsid w:val="00397511"/>
    <w:rsid w:val="003A1C21"/>
    <w:rsid w:val="003B2548"/>
    <w:rsid w:val="003B3B0E"/>
    <w:rsid w:val="003B700C"/>
    <w:rsid w:val="003B7621"/>
    <w:rsid w:val="003B7A09"/>
    <w:rsid w:val="003C0D3A"/>
    <w:rsid w:val="003C130C"/>
    <w:rsid w:val="003C1B70"/>
    <w:rsid w:val="003C1F00"/>
    <w:rsid w:val="003C3563"/>
    <w:rsid w:val="003C4300"/>
    <w:rsid w:val="003D08B1"/>
    <w:rsid w:val="003D29D2"/>
    <w:rsid w:val="003D435E"/>
    <w:rsid w:val="003D4611"/>
    <w:rsid w:val="003E00BB"/>
    <w:rsid w:val="003E5B88"/>
    <w:rsid w:val="003F11C6"/>
    <w:rsid w:val="003F1955"/>
    <w:rsid w:val="003F6658"/>
    <w:rsid w:val="004035AF"/>
    <w:rsid w:val="00405862"/>
    <w:rsid w:val="00405B39"/>
    <w:rsid w:val="00407F2D"/>
    <w:rsid w:val="00410C1F"/>
    <w:rsid w:val="00410D37"/>
    <w:rsid w:val="00410FB8"/>
    <w:rsid w:val="00411EEB"/>
    <w:rsid w:val="00415C71"/>
    <w:rsid w:val="00421266"/>
    <w:rsid w:val="00421AE9"/>
    <w:rsid w:val="004256EA"/>
    <w:rsid w:val="00431055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6E78"/>
    <w:rsid w:val="00457528"/>
    <w:rsid w:val="0046014D"/>
    <w:rsid w:val="004608E0"/>
    <w:rsid w:val="00463B83"/>
    <w:rsid w:val="00465312"/>
    <w:rsid w:val="004661DF"/>
    <w:rsid w:val="0046718D"/>
    <w:rsid w:val="004705A1"/>
    <w:rsid w:val="00470680"/>
    <w:rsid w:val="0047153F"/>
    <w:rsid w:val="00472F71"/>
    <w:rsid w:val="004801FF"/>
    <w:rsid w:val="00481721"/>
    <w:rsid w:val="00484430"/>
    <w:rsid w:val="00485848"/>
    <w:rsid w:val="004862AC"/>
    <w:rsid w:val="004862E0"/>
    <w:rsid w:val="00486492"/>
    <w:rsid w:val="00487DC0"/>
    <w:rsid w:val="004955AF"/>
    <w:rsid w:val="004A0F22"/>
    <w:rsid w:val="004A208D"/>
    <w:rsid w:val="004A2E94"/>
    <w:rsid w:val="004B6ED7"/>
    <w:rsid w:val="004C11CF"/>
    <w:rsid w:val="004C34C0"/>
    <w:rsid w:val="004D4FF7"/>
    <w:rsid w:val="004D7D73"/>
    <w:rsid w:val="004E2386"/>
    <w:rsid w:val="004F02C8"/>
    <w:rsid w:val="004F3EEC"/>
    <w:rsid w:val="004F448E"/>
    <w:rsid w:val="004F67E3"/>
    <w:rsid w:val="00501776"/>
    <w:rsid w:val="00502101"/>
    <w:rsid w:val="00505930"/>
    <w:rsid w:val="0050651C"/>
    <w:rsid w:val="005065B0"/>
    <w:rsid w:val="00510168"/>
    <w:rsid w:val="005210A6"/>
    <w:rsid w:val="00534FB2"/>
    <w:rsid w:val="0054015A"/>
    <w:rsid w:val="00540291"/>
    <w:rsid w:val="0054472B"/>
    <w:rsid w:val="00545A21"/>
    <w:rsid w:val="00545F96"/>
    <w:rsid w:val="00550232"/>
    <w:rsid w:val="00550A2E"/>
    <w:rsid w:val="00550AD9"/>
    <w:rsid w:val="00550F52"/>
    <w:rsid w:val="00552A9D"/>
    <w:rsid w:val="00552D0C"/>
    <w:rsid w:val="00554009"/>
    <w:rsid w:val="00555D14"/>
    <w:rsid w:val="00555D8D"/>
    <w:rsid w:val="00556BC3"/>
    <w:rsid w:val="00561C65"/>
    <w:rsid w:val="005647B7"/>
    <w:rsid w:val="005652F0"/>
    <w:rsid w:val="00565A0D"/>
    <w:rsid w:val="00565F48"/>
    <w:rsid w:val="00570929"/>
    <w:rsid w:val="00571F1C"/>
    <w:rsid w:val="00572E2A"/>
    <w:rsid w:val="00573478"/>
    <w:rsid w:val="00580113"/>
    <w:rsid w:val="00581CFC"/>
    <w:rsid w:val="00582A23"/>
    <w:rsid w:val="005840FC"/>
    <w:rsid w:val="00584A63"/>
    <w:rsid w:val="00586F2C"/>
    <w:rsid w:val="005879AC"/>
    <w:rsid w:val="005934AD"/>
    <w:rsid w:val="005A2910"/>
    <w:rsid w:val="005A29F4"/>
    <w:rsid w:val="005A3C4D"/>
    <w:rsid w:val="005A430D"/>
    <w:rsid w:val="005B0608"/>
    <w:rsid w:val="005B191D"/>
    <w:rsid w:val="005C226F"/>
    <w:rsid w:val="005C7479"/>
    <w:rsid w:val="005D1363"/>
    <w:rsid w:val="005D4202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601345"/>
    <w:rsid w:val="00602FA9"/>
    <w:rsid w:val="00603459"/>
    <w:rsid w:val="00604DF8"/>
    <w:rsid w:val="00611B3F"/>
    <w:rsid w:val="006134FA"/>
    <w:rsid w:val="00613717"/>
    <w:rsid w:val="00615B67"/>
    <w:rsid w:val="00616733"/>
    <w:rsid w:val="006254AF"/>
    <w:rsid w:val="00625C62"/>
    <w:rsid w:val="00633ED2"/>
    <w:rsid w:val="00645F8F"/>
    <w:rsid w:val="0064633D"/>
    <w:rsid w:val="0064655C"/>
    <w:rsid w:val="0064699A"/>
    <w:rsid w:val="00646D3B"/>
    <w:rsid w:val="006478E1"/>
    <w:rsid w:val="006511CC"/>
    <w:rsid w:val="0065202F"/>
    <w:rsid w:val="00655831"/>
    <w:rsid w:val="00660345"/>
    <w:rsid w:val="00661024"/>
    <w:rsid w:val="00664ED4"/>
    <w:rsid w:val="006706BB"/>
    <w:rsid w:val="00671CCB"/>
    <w:rsid w:val="0067369D"/>
    <w:rsid w:val="00673A87"/>
    <w:rsid w:val="00673E2E"/>
    <w:rsid w:val="00674AD4"/>
    <w:rsid w:val="00675758"/>
    <w:rsid w:val="00680513"/>
    <w:rsid w:val="00690471"/>
    <w:rsid w:val="00695283"/>
    <w:rsid w:val="00695F0A"/>
    <w:rsid w:val="0069748F"/>
    <w:rsid w:val="006A1227"/>
    <w:rsid w:val="006A1261"/>
    <w:rsid w:val="006A5F0B"/>
    <w:rsid w:val="006B15C2"/>
    <w:rsid w:val="006B3B29"/>
    <w:rsid w:val="006B61E7"/>
    <w:rsid w:val="006C3030"/>
    <w:rsid w:val="006C3E43"/>
    <w:rsid w:val="006C5DF1"/>
    <w:rsid w:val="006C63CE"/>
    <w:rsid w:val="006C6470"/>
    <w:rsid w:val="006C75C1"/>
    <w:rsid w:val="006C7A55"/>
    <w:rsid w:val="006D33DC"/>
    <w:rsid w:val="006D455C"/>
    <w:rsid w:val="006D4CAF"/>
    <w:rsid w:val="006D64E4"/>
    <w:rsid w:val="006F119E"/>
    <w:rsid w:val="006F1734"/>
    <w:rsid w:val="006F2AAB"/>
    <w:rsid w:val="006F2E0C"/>
    <w:rsid w:val="006F3529"/>
    <w:rsid w:val="006F3ED5"/>
    <w:rsid w:val="00700469"/>
    <w:rsid w:val="00700F58"/>
    <w:rsid w:val="007047E2"/>
    <w:rsid w:val="00705392"/>
    <w:rsid w:val="0070740D"/>
    <w:rsid w:val="0071067E"/>
    <w:rsid w:val="00712F32"/>
    <w:rsid w:val="00715428"/>
    <w:rsid w:val="00715552"/>
    <w:rsid w:val="007303C1"/>
    <w:rsid w:val="0073256C"/>
    <w:rsid w:val="00734345"/>
    <w:rsid w:val="00740345"/>
    <w:rsid w:val="007420EE"/>
    <w:rsid w:val="007443D5"/>
    <w:rsid w:val="00744FB5"/>
    <w:rsid w:val="00751011"/>
    <w:rsid w:val="00755561"/>
    <w:rsid w:val="00757C3A"/>
    <w:rsid w:val="0076210B"/>
    <w:rsid w:val="00764A57"/>
    <w:rsid w:val="007654C8"/>
    <w:rsid w:val="00775279"/>
    <w:rsid w:val="00775B33"/>
    <w:rsid w:val="00777C75"/>
    <w:rsid w:val="00780104"/>
    <w:rsid w:val="007807F0"/>
    <w:rsid w:val="0078151E"/>
    <w:rsid w:val="007830A0"/>
    <w:rsid w:val="00793F85"/>
    <w:rsid w:val="007976AC"/>
    <w:rsid w:val="00797C2F"/>
    <w:rsid w:val="007B0235"/>
    <w:rsid w:val="007B267B"/>
    <w:rsid w:val="007B2E77"/>
    <w:rsid w:val="007B6A6E"/>
    <w:rsid w:val="007C0808"/>
    <w:rsid w:val="007C1A9C"/>
    <w:rsid w:val="007C31A3"/>
    <w:rsid w:val="007C5374"/>
    <w:rsid w:val="007D00A9"/>
    <w:rsid w:val="007D0E5A"/>
    <w:rsid w:val="007D15CC"/>
    <w:rsid w:val="007D3E13"/>
    <w:rsid w:val="007D695C"/>
    <w:rsid w:val="007E0602"/>
    <w:rsid w:val="007E3ECB"/>
    <w:rsid w:val="007E4B79"/>
    <w:rsid w:val="007E60EE"/>
    <w:rsid w:val="007F442C"/>
    <w:rsid w:val="007F4462"/>
    <w:rsid w:val="007F50DD"/>
    <w:rsid w:val="007F598E"/>
    <w:rsid w:val="007F68E4"/>
    <w:rsid w:val="00801453"/>
    <w:rsid w:val="008016EC"/>
    <w:rsid w:val="008059CF"/>
    <w:rsid w:val="00805A54"/>
    <w:rsid w:val="00807D0F"/>
    <w:rsid w:val="008113A1"/>
    <w:rsid w:val="00811614"/>
    <w:rsid w:val="00816F02"/>
    <w:rsid w:val="0082309E"/>
    <w:rsid w:val="0082686D"/>
    <w:rsid w:val="008276F5"/>
    <w:rsid w:val="00827831"/>
    <w:rsid w:val="00830781"/>
    <w:rsid w:val="0083113B"/>
    <w:rsid w:val="008311F6"/>
    <w:rsid w:val="008328E8"/>
    <w:rsid w:val="00832E02"/>
    <w:rsid w:val="00833A23"/>
    <w:rsid w:val="00840B1F"/>
    <w:rsid w:val="00840D9D"/>
    <w:rsid w:val="0084126C"/>
    <w:rsid w:val="008415CA"/>
    <w:rsid w:val="00842351"/>
    <w:rsid w:val="00842A36"/>
    <w:rsid w:val="00843CA0"/>
    <w:rsid w:val="008508EC"/>
    <w:rsid w:val="00850D93"/>
    <w:rsid w:val="00851B78"/>
    <w:rsid w:val="00853979"/>
    <w:rsid w:val="008551AC"/>
    <w:rsid w:val="00860514"/>
    <w:rsid w:val="0086243D"/>
    <w:rsid w:val="00862649"/>
    <w:rsid w:val="00864CD6"/>
    <w:rsid w:val="00871925"/>
    <w:rsid w:val="00875173"/>
    <w:rsid w:val="00876D9E"/>
    <w:rsid w:val="008779FF"/>
    <w:rsid w:val="00884935"/>
    <w:rsid w:val="00887A6A"/>
    <w:rsid w:val="008918D0"/>
    <w:rsid w:val="00892737"/>
    <w:rsid w:val="0089533B"/>
    <w:rsid w:val="00897094"/>
    <w:rsid w:val="008A63F2"/>
    <w:rsid w:val="008A6D93"/>
    <w:rsid w:val="008B2D9D"/>
    <w:rsid w:val="008B3A21"/>
    <w:rsid w:val="008C0499"/>
    <w:rsid w:val="008C10D0"/>
    <w:rsid w:val="008C1811"/>
    <w:rsid w:val="008C1863"/>
    <w:rsid w:val="008C223D"/>
    <w:rsid w:val="008C589A"/>
    <w:rsid w:val="008C6C9C"/>
    <w:rsid w:val="008C709C"/>
    <w:rsid w:val="008D05A5"/>
    <w:rsid w:val="008D21DC"/>
    <w:rsid w:val="008D3826"/>
    <w:rsid w:val="008D795D"/>
    <w:rsid w:val="008E4D27"/>
    <w:rsid w:val="008E7125"/>
    <w:rsid w:val="008F09FF"/>
    <w:rsid w:val="008F1F04"/>
    <w:rsid w:val="008F308F"/>
    <w:rsid w:val="008F3578"/>
    <w:rsid w:val="008F4D73"/>
    <w:rsid w:val="00901921"/>
    <w:rsid w:val="00903441"/>
    <w:rsid w:val="00910F0D"/>
    <w:rsid w:val="00910F12"/>
    <w:rsid w:val="00913C44"/>
    <w:rsid w:val="00913C73"/>
    <w:rsid w:val="0091454A"/>
    <w:rsid w:val="00921BF5"/>
    <w:rsid w:val="009239D1"/>
    <w:rsid w:val="009241BD"/>
    <w:rsid w:val="009324CE"/>
    <w:rsid w:val="009329C0"/>
    <w:rsid w:val="00933146"/>
    <w:rsid w:val="00937126"/>
    <w:rsid w:val="009376B7"/>
    <w:rsid w:val="00951E60"/>
    <w:rsid w:val="00960344"/>
    <w:rsid w:val="0096294A"/>
    <w:rsid w:val="00965C59"/>
    <w:rsid w:val="00967412"/>
    <w:rsid w:val="0097070D"/>
    <w:rsid w:val="00974443"/>
    <w:rsid w:val="009759E5"/>
    <w:rsid w:val="00977FE3"/>
    <w:rsid w:val="00980E43"/>
    <w:rsid w:val="0098108B"/>
    <w:rsid w:val="00982C1A"/>
    <w:rsid w:val="009836A0"/>
    <w:rsid w:val="00983BE3"/>
    <w:rsid w:val="009840D0"/>
    <w:rsid w:val="009874FC"/>
    <w:rsid w:val="009926CF"/>
    <w:rsid w:val="00995FE0"/>
    <w:rsid w:val="009A2121"/>
    <w:rsid w:val="009A6B26"/>
    <w:rsid w:val="009A6C15"/>
    <w:rsid w:val="009B0557"/>
    <w:rsid w:val="009B5F87"/>
    <w:rsid w:val="009B6D93"/>
    <w:rsid w:val="009C6A63"/>
    <w:rsid w:val="009D02BA"/>
    <w:rsid w:val="009D2763"/>
    <w:rsid w:val="009D3DB9"/>
    <w:rsid w:val="009D4F7B"/>
    <w:rsid w:val="009D7EF1"/>
    <w:rsid w:val="009E2CE1"/>
    <w:rsid w:val="009F0DD3"/>
    <w:rsid w:val="009F1BE2"/>
    <w:rsid w:val="00A021D0"/>
    <w:rsid w:val="00A0264B"/>
    <w:rsid w:val="00A029DB"/>
    <w:rsid w:val="00A07CD4"/>
    <w:rsid w:val="00A11694"/>
    <w:rsid w:val="00A11B5F"/>
    <w:rsid w:val="00A161BC"/>
    <w:rsid w:val="00A21337"/>
    <w:rsid w:val="00A270FB"/>
    <w:rsid w:val="00A3092C"/>
    <w:rsid w:val="00A35101"/>
    <w:rsid w:val="00A37785"/>
    <w:rsid w:val="00A4191B"/>
    <w:rsid w:val="00A41FDD"/>
    <w:rsid w:val="00A423E2"/>
    <w:rsid w:val="00A455F1"/>
    <w:rsid w:val="00A4607D"/>
    <w:rsid w:val="00A46BC0"/>
    <w:rsid w:val="00A47AD0"/>
    <w:rsid w:val="00A52DCE"/>
    <w:rsid w:val="00A5339B"/>
    <w:rsid w:val="00A60D80"/>
    <w:rsid w:val="00A63069"/>
    <w:rsid w:val="00A638EF"/>
    <w:rsid w:val="00A63C07"/>
    <w:rsid w:val="00A676DF"/>
    <w:rsid w:val="00A67E07"/>
    <w:rsid w:val="00A7074D"/>
    <w:rsid w:val="00A70D06"/>
    <w:rsid w:val="00A76B8B"/>
    <w:rsid w:val="00A869BA"/>
    <w:rsid w:val="00A90D5D"/>
    <w:rsid w:val="00A90DE9"/>
    <w:rsid w:val="00A91654"/>
    <w:rsid w:val="00A9242E"/>
    <w:rsid w:val="00A95177"/>
    <w:rsid w:val="00A954C5"/>
    <w:rsid w:val="00AA2510"/>
    <w:rsid w:val="00AB062C"/>
    <w:rsid w:val="00AB1459"/>
    <w:rsid w:val="00AB56A3"/>
    <w:rsid w:val="00AB7124"/>
    <w:rsid w:val="00AC1811"/>
    <w:rsid w:val="00AC418C"/>
    <w:rsid w:val="00AC481F"/>
    <w:rsid w:val="00AC5046"/>
    <w:rsid w:val="00AC63C4"/>
    <w:rsid w:val="00AC6895"/>
    <w:rsid w:val="00AC6E99"/>
    <w:rsid w:val="00AC778F"/>
    <w:rsid w:val="00AD07DF"/>
    <w:rsid w:val="00AD467E"/>
    <w:rsid w:val="00AD5D3D"/>
    <w:rsid w:val="00AE2D02"/>
    <w:rsid w:val="00AE482B"/>
    <w:rsid w:val="00AF0DEB"/>
    <w:rsid w:val="00AF3155"/>
    <w:rsid w:val="00AF4000"/>
    <w:rsid w:val="00AF4619"/>
    <w:rsid w:val="00AF6781"/>
    <w:rsid w:val="00AF72A6"/>
    <w:rsid w:val="00AF78F7"/>
    <w:rsid w:val="00B006AA"/>
    <w:rsid w:val="00B00BFF"/>
    <w:rsid w:val="00B03D93"/>
    <w:rsid w:val="00B04E42"/>
    <w:rsid w:val="00B14E69"/>
    <w:rsid w:val="00B156F5"/>
    <w:rsid w:val="00B20B09"/>
    <w:rsid w:val="00B21654"/>
    <w:rsid w:val="00B23309"/>
    <w:rsid w:val="00B265D3"/>
    <w:rsid w:val="00B324D8"/>
    <w:rsid w:val="00B35C52"/>
    <w:rsid w:val="00B4262A"/>
    <w:rsid w:val="00B42738"/>
    <w:rsid w:val="00B42912"/>
    <w:rsid w:val="00B4534F"/>
    <w:rsid w:val="00B51BA6"/>
    <w:rsid w:val="00B51DEF"/>
    <w:rsid w:val="00B52078"/>
    <w:rsid w:val="00B57ACD"/>
    <w:rsid w:val="00B57BC9"/>
    <w:rsid w:val="00B57F41"/>
    <w:rsid w:val="00B60546"/>
    <w:rsid w:val="00B61622"/>
    <w:rsid w:val="00B62473"/>
    <w:rsid w:val="00B63F5E"/>
    <w:rsid w:val="00B653DF"/>
    <w:rsid w:val="00B676D3"/>
    <w:rsid w:val="00B7111E"/>
    <w:rsid w:val="00B72338"/>
    <w:rsid w:val="00B7237F"/>
    <w:rsid w:val="00B72BE2"/>
    <w:rsid w:val="00B756B4"/>
    <w:rsid w:val="00B77DDE"/>
    <w:rsid w:val="00B82BF3"/>
    <w:rsid w:val="00B83052"/>
    <w:rsid w:val="00B8684F"/>
    <w:rsid w:val="00B87DE5"/>
    <w:rsid w:val="00B91F4A"/>
    <w:rsid w:val="00BA0BC2"/>
    <w:rsid w:val="00BA4D2F"/>
    <w:rsid w:val="00BA5748"/>
    <w:rsid w:val="00BB00C3"/>
    <w:rsid w:val="00BB0A45"/>
    <w:rsid w:val="00BB2F65"/>
    <w:rsid w:val="00BB4758"/>
    <w:rsid w:val="00BC31C3"/>
    <w:rsid w:val="00BC510D"/>
    <w:rsid w:val="00BD02A8"/>
    <w:rsid w:val="00BD0C88"/>
    <w:rsid w:val="00BD1077"/>
    <w:rsid w:val="00BD2F97"/>
    <w:rsid w:val="00BD403B"/>
    <w:rsid w:val="00BD4FD7"/>
    <w:rsid w:val="00BE0855"/>
    <w:rsid w:val="00BE3436"/>
    <w:rsid w:val="00BE7A92"/>
    <w:rsid w:val="00BF02E9"/>
    <w:rsid w:val="00BF0554"/>
    <w:rsid w:val="00BF12DE"/>
    <w:rsid w:val="00BF6E7C"/>
    <w:rsid w:val="00BF73A1"/>
    <w:rsid w:val="00BF75F9"/>
    <w:rsid w:val="00C01939"/>
    <w:rsid w:val="00C03E9E"/>
    <w:rsid w:val="00C046D1"/>
    <w:rsid w:val="00C11BD2"/>
    <w:rsid w:val="00C12ABE"/>
    <w:rsid w:val="00C12C34"/>
    <w:rsid w:val="00C13A3C"/>
    <w:rsid w:val="00C14565"/>
    <w:rsid w:val="00C20840"/>
    <w:rsid w:val="00C20E6C"/>
    <w:rsid w:val="00C21CE7"/>
    <w:rsid w:val="00C26020"/>
    <w:rsid w:val="00C26414"/>
    <w:rsid w:val="00C31811"/>
    <w:rsid w:val="00C31AF1"/>
    <w:rsid w:val="00C33AB2"/>
    <w:rsid w:val="00C36824"/>
    <w:rsid w:val="00C40D4B"/>
    <w:rsid w:val="00C43608"/>
    <w:rsid w:val="00C44B19"/>
    <w:rsid w:val="00C45291"/>
    <w:rsid w:val="00C50111"/>
    <w:rsid w:val="00C51271"/>
    <w:rsid w:val="00C56941"/>
    <w:rsid w:val="00C617F8"/>
    <w:rsid w:val="00C636D1"/>
    <w:rsid w:val="00C66217"/>
    <w:rsid w:val="00C679E6"/>
    <w:rsid w:val="00C67FDD"/>
    <w:rsid w:val="00C72642"/>
    <w:rsid w:val="00C74EA1"/>
    <w:rsid w:val="00C768A7"/>
    <w:rsid w:val="00C77436"/>
    <w:rsid w:val="00C80C78"/>
    <w:rsid w:val="00C81B0D"/>
    <w:rsid w:val="00C8281D"/>
    <w:rsid w:val="00C83A68"/>
    <w:rsid w:val="00C85CF0"/>
    <w:rsid w:val="00C90FFA"/>
    <w:rsid w:val="00C95A30"/>
    <w:rsid w:val="00CA4964"/>
    <w:rsid w:val="00CA6843"/>
    <w:rsid w:val="00CB33BE"/>
    <w:rsid w:val="00CB440D"/>
    <w:rsid w:val="00CB458A"/>
    <w:rsid w:val="00CC3237"/>
    <w:rsid w:val="00CC73F0"/>
    <w:rsid w:val="00CD0D8A"/>
    <w:rsid w:val="00CD0DC8"/>
    <w:rsid w:val="00CD1BDC"/>
    <w:rsid w:val="00CD2C9C"/>
    <w:rsid w:val="00CD764A"/>
    <w:rsid w:val="00CE0991"/>
    <w:rsid w:val="00CE22AC"/>
    <w:rsid w:val="00CF1CF1"/>
    <w:rsid w:val="00CF2A2E"/>
    <w:rsid w:val="00CF341E"/>
    <w:rsid w:val="00CF36A1"/>
    <w:rsid w:val="00D00362"/>
    <w:rsid w:val="00D02F19"/>
    <w:rsid w:val="00D059A3"/>
    <w:rsid w:val="00D25CD7"/>
    <w:rsid w:val="00D272D3"/>
    <w:rsid w:val="00D2769E"/>
    <w:rsid w:val="00D31827"/>
    <w:rsid w:val="00D32FE6"/>
    <w:rsid w:val="00D336FD"/>
    <w:rsid w:val="00D3423A"/>
    <w:rsid w:val="00D37178"/>
    <w:rsid w:val="00D37CAC"/>
    <w:rsid w:val="00D4115F"/>
    <w:rsid w:val="00D4304D"/>
    <w:rsid w:val="00D436FE"/>
    <w:rsid w:val="00D46204"/>
    <w:rsid w:val="00D4650C"/>
    <w:rsid w:val="00D509E2"/>
    <w:rsid w:val="00D50D35"/>
    <w:rsid w:val="00D52119"/>
    <w:rsid w:val="00D5536A"/>
    <w:rsid w:val="00D61F50"/>
    <w:rsid w:val="00D6261A"/>
    <w:rsid w:val="00D62A1F"/>
    <w:rsid w:val="00D702AB"/>
    <w:rsid w:val="00D71DE3"/>
    <w:rsid w:val="00D728E7"/>
    <w:rsid w:val="00D74697"/>
    <w:rsid w:val="00D74A37"/>
    <w:rsid w:val="00D76549"/>
    <w:rsid w:val="00D77378"/>
    <w:rsid w:val="00D84641"/>
    <w:rsid w:val="00D86424"/>
    <w:rsid w:val="00D957DD"/>
    <w:rsid w:val="00DA22DF"/>
    <w:rsid w:val="00DB3C20"/>
    <w:rsid w:val="00DB63B1"/>
    <w:rsid w:val="00DC2677"/>
    <w:rsid w:val="00DC5FA6"/>
    <w:rsid w:val="00DD39B8"/>
    <w:rsid w:val="00DD60C2"/>
    <w:rsid w:val="00DD667C"/>
    <w:rsid w:val="00DD6C98"/>
    <w:rsid w:val="00DD6DB2"/>
    <w:rsid w:val="00DE16B5"/>
    <w:rsid w:val="00DE733C"/>
    <w:rsid w:val="00DF7909"/>
    <w:rsid w:val="00DF7CEF"/>
    <w:rsid w:val="00E00944"/>
    <w:rsid w:val="00E20B44"/>
    <w:rsid w:val="00E21E4C"/>
    <w:rsid w:val="00E221C2"/>
    <w:rsid w:val="00E26D0A"/>
    <w:rsid w:val="00E27D56"/>
    <w:rsid w:val="00E301F8"/>
    <w:rsid w:val="00E313D6"/>
    <w:rsid w:val="00E332A9"/>
    <w:rsid w:val="00E36F58"/>
    <w:rsid w:val="00E45A92"/>
    <w:rsid w:val="00E552A8"/>
    <w:rsid w:val="00E56071"/>
    <w:rsid w:val="00E56321"/>
    <w:rsid w:val="00E56F53"/>
    <w:rsid w:val="00E6044F"/>
    <w:rsid w:val="00E6124D"/>
    <w:rsid w:val="00E67ECA"/>
    <w:rsid w:val="00E735AF"/>
    <w:rsid w:val="00E811DF"/>
    <w:rsid w:val="00E8363A"/>
    <w:rsid w:val="00E849AB"/>
    <w:rsid w:val="00E9128B"/>
    <w:rsid w:val="00E91E00"/>
    <w:rsid w:val="00E93F8D"/>
    <w:rsid w:val="00E95427"/>
    <w:rsid w:val="00E968CD"/>
    <w:rsid w:val="00E9699E"/>
    <w:rsid w:val="00E97279"/>
    <w:rsid w:val="00EA72FD"/>
    <w:rsid w:val="00EB2573"/>
    <w:rsid w:val="00EB7424"/>
    <w:rsid w:val="00EC1C95"/>
    <w:rsid w:val="00EC21D9"/>
    <w:rsid w:val="00EC2852"/>
    <w:rsid w:val="00ED2DA2"/>
    <w:rsid w:val="00ED48E9"/>
    <w:rsid w:val="00ED7730"/>
    <w:rsid w:val="00EE19C1"/>
    <w:rsid w:val="00EE3C29"/>
    <w:rsid w:val="00EE5A0F"/>
    <w:rsid w:val="00EF05F1"/>
    <w:rsid w:val="00EF0FE1"/>
    <w:rsid w:val="00EF0FE3"/>
    <w:rsid w:val="00EF144A"/>
    <w:rsid w:val="00EF2266"/>
    <w:rsid w:val="00EF26D3"/>
    <w:rsid w:val="00EF318C"/>
    <w:rsid w:val="00EF4132"/>
    <w:rsid w:val="00EF78DD"/>
    <w:rsid w:val="00F01125"/>
    <w:rsid w:val="00F013C6"/>
    <w:rsid w:val="00F02156"/>
    <w:rsid w:val="00F05E02"/>
    <w:rsid w:val="00F06A74"/>
    <w:rsid w:val="00F07639"/>
    <w:rsid w:val="00F1431A"/>
    <w:rsid w:val="00F2140C"/>
    <w:rsid w:val="00F22F45"/>
    <w:rsid w:val="00F2331E"/>
    <w:rsid w:val="00F24751"/>
    <w:rsid w:val="00F24C42"/>
    <w:rsid w:val="00F25E81"/>
    <w:rsid w:val="00F30356"/>
    <w:rsid w:val="00F325BC"/>
    <w:rsid w:val="00F33DE2"/>
    <w:rsid w:val="00F413F5"/>
    <w:rsid w:val="00F4337F"/>
    <w:rsid w:val="00F44713"/>
    <w:rsid w:val="00F474E9"/>
    <w:rsid w:val="00F501DD"/>
    <w:rsid w:val="00F503A4"/>
    <w:rsid w:val="00F50B6B"/>
    <w:rsid w:val="00F51BA2"/>
    <w:rsid w:val="00F530A2"/>
    <w:rsid w:val="00F5344E"/>
    <w:rsid w:val="00F54DAC"/>
    <w:rsid w:val="00F55DCC"/>
    <w:rsid w:val="00F601D7"/>
    <w:rsid w:val="00F6086C"/>
    <w:rsid w:val="00F60F81"/>
    <w:rsid w:val="00F61F89"/>
    <w:rsid w:val="00F66255"/>
    <w:rsid w:val="00F6765F"/>
    <w:rsid w:val="00F67E4E"/>
    <w:rsid w:val="00F67EAC"/>
    <w:rsid w:val="00F75550"/>
    <w:rsid w:val="00F77337"/>
    <w:rsid w:val="00F8304B"/>
    <w:rsid w:val="00F904A0"/>
    <w:rsid w:val="00F91B89"/>
    <w:rsid w:val="00F95A14"/>
    <w:rsid w:val="00FA0601"/>
    <w:rsid w:val="00FA39CF"/>
    <w:rsid w:val="00FA7D95"/>
    <w:rsid w:val="00FB1C19"/>
    <w:rsid w:val="00FB204A"/>
    <w:rsid w:val="00FB28CD"/>
    <w:rsid w:val="00FB654D"/>
    <w:rsid w:val="00FC1F05"/>
    <w:rsid w:val="00FC333A"/>
    <w:rsid w:val="00FD189B"/>
    <w:rsid w:val="00FD622C"/>
    <w:rsid w:val="00FE0176"/>
    <w:rsid w:val="00FE1AA1"/>
    <w:rsid w:val="00FE1E66"/>
    <w:rsid w:val="00FE323D"/>
    <w:rsid w:val="00FE7B5E"/>
    <w:rsid w:val="00FE7BD9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DD8E7"/>
  <w15:docId w15:val="{E7605216-8559-49D7-89C3-FA45962D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1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689890D6DC476281B7C558A61C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68A5-7DAF-4408-BCCB-51589320766D}"/>
      </w:docPartPr>
      <w:docPartBody>
        <w:p w:rsidR="00D11D37" w:rsidRDefault="00C173B9">
          <w:r w:rsidRPr="00A60CC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B9"/>
    <w:rsid w:val="00C173B9"/>
    <w:rsid w:val="00D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BB195EA464A6187CC0851D14994C0">
    <w:name w:val="A1DBB195EA464A6187CC0851D14994C0"/>
    <w:rsid w:val="00C173B9"/>
  </w:style>
  <w:style w:type="character" w:styleId="PlaceholderText">
    <w:name w:val="Placeholder Text"/>
    <w:basedOn w:val="DefaultParagraphFont"/>
    <w:uiPriority w:val="99"/>
    <w:semiHidden/>
    <w:rsid w:val="00C173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5DA0EAC73D4F8BFB2683A879819F" ma:contentTypeVersion="12" ma:contentTypeDescription="Create a new document." ma:contentTypeScope="" ma:versionID="6b463ecf96306ed88f5cfe2ebebbcce0">
  <xsd:schema xmlns:xsd="http://www.w3.org/2001/XMLSchema" xmlns:xs="http://www.w3.org/2001/XMLSchema" xmlns:p="http://schemas.microsoft.com/office/2006/metadata/properties" xmlns:ns3="d63a0efd-3f7d-4421-b00f-74ef63be0d9f" xmlns:ns4="e6623a06-f9bd-45d8-a4b2-dc257bd4f76c" targetNamespace="http://schemas.microsoft.com/office/2006/metadata/properties" ma:root="true" ma:fieldsID="57021878386b93f7d8401937da547593" ns3:_="" ns4:_="">
    <xsd:import namespace="d63a0efd-3f7d-4421-b00f-74ef63be0d9f"/>
    <xsd:import namespace="e6623a06-f9bd-45d8-a4b2-dc257bd4f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efd-3f7d-4421-b00f-74ef63be0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3a06-f9bd-45d8-a4b2-dc257bd4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DFD7-2C7B-407D-B168-814FF2E4B44E}">
  <ds:schemaRefs>
    <ds:schemaRef ds:uri="http://purl.org/dc/terms/"/>
    <ds:schemaRef ds:uri="http://schemas.microsoft.com/office/2006/documentManagement/types"/>
    <ds:schemaRef ds:uri="d63a0efd-3f7d-4421-b00f-74ef63be0d9f"/>
    <ds:schemaRef ds:uri="http://purl.org/dc/dcmitype/"/>
    <ds:schemaRef ds:uri="http://purl.org/dc/elements/1.1/"/>
    <ds:schemaRef ds:uri="http://schemas.microsoft.com/office/2006/metadata/properties"/>
    <ds:schemaRef ds:uri="e6623a06-f9bd-45d8-a4b2-dc257bd4f76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8DC67-DF77-4598-8118-003B1B27D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BCD51-4B46-40D9-8992-E2A4DAC5D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a0efd-3f7d-4421-b00f-74ef63be0d9f"/>
    <ds:schemaRef ds:uri="e6623a06-f9bd-45d8-a4b2-dc257bd4f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D2BD9-A128-495C-8BD4-3D92E8F6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1113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December 2020</vt:lpstr>
    </vt:vector>
  </TitlesOfParts>
  <Company>London Borough of Tower Hamlets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– December 2020 - Schools Block Strategy 2021-22</dc:title>
  <dc:creator>David Tully</dc:creator>
  <cp:lastModifiedBy>Christopher Philpot</cp:lastModifiedBy>
  <cp:revision>4</cp:revision>
  <cp:lastPrinted>2019-12-03T17:41:00Z</cp:lastPrinted>
  <dcterms:created xsi:type="dcterms:W3CDTF">2021-01-19T16:15:00Z</dcterms:created>
  <dcterms:modified xsi:type="dcterms:W3CDTF">2021-01-19T16:53:00Z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0x0101009FF75DA0EAC73D4F8BFB2683A879819F</vt:lpwstr>
  </property>
  <property fmtid="{D5CDD505-2E9C-101B-9397-08002B2CF9AE}" pid="3" name="Order">
    <vt:r8>6051400</vt:r8>
  </property>
</Properties>
</file>