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7125" w14:textId="1783684D" w:rsidR="003B3AEF" w:rsidRDefault="00933FF4" w:rsidP="00933FF4">
      <w:pPr>
        <w:jc w:val="center"/>
        <w:rPr>
          <w:b/>
          <w:sz w:val="32"/>
          <w:szCs w:val="32"/>
        </w:rPr>
      </w:pPr>
      <w:r w:rsidRPr="00933FF4">
        <w:rPr>
          <w:b/>
          <w:sz w:val="32"/>
          <w:szCs w:val="32"/>
        </w:rPr>
        <w:t xml:space="preserve">AGENDA ITEM </w:t>
      </w:r>
      <w:r w:rsidR="00883BFB">
        <w:rPr>
          <w:b/>
          <w:sz w:val="32"/>
          <w:szCs w:val="32"/>
        </w:rPr>
        <w:t>4</w:t>
      </w:r>
    </w:p>
    <w:p w14:paraId="3242CD15" w14:textId="77777777" w:rsidR="00933FF4" w:rsidRPr="00933FF4" w:rsidRDefault="00933FF4" w:rsidP="00933FF4">
      <w:pPr>
        <w:jc w:val="center"/>
        <w:rPr>
          <w:b/>
          <w:sz w:val="32"/>
          <w:szCs w:val="32"/>
        </w:rPr>
      </w:pPr>
    </w:p>
    <w:p w14:paraId="080D80F8" w14:textId="03CCE498" w:rsidR="003B3AEF" w:rsidRPr="00CB5A97" w:rsidRDefault="004B7D19" w:rsidP="00933FF4">
      <w:pPr>
        <w:pStyle w:val="BodyTextIndent"/>
        <w:tabs>
          <w:tab w:val="clear" w:pos="360"/>
        </w:tabs>
        <w:ind w:left="0" w:firstLine="0"/>
        <w:jc w:val="both"/>
        <w:rPr>
          <w:b/>
          <w:bCs/>
          <w:sz w:val="32"/>
          <w:szCs w:val="32"/>
        </w:rPr>
      </w:pPr>
      <w:r w:rsidRPr="5DEB1779">
        <w:rPr>
          <w:b/>
          <w:bCs/>
          <w:sz w:val="32"/>
          <w:szCs w:val="32"/>
        </w:rPr>
        <w:t>Title of report: Dedicated Schools Grant</w:t>
      </w:r>
      <w:r w:rsidR="003B3AEF" w:rsidRPr="5DEB1779">
        <w:rPr>
          <w:b/>
          <w:bCs/>
          <w:sz w:val="32"/>
          <w:szCs w:val="32"/>
        </w:rPr>
        <w:t xml:space="preserve"> </w:t>
      </w:r>
      <w:r w:rsidR="00587FAC">
        <w:rPr>
          <w:b/>
          <w:bCs/>
          <w:sz w:val="32"/>
          <w:szCs w:val="32"/>
        </w:rPr>
        <w:t>Provisional</w:t>
      </w:r>
      <w:r w:rsidR="00307B81" w:rsidRPr="5DEB1779">
        <w:rPr>
          <w:b/>
          <w:bCs/>
          <w:sz w:val="32"/>
          <w:szCs w:val="32"/>
        </w:rPr>
        <w:t xml:space="preserve"> </w:t>
      </w:r>
      <w:r w:rsidR="007A0400" w:rsidRPr="5DEB1779">
        <w:rPr>
          <w:b/>
          <w:bCs/>
          <w:sz w:val="32"/>
          <w:szCs w:val="32"/>
        </w:rPr>
        <w:t>Outturn 20</w:t>
      </w:r>
      <w:r w:rsidR="67E50457" w:rsidRPr="5DEB1779">
        <w:rPr>
          <w:b/>
          <w:bCs/>
          <w:sz w:val="32"/>
          <w:szCs w:val="32"/>
        </w:rPr>
        <w:t>2</w:t>
      </w:r>
      <w:r w:rsidR="00587FAC">
        <w:rPr>
          <w:b/>
          <w:bCs/>
          <w:sz w:val="32"/>
          <w:szCs w:val="32"/>
        </w:rPr>
        <w:t>2</w:t>
      </w:r>
      <w:r w:rsidR="007A0400" w:rsidRPr="5DEB1779">
        <w:rPr>
          <w:b/>
          <w:bCs/>
          <w:sz w:val="32"/>
          <w:szCs w:val="32"/>
        </w:rPr>
        <w:t>/</w:t>
      </w:r>
      <w:r w:rsidR="00D60070" w:rsidRPr="5DEB1779">
        <w:rPr>
          <w:b/>
          <w:bCs/>
          <w:sz w:val="32"/>
          <w:szCs w:val="32"/>
        </w:rPr>
        <w:t>2</w:t>
      </w:r>
      <w:r w:rsidR="00587FAC">
        <w:rPr>
          <w:b/>
          <w:bCs/>
          <w:sz w:val="32"/>
          <w:szCs w:val="32"/>
        </w:rPr>
        <w:t>3</w:t>
      </w:r>
    </w:p>
    <w:p w14:paraId="09196C8F" w14:textId="77777777" w:rsidR="003B3AEF" w:rsidRPr="00CB5A97" w:rsidRDefault="003B3AEF" w:rsidP="00933FF4">
      <w:pPr>
        <w:rPr>
          <w:b/>
          <w:u w:val="single"/>
        </w:rPr>
      </w:pPr>
    </w:p>
    <w:p w14:paraId="05C488A5" w14:textId="77777777" w:rsidR="003B3AEF" w:rsidRPr="00CB5A97" w:rsidRDefault="003B3AEF" w:rsidP="00933FF4"/>
    <w:p w14:paraId="5FBAC801" w14:textId="0FDFE475" w:rsidR="003B3AEF" w:rsidRDefault="003B3AEF" w:rsidP="00933FF4">
      <w:pPr>
        <w:rPr>
          <w:b/>
          <w:bCs/>
        </w:rPr>
      </w:pPr>
      <w:r w:rsidRPr="5DEB1779">
        <w:rPr>
          <w:b/>
          <w:bCs/>
        </w:rPr>
        <w:t xml:space="preserve">Officer to present the paper to Schools Forum: </w:t>
      </w:r>
      <w:r w:rsidR="00B84A17">
        <w:t>Kay Goodacre</w:t>
      </w:r>
    </w:p>
    <w:p w14:paraId="1B97B2B2" w14:textId="77777777" w:rsidR="00F91A57" w:rsidRPr="00CB5A97" w:rsidRDefault="00F91A57" w:rsidP="00933FF4"/>
    <w:p w14:paraId="25AF1275" w14:textId="77777777" w:rsidR="003B3AEF" w:rsidRPr="00CB5A97" w:rsidRDefault="003B3AEF" w:rsidP="00933FF4">
      <w:pPr>
        <w:rPr>
          <w:highlight w:val="yellow"/>
        </w:rPr>
      </w:pPr>
    </w:p>
    <w:p w14:paraId="678D740B" w14:textId="77777777" w:rsidR="003B3AEF" w:rsidRPr="00CC3A17" w:rsidRDefault="003B3AEF" w:rsidP="00933FF4">
      <w:pPr>
        <w:spacing w:after="120"/>
        <w:rPr>
          <w:b/>
        </w:rPr>
      </w:pPr>
      <w:r w:rsidRPr="00CC3A17">
        <w:rPr>
          <w:b/>
        </w:rPr>
        <w:t>Executive Summary</w:t>
      </w:r>
    </w:p>
    <w:p w14:paraId="38A9CAF3" w14:textId="4B7CF01C" w:rsidR="00AC7E50" w:rsidRPr="00CC3A17" w:rsidRDefault="00BE1FCE" w:rsidP="00933FF4">
      <w:pPr>
        <w:jc w:val="both"/>
      </w:pPr>
      <w:r w:rsidRPr="00CC3A17">
        <w:t xml:space="preserve">This report </w:t>
      </w:r>
      <w:r w:rsidR="00AC7E50" w:rsidRPr="00CC3A17">
        <w:t xml:space="preserve">sets out the </w:t>
      </w:r>
      <w:r w:rsidR="00587FAC">
        <w:t xml:space="preserve">provisional </w:t>
      </w:r>
      <w:r w:rsidR="00AC7E50" w:rsidRPr="00CC3A17">
        <w:t>outturn position</w:t>
      </w:r>
      <w:r w:rsidR="00E7152D" w:rsidRPr="00CC3A17">
        <w:t xml:space="preserve"> (excluding individual </w:t>
      </w:r>
      <w:proofErr w:type="gramStart"/>
      <w:r w:rsidR="00E7152D" w:rsidRPr="00CC3A17">
        <w:t>schools</w:t>
      </w:r>
      <w:proofErr w:type="gramEnd"/>
      <w:r w:rsidR="00FD1C96">
        <w:t xml:space="preserve"> budget</w:t>
      </w:r>
      <w:r w:rsidR="00E7152D" w:rsidRPr="00CC3A17">
        <w:t>)</w:t>
      </w:r>
      <w:r w:rsidR="00AC7E50" w:rsidRPr="00CC3A17">
        <w:t xml:space="preserve"> for Tower Hamlets’ </w:t>
      </w:r>
      <w:r w:rsidR="00E7152D" w:rsidRPr="00CC3A17">
        <w:t>DSG</w:t>
      </w:r>
      <w:r w:rsidR="00AC7E50" w:rsidRPr="00CC3A17">
        <w:t xml:space="preserve"> Budget for 20</w:t>
      </w:r>
      <w:r w:rsidR="00DA1EDC" w:rsidRPr="00CC3A17">
        <w:t>2</w:t>
      </w:r>
      <w:r w:rsidR="00587FAC">
        <w:t>2</w:t>
      </w:r>
      <w:r w:rsidR="00AC7E50" w:rsidRPr="00CC3A17">
        <w:t>-</w:t>
      </w:r>
      <w:r w:rsidR="00D60070" w:rsidRPr="00CC3A17">
        <w:t>2</w:t>
      </w:r>
      <w:r w:rsidR="00587FAC">
        <w:t>3</w:t>
      </w:r>
      <w:r w:rsidR="00432144">
        <w:t xml:space="preserve"> </w:t>
      </w:r>
    </w:p>
    <w:p w14:paraId="7C4ECB8C" w14:textId="77777777" w:rsidR="00D65370" w:rsidRDefault="00D65370" w:rsidP="00933FF4">
      <w:pPr>
        <w:jc w:val="both"/>
      </w:pPr>
    </w:p>
    <w:p w14:paraId="573918D3" w14:textId="7C4BB6FE" w:rsidR="0091068B" w:rsidRPr="00CC3A17" w:rsidRDefault="00AC7E50" w:rsidP="00933FF4">
      <w:pPr>
        <w:jc w:val="both"/>
      </w:pPr>
      <w:r w:rsidRPr="00CC3A17">
        <w:t xml:space="preserve">The </w:t>
      </w:r>
      <w:r w:rsidR="001B5D5A">
        <w:t xml:space="preserve">provisional position of the </w:t>
      </w:r>
      <w:r w:rsidR="00D65370">
        <w:t xml:space="preserve">Dedicated Schools Grant (DSG) </w:t>
      </w:r>
      <w:r w:rsidR="001B5D5A">
        <w:t xml:space="preserve">at the end of 2022-23 is an underspend of </w:t>
      </w:r>
      <w:r w:rsidR="001B5D5A" w:rsidRPr="000649F8">
        <w:t>£</w:t>
      </w:r>
      <w:r w:rsidR="000649F8" w:rsidRPr="000649F8">
        <w:t>0</w:t>
      </w:r>
      <w:r w:rsidR="001B5D5A" w:rsidRPr="000649F8">
        <w:t>.</w:t>
      </w:r>
      <w:r w:rsidR="00795B01">
        <w:t>9</w:t>
      </w:r>
      <w:r w:rsidR="001B5D5A">
        <w:t xml:space="preserve"> million</w:t>
      </w:r>
      <w:r w:rsidR="00AF5AC9">
        <w:t xml:space="preserve"> from the budget position.  </w:t>
      </w:r>
    </w:p>
    <w:p w14:paraId="447A28A0" w14:textId="77777777" w:rsidR="00200347" w:rsidRPr="00CC3A17" w:rsidRDefault="00200347" w:rsidP="00933FF4">
      <w:pPr>
        <w:spacing w:after="120"/>
        <w:jc w:val="both"/>
      </w:pPr>
    </w:p>
    <w:p w14:paraId="1D755107" w14:textId="77777777" w:rsidR="003B3AEF" w:rsidRPr="00CC3A17" w:rsidRDefault="003B3AEF" w:rsidP="00933FF4"/>
    <w:p w14:paraId="38B23749" w14:textId="77777777" w:rsidR="003B3AEF" w:rsidRPr="00CC3A17" w:rsidRDefault="003B3AEF" w:rsidP="00933FF4">
      <w:pPr>
        <w:spacing w:after="120"/>
        <w:rPr>
          <w:b/>
        </w:rPr>
      </w:pPr>
      <w:r w:rsidRPr="00CC3A17">
        <w:rPr>
          <w:b/>
        </w:rPr>
        <w:t xml:space="preserve">Details of recommendations and timescales for decisions: </w:t>
      </w:r>
    </w:p>
    <w:p w14:paraId="3FC9F07A" w14:textId="26E5902D" w:rsidR="00BA7C70" w:rsidRDefault="003B3AEF" w:rsidP="00933FF4">
      <w:pPr>
        <w:spacing w:after="120"/>
      </w:pPr>
      <w:r w:rsidRPr="00D65370">
        <w:t>Schools Forum</w:t>
      </w:r>
      <w:r w:rsidRPr="00CC3A17">
        <w:t xml:space="preserve"> is asked to</w:t>
      </w:r>
      <w:r w:rsidR="00432144">
        <w:t xml:space="preserve"> </w:t>
      </w:r>
      <w:r w:rsidR="00BA7C70" w:rsidRPr="00CC3A17">
        <w:t>note the outturn position</w:t>
      </w:r>
      <w:r w:rsidR="00432144">
        <w:t xml:space="preserve"> </w:t>
      </w:r>
      <w:r w:rsidR="00AF5AC9">
        <w:t xml:space="preserve">will be </w:t>
      </w:r>
      <w:r w:rsidR="00432144">
        <w:t>reported to the Department of Education and included in the LBTH Note to the Accounts year end statement</w:t>
      </w:r>
      <w:r w:rsidR="00AF5AC9">
        <w:t xml:space="preserve"> once finalised</w:t>
      </w:r>
      <w:r w:rsidR="00432144">
        <w:t>.</w:t>
      </w:r>
    </w:p>
    <w:p w14:paraId="50CCF87C" w14:textId="77777777" w:rsidR="00D65370" w:rsidRPr="00CC3A17" w:rsidRDefault="00D65370" w:rsidP="00933FF4">
      <w:pPr>
        <w:spacing w:after="120"/>
      </w:pPr>
    </w:p>
    <w:p w14:paraId="2FAEA856" w14:textId="65421A14" w:rsidR="00CF3636" w:rsidRDefault="00CF3636" w:rsidP="00F44713">
      <w:pPr>
        <w:jc w:val="both"/>
        <w:rPr>
          <w:b/>
        </w:rPr>
      </w:pPr>
    </w:p>
    <w:p w14:paraId="33EF62DC" w14:textId="77777777" w:rsidR="00CC3A17" w:rsidRPr="00CC3A17" w:rsidRDefault="00CC3A17" w:rsidP="00F44713">
      <w:pPr>
        <w:jc w:val="both"/>
        <w:rPr>
          <w:b/>
        </w:rPr>
      </w:pPr>
    </w:p>
    <w:p w14:paraId="5A7CB472" w14:textId="7E020610" w:rsidR="003B3AEF" w:rsidRPr="00CC3A17" w:rsidRDefault="000B24B2" w:rsidP="00F44713">
      <w:pPr>
        <w:jc w:val="both"/>
        <w:rPr>
          <w:b/>
        </w:rPr>
      </w:pPr>
      <w:r w:rsidRPr="00CC3A17">
        <w:rPr>
          <w:b/>
        </w:rPr>
        <w:t>1</w:t>
      </w:r>
      <w:r w:rsidR="003B3AEF" w:rsidRPr="00CC3A17">
        <w:rPr>
          <w:b/>
        </w:rPr>
        <w:t>.  20</w:t>
      </w:r>
      <w:r w:rsidR="00DA6401" w:rsidRPr="00CC3A17">
        <w:rPr>
          <w:b/>
        </w:rPr>
        <w:t>2</w:t>
      </w:r>
      <w:r w:rsidR="00AF5AC9">
        <w:rPr>
          <w:b/>
        </w:rPr>
        <w:t>2</w:t>
      </w:r>
      <w:r w:rsidR="00E4575A" w:rsidRPr="00CC3A17">
        <w:rPr>
          <w:b/>
        </w:rPr>
        <w:t>/</w:t>
      </w:r>
      <w:r w:rsidR="00123518" w:rsidRPr="00CC3A17">
        <w:rPr>
          <w:b/>
        </w:rPr>
        <w:t>2</w:t>
      </w:r>
      <w:r w:rsidR="00AF5AC9">
        <w:rPr>
          <w:b/>
        </w:rPr>
        <w:t>3</w:t>
      </w:r>
      <w:r w:rsidR="002E27CC" w:rsidRPr="00CC3A17">
        <w:rPr>
          <w:b/>
        </w:rPr>
        <w:t xml:space="preserve"> Dedicated Schools Grant</w:t>
      </w:r>
      <w:r w:rsidR="00E4575A" w:rsidRPr="00CC3A17">
        <w:rPr>
          <w:b/>
        </w:rPr>
        <w:t xml:space="preserve"> </w:t>
      </w:r>
      <w:r w:rsidR="00307B81" w:rsidRPr="00CC3A17">
        <w:rPr>
          <w:b/>
        </w:rPr>
        <w:t xml:space="preserve">Provisional </w:t>
      </w:r>
      <w:r w:rsidR="00E4575A" w:rsidRPr="00CC3A17">
        <w:rPr>
          <w:b/>
        </w:rPr>
        <w:t>Outturn</w:t>
      </w:r>
      <w:r w:rsidR="00CC3A17">
        <w:rPr>
          <w:b/>
        </w:rPr>
        <w:t xml:space="preserve"> </w:t>
      </w:r>
      <w:r w:rsidR="00E4575A" w:rsidRPr="00CC3A17">
        <w:rPr>
          <w:b/>
        </w:rPr>
        <w:t>- O</w:t>
      </w:r>
      <w:r w:rsidR="00C34BB6" w:rsidRPr="00CC3A17">
        <w:rPr>
          <w:b/>
        </w:rPr>
        <w:t>verview</w:t>
      </w:r>
      <w:r w:rsidR="00E4575A" w:rsidRPr="00CC3A17">
        <w:rPr>
          <w:b/>
        </w:rPr>
        <w:t>.</w:t>
      </w:r>
    </w:p>
    <w:p w14:paraId="7D236502" w14:textId="77777777" w:rsidR="003B3AEF" w:rsidRPr="00CC3A17" w:rsidRDefault="003B3AEF" w:rsidP="00F44713">
      <w:pPr>
        <w:jc w:val="both"/>
      </w:pPr>
    </w:p>
    <w:p w14:paraId="51E6F7A2" w14:textId="7F929DD4" w:rsidR="00B65728" w:rsidRPr="00CC3A17" w:rsidRDefault="00C34BB6" w:rsidP="00CC3A17">
      <w:pPr>
        <w:pStyle w:val="ListParagraph"/>
        <w:numPr>
          <w:ilvl w:val="1"/>
          <w:numId w:val="11"/>
        </w:numPr>
        <w:ind w:left="567" w:hanging="567"/>
        <w:jc w:val="both"/>
      </w:pPr>
      <w:r w:rsidRPr="00CC3A17">
        <w:t xml:space="preserve"> </w:t>
      </w:r>
      <w:r w:rsidR="008F2F2A" w:rsidRPr="00CC3A17">
        <w:t xml:space="preserve">The </w:t>
      </w:r>
      <w:r w:rsidR="00E4575A" w:rsidRPr="00CC3A17">
        <w:t>Dedicated Schools G</w:t>
      </w:r>
      <w:r w:rsidR="00B65728" w:rsidRPr="00CC3A17">
        <w:t xml:space="preserve">rant (DSG) </w:t>
      </w:r>
      <w:r w:rsidR="008F2F2A" w:rsidRPr="00CC3A17">
        <w:t xml:space="preserve">is </w:t>
      </w:r>
      <w:r w:rsidR="00B65728" w:rsidRPr="00CC3A17">
        <w:t>distributed by the Department for Education (DfE) on a national formulaic basis.</w:t>
      </w:r>
      <w:r w:rsidR="00B65728" w:rsidRPr="00CC3A17">
        <w:rPr>
          <w:rFonts w:ascii="ArialMT" w:hAnsi="ArialMT" w:cs="ArialMT"/>
        </w:rPr>
        <w:t xml:space="preserve"> </w:t>
      </w:r>
      <w:r w:rsidR="00B65728" w:rsidRPr="00CC3A17">
        <w:t>Th</w:t>
      </w:r>
      <w:r w:rsidR="00D65370">
        <w:t>is specific grant is</w:t>
      </w:r>
      <w:r w:rsidR="00B65728" w:rsidRPr="00CC3A17">
        <w:t xml:space="preserve"> allocated to </w:t>
      </w:r>
      <w:r w:rsidR="008612D5" w:rsidRPr="00CC3A17">
        <w:t>l</w:t>
      </w:r>
      <w:r w:rsidR="00E4575A" w:rsidRPr="00CC3A17">
        <w:t xml:space="preserve">ocal </w:t>
      </w:r>
      <w:r w:rsidR="008612D5" w:rsidRPr="00CC3A17">
        <w:t>a</w:t>
      </w:r>
      <w:r w:rsidR="00E4575A" w:rsidRPr="00CC3A17">
        <w:t>uthorit</w:t>
      </w:r>
      <w:r w:rsidR="008612D5" w:rsidRPr="00CC3A17">
        <w:t>ies</w:t>
      </w:r>
      <w:r w:rsidR="00E4575A" w:rsidRPr="00CC3A17">
        <w:t xml:space="preserve"> in four </w:t>
      </w:r>
      <w:r w:rsidR="005B488F" w:rsidRPr="00CC3A17">
        <w:t>blocks:</w:t>
      </w:r>
      <w:r w:rsidR="00B65728" w:rsidRPr="00CC3A17">
        <w:t xml:space="preserve"> Schools </w:t>
      </w:r>
      <w:r w:rsidR="00E4575A" w:rsidRPr="00CC3A17">
        <w:t>Block (SB), Early Years B</w:t>
      </w:r>
      <w:r w:rsidR="00B65728" w:rsidRPr="00CC3A17">
        <w:t>lock (EYB)</w:t>
      </w:r>
      <w:r w:rsidR="00E4575A" w:rsidRPr="00CC3A17">
        <w:t>, High Needs B</w:t>
      </w:r>
      <w:r w:rsidR="00B65728" w:rsidRPr="00CC3A17">
        <w:t>lock (HNB)</w:t>
      </w:r>
      <w:r w:rsidR="00E4575A" w:rsidRPr="00CC3A17">
        <w:t xml:space="preserve"> and the Central Schools Services Block (CSSB)</w:t>
      </w:r>
      <w:r w:rsidR="00B65728" w:rsidRPr="00CC3A17">
        <w:t>.</w:t>
      </w:r>
    </w:p>
    <w:p w14:paraId="24B6F013" w14:textId="71C1D016" w:rsidR="00C34BB6" w:rsidRPr="00CC3A17" w:rsidRDefault="00C34BB6" w:rsidP="00CC3A17">
      <w:pPr>
        <w:pStyle w:val="ListParagraph"/>
        <w:ind w:left="567"/>
        <w:jc w:val="both"/>
      </w:pPr>
    </w:p>
    <w:p w14:paraId="2AEC5349" w14:textId="5DB2C4A9" w:rsidR="00B03668" w:rsidRDefault="00AF5AC9" w:rsidP="00CC3A17">
      <w:pPr>
        <w:pStyle w:val="ListParagraph"/>
        <w:numPr>
          <w:ilvl w:val="1"/>
          <w:numId w:val="11"/>
        </w:numPr>
        <w:ind w:left="567" w:hanging="567"/>
        <w:jc w:val="both"/>
      </w:pPr>
      <w:r>
        <w:t>T</w:t>
      </w:r>
      <w:r w:rsidR="00D41132" w:rsidRPr="00CC3A17">
        <w:t xml:space="preserve">he outturn position </w:t>
      </w:r>
      <w:r>
        <w:t>is</w:t>
      </w:r>
      <w:r w:rsidR="006C1E39" w:rsidRPr="00CC3A17">
        <w:t xml:space="preserve"> shown after deductions have been made for direct payments to </w:t>
      </w:r>
      <w:r w:rsidR="00C20835" w:rsidRPr="00CC3A17">
        <w:t>academies</w:t>
      </w:r>
      <w:r w:rsidR="002623C7">
        <w:t>, and no prior year balances are included.</w:t>
      </w:r>
    </w:p>
    <w:p w14:paraId="4743EE49" w14:textId="77777777" w:rsidR="00B03668" w:rsidRPr="00B03668" w:rsidRDefault="00B03668" w:rsidP="00B03668">
      <w:pPr>
        <w:pStyle w:val="ListParagraph"/>
        <w:ind w:left="567"/>
        <w:jc w:val="both"/>
      </w:pPr>
    </w:p>
    <w:p w14:paraId="2FB761C0" w14:textId="4B111EDA" w:rsidR="003E61A9" w:rsidRDefault="003E61A9" w:rsidP="003E61A9">
      <w:pPr>
        <w:pStyle w:val="ListParagraph"/>
        <w:numPr>
          <w:ilvl w:val="1"/>
          <w:numId w:val="11"/>
        </w:numPr>
        <w:ind w:left="567" w:hanging="567"/>
        <w:jc w:val="both"/>
      </w:pPr>
      <w:r>
        <w:t xml:space="preserve">The year-end DSG position excludes the 2021-22 early years adjustment and all </w:t>
      </w:r>
      <w:proofErr w:type="gramStart"/>
      <w:r>
        <w:t>schools</w:t>
      </w:r>
      <w:proofErr w:type="gramEnd"/>
      <w:r>
        <w:t xml:space="preserve"> balances carried forward from previous year’s.  It reconciles to the annual allocation.  This will be reported back to the DfE (once confirmed) in the Section 151 Outturn Statement and feature in the boroughs Note to the Accounts.</w:t>
      </w:r>
    </w:p>
    <w:p w14:paraId="23CC42C6" w14:textId="77777777" w:rsidR="003E61A9" w:rsidRDefault="003E61A9" w:rsidP="003E61A9">
      <w:pPr>
        <w:pStyle w:val="ListParagraph"/>
        <w:ind w:left="567"/>
        <w:jc w:val="both"/>
      </w:pPr>
    </w:p>
    <w:p w14:paraId="04CE0344" w14:textId="77777777" w:rsidR="00AF5AC9" w:rsidRDefault="00AF5AC9" w:rsidP="00AF5AC9">
      <w:pPr>
        <w:pStyle w:val="ListParagraph"/>
      </w:pPr>
    </w:p>
    <w:p w14:paraId="1E607907" w14:textId="1A14082E" w:rsidR="00B03668" w:rsidRDefault="00B03668" w:rsidP="00EA1221">
      <w:pPr>
        <w:ind w:left="1276" w:hanging="1276"/>
        <w:rPr>
          <w:b/>
        </w:rPr>
      </w:pPr>
      <w:r>
        <w:rPr>
          <w:b/>
        </w:rPr>
        <w:br w:type="page"/>
      </w:r>
      <w:r w:rsidRPr="00F32C7A">
        <w:rPr>
          <w:b/>
        </w:rPr>
        <w:lastRenderedPageBreak/>
        <w:t>Table 1:</w:t>
      </w:r>
      <w:r w:rsidRPr="00F32C7A">
        <w:rPr>
          <w:b/>
        </w:rPr>
        <w:tab/>
        <w:t xml:space="preserve">Net DSG Budgets, Net Expenditure and </w:t>
      </w:r>
      <w:r w:rsidR="00795B01">
        <w:rPr>
          <w:b/>
        </w:rPr>
        <w:t xml:space="preserve">Provisional </w:t>
      </w:r>
      <w:r w:rsidRPr="00F32C7A">
        <w:rPr>
          <w:b/>
        </w:rPr>
        <w:t xml:space="preserve">Under/Overspends </w:t>
      </w:r>
      <w:r>
        <w:rPr>
          <w:b/>
        </w:rPr>
        <w:t>per funding block</w:t>
      </w:r>
      <w:r w:rsidRPr="00F32C7A">
        <w:rPr>
          <w:b/>
        </w:rPr>
        <w:t>.</w:t>
      </w:r>
    </w:p>
    <w:p w14:paraId="2FC367E4" w14:textId="77777777" w:rsidR="000C494D" w:rsidRPr="00F32C7A" w:rsidRDefault="000C494D" w:rsidP="00B03668">
      <w:pPr>
        <w:ind w:left="1134" w:hanging="1134"/>
        <w:jc w:val="both"/>
        <w:rPr>
          <w:b/>
        </w:rPr>
      </w:pPr>
    </w:p>
    <w:tbl>
      <w:tblPr>
        <w:tblStyle w:val="GridTable2-Accent5"/>
        <w:tblW w:w="9351" w:type="dxa"/>
        <w:tblLook w:val="04A0" w:firstRow="1" w:lastRow="0" w:firstColumn="1" w:lastColumn="0" w:noHBand="0" w:noVBand="1"/>
      </w:tblPr>
      <w:tblGrid>
        <w:gridCol w:w="4106"/>
        <w:gridCol w:w="1843"/>
        <w:gridCol w:w="1843"/>
        <w:gridCol w:w="1559"/>
      </w:tblGrid>
      <w:tr w:rsidR="002078E3" w:rsidRPr="002078E3" w14:paraId="157FE0D9" w14:textId="77777777" w:rsidTr="00722B95">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106" w:type="dxa"/>
            <w:hideMark/>
          </w:tcPr>
          <w:p w14:paraId="592314E9" w14:textId="77777777" w:rsidR="002078E3" w:rsidRPr="002078E3" w:rsidRDefault="002078E3" w:rsidP="002078E3">
            <w:pPr>
              <w:jc w:val="center"/>
              <w:rPr>
                <w:rFonts w:cs="Arial"/>
                <w:b w:val="0"/>
                <w:bCs w:val="0"/>
                <w:sz w:val="20"/>
                <w:szCs w:val="20"/>
              </w:rPr>
            </w:pPr>
            <w:r w:rsidRPr="002078E3">
              <w:rPr>
                <w:rFonts w:cs="Arial"/>
                <w:sz w:val="20"/>
                <w:szCs w:val="20"/>
              </w:rPr>
              <w:t>Block</w:t>
            </w:r>
          </w:p>
        </w:tc>
        <w:tc>
          <w:tcPr>
            <w:tcW w:w="1843" w:type="dxa"/>
            <w:hideMark/>
          </w:tcPr>
          <w:p w14:paraId="72C15491" w14:textId="77777777" w:rsidR="002078E3" w:rsidRDefault="002078E3" w:rsidP="002078E3">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2078E3">
              <w:rPr>
                <w:rFonts w:cs="Arial"/>
                <w:sz w:val="20"/>
                <w:szCs w:val="20"/>
              </w:rPr>
              <w:t xml:space="preserve">Allocated DSG </w:t>
            </w:r>
            <w:proofErr w:type="gramStart"/>
            <w:r w:rsidRPr="002078E3">
              <w:rPr>
                <w:rFonts w:cs="Arial"/>
                <w:sz w:val="20"/>
                <w:szCs w:val="20"/>
              </w:rPr>
              <w:t>funding</w:t>
            </w:r>
            <w:proofErr w:type="gramEnd"/>
          </w:p>
          <w:p w14:paraId="31E62422" w14:textId="5BE97E06" w:rsidR="00693E7A" w:rsidRPr="002078E3" w:rsidRDefault="00693E7A" w:rsidP="002078E3">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£000</w:t>
            </w:r>
          </w:p>
        </w:tc>
        <w:tc>
          <w:tcPr>
            <w:tcW w:w="1843" w:type="dxa"/>
            <w:hideMark/>
          </w:tcPr>
          <w:p w14:paraId="0795C31D" w14:textId="77777777" w:rsidR="002078E3" w:rsidRDefault="002078E3" w:rsidP="002078E3">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2078E3">
              <w:rPr>
                <w:rFonts w:cs="Arial"/>
                <w:sz w:val="20"/>
                <w:szCs w:val="20"/>
              </w:rPr>
              <w:t>Expenditure</w:t>
            </w:r>
          </w:p>
          <w:p w14:paraId="07FFC551" w14:textId="77777777" w:rsidR="002623C7" w:rsidRDefault="002623C7" w:rsidP="002078E3">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p>
          <w:p w14:paraId="6504FEFF" w14:textId="0DE79304" w:rsidR="00693E7A" w:rsidRPr="002078E3" w:rsidRDefault="00693E7A" w:rsidP="002078E3">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£000</w:t>
            </w:r>
          </w:p>
        </w:tc>
        <w:tc>
          <w:tcPr>
            <w:tcW w:w="1559" w:type="dxa"/>
            <w:hideMark/>
          </w:tcPr>
          <w:p w14:paraId="768A36DB" w14:textId="77777777" w:rsidR="002078E3" w:rsidRDefault="002078E3" w:rsidP="002078E3">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2078E3">
              <w:rPr>
                <w:rFonts w:cs="Arial"/>
                <w:sz w:val="20"/>
                <w:szCs w:val="20"/>
              </w:rPr>
              <w:t>Net</w:t>
            </w:r>
          </w:p>
          <w:p w14:paraId="39D17F60" w14:textId="77777777" w:rsidR="002623C7" w:rsidRDefault="002623C7" w:rsidP="002078E3">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p>
          <w:p w14:paraId="0BB763E4" w14:textId="7A416520" w:rsidR="00693E7A" w:rsidRPr="002078E3" w:rsidRDefault="00693E7A" w:rsidP="002078E3">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£000</w:t>
            </w:r>
          </w:p>
        </w:tc>
      </w:tr>
      <w:tr w:rsidR="00693E7A" w:rsidRPr="002078E3" w14:paraId="269FD4A7" w14:textId="77777777" w:rsidTr="00722B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193B5048" w14:textId="73319509" w:rsidR="00693E7A" w:rsidRPr="002078E3" w:rsidRDefault="00693E7A" w:rsidP="00693E7A">
            <w:pPr>
              <w:rPr>
                <w:rFonts w:cs="Arial"/>
                <w:sz w:val="20"/>
                <w:szCs w:val="20"/>
              </w:rPr>
            </w:pPr>
            <w:r>
              <w:rPr>
                <w:rFonts w:cs="Arial"/>
                <w:color w:val="000000"/>
                <w:sz w:val="20"/>
                <w:szCs w:val="20"/>
              </w:rPr>
              <w:t xml:space="preserve"> Schools block </w:t>
            </w:r>
          </w:p>
        </w:tc>
        <w:tc>
          <w:tcPr>
            <w:tcW w:w="1843" w:type="dxa"/>
            <w:noWrap/>
            <w:hideMark/>
          </w:tcPr>
          <w:p w14:paraId="1383955A" w14:textId="4EC7C3A9" w:rsidR="00693E7A" w:rsidRPr="002078E3" w:rsidRDefault="00693E7A" w:rsidP="00693E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208,769</w:t>
            </w:r>
          </w:p>
        </w:tc>
        <w:tc>
          <w:tcPr>
            <w:tcW w:w="1843" w:type="dxa"/>
            <w:noWrap/>
            <w:hideMark/>
          </w:tcPr>
          <w:p w14:paraId="3A056434" w14:textId="3996A98C" w:rsidR="00693E7A" w:rsidRPr="002078E3" w:rsidRDefault="00693E7A" w:rsidP="00693E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color w:val="000000"/>
                <w:sz w:val="22"/>
                <w:szCs w:val="22"/>
              </w:rPr>
              <w:t>207,</w:t>
            </w:r>
            <w:r w:rsidR="00795B01">
              <w:rPr>
                <w:rFonts w:ascii="Calibri" w:hAnsi="Calibri" w:cs="Calibri"/>
                <w:color w:val="000000"/>
                <w:sz w:val="22"/>
                <w:szCs w:val="22"/>
              </w:rPr>
              <w:t>432</w:t>
            </w:r>
          </w:p>
        </w:tc>
        <w:tc>
          <w:tcPr>
            <w:tcW w:w="1559" w:type="dxa"/>
            <w:hideMark/>
          </w:tcPr>
          <w:p w14:paraId="7BE1F5CE" w14:textId="31DDC953" w:rsidR="00693E7A" w:rsidRPr="002078E3" w:rsidRDefault="00693E7A" w:rsidP="00693E7A">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Calibri" w:hAnsi="Calibri" w:cs="Calibri"/>
                <w:color w:val="000000"/>
                <w:sz w:val="22"/>
                <w:szCs w:val="22"/>
              </w:rPr>
              <w:t>1,</w:t>
            </w:r>
            <w:r w:rsidR="00795B01">
              <w:rPr>
                <w:rFonts w:ascii="Calibri" w:hAnsi="Calibri" w:cs="Calibri"/>
                <w:color w:val="000000"/>
                <w:sz w:val="22"/>
                <w:szCs w:val="22"/>
              </w:rPr>
              <w:t>337</w:t>
            </w:r>
          </w:p>
        </w:tc>
      </w:tr>
      <w:tr w:rsidR="00693E7A" w:rsidRPr="002078E3" w14:paraId="68BE34A6" w14:textId="77777777" w:rsidTr="00722B95">
        <w:trPr>
          <w:trHeight w:val="29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116CD738" w14:textId="10DC6C40" w:rsidR="00693E7A" w:rsidRPr="002078E3" w:rsidRDefault="00693E7A" w:rsidP="00693E7A">
            <w:pPr>
              <w:rPr>
                <w:rFonts w:cs="Arial"/>
                <w:sz w:val="20"/>
                <w:szCs w:val="20"/>
              </w:rPr>
            </w:pPr>
            <w:r>
              <w:rPr>
                <w:rFonts w:cs="Arial"/>
                <w:color w:val="000000"/>
                <w:sz w:val="20"/>
                <w:szCs w:val="20"/>
              </w:rPr>
              <w:t xml:space="preserve"> Central school services block </w:t>
            </w:r>
          </w:p>
        </w:tc>
        <w:tc>
          <w:tcPr>
            <w:tcW w:w="1843" w:type="dxa"/>
            <w:noWrap/>
            <w:hideMark/>
          </w:tcPr>
          <w:p w14:paraId="178936DE" w14:textId="1129C141" w:rsidR="00693E7A" w:rsidRPr="002078E3" w:rsidRDefault="00693E7A" w:rsidP="00693E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3,511</w:t>
            </w:r>
          </w:p>
        </w:tc>
        <w:tc>
          <w:tcPr>
            <w:tcW w:w="1843" w:type="dxa"/>
            <w:hideMark/>
          </w:tcPr>
          <w:p w14:paraId="060AACFB" w14:textId="55541550" w:rsidR="00693E7A" w:rsidRPr="002078E3" w:rsidRDefault="00693E7A" w:rsidP="00693E7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Calibri" w:hAnsi="Calibri" w:cs="Calibri"/>
                <w:color w:val="000000"/>
                <w:sz w:val="22"/>
                <w:szCs w:val="22"/>
              </w:rPr>
              <w:t>3,</w:t>
            </w:r>
            <w:r w:rsidR="00795B01">
              <w:rPr>
                <w:rFonts w:ascii="Calibri" w:hAnsi="Calibri" w:cs="Calibri"/>
                <w:color w:val="000000"/>
                <w:sz w:val="22"/>
                <w:szCs w:val="22"/>
              </w:rPr>
              <w:t>241</w:t>
            </w:r>
          </w:p>
        </w:tc>
        <w:tc>
          <w:tcPr>
            <w:tcW w:w="1559" w:type="dxa"/>
            <w:hideMark/>
          </w:tcPr>
          <w:p w14:paraId="629AD3DA" w14:textId="34D076CD" w:rsidR="00693E7A" w:rsidRPr="000649F8" w:rsidRDefault="00795B01" w:rsidP="000649F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Calibri" w:hAnsi="Calibri" w:cs="Calibri"/>
                <w:color w:val="000000"/>
                <w:sz w:val="22"/>
                <w:szCs w:val="22"/>
              </w:rPr>
              <w:t>270</w:t>
            </w:r>
          </w:p>
        </w:tc>
      </w:tr>
      <w:tr w:rsidR="002623C7" w:rsidRPr="002078E3" w14:paraId="412BF6F6" w14:textId="77777777" w:rsidTr="00722B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6" w:type="dxa"/>
            <w:noWrap/>
            <w:hideMark/>
          </w:tcPr>
          <w:p w14:paraId="0B00565F" w14:textId="0B993D96" w:rsidR="002623C7" w:rsidRPr="002078E3" w:rsidRDefault="002623C7" w:rsidP="002623C7">
            <w:pPr>
              <w:rPr>
                <w:rFonts w:cs="Arial"/>
                <w:sz w:val="20"/>
                <w:szCs w:val="20"/>
              </w:rPr>
            </w:pPr>
            <w:r>
              <w:rPr>
                <w:rFonts w:cs="Arial"/>
                <w:color w:val="000000"/>
                <w:sz w:val="20"/>
                <w:szCs w:val="20"/>
              </w:rPr>
              <w:t xml:space="preserve"> High needs block </w:t>
            </w:r>
          </w:p>
        </w:tc>
        <w:tc>
          <w:tcPr>
            <w:tcW w:w="1843" w:type="dxa"/>
            <w:noWrap/>
            <w:hideMark/>
          </w:tcPr>
          <w:p w14:paraId="26FE2719" w14:textId="14CDD53E" w:rsidR="002623C7" w:rsidRPr="002078E3" w:rsidRDefault="002623C7" w:rsidP="002623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69,381</w:t>
            </w:r>
          </w:p>
        </w:tc>
        <w:tc>
          <w:tcPr>
            <w:tcW w:w="1843" w:type="dxa"/>
            <w:hideMark/>
          </w:tcPr>
          <w:p w14:paraId="7F2EA07A" w14:textId="5E17E291" w:rsidR="002623C7" w:rsidRPr="002078E3" w:rsidRDefault="002623C7" w:rsidP="002623C7">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Calibri" w:hAnsi="Calibri" w:cs="Calibri"/>
                <w:color w:val="000000"/>
                <w:sz w:val="22"/>
                <w:szCs w:val="22"/>
              </w:rPr>
              <w:t>71,299</w:t>
            </w:r>
          </w:p>
        </w:tc>
        <w:tc>
          <w:tcPr>
            <w:tcW w:w="1559" w:type="dxa"/>
            <w:hideMark/>
          </w:tcPr>
          <w:p w14:paraId="3ACF6394" w14:textId="6B774457" w:rsidR="002623C7" w:rsidRPr="002623C7" w:rsidRDefault="002623C7" w:rsidP="002623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- 1,918 </w:t>
            </w:r>
          </w:p>
        </w:tc>
      </w:tr>
      <w:tr w:rsidR="002623C7" w:rsidRPr="002078E3" w14:paraId="11ABD60C" w14:textId="77777777" w:rsidTr="00722B95">
        <w:trPr>
          <w:trHeight w:val="305"/>
        </w:trPr>
        <w:tc>
          <w:tcPr>
            <w:cnfStyle w:val="001000000000" w:firstRow="0" w:lastRow="0" w:firstColumn="1" w:lastColumn="0" w:oddVBand="0" w:evenVBand="0" w:oddHBand="0" w:evenHBand="0" w:firstRowFirstColumn="0" w:firstRowLastColumn="0" w:lastRowFirstColumn="0" w:lastRowLastColumn="0"/>
            <w:tcW w:w="4106" w:type="dxa"/>
            <w:hideMark/>
          </w:tcPr>
          <w:p w14:paraId="4EAE1F2C" w14:textId="27D759B5" w:rsidR="002623C7" w:rsidRPr="002078E3" w:rsidRDefault="002623C7" w:rsidP="002623C7">
            <w:pPr>
              <w:rPr>
                <w:rFonts w:cs="Arial"/>
                <w:sz w:val="20"/>
                <w:szCs w:val="20"/>
              </w:rPr>
            </w:pPr>
            <w:r>
              <w:rPr>
                <w:rFonts w:cs="Arial"/>
                <w:color w:val="000000"/>
                <w:sz w:val="20"/>
                <w:szCs w:val="20"/>
              </w:rPr>
              <w:t xml:space="preserve"> Early years block </w:t>
            </w:r>
          </w:p>
        </w:tc>
        <w:tc>
          <w:tcPr>
            <w:tcW w:w="1843" w:type="dxa"/>
            <w:noWrap/>
            <w:hideMark/>
          </w:tcPr>
          <w:p w14:paraId="08EEB2BB" w14:textId="1DA52FE9" w:rsidR="002623C7" w:rsidRPr="002078E3" w:rsidRDefault="002623C7" w:rsidP="002623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28,600</w:t>
            </w:r>
          </w:p>
        </w:tc>
        <w:tc>
          <w:tcPr>
            <w:tcW w:w="1843" w:type="dxa"/>
            <w:noWrap/>
            <w:hideMark/>
          </w:tcPr>
          <w:p w14:paraId="484B57F2" w14:textId="427D45CD" w:rsidR="002623C7" w:rsidRPr="002078E3" w:rsidRDefault="002623C7" w:rsidP="002623C7">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Calibri" w:hAnsi="Calibri" w:cs="Calibri"/>
                <w:color w:val="000000"/>
                <w:sz w:val="22"/>
                <w:szCs w:val="22"/>
              </w:rPr>
              <w:t>27,382</w:t>
            </w:r>
          </w:p>
        </w:tc>
        <w:tc>
          <w:tcPr>
            <w:tcW w:w="1559" w:type="dxa"/>
            <w:hideMark/>
          </w:tcPr>
          <w:p w14:paraId="0D79B89B" w14:textId="7A9042CA" w:rsidR="002623C7" w:rsidRPr="002623C7" w:rsidRDefault="002623C7" w:rsidP="002623C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1,218</w:t>
            </w:r>
          </w:p>
        </w:tc>
      </w:tr>
      <w:tr w:rsidR="002623C7" w:rsidRPr="002078E3" w14:paraId="0826526A" w14:textId="77777777" w:rsidTr="00722B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6" w:type="dxa"/>
            <w:hideMark/>
          </w:tcPr>
          <w:p w14:paraId="1D681C87" w14:textId="34F7F74F" w:rsidR="002623C7" w:rsidRPr="002078E3" w:rsidRDefault="002623C7" w:rsidP="002623C7">
            <w:pPr>
              <w:rPr>
                <w:rFonts w:cs="Arial"/>
                <w:sz w:val="20"/>
                <w:szCs w:val="20"/>
              </w:rPr>
            </w:pPr>
            <w:r>
              <w:rPr>
                <w:rFonts w:cs="Arial"/>
                <w:color w:val="000000"/>
                <w:sz w:val="20"/>
                <w:szCs w:val="20"/>
              </w:rPr>
              <w:t xml:space="preserve"> Total DSG allocation </w:t>
            </w:r>
          </w:p>
        </w:tc>
        <w:tc>
          <w:tcPr>
            <w:tcW w:w="1843" w:type="dxa"/>
            <w:noWrap/>
            <w:hideMark/>
          </w:tcPr>
          <w:p w14:paraId="3E1B35F1" w14:textId="52731805" w:rsidR="002623C7" w:rsidRPr="002078E3" w:rsidRDefault="002623C7" w:rsidP="002623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b/>
                <w:bCs/>
                <w:color w:val="000000"/>
                <w:sz w:val="22"/>
                <w:szCs w:val="22"/>
              </w:rPr>
              <w:t>310,261</w:t>
            </w:r>
          </w:p>
        </w:tc>
        <w:tc>
          <w:tcPr>
            <w:tcW w:w="1843" w:type="dxa"/>
            <w:hideMark/>
          </w:tcPr>
          <w:p w14:paraId="34F142A8" w14:textId="21013010" w:rsidR="002623C7" w:rsidRPr="002078E3" w:rsidRDefault="002623C7" w:rsidP="002623C7">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ascii="Calibri" w:hAnsi="Calibri" w:cs="Calibri"/>
                <w:b/>
                <w:bCs/>
                <w:color w:val="000000"/>
                <w:sz w:val="22"/>
                <w:szCs w:val="22"/>
              </w:rPr>
              <w:t>30</w:t>
            </w:r>
            <w:r w:rsidR="000649F8">
              <w:rPr>
                <w:rFonts w:ascii="Calibri" w:hAnsi="Calibri" w:cs="Calibri"/>
                <w:b/>
                <w:bCs/>
                <w:color w:val="000000"/>
                <w:sz w:val="22"/>
                <w:szCs w:val="22"/>
              </w:rPr>
              <w:t>9</w:t>
            </w:r>
            <w:r>
              <w:rPr>
                <w:rFonts w:ascii="Calibri" w:hAnsi="Calibri" w:cs="Calibri"/>
                <w:b/>
                <w:bCs/>
                <w:color w:val="000000"/>
                <w:sz w:val="22"/>
                <w:szCs w:val="22"/>
              </w:rPr>
              <w:t>,</w:t>
            </w:r>
            <w:r w:rsidR="00795B01">
              <w:rPr>
                <w:rFonts w:ascii="Calibri" w:hAnsi="Calibri" w:cs="Calibri"/>
                <w:b/>
                <w:bCs/>
                <w:color w:val="000000"/>
                <w:sz w:val="22"/>
                <w:szCs w:val="22"/>
              </w:rPr>
              <w:t>353</w:t>
            </w:r>
          </w:p>
        </w:tc>
        <w:tc>
          <w:tcPr>
            <w:tcW w:w="1559" w:type="dxa"/>
            <w:hideMark/>
          </w:tcPr>
          <w:p w14:paraId="2696F449" w14:textId="67DC0BF1" w:rsidR="002623C7" w:rsidRPr="002623C7" w:rsidRDefault="00795B01" w:rsidP="002623C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908</w:t>
            </w:r>
          </w:p>
        </w:tc>
      </w:tr>
    </w:tbl>
    <w:p w14:paraId="32783A1C" w14:textId="767171A5" w:rsidR="00CC3A17" w:rsidRDefault="00CC3A17">
      <w:pPr>
        <w:rPr>
          <w:highlight w:val="yellow"/>
        </w:rPr>
      </w:pPr>
    </w:p>
    <w:p w14:paraId="249DAB57" w14:textId="77777777" w:rsidR="00795B01" w:rsidRDefault="00795B01" w:rsidP="00795B01">
      <w:pPr>
        <w:pStyle w:val="ListParagraph"/>
        <w:ind w:left="567"/>
        <w:jc w:val="both"/>
      </w:pPr>
    </w:p>
    <w:p w14:paraId="32A9599A" w14:textId="0D4C03E3" w:rsidR="00463EB4" w:rsidRDefault="00795B01" w:rsidP="00463EB4">
      <w:pPr>
        <w:pStyle w:val="ListParagraph"/>
        <w:numPr>
          <w:ilvl w:val="1"/>
          <w:numId w:val="11"/>
        </w:numPr>
        <w:ind w:left="567" w:hanging="567"/>
        <w:jc w:val="both"/>
      </w:pPr>
      <w:r>
        <w:t>Previously Schools Forum have agreed that t</w:t>
      </w:r>
      <w:r w:rsidR="000649F8">
        <w:t xml:space="preserve">he </w:t>
      </w:r>
      <w:r>
        <w:t>underspends in different blocks contribute to the overspend in the High Needs block, this has been represented in the B/F prior years column in table 2</w:t>
      </w:r>
      <w:r w:rsidR="003E61A9">
        <w:t xml:space="preserve"> (*)</w:t>
      </w:r>
      <w:r>
        <w:t xml:space="preserve">.  The provisional 2022-23 balances are shown per block.  </w:t>
      </w:r>
      <w:proofErr w:type="gramStart"/>
      <w:r>
        <w:t>T</w:t>
      </w:r>
      <w:r w:rsidR="00463EB4">
        <w:t>aking into account</w:t>
      </w:r>
      <w:proofErr w:type="gramEnd"/>
      <w:r w:rsidR="00463EB4">
        <w:t xml:space="preserve"> previous year’s </w:t>
      </w:r>
      <w:r>
        <w:t xml:space="preserve">reconciled balances, the provisional cumulative outturn is a reduced </w:t>
      </w:r>
      <w:r w:rsidR="00842079">
        <w:t xml:space="preserve">overall </w:t>
      </w:r>
      <w:r>
        <w:t xml:space="preserve">in </w:t>
      </w:r>
      <w:r w:rsidR="00842079">
        <w:t>deficit.</w:t>
      </w:r>
    </w:p>
    <w:p w14:paraId="6923B9B7" w14:textId="25DF2D35" w:rsidR="00C868C2" w:rsidRPr="00557BAC" w:rsidRDefault="00C868C2" w:rsidP="00F44713">
      <w:pPr>
        <w:jc w:val="both"/>
        <w:rPr>
          <w:color w:val="000000" w:themeColor="text1"/>
          <w:highlight w:val="yellow"/>
        </w:rPr>
      </w:pPr>
    </w:p>
    <w:p w14:paraId="5D54F1A4" w14:textId="292365D6" w:rsidR="00F55D03" w:rsidRPr="00F32C7A" w:rsidRDefault="00A76AC6" w:rsidP="00F32C7A">
      <w:pPr>
        <w:keepNext/>
        <w:jc w:val="both"/>
        <w:rPr>
          <w:b/>
        </w:rPr>
      </w:pPr>
      <w:r w:rsidRPr="00F32C7A">
        <w:rPr>
          <w:b/>
        </w:rPr>
        <w:t xml:space="preserve">Table 2: Cumulative </w:t>
      </w:r>
      <w:r w:rsidR="000649F8">
        <w:rPr>
          <w:b/>
        </w:rPr>
        <w:t xml:space="preserve">Provisional </w:t>
      </w:r>
      <w:r w:rsidRPr="00F32C7A">
        <w:rPr>
          <w:b/>
        </w:rPr>
        <w:t>Position</w:t>
      </w:r>
      <w:r w:rsidR="00255B4E" w:rsidRPr="00F32C7A">
        <w:rPr>
          <w:b/>
        </w:rPr>
        <w:t xml:space="preserve"> </w:t>
      </w:r>
      <w:r w:rsidR="000649F8">
        <w:rPr>
          <w:b/>
        </w:rPr>
        <w:t>with</w:t>
      </w:r>
      <w:r w:rsidR="00255B4E" w:rsidRPr="00F32C7A">
        <w:rPr>
          <w:b/>
        </w:rPr>
        <w:t xml:space="preserve"> Balances Brought Forward</w:t>
      </w:r>
      <w:r w:rsidRPr="00F32C7A">
        <w:rPr>
          <w:b/>
        </w:rPr>
        <w:t xml:space="preserve">. </w:t>
      </w:r>
    </w:p>
    <w:p w14:paraId="60B0BDD4" w14:textId="77777777" w:rsidR="00A76AC6" w:rsidRPr="00F32C7A" w:rsidRDefault="00A76AC6" w:rsidP="00BF73B5">
      <w:pPr>
        <w:keepNext/>
        <w:ind w:left="720"/>
        <w:jc w:val="both"/>
      </w:pPr>
    </w:p>
    <w:tbl>
      <w:tblPr>
        <w:tblStyle w:val="TableGrid"/>
        <w:tblW w:w="9214" w:type="dxa"/>
        <w:tblInd w:w="-5" w:type="dxa"/>
        <w:tblLook w:val="04A0" w:firstRow="1" w:lastRow="0" w:firstColumn="1" w:lastColumn="0" w:noHBand="0" w:noVBand="1"/>
      </w:tblPr>
      <w:tblGrid>
        <w:gridCol w:w="3261"/>
        <w:gridCol w:w="1984"/>
        <w:gridCol w:w="1985"/>
        <w:gridCol w:w="1984"/>
      </w:tblGrid>
      <w:tr w:rsidR="00F55D03" w:rsidRPr="00F32C7A" w14:paraId="63F8AB8A" w14:textId="77777777" w:rsidTr="002623C7">
        <w:tc>
          <w:tcPr>
            <w:tcW w:w="3261" w:type="dxa"/>
            <w:shd w:val="clear" w:color="auto" w:fill="DBE5F1" w:themeFill="accent1" w:themeFillTint="33"/>
          </w:tcPr>
          <w:p w14:paraId="33898F15" w14:textId="2121A3D8" w:rsidR="00F55D03" w:rsidRPr="008A3C5C" w:rsidRDefault="00F55D03" w:rsidP="008A3C5C">
            <w:pPr>
              <w:jc w:val="center"/>
              <w:rPr>
                <w:rFonts w:cs="Arial"/>
                <w:b/>
                <w:bCs/>
                <w:sz w:val="20"/>
                <w:szCs w:val="20"/>
              </w:rPr>
            </w:pPr>
            <w:r w:rsidRPr="008A3C5C">
              <w:rPr>
                <w:rFonts w:cs="Arial"/>
                <w:b/>
                <w:bCs/>
                <w:sz w:val="20"/>
                <w:szCs w:val="20"/>
              </w:rPr>
              <w:t>Block</w:t>
            </w:r>
          </w:p>
        </w:tc>
        <w:tc>
          <w:tcPr>
            <w:tcW w:w="1984" w:type="dxa"/>
            <w:shd w:val="clear" w:color="auto" w:fill="DBE5F1" w:themeFill="accent1" w:themeFillTint="33"/>
          </w:tcPr>
          <w:p w14:paraId="0B572952" w14:textId="2B7D9A60" w:rsidR="00F55D03" w:rsidRDefault="00B74988" w:rsidP="008A3C5C">
            <w:pPr>
              <w:jc w:val="center"/>
              <w:rPr>
                <w:rFonts w:cs="Arial"/>
                <w:b/>
                <w:bCs/>
                <w:sz w:val="20"/>
                <w:szCs w:val="20"/>
              </w:rPr>
            </w:pPr>
            <w:r w:rsidRPr="008A3C5C">
              <w:rPr>
                <w:rFonts w:cs="Arial"/>
                <w:b/>
                <w:bCs/>
                <w:sz w:val="20"/>
                <w:szCs w:val="20"/>
              </w:rPr>
              <w:t>B/</w:t>
            </w:r>
            <w:r w:rsidR="00A8672B" w:rsidRPr="008A3C5C">
              <w:rPr>
                <w:rFonts w:cs="Arial"/>
                <w:b/>
                <w:bCs/>
                <w:sz w:val="20"/>
                <w:szCs w:val="20"/>
              </w:rPr>
              <w:t>F prior years</w:t>
            </w:r>
            <w:r w:rsidR="00795B01">
              <w:rPr>
                <w:rFonts w:cs="Arial"/>
                <w:b/>
                <w:bCs/>
                <w:sz w:val="20"/>
                <w:szCs w:val="20"/>
              </w:rPr>
              <w:t xml:space="preserve"> </w:t>
            </w:r>
            <w:r w:rsidR="003E61A9">
              <w:rPr>
                <w:rFonts w:cs="Arial"/>
                <w:b/>
                <w:bCs/>
                <w:sz w:val="20"/>
                <w:szCs w:val="20"/>
              </w:rPr>
              <w:t>(*)</w:t>
            </w:r>
          </w:p>
          <w:p w14:paraId="7FA63428" w14:textId="77777777" w:rsidR="002623C7" w:rsidRPr="002623C7" w:rsidRDefault="002623C7" w:rsidP="002623C7">
            <w:pPr>
              <w:jc w:val="center"/>
              <w:rPr>
                <w:rFonts w:cs="Arial"/>
                <w:sz w:val="20"/>
                <w:szCs w:val="20"/>
              </w:rPr>
            </w:pPr>
            <w:r w:rsidRPr="002623C7">
              <w:rPr>
                <w:rFonts w:cs="Arial"/>
                <w:sz w:val="20"/>
                <w:szCs w:val="20"/>
              </w:rPr>
              <w:t>Under/(over) spend</w:t>
            </w:r>
          </w:p>
          <w:p w14:paraId="1D738D58" w14:textId="51EF5C86" w:rsidR="008A3C5C" w:rsidRPr="008A3C5C" w:rsidRDefault="008A3C5C" w:rsidP="008A3C5C">
            <w:pPr>
              <w:jc w:val="center"/>
              <w:rPr>
                <w:rFonts w:cs="Arial"/>
                <w:b/>
                <w:bCs/>
                <w:sz w:val="20"/>
                <w:szCs w:val="20"/>
              </w:rPr>
            </w:pPr>
            <w:r>
              <w:rPr>
                <w:rFonts w:cs="Arial"/>
                <w:b/>
                <w:bCs/>
                <w:sz w:val="20"/>
                <w:szCs w:val="20"/>
              </w:rPr>
              <w:t>£ mill</w:t>
            </w:r>
          </w:p>
        </w:tc>
        <w:tc>
          <w:tcPr>
            <w:tcW w:w="1985" w:type="dxa"/>
            <w:shd w:val="clear" w:color="auto" w:fill="DBE5F1" w:themeFill="accent1" w:themeFillTint="33"/>
          </w:tcPr>
          <w:p w14:paraId="4A3736BF" w14:textId="77777777" w:rsidR="00F55D03" w:rsidRDefault="00A76AC6" w:rsidP="008A3C5C">
            <w:pPr>
              <w:jc w:val="center"/>
              <w:rPr>
                <w:rFonts w:cs="Arial"/>
                <w:b/>
                <w:bCs/>
                <w:sz w:val="20"/>
                <w:szCs w:val="20"/>
              </w:rPr>
            </w:pPr>
            <w:r w:rsidRPr="008A3C5C">
              <w:rPr>
                <w:rFonts w:cs="Arial"/>
                <w:b/>
                <w:bCs/>
                <w:sz w:val="20"/>
                <w:szCs w:val="20"/>
              </w:rPr>
              <w:t>20</w:t>
            </w:r>
            <w:r w:rsidR="00A8672B" w:rsidRPr="008A3C5C">
              <w:rPr>
                <w:rFonts w:cs="Arial"/>
                <w:b/>
                <w:bCs/>
                <w:sz w:val="20"/>
                <w:szCs w:val="20"/>
              </w:rPr>
              <w:t>2</w:t>
            </w:r>
            <w:r w:rsidR="00967D19" w:rsidRPr="008A3C5C">
              <w:rPr>
                <w:rFonts w:cs="Arial"/>
                <w:b/>
                <w:bCs/>
                <w:sz w:val="20"/>
                <w:szCs w:val="20"/>
              </w:rPr>
              <w:t>2</w:t>
            </w:r>
            <w:r w:rsidRPr="008A3C5C">
              <w:rPr>
                <w:rFonts w:cs="Arial"/>
                <w:b/>
                <w:bCs/>
                <w:sz w:val="20"/>
                <w:szCs w:val="20"/>
              </w:rPr>
              <w:t>-2</w:t>
            </w:r>
            <w:r w:rsidR="00967D19" w:rsidRPr="008A3C5C">
              <w:rPr>
                <w:rFonts w:cs="Arial"/>
                <w:b/>
                <w:bCs/>
                <w:sz w:val="20"/>
                <w:szCs w:val="20"/>
              </w:rPr>
              <w:t>3</w:t>
            </w:r>
          </w:p>
          <w:p w14:paraId="32CD0E31" w14:textId="77777777" w:rsidR="002623C7" w:rsidRPr="002623C7" w:rsidRDefault="002623C7" w:rsidP="002623C7">
            <w:pPr>
              <w:jc w:val="center"/>
              <w:rPr>
                <w:rFonts w:cs="Arial"/>
                <w:sz w:val="20"/>
                <w:szCs w:val="20"/>
              </w:rPr>
            </w:pPr>
            <w:r w:rsidRPr="002623C7">
              <w:rPr>
                <w:rFonts w:cs="Arial"/>
                <w:sz w:val="20"/>
                <w:szCs w:val="20"/>
              </w:rPr>
              <w:t>Under/(over) spend</w:t>
            </w:r>
          </w:p>
          <w:p w14:paraId="75021DDD" w14:textId="35105E5E" w:rsidR="008A3C5C" w:rsidRPr="008A3C5C" w:rsidRDefault="008A3C5C" w:rsidP="008A3C5C">
            <w:pPr>
              <w:jc w:val="center"/>
              <w:rPr>
                <w:rFonts w:cs="Arial"/>
                <w:b/>
                <w:bCs/>
                <w:sz w:val="20"/>
                <w:szCs w:val="20"/>
              </w:rPr>
            </w:pPr>
            <w:r>
              <w:rPr>
                <w:rFonts w:cs="Arial"/>
                <w:b/>
                <w:bCs/>
                <w:sz w:val="20"/>
                <w:szCs w:val="20"/>
              </w:rPr>
              <w:t>£ mill</w:t>
            </w:r>
          </w:p>
        </w:tc>
        <w:tc>
          <w:tcPr>
            <w:tcW w:w="1984" w:type="dxa"/>
            <w:shd w:val="clear" w:color="auto" w:fill="DBE5F1" w:themeFill="accent1" w:themeFillTint="33"/>
          </w:tcPr>
          <w:p w14:paraId="50104D4D" w14:textId="77777777" w:rsidR="00F55D03" w:rsidRPr="008A3C5C" w:rsidRDefault="00A76AC6" w:rsidP="008A3C5C">
            <w:pPr>
              <w:jc w:val="center"/>
              <w:rPr>
                <w:rFonts w:cs="Arial"/>
                <w:b/>
                <w:bCs/>
                <w:sz w:val="20"/>
                <w:szCs w:val="20"/>
              </w:rPr>
            </w:pPr>
            <w:r w:rsidRPr="008A3C5C">
              <w:rPr>
                <w:rFonts w:cs="Arial"/>
                <w:b/>
                <w:bCs/>
                <w:sz w:val="20"/>
                <w:szCs w:val="20"/>
              </w:rPr>
              <w:t>Cumulative</w:t>
            </w:r>
            <w:r w:rsidR="00693E7A" w:rsidRPr="008A3C5C">
              <w:rPr>
                <w:rFonts w:cs="Arial"/>
                <w:b/>
                <w:bCs/>
                <w:sz w:val="20"/>
                <w:szCs w:val="20"/>
              </w:rPr>
              <w:t xml:space="preserve"> </w:t>
            </w:r>
          </w:p>
          <w:p w14:paraId="1C0B3000" w14:textId="77777777" w:rsidR="00693E7A" w:rsidRPr="002623C7" w:rsidRDefault="00693E7A" w:rsidP="008A3C5C">
            <w:pPr>
              <w:jc w:val="center"/>
              <w:rPr>
                <w:rFonts w:cs="Arial"/>
                <w:sz w:val="20"/>
                <w:szCs w:val="20"/>
              </w:rPr>
            </w:pPr>
            <w:r w:rsidRPr="002623C7">
              <w:rPr>
                <w:rFonts w:cs="Arial"/>
                <w:sz w:val="20"/>
                <w:szCs w:val="20"/>
              </w:rPr>
              <w:t>Under/(over) spend</w:t>
            </w:r>
          </w:p>
          <w:p w14:paraId="6D40B0A0" w14:textId="6C43554C" w:rsidR="008A3C5C" w:rsidRPr="008A3C5C" w:rsidRDefault="008A3C5C" w:rsidP="008A3C5C">
            <w:pPr>
              <w:jc w:val="center"/>
              <w:rPr>
                <w:rFonts w:cs="Arial"/>
                <w:b/>
                <w:bCs/>
                <w:sz w:val="20"/>
                <w:szCs w:val="20"/>
              </w:rPr>
            </w:pPr>
            <w:r>
              <w:rPr>
                <w:rFonts w:cs="Arial"/>
                <w:b/>
                <w:bCs/>
                <w:sz w:val="20"/>
                <w:szCs w:val="20"/>
              </w:rPr>
              <w:t>£ mill</w:t>
            </w:r>
          </w:p>
        </w:tc>
      </w:tr>
      <w:tr w:rsidR="008A3C5C" w:rsidRPr="00F32C7A" w14:paraId="39B108B9" w14:textId="77777777" w:rsidTr="002623C7">
        <w:tc>
          <w:tcPr>
            <w:tcW w:w="3261" w:type="dxa"/>
            <w:shd w:val="clear" w:color="auto" w:fill="auto"/>
            <w:vAlign w:val="center"/>
          </w:tcPr>
          <w:p w14:paraId="22CC44E3" w14:textId="457DA81B" w:rsidR="008A3C5C" w:rsidRPr="00F32C7A" w:rsidRDefault="008A3C5C" w:rsidP="008A3C5C">
            <w:pPr>
              <w:pStyle w:val="ListParagraph"/>
              <w:keepNext/>
              <w:ind w:left="0"/>
              <w:rPr>
                <w:color w:val="FF0000"/>
              </w:rPr>
            </w:pPr>
            <w:r>
              <w:rPr>
                <w:rFonts w:cs="Arial"/>
                <w:b/>
                <w:bCs/>
                <w:color w:val="000000"/>
                <w:sz w:val="20"/>
                <w:szCs w:val="20"/>
              </w:rPr>
              <w:t xml:space="preserve"> Schools block </w:t>
            </w:r>
          </w:p>
        </w:tc>
        <w:tc>
          <w:tcPr>
            <w:tcW w:w="1984" w:type="dxa"/>
            <w:shd w:val="clear" w:color="auto" w:fill="auto"/>
            <w:vAlign w:val="center"/>
          </w:tcPr>
          <w:p w14:paraId="430CC147" w14:textId="37449248" w:rsidR="008A3C5C" w:rsidRPr="00F32C7A" w:rsidRDefault="008A3C5C" w:rsidP="008A3C5C">
            <w:pPr>
              <w:keepNext/>
              <w:jc w:val="center"/>
              <w:rPr>
                <w:sz w:val="22"/>
                <w:szCs w:val="22"/>
              </w:rPr>
            </w:pPr>
            <w:r>
              <w:rPr>
                <w:rFonts w:cs="Arial"/>
                <w:color w:val="000000"/>
                <w:sz w:val="22"/>
                <w:szCs w:val="22"/>
              </w:rPr>
              <w:t>0</w:t>
            </w:r>
          </w:p>
        </w:tc>
        <w:tc>
          <w:tcPr>
            <w:tcW w:w="1985" w:type="dxa"/>
            <w:shd w:val="clear" w:color="auto" w:fill="auto"/>
            <w:vAlign w:val="center"/>
          </w:tcPr>
          <w:p w14:paraId="5B5FA558" w14:textId="347EF5B1" w:rsidR="008A3C5C" w:rsidRPr="00967D19" w:rsidRDefault="008A3C5C" w:rsidP="008A3C5C">
            <w:pPr>
              <w:keepNext/>
              <w:jc w:val="center"/>
              <w:rPr>
                <w:rFonts w:cs="Arial"/>
                <w:color w:val="000000"/>
                <w:sz w:val="22"/>
                <w:szCs w:val="22"/>
              </w:rPr>
            </w:pPr>
            <w:r>
              <w:rPr>
                <w:rFonts w:cs="Arial"/>
                <w:color w:val="000000"/>
                <w:sz w:val="22"/>
                <w:szCs w:val="22"/>
              </w:rPr>
              <w:t>1.</w:t>
            </w:r>
            <w:r w:rsidR="00795B01">
              <w:rPr>
                <w:rFonts w:cs="Arial"/>
                <w:color w:val="000000"/>
                <w:sz w:val="22"/>
                <w:szCs w:val="22"/>
              </w:rPr>
              <w:t>3</w:t>
            </w:r>
          </w:p>
        </w:tc>
        <w:tc>
          <w:tcPr>
            <w:tcW w:w="1984" w:type="dxa"/>
            <w:shd w:val="clear" w:color="auto" w:fill="auto"/>
            <w:vAlign w:val="center"/>
          </w:tcPr>
          <w:p w14:paraId="7F571807" w14:textId="697B8717" w:rsidR="008A3C5C" w:rsidRPr="00F32C7A" w:rsidRDefault="003E61A9" w:rsidP="008A3C5C">
            <w:pPr>
              <w:keepNext/>
              <w:jc w:val="center"/>
              <w:rPr>
                <w:sz w:val="22"/>
                <w:szCs w:val="22"/>
              </w:rPr>
            </w:pPr>
            <w:r>
              <w:rPr>
                <w:rFonts w:cs="Arial"/>
                <w:color w:val="000000"/>
                <w:sz w:val="22"/>
                <w:szCs w:val="22"/>
              </w:rPr>
              <w:t>1.3</w:t>
            </w:r>
          </w:p>
        </w:tc>
      </w:tr>
      <w:tr w:rsidR="008A3C5C" w:rsidRPr="00F32C7A" w14:paraId="08C69F0E" w14:textId="77777777" w:rsidTr="002623C7">
        <w:tc>
          <w:tcPr>
            <w:tcW w:w="3261" w:type="dxa"/>
            <w:shd w:val="clear" w:color="auto" w:fill="auto"/>
            <w:vAlign w:val="center"/>
          </w:tcPr>
          <w:p w14:paraId="4869FCE5" w14:textId="502F668A" w:rsidR="008A3C5C" w:rsidRPr="00F32C7A" w:rsidRDefault="008A3C5C" w:rsidP="008A3C5C">
            <w:pPr>
              <w:pStyle w:val="ListParagraph"/>
              <w:keepNext/>
              <w:ind w:left="0"/>
              <w:rPr>
                <w:color w:val="FF0000"/>
              </w:rPr>
            </w:pPr>
            <w:r>
              <w:rPr>
                <w:rFonts w:cs="Arial"/>
                <w:b/>
                <w:bCs/>
                <w:color w:val="000000"/>
                <w:sz w:val="20"/>
                <w:szCs w:val="20"/>
              </w:rPr>
              <w:t xml:space="preserve"> Central school services block </w:t>
            </w:r>
          </w:p>
        </w:tc>
        <w:tc>
          <w:tcPr>
            <w:tcW w:w="1984" w:type="dxa"/>
            <w:shd w:val="clear" w:color="auto" w:fill="auto"/>
            <w:vAlign w:val="center"/>
          </w:tcPr>
          <w:p w14:paraId="57A8749A" w14:textId="677962DC" w:rsidR="008A3C5C" w:rsidRPr="00F32C7A" w:rsidRDefault="00795B01" w:rsidP="008A3C5C">
            <w:pPr>
              <w:keepNext/>
              <w:jc w:val="center"/>
              <w:rPr>
                <w:sz w:val="22"/>
                <w:szCs w:val="22"/>
              </w:rPr>
            </w:pPr>
            <w:r>
              <w:rPr>
                <w:sz w:val="22"/>
                <w:szCs w:val="22"/>
              </w:rPr>
              <w:t>0</w:t>
            </w:r>
          </w:p>
        </w:tc>
        <w:tc>
          <w:tcPr>
            <w:tcW w:w="1985" w:type="dxa"/>
            <w:shd w:val="clear" w:color="auto" w:fill="auto"/>
            <w:vAlign w:val="center"/>
          </w:tcPr>
          <w:p w14:paraId="748E1826" w14:textId="05A44A97" w:rsidR="008A3C5C" w:rsidRPr="00967D19" w:rsidRDefault="008A3C5C" w:rsidP="008A3C5C">
            <w:pPr>
              <w:keepNext/>
              <w:jc w:val="center"/>
              <w:rPr>
                <w:rFonts w:cs="Arial"/>
                <w:color w:val="000000"/>
                <w:sz w:val="22"/>
                <w:szCs w:val="22"/>
              </w:rPr>
            </w:pPr>
            <w:r>
              <w:rPr>
                <w:rFonts w:cs="Arial"/>
                <w:color w:val="000000"/>
                <w:sz w:val="22"/>
                <w:szCs w:val="22"/>
              </w:rPr>
              <w:t>0.3</w:t>
            </w:r>
          </w:p>
        </w:tc>
        <w:tc>
          <w:tcPr>
            <w:tcW w:w="1984" w:type="dxa"/>
            <w:shd w:val="clear" w:color="auto" w:fill="auto"/>
            <w:vAlign w:val="center"/>
          </w:tcPr>
          <w:p w14:paraId="0A4172B4" w14:textId="769ED7E3" w:rsidR="008A3C5C" w:rsidRPr="00F32C7A" w:rsidRDefault="003E61A9" w:rsidP="008A3C5C">
            <w:pPr>
              <w:keepNext/>
              <w:jc w:val="center"/>
              <w:rPr>
                <w:sz w:val="22"/>
                <w:szCs w:val="22"/>
              </w:rPr>
            </w:pPr>
            <w:r>
              <w:rPr>
                <w:rFonts w:cs="Arial"/>
                <w:color w:val="000000"/>
                <w:sz w:val="22"/>
                <w:szCs w:val="22"/>
              </w:rPr>
              <w:t>0.3</w:t>
            </w:r>
          </w:p>
        </w:tc>
      </w:tr>
      <w:tr w:rsidR="008A3C5C" w:rsidRPr="00F32C7A" w14:paraId="608BD499" w14:textId="77777777" w:rsidTr="002623C7">
        <w:tc>
          <w:tcPr>
            <w:tcW w:w="3261" w:type="dxa"/>
            <w:shd w:val="clear" w:color="auto" w:fill="auto"/>
            <w:vAlign w:val="center"/>
          </w:tcPr>
          <w:p w14:paraId="177F9A7B" w14:textId="00A6E3D6" w:rsidR="008A3C5C" w:rsidRPr="00F32C7A" w:rsidRDefault="008A3C5C" w:rsidP="008A3C5C">
            <w:pPr>
              <w:pStyle w:val="ListParagraph"/>
              <w:keepNext/>
              <w:ind w:left="0"/>
              <w:rPr>
                <w:color w:val="FF0000"/>
              </w:rPr>
            </w:pPr>
            <w:r>
              <w:rPr>
                <w:rFonts w:cs="Arial"/>
                <w:b/>
                <w:bCs/>
                <w:color w:val="000000"/>
                <w:sz w:val="20"/>
                <w:szCs w:val="20"/>
              </w:rPr>
              <w:t xml:space="preserve"> High needs block </w:t>
            </w:r>
          </w:p>
        </w:tc>
        <w:tc>
          <w:tcPr>
            <w:tcW w:w="1984" w:type="dxa"/>
            <w:shd w:val="clear" w:color="auto" w:fill="auto"/>
            <w:vAlign w:val="center"/>
          </w:tcPr>
          <w:p w14:paraId="46D08F56" w14:textId="23BF9439" w:rsidR="008A3C5C" w:rsidRPr="00F32C7A" w:rsidRDefault="008A3C5C" w:rsidP="008A3C5C">
            <w:pPr>
              <w:keepNext/>
              <w:jc w:val="center"/>
              <w:rPr>
                <w:sz w:val="22"/>
                <w:szCs w:val="22"/>
              </w:rPr>
            </w:pPr>
            <w:r>
              <w:rPr>
                <w:rFonts w:cs="Arial"/>
                <w:color w:val="000000"/>
                <w:sz w:val="22"/>
                <w:szCs w:val="22"/>
              </w:rPr>
              <w:t>-</w:t>
            </w:r>
            <w:r w:rsidR="00795B01">
              <w:rPr>
                <w:rFonts w:cs="Arial"/>
                <w:color w:val="000000"/>
                <w:sz w:val="22"/>
                <w:szCs w:val="22"/>
              </w:rPr>
              <w:t>14.3</w:t>
            </w:r>
          </w:p>
        </w:tc>
        <w:tc>
          <w:tcPr>
            <w:tcW w:w="1985" w:type="dxa"/>
            <w:shd w:val="clear" w:color="auto" w:fill="auto"/>
            <w:vAlign w:val="center"/>
          </w:tcPr>
          <w:p w14:paraId="4A17B95F" w14:textId="2110C5CB" w:rsidR="008A3C5C" w:rsidRPr="00967D19" w:rsidRDefault="008A3C5C" w:rsidP="008A3C5C">
            <w:pPr>
              <w:keepNext/>
              <w:jc w:val="center"/>
              <w:rPr>
                <w:rFonts w:cs="Arial"/>
                <w:color w:val="000000"/>
                <w:sz w:val="22"/>
                <w:szCs w:val="22"/>
              </w:rPr>
            </w:pPr>
            <w:r>
              <w:rPr>
                <w:rFonts w:cs="Arial"/>
                <w:color w:val="000000"/>
                <w:sz w:val="22"/>
                <w:szCs w:val="22"/>
              </w:rPr>
              <w:t>-1.</w:t>
            </w:r>
            <w:r w:rsidR="002623C7">
              <w:rPr>
                <w:rFonts w:cs="Arial"/>
                <w:color w:val="000000"/>
                <w:sz w:val="22"/>
                <w:szCs w:val="22"/>
              </w:rPr>
              <w:t>9</w:t>
            </w:r>
          </w:p>
        </w:tc>
        <w:tc>
          <w:tcPr>
            <w:tcW w:w="1984" w:type="dxa"/>
            <w:shd w:val="clear" w:color="auto" w:fill="auto"/>
            <w:vAlign w:val="center"/>
          </w:tcPr>
          <w:p w14:paraId="0B2F5745" w14:textId="163DC028" w:rsidR="008A3C5C" w:rsidRPr="00F32C7A" w:rsidRDefault="008A3C5C" w:rsidP="008A3C5C">
            <w:pPr>
              <w:keepNext/>
              <w:jc w:val="center"/>
              <w:rPr>
                <w:sz w:val="22"/>
                <w:szCs w:val="22"/>
              </w:rPr>
            </w:pPr>
            <w:r>
              <w:rPr>
                <w:rFonts w:cs="Arial"/>
                <w:color w:val="000000"/>
                <w:sz w:val="22"/>
                <w:szCs w:val="22"/>
              </w:rPr>
              <w:t>-</w:t>
            </w:r>
            <w:r w:rsidR="003E61A9">
              <w:rPr>
                <w:rFonts w:cs="Arial"/>
                <w:color w:val="000000"/>
                <w:sz w:val="22"/>
                <w:szCs w:val="22"/>
              </w:rPr>
              <w:t>1</w:t>
            </w:r>
            <w:r w:rsidR="002623C7">
              <w:rPr>
                <w:rFonts w:cs="Arial"/>
                <w:color w:val="000000"/>
                <w:sz w:val="22"/>
                <w:szCs w:val="22"/>
              </w:rPr>
              <w:t>6</w:t>
            </w:r>
            <w:r w:rsidR="003E61A9">
              <w:rPr>
                <w:rFonts w:cs="Arial"/>
                <w:color w:val="000000"/>
                <w:sz w:val="22"/>
                <w:szCs w:val="22"/>
              </w:rPr>
              <w:t>.2</w:t>
            </w:r>
          </w:p>
        </w:tc>
      </w:tr>
      <w:tr w:rsidR="008A3C5C" w:rsidRPr="00F32C7A" w14:paraId="33D5680B" w14:textId="77777777" w:rsidTr="002623C7">
        <w:tc>
          <w:tcPr>
            <w:tcW w:w="3261" w:type="dxa"/>
            <w:shd w:val="clear" w:color="auto" w:fill="auto"/>
            <w:vAlign w:val="center"/>
          </w:tcPr>
          <w:p w14:paraId="2438E495" w14:textId="1D7F3BEC" w:rsidR="008A3C5C" w:rsidRPr="00F32C7A" w:rsidRDefault="008A3C5C" w:rsidP="008A3C5C">
            <w:pPr>
              <w:pStyle w:val="ListParagraph"/>
              <w:keepNext/>
              <w:ind w:left="0"/>
              <w:rPr>
                <w:color w:val="FF0000"/>
              </w:rPr>
            </w:pPr>
            <w:r>
              <w:rPr>
                <w:rFonts w:cs="Arial"/>
                <w:b/>
                <w:bCs/>
                <w:color w:val="000000"/>
                <w:sz w:val="20"/>
                <w:szCs w:val="20"/>
              </w:rPr>
              <w:t xml:space="preserve"> Early years block </w:t>
            </w:r>
          </w:p>
        </w:tc>
        <w:tc>
          <w:tcPr>
            <w:tcW w:w="1984" w:type="dxa"/>
            <w:shd w:val="clear" w:color="auto" w:fill="auto"/>
            <w:vAlign w:val="center"/>
          </w:tcPr>
          <w:p w14:paraId="6F67CCD8" w14:textId="43151726" w:rsidR="008A3C5C" w:rsidRPr="00F32C7A" w:rsidRDefault="00795B01" w:rsidP="008A3C5C">
            <w:pPr>
              <w:keepNext/>
              <w:jc w:val="center"/>
              <w:rPr>
                <w:sz w:val="22"/>
                <w:szCs w:val="22"/>
              </w:rPr>
            </w:pPr>
            <w:r>
              <w:rPr>
                <w:rFonts w:cs="Arial"/>
                <w:color w:val="000000"/>
                <w:sz w:val="22"/>
                <w:szCs w:val="22"/>
              </w:rPr>
              <w:t>0</w:t>
            </w:r>
          </w:p>
        </w:tc>
        <w:tc>
          <w:tcPr>
            <w:tcW w:w="1985" w:type="dxa"/>
            <w:shd w:val="clear" w:color="auto" w:fill="auto"/>
            <w:vAlign w:val="center"/>
          </w:tcPr>
          <w:p w14:paraId="7C2A68E9" w14:textId="0801DCDC" w:rsidR="008A3C5C" w:rsidRPr="00967D19" w:rsidRDefault="008A3C5C" w:rsidP="008A3C5C">
            <w:pPr>
              <w:keepNext/>
              <w:jc w:val="center"/>
              <w:rPr>
                <w:rFonts w:cs="Arial"/>
                <w:color w:val="000000"/>
                <w:sz w:val="22"/>
                <w:szCs w:val="22"/>
              </w:rPr>
            </w:pPr>
            <w:r>
              <w:rPr>
                <w:rFonts w:cs="Arial"/>
                <w:color w:val="000000"/>
                <w:sz w:val="22"/>
                <w:szCs w:val="22"/>
              </w:rPr>
              <w:t>1.2</w:t>
            </w:r>
          </w:p>
        </w:tc>
        <w:tc>
          <w:tcPr>
            <w:tcW w:w="1984" w:type="dxa"/>
            <w:shd w:val="clear" w:color="auto" w:fill="auto"/>
            <w:vAlign w:val="center"/>
          </w:tcPr>
          <w:p w14:paraId="0207A8F6" w14:textId="4253653C" w:rsidR="008A3C5C" w:rsidRPr="00F32C7A" w:rsidRDefault="003E61A9" w:rsidP="008A3C5C">
            <w:pPr>
              <w:keepNext/>
              <w:jc w:val="center"/>
              <w:rPr>
                <w:sz w:val="22"/>
                <w:szCs w:val="22"/>
              </w:rPr>
            </w:pPr>
            <w:r>
              <w:rPr>
                <w:rFonts w:cs="Arial"/>
                <w:color w:val="000000"/>
                <w:sz w:val="22"/>
                <w:szCs w:val="22"/>
              </w:rPr>
              <w:t>1.2</w:t>
            </w:r>
          </w:p>
        </w:tc>
      </w:tr>
      <w:tr w:rsidR="00842079" w:rsidRPr="00F32C7A" w14:paraId="47CFD40C" w14:textId="77777777" w:rsidTr="002623C7">
        <w:tc>
          <w:tcPr>
            <w:tcW w:w="3261" w:type="dxa"/>
            <w:shd w:val="clear" w:color="auto" w:fill="auto"/>
            <w:vAlign w:val="center"/>
          </w:tcPr>
          <w:p w14:paraId="3B13EADF" w14:textId="352A8289" w:rsidR="00842079" w:rsidRPr="00F3089A" w:rsidRDefault="008A3C5C" w:rsidP="00842079">
            <w:pPr>
              <w:pStyle w:val="ListParagraph"/>
              <w:keepNext/>
              <w:ind w:left="0"/>
              <w:rPr>
                <w:b/>
                <w:bCs/>
                <w:color w:val="FF0000"/>
              </w:rPr>
            </w:pPr>
            <w:r>
              <w:rPr>
                <w:rFonts w:cs="Arial"/>
                <w:b/>
                <w:bCs/>
                <w:color w:val="000000"/>
                <w:sz w:val="20"/>
                <w:szCs w:val="20"/>
              </w:rPr>
              <w:t xml:space="preserve">Total DSG allocation </w:t>
            </w:r>
          </w:p>
        </w:tc>
        <w:tc>
          <w:tcPr>
            <w:tcW w:w="1984" w:type="dxa"/>
            <w:shd w:val="clear" w:color="auto" w:fill="auto"/>
            <w:vAlign w:val="center"/>
          </w:tcPr>
          <w:p w14:paraId="1D053C99" w14:textId="3B3F5738" w:rsidR="00842079" w:rsidRPr="00F3089A" w:rsidRDefault="00842079" w:rsidP="00842079">
            <w:pPr>
              <w:keepNext/>
              <w:jc w:val="center"/>
              <w:rPr>
                <w:b/>
                <w:bCs/>
                <w:sz w:val="22"/>
                <w:szCs w:val="22"/>
              </w:rPr>
            </w:pPr>
            <w:r>
              <w:rPr>
                <w:rFonts w:cs="Arial"/>
                <w:b/>
                <w:bCs/>
                <w:color w:val="000000"/>
                <w:sz w:val="22"/>
                <w:szCs w:val="22"/>
              </w:rPr>
              <w:t>-14.3</w:t>
            </w:r>
          </w:p>
        </w:tc>
        <w:tc>
          <w:tcPr>
            <w:tcW w:w="1985" w:type="dxa"/>
            <w:shd w:val="clear" w:color="auto" w:fill="auto"/>
            <w:vAlign w:val="center"/>
          </w:tcPr>
          <w:p w14:paraId="6CF281CF" w14:textId="4209C518" w:rsidR="00842079" w:rsidRPr="00F3089A" w:rsidRDefault="000649F8" w:rsidP="00842079">
            <w:pPr>
              <w:keepNext/>
              <w:jc w:val="center"/>
              <w:rPr>
                <w:b/>
                <w:bCs/>
                <w:sz w:val="22"/>
                <w:szCs w:val="22"/>
              </w:rPr>
            </w:pPr>
            <w:r>
              <w:rPr>
                <w:rFonts w:cs="Arial"/>
                <w:b/>
                <w:bCs/>
                <w:color w:val="000000"/>
                <w:sz w:val="22"/>
                <w:szCs w:val="22"/>
              </w:rPr>
              <w:t>0.</w:t>
            </w:r>
            <w:r w:rsidR="003E61A9">
              <w:rPr>
                <w:rFonts w:cs="Arial"/>
                <w:b/>
                <w:bCs/>
                <w:color w:val="000000"/>
                <w:sz w:val="22"/>
                <w:szCs w:val="22"/>
              </w:rPr>
              <w:t>9</w:t>
            </w:r>
          </w:p>
        </w:tc>
        <w:tc>
          <w:tcPr>
            <w:tcW w:w="1984" w:type="dxa"/>
            <w:shd w:val="clear" w:color="auto" w:fill="auto"/>
            <w:vAlign w:val="center"/>
          </w:tcPr>
          <w:p w14:paraId="2E6AE64D" w14:textId="2EFB730B" w:rsidR="00842079" w:rsidRPr="00F3089A" w:rsidRDefault="00842079" w:rsidP="00842079">
            <w:pPr>
              <w:keepNext/>
              <w:jc w:val="center"/>
              <w:rPr>
                <w:b/>
                <w:bCs/>
                <w:sz w:val="22"/>
                <w:szCs w:val="22"/>
              </w:rPr>
            </w:pPr>
            <w:r>
              <w:rPr>
                <w:rFonts w:cs="Arial"/>
                <w:b/>
                <w:bCs/>
                <w:color w:val="000000"/>
                <w:sz w:val="22"/>
                <w:szCs w:val="22"/>
              </w:rPr>
              <w:t>-13.</w:t>
            </w:r>
            <w:r w:rsidR="003E61A9">
              <w:rPr>
                <w:rFonts w:cs="Arial"/>
                <w:b/>
                <w:bCs/>
                <w:color w:val="000000"/>
                <w:sz w:val="22"/>
                <w:szCs w:val="22"/>
              </w:rPr>
              <w:t>4</w:t>
            </w:r>
          </w:p>
        </w:tc>
      </w:tr>
    </w:tbl>
    <w:p w14:paraId="2DB75487" w14:textId="77777777" w:rsidR="00E3342C" w:rsidRPr="00F3089A" w:rsidRDefault="00E3342C" w:rsidP="009D102D">
      <w:pPr>
        <w:jc w:val="both"/>
        <w:rPr>
          <w:color w:val="FF0000"/>
        </w:rPr>
      </w:pPr>
    </w:p>
    <w:p w14:paraId="1057F622" w14:textId="052FF738" w:rsidR="00C57B44" w:rsidRPr="00842079" w:rsidRDefault="00463EB4" w:rsidP="00C57B44">
      <w:pPr>
        <w:jc w:val="both"/>
        <w:rPr>
          <w:color w:val="000000" w:themeColor="text1"/>
        </w:rPr>
      </w:pPr>
      <w:r w:rsidRPr="00842079">
        <w:rPr>
          <w:color w:val="000000" w:themeColor="text1"/>
        </w:rPr>
        <w:t>The final position will be reported to Schools Forum in the autumn term 2023</w:t>
      </w:r>
      <w:r w:rsidR="00842079">
        <w:rPr>
          <w:color w:val="000000" w:themeColor="text1"/>
        </w:rPr>
        <w:t>.</w:t>
      </w:r>
    </w:p>
    <w:p w14:paraId="2FBC5DC1" w14:textId="77777777" w:rsidR="00246829" w:rsidRDefault="00246829" w:rsidP="00246829">
      <w:pPr>
        <w:pStyle w:val="ListParagraph"/>
        <w:ind w:left="360"/>
        <w:jc w:val="both"/>
        <w:rPr>
          <w:b/>
          <w:bCs/>
          <w:color w:val="000000" w:themeColor="text1"/>
        </w:rPr>
      </w:pPr>
    </w:p>
    <w:p w14:paraId="16F2C244" w14:textId="4026E8C3" w:rsidR="001479AD" w:rsidRPr="00E91769" w:rsidRDefault="004D79DD" w:rsidP="004D79DD">
      <w:pPr>
        <w:pStyle w:val="ListParagraph"/>
        <w:numPr>
          <w:ilvl w:val="0"/>
          <w:numId w:val="11"/>
        </w:numPr>
        <w:jc w:val="both"/>
        <w:rPr>
          <w:b/>
          <w:bCs/>
          <w:color w:val="000000" w:themeColor="text1"/>
        </w:rPr>
      </w:pPr>
      <w:r w:rsidRPr="00E91769">
        <w:rPr>
          <w:b/>
          <w:bCs/>
          <w:color w:val="000000" w:themeColor="text1"/>
        </w:rPr>
        <w:t>Carry Forward/ Transfer of Balances</w:t>
      </w:r>
      <w:r w:rsidR="004D1C4B" w:rsidRPr="00E91769">
        <w:rPr>
          <w:b/>
          <w:bCs/>
          <w:color w:val="000000" w:themeColor="text1"/>
        </w:rPr>
        <w:t xml:space="preserve"> </w:t>
      </w:r>
    </w:p>
    <w:p w14:paraId="01D6C642" w14:textId="77777777" w:rsidR="009F23E8" w:rsidRPr="00557BAC" w:rsidRDefault="009F23E8" w:rsidP="009F23E8">
      <w:pPr>
        <w:pStyle w:val="ListParagraph"/>
        <w:ind w:left="360"/>
        <w:jc w:val="both"/>
        <w:rPr>
          <w:b/>
          <w:bCs/>
          <w:color w:val="000000" w:themeColor="text1"/>
          <w:highlight w:val="yellow"/>
        </w:rPr>
      </w:pPr>
    </w:p>
    <w:p w14:paraId="6F76773E" w14:textId="089D9877" w:rsidR="00FB5B4F" w:rsidRPr="00246829" w:rsidRDefault="003E61A9" w:rsidP="00463EB4">
      <w:pPr>
        <w:pStyle w:val="ListParagraph"/>
        <w:numPr>
          <w:ilvl w:val="1"/>
          <w:numId w:val="11"/>
        </w:numPr>
        <w:ind w:hanging="574"/>
        <w:jc w:val="both"/>
        <w:rPr>
          <w:bCs/>
          <w:color w:val="000000" w:themeColor="text1"/>
        </w:rPr>
      </w:pPr>
      <w:r>
        <w:rPr>
          <w:bCs/>
          <w:color w:val="000000" w:themeColor="text1"/>
        </w:rPr>
        <w:t>Under current regulations</w:t>
      </w:r>
      <w:r w:rsidR="00FB5B4F" w:rsidRPr="00246829">
        <w:rPr>
          <w:bCs/>
          <w:color w:val="000000" w:themeColor="text1"/>
        </w:rPr>
        <w:t xml:space="preserve">, </w:t>
      </w:r>
      <w:r w:rsidR="004C10C9" w:rsidRPr="00246829">
        <w:rPr>
          <w:bCs/>
          <w:color w:val="000000" w:themeColor="text1"/>
        </w:rPr>
        <w:t xml:space="preserve">a </w:t>
      </w:r>
      <w:r w:rsidR="00FB5B4F" w:rsidRPr="00246829">
        <w:rPr>
          <w:bCs/>
          <w:color w:val="000000" w:themeColor="text1"/>
        </w:rPr>
        <w:t>deficit must be carried forward to be dealt with from future DSG income, unless the Secretary of State authorises the LA not to do this</w:t>
      </w:r>
      <w:r w:rsidR="004C10C9" w:rsidRPr="00246829">
        <w:rPr>
          <w:bCs/>
          <w:color w:val="000000" w:themeColor="text1"/>
        </w:rPr>
        <w:t xml:space="preserve">.  </w:t>
      </w:r>
      <w:r w:rsidR="00FB5B4F" w:rsidRPr="00246829">
        <w:rPr>
          <w:bCs/>
          <w:color w:val="000000" w:themeColor="text1"/>
        </w:rPr>
        <w:t xml:space="preserve">The impact of these statutory provisions means that an LA with a DSG deficit from the previous year must either: </w:t>
      </w:r>
    </w:p>
    <w:p w14:paraId="3904FC01" w14:textId="77777777" w:rsidR="00FB5B4F" w:rsidRDefault="00FB5B4F" w:rsidP="00FB5B4F">
      <w:pPr>
        <w:pStyle w:val="ListParagraph"/>
        <w:ind w:left="993"/>
        <w:jc w:val="both"/>
        <w:rPr>
          <w:bCs/>
          <w:color w:val="000000" w:themeColor="text1"/>
        </w:rPr>
      </w:pPr>
    </w:p>
    <w:p w14:paraId="23E9A0EE" w14:textId="2AE8524D" w:rsidR="00FB5B4F" w:rsidRDefault="00FB5B4F" w:rsidP="00FB5B4F">
      <w:pPr>
        <w:ind w:left="1560" w:hanging="567"/>
        <w:jc w:val="both"/>
        <w:rPr>
          <w:bCs/>
          <w:color w:val="000000" w:themeColor="text1"/>
        </w:rPr>
      </w:pPr>
      <w:r w:rsidRPr="00FB5B4F">
        <w:rPr>
          <w:bCs/>
          <w:color w:val="000000" w:themeColor="text1"/>
        </w:rPr>
        <w:t>(1)</w:t>
      </w:r>
      <w:r>
        <w:rPr>
          <w:bCs/>
          <w:color w:val="000000" w:themeColor="text1"/>
        </w:rPr>
        <w:tab/>
      </w:r>
      <w:r w:rsidRPr="00FB5B4F">
        <w:rPr>
          <w:bCs/>
          <w:color w:val="000000" w:themeColor="text1"/>
        </w:rPr>
        <w:t xml:space="preserve">carry the whole of the deficit forward to be dealt with in the </w:t>
      </w:r>
      <w:proofErr w:type="gramStart"/>
      <w:r w:rsidRPr="00FB5B4F">
        <w:rPr>
          <w:bCs/>
          <w:color w:val="000000" w:themeColor="text1"/>
        </w:rPr>
        <w:t>schools</w:t>
      </w:r>
      <w:proofErr w:type="gramEnd"/>
      <w:r w:rsidRPr="00FB5B4F">
        <w:rPr>
          <w:bCs/>
          <w:color w:val="000000" w:themeColor="text1"/>
        </w:rPr>
        <w:t xml:space="preserve"> budget for the new financial year </w:t>
      </w:r>
    </w:p>
    <w:p w14:paraId="1691F762" w14:textId="2DAA16CF" w:rsidR="00FB5B4F" w:rsidRDefault="00FB5B4F" w:rsidP="00FB5B4F">
      <w:pPr>
        <w:ind w:left="1560" w:hanging="567"/>
        <w:jc w:val="both"/>
        <w:rPr>
          <w:bCs/>
          <w:color w:val="000000" w:themeColor="text1"/>
        </w:rPr>
      </w:pPr>
      <w:r w:rsidRPr="00FB5B4F">
        <w:rPr>
          <w:bCs/>
          <w:color w:val="000000" w:themeColor="text1"/>
        </w:rPr>
        <w:t>(2)</w:t>
      </w:r>
      <w:r>
        <w:rPr>
          <w:bCs/>
          <w:color w:val="000000" w:themeColor="text1"/>
        </w:rPr>
        <w:tab/>
      </w:r>
      <w:r w:rsidRPr="00FB5B4F">
        <w:rPr>
          <w:bCs/>
          <w:color w:val="000000" w:themeColor="text1"/>
        </w:rPr>
        <w:t xml:space="preserve">carry part of it forward into the new financial year and the rest of it into the following financial year </w:t>
      </w:r>
    </w:p>
    <w:p w14:paraId="4C2E99F8" w14:textId="4C69767D" w:rsidR="00FB5B4F" w:rsidRDefault="00FB5B4F" w:rsidP="00FB5B4F">
      <w:pPr>
        <w:ind w:left="1560" w:hanging="567"/>
        <w:jc w:val="both"/>
        <w:rPr>
          <w:bCs/>
          <w:color w:val="000000" w:themeColor="text1"/>
        </w:rPr>
      </w:pPr>
      <w:r w:rsidRPr="00FB5B4F">
        <w:rPr>
          <w:bCs/>
          <w:color w:val="000000" w:themeColor="text1"/>
        </w:rPr>
        <w:t xml:space="preserve">(3) </w:t>
      </w:r>
      <w:r>
        <w:rPr>
          <w:bCs/>
          <w:color w:val="000000" w:themeColor="text1"/>
        </w:rPr>
        <w:tab/>
      </w:r>
      <w:r w:rsidRPr="00FB5B4F">
        <w:rPr>
          <w:bCs/>
          <w:color w:val="000000" w:themeColor="text1"/>
        </w:rPr>
        <w:t xml:space="preserve">carry all of it into the following financial year </w:t>
      </w:r>
    </w:p>
    <w:p w14:paraId="233E014E" w14:textId="3D4ECE51" w:rsidR="00FB5B4F" w:rsidRDefault="00FB5B4F" w:rsidP="00FB5B4F">
      <w:pPr>
        <w:ind w:left="1560" w:hanging="567"/>
        <w:jc w:val="both"/>
        <w:rPr>
          <w:bCs/>
          <w:color w:val="000000" w:themeColor="text1"/>
        </w:rPr>
      </w:pPr>
      <w:r w:rsidRPr="00FB5B4F">
        <w:rPr>
          <w:bCs/>
          <w:color w:val="000000" w:themeColor="text1"/>
        </w:rPr>
        <w:t xml:space="preserve">(4) </w:t>
      </w:r>
      <w:r>
        <w:rPr>
          <w:bCs/>
          <w:color w:val="000000" w:themeColor="text1"/>
        </w:rPr>
        <w:tab/>
      </w:r>
      <w:r w:rsidRPr="00FB5B4F">
        <w:rPr>
          <w:bCs/>
          <w:color w:val="000000" w:themeColor="text1"/>
        </w:rPr>
        <w:t>apply to the Secretary of State under for authorisation to disregard the requirements in Schedule 2 relating to deficits if it wishes to fund any part of the deficit from a source other than the DSG</w:t>
      </w:r>
    </w:p>
    <w:p w14:paraId="134DCE19" w14:textId="77777777" w:rsidR="004C10C9" w:rsidRPr="00FB5B4F" w:rsidRDefault="004C10C9" w:rsidP="00FB5B4F">
      <w:pPr>
        <w:ind w:left="1560" w:hanging="567"/>
        <w:jc w:val="both"/>
        <w:rPr>
          <w:bCs/>
          <w:color w:val="000000" w:themeColor="text1"/>
        </w:rPr>
      </w:pPr>
    </w:p>
    <w:p w14:paraId="22CC2DDC" w14:textId="2E6B3BFD" w:rsidR="004C10C9" w:rsidRDefault="004C10C9" w:rsidP="003E61A9">
      <w:pPr>
        <w:pStyle w:val="ListParagraph"/>
        <w:numPr>
          <w:ilvl w:val="1"/>
          <w:numId w:val="20"/>
        </w:numPr>
        <w:ind w:left="709" w:hanging="709"/>
        <w:jc w:val="both"/>
        <w:rPr>
          <w:bCs/>
          <w:color w:val="000000" w:themeColor="text1"/>
        </w:rPr>
      </w:pPr>
      <w:r w:rsidRPr="00246829">
        <w:rPr>
          <w:bCs/>
          <w:color w:val="000000" w:themeColor="text1"/>
        </w:rPr>
        <w:t xml:space="preserve">Any local authority that has an overall deficit on its DSG account at the end of </w:t>
      </w:r>
      <w:proofErr w:type="gramStart"/>
      <w:r w:rsidRPr="00246829">
        <w:rPr>
          <w:bCs/>
          <w:color w:val="000000" w:themeColor="text1"/>
        </w:rPr>
        <w:t xml:space="preserve">the </w:t>
      </w:r>
      <w:r w:rsidR="00842079">
        <w:rPr>
          <w:bCs/>
          <w:color w:val="000000" w:themeColor="text1"/>
        </w:rPr>
        <w:t>each</w:t>
      </w:r>
      <w:proofErr w:type="gramEnd"/>
      <w:r w:rsidRPr="00246829">
        <w:rPr>
          <w:bCs/>
          <w:color w:val="000000" w:themeColor="text1"/>
        </w:rPr>
        <w:t xml:space="preserve"> financial year, or whose DSG surplus has substantially reduced during the </w:t>
      </w:r>
      <w:r w:rsidRPr="00246829">
        <w:rPr>
          <w:bCs/>
          <w:color w:val="000000" w:themeColor="text1"/>
        </w:rPr>
        <w:lastRenderedPageBreak/>
        <w:t>year, must co-operate with the Department for Education in handling that situation. In particular, the authority must:</w:t>
      </w:r>
    </w:p>
    <w:p w14:paraId="5A53B3D4" w14:textId="77777777" w:rsidR="00246829" w:rsidRPr="00246829" w:rsidRDefault="00246829" w:rsidP="00246829">
      <w:pPr>
        <w:pStyle w:val="ListParagraph"/>
        <w:ind w:left="993"/>
        <w:jc w:val="both"/>
        <w:rPr>
          <w:bCs/>
          <w:color w:val="000000" w:themeColor="text1"/>
        </w:rPr>
      </w:pPr>
    </w:p>
    <w:p w14:paraId="0E08255F" w14:textId="77777777" w:rsidR="004C10C9" w:rsidRPr="004C10C9" w:rsidRDefault="004C10C9" w:rsidP="004C10C9">
      <w:pPr>
        <w:numPr>
          <w:ilvl w:val="0"/>
          <w:numId w:val="18"/>
        </w:numPr>
        <w:shd w:val="clear" w:color="auto" w:fill="FFFFFF"/>
        <w:spacing w:after="75"/>
        <w:ind w:left="1418"/>
        <w:rPr>
          <w:rFonts w:cs="Arial"/>
          <w:color w:val="0B0C0C"/>
        </w:rPr>
      </w:pPr>
      <w:r w:rsidRPr="004C10C9">
        <w:rPr>
          <w:rFonts w:cs="Arial"/>
          <w:color w:val="0B0C0C"/>
        </w:rPr>
        <w:t xml:space="preserve">provide information as and when requested by the department about its plans for managing its DSG account in the 2021 to 2022 financial year and </w:t>
      </w:r>
      <w:proofErr w:type="gramStart"/>
      <w:r w:rsidRPr="004C10C9">
        <w:rPr>
          <w:rFonts w:cs="Arial"/>
          <w:color w:val="0B0C0C"/>
        </w:rPr>
        <w:t>subsequently</w:t>
      </w:r>
      <w:proofErr w:type="gramEnd"/>
    </w:p>
    <w:p w14:paraId="698E55D2" w14:textId="77777777" w:rsidR="004C10C9" w:rsidRPr="004C10C9" w:rsidRDefault="004C10C9" w:rsidP="004C10C9">
      <w:pPr>
        <w:numPr>
          <w:ilvl w:val="0"/>
          <w:numId w:val="18"/>
        </w:numPr>
        <w:shd w:val="clear" w:color="auto" w:fill="FFFFFF"/>
        <w:spacing w:after="75"/>
        <w:ind w:left="1418"/>
        <w:rPr>
          <w:rFonts w:cs="Arial"/>
          <w:color w:val="0B0C0C"/>
        </w:rPr>
      </w:pPr>
      <w:r w:rsidRPr="004C10C9">
        <w:rPr>
          <w:rFonts w:cs="Arial"/>
          <w:color w:val="0B0C0C"/>
        </w:rPr>
        <w:t xml:space="preserve">provide information as and when requested by the department about pressures and potential savings on its high needs </w:t>
      </w:r>
      <w:proofErr w:type="gramStart"/>
      <w:r w:rsidRPr="004C10C9">
        <w:rPr>
          <w:rFonts w:cs="Arial"/>
          <w:color w:val="0B0C0C"/>
        </w:rPr>
        <w:t>budget</w:t>
      </w:r>
      <w:proofErr w:type="gramEnd"/>
    </w:p>
    <w:p w14:paraId="147F4EDB" w14:textId="77777777" w:rsidR="004C10C9" w:rsidRPr="004C10C9" w:rsidRDefault="004C10C9" w:rsidP="004C10C9">
      <w:pPr>
        <w:numPr>
          <w:ilvl w:val="0"/>
          <w:numId w:val="18"/>
        </w:numPr>
        <w:shd w:val="clear" w:color="auto" w:fill="FFFFFF"/>
        <w:spacing w:after="75"/>
        <w:ind w:left="1418"/>
        <w:rPr>
          <w:rFonts w:cs="Arial"/>
          <w:color w:val="0B0C0C"/>
        </w:rPr>
      </w:pPr>
      <w:r w:rsidRPr="004C10C9">
        <w:rPr>
          <w:rFonts w:cs="Arial"/>
          <w:color w:val="0B0C0C"/>
        </w:rPr>
        <w:t xml:space="preserve">meet with officials of the department as and when they request to discuss the authority’s plans and financial </w:t>
      </w:r>
      <w:proofErr w:type="gramStart"/>
      <w:r w:rsidRPr="004C10C9">
        <w:rPr>
          <w:rFonts w:cs="Arial"/>
          <w:color w:val="0B0C0C"/>
        </w:rPr>
        <w:t>situation</w:t>
      </w:r>
      <w:proofErr w:type="gramEnd"/>
    </w:p>
    <w:p w14:paraId="7300DACF" w14:textId="41A5DF21" w:rsidR="004C10C9" w:rsidRDefault="004C10C9" w:rsidP="004C10C9">
      <w:pPr>
        <w:numPr>
          <w:ilvl w:val="0"/>
          <w:numId w:val="18"/>
        </w:numPr>
        <w:spacing w:after="75"/>
        <w:ind w:left="1418"/>
        <w:rPr>
          <w:rFonts w:cs="Arial"/>
          <w:color w:val="0B0C0C"/>
        </w:rPr>
      </w:pPr>
      <w:r w:rsidRPr="004C10C9">
        <w:rPr>
          <w:rFonts w:cs="Arial"/>
          <w:color w:val="0B0C0C"/>
        </w:rPr>
        <w:t xml:space="preserve">keep the </w:t>
      </w:r>
      <w:proofErr w:type="gramStart"/>
      <w:r w:rsidRPr="004C10C9">
        <w:rPr>
          <w:rFonts w:cs="Arial"/>
          <w:color w:val="0B0C0C"/>
        </w:rPr>
        <w:t>schools</w:t>
      </w:r>
      <w:proofErr w:type="gramEnd"/>
      <w:r w:rsidRPr="004C10C9">
        <w:rPr>
          <w:rFonts w:cs="Arial"/>
          <w:color w:val="0B0C0C"/>
        </w:rPr>
        <w:t xml:space="preserve"> forum regularly updated about the authority’s DSG account and plans for handling it, including high needs pressures and potential savings</w:t>
      </w:r>
      <w:r>
        <w:rPr>
          <w:rFonts w:cs="Arial"/>
          <w:color w:val="0B0C0C"/>
        </w:rPr>
        <w:t>.</w:t>
      </w:r>
    </w:p>
    <w:p w14:paraId="136DDAD2" w14:textId="77777777" w:rsidR="004C10C9" w:rsidRPr="004C10C9" w:rsidRDefault="004C10C9" w:rsidP="004C10C9">
      <w:pPr>
        <w:spacing w:after="75"/>
        <w:ind w:left="1418"/>
        <w:rPr>
          <w:rFonts w:cs="Arial"/>
          <w:color w:val="0B0C0C"/>
        </w:rPr>
      </w:pPr>
    </w:p>
    <w:p w14:paraId="68D022C8" w14:textId="11E7D055" w:rsidR="00D57CF1" w:rsidRPr="004C10C9" w:rsidRDefault="00D57CF1" w:rsidP="004C10C9">
      <w:pPr>
        <w:ind w:left="993" w:hanging="993"/>
        <w:jc w:val="both"/>
        <w:rPr>
          <w:rFonts w:cs="Arial"/>
          <w:b/>
          <w:bCs/>
          <w:color w:val="000000"/>
          <w:sz w:val="22"/>
          <w:szCs w:val="22"/>
        </w:rPr>
      </w:pPr>
    </w:p>
    <w:sectPr w:rsidR="00D57CF1" w:rsidRPr="004C10C9" w:rsidSect="00F32C7A">
      <w:footerReference w:type="default" r:id="rId11"/>
      <w:headerReference w:type="first" r:id="rId12"/>
      <w:footerReference w:type="first" r:id="rId13"/>
      <w:pgSz w:w="11906" w:h="16838" w:code="9"/>
      <w:pgMar w:top="1440" w:right="1274" w:bottom="1440" w:left="1276"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067F" w14:textId="77777777" w:rsidR="00537290" w:rsidRDefault="00537290">
      <w:r>
        <w:separator/>
      </w:r>
    </w:p>
  </w:endnote>
  <w:endnote w:type="continuationSeparator" w:id="0">
    <w:p w14:paraId="7CEAE0D9" w14:textId="77777777" w:rsidR="00537290" w:rsidRDefault="00537290">
      <w:r>
        <w:continuationSeparator/>
      </w:r>
    </w:p>
  </w:endnote>
  <w:endnote w:type="continuationNotice" w:id="1">
    <w:p w14:paraId="57506554" w14:textId="77777777" w:rsidR="00537290" w:rsidRDefault="00537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693171"/>
      <w:docPartObj>
        <w:docPartGallery w:val="Page Numbers (Bottom of Page)"/>
        <w:docPartUnique/>
      </w:docPartObj>
    </w:sdtPr>
    <w:sdtEndPr>
      <w:rPr>
        <w:noProof/>
      </w:rPr>
    </w:sdtEndPr>
    <w:sdtContent>
      <w:p w14:paraId="21B27BD1" w14:textId="06CE8B49" w:rsidR="0086240E" w:rsidRDefault="00862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F54D3" w14:textId="77777777" w:rsidR="0086240E" w:rsidRDefault="00862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CDA6" w14:textId="4553AEAB" w:rsidR="00974A50" w:rsidRDefault="00974A50" w:rsidP="00974A50">
    <w:pPr>
      <w:pStyle w:val="Footer"/>
      <w:jc w:val="center"/>
    </w:pPr>
    <w:r>
      <w:t xml:space="preserve">Schools Forum </w:t>
    </w:r>
    <w:r w:rsidR="002204ED">
      <w:t>June</w:t>
    </w:r>
    <w:r>
      <w:t xml:space="preserve"> 202</w:t>
    </w:r>
    <w:r w:rsidR="002204ED">
      <w:t>3</w:t>
    </w:r>
  </w:p>
  <w:p w14:paraId="2D3C7FC0" w14:textId="60941E04" w:rsidR="00557BAC" w:rsidRDefault="00557BAC">
    <w:pPr>
      <w:pStyle w:val="Footer"/>
    </w:pPr>
  </w:p>
  <w:p w14:paraId="3864D9B3" w14:textId="77777777" w:rsidR="0086240E" w:rsidRDefault="0086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9E14" w14:textId="77777777" w:rsidR="00537290" w:rsidRDefault="00537290">
      <w:r>
        <w:separator/>
      </w:r>
    </w:p>
  </w:footnote>
  <w:footnote w:type="continuationSeparator" w:id="0">
    <w:p w14:paraId="16E2C28D" w14:textId="77777777" w:rsidR="00537290" w:rsidRDefault="00537290">
      <w:r>
        <w:continuationSeparator/>
      </w:r>
    </w:p>
  </w:footnote>
  <w:footnote w:type="continuationNotice" w:id="1">
    <w:p w14:paraId="1F3E8BE3" w14:textId="77777777" w:rsidR="00537290" w:rsidRDefault="00537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F707" w14:textId="7000DBAB" w:rsidR="00883BFB" w:rsidRDefault="00883BFB">
    <w:pPr>
      <w:pStyle w:val="Header"/>
    </w:pPr>
    <w:r w:rsidRPr="00883BFB">
      <w:rPr>
        <w:rFonts w:ascii="Times New Roman" w:hAnsi="Times New Roman"/>
        <w:noProof/>
        <w:szCs w:val="20"/>
      </w:rPr>
      <w:drawing>
        <wp:anchor distT="0" distB="0" distL="114300" distR="114300" simplePos="0" relativeHeight="251659264" behindDoc="0" locked="0" layoutInCell="1" allowOverlap="1" wp14:anchorId="6BF81060" wp14:editId="3E7FEF6C">
          <wp:simplePos x="0" y="0"/>
          <wp:positionH relativeFrom="column">
            <wp:posOffset>1025525</wp:posOffset>
          </wp:positionH>
          <wp:positionV relativeFrom="paragraph">
            <wp:posOffset>-485775</wp:posOffset>
          </wp:positionV>
          <wp:extent cx="5731510" cy="1152525"/>
          <wp:effectExtent l="0" t="0" r="2540" b="9525"/>
          <wp:wrapThrough wrapText="bothSides">
            <wp:wrapPolygon edited="0">
              <wp:start x="0" y="0"/>
              <wp:lineTo x="0" y="21421"/>
              <wp:lineTo x="21538" y="21421"/>
              <wp:lineTo x="21538"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52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19CA"/>
    <w:multiLevelType w:val="hybridMultilevel"/>
    <w:tmpl w:val="2980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500FC"/>
    <w:multiLevelType w:val="hybridMultilevel"/>
    <w:tmpl w:val="DB4A2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B27EA9"/>
    <w:multiLevelType w:val="hybridMultilevel"/>
    <w:tmpl w:val="F8D2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AA4EA0"/>
    <w:multiLevelType w:val="hybridMultilevel"/>
    <w:tmpl w:val="2E20E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8C0C64"/>
    <w:multiLevelType w:val="hybridMultilevel"/>
    <w:tmpl w:val="07BAC7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2577ADB"/>
    <w:multiLevelType w:val="multilevel"/>
    <w:tmpl w:val="E8746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1F7A51"/>
    <w:multiLevelType w:val="hybridMultilevel"/>
    <w:tmpl w:val="A68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0040B"/>
    <w:multiLevelType w:val="hybridMultilevel"/>
    <w:tmpl w:val="95F4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C725B"/>
    <w:multiLevelType w:val="hybridMultilevel"/>
    <w:tmpl w:val="457E5058"/>
    <w:lvl w:ilvl="0" w:tplc="524CC7C4">
      <w:numFmt w:val="bullet"/>
      <w:lvlText w:val="-"/>
      <w:lvlJc w:val="left"/>
      <w:pPr>
        <w:ind w:left="720" w:hanging="360"/>
      </w:pPr>
      <w:rPr>
        <w:rFonts w:ascii="Calibri" w:eastAsia="Times New Roman"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50FD5"/>
    <w:multiLevelType w:val="multilevel"/>
    <w:tmpl w:val="35A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AB16FA"/>
    <w:multiLevelType w:val="hybridMultilevel"/>
    <w:tmpl w:val="6FDA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31C76"/>
    <w:multiLevelType w:val="hybridMultilevel"/>
    <w:tmpl w:val="2D323190"/>
    <w:lvl w:ilvl="0" w:tplc="5768B76C">
      <w:numFmt w:val="bullet"/>
      <w:lvlText w:val="-"/>
      <w:lvlJc w:val="left"/>
      <w:pPr>
        <w:ind w:left="1080" w:hanging="360"/>
      </w:pPr>
      <w:rPr>
        <w:rFonts w:ascii="Calibri" w:eastAsia="Times New Roman" w:hAnsi="Calibri" w:cs="Calibri" w:hint="default"/>
        <w:color w:val="00000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B02D42"/>
    <w:multiLevelType w:val="hybridMultilevel"/>
    <w:tmpl w:val="3F4A7E4E"/>
    <w:lvl w:ilvl="0" w:tplc="51F49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F921CC"/>
    <w:multiLevelType w:val="hybridMultilevel"/>
    <w:tmpl w:val="A6FA78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5D821B91"/>
    <w:multiLevelType w:val="hybridMultilevel"/>
    <w:tmpl w:val="92E613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7085FD2"/>
    <w:multiLevelType w:val="multilevel"/>
    <w:tmpl w:val="95626326"/>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116732"/>
    <w:multiLevelType w:val="hybridMultilevel"/>
    <w:tmpl w:val="7D30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C580768"/>
    <w:multiLevelType w:val="hybridMultilevel"/>
    <w:tmpl w:val="A5A6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2344927">
    <w:abstractNumId w:val="19"/>
  </w:num>
  <w:num w:numId="2" w16cid:durableId="859008117">
    <w:abstractNumId w:val="3"/>
  </w:num>
  <w:num w:numId="3" w16cid:durableId="1128940347">
    <w:abstractNumId w:val="2"/>
  </w:num>
  <w:num w:numId="4" w16cid:durableId="961350845">
    <w:abstractNumId w:val="18"/>
  </w:num>
  <w:num w:numId="5" w16cid:durableId="2112582821">
    <w:abstractNumId w:val="0"/>
  </w:num>
  <w:num w:numId="6" w16cid:durableId="826749769">
    <w:abstractNumId w:val="20"/>
  </w:num>
  <w:num w:numId="7" w16cid:durableId="711808934">
    <w:abstractNumId w:val="16"/>
  </w:num>
  <w:num w:numId="8" w16cid:durableId="1755011723">
    <w:abstractNumId w:val="12"/>
  </w:num>
  <w:num w:numId="9" w16cid:durableId="168646490">
    <w:abstractNumId w:val="5"/>
  </w:num>
  <w:num w:numId="10" w16cid:durableId="584847387">
    <w:abstractNumId w:val="9"/>
  </w:num>
  <w:num w:numId="11" w16cid:durableId="269240368">
    <w:abstractNumId w:val="4"/>
  </w:num>
  <w:num w:numId="12" w16cid:durableId="688799310">
    <w:abstractNumId w:val="6"/>
  </w:num>
  <w:num w:numId="13" w16cid:durableId="433979666">
    <w:abstractNumId w:val="1"/>
  </w:num>
  <w:num w:numId="14" w16cid:durableId="1935017388">
    <w:abstractNumId w:val="15"/>
  </w:num>
  <w:num w:numId="15" w16cid:durableId="1560676493">
    <w:abstractNumId w:val="8"/>
  </w:num>
  <w:num w:numId="16" w16cid:durableId="833644862">
    <w:abstractNumId w:val="14"/>
  </w:num>
  <w:num w:numId="17" w16cid:durableId="1679307371">
    <w:abstractNumId w:val="21"/>
  </w:num>
  <w:num w:numId="18" w16cid:durableId="1709406665">
    <w:abstractNumId w:val="11"/>
  </w:num>
  <w:num w:numId="19" w16cid:durableId="47539915">
    <w:abstractNumId w:val="7"/>
  </w:num>
  <w:num w:numId="20" w16cid:durableId="813182328">
    <w:abstractNumId w:val="17"/>
  </w:num>
  <w:num w:numId="21" w16cid:durableId="1776166047">
    <w:abstractNumId w:val="10"/>
  </w:num>
  <w:num w:numId="22" w16cid:durableId="52509624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9AD"/>
    <w:rsid w:val="000055C6"/>
    <w:rsid w:val="00005D31"/>
    <w:rsid w:val="00011A38"/>
    <w:rsid w:val="000164EC"/>
    <w:rsid w:val="0002125B"/>
    <w:rsid w:val="0002180D"/>
    <w:rsid w:val="00023434"/>
    <w:rsid w:val="00025F55"/>
    <w:rsid w:val="00026A03"/>
    <w:rsid w:val="000339DC"/>
    <w:rsid w:val="00041E9D"/>
    <w:rsid w:val="00042CDD"/>
    <w:rsid w:val="00044126"/>
    <w:rsid w:val="00046FCB"/>
    <w:rsid w:val="0005284B"/>
    <w:rsid w:val="00060FED"/>
    <w:rsid w:val="000649F8"/>
    <w:rsid w:val="0007256E"/>
    <w:rsid w:val="000770D5"/>
    <w:rsid w:val="00077299"/>
    <w:rsid w:val="000813DA"/>
    <w:rsid w:val="00083BBE"/>
    <w:rsid w:val="0008668C"/>
    <w:rsid w:val="000879FB"/>
    <w:rsid w:val="00090CBA"/>
    <w:rsid w:val="00095CEF"/>
    <w:rsid w:val="000A6EEE"/>
    <w:rsid w:val="000A7872"/>
    <w:rsid w:val="000A78CA"/>
    <w:rsid w:val="000B09D9"/>
    <w:rsid w:val="000B24B2"/>
    <w:rsid w:val="000B62AF"/>
    <w:rsid w:val="000C12F6"/>
    <w:rsid w:val="000C1387"/>
    <w:rsid w:val="000C2B76"/>
    <w:rsid w:val="000C494D"/>
    <w:rsid w:val="000C55F2"/>
    <w:rsid w:val="000D2210"/>
    <w:rsid w:val="000D23BD"/>
    <w:rsid w:val="000D3037"/>
    <w:rsid w:val="000D6C01"/>
    <w:rsid w:val="000D6FF5"/>
    <w:rsid w:val="000D7FE8"/>
    <w:rsid w:val="000E153F"/>
    <w:rsid w:val="000E5EAC"/>
    <w:rsid w:val="000E6B40"/>
    <w:rsid w:val="000E7C2D"/>
    <w:rsid w:val="000F02CD"/>
    <w:rsid w:val="000F0BCB"/>
    <w:rsid w:val="000F10FE"/>
    <w:rsid w:val="000F77A1"/>
    <w:rsid w:val="000F7FF0"/>
    <w:rsid w:val="00101397"/>
    <w:rsid w:val="00102CEB"/>
    <w:rsid w:val="00106EA4"/>
    <w:rsid w:val="00107D64"/>
    <w:rsid w:val="00115CC1"/>
    <w:rsid w:val="00117547"/>
    <w:rsid w:val="00123518"/>
    <w:rsid w:val="00123BD5"/>
    <w:rsid w:val="00124860"/>
    <w:rsid w:val="00124892"/>
    <w:rsid w:val="0013087F"/>
    <w:rsid w:val="00131003"/>
    <w:rsid w:val="001320A2"/>
    <w:rsid w:val="00133AC3"/>
    <w:rsid w:val="0013583F"/>
    <w:rsid w:val="001370C6"/>
    <w:rsid w:val="0013750C"/>
    <w:rsid w:val="00137E81"/>
    <w:rsid w:val="00143114"/>
    <w:rsid w:val="001445AD"/>
    <w:rsid w:val="00146529"/>
    <w:rsid w:val="00146B40"/>
    <w:rsid w:val="001479AD"/>
    <w:rsid w:val="0015158B"/>
    <w:rsid w:val="00151AD1"/>
    <w:rsid w:val="00152F4B"/>
    <w:rsid w:val="001617F7"/>
    <w:rsid w:val="00163648"/>
    <w:rsid w:val="001637DD"/>
    <w:rsid w:val="001638D3"/>
    <w:rsid w:val="001659C6"/>
    <w:rsid w:val="0017032B"/>
    <w:rsid w:val="00171274"/>
    <w:rsid w:val="001761E9"/>
    <w:rsid w:val="0017674E"/>
    <w:rsid w:val="00177800"/>
    <w:rsid w:val="001778B8"/>
    <w:rsid w:val="00180B04"/>
    <w:rsid w:val="001810FE"/>
    <w:rsid w:val="0018448F"/>
    <w:rsid w:val="00184A94"/>
    <w:rsid w:val="001852E5"/>
    <w:rsid w:val="001878D8"/>
    <w:rsid w:val="0019143A"/>
    <w:rsid w:val="001919B1"/>
    <w:rsid w:val="00192D3C"/>
    <w:rsid w:val="00196CF1"/>
    <w:rsid w:val="00197666"/>
    <w:rsid w:val="001A09E1"/>
    <w:rsid w:val="001A2014"/>
    <w:rsid w:val="001A2886"/>
    <w:rsid w:val="001A3845"/>
    <w:rsid w:val="001A61AA"/>
    <w:rsid w:val="001A73BF"/>
    <w:rsid w:val="001A74CC"/>
    <w:rsid w:val="001B1591"/>
    <w:rsid w:val="001B259F"/>
    <w:rsid w:val="001B4E89"/>
    <w:rsid w:val="001B5D5A"/>
    <w:rsid w:val="001B7088"/>
    <w:rsid w:val="001C209A"/>
    <w:rsid w:val="001C48A1"/>
    <w:rsid w:val="001C4EFA"/>
    <w:rsid w:val="001C6F21"/>
    <w:rsid w:val="001D4DD6"/>
    <w:rsid w:val="001D6BA4"/>
    <w:rsid w:val="001E4116"/>
    <w:rsid w:val="001E472B"/>
    <w:rsid w:val="001E7624"/>
    <w:rsid w:val="001F3545"/>
    <w:rsid w:val="001F661F"/>
    <w:rsid w:val="00200347"/>
    <w:rsid w:val="00203198"/>
    <w:rsid w:val="00203EAA"/>
    <w:rsid w:val="002051AB"/>
    <w:rsid w:val="00205496"/>
    <w:rsid w:val="002078E3"/>
    <w:rsid w:val="00213744"/>
    <w:rsid w:val="002167D2"/>
    <w:rsid w:val="002204ED"/>
    <w:rsid w:val="00221B84"/>
    <w:rsid w:val="00223C9A"/>
    <w:rsid w:val="002246CA"/>
    <w:rsid w:val="002251FE"/>
    <w:rsid w:val="00225E8D"/>
    <w:rsid w:val="0022611B"/>
    <w:rsid w:val="00227C8E"/>
    <w:rsid w:val="0023028E"/>
    <w:rsid w:val="00231641"/>
    <w:rsid w:val="00231AB4"/>
    <w:rsid w:val="00241252"/>
    <w:rsid w:val="002427BF"/>
    <w:rsid w:val="002452BF"/>
    <w:rsid w:val="00246223"/>
    <w:rsid w:val="00246829"/>
    <w:rsid w:val="00250468"/>
    <w:rsid w:val="00253B34"/>
    <w:rsid w:val="00254D79"/>
    <w:rsid w:val="00255AF0"/>
    <w:rsid w:val="00255B22"/>
    <w:rsid w:val="00255B4E"/>
    <w:rsid w:val="0025632D"/>
    <w:rsid w:val="0025736A"/>
    <w:rsid w:val="002623C7"/>
    <w:rsid w:val="002640E1"/>
    <w:rsid w:val="00264249"/>
    <w:rsid w:val="00264B6C"/>
    <w:rsid w:val="0026505F"/>
    <w:rsid w:val="00273AC3"/>
    <w:rsid w:val="002843FB"/>
    <w:rsid w:val="00287DBD"/>
    <w:rsid w:val="0029022D"/>
    <w:rsid w:val="00291476"/>
    <w:rsid w:val="0029323C"/>
    <w:rsid w:val="002942EC"/>
    <w:rsid w:val="00294E1F"/>
    <w:rsid w:val="002958F1"/>
    <w:rsid w:val="002A0D9E"/>
    <w:rsid w:val="002A1BF1"/>
    <w:rsid w:val="002A1F3F"/>
    <w:rsid w:val="002A493D"/>
    <w:rsid w:val="002A69DC"/>
    <w:rsid w:val="002B32E8"/>
    <w:rsid w:val="002B4713"/>
    <w:rsid w:val="002B4791"/>
    <w:rsid w:val="002B6C1C"/>
    <w:rsid w:val="002D7915"/>
    <w:rsid w:val="002E27CC"/>
    <w:rsid w:val="002E57C7"/>
    <w:rsid w:val="002F55A8"/>
    <w:rsid w:val="002F6FBC"/>
    <w:rsid w:val="00300DF2"/>
    <w:rsid w:val="0030490E"/>
    <w:rsid w:val="00305F74"/>
    <w:rsid w:val="00306179"/>
    <w:rsid w:val="00306353"/>
    <w:rsid w:val="00307098"/>
    <w:rsid w:val="00307B81"/>
    <w:rsid w:val="0031090B"/>
    <w:rsid w:val="003115CD"/>
    <w:rsid w:val="00316412"/>
    <w:rsid w:val="00322E4D"/>
    <w:rsid w:val="00325AE4"/>
    <w:rsid w:val="00326E03"/>
    <w:rsid w:val="003301FE"/>
    <w:rsid w:val="003322EA"/>
    <w:rsid w:val="003345A8"/>
    <w:rsid w:val="0034258A"/>
    <w:rsid w:val="0035001D"/>
    <w:rsid w:val="003512C7"/>
    <w:rsid w:val="0035185E"/>
    <w:rsid w:val="00351F12"/>
    <w:rsid w:val="003531BB"/>
    <w:rsid w:val="003536FC"/>
    <w:rsid w:val="003564B6"/>
    <w:rsid w:val="00361F94"/>
    <w:rsid w:val="003629DA"/>
    <w:rsid w:val="00365C22"/>
    <w:rsid w:val="00365E3C"/>
    <w:rsid w:val="00367965"/>
    <w:rsid w:val="00371393"/>
    <w:rsid w:val="003754E3"/>
    <w:rsid w:val="0038332C"/>
    <w:rsid w:val="0039134E"/>
    <w:rsid w:val="003920CB"/>
    <w:rsid w:val="00394DEA"/>
    <w:rsid w:val="00397511"/>
    <w:rsid w:val="003A12A4"/>
    <w:rsid w:val="003A14A2"/>
    <w:rsid w:val="003A7452"/>
    <w:rsid w:val="003B16A3"/>
    <w:rsid w:val="003B2548"/>
    <w:rsid w:val="003B3AEF"/>
    <w:rsid w:val="003B3B0E"/>
    <w:rsid w:val="003B656F"/>
    <w:rsid w:val="003B700C"/>
    <w:rsid w:val="003B7621"/>
    <w:rsid w:val="003C1879"/>
    <w:rsid w:val="003C1DE3"/>
    <w:rsid w:val="003C4300"/>
    <w:rsid w:val="003D08B1"/>
    <w:rsid w:val="003D3995"/>
    <w:rsid w:val="003D435E"/>
    <w:rsid w:val="003E00BB"/>
    <w:rsid w:val="003E61A9"/>
    <w:rsid w:val="003E6E46"/>
    <w:rsid w:val="003F5D94"/>
    <w:rsid w:val="003F6281"/>
    <w:rsid w:val="00404DAF"/>
    <w:rsid w:val="004056A4"/>
    <w:rsid w:val="00405741"/>
    <w:rsid w:val="00405B39"/>
    <w:rsid w:val="0041038E"/>
    <w:rsid w:val="00410D37"/>
    <w:rsid w:val="004130DB"/>
    <w:rsid w:val="00414FDB"/>
    <w:rsid w:val="00420766"/>
    <w:rsid w:val="00421266"/>
    <w:rsid w:val="00421504"/>
    <w:rsid w:val="004256EA"/>
    <w:rsid w:val="004277FE"/>
    <w:rsid w:val="00432144"/>
    <w:rsid w:val="00433877"/>
    <w:rsid w:val="004342D6"/>
    <w:rsid w:val="00434EDA"/>
    <w:rsid w:val="004402FA"/>
    <w:rsid w:val="00441930"/>
    <w:rsid w:val="00444C0E"/>
    <w:rsid w:val="00445236"/>
    <w:rsid w:val="00446519"/>
    <w:rsid w:val="004478AE"/>
    <w:rsid w:val="00451CF7"/>
    <w:rsid w:val="004529FF"/>
    <w:rsid w:val="00452FA3"/>
    <w:rsid w:val="00457528"/>
    <w:rsid w:val="00457C65"/>
    <w:rsid w:val="00463EB4"/>
    <w:rsid w:val="00464D42"/>
    <w:rsid w:val="00465C26"/>
    <w:rsid w:val="00466C73"/>
    <w:rsid w:val="004705A1"/>
    <w:rsid w:val="00472A92"/>
    <w:rsid w:val="0048219E"/>
    <w:rsid w:val="004838C5"/>
    <w:rsid w:val="0048399E"/>
    <w:rsid w:val="004862AC"/>
    <w:rsid w:val="004862E0"/>
    <w:rsid w:val="00486492"/>
    <w:rsid w:val="00491DC6"/>
    <w:rsid w:val="00492604"/>
    <w:rsid w:val="00493052"/>
    <w:rsid w:val="004A0F22"/>
    <w:rsid w:val="004A2E13"/>
    <w:rsid w:val="004A2E94"/>
    <w:rsid w:val="004A64C6"/>
    <w:rsid w:val="004B1220"/>
    <w:rsid w:val="004B2762"/>
    <w:rsid w:val="004B347E"/>
    <w:rsid w:val="004B6ED7"/>
    <w:rsid w:val="004B7D19"/>
    <w:rsid w:val="004B7D3B"/>
    <w:rsid w:val="004C10C9"/>
    <w:rsid w:val="004D03E3"/>
    <w:rsid w:val="004D1C4B"/>
    <w:rsid w:val="004D27CE"/>
    <w:rsid w:val="004D4FF7"/>
    <w:rsid w:val="004D5594"/>
    <w:rsid w:val="004D79DD"/>
    <w:rsid w:val="004D7D73"/>
    <w:rsid w:val="004E357D"/>
    <w:rsid w:val="004F6589"/>
    <w:rsid w:val="004F67E3"/>
    <w:rsid w:val="00500576"/>
    <w:rsid w:val="00501776"/>
    <w:rsid w:val="0050651C"/>
    <w:rsid w:val="0050719C"/>
    <w:rsid w:val="00510168"/>
    <w:rsid w:val="005112CE"/>
    <w:rsid w:val="00512519"/>
    <w:rsid w:val="00517934"/>
    <w:rsid w:val="0053007E"/>
    <w:rsid w:val="005301D7"/>
    <w:rsid w:val="0053384C"/>
    <w:rsid w:val="00534464"/>
    <w:rsid w:val="00537290"/>
    <w:rsid w:val="005400C7"/>
    <w:rsid w:val="0054015A"/>
    <w:rsid w:val="00540291"/>
    <w:rsid w:val="005404BE"/>
    <w:rsid w:val="00545A21"/>
    <w:rsid w:val="005520F5"/>
    <w:rsid w:val="00552A9D"/>
    <w:rsid w:val="00557BAC"/>
    <w:rsid w:val="005638F5"/>
    <w:rsid w:val="00565F48"/>
    <w:rsid w:val="005673C2"/>
    <w:rsid w:val="00571B84"/>
    <w:rsid w:val="005723CA"/>
    <w:rsid w:val="00572E2A"/>
    <w:rsid w:val="00573A52"/>
    <w:rsid w:val="00580113"/>
    <w:rsid w:val="00581CFC"/>
    <w:rsid w:val="005824FC"/>
    <w:rsid w:val="00582A23"/>
    <w:rsid w:val="005840FC"/>
    <w:rsid w:val="005843ED"/>
    <w:rsid w:val="00584A63"/>
    <w:rsid w:val="00587998"/>
    <w:rsid w:val="00587FAC"/>
    <w:rsid w:val="005909E9"/>
    <w:rsid w:val="005923CC"/>
    <w:rsid w:val="005934AD"/>
    <w:rsid w:val="00594723"/>
    <w:rsid w:val="0059662E"/>
    <w:rsid w:val="00597EE4"/>
    <w:rsid w:val="005A152C"/>
    <w:rsid w:val="005A1E97"/>
    <w:rsid w:val="005A2910"/>
    <w:rsid w:val="005A29F4"/>
    <w:rsid w:val="005A2D18"/>
    <w:rsid w:val="005A3C4D"/>
    <w:rsid w:val="005A3F24"/>
    <w:rsid w:val="005A4229"/>
    <w:rsid w:val="005B36F3"/>
    <w:rsid w:val="005B488F"/>
    <w:rsid w:val="005B71A8"/>
    <w:rsid w:val="005C1322"/>
    <w:rsid w:val="005C2C39"/>
    <w:rsid w:val="005C6C38"/>
    <w:rsid w:val="005D0E2D"/>
    <w:rsid w:val="005D57DA"/>
    <w:rsid w:val="005D61F5"/>
    <w:rsid w:val="005D6A71"/>
    <w:rsid w:val="005E090C"/>
    <w:rsid w:val="005E18A0"/>
    <w:rsid w:val="005E6861"/>
    <w:rsid w:val="005E73D8"/>
    <w:rsid w:val="005E7F7D"/>
    <w:rsid w:val="005F14CE"/>
    <w:rsid w:val="005F1CE0"/>
    <w:rsid w:val="005F26CE"/>
    <w:rsid w:val="005F399C"/>
    <w:rsid w:val="005F5DFA"/>
    <w:rsid w:val="005F7ECB"/>
    <w:rsid w:val="006016D4"/>
    <w:rsid w:val="00605CDF"/>
    <w:rsid w:val="0060737E"/>
    <w:rsid w:val="006077E0"/>
    <w:rsid w:val="00611F9B"/>
    <w:rsid w:val="00612905"/>
    <w:rsid w:val="006134FA"/>
    <w:rsid w:val="00613717"/>
    <w:rsid w:val="00614512"/>
    <w:rsid w:val="0061485C"/>
    <w:rsid w:val="00615E88"/>
    <w:rsid w:val="00626E54"/>
    <w:rsid w:val="00627670"/>
    <w:rsid w:val="0063063F"/>
    <w:rsid w:val="00635364"/>
    <w:rsid w:val="006370C7"/>
    <w:rsid w:val="00640535"/>
    <w:rsid w:val="006413E6"/>
    <w:rsid w:val="00645430"/>
    <w:rsid w:val="0064560E"/>
    <w:rsid w:val="00646554"/>
    <w:rsid w:val="00646D3B"/>
    <w:rsid w:val="00650C89"/>
    <w:rsid w:val="00651DAF"/>
    <w:rsid w:val="0065202F"/>
    <w:rsid w:val="00653479"/>
    <w:rsid w:val="00661156"/>
    <w:rsid w:val="00663B55"/>
    <w:rsid w:val="00666073"/>
    <w:rsid w:val="00666C61"/>
    <w:rsid w:val="006706BB"/>
    <w:rsid w:val="006706D9"/>
    <w:rsid w:val="00671CCB"/>
    <w:rsid w:val="0067369D"/>
    <w:rsid w:val="00674AD4"/>
    <w:rsid w:val="0068212D"/>
    <w:rsid w:val="00690411"/>
    <w:rsid w:val="00690471"/>
    <w:rsid w:val="00690BB3"/>
    <w:rsid w:val="00692D59"/>
    <w:rsid w:val="00693E7A"/>
    <w:rsid w:val="00695F0A"/>
    <w:rsid w:val="00697436"/>
    <w:rsid w:val="0069748F"/>
    <w:rsid w:val="006A078D"/>
    <w:rsid w:val="006A1261"/>
    <w:rsid w:val="006A32EB"/>
    <w:rsid w:val="006A34F9"/>
    <w:rsid w:val="006A48F8"/>
    <w:rsid w:val="006A62CE"/>
    <w:rsid w:val="006B68FA"/>
    <w:rsid w:val="006B69E8"/>
    <w:rsid w:val="006C1E39"/>
    <w:rsid w:val="006C34B5"/>
    <w:rsid w:val="006C3E43"/>
    <w:rsid w:val="006C5A10"/>
    <w:rsid w:val="006C63CE"/>
    <w:rsid w:val="006C6470"/>
    <w:rsid w:val="006C75C1"/>
    <w:rsid w:val="006C7A55"/>
    <w:rsid w:val="006D478E"/>
    <w:rsid w:val="006D64E4"/>
    <w:rsid w:val="006E32DC"/>
    <w:rsid w:val="006E4D4F"/>
    <w:rsid w:val="006E6773"/>
    <w:rsid w:val="006E6E13"/>
    <w:rsid w:val="006F119E"/>
    <w:rsid w:val="006F1734"/>
    <w:rsid w:val="006F19C4"/>
    <w:rsid w:val="006F2AAB"/>
    <w:rsid w:val="006F2E0C"/>
    <w:rsid w:val="006F44CE"/>
    <w:rsid w:val="006F4CE3"/>
    <w:rsid w:val="00700E8D"/>
    <w:rsid w:val="007032A6"/>
    <w:rsid w:val="0071067E"/>
    <w:rsid w:val="0071199C"/>
    <w:rsid w:val="00713A80"/>
    <w:rsid w:val="0071531E"/>
    <w:rsid w:val="00715428"/>
    <w:rsid w:val="00715E7F"/>
    <w:rsid w:val="0072267D"/>
    <w:rsid w:val="00722B95"/>
    <w:rsid w:val="007245AD"/>
    <w:rsid w:val="00724C59"/>
    <w:rsid w:val="00725004"/>
    <w:rsid w:val="00727022"/>
    <w:rsid w:val="00727E6B"/>
    <w:rsid w:val="0073156E"/>
    <w:rsid w:val="00734345"/>
    <w:rsid w:val="0073475B"/>
    <w:rsid w:val="0073697C"/>
    <w:rsid w:val="007420EE"/>
    <w:rsid w:val="007443D5"/>
    <w:rsid w:val="00744C03"/>
    <w:rsid w:val="0074574C"/>
    <w:rsid w:val="0075189C"/>
    <w:rsid w:val="007536BC"/>
    <w:rsid w:val="00753F5C"/>
    <w:rsid w:val="00754A70"/>
    <w:rsid w:val="00756E82"/>
    <w:rsid w:val="00763D75"/>
    <w:rsid w:val="00764D51"/>
    <w:rsid w:val="007654C8"/>
    <w:rsid w:val="007731C8"/>
    <w:rsid w:val="00774579"/>
    <w:rsid w:val="00775B48"/>
    <w:rsid w:val="007766FD"/>
    <w:rsid w:val="00776CAA"/>
    <w:rsid w:val="00777C75"/>
    <w:rsid w:val="007830A0"/>
    <w:rsid w:val="007835A7"/>
    <w:rsid w:val="00785635"/>
    <w:rsid w:val="007868EC"/>
    <w:rsid w:val="00787C74"/>
    <w:rsid w:val="00793F85"/>
    <w:rsid w:val="00795B01"/>
    <w:rsid w:val="007976AC"/>
    <w:rsid w:val="00797C2F"/>
    <w:rsid w:val="007A0400"/>
    <w:rsid w:val="007A417B"/>
    <w:rsid w:val="007B0E4D"/>
    <w:rsid w:val="007B1595"/>
    <w:rsid w:val="007B267B"/>
    <w:rsid w:val="007C0701"/>
    <w:rsid w:val="007C0808"/>
    <w:rsid w:val="007C3603"/>
    <w:rsid w:val="007C5374"/>
    <w:rsid w:val="007C5969"/>
    <w:rsid w:val="007D15CC"/>
    <w:rsid w:val="007D183D"/>
    <w:rsid w:val="007D3E13"/>
    <w:rsid w:val="007D695C"/>
    <w:rsid w:val="007F1F70"/>
    <w:rsid w:val="007F25A5"/>
    <w:rsid w:val="007F442C"/>
    <w:rsid w:val="007F598E"/>
    <w:rsid w:val="007F68E4"/>
    <w:rsid w:val="00800A7E"/>
    <w:rsid w:val="00800D22"/>
    <w:rsid w:val="008016EC"/>
    <w:rsid w:val="0080587B"/>
    <w:rsid w:val="008059CF"/>
    <w:rsid w:val="00811614"/>
    <w:rsid w:val="00816807"/>
    <w:rsid w:val="00816C93"/>
    <w:rsid w:val="00816F02"/>
    <w:rsid w:val="0082163E"/>
    <w:rsid w:val="00821A96"/>
    <w:rsid w:val="00822F8E"/>
    <w:rsid w:val="0082686D"/>
    <w:rsid w:val="00830781"/>
    <w:rsid w:val="008311F6"/>
    <w:rsid w:val="00832669"/>
    <w:rsid w:val="008337A8"/>
    <w:rsid w:val="00833A23"/>
    <w:rsid w:val="00833F71"/>
    <w:rsid w:val="0083401A"/>
    <w:rsid w:val="00837A60"/>
    <w:rsid w:val="008412AF"/>
    <w:rsid w:val="008415CA"/>
    <w:rsid w:val="00842079"/>
    <w:rsid w:val="00842A36"/>
    <w:rsid w:val="00843696"/>
    <w:rsid w:val="00843CA0"/>
    <w:rsid w:val="0084419D"/>
    <w:rsid w:val="00844EFC"/>
    <w:rsid w:val="00851B78"/>
    <w:rsid w:val="00851E63"/>
    <w:rsid w:val="0085360B"/>
    <w:rsid w:val="00853979"/>
    <w:rsid w:val="00853D65"/>
    <w:rsid w:val="008551AC"/>
    <w:rsid w:val="0086103F"/>
    <w:rsid w:val="008612D5"/>
    <w:rsid w:val="0086240E"/>
    <w:rsid w:val="00862649"/>
    <w:rsid w:val="0086287B"/>
    <w:rsid w:val="00864A20"/>
    <w:rsid w:val="00865EB7"/>
    <w:rsid w:val="0086682F"/>
    <w:rsid w:val="0087027F"/>
    <w:rsid w:val="00870AB5"/>
    <w:rsid w:val="00871172"/>
    <w:rsid w:val="00875173"/>
    <w:rsid w:val="00876D9E"/>
    <w:rsid w:val="00883BFB"/>
    <w:rsid w:val="00884588"/>
    <w:rsid w:val="00884B12"/>
    <w:rsid w:val="00884F15"/>
    <w:rsid w:val="008859CF"/>
    <w:rsid w:val="00887A6A"/>
    <w:rsid w:val="008918D0"/>
    <w:rsid w:val="00893CD7"/>
    <w:rsid w:val="0089520D"/>
    <w:rsid w:val="0089533B"/>
    <w:rsid w:val="00895ACF"/>
    <w:rsid w:val="00896233"/>
    <w:rsid w:val="00897094"/>
    <w:rsid w:val="008A0721"/>
    <w:rsid w:val="008A3C5C"/>
    <w:rsid w:val="008A44F3"/>
    <w:rsid w:val="008B7AEB"/>
    <w:rsid w:val="008C0499"/>
    <w:rsid w:val="008C0B93"/>
    <w:rsid w:val="008C10D0"/>
    <w:rsid w:val="008C1863"/>
    <w:rsid w:val="008C2594"/>
    <w:rsid w:val="008D158A"/>
    <w:rsid w:val="008D17E2"/>
    <w:rsid w:val="008D29B6"/>
    <w:rsid w:val="008D3826"/>
    <w:rsid w:val="008D56F3"/>
    <w:rsid w:val="008D5F8E"/>
    <w:rsid w:val="008D634E"/>
    <w:rsid w:val="008D651A"/>
    <w:rsid w:val="008E3BB6"/>
    <w:rsid w:val="008E3D68"/>
    <w:rsid w:val="008E4D27"/>
    <w:rsid w:val="008E5951"/>
    <w:rsid w:val="008E620B"/>
    <w:rsid w:val="008E7125"/>
    <w:rsid w:val="008E7EB7"/>
    <w:rsid w:val="008F2F2A"/>
    <w:rsid w:val="008F308F"/>
    <w:rsid w:val="008F4037"/>
    <w:rsid w:val="008F58AA"/>
    <w:rsid w:val="00901921"/>
    <w:rsid w:val="00901D67"/>
    <w:rsid w:val="0090215F"/>
    <w:rsid w:val="00902B91"/>
    <w:rsid w:val="00905AA3"/>
    <w:rsid w:val="0091068B"/>
    <w:rsid w:val="00910C13"/>
    <w:rsid w:val="00922F7A"/>
    <w:rsid w:val="009307DD"/>
    <w:rsid w:val="009324CE"/>
    <w:rsid w:val="009333EF"/>
    <w:rsid w:val="00933FF4"/>
    <w:rsid w:val="009340B4"/>
    <w:rsid w:val="00936C71"/>
    <w:rsid w:val="00937126"/>
    <w:rsid w:val="009376B7"/>
    <w:rsid w:val="009378DD"/>
    <w:rsid w:val="00940B24"/>
    <w:rsid w:val="0095646E"/>
    <w:rsid w:val="009632BA"/>
    <w:rsid w:val="009633C9"/>
    <w:rsid w:val="00967D19"/>
    <w:rsid w:val="00971B06"/>
    <w:rsid w:val="00974443"/>
    <w:rsid w:val="00974A50"/>
    <w:rsid w:val="00976FDF"/>
    <w:rsid w:val="00977FE3"/>
    <w:rsid w:val="009824F0"/>
    <w:rsid w:val="00982C1A"/>
    <w:rsid w:val="009854D7"/>
    <w:rsid w:val="00985875"/>
    <w:rsid w:val="009871CA"/>
    <w:rsid w:val="0099412A"/>
    <w:rsid w:val="009942D7"/>
    <w:rsid w:val="00994461"/>
    <w:rsid w:val="00995DF8"/>
    <w:rsid w:val="009A3152"/>
    <w:rsid w:val="009A6B26"/>
    <w:rsid w:val="009B0E9E"/>
    <w:rsid w:val="009B5F87"/>
    <w:rsid w:val="009C195B"/>
    <w:rsid w:val="009C6A63"/>
    <w:rsid w:val="009D02BA"/>
    <w:rsid w:val="009D102D"/>
    <w:rsid w:val="009D16E8"/>
    <w:rsid w:val="009D22C3"/>
    <w:rsid w:val="009E2CE1"/>
    <w:rsid w:val="009E38B3"/>
    <w:rsid w:val="009E422F"/>
    <w:rsid w:val="009E5D5A"/>
    <w:rsid w:val="009E5E0D"/>
    <w:rsid w:val="009F09E1"/>
    <w:rsid w:val="009F13F7"/>
    <w:rsid w:val="009F2321"/>
    <w:rsid w:val="009F23E8"/>
    <w:rsid w:val="009F7730"/>
    <w:rsid w:val="00A021D0"/>
    <w:rsid w:val="00A0264B"/>
    <w:rsid w:val="00A05C82"/>
    <w:rsid w:val="00A0631F"/>
    <w:rsid w:val="00A119C4"/>
    <w:rsid w:val="00A11C8C"/>
    <w:rsid w:val="00A136A7"/>
    <w:rsid w:val="00A21A67"/>
    <w:rsid w:val="00A26126"/>
    <w:rsid w:val="00A270FB"/>
    <w:rsid w:val="00A32FB7"/>
    <w:rsid w:val="00A34330"/>
    <w:rsid w:val="00A3450A"/>
    <w:rsid w:val="00A36065"/>
    <w:rsid w:val="00A3612E"/>
    <w:rsid w:val="00A3769A"/>
    <w:rsid w:val="00A4191B"/>
    <w:rsid w:val="00A41FDD"/>
    <w:rsid w:val="00A4204B"/>
    <w:rsid w:val="00A46BC0"/>
    <w:rsid w:val="00A506EF"/>
    <w:rsid w:val="00A50D2C"/>
    <w:rsid w:val="00A548ED"/>
    <w:rsid w:val="00A5513D"/>
    <w:rsid w:val="00A60DE3"/>
    <w:rsid w:val="00A6624F"/>
    <w:rsid w:val="00A67F16"/>
    <w:rsid w:val="00A70D06"/>
    <w:rsid w:val="00A715B4"/>
    <w:rsid w:val="00A718FC"/>
    <w:rsid w:val="00A71B62"/>
    <w:rsid w:val="00A7607A"/>
    <w:rsid w:val="00A76AC6"/>
    <w:rsid w:val="00A7781C"/>
    <w:rsid w:val="00A833FE"/>
    <w:rsid w:val="00A8661F"/>
    <w:rsid w:val="00A8672B"/>
    <w:rsid w:val="00A86869"/>
    <w:rsid w:val="00A869BA"/>
    <w:rsid w:val="00A9242E"/>
    <w:rsid w:val="00A92C66"/>
    <w:rsid w:val="00A96630"/>
    <w:rsid w:val="00AA1EDE"/>
    <w:rsid w:val="00AA2398"/>
    <w:rsid w:val="00AB4D79"/>
    <w:rsid w:val="00AB5A44"/>
    <w:rsid w:val="00AB7124"/>
    <w:rsid w:val="00AC15D3"/>
    <w:rsid w:val="00AC36C7"/>
    <w:rsid w:val="00AC481F"/>
    <w:rsid w:val="00AC5485"/>
    <w:rsid w:val="00AC74F5"/>
    <w:rsid w:val="00AC7E50"/>
    <w:rsid w:val="00AD34DC"/>
    <w:rsid w:val="00AD3B31"/>
    <w:rsid w:val="00AD467E"/>
    <w:rsid w:val="00AD63CE"/>
    <w:rsid w:val="00AD6A4F"/>
    <w:rsid w:val="00AE2D02"/>
    <w:rsid w:val="00AE3F0D"/>
    <w:rsid w:val="00AF29ED"/>
    <w:rsid w:val="00AF4619"/>
    <w:rsid w:val="00AF5725"/>
    <w:rsid w:val="00AF5AC9"/>
    <w:rsid w:val="00AF72A6"/>
    <w:rsid w:val="00B006AA"/>
    <w:rsid w:val="00B00BFF"/>
    <w:rsid w:val="00B024C4"/>
    <w:rsid w:val="00B03668"/>
    <w:rsid w:val="00B05C9E"/>
    <w:rsid w:val="00B13C22"/>
    <w:rsid w:val="00B13EFC"/>
    <w:rsid w:val="00B1514D"/>
    <w:rsid w:val="00B156F5"/>
    <w:rsid w:val="00B1657C"/>
    <w:rsid w:val="00B17350"/>
    <w:rsid w:val="00B221F9"/>
    <w:rsid w:val="00B23D6A"/>
    <w:rsid w:val="00B265D3"/>
    <w:rsid w:val="00B341E8"/>
    <w:rsid w:val="00B35C52"/>
    <w:rsid w:val="00B363EA"/>
    <w:rsid w:val="00B3658A"/>
    <w:rsid w:val="00B42738"/>
    <w:rsid w:val="00B42912"/>
    <w:rsid w:val="00B432E2"/>
    <w:rsid w:val="00B44484"/>
    <w:rsid w:val="00B477AA"/>
    <w:rsid w:val="00B51BA6"/>
    <w:rsid w:val="00B52078"/>
    <w:rsid w:val="00B57F41"/>
    <w:rsid w:val="00B57FF0"/>
    <w:rsid w:val="00B60546"/>
    <w:rsid w:val="00B61F72"/>
    <w:rsid w:val="00B62473"/>
    <w:rsid w:val="00B629AF"/>
    <w:rsid w:val="00B65728"/>
    <w:rsid w:val="00B676D3"/>
    <w:rsid w:val="00B7111E"/>
    <w:rsid w:val="00B71EEA"/>
    <w:rsid w:val="00B72BE2"/>
    <w:rsid w:val="00B7462A"/>
    <w:rsid w:val="00B74988"/>
    <w:rsid w:val="00B77246"/>
    <w:rsid w:val="00B7752A"/>
    <w:rsid w:val="00B83052"/>
    <w:rsid w:val="00B8485C"/>
    <w:rsid w:val="00B84A17"/>
    <w:rsid w:val="00B86D60"/>
    <w:rsid w:val="00B87DE5"/>
    <w:rsid w:val="00B91F4A"/>
    <w:rsid w:val="00B92B3E"/>
    <w:rsid w:val="00BA47E9"/>
    <w:rsid w:val="00BA7A33"/>
    <w:rsid w:val="00BA7C70"/>
    <w:rsid w:val="00BB00C3"/>
    <w:rsid w:val="00BB0A45"/>
    <w:rsid w:val="00BB2F65"/>
    <w:rsid w:val="00BB3AE3"/>
    <w:rsid w:val="00BB44BA"/>
    <w:rsid w:val="00BB4758"/>
    <w:rsid w:val="00BC23C9"/>
    <w:rsid w:val="00BC25DB"/>
    <w:rsid w:val="00BC3C8E"/>
    <w:rsid w:val="00BC4AE2"/>
    <w:rsid w:val="00BC510D"/>
    <w:rsid w:val="00BD06F1"/>
    <w:rsid w:val="00BD085B"/>
    <w:rsid w:val="00BD1077"/>
    <w:rsid w:val="00BD13D2"/>
    <w:rsid w:val="00BD2D22"/>
    <w:rsid w:val="00BD2F97"/>
    <w:rsid w:val="00BD64A1"/>
    <w:rsid w:val="00BE1FCE"/>
    <w:rsid w:val="00BE6962"/>
    <w:rsid w:val="00BE7B39"/>
    <w:rsid w:val="00BF12DE"/>
    <w:rsid w:val="00BF1DDF"/>
    <w:rsid w:val="00BF3D67"/>
    <w:rsid w:val="00BF4A85"/>
    <w:rsid w:val="00BF6E7C"/>
    <w:rsid w:val="00BF73B5"/>
    <w:rsid w:val="00C025E6"/>
    <w:rsid w:val="00C040F5"/>
    <w:rsid w:val="00C04763"/>
    <w:rsid w:val="00C0797B"/>
    <w:rsid w:val="00C12ABE"/>
    <w:rsid w:val="00C14546"/>
    <w:rsid w:val="00C15F7A"/>
    <w:rsid w:val="00C20835"/>
    <w:rsid w:val="00C2337A"/>
    <w:rsid w:val="00C23743"/>
    <w:rsid w:val="00C26020"/>
    <w:rsid w:val="00C32ED2"/>
    <w:rsid w:val="00C33269"/>
    <w:rsid w:val="00C338CE"/>
    <w:rsid w:val="00C33AB2"/>
    <w:rsid w:val="00C34BB6"/>
    <w:rsid w:val="00C34E3E"/>
    <w:rsid w:val="00C36824"/>
    <w:rsid w:val="00C369C2"/>
    <w:rsid w:val="00C37D1C"/>
    <w:rsid w:val="00C4577C"/>
    <w:rsid w:val="00C51271"/>
    <w:rsid w:val="00C53C3E"/>
    <w:rsid w:val="00C55838"/>
    <w:rsid w:val="00C56941"/>
    <w:rsid w:val="00C57B44"/>
    <w:rsid w:val="00C60DF6"/>
    <w:rsid w:val="00C617F8"/>
    <w:rsid w:val="00C64FA1"/>
    <w:rsid w:val="00C67665"/>
    <w:rsid w:val="00C679E6"/>
    <w:rsid w:val="00C67A30"/>
    <w:rsid w:val="00C67FDD"/>
    <w:rsid w:val="00C70637"/>
    <w:rsid w:val="00C74493"/>
    <w:rsid w:val="00C80C88"/>
    <w:rsid w:val="00C81B0D"/>
    <w:rsid w:val="00C82252"/>
    <w:rsid w:val="00C830C5"/>
    <w:rsid w:val="00C868C2"/>
    <w:rsid w:val="00C8712C"/>
    <w:rsid w:val="00C906C2"/>
    <w:rsid w:val="00C90FFA"/>
    <w:rsid w:val="00C95133"/>
    <w:rsid w:val="00CA009F"/>
    <w:rsid w:val="00CA4964"/>
    <w:rsid w:val="00CB3111"/>
    <w:rsid w:val="00CB458A"/>
    <w:rsid w:val="00CB5A97"/>
    <w:rsid w:val="00CC3237"/>
    <w:rsid w:val="00CC3A17"/>
    <w:rsid w:val="00CC5FBC"/>
    <w:rsid w:val="00CD0D8A"/>
    <w:rsid w:val="00CD412C"/>
    <w:rsid w:val="00CD560C"/>
    <w:rsid w:val="00CE25C5"/>
    <w:rsid w:val="00CE29FC"/>
    <w:rsid w:val="00CE4522"/>
    <w:rsid w:val="00CF11EF"/>
    <w:rsid w:val="00CF121E"/>
    <w:rsid w:val="00CF1CF1"/>
    <w:rsid w:val="00CF341E"/>
    <w:rsid w:val="00CF3636"/>
    <w:rsid w:val="00CF36A1"/>
    <w:rsid w:val="00CF55B1"/>
    <w:rsid w:val="00D01B8B"/>
    <w:rsid w:val="00D059BD"/>
    <w:rsid w:val="00D2018A"/>
    <w:rsid w:val="00D215A1"/>
    <w:rsid w:val="00D2305A"/>
    <w:rsid w:val="00D23DF4"/>
    <w:rsid w:val="00D23E62"/>
    <w:rsid w:val="00D25A3A"/>
    <w:rsid w:val="00D270A0"/>
    <w:rsid w:val="00D271C3"/>
    <w:rsid w:val="00D2769E"/>
    <w:rsid w:val="00D37CAC"/>
    <w:rsid w:val="00D41132"/>
    <w:rsid w:val="00D4220A"/>
    <w:rsid w:val="00D42643"/>
    <w:rsid w:val="00D45A83"/>
    <w:rsid w:val="00D46204"/>
    <w:rsid w:val="00D52052"/>
    <w:rsid w:val="00D54712"/>
    <w:rsid w:val="00D55991"/>
    <w:rsid w:val="00D57CF1"/>
    <w:rsid w:val="00D60070"/>
    <w:rsid w:val="00D62A1F"/>
    <w:rsid w:val="00D65370"/>
    <w:rsid w:val="00D67797"/>
    <w:rsid w:val="00D67851"/>
    <w:rsid w:val="00D702AB"/>
    <w:rsid w:val="00D76549"/>
    <w:rsid w:val="00D76C27"/>
    <w:rsid w:val="00D80A0A"/>
    <w:rsid w:val="00D81BF6"/>
    <w:rsid w:val="00D86424"/>
    <w:rsid w:val="00D957DD"/>
    <w:rsid w:val="00D97200"/>
    <w:rsid w:val="00DA01FA"/>
    <w:rsid w:val="00DA0BF3"/>
    <w:rsid w:val="00DA1EDC"/>
    <w:rsid w:val="00DA22DF"/>
    <w:rsid w:val="00DA33CB"/>
    <w:rsid w:val="00DA3BAF"/>
    <w:rsid w:val="00DA6401"/>
    <w:rsid w:val="00DA6AB3"/>
    <w:rsid w:val="00DB3C20"/>
    <w:rsid w:val="00DB5723"/>
    <w:rsid w:val="00DC08F4"/>
    <w:rsid w:val="00DC3112"/>
    <w:rsid w:val="00DC5FA6"/>
    <w:rsid w:val="00DD0408"/>
    <w:rsid w:val="00DD39B8"/>
    <w:rsid w:val="00DE4592"/>
    <w:rsid w:val="00DE630D"/>
    <w:rsid w:val="00DF5B28"/>
    <w:rsid w:val="00E01E9A"/>
    <w:rsid w:val="00E02ADF"/>
    <w:rsid w:val="00E077A1"/>
    <w:rsid w:val="00E14102"/>
    <w:rsid w:val="00E164F0"/>
    <w:rsid w:val="00E21E4C"/>
    <w:rsid w:val="00E221C2"/>
    <w:rsid w:val="00E22596"/>
    <w:rsid w:val="00E267F3"/>
    <w:rsid w:val="00E332A9"/>
    <w:rsid w:val="00E3342C"/>
    <w:rsid w:val="00E337C3"/>
    <w:rsid w:val="00E34CAB"/>
    <w:rsid w:val="00E36F58"/>
    <w:rsid w:val="00E37E7D"/>
    <w:rsid w:val="00E4575A"/>
    <w:rsid w:val="00E47329"/>
    <w:rsid w:val="00E51019"/>
    <w:rsid w:val="00E534E8"/>
    <w:rsid w:val="00E56071"/>
    <w:rsid w:val="00E56D6F"/>
    <w:rsid w:val="00E6124D"/>
    <w:rsid w:val="00E65EAE"/>
    <w:rsid w:val="00E679E5"/>
    <w:rsid w:val="00E7152D"/>
    <w:rsid w:val="00E717B4"/>
    <w:rsid w:val="00E72058"/>
    <w:rsid w:val="00E72191"/>
    <w:rsid w:val="00E73695"/>
    <w:rsid w:val="00E86163"/>
    <w:rsid w:val="00E90A54"/>
    <w:rsid w:val="00E91769"/>
    <w:rsid w:val="00E95D67"/>
    <w:rsid w:val="00E968CD"/>
    <w:rsid w:val="00E96B93"/>
    <w:rsid w:val="00EA1221"/>
    <w:rsid w:val="00EA1C80"/>
    <w:rsid w:val="00EA3863"/>
    <w:rsid w:val="00EA4B82"/>
    <w:rsid w:val="00EA7336"/>
    <w:rsid w:val="00EA785E"/>
    <w:rsid w:val="00EB43AA"/>
    <w:rsid w:val="00EB552F"/>
    <w:rsid w:val="00EB5DCB"/>
    <w:rsid w:val="00EB7424"/>
    <w:rsid w:val="00EC10FC"/>
    <w:rsid w:val="00EC21D9"/>
    <w:rsid w:val="00ED15AD"/>
    <w:rsid w:val="00EE08DD"/>
    <w:rsid w:val="00EE3BD4"/>
    <w:rsid w:val="00EE5A0F"/>
    <w:rsid w:val="00EF05F1"/>
    <w:rsid w:val="00EF2266"/>
    <w:rsid w:val="00EF318C"/>
    <w:rsid w:val="00EF4132"/>
    <w:rsid w:val="00EF7AE5"/>
    <w:rsid w:val="00F013C6"/>
    <w:rsid w:val="00F05E02"/>
    <w:rsid w:val="00F10788"/>
    <w:rsid w:val="00F1406B"/>
    <w:rsid w:val="00F1431A"/>
    <w:rsid w:val="00F15BA1"/>
    <w:rsid w:val="00F178E9"/>
    <w:rsid w:val="00F22F45"/>
    <w:rsid w:val="00F2331E"/>
    <w:rsid w:val="00F23D39"/>
    <w:rsid w:val="00F2462F"/>
    <w:rsid w:val="00F254D7"/>
    <w:rsid w:val="00F254E2"/>
    <w:rsid w:val="00F25E81"/>
    <w:rsid w:val="00F30356"/>
    <w:rsid w:val="00F3089A"/>
    <w:rsid w:val="00F32C7A"/>
    <w:rsid w:val="00F33DE2"/>
    <w:rsid w:val="00F367CD"/>
    <w:rsid w:val="00F36F74"/>
    <w:rsid w:val="00F419DC"/>
    <w:rsid w:val="00F44713"/>
    <w:rsid w:val="00F467A3"/>
    <w:rsid w:val="00F474E9"/>
    <w:rsid w:val="00F503A4"/>
    <w:rsid w:val="00F503E7"/>
    <w:rsid w:val="00F50B6B"/>
    <w:rsid w:val="00F51BA2"/>
    <w:rsid w:val="00F528E3"/>
    <w:rsid w:val="00F529D7"/>
    <w:rsid w:val="00F530A2"/>
    <w:rsid w:val="00F55D03"/>
    <w:rsid w:val="00F601D7"/>
    <w:rsid w:val="00F612B9"/>
    <w:rsid w:val="00F61A33"/>
    <w:rsid w:val="00F61F89"/>
    <w:rsid w:val="00F62AA0"/>
    <w:rsid w:val="00F63519"/>
    <w:rsid w:val="00F64D39"/>
    <w:rsid w:val="00F65CD2"/>
    <w:rsid w:val="00F6765F"/>
    <w:rsid w:val="00F67EAC"/>
    <w:rsid w:val="00F726C6"/>
    <w:rsid w:val="00F75550"/>
    <w:rsid w:val="00F814E5"/>
    <w:rsid w:val="00F81AE5"/>
    <w:rsid w:val="00F8304B"/>
    <w:rsid w:val="00F83532"/>
    <w:rsid w:val="00F85969"/>
    <w:rsid w:val="00F91A57"/>
    <w:rsid w:val="00F91B58"/>
    <w:rsid w:val="00F94AC7"/>
    <w:rsid w:val="00F95619"/>
    <w:rsid w:val="00FA42BB"/>
    <w:rsid w:val="00FA549C"/>
    <w:rsid w:val="00FB06D3"/>
    <w:rsid w:val="00FB21CD"/>
    <w:rsid w:val="00FB5B4F"/>
    <w:rsid w:val="00FC17C0"/>
    <w:rsid w:val="00FC1F05"/>
    <w:rsid w:val="00FC31F0"/>
    <w:rsid w:val="00FC333A"/>
    <w:rsid w:val="00FD1C96"/>
    <w:rsid w:val="00FD5864"/>
    <w:rsid w:val="00FD709A"/>
    <w:rsid w:val="00FE0176"/>
    <w:rsid w:val="00FE2F22"/>
    <w:rsid w:val="00FE323D"/>
    <w:rsid w:val="00FE3979"/>
    <w:rsid w:val="00FE4F10"/>
    <w:rsid w:val="00FF0E42"/>
    <w:rsid w:val="00FF6D53"/>
    <w:rsid w:val="0190F80D"/>
    <w:rsid w:val="0F26D96F"/>
    <w:rsid w:val="15E69286"/>
    <w:rsid w:val="1B792ABC"/>
    <w:rsid w:val="1C23C685"/>
    <w:rsid w:val="1DEA92A0"/>
    <w:rsid w:val="22086057"/>
    <w:rsid w:val="34D5DD47"/>
    <w:rsid w:val="36239875"/>
    <w:rsid w:val="3D378B28"/>
    <w:rsid w:val="42313CE2"/>
    <w:rsid w:val="465E9585"/>
    <w:rsid w:val="5DEB1779"/>
    <w:rsid w:val="607588E2"/>
    <w:rsid w:val="67E50457"/>
    <w:rsid w:val="72B0A672"/>
    <w:rsid w:val="7369B435"/>
    <w:rsid w:val="7D0B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92436"/>
  <w15:docId w15:val="{4C02BE47-C0A7-40B5-A3E8-719D4860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E8"/>
    <w:rPr>
      <w:rFonts w:ascii="Arial" w:hAnsi="Arial"/>
      <w:sz w:val="24"/>
      <w:szCs w:val="24"/>
    </w:rPr>
  </w:style>
  <w:style w:type="paragraph" w:styleId="Heading1">
    <w:name w:val="heading 1"/>
    <w:aliases w:val="Numbered - 1"/>
    <w:basedOn w:val="Normal"/>
    <w:next w:val="Normal"/>
    <w:link w:val="Heading1Char"/>
    <w:uiPriority w:val="99"/>
    <w:qFormat/>
    <w:rsid w:val="003322EA"/>
    <w:pPr>
      <w:keepNext/>
      <w:keepLines/>
      <w:widowControl w:val="0"/>
      <w:spacing w:before="240" w:after="240"/>
      <w:outlineLvl w:val="0"/>
    </w:pPr>
    <w:rPr>
      <w:b/>
      <w:kern w:val="28"/>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4373AE"/>
    <w:rPr>
      <w:rFonts w:asciiTheme="majorHAnsi" w:eastAsiaTheme="majorEastAsia" w:hAnsiTheme="majorHAnsi" w:cstheme="majorBidi"/>
      <w:b/>
      <w:bCs/>
      <w:kern w:val="32"/>
      <w:sz w:val="32"/>
      <w:szCs w:val="32"/>
    </w:rPr>
  </w:style>
  <w:style w:type="table" w:styleId="TableGrid">
    <w:name w:val="Table Grid"/>
    <w:basedOn w:val="TableNormal"/>
    <w:uiPriority w:val="59"/>
    <w:rsid w:val="00E534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34E8"/>
    <w:pPr>
      <w:tabs>
        <w:tab w:val="center" w:pos="4153"/>
        <w:tab w:val="right" w:pos="8306"/>
      </w:tabs>
    </w:pPr>
  </w:style>
  <w:style w:type="character" w:customStyle="1" w:styleId="HeaderChar">
    <w:name w:val="Header Char"/>
    <w:basedOn w:val="DefaultParagraphFont"/>
    <w:link w:val="Header"/>
    <w:uiPriority w:val="99"/>
    <w:semiHidden/>
    <w:rsid w:val="004373AE"/>
    <w:rPr>
      <w:rFonts w:ascii="Arial" w:hAnsi="Arial"/>
      <w:sz w:val="24"/>
      <w:szCs w:val="24"/>
    </w:rPr>
  </w:style>
  <w:style w:type="paragraph" w:styleId="Footer">
    <w:name w:val="footer"/>
    <w:basedOn w:val="Normal"/>
    <w:link w:val="FooterChar"/>
    <w:rsid w:val="00E534E8"/>
    <w:pPr>
      <w:tabs>
        <w:tab w:val="center" w:pos="4153"/>
        <w:tab w:val="right" w:pos="8306"/>
      </w:tabs>
    </w:pPr>
  </w:style>
  <w:style w:type="character" w:customStyle="1" w:styleId="FooterChar">
    <w:name w:val="Footer Char"/>
    <w:basedOn w:val="DefaultParagraphFont"/>
    <w:link w:val="Footer"/>
    <w:uiPriority w:val="99"/>
    <w:locked/>
    <w:rsid w:val="000F7FF0"/>
    <w:rPr>
      <w:rFonts w:ascii="Arial" w:hAnsi="Arial" w:cs="Times New Roman"/>
      <w:sz w:val="24"/>
      <w:szCs w:val="24"/>
    </w:rPr>
  </w:style>
  <w:style w:type="character" w:styleId="PageNumber">
    <w:name w:val="page number"/>
    <w:basedOn w:val="DefaultParagraphFont"/>
    <w:uiPriority w:val="99"/>
    <w:rsid w:val="00E534E8"/>
    <w:rPr>
      <w:rFonts w:cs="Times New Roman"/>
    </w:rPr>
  </w:style>
  <w:style w:type="paragraph" w:styleId="BalloonText">
    <w:name w:val="Balloon Text"/>
    <w:basedOn w:val="Normal"/>
    <w:link w:val="BalloonTextChar"/>
    <w:uiPriority w:val="99"/>
    <w:semiHidden/>
    <w:rsid w:val="00E534E8"/>
    <w:rPr>
      <w:rFonts w:ascii="Tahoma" w:hAnsi="Tahoma" w:cs="Tahoma"/>
      <w:sz w:val="16"/>
      <w:szCs w:val="16"/>
    </w:rPr>
  </w:style>
  <w:style w:type="character" w:customStyle="1" w:styleId="BalloonTextChar">
    <w:name w:val="Balloon Text Char"/>
    <w:basedOn w:val="DefaultParagraphFont"/>
    <w:link w:val="BalloonText"/>
    <w:uiPriority w:val="99"/>
    <w:semiHidden/>
    <w:rsid w:val="004373AE"/>
    <w:rPr>
      <w:sz w:val="0"/>
      <w:szCs w:val="0"/>
    </w:rPr>
  </w:style>
  <w:style w:type="paragraph" w:customStyle="1" w:styleId="StyleArial">
    <w:name w:val="Style Arial"/>
    <w:basedOn w:val="Normal"/>
    <w:uiPriority w:val="99"/>
    <w:rsid w:val="002246CA"/>
    <w:pPr>
      <w:spacing w:after="120"/>
    </w:pPr>
    <w:rPr>
      <w:rFonts w:cs="Arial"/>
      <w:sz w:val="28"/>
      <w:szCs w:val="20"/>
      <w:lang w:eastAsia="en-US"/>
    </w:rPr>
  </w:style>
  <w:style w:type="paragraph" w:customStyle="1" w:styleId="Default">
    <w:name w:val="Default"/>
    <w:uiPriority w:val="99"/>
    <w:rsid w:val="00CD0D8A"/>
    <w:pPr>
      <w:autoSpaceDE w:val="0"/>
      <w:autoSpaceDN w:val="0"/>
      <w:adjustRightInd w:val="0"/>
    </w:pPr>
    <w:rPr>
      <w:color w:val="000000"/>
      <w:sz w:val="24"/>
      <w:szCs w:val="24"/>
    </w:rPr>
  </w:style>
  <w:style w:type="paragraph" w:customStyle="1" w:styleId="DfESOutNumbered">
    <w:name w:val="DfESOutNumbered"/>
    <w:basedOn w:val="Normal"/>
    <w:uiPriority w:val="99"/>
    <w:rsid w:val="00FE323D"/>
    <w:pPr>
      <w:widowControl w:val="0"/>
      <w:numPr>
        <w:numId w:val="2"/>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link w:val="BodyTextIndentChar"/>
    <w:uiPriority w:val="99"/>
    <w:rsid w:val="003D08B1"/>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semiHidden/>
    <w:rsid w:val="004373AE"/>
    <w:rPr>
      <w:rFonts w:ascii="Arial" w:hAnsi="Arial"/>
      <w:sz w:val="24"/>
      <w:szCs w:val="24"/>
    </w:rPr>
  </w:style>
  <w:style w:type="character" w:styleId="Strong">
    <w:name w:val="Strong"/>
    <w:basedOn w:val="DefaultParagraphFont"/>
    <w:uiPriority w:val="99"/>
    <w:qFormat/>
    <w:rsid w:val="00D46204"/>
    <w:rPr>
      <w:rFonts w:cs="Times New Roman"/>
      <w:b/>
      <w:bCs/>
    </w:rPr>
  </w:style>
  <w:style w:type="paragraph" w:styleId="BodyText">
    <w:name w:val="Body Text"/>
    <w:basedOn w:val="Normal"/>
    <w:link w:val="BodyTextChar"/>
    <w:uiPriority w:val="99"/>
    <w:rsid w:val="003322EA"/>
    <w:pPr>
      <w:spacing w:after="120"/>
    </w:pPr>
  </w:style>
  <w:style w:type="character" w:customStyle="1" w:styleId="BodyTextChar">
    <w:name w:val="Body Text Char"/>
    <w:basedOn w:val="DefaultParagraphFont"/>
    <w:link w:val="BodyText"/>
    <w:uiPriority w:val="99"/>
    <w:semiHidden/>
    <w:rsid w:val="004373AE"/>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4838C5"/>
    <w:pPr>
      <w:ind w:left="720"/>
      <w:contextualSpacing/>
    </w:pPr>
  </w:style>
  <w:style w:type="table" w:customStyle="1" w:styleId="TableGrid1">
    <w:name w:val="Table Grid1"/>
    <w:basedOn w:val="TableNormal"/>
    <w:next w:val="TableGrid"/>
    <w:uiPriority w:val="59"/>
    <w:rsid w:val="00AA1ED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77C"/>
    <w:rPr>
      <w:sz w:val="16"/>
      <w:szCs w:val="16"/>
    </w:rPr>
  </w:style>
  <w:style w:type="paragraph" w:styleId="CommentText">
    <w:name w:val="annotation text"/>
    <w:basedOn w:val="Normal"/>
    <w:link w:val="CommentTextChar"/>
    <w:uiPriority w:val="99"/>
    <w:unhideWhenUsed/>
    <w:rsid w:val="00C4577C"/>
    <w:rPr>
      <w:sz w:val="20"/>
      <w:szCs w:val="20"/>
    </w:rPr>
  </w:style>
  <w:style w:type="character" w:customStyle="1" w:styleId="CommentTextChar">
    <w:name w:val="Comment Text Char"/>
    <w:basedOn w:val="DefaultParagraphFont"/>
    <w:link w:val="CommentText"/>
    <w:uiPriority w:val="99"/>
    <w:rsid w:val="00C457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577C"/>
    <w:rPr>
      <w:b/>
      <w:bCs/>
    </w:rPr>
  </w:style>
  <w:style w:type="character" w:customStyle="1" w:styleId="CommentSubjectChar">
    <w:name w:val="Comment Subject Char"/>
    <w:basedOn w:val="CommentTextChar"/>
    <w:link w:val="CommentSubject"/>
    <w:uiPriority w:val="99"/>
    <w:semiHidden/>
    <w:rsid w:val="00C4577C"/>
    <w:rPr>
      <w:rFonts w:ascii="Arial" w:hAnsi="Arial"/>
      <w:b/>
      <w:bCs/>
      <w:sz w:val="20"/>
      <w:szCs w:val="20"/>
    </w:rPr>
  </w:style>
  <w:style w:type="paragraph" w:styleId="NormalWeb">
    <w:name w:val="Normal (Web)"/>
    <w:basedOn w:val="Normal"/>
    <w:uiPriority w:val="99"/>
    <w:semiHidden/>
    <w:unhideWhenUsed/>
    <w:rsid w:val="00FB5B4F"/>
    <w:pPr>
      <w:spacing w:before="100" w:beforeAutospacing="1" w:after="100" w:afterAutospacing="1"/>
    </w:pPr>
    <w:rPr>
      <w:rFonts w:ascii="Times New Roman" w:hAnsi="Times New Roman"/>
    </w:rPr>
  </w:style>
  <w:style w:type="table" w:styleId="GridTable2-Accent5">
    <w:name w:val="Grid Table 2 Accent 5"/>
    <w:basedOn w:val="TableNormal"/>
    <w:uiPriority w:val="47"/>
    <w:rsid w:val="00722B9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327">
      <w:bodyDiv w:val="1"/>
      <w:marLeft w:val="0"/>
      <w:marRight w:val="0"/>
      <w:marTop w:val="0"/>
      <w:marBottom w:val="0"/>
      <w:divBdr>
        <w:top w:val="none" w:sz="0" w:space="0" w:color="auto"/>
        <w:left w:val="none" w:sz="0" w:space="0" w:color="auto"/>
        <w:bottom w:val="none" w:sz="0" w:space="0" w:color="auto"/>
        <w:right w:val="none" w:sz="0" w:space="0" w:color="auto"/>
      </w:divBdr>
    </w:div>
    <w:div w:id="55858401">
      <w:bodyDiv w:val="1"/>
      <w:marLeft w:val="0"/>
      <w:marRight w:val="0"/>
      <w:marTop w:val="0"/>
      <w:marBottom w:val="0"/>
      <w:divBdr>
        <w:top w:val="none" w:sz="0" w:space="0" w:color="auto"/>
        <w:left w:val="none" w:sz="0" w:space="0" w:color="auto"/>
        <w:bottom w:val="none" w:sz="0" w:space="0" w:color="auto"/>
        <w:right w:val="none" w:sz="0" w:space="0" w:color="auto"/>
      </w:divBdr>
    </w:div>
    <w:div w:id="101850300">
      <w:bodyDiv w:val="1"/>
      <w:marLeft w:val="0"/>
      <w:marRight w:val="0"/>
      <w:marTop w:val="0"/>
      <w:marBottom w:val="0"/>
      <w:divBdr>
        <w:top w:val="none" w:sz="0" w:space="0" w:color="auto"/>
        <w:left w:val="none" w:sz="0" w:space="0" w:color="auto"/>
        <w:bottom w:val="none" w:sz="0" w:space="0" w:color="auto"/>
        <w:right w:val="none" w:sz="0" w:space="0" w:color="auto"/>
      </w:divBdr>
    </w:div>
    <w:div w:id="241567866">
      <w:bodyDiv w:val="1"/>
      <w:marLeft w:val="0"/>
      <w:marRight w:val="0"/>
      <w:marTop w:val="0"/>
      <w:marBottom w:val="0"/>
      <w:divBdr>
        <w:top w:val="none" w:sz="0" w:space="0" w:color="auto"/>
        <w:left w:val="none" w:sz="0" w:space="0" w:color="auto"/>
        <w:bottom w:val="none" w:sz="0" w:space="0" w:color="auto"/>
        <w:right w:val="none" w:sz="0" w:space="0" w:color="auto"/>
      </w:divBdr>
    </w:div>
    <w:div w:id="343824346">
      <w:bodyDiv w:val="1"/>
      <w:marLeft w:val="0"/>
      <w:marRight w:val="0"/>
      <w:marTop w:val="0"/>
      <w:marBottom w:val="0"/>
      <w:divBdr>
        <w:top w:val="none" w:sz="0" w:space="0" w:color="auto"/>
        <w:left w:val="none" w:sz="0" w:space="0" w:color="auto"/>
        <w:bottom w:val="none" w:sz="0" w:space="0" w:color="auto"/>
        <w:right w:val="none" w:sz="0" w:space="0" w:color="auto"/>
      </w:divBdr>
    </w:div>
    <w:div w:id="350960575">
      <w:bodyDiv w:val="1"/>
      <w:marLeft w:val="0"/>
      <w:marRight w:val="0"/>
      <w:marTop w:val="0"/>
      <w:marBottom w:val="0"/>
      <w:divBdr>
        <w:top w:val="none" w:sz="0" w:space="0" w:color="auto"/>
        <w:left w:val="none" w:sz="0" w:space="0" w:color="auto"/>
        <w:bottom w:val="none" w:sz="0" w:space="0" w:color="auto"/>
        <w:right w:val="none" w:sz="0" w:space="0" w:color="auto"/>
      </w:divBdr>
    </w:div>
    <w:div w:id="353927043">
      <w:bodyDiv w:val="1"/>
      <w:marLeft w:val="0"/>
      <w:marRight w:val="0"/>
      <w:marTop w:val="0"/>
      <w:marBottom w:val="0"/>
      <w:divBdr>
        <w:top w:val="none" w:sz="0" w:space="0" w:color="auto"/>
        <w:left w:val="none" w:sz="0" w:space="0" w:color="auto"/>
        <w:bottom w:val="none" w:sz="0" w:space="0" w:color="auto"/>
        <w:right w:val="none" w:sz="0" w:space="0" w:color="auto"/>
      </w:divBdr>
    </w:div>
    <w:div w:id="389964278">
      <w:bodyDiv w:val="1"/>
      <w:marLeft w:val="0"/>
      <w:marRight w:val="0"/>
      <w:marTop w:val="0"/>
      <w:marBottom w:val="0"/>
      <w:divBdr>
        <w:top w:val="none" w:sz="0" w:space="0" w:color="auto"/>
        <w:left w:val="none" w:sz="0" w:space="0" w:color="auto"/>
        <w:bottom w:val="none" w:sz="0" w:space="0" w:color="auto"/>
        <w:right w:val="none" w:sz="0" w:space="0" w:color="auto"/>
      </w:divBdr>
    </w:div>
    <w:div w:id="408356801">
      <w:bodyDiv w:val="1"/>
      <w:marLeft w:val="0"/>
      <w:marRight w:val="0"/>
      <w:marTop w:val="0"/>
      <w:marBottom w:val="0"/>
      <w:divBdr>
        <w:top w:val="none" w:sz="0" w:space="0" w:color="auto"/>
        <w:left w:val="none" w:sz="0" w:space="0" w:color="auto"/>
        <w:bottom w:val="none" w:sz="0" w:space="0" w:color="auto"/>
        <w:right w:val="none" w:sz="0" w:space="0" w:color="auto"/>
      </w:divBdr>
    </w:div>
    <w:div w:id="418722092">
      <w:bodyDiv w:val="1"/>
      <w:marLeft w:val="0"/>
      <w:marRight w:val="0"/>
      <w:marTop w:val="0"/>
      <w:marBottom w:val="0"/>
      <w:divBdr>
        <w:top w:val="none" w:sz="0" w:space="0" w:color="auto"/>
        <w:left w:val="none" w:sz="0" w:space="0" w:color="auto"/>
        <w:bottom w:val="none" w:sz="0" w:space="0" w:color="auto"/>
        <w:right w:val="none" w:sz="0" w:space="0" w:color="auto"/>
      </w:divBdr>
    </w:div>
    <w:div w:id="439952982">
      <w:bodyDiv w:val="1"/>
      <w:marLeft w:val="0"/>
      <w:marRight w:val="0"/>
      <w:marTop w:val="0"/>
      <w:marBottom w:val="0"/>
      <w:divBdr>
        <w:top w:val="none" w:sz="0" w:space="0" w:color="auto"/>
        <w:left w:val="none" w:sz="0" w:space="0" w:color="auto"/>
        <w:bottom w:val="none" w:sz="0" w:space="0" w:color="auto"/>
        <w:right w:val="none" w:sz="0" w:space="0" w:color="auto"/>
      </w:divBdr>
    </w:div>
    <w:div w:id="445778068">
      <w:bodyDiv w:val="1"/>
      <w:marLeft w:val="0"/>
      <w:marRight w:val="0"/>
      <w:marTop w:val="0"/>
      <w:marBottom w:val="0"/>
      <w:divBdr>
        <w:top w:val="none" w:sz="0" w:space="0" w:color="auto"/>
        <w:left w:val="none" w:sz="0" w:space="0" w:color="auto"/>
        <w:bottom w:val="none" w:sz="0" w:space="0" w:color="auto"/>
        <w:right w:val="none" w:sz="0" w:space="0" w:color="auto"/>
      </w:divBdr>
    </w:div>
    <w:div w:id="544146613">
      <w:bodyDiv w:val="1"/>
      <w:marLeft w:val="0"/>
      <w:marRight w:val="0"/>
      <w:marTop w:val="0"/>
      <w:marBottom w:val="0"/>
      <w:divBdr>
        <w:top w:val="none" w:sz="0" w:space="0" w:color="auto"/>
        <w:left w:val="none" w:sz="0" w:space="0" w:color="auto"/>
        <w:bottom w:val="none" w:sz="0" w:space="0" w:color="auto"/>
        <w:right w:val="none" w:sz="0" w:space="0" w:color="auto"/>
      </w:divBdr>
    </w:div>
    <w:div w:id="551037041">
      <w:bodyDiv w:val="1"/>
      <w:marLeft w:val="0"/>
      <w:marRight w:val="0"/>
      <w:marTop w:val="0"/>
      <w:marBottom w:val="0"/>
      <w:divBdr>
        <w:top w:val="none" w:sz="0" w:space="0" w:color="auto"/>
        <w:left w:val="none" w:sz="0" w:space="0" w:color="auto"/>
        <w:bottom w:val="none" w:sz="0" w:space="0" w:color="auto"/>
        <w:right w:val="none" w:sz="0" w:space="0" w:color="auto"/>
      </w:divBdr>
    </w:div>
    <w:div w:id="566767925">
      <w:bodyDiv w:val="1"/>
      <w:marLeft w:val="0"/>
      <w:marRight w:val="0"/>
      <w:marTop w:val="0"/>
      <w:marBottom w:val="0"/>
      <w:divBdr>
        <w:top w:val="none" w:sz="0" w:space="0" w:color="auto"/>
        <w:left w:val="none" w:sz="0" w:space="0" w:color="auto"/>
        <w:bottom w:val="none" w:sz="0" w:space="0" w:color="auto"/>
        <w:right w:val="none" w:sz="0" w:space="0" w:color="auto"/>
      </w:divBdr>
    </w:div>
    <w:div w:id="600797495">
      <w:bodyDiv w:val="1"/>
      <w:marLeft w:val="0"/>
      <w:marRight w:val="0"/>
      <w:marTop w:val="0"/>
      <w:marBottom w:val="0"/>
      <w:divBdr>
        <w:top w:val="none" w:sz="0" w:space="0" w:color="auto"/>
        <w:left w:val="none" w:sz="0" w:space="0" w:color="auto"/>
        <w:bottom w:val="none" w:sz="0" w:space="0" w:color="auto"/>
        <w:right w:val="none" w:sz="0" w:space="0" w:color="auto"/>
      </w:divBdr>
    </w:div>
    <w:div w:id="608243764">
      <w:bodyDiv w:val="1"/>
      <w:marLeft w:val="0"/>
      <w:marRight w:val="0"/>
      <w:marTop w:val="0"/>
      <w:marBottom w:val="0"/>
      <w:divBdr>
        <w:top w:val="none" w:sz="0" w:space="0" w:color="auto"/>
        <w:left w:val="none" w:sz="0" w:space="0" w:color="auto"/>
        <w:bottom w:val="none" w:sz="0" w:space="0" w:color="auto"/>
        <w:right w:val="none" w:sz="0" w:space="0" w:color="auto"/>
      </w:divBdr>
    </w:div>
    <w:div w:id="615331853">
      <w:bodyDiv w:val="1"/>
      <w:marLeft w:val="0"/>
      <w:marRight w:val="0"/>
      <w:marTop w:val="0"/>
      <w:marBottom w:val="0"/>
      <w:divBdr>
        <w:top w:val="none" w:sz="0" w:space="0" w:color="auto"/>
        <w:left w:val="none" w:sz="0" w:space="0" w:color="auto"/>
        <w:bottom w:val="none" w:sz="0" w:space="0" w:color="auto"/>
        <w:right w:val="none" w:sz="0" w:space="0" w:color="auto"/>
      </w:divBdr>
    </w:div>
    <w:div w:id="704020346">
      <w:bodyDiv w:val="1"/>
      <w:marLeft w:val="0"/>
      <w:marRight w:val="0"/>
      <w:marTop w:val="0"/>
      <w:marBottom w:val="0"/>
      <w:divBdr>
        <w:top w:val="none" w:sz="0" w:space="0" w:color="auto"/>
        <w:left w:val="none" w:sz="0" w:space="0" w:color="auto"/>
        <w:bottom w:val="none" w:sz="0" w:space="0" w:color="auto"/>
        <w:right w:val="none" w:sz="0" w:space="0" w:color="auto"/>
      </w:divBdr>
    </w:div>
    <w:div w:id="766197728">
      <w:bodyDiv w:val="1"/>
      <w:marLeft w:val="0"/>
      <w:marRight w:val="0"/>
      <w:marTop w:val="0"/>
      <w:marBottom w:val="0"/>
      <w:divBdr>
        <w:top w:val="none" w:sz="0" w:space="0" w:color="auto"/>
        <w:left w:val="none" w:sz="0" w:space="0" w:color="auto"/>
        <w:bottom w:val="none" w:sz="0" w:space="0" w:color="auto"/>
        <w:right w:val="none" w:sz="0" w:space="0" w:color="auto"/>
      </w:divBdr>
    </w:div>
    <w:div w:id="822043081">
      <w:bodyDiv w:val="1"/>
      <w:marLeft w:val="0"/>
      <w:marRight w:val="0"/>
      <w:marTop w:val="0"/>
      <w:marBottom w:val="0"/>
      <w:divBdr>
        <w:top w:val="none" w:sz="0" w:space="0" w:color="auto"/>
        <w:left w:val="none" w:sz="0" w:space="0" w:color="auto"/>
        <w:bottom w:val="none" w:sz="0" w:space="0" w:color="auto"/>
        <w:right w:val="none" w:sz="0" w:space="0" w:color="auto"/>
      </w:divBdr>
    </w:div>
    <w:div w:id="874005774">
      <w:bodyDiv w:val="1"/>
      <w:marLeft w:val="0"/>
      <w:marRight w:val="0"/>
      <w:marTop w:val="0"/>
      <w:marBottom w:val="0"/>
      <w:divBdr>
        <w:top w:val="none" w:sz="0" w:space="0" w:color="auto"/>
        <w:left w:val="none" w:sz="0" w:space="0" w:color="auto"/>
        <w:bottom w:val="none" w:sz="0" w:space="0" w:color="auto"/>
        <w:right w:val="none" w:sz="0" w:space="0" w:color="auto"/>
      </w:divBdr>
    </w:div>
    <w:div w:id="893933984">
      <w:bodyDiv w:val="1"/>
      <w:marLeft w:val="0"/>
      <w:marRight w:val="0"/>
      <w:marTop w:val="0"/>
      <w:marBottom w:val="0"/>
      <w:divBdr>
        <w:top w:val="none" w:sz="0" w:space="0" w:color="auto"/>
        <w:left w:val="none" w:sz="0" w:space="0" w:color="auto"/>
        <w:bottom w:val="none" w:sz="0" w:space="0" w:color="auto"/>
        <w:right w:val="none" w:sz="0" w:space="0" w:color="auto"/>
      </w:divBdr>
    </w:div>
    <w:div w:id="951129034">
      <w:bodyDiv w:val="1"/>
      <w:marLeft w:val="0"/>
      <w:marRight w:val="0"/>
      <w:marTop w:val="0"/>
      <w:marBottom w:val="0"/>
      <w:divBdr>
        <w:top w:val="none" w:sz="0" w:space="0" w:color="auto"/>
        <w:left w:val="none" w:sz="0" w:space="0" w:color="auto"/>
        <w:bottom w:val="none" w:sz="0" w:space="0" w:color="auto"/>
        <w:right w:val="none" w:sz="0" w:space="0" w:color="auto"/>
      </w:divBdr>
    </w:div>
    <w:div w:id="957024075">
      <w:marLeft w:val="0"/>
      <w:marRight w:val="0"/>
      <w:marTop w:val="0"/>
      <w:marBottom w:val="0"/>
      <w:divBdr>
        <w:top w:val="none" w:sz="0" w:space="0" w:color="auto"/>
        <w:left w:val="none" w:sz="0" w:space="0" w:color="auto"/>
        <w:bottom w:val="none" w:sz="0" w:space="0" w:color="auto"/>
        <w:right w:val="none" w:sz="0" w:space="0" w:color="auto"/>
      </w:divBdr>
    </w:div>
    <w:div w:id="957024076">
      <w:marLeft w:val="0"/>
      <w:marRight w:val="0"/>
      <w:marTop w:val="0"/>
      <w:marBottom w:val="0"/>
      <w:divBdr>
        <w:top w:val="none" w:sz="0" w:space="0" w:color="auto"/>
        <w:left w:val="none" w:sz="0" w:space="0" w:color="auto"/>
        <w:bottom w:val="none" w:sz="0" w:space="0" w:color="auto"/>
        <w:right w:val="none" w:sz="0" w:space="0" w:color="auto"/>
      </w:divBdr>
    </w:div>
    <w:div w:id="957024077">
      <w:marLeft w:val="0"/>
      <w:marRight w:val="0"/>
      <w:marTop w:val="0"/>
      <w:marBottom w:val="0"/>
      <w:divBdr>
        <w:top w:val="none" w:sz="0" w:space="0" w:color="auto"/>
        <w:left w:val="none" w:sz="0" w:space="0" w:color="auto"/>
        <w:bottom w:val="none" w:sz="0" w:space="0" w:color="auto"/>
        <w:right w:val="none" w:sz="0" w:space="0" w:color="auto"/>
      </w:divBdr>
    </w:div>
    <w:div w:id="957024078">
      <w:marLeft w:val="0"/>
      <w:marRight w:val="0"/>
      <w:marTop w:val="0"/>
      <w:marBottom w:val="0"/>
      <w:divBdr>
        <w:top w:val="none" w:sz="0" w:space="0" w:color="auto"/>
        <w:left w:val="none" w:sz="0" w:space="0" w:color="auto"/>
        <w:bottom w:val="none" w:sz="0" w:space="0" w:color="auto"/>
        <w:right w:val="none" w:sz="0" w:space="0" w:color="auto"/>
      </w:divBdr>
    </w:div>
    <w:div w:id="957024079">
      <w:marLeft w:val="0"/>
      <w:marRight w:val="0"/>
      <w:marTop w:val="0"/>
      <w:marBottom w:val="0"/>
      <w:divBdr>
        <w:top w:val="none" w:sz="0" w:space="0" w:color="auto"/>
        <w:left w:val="none" w:sz="0" w:space="0" w:color="auto"/>
        <w:bottom w:val="none" w:sz="0" w:space="0" w:color="auto"/>
        <w:right w:val="none" w:sz="0" w:space="0" w:color="auto"/>
      </w:divBdr>
    </w:div>
    <w:div w:id="957024080">
      <w:marLeft w:val="0"/>
      <w:marRight w:val="0"/>
      <w:marTop w:val="0"/>
      <w:marBottom w:val="0"/>
      <w:divBdr>
        <w:top w:val="none" w:sz="0" w:space="0" w:color="auto"/>
        <w:left w:val="none" w:sz="0" w:space="0" w:color="auto"/>
        <w:bottom w:val="none" w:sz="0" w:space="0" w:color="auto"/>
        <w:right w:val="none" w:sz="0" w:space="0" w:color="auto"/>
      </w:divBdr>
    </w:div>
    <w:div w:id="957024081">
      <w:marLeft w:val="0"/>
      <w:marRight w:val="0"/>
      <w:marTop w:val="0"/>
      <w:marBottom w:val="0"/>
      <w:divBdr>
        <w:top w:val="none" w:sz="0" w:space="0" w:color="auto"/>
        <w:left w:val="none" w:sz="0" w:space="0" w:color="auto"/>
        <w:bottom w:val="none" w:sz="0" w:space="0" w:color="auto"/>
        <w:right w:val="none" w:sz="0" w:space="0" w:color="auto"/>
      </w:divBdr>
    </w:div>
    <w:div w:id="957024082">
      <w:marLeft w:val="0"/>
      <w:marRight w:val="0"/>
      <w:marTop w:val="0"/>
      <w:marBottom w:val="0"/>
      <w:divBdr>
        <w:top w:val="none" w:sz="0" w:space="0" w:color="auto"/>
        <w:left w:val="none" w:sz="0" w:space="0" w:color="auto"/>
        <w:bottom w:val="none" w:sz="0" w:space="0" w:color="auto"/>
        <w:right w:val="none" w:sz="0" w:space="0" w:color="auto"/>
      </w:divBdr>
    </w:div>
    <w:div w:id="957024083">
      <w:marLeft w:val="0"/>
      <w:marRight w:val="0"/>
      <w:marTop w:val="0"/>
      <w:marBottom w:val="0"/>
      <w:divBdr>
        <w:top w:val="none" w:sz="0" w:space="0" w:color="auto"/>
        <w:left w:val="none" w:sz="0" w:space="0" w:color="auto"/>
        <w:bottom w:val="none" w:sz="0" w:space="0" w:color="auto"/>
        <w:right w:val="none" w:sz="0" w:space="0" w:color="auto"/>
      </w:divBdr>
    </w:div>
    <w:div w:id="957024084">
      <w:marLeft w:val="0"/>
      <w:marRight w:val="0"/>
      <w:marTop w:val="0"/>
      <w:marBottom w:val="0"/>
      <w:divBdr>
        <w:top w:val="none" w:sz="0" w:space="0" w:color="auto"/>
        <w:left w:val="none" w:sz="0" w:space="0" w:color="auto"/>
        <w:bottom w:val="none" w:sz="0" w:space="0" w:color="auto"/>
        <w:right w:val="none" w:sz="0" w:space="0" w:color="auto"/>
      </w:divBdr>
    </w:div>
    <w:div w:id="957024085">
      <w:marLeft w:val="0"/>
      <w:marRight w:val="0"/>
      <w:marTop w:val="0"/>
      <w:marBottom w:val="0"/>
      <w:divBdr>
        <w:top w:val="none" w:sz="0" w:space="0" w:color="auto"/>
        <w:left w:val="none" w:sz="0" w:space="0" w:color="auto"/>
        <w:bottom w:val="none" w:sz="0" w:space="0" w:color="auto"/>
        <w:right w:val="none" w:sz="0" w:space="0" w:color="auto"/>
      </w:divBdr>
    </w:div>
    <w:div w:id="957024086">
      <w:marLeft w:val="0"/>
      <w:marRight w:val="0"/>
      <w:marTop w:val="0"/>
      <w:marBottom w:val="0"/>
      <w:divBdr>
        <w:top w:val="none" w:sz="0" w:space="0" w:color="auto"/>
        <w:left w:val="none" w:sz="0" w:space="0" w:color="auto"/>
        <w:bottom w:val="none" w:sz="0" w:space="0" w:color="auto"/>
        <w:right w:val="none" w:sz="0" w:space="0" w:color="auto"/>
      </w:divBdr>
    </w:div>
    <w:div w:id="957024087">
      <w:marLeft w:val="0"/>
      <w:marRight w:val="0"/>
      <w:marTop w:val="0"/>
      <w:marBottom w:val="0"/>
      <w:divBdr>
        <w:top w:val="none" w:sz="0" w:space="0" w:color="auto"/>
        <w:left w:val="none" w:sz="0" w:space="0" w:color="auto"/>
        <w:bottom w:val="none" w:sz="0" w:space="0" w:color="auto"/>
        <w:right w:val="none" w:sz="0" w:space="0" w:color="auto"/>
      </w:divBdr>
    </w:div>
    <w:div w:id="957024088">
      <w:marLeft w:val="0"/>
      <w:marRight w:val="0"/>
      <w:marTop w:val="0"/>
      <w:marBottom w:val="0"/>
      <w:divBdr>
        <w:top w:val="none" w:sz="0" w:space="0" w:color="auto"/>
        <w:left w:val="none" w:sz="0" w:space="0" w:color="auto"/>
        <w:bottom w:val="none" w:sz="0" w:space="0" w:color="auto"/>
        <w:right w:val="none" w:sz="0" w:space="0" w:color="auto"/>
      </w:divBdr>
    </w:div>
    <w:div w:id="957024089">
      <w:marLeft w:val="0"/>
      <w:marRight w:val="0"/>
      <w:marTop w:val="0"/>
      <w:marBottom w:val="0"/>
      <w:divBdr>
        <w:top w:val="none" w:sz="0" w:space="0" w:color="auto"/>
        <w:left w:val="none" w:sz="0" w:space="0" w:color="auto"/>
        <w:bottom w:val="none" w:sz="0" w:space="0" w:color="auto"/>
        <w:right w:val="none" w:sz="0" w:space="0" w:color="auto"/>
      </w:divBdr>
    </w:div>
    <w:div w:id="958532898">
      <w:bodyDiv w:val="1"/>
      <w:marLeft w:val="0"/>
      <w:marRight w:val="0"/>
      <w:marTop w:val="0"/>
      <w:marBottom w:val="0"/>
      <w:divBdr>
        <w:top w:val="none" w:sz="0" w:space="0" w:color="auto"/>
        <w:left w:val="none" w:sz="0" w:space="0" w:color="auto"/>
        <w:bottom w:val="none" w:sz="0" w:space="0" w:color="auto"/>
        <w:right w:val="none" w:sz="0" w:space="0" w:color="auto"/>
      </w:divBdr>
    </w:div>
    <w:div w:id="1083069953">
      <w:bodyDiv w:val="1"/>
      <w:marLeft w:val="0"/>
      <w:marRight w:val="0"/>
      <w:marTop w:val="0"/>
      <w:marBottom w:val="0"/>
      <w:divBdr>
        <w:top w:val="none" w:sz="0" w:space="0" w:color="auto"/>
        <w:left w:val="none" w:sz="0" w:space="0" w:color="auto"/>
        <w:bottom w:val="none" w:sz="0" w:space="0" w:color="auto"/>
        <w:right w:val="none" w:sz="0" w:space="0" w:color="auto"/>
      </w:divBdr>
    </w:div>
    <w:div w:id="1129711288">
      <w:bodyDiv w:val="1"/>
      <w:marLeft w:val="0"/>
      <w:marRight w:val="0"/>
      <w:marTop w:val="0"/>
      <w:marBottom w:val="0"/>
      <w:divBdr>
        <w:top w:val="none" w:sz="0" w:space="0" w:color="auto"/>
        <w:left w:val="none" w:sz="0" w:space="0" w:color="auto"/>
        <w:bottom w:val="none" w:sz="0" w:space="0" w:color="auto"/>
        <w:right w:val="none" w:sz="0" w:space="0" w:color="auto"/>
      </w:divBdr>
    </w:div>
    <w:div w:id="1139150265">
      <w:bodyDiv w:val="1"/>
      <w:marLeft w:val="0"/>
      <w:marRight w:val="0"/>
      <w:marTop w:val="0"/>
      <w:marBottom w:val="0"/>
      <w:divBdr>
        <w:top w:val="none" w:sz="0" w:space="0" w:color="auto"/>
        <w:left w:val="none" w:sz="0" w:space="0" w:color="auto"/>
        <w:bottom w:val="none" w:sz="0" w:space="0" w:color="auto"/>
        <w:right w:val="none" w:sz="0" w:space="0" w:color="auto"/>
      </w:divBdr>
    </w:div>
    <w:div w:id="1262110590">
      <w:bodyDiv w:val="1"/>
      <w:marLeft w:val="0"/>
      <w:marRight w:val="0"/>
      <w:marTop w:val="0"/>
      <w:marBottom w:val="0"/>
      <w:divBdr>
        <w:top w:val="none" w:sz="0" w:space="0" w:color="auto"/>
        <w:left w:val="none" w:sz="0" w:space="0" w:color="auto"/>
        <w:bottom w:val="none" w:sz="0" w:space="0" w:color="auto"/>
        <w:right w:val="none" w:sz="0" w:space="0" w:color="auto"/>
      </w:divBdr>
    </w:div>
    <w:div w:id="1301955164">
      <w:bodyDiv w:val="1"/>
      <w:marLeft w:val="0"/>
      <w:marRight w:val="0"/>
      <w:marTop w:val="0"/>
      <w:marBottom w:val="0"/>
      <w:divBdr>
        <w:top w:val="none" w:sz="0" w:space="0" w:color="auto"/>
        <w:left w:val="none" w:sz="0" w:space="0" w:color="auto"/>
        <w:bottom w:val="none" w:sz="0" w:space="0" w:color="auto"/>
        <w:right w:val="none" w:sz="0" w:space="0" w:color="auto"/>
      </w:divBdr>
    </w:div>
    <w:div w:id="1302619218">
      <w:bodyDiv w:val="1"/>
      <w:marLeft w:val="0"/>
      <w:marRight w:val="0"/>
      <w:marTop w:val="0"/>
      <w:marBottom w:val="0"/>
      <w:divBdr>
        <w:top w:val="none" w:sz="0" w:space="0" w:color="auto"/>
        <w:left w:val="none" w:sz="0" w:space="0" w:color="auto"/>
        <w:bottom w:val="none" w:sz="0" w:space="0" w:color="auto"/>
        <w:right w:val="none" w:sz="0" w:space="0" w:color="auto"/>
      </w:divBdr>
    </w:div>
    <w:div w:id="1552381313">
      <w:bodyDiv w:val="1"/>
      <w:marLeft w:val="0"/>
      <w:marRight w:val="0"/>
      <w:marTop w:val="0"/>
      <w:marBottom w:val="0"/>
      <w:divBdr>
        <w:top w:val="none" w:sz="0" w:space="0" w:color="auto"/>
        <w:left w:val="none" w:sz="0" w:space="0" w:color="auto"/>
        <w:bottom w:val="none" w:sz="0" w:space="0" w:color="auto"/>
        <w:right w:val="none" w:sz="0" w:space="0" w:color="auto"/>
      </w:divBdr>
    </w:div>
    <w:div w:id="1585263470">
      <w:bodyDiv w:val="1"/>
      <w:marLeft w:val="0"/>
      <w:marRight w:val="0"/>
      <w:marTop w:val="0"/>
      <w:marBottom w:val="0"/>
      <w:divBdr>
        <w:top w:val="none" w:sz="0" w:space="0" w:color="auto"/>
        <w:left w:val="none" w:sz="0" w:space="0" w:color="auto"/>
        <w:bottom w:val="none" w:sz="0" w:space="0" w:color="auto"/>
        <w:right w:val="none" w:sz="0" w:space="0" w:color="auto"/>
      </w:divBdr>
    </w:div>
    <w:div w:id="1665665379">
      <w:bodyDiv w:val="1"/>
      <w:marLeft w:val="0"/>
      <w:marRight w:val="0"/>
      <w:marTop w:val="0"/>
      <w:marBottom w:val="0"/>
      <w:divBdr>
        <w:top w:val="none" w:sz="0" w:space="0" w:color="auto"/>
        <w:left w:val="none" w:sz="0" w:space="0" w:color="auto"/>
        <w:bottom w:val="none" w:sz="0" w:space="0" w:color="auto"/>
        <w:right w:val="none" w:sz="0" w:space="0" w:color="auto"/>
      </w:divBdr>
    </w:div>
    <w:div w:id="1695109413">
      <w:bodyDiv w:val="1"/>
      <w:marLeft w:val="0"/>
      <w:marRight w:val="0"/>
      <w:marTop w:val="0"/>
      <w:marBottom w:val="0"/>
      <w:divBdr>
        <w:top w:val="none" w:sz="0" w:space="0" w:color="auto"/>
        <w:left w:val="none" w:sz="0" w:space="0" w:color="auto"/>
        <w:bottom w:val="none" w:sz="0" w:space="0" w:color="auto"/>
        <w:right w:val="none" w:sz="0" w:space="0" w:color="auto"/>
      </w:divBdr>
    </w:div>
    <w:div w:id="1799950952">
      <w:bodyDiv w:val="1"/>
      <w:marLeft w:val="0"/>
      <w:marRight w:val="0"/>
      <w:marTop w:val="0"/>
      <w:marBottom w:val="0"/>
      <w:divBdr>
        <w:top w:val="none" w:sz="0" w:space="0" w:color="auto"/>
        <w:left w:val="none" w:sz="0" w:space="0" w:color="auto"/>
        <w:bottom w:val="none" w:sz="0" w:space="0" w:color="auto"/>
        <w:right w:val="none" w:sz="0" w:space="0" w:color="auto"/>
      </w:divBdr>
    </w:div>
    <w:div w:id="1801070935">
      <w:bodyDiv w:val="1"/>
      <w:marLeft w:val="0"/>
      <w:marRight w:val="0"/>
      <w:marTop w:val="0"/>
      <w:marBottom w:val="0"/>
      <w:divBdr>
        <w:top w:val="none" w:sz="0" w:space="0" w:color="auto"/>
        <w:left w:val="none" w:sz="0" w:space="0" w:color="auto"/>
        <w:bottom w:val="none" w:sz="0" w:space="0" w:color="auto"/>
        <w:right w:val="none" w:sz="0" w:space="0" w:color="auto"/>
      </w:divBdr>
    </w:div>
    <w:div w:id="1819303817">
      <w:bodyDiv w:val="1"/>
      <w:marLeft w:val="0"/>
      <w:marRight w:val="0"/>
      <w:marTop w:val="0"/>
      <w:marBottom w:val="0"/>
      <w:divBdr>
        <w:top w:val="none" w:sz="0" w:space="0" w:color="auto"/>
        <w:left w:val="none" w:sz="0" w:space="0" w:color="auto"/>
        <w:bottom w:val="none" w:sz="0" w:space="0" w:color="auto"/>
        <w:right w:val="none" w:sz="0" w:space="0" w:color="auto"/>
      </w:divBdr>
    </w:div>
    <w:div w:id="1829322114">
      <w:bodyDiv w:val="1"/>
      <w:marLeft w:val="0"/>
      <w:marRight w:val="0"/>
      <w:marTop w:val="0"/>
      <w:marBottom w:val="0"/>
      <w:divBdr>
        <w:top w:val="none" w:sz="0" w:space="0" w:color="auto"/>
        <w:left w:val="none" w:sz="0" w:space="0" w:color="auto"/>
        <w:bottom w:val="none" w:sz="0" w:space="0" w:color="auto"/>
        <w:right w:val="none" w:sz="0" w:space="0" w:color="auto"/>
      </w:divBdr>
    </w:div>
    <w:div w:id="1843082610">
      <w:bodyDiv w:val="1"/>
      <w:marLeft w:val="0"/>
      <w:marRight w:val="0"/>
      <w:marTop w:val="0"/>
      <w:marBottom w:val="0"/>
      <w:divBdr>
        <w:top w:val="none" w:sz="0" w:space="0" w:color="auto"/>
        <w:left w:val="none" w:sz="0" w:space="0" w:color="auto"/>
        <w:bottom w:val="none" w:sz="0" w:space="0" w:color="auto"/>
        <w:right w:val="none" w:sz="0" w:space="0" w:color="auto"/>
      </w:divBdr>
    </w:div>
    <w:div w:id="1853912147">
      <w:bodyDiv w:val="1"/>
      <w:marLeft w:val="0"/>
      <w:marRight w:val="0"/>
      <w:marTop w:val="0"/>
      <w:marBottom w:val="0"/>
      <w:divBdr>
        <w:top w:val="none" w:sz="0" w:space="0" w:color="auto"/>
        <w:left w:val="none" w:sz="0" w:space="0" w:color="auto"/>
        <w:bottom w:val="none" w:sz="0" w:space="0" w:color="auto"/>
        <w:right w:val="none" w:sz="0" w:space="0" w:color="auto"/>
      </w:divBdr>
    </w:div>
    <w:div w:id="1882011703">
      <w:bodyDiv w:val="1"/>
      <w:marLeft w:val="0"/>
      <w:marRight w:val="0"/>
      <w:marTop w:val="0"/>
      <w:marBottom w:val="0"/>
      <w:divBdr>
        <w:top w:val="none" w:sz="0" w:space="0" w:color="auto"/>
        <w:left w:val="none" w:sz="0" w:space="0" w:color="auto"/>
        <w:bottom w:val="none" w:sz="0" w:space="0" w:color="auto"/>
        <w:right w:val="none" w:sz="0" w:space="0" w:color="auto"/>
      </w:divBdr>
    </w:div>
    <w:div w:id="1891377283">
      <w:bodyDiv w:val="1"/>
      <w:marLeft w:val="0"/>
      <w:marRight w:val="0"/>
      <w:marTop w:val="0"/>
      <w:marBottom w:val="0"/>
      <w:divBdr>
        <w:top w:val="none" w:sz="0" w:space="0" w:color="auto"/>
        <w:left w:val="none" w:sz="0" w:space="0" w:color="auto"/>
        <w:bottom w:val="none" w:sz="0" w:space="0" w:color="auto"/>
        <w:right w:val="none" w:sz="0" w:space="0" w:color="auto"/>
      </w:divBdr>
    </w:div>
    <w:div w:id="1901477713">
      <w:bodyDiv w:val="1"/>
      <w:marLeft w:val="0"/>
      <w:marRight w:val="0"/>
      <w:marTop w:val="0"/>
      <w:marBottom w:val="0"/>
      <w:divBdr>
        <w:top w:val="none" w:sz="0" w:space="0" w:color="auto"/>
        <w:left w:val="none" w:sz="0" w:space="0" w:color="auto"/>
        <w:bottom w:val="none" w:sz="0" w:space="0" w:color="auto"/>
        <w:right w:val="none" w:sz="0" w:space="0" w:color="auto"/>
      </w:divBdr>
    </w:div>
    <w:div w:id="1995833409">
      <w:bodyDiv w:val="1"/>
      <w:marLeft w:val="0"/>
      <w:marRight w:val="0"/>
      <w:marTop w:val="0"/>
      <w:marBottom w:val="0"/>
      <w:divBdr>
        <w:top w:val="none" w:sz="0" w:space="0" w:color="auto"/>
        <w:left w:val="none" w:sz="0" w:space="0" w:color="auto"/>
        <w:bottom w:val="none" w:sz="0" w:space="0" w:color="auto"/>
        <w:right w:val="none" w:sz="0" w:space="0" w:color="auto"/>
      </w:divBdr>
    </w:div>
    <w:div w:id="20214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_Flow_SignoffStatus xmlns="deec781b-51b2-41f5-8977-d833afa0cdb5" xsi:nil="true"/>
    <L xmlns="deec781b-51b2-41f5-8977-d833afa0c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5" ma:contentTypeDescription="Create a new document." ma:contentTypeScope="" ma:versionID="ad70167ce9c7ca4e277236412f5eb209">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19626e228be26eb220e1ce6d48a6163b"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FE425-D26A-4774-8DBB-474784AC8BCD}">
  <ds:schemaRefs>
    <ds:schemaRef ds:uri="http://schemas.openxmlformats.org/officeDocument/2006/bibliography"/>
  </ds:schemaRefs>
</ds:datastoreItem>
</file>

<file path=customXml/itemProps2.xml><?xml version="1.0" encoding="utf-8"?>
<ds:datastoreItem xmlns:ds="http://schemas.openxmlformats.org/officeDocument/2006/customXml" ds:itemID="{F80E6F4B-E6AC-4916-B7C0-F05BBEA28AA9}">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3.xml><?xml version="1.0" encoding="utf-8"?>
<ds:datastoreItem xmlns:ds="http://schemas.openxmlformats.org/officeDocument/2006/customXml" ds:itemID="{184C07CD-4DB0-4123-B475-469A1917E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51D67-1DF6-46BA-A546-3630BF22C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708</Words>
  <Characters>3675</Characters>
  <Application>Microsoft Office Word</Application>
  <DocSecurity>0</DocSecurity>
  <Lines>153</Lines>
  <Paragraphs>99</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 Provisional Outturn 2022-23</dc:title>
  <dc:creator>David Tully</dc:creator>
  <cp:lastModifiedBy>Phillip Nduoyo</cp:lastModifiedBy>
  <cp:revision>7</cp:revision>
  <cp:lastPrinted>2019-06-12T14:32:00Z</cp:lastPrinted>
  <dcterms:created xsi:type="dcterms:W3CDTF">2023-06-14T09:24:00Z</dcterms:created>
  <dcterms:modified xsi:type="dcterms:W3CDTF">2023-06-19T20:18:00Z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6048200</vt:r8>
  </property>
  <property fmtid="{D5CDD505-2E9C-101B-9397-08002B2CF9AE}" pid="4" name="MediaServiceImageTags">
    <vt:lpwstr/>
  </property>
  <property fmtid="{D5CDD505-2E9C-101B-9397-08002B2CF9AE}" pid="5" name="GrammarlyDocumentId">
    <vt:lpwstr>2dd78eeba220d370e160250ecc77caf71b964bc253dcc5d052368d61522770f4</vt:lpwstr>
  </property>
</Properties>
</file>