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39A46" w14:textId="137C2206" w:rsidR="002279CC" w:rsidRPr="009C002F" w:rsidRDefault="002279CC" w:rsidP="002279CC">
      <w:pPr>
        <w:pStyle w:val="Heading1"/>
        <w:jc w:val="center"/>
        <w:rPr>
          <w:color w:val="0070C0"/>
          <w:sz w:val="32"/>
          <w:szCs w:val="32"/>
        </w:rPr>
      </w:pPr>
      <w:r w:rsidRPr="009C002F">
        <w:rPr>
          <w:color w:val="0070C0"/>
          <w:sz w:val="32"/>
          <w:szCs w:val="32"/>
        </w:rPr>
        <w:t xml:space="preserve">AGENDA ITEM </w:t>
      </w:r>
      <w:r w:rsidR="00830EE2">
        <w:rPr>
          <w:color w:val="0070C0"/>
          <w:sz w:val="32"/>
          <w:szCs w:val="32"/>
        </w:rPr>
        <w:t>7</w:t>
      </w:r>
    </w:p>
    <w:p w14:paraId="39626B23" w14:textId="5D736B3E" w:rsidR="002279CC" w:rsidRPr="00EF1692" w:rsidRDefault="002279CC" w:rsidP="002279CC">
      <w:pPr>
        <w:pStyle w:val="Heading2"/>
        <w:jc w:val="center"/>
        <w:rPr>
          <w:i w:val="0"/>
          <w:iCs w:val="0"/>
          <w:color w:val="0070C0"/>
          <w:sz w:val="32"/>
          <w:szCs w:val="32"/>
        </w:rPr>
      </w:pPr>
      <w:r w:rsidRPr="00EF1692">
        <w:rPr>
          <w:i w:val="0"/>
          <w:iCs w:val="0"/>
          <w:color w:val="0070C0"/>
          <w:sz w:val="32"/>
          <w:szCs w:val="32"/>
        </w:rPr>
        <w:t xml:space="preserve">Title of report: </w:t>
      </w:r>
      <w:r>
        <w:rPr>
          <w:i w:val="0"/>
          <w:iCs w:val="0"/>
          <w:color w:val="0070C0"/>
          <w:sz w:val="32"/>
          <w:szCs w:val="32"/>
        </w:rPr>
        <w:t>Provisional School Balances 202</w:t>
      </w:r>
      <w:r w:rsidR="00974B9B">
        <w:rPr>
          <w:i w:val="0"/>
          <w:iCs w:val="0"/>
          <w:color w:val="0070C0"/>
          <w:sz w:val="32"/>
          <w:szCs w:val="32"/>
        </w:rPr>
        <w:t>1-22</w:t>
      </w:r>
    </w:p>
    <w:p w14:paraId="0FB4F349" w14:textId="77777777" w:rsidR="002279CC" w:rsidRDefault="002279CC" w:rsidP="002279CC">
      <w:pPr>
        <w:rPr>
          <w:b/>
          <w:szCs w:val="22"/>
        </w:rPr>
      </w:pPr>
    </w:p>
    <w:p w14:paraId="2BE5FBA2" w14:textId="77777777" w:rsidR="002279CC" w:rsidRDefault="002279CC" w:rsidP="002279CC">
      <w:r w:rsidRPr="00846287">
        <w:rPr>
          <w:b/>
          <w:bCs/>
          <w:sz w:val="28"/>
          <w:szCs w:val="28"/>
        </w:rPr>
        <w:t>Author of the paper:</w:t>
      </w:r>
      <w:r w:rsidRPr="00846287">
        <w:rPr>
          <w:sz w:val="28"/>
          <w:szCs w:val="28"/>
        </w:rPr>
        <w:t xml:space="preserve"> </w:t>
      </w:r>
      <w:r w:rsidRPr="004838AB">
        <w:t>Sara Walsingham</w:t>
      </w:r>
    </w:p>
    <w:p w14:paraId="30F32D99" w14:textId="77777777" w:rsidR="002279CC" w:rsidRDefault="002279CC" w:rsidP="002279CC">
      <w:pPr>
        <w:rPr>
          <w:sz w:val="22"/>
          <w:szCs w:val="22"/>
        </w:rPr>
      </w:pPr>
    </w:p>
    <w:p w14:paraId="7C2925D0" w14:textId="16AC62F7" w:rsidR="002279CC" w:rsidRDefault="002279CC" w:rsidP="002279CC">
      <w:r w:rsidRPr="00DC5006">
        <w:rPr>
          <w:b/>
          <w:bCs/>
        </w:rPr>
        <w:t>Officer to present the paper to Schools Forum:</w:t>
      </w:r>
      <w:r w:rsidR="00ED2722">
        <w:t xml:space="preserve"> Kay Goodacre</w:t>
      </w:r>
    </w:p>
    <w:p w14:paraId="519C9798" w14:textId="77777777" w:rsidR="002279CC" w:rsidRDefault="002279CC" w:rsidP="002279CC">
      <w:pPr>
        <w:rPr>
          <w:sz w:val="22"/>
          <w:szCs w:val="22"/>
        </w:rPr>
      </w:pPr>
    </w:p>
    <w:p w14:paraId="7F7085F2" w14:textId="77777777" w:rsidR="002279CC" w:rsidRPr="004838AB" w:rsidRDefault="002279CC" w:rsidP="002279CC">
      <w:r w:rsidRPr="00DC5006">
        <w:rPr>
          <w:b/>
          <w:bCs/>
        </w:rPr>
        <w:t>Details of who has been consulted with on this paper to date:</w:t>
      </w:r>
      <w:r>
        <w:t xml:space="preserve"> n/a</w:t>
      </w:r>
    </w:p>
    <w:p w14:paraId="1ACF8C0D" w14:textId="77777777" w:rsidR="002279CC" w:rsidRPr="002D4064" w:rsidRDefault="002279CC" w:rsidP="002279CC">
      <w:pPr>
        <w:rPr>
          <w:sz w:val="22"/>
          <w:szCs w:val="22"/>
          <w:u w:val="single"/>
        </w:rPr>
      </w:pPr>
    </w:p>
    <w:p w14:paraId="363A6802" w14:textId="32513628" w:rsidR="00DF264F" w:rsidRPr="004C13B7" w:rsidRDefault="002279CC" w:rsidP="00056DDF">
      <w:pPr>
        <w:rPr>
          <w:rFonts w:cs="Arial"/>
        </w:rPr>
      </w:pPr>
      <w:r w:rsidRPr="00DC5006">
        <w:rPr>
          <w:b/>
          <w:bCs/>
        </w:rPr>
        <w:t>Executive Summary</w:t>
      </w:r>
      <w:r w:rsidR="00C657E9">
        <w:rPr>
          <w:b/>
          <w:bCs/>
        </w:rPr>
        <w:t xml:space="preserve">: </w:t>
      </w:r>
      <w:r w:rsidR="00C657E9" w:rsidRPr="008C10FD">
        <w:rPr>
          <w:rFonts w:cs="Arial"/>
        </w:rPr>
        <w:t xml:space="preserve">This report </w:t>
      </w:r>
      <w:r w:rsidR="00C657E9">
        <w:rPr>
          <w:rFonts w:cs="Arial"/>
        </w:rPr>
        <w:t xml:space="preserve">informs </w:t>
      </w:r>
      <w:r w:rsidR="00C657E9" w:rsidRPr="008C10FD">
        <w:rPr>
          <w:rFonts w:cs="Arial"/>
        </w:rPr>
        <w:t>Schools Forum of maintained schoo</w:t>
      </w:r>
      <w:r w:rsidR="00C657E9">
        <w:rPr>
          <w:rFonts w:cs="Arial"/>
        </w:rPr>
        <w:t xml:space="preserve">l provisional balances as </w:t>
      </w:r>
      <w:proofErr w:type="gramStart"/>
      <w:r w:rsidR="00C657E9">
        <w:rPr>
          <w:rFonts w:cs="Arial"/>
        </w:rPr>
        <w:t>at</w:t>
      </w:r>
      <w:proofErr w:type="gramEnd"/>
      <w:r w:rsidR="00C657E9">
        <w:rPr>
          <w:rFonts w:cs="Arial"/>
        </w:rPr>
        <w:t xml:space="preserve"> 31st March 2022</w:t>
      </w:r>
      <w:r w:rsidR="00C657E9" w:rsidRPr="008C10FD">
        <w:rPr>
          <w:rFonts w:cs="Arial"/>
        </w:rPr>
        <w:t>.</w:t>
      </w:r>
      <w:r w:rsidR="00C657E9">
        <w:rPr>
          <w:rFonts w:cs="Arial"/>
        </w:rPr>
        <w:t xml:space="preserve"> The report also highlights the schools to be reviewed under the balance control mechanism.</w:t>
      </w:r>
      <w:r w:rsidR="00C657E9" w:rsidRPr="008C10FD">
        <w:rPr>
          <w:rFonts w:cs="Arial"/>
        </w:rPr>
        <w:t xml:space="preserve"> </w:t>
      </w:r>
    </w:p>
    <w:p w14:paraId="7165590C" w14:textId="77777777" w:rsidR="00DF264F" w:rsidRPr="004C13B7" w:rsidRDefault="00DF264F" w:rsidP="00056DDF">
      <w:pPr>
        <w:rPr>
          <w:rFonts w:cs="Arial"/>
        </w:rPr>
      </w:pPr>
    </w:p>
    <w:p w14:paraId="2CA14EAE" w14:textId="370E643C" w:rsidR="00DF264F" w:rsidRDefault="00DF264F" w:rsidP="00C657E9">
      <w:pPr>
        <w:rPr>
          <w:rFonts w:cs="Arial"/>
          <w:b/>
        </w:rPr>
      </w:pPr>
      <w:r w:rsidRPr="004C13B7">
        <w:rPr>
          <w:rFonts w:cs="Arial"/>
          <w:b/>
        </w:rPr>
        <w:t>Action required:</w:t>
      </w:r>
      <w:r w:rsidR="00C657E9">
        <w:rPr>
          <w:rFonts w:cs="Arial"/>
          <w:b/>
        </w:rPr>
        <w:t xml:space="preserve"> </w:t>
      </w:r>
      <w:r w:rsidRPr="009211C8">
        <w:rPr>
          <w:rFonts w:cs="Arial"/>
        </w:rPr>
        <w:t xml:space="preserve">Schools Forum is invited to </w:t>
      </w:r>
      <w:r w:rsidRPr="009211C8">
        <w:rPr>
          <w:rFonts w:cs="Arial"/>
          <w:b/>
        </w:rPr>
        <w:t>discuss and comment on</w:t>
      </w:r>
      <w:r w:rsidRPr="009211C8">
        <w:rPr>
          <w:rFonts w:cs="Arial"/>
        </w:rPr>
        <w:t xml:space="preserve"> any of the issues raised in the report.</w:t>
      </w:r>
    </w:p>
    <w:p w14:paraId="43543EB4" w14:textId="77777777" w:rsidR="00DF264F" w:rsidRPr="009211C8" w:rsidRDefault="00DF264F" w:rsidP="00C657E9">
      <w:pPr>
        <w:rPr>
          <w:rFonts w:cs="Arial"/>
        </w:rPr>
      </w:pPr>
    </w:p>
    <w:p w14:paraId="27A8CC39" w14:textId="77777777" w:rsidR="00095149" w:rsidRDefault="00095149" w:rsidP="0050224E">
      <w:pPr>
        <w:spacing w:after="120"/>
        <w:rPr>
          <w:b/>
        </w:rPr>
      </w:pPr>
    </w:p>
    <w:p w14:paraId="0475FF10" w14:textId="191AC50C" w:rsidR="00095149" w:rsidRDefault="00095149" w:rsidP="0050224E">
      <w:pPr>
        <w:spacing w:after="120"/>
        <w:rPr>
          <w:b/>
        </w:rPr>
      </w:pPr>
      <w:r>
        <w:rPr>
          <w:b/>
        </w:rPr>
        <w:t>Appendices to this report:</w:t>
      </w:r>
    </w:p>
    <w:p w14:paraId="64451ABE" w14:textId="2AC46D14" w:rsidR="00F2068C" w:rsidRPr="00F2068C" w:rsidRDefault="00095149" w:rsidP="00F2068C">
      <w:pPr>
        <w:spacing w:after="120"/>
        <w:ind w:left="1418" w:hanging="1418"/>
        <w:rPr>
          <w:rFonts w:cs="Arial"/>
          <w:iCs/>
        </w:rPr>
      </w:pPr>
      <w:r w:rsidRPr="00095149">
        <w:t>Appendix 1</w:t>
      </w:r>
      <w:r w:rsidRPr="00095149">
        <w:tab/>
      </w:r>
      <w:r w:rsidR="0067284F">
        <w:t xml:space="preserve">Individual school </w:t>
      </w:r>
      <w:r w:rsidR="005C25DB">
        <w:t xml:space="preserve">revenue </w:t>
      </w:r>
      <w:r w:rsidR="0067284F">
        <w:t>balances for 2020-21</w:t>
      </w:r>
      <w:r w:rsidR="005C25DB">
        <w:t xml:space="preserve"> and 2021-22</w:t>
      </w:r>
      <w:r w:rsidR="0067284F">
        <w:t xml:space="preserve">, with in-year </w:t>
      </w:r>
      <w:r w:rsidR="0067284F">
        <w:rPr>
          <w:rFonts w:cs="Arial"/>
          <w:iCs/>
        </w:rPr>
        <w:t xml:space="preserve">movement </w:t>
      </w:r>
      <w:r w:rsidR="000B3D6D">
        <w:rPr>
          <w:rFonts w:cs="Arial"/>
          <w:iCs/>
        </w:rPr>
        <w:t>o</w:t>
      </w:r>
      <w:r w:rsidR="0067284F">
        <w:rPr>
          <w:rFonts w:cs="Arial"/>
          <w:iCs/>
        </w:rPr>
        <w:t>f value and as a percentage</w:t>
      </w:r>
      <w:r w:rsidR="007C239E">
        <w:rPr>
          <w:rFonts w:cs="Arial"/>
          <w:iCs/>
        </w:rPr>
        <w:t xml:space="preserve">.  </w:t>
      </w:r>
      <w:r w:rsidR="00F2068C">
        <w:rPr>
          <w:rFonts w:cs="Arial"/>
          <w:iCs/>
        </w:rPr>
        <w:t xml:space="preserve">Including </w:t>
      </w:r>
      <w:r w:rsidR="00F2068C">
        <w:t>highlighting of those with a revenue surplus over the 5% and 8% and 1</w:t>
      </w:r>
      <w:r w:rsidR="0020434A">
        <w:t>2</w:t>
      </w:r>
      <w:r w:rsidR="00F2068C">
        <w:t>% thresholds as per the balance control mechanism.</w:t>
      </w:r>
    </w:p>
    <w:p w14:paraId="61B7FC30" w14:textId="70AE0CCB" w:rsidR="00F2068C" w:rsidRPr="00095149" w:rsidRDefault="00F2068C" w:rsidP="00095149">
      <w:pPr>
        <w:spacing w:after="120"/>
        <w:ind w:left="1418" w:hanging="1418"/>
      </w:pPr>
      <w:r>
        <w:rPr>
          <w:rFonts w:cs="Arial"/>
          <w:iCs/>
        </w:rPr>
        <w:t>Appendix 2</w:t>
      </w:r>
      <w:r>
        <w:rPr>
          <w:rFonts w:cs="Arial"/>
          <w:iCs/>
        </w:rPr>
        <w:tab/>
        <w:t>Individual school capital balances, and movement from the previous year</w:t>
      </w:r>
    </w:p>
    <w:p w14:paraId="11F662E6" w14:textId="539E8C37" w:rsidR="00DF264F" w:rsidRDefault="00DF264F" w:rsidP="0050224E">
      <w:pPr>
        <w:spacing w:after="120"/>
        <w:rPr>
          <w:b/>
        </w:rPr>
      </w:pPr>
      <w:r>
        <w:rPr>
          <w:b/>
        </w:rPr>
        <w:br w:type="page"/>
      </w:r>
    </w:p>
    <w:p w14:paraId="343CCD6C" w14:textId="7F29C3FA" w:rsidR="00DF264F" w:rsidRDefault="004607A5" w:rsidP="00EC6C84">
      <w:pPr>
        <w:pStyle w:val="Heading2"/>
        <w:numPr>
          <w:ilvl w:val="0"/>
          <w:numId w:val="29"/>
        </w:numPr>
      </w:pPr>
      <w:r w:rsidRPr="00400AA7">
        <w:lastRenderedPageBreak/>
        <w:t xml:space="preserve">Purpose of Report </w:t>
      </w:r>
    </w:p>
    <w:p w14:paraId="05887AF2" w14:textId="77777777" w:rsidR="00400AA7" w:rsidRPr="00400AA7" w:rsidRDefault="00400AA7" w:rsidP="00400AA7">
      <w:pPr>
        <w:pStyle w:val="ListParagraph"/>
        <w:spacing w:after="120"/>
        <w:ind w:left="709"/>
        <w:rPr>
          <w:b/>
        </w:rPr>
      </w:pPr>
    </w:p>
    <w:p w14:paraId="1BA18719" w14:textId="7F03E59C" w:rsidR="008A222B" w:rsidRDefault="004607A5" w:rsidP="00400AA7">
      <w:pPr>
        <w:pStyle w:val="ListParagraph"/>
        <w:numPr>
          <w:ilvl w:val="1"/>
          <w:numId w:val="29"/>
        </w:numPr>
        <w:spacing w:after="120"/>
        <w:ind w:left="709"/>
        <w:jc w:val="both"/>
      </w:pPr>
      <w:r>
        <w:t>To provide Scho</w:t>
      </w:r>
      <w:r w:rsidR="00F95D07">
        <w:t xml:space="preserve">ol Forum members with the </w:t>
      </w:r>
      <w:r w:rsidR="003829BD">
        <w:t xml:space="preserve">provisional </w:t>
      </w:r>
      <w:r>
        <w:t xml:space="preserve">school balances position recorded as </w:t>
      </w:r>
      <w:proofErr w:type="gramStart"/>
      <w:r>
        <w:t>at</w:t>
      </w:r>
      <w:proofErr w:type="gramEnd"/>
      <w:r>
        <w:t xml:space="preserve"> 3</w:t>
      </w:r>
      <w:r w:rsidR="00F54C81">
        <w:t>1</w:t>
      </w:r>
      <w:r w:rsidR="00E673B1">
        <w:t xml:space="preserve"> March 20</w:t>
      </w:r>
      <w:r w:rsidR="003829BD">
        <w:t>2</w:t>
      </w:r>
      <w:r w:rsidR="005C25DB">
        <w:t>2</w:t>
      </w:r>
      <w:r>
        <w:t>.</w:t>
      </w:r>
    </w:p>
    <w:p w14:paraId="3E086AA1" w14:textId="77777777" w:rsidR="0067284F" w:rsidRDefault="0067284F" w:rsidP="00F95D07">
      <w:pPr>
        <w:spacing w:after="120"/>
        <w:ind w:left="720" w:hanging="720"/>
        <w:jc w:val="both"/>
      </w:pPr>
    </w:p>
    <w:p w14:paraId="1EC87BE9" w14:textId="5A7CEC28" w:rsidR="004607A5" w:rsidRDefault="004607A5" w:rsidP="00EC6C84">
      <w:pPr>
        <w:pStyle w:val="Heading2"/>
        <w:numPr>
          <w:ilvl w:val="0"/>
          <w:numId w:val="29"/>
        </w:numPr>
      </w:pPr>
      <w:r>
        <w:tab/>
      </w:r>
      <w:r w:rsidRPr="004607A5">
        <w:t>B</w:t>
      </w:r>
      <w:r>
        <w:t>ackground</w:t>
      </w:r>
    </w:p>
    <w:p w14:paraId="74697DD7" w14:textId="77777777" w:rsidR="00E21EB8" w:rsidRPr="004607A5" w:rsidRDefault="00E21EB8" w:rsidP="00E21EB8">
      <w:pPr>
        <w:pStyle w:val="ListParagraph"/>
        <w:spacing w:after="120"/>
        <w:ind w:left="709"/>
        <w:rPr>
          <w:b/>
        </w:rPr>
      </w:pPr>
    </w:p>
    <w:p w14:paraId="7BF8C654" w14:textId="35E77AF7" w:rsidR="00400AA7" w:rsidRDefault="004607A5" w:rsidP="00400AA7">
      <w:pPr>
        <w:pStyle w:val="ListParagraph"/>
        <w:numPr>
          <w:ilvl w:val="1"/>
          <w:numId w:val="29"/>
        </w:numPr>
        <w:spacing w:after="120"/>
        <w:ind w:left="709"/>
        <w:jc w:val="both"/>
      </w:pPr>
      <w:r>
        <w:t>Schools receive their delegated budget share based upon the fo</w:t>
      </w:r>
      <w:r w:rsidR="008A222B">
        <w:t xml:space="preserve">rmula factors and components </w:t>
      </w:r>
      <w:r>
        <w:t xml:space="preserve">agreed </w:t>
      </w:r>
      <w:r w:rsidR="008A222B">
        <w:t>in the Tower Hamlets Schools Funding Formula.</w:t>
      </w:r>
      <w:r w:rsidR="00F2068C">
        <w:t xml:space="preserve">  In </w:t>
      </w:r>
      <w:r w:rsidR="00836EBF">
        <w:t>addition,</w:t>
      </w:r>
      <w:r w:rsidR="00F2068C">
        <w:t xml:space="preserve"> significant revenue grant funding is managed by schools, and capital funding.  Grant conditions usually allow schools to carry forward unspent income, despite the assumption that it should be spent on the pupils at the school each year.  </w:t>
      </w:r>
    </w:p>
    <w:p w14:paraId="7A395896" w14:textId="77777777" w:rsidR="00400AA7" w:rsidRDefault="00400AA7" w:rsidP="00400AA7">
      <w:pPr>
        <w:pStyle w:val="ListParagraph"/>
        <w:spacing w:after="120"/>
        <w:ind w:left="709"/>
        <w:jc w:val="both"/>
      </w:pPr>
    </w:p>
    <w:p w14:paraId="0C466B78" w14:textId="68EB5FC2" w:rsidR="004607A5" w:rsidRDefault="00400AA7" w:rsidP="00400AA7">
      <w:pPr>
        <w:pStyle w:val="ListParagraph"/>
        <w:numPr>
          <w:ilvl w:val="1"/>
          <w:numId w:val="29"/>
        </w:numPr>
        <w:spacing w:after="120"/>
        <w:ind w:left="709"/>
        <w:jc w:val="both"/>
      </w:pPr>
      <w:r>
        <w:t xml:space="preserve">Revenue surplus balances are compared nationally as a percentage of total income available, thus allowing a comparison between schools in different areas with varied funding levels.  </w:t>
      </w:r>
    </w:p>
    <w:p w14:paraId="10662D2C" w14:textId="77777777" w:rsidR="00400AA7" w:rsidRDefault="00400AA7" w:rsidP="00400AA7">
      <w:pPr>
        <w:pStyle w:val="ListParagraph"/>
        <w:spacing w:after="120"/>
        <w:ind w:left="709"/>
        <w:jc w:val="both"/>
      </w:pPr>
    </w:p>
    <w:p w14:paraId="04959B8F" w14:textId="28C57443" w:rsidR="004607A5" w:rsidRDefault="004607A5" w:rsidP="00400AA7">
      <w:pPr>
        <w:pStyle w:val="ListParagraph"/>
        <w:numPr>
          <w:ilvl w:val="1"/>
          <w:numId w:val="29"/>
        </w:numPr>
        <w:spacing w:after="120"/>
        <w:ind w:left="709"/>
        <w:jc w:val="both"/>
      </w:pPr>
      <w:r>
        <w:t>All schools via their governing body have delegated powers and responsibilities to</w:t>
      </w:r>
      <w:r w:rsidR="00423D02">
        <w:t xml:space="preserve"> </w:t>
      </w:r>
      <w:r>
        <w:t>manage and deploy their financial resources at a local level in accordance with the</w:t>
      </w:r>
      <w:r w:rsidR="00423D02">
        <w:t xml:space="preserve"> </w:t>
      </w:r>
      <w:r>
        <w:t>locally agreed aims and objectives as outlined in the School Improvement Plan</w:t>
      </w:r>
      <w:r w:rsidR="00423D02">
        <w:t xml:space="preserve"> </w:t>
      </w:r>
      <w:r w:rsidR="00C92C36">
        <w:t>(SIP),</w:t>
      </w:r>
      <w:r>
        <w:t xml:space="preserve"> aimed at achieving the best outcomes for pupils.</w:t>
      </w:r>
    </w:p>
    <w:p w14:paraId="2C9E0D42" w14:textId="77777777" w:rsidR="00400AA7" w:rsidRDefault="00400AA7" w:rsidP="00400AA7">
      <w:pPr>
        <w:pStyle w:val="ListParagraph"/>
      </w:pPr>
    </w:p>
    <w:p w14:paraId="7A7D82EE" w14:textId="7BE30343" w:rsidR="00A92021" w:rsidRDefault="008A222B" w:rsidP="00400AA7">
      <w:pPr>
        <w:pStyle w:val="ListParagraph"/>
        <w:numPr>
          <w:ilvl w:val="1"/>
          <w:numId w:val="29"/>
        </w:numPr>
        <w:spacing w:after="120"/>
        <w:ind w:left="709"/>
        <w:jc w:val="both"/>
      </w:pPr>
      <w:r>
        <w:t xml:space="preserve">Within the </w:t>
      </w:r>
      <w:r w:rsidR="004607A5">
        <w:t>framework</w:t>
      </w:r>
      <w:r>
        <w:t xml:space="preserve"> of Tower Hamlets’ Scheme for Financing Schools</w:t>
      </w:r>
      <w:r w:rsidR="00F95D07">
        <w:t xml:space="preserve"> (see Section 5)</w:t>
      </w:r>
      <w:r w:rsidR="004607A5">
        <w:t>, schools are permitte</w:t>
      </w:r>
      <w:r w:rsidR="00423D02">
        <w:t xml:space="preserve">d to carry-forward any year-end </w:t>
      </w:r>
      <w:r w:rsidR="00C92C36">
        <w:t xml:space="preserve">surplus/deficit recorded </w:t>
      </w:r>
      <w:proofErr w:type="gramStart"/>
      <w:r w:rsidR="00C92C36">
        <w:t>at</w:t>
      </w:r>
      <w:proofErr w:type="gramEnd"/>
      <w:r w:rsidR="004607A5">
        <w:t xml:space="preserve"> 31</w:t>
      </w:r>
      <w:r w:rsidR="00C92C36" w:rsidRPr="00C92C36">
        <w:rPr>
          <w:vertAlign w:val="superscript"/>
        </w:rPr>
        <w:t>st</w:t>
      </w:r>
      <w:r w:rsidR="004607A5">
        <w:t xml:space="preserve"> March, to the following financial year.</w:t>
      </w:r>
    </w:p>
    <w:p w14:paraId="23C4939D" w14:textId="77777777" w:rsidR="0067284F" w:rsidRPr="00400AA7" w:rsidRDefault="0067284F" w:rsidP="004C5F96">
      <w:pPr>
        <w:spacing w:after="120"/>
        <w:ind w:left="720" w:hanging="720"/>
        <w:jc w:val="both"/>
        <w:rPr>
          <w:iCs/>
        </w:rPr>
      </w:pPr>
    </w:p>
    <w:p w14:paraId="06957687" w14:textId="6F78AC7D" w:rsidR="00423D02" w:rsidRPr="00400AA7" w:rsidRDefault="00423D02" w:rsidP="00EC6C84">
      <w:pPr>
        <w:pStyle w:val="Heading2"/>
        <w:numPr>
          <w:ilvl w:val="0"/>
          <w:numId w:val="29"/>
        </w:numPr>
      </w:pPr>
      <w:r w:rsidRPr="00400AA7">
        <w:tab/>
        <w:t>Schools</w:t>
      </w:r>
      <w:r w:rsidRPr="00780295">
        <w:t xml:space="preserve"> </w:t>
      </w:r>
      <w:r w:rsidR="005E18C0" w:rsidRPr="00780295">
        <w:t>Revenue Position</w:t>
      </w:r>
    </w:p>
    <w:p w14:paraId="1808ED03" w14:textId="77777777" w:rsidR="00400AA7" w:rsidRPr="00780295" w:rsidRDefault="00400AA7" w:rsidP="00400AA7">
      <w:pPr>
        <w:pStyle w:val="ListParagraph"/>
        <w:spacing w:after="120"/>
        <w:ind w:left="709"/>
        <w:rPr>
          <w:b/>
          <w:i/>
          <w:iCs/>
        </w:rPr>
      </w:pPr>
    </w:p>
    <w:p w14:paraId="688F28B7" w14:textId="33F3EC39" w:rsidR="005E6F06" w:rsidRPr="00780295" w:rsidRDefault="00423D02" w:rsidP="00400AA7">
      <w:pPr>
        <w:pStyle w:val="ListParagraph"/>
        <w:numPr>
          <w:ilvl w:val="1"/>
          <w:numId w:val="29"/>
        </w:numPr>
        <w:spacing w:after="120"/>
        <w:ind w:left="709"/>
        <w:jc w:val="both"/>
        <w:rPr>
          <w:rFonts w:cs="Arial"/>
          <w:iCs/>
        </w:rPr>
      </w:pPr>
      <w:r w:rsidRPr="00780295">
        <w:rPr>
          <w:rFonts w:cs="Arial"/>
          <w:iCs/>
        </w:rPr>
        <w:tab/>
      </w:r>
      <w:r w:rsidR="00F71DB1" w:rsidRPr="00780295">
        <w:rPr>
          <w:rFonts w:cs="Arial"/>
          <w:iCs/>
        </w:rPr>
        <w:t>Overall,</w:t>
      </w:r>
      <w:r w:rsidR="00CA5FFB" w:rsidRPr="00780295">
        <w:rPr>
          <w:rFonts w:cs="Arial"/>
          <w:iCs/>
        </w:rPr>
        <w:t xml:space="preserve"> the </w:t>
      </w:r>
      <w:r w:rsidR="00480C42" w:rsidRPr="00780295">
        <w:rPr>
          <w:rFonts w:cs="Arial"/>
          <w:iCs/>
        </w:rPr>
        <w:t>s</w:t>
      </w:r>
      <w:r w:rsidRPr="00780295">
        <w:rPr>
          <w:rFonts w:cs="Arial"/>
          <w:iCs/>
        </w:rPr>
        <w:t xml:space="preserve">chool </w:t>
      </w:r>
      <w:r w:rsidR="005E18C0" w:rsidRPr="00780295">
        <w:rPr>
          <w:rFonts w:cs="Arial"/>
          <w:iCs/>
        </w:rPr>
        <w:t xml:space="preserve">revenue </w:t>
      </w:r>
      <w:r w:rsidRPr="00780295">
        <w:rPr>
          <w:rFonts w:cs="Arial"/>
          <w:iCs/>
        </w:rPr>
        <w:t>balances at the end of the 20</w:t>
      </w:r>
      <w:r w:rsidR="003829BD" w:rsidRPr="00780295">
        <w:rPr>
          <w:rFonts w:cs="Arial"/>
          <w:iCs/>
        </w:rPr>
        <w:t>2</w:t>
      </w:r>
      <w:r w:rsidR="005E18C0" w:rsidRPr="00780295">
        <w:rPr>
          <w:rFonts w:cs="Arial"/>
          <w:iCs/>
        </w:rPr>
        <w:t>1</w:t>
      </w:r>
      <w:r w:rsidR="00CA5FFB" w:rsidRPr="00780295">
        <w:rPr>
          <w:rFonts w:cs="Arial"/>
          <w:iCs/>
        </w:rPr>
        <w:t>/2</w:t>
      </w:r>
      <w:r w:rsidR="005E18C0" w:rsidRPr="00780295">
        <w:rPr>
          <w:rFonts w:cs="Arial"/>
          <w:iCs/>
        </w:rPr>
        <w:t>2</w:t>
      </w:r>
      <w:r w:rsidRPr="00780295">
        <w:rPr>
          <w:rFonts w:cs="Arial"/>
          <w:iCs/>
        </w:rPr>
        <w:t xml:space="preserve"> financial year </w:t>
      </w:r>
      <w:r w:rsidR="003F1007" w:rsidRPr="00780295">
        <w:rPr>
          <w:rFonts w:cs="Arial"/>
          <w:iCs/>
        </w:rPr>
        <w:t>h</w:t>
      </w:r>
      <w:r w:rsidR="00480C42" w:rsidRPr="00780295">
        <w:rPr>
          <w:rFonts w:cs="Arial"/>
          <w:iCs/>
        </w:rPr>
        <w:t>a</w:t>
      </w:r>
      <w:r w:rsidR="00062F2A" w:rsidRPr="00780295">
        <w:rPr>
          <w:rFonts w:cs="Arial"/>
          <w:iCs/>
        </w:rPr>
        <w:t>ve</w:t>
      </w:r>
      <w:r w:rsidRPr="00780295">
        <w:rPr>
          <w:rFonts w:cs="Arial"/>
          <w:iCs/>
        </w:rPr>
        <w:t xml:space="preserve"> </w:t>
      </w:r>
      <w:r w:rsidR="00CA5FFB" w:rsidRPr="00780295">
        <w:rPr>
          <w:rFonts w:cs="Arial"/>
          <w:b/>
          <w:i/>
        </w:rPr>
        <w:t>increas</w:t>
      </w:r>
      <w:r w:rsidR="003829BD" w:rsidRPr="00780295">
        <w:rPr>
          <w:rFonts w:cs="Arial"/>
          <w:b/>
          <w:i/>
        </w:rPr>
        <w:t>ed</w:t>
      </w:r>
      <w:r w:rsidRPr="00780295">
        <w:rPr>
          <w:rFonts w:cs="Arial"/>
          <w:iCs/>
        </w:rPr>
        <w:t xml:space="preserve"> by</w:t>
      </w:r>
      <w:r w:rsidR="00782F6E" w:rsidRPr="00780295">
        <w:rPr>
          <w:rFonts w:cs="Arial"/>
          <w:iCs/>
        </w:rPr>
        <w:t xml:space="preserve"> </w:t>
      </w:r>
      <w:r w:rsidRPr="00780295">
        <w:rPr>
          <w:rFonts w:cs="Arial"/>
          <w:b/>
          <w:iCs/>
        </w:rPr>
        <w:t>£</w:t>
      </w:r>
      <w:r w:rsidR="005E18C0" w:rsidRPr="00780295">
        <w:rPr>
          <w:rFonts w:cs="Arial"/>
          <w:b/>
          <w:iCs/>
        </w:rPr>
        <w:t>3</w:t>
      </w:r>
      <w:r w:rsidR="00C51737" w:rsidRPr="00780295">
        <w:rPr>
          <w:rFonts w:cs="Arial"/>
          <w:b/>
          <w:iCs/>
        </w:rPr>
        <w:t>.</w:t>
      </w:r>
      <w:r w:rsidR="005E18C0" w:rsidRPr="00780295">
        <w:rPr>
          <w:rFonts w:cs="Arial"/>
          <w:b/>
          <w:iCs/>
        </w:rPr>
        <w:t>7</w:t>
      </w:r>
      <w:r w:rsidR="00E673B1" w:rsidRPr="00780295">
        <w:rPr>
          <w:rFonts w:cs="Arial"/>
          <w:b/>
          <w:iCs/>
        </w:rPr>
        <w:t>m</w:t>
      </w:r>
      <w:r w:rsidR="005E18C0" w:rsidRPr="00780295">
        <w:rPr>
          <w:rFonts w:cs="Arial"/>
          <w:b/>
          <w:iCs/>
        </w:rPr>
        <w:t xml:space="preserve"> (12%)</w:t>
      </w:r>
      <w:r w:rsidR="00480C42" w:rsidRPr="00780295">
        <w:rPr>
          <w:rFonts w:cs="Arial"/>
          <w:iCs/>
        </w:rPr>
        <w:t xml:space="preserve"> to</w:t>
      </w:r>
      <w:r w:rsidRPr="00780295">
        <w:rPr>
          <w:rFonts w:cs="Arial"/>
          <w:iCs/>
        </w:rPr>
        <w:t xml:space="preserve"> </w:t>
      </w:r>
      <w:r w:rsidRPr="00780295">
        <w:rPr>
          <w:rFonts w:cs="Arial"/>
          <w:b/>
          <w:iCs/>
        </w:rPr>
        <w:t>£</w:t>
      </w:r>
      <w:r w:rsidR="004F1DD2" w:rsidRPr="00780295">
        <w:rPr>
          <w:rFonts w:cs="Arial"/>
          <w:b/>
          <w:iCs/>
        </w:rPr>
        <w:t>34.</w:t>
      </w:r>
      <w:r w:rsidR="005E18C0" w:rsidRPr="00780295">
        <w:rPr>
          <w:rFonts w:cs="Arial"/>
          <w:b/>
          <w:iCs/>
        </w:rPr>
        <w:t>3</w:t>
      </w:r>
      <w:r w:rsidRPr="00780295">
        <w:rPr>
          <w:rFonts w:cs="Arial"/>
          <w:b/>
          <w:iCs/>
        </w:rPr>
        <w:t>m</w:t>
      </w:r>
      <w:r w:rsidRPr="00780295">
        <w:rPr>
          <w:rFonts w:cs="Arial"/>
          <w:iCs/>
        </w:rPr>
        <w:t xml:space="preserve">. </w:t>
      </w:r>
      <w:r w:rsidR="00F618E2" w:rsidRPr="00780295">
        <w:rPr>
          <w:rFonts w:cs="Arial"/>
          <w:iCs/>
        </w:rPr>
        <w:t>The year-end position</w:t>
      </w:r>
      <w:r w:rsidR="00C206EA" w:rsidRPr="00780295">
        <w:rPr>
          <w:rFonts w:cs="Arial"/>
          <w:iCs/>
        </w:rPr>
        <w:t xml:space="preserve"> </w:t>
      </w:r>
      <w:r w:rsidR="0088574F" w:rsidRPr="00780295">
        <w:rPr>
          <w:rFonts w:cs="Arial"/>
          <w:iCs/>
        </w:rPr>
        <w:t xml:space="preserve">illustrated </w:t>
      </w:r>
      <w:r w:rsidR="002B2E98" w:rsidRPr="00780295">
        <w:rPr>
          <w:rFonts w:cs="Arial"/>
          <w:iCs/>
        </w:rPr>
        <w:t>school by school</w:t>
      </w:r>
      <w:r w:rsidR="00C206EA" w:rsidRPr="00780295">
        <w:rPr>
          <w:rFonts w:cs="Arial"/>
          <w:iCs/>
        </w:rPr>
        <w:t xml:space="preserve">, </w:t>
      </w:r>
      <w:r w:rsidR="00FD0FA5" w:rsidRPr="00780295">
        <w:rPr>
          <w:rFonts w:cs="Arial"/>
          <w:iCs/>
        </w:rPr>
        <w:t xml:space="preserve">is shown </w:t>
      </w:r>
      <w:r w:rsidR="0088574F" w:rsidRPr="00780295">
        <w:rPr>
          <w:rFonts w:cs="Arial"/>
          <w:iCs/>
        </w:rPr>
        <w:t>in</w:t>
      </w:r>
      <w:r w:rsidRPr="00780295">
        <w:rPr>
          <w:rFonts w:cs="Arial"/>
          <w:iCs/>
        </w:rPr>
        <w:t xml:space="preserve"> </w:t>
      </w:r>
      <w:r w:rsidR="002B2E98" w:rsidRPr="00780295">
        <w:rPr>
          <w:rFonts w:cs="Arial"/>
          <w:iCs/>
        </w:rPr>
        <w:t>Appen</w:t>
      </w:r>
      <w:r w:rsidR="003829BD" w:rsidRPr="00780295">
        <w:rPr>
          <w:rFonts w:cs="Arial"/>
          <w:iCs/>
        </w:rPr>
        <w:t>dix</w:t>
      </w:r>
      <w:r w:rsidR="00FD0FA5" w:rsidRPr="00780295">
        <w:rPr>
          <w:rFonts w:cs="Arial"/>
          <w:iCs/>
        </w:rPr>
        <w:t xml:space="preserve"> 1</w:t>
      </w:r>
      <w:r w:rsidR="003829BD" w:rsidRPr="00780295">
        <w:rPr>
          <w:rFonts w:cs="Arial"/>
          <w:iCs/>
        </w:rPr>
        <w:t xml:space="preserve"> </w:t>
      </w:r>
      <w:r w:rsidR="00FD0FA5" w:rsidRPr="00780295">
        <w:rPr>
          <w:rFonts w:cs="Arial"/>
          <w:iCs/>
        </w:rPr>
        <w:t xml:space="preserve">and </w:t>
      </w:r>
      <w:r w:rsidR="00C206EA" w:rsidRPr="00780295">
        <w:rPr>
          <w:rFonts w:cs="Arial"/>
          <w:iCs/>
        </w:rPr>
        <w:t>the position by</w:t>
      </w:r>
      <w:r w:rsidRPr="00780295">
        <w:rPr>
          <w:rFonts w:cs="Arial"/>
          <w:iCs/>
        </w:rPr>
        <w:t xml:space="preserve"> school sector</w:t>
      </w:r>
      <w:r w:rsidR="00FD0FA5" w:rsidRPr="00780295">
        <w:rPr>
          <w:rFonts w:cs="Arial"/>
          <w:iCs/>
        </w:rPr>
        <w:t xml:space="preserve"> in Table 1</w:t>
      </w:r>
      <w:r w:rsidRPr="00780295">
        <w:rPr>
          <w:rFonts w:cs="Arial"/>
          <w:iCs/>
        </w:rPr>
        <w:t>.</w:t>
      </w:r>
      <w:r w:rsidR="004401D0" w:rsidRPr="00780295">
        <w:rPr>
          <w:rFonts w:cs="Arial"/>
          <w:iCs/>
        </w:rPr>
        <w:t xml:space="preserve"> </w:t>
      </w:r>
    </w:p>
    <w:p w14:paraId="19B2D06A" w14:textId="2117A88A" w:rsidR="003622EA" w:rsidRPr="00780295" w:rsidRDefault="0088574F" w:rsidP="0088574F">
      <w:pPr>
        <w:spacing w:after="120"/>
        <w:ind w:left="720" w:hanging="720"/>
        <w:jc w:val="center"/>
        <w:rPr>
          <w:rFonts w:cs="Arial"/>
          <w:b/>
          <w:iCs/>
          <w:sz w:val="20"/>
          <w:szCs w:val="20"/>
        </w:rPr>
      </w:pPr>
      <w:r w:rsidRPr="00780295">
        <w:rPr>
          <w:rFonts w:cs="Arial"/>
          <w:b/>
          <w:iCs/>
          <w:sz w:val="20"/>
          <w:szCs w:val="20"/>
        </w:rPr>
        <w:t xml:space="preserve">Table1. </w:t>
      </w:r>
      <w:r w:rsidR="00C206EA" w:rsidRPr="00780295">
        <w:rPr>
          <w:rFonts w:cs="Arial"/>
          <w:b/>
          <w:iCs/>
          <w:sz w:val="20"/>
          <w:szCs w:val="20"/>
        </w:rPr>
        <w:t xml:space="preserve">Provisional </w:t>
      </w:r>
      <w:r w:rsidR="00780295">
        <w:rPr>
          <w:rFonts w:cs="Arial"/>
          <w:b/>
          <w:iCs/>
          <w:sz w:val="20"/>
          <w:szCs w:val="20"/>
        </w:rPr>
        <w:t xml:space="preserve">Revenue </w:t>
      </w:r>
      <w:r w:rsidRPr="00780295">
        <w:rPr>
          <w:rFonts w:cs="Arial"/>
          <w:b/>
          <w:iCs/>
          <w:sz w:val="20"/>
          <w:szCs w:val="20"/>
        </w:rPr>
        <w:t>Balances carried forward by sector</w:t>
      </w:r>
      <w:r w:rsidR="00ED6650" w:rsidRPr="00780295">
        <w:rPr>
          <w:rFonts w:cs="Arial"/>
          <w:b/>
          <w:iCs/>
          <w:sz w:val="20"/>
          <w:szCs w:val="20"/>
        </w:rPr>
        <w:t>: 20</w:t>
      </w:r>
      <w:r w:rsidR="00FD0FA5" w:rsidRPr="00780295">
        <w:rPr>
          <w:rFonts w:cs="Arial"/>
          <w:b/>
          <w:iCs/>
          <w:sz w:val="20"/>
          <w:szCs w:val="20"/>
        </w:rPr>
        <w:t>20</w:t>
      </w:r>
      <w:r w:rsidR="00C424B1">
        <w:rPr>
          <w:rFonts w:cs="Arial"/>
          <w:b/>
          <w:iCs/>
          <w:sz w:val="20"/>
          <w:szCs w:val="20"/>
        </w:rPr>
        <w:t>-21</w:t>
      </w:r>
      <w:r w:rsidR="004F1DD2" w:rsidRPr="00780295">
        <w:rPr>
          <w:rFonts w:cs="Arial"/>
          <w:b/>
          <w:iCs/>
          <w:sz w:val="20"/>
          <w:szCs w:val="20"/>
        </w:rPr>
        <w:t xml:space="preserve"> </w:t>
      </w:r>
      <w:r w:rsidR="00780295">
        <w:rPr>
          <w:rFonts w:cs="Arial"/>
          <w:b/>
          <w:iCs/>
          <w:sz w:val="20"/>
          <w:szCs w:val="20"/>
        </w:rPr>
        <w:t>to</w:t>
      </w:r>
      <w:r w:rsidR="004F1DD2" w:rsidRPr="00780295">
        <w:rPr>
          <w:rFonts w:cs="Arial"/>
          <w:b/>
          <w:iCs/>
          <w:sz w:val="20"/>
          <w:szCs w:val="20"/>
        </w:rPr>
        <w:t xml:space="preserve"> 202</w:t>
      </w:r>
      <w:r w:rsidR="00780295">
        <w:rPr>
          <w:rFonts w:cs="Arial"/>
          <w:b/>
          <w:iCs/>
          <w:sz w:val="20"/>
          <w:szCs w:val="20"/>
        </w:rPr>
        <w:t>1</w:t>
      </w:r>
      <w:r w:rsidR="004F1DD2" w:rsidRPr="00780295">
        <w:rPr>
          <w:rFonts w:cs="Arial"/>
          <w:b/>
          <w:iCs/>
          <w:sz w:val="20"/>
          <w:szCs w:val="20"/>
        </w:rPr>
        <w:t>-2</w:t>
      </w:r>
      <w:r w:rsidR="00780295">
        <w:rPr>
          <w:rFonts w:cs="Arial"/>
          <w:b/>
          <w:iCs/>
          <w:sz w:val="20"/>
          <w:szCs w:val="20"/>
        </w:rPr>
        <w:t>2</w:t>
      </w:r>
      <w:r w:rsidR="00ED6650" w:rsidRPr="00780295">
        <w:rPr>
          <w:rFonts w:cs="Arial"/>
          <w:b/>
          <w:iCs/>
          <w:sz w:val="20"/>
          <w:szCs w:val="20"/>
        </w:rPr>
        <w:t>.</w:t>
      </w:r>
    </w:p>
    <w:tbl>
      <w:tblPr>
        <w:tblStyle w:val="TableGridLight"/>
        <w:tblW w:w="9351" w:type="dxa"/>
        <w:tblLook w:val="04A0" w:firstRow="1" w:lastRow="0" w:firstColumn="1" w:lastColumn="0" w:noHBand="0" w:noVBand="1"/>
      </w:tblPr>
      <w:tblGrid>
        <w:gridCol w:w="1991"/>
        <w:gridCol w:w="1557"/>
        <w:gridCol w:w="1556"/>
        <w:gridCol w:w="2121"/>
        <w:gridCol w:w="2126"/>
      </w:tblGrid>
      <w:tr w:rsidR="00C24F10" w:rsidRPr="00780295" w14:paraId="5E60AF4F" w14:textId="77777777" w:rsidTr="00806E4F">
        <w:trPr>
          <w:trHeight w:val="580"/>
        </w:trPr>
        <w:tc>
          <w:tcPr>
            <w:tcW w:w="1991" w:type="dxa"/>
            <w:noWrap/>
            <w:hideMark/>
          </w:tcPr>
          <w:p w14:paraId="2A2B997A" w14:textId="77777777" w:rsidR="00C24F10" w:rsidRPr="00780295" w:rsidRDefault="00C24F10" w:rsidP="005E18C0">
            <w:pPr>
              <w:rPr>
                <w:rFonts w:ascii="Calibri" w:hAnsi="Calibri" w:cs="Calibri"/>
                <w:color w:val="000000"/>
                <w:sz w:val="22"/>
                <w:szCs w:val="22"/>
              </w:rPr>
            </w:pPr>
            <w:r w:rsidRPr="00780295">
              <w:rPr>
                <w:rFonts w:ascii="Calibri" w:hAnsi="Calibri" w:cs="Calibri"/>
                <w:color w:val="000000"/>
                <w:sz w:val="22"/>
                <w:szCs w:val="22"/>
              </w:rPr>
              <w:t> </w:t>
            </w:r>
          </w:p>
          <w:p w14:paraId="5E7544E3" w14:textId="65ABB296" w:rsidR="00C24F10" w:rsidRPr="00780295" w:rsidRDefault="00C24F10" w:rsidP="005E18C0">
            <w:pPr>
              <w:rPr>
                <w:rFonts w:ascii="Calibri" w:hAnsi="Calibri" w:cs="Calibri"/>
                <w:color w:val="000000"/>
                <w:sz w:val="22"/>
                <w:szCs w:val="22"/>
              </w:rPr>
            </w:pPr>
            <w:r w:rsidRPr="00780295">
              <w:rPr>
                <w:rFonts w:ascii="Calibri" w:hAnsi="Calibri" w:cs="Calibri"/>
                <w:b/>
                <w:bCs/>
                <w:color w:val="000000"/>
                <w:sz w:val="22"/>
                <w:szCs w:val="22"/>
              </w:rPr>
              <w:t> </w:t>
            </w:r>
            <w:r>
              <w:rPr>
                <w:rFonts w:ascii="Calibri" w:hAnsi="Calibri" w:cs="Calibri"/>
                <w:b/>
                <w:bCs/>
                <w:color w:val="000000"/>
                <w:sz w:val="22"/>
                <w:szCs w:val="22"/>
              </w:rPr>
              <w:t>School phase</w:t>
            </w:r>
          </w:p>
        </w:tc>
        <w:tc>
          <w:tcPr>
            <w:tcW w:w="1559" w:type="dxa"/>
          </w:tcPr>
          <w:p w14:paraId="41AA4458" w14:textId="2BECFF38" w:rsidR="00C24F10" w:rsidRPr="00780295" w:rsidRDefault="00C24F10" w:rsidP="005E18C0">
            <w:pPr>
              <w:jc w:val="center"/>
              <w:rPr>
                <w:rFonts w:ascii="Calibri" w:hAnsi="Calibri" w:cs="Calibri"/>
                <w:b/>
                <w:bCs/>
                <w:color w:val="000000"/>
                <w:sz w:val="22"/>
                <w:szCs w:val="22"/>
              </w:rPr>
            </w:pPr>
            <w:r w:rsidRPr="00780295">
              <w:rPr>
                <w:rFonts w:ascii="Calibri" w:hAnsi="Calibri" w:cs="Calibri"/>
                <w:b/>
                <w:bCs/>
                <w:color w:val="000000"/>
                <w:sz w:val="22"/>
                <w:szCs w:val="22"/>
              </w:rPr>
              <w:t xml:space="preserve">2020/21 </w:t>
            </w:r>
          </w:p>
        </w:tc>
        <w:tc>
          <w:tcPr>
            <w:tcW w:w="1559" w:type="dxa"/>
          </w:tcPr>
          <w:p w14:paraId="580A46E7" w14:textId="1C246918" w:rsidR="00C24F10" w:rsidRPr="00780295" w:rsidRDefault="00C24F10" w:rsidP="00780295">
            <w:pPr>
              <w:jc w:val="center"/>
              <w:rPr>
                <w:rFonts w:ascii="Calibri" w:hAnsi="Calibri" w:cs="Calibri"/>
                <w:b/>
                <w:bCs/>
                <w:color w:val="000000"/>
                <w:sz w:val="22"/>
                <w:szCs w:val="22"/>
              </w:rPr>
            </w:pPr>
            <w:r w:rsidRPr="00780295">
              <w:rPr>
                <w:rFonts w:ascii="Calibri" w:hAnsi="Calibri" w:cs="Calibri"/>
                <w:b/>
                <w:bCs/>
                <w:color w:val="000000"/>
                <w:sz w:val="22"/>
                <w:szCs w:val="22"/>
              </w:rPr>
              <w:t>2021-22</w:t>
            </w:r>
          </w:p>
        </w:tc>
        <w:tc>
          <w:tcPr>
            <w:tcW w:w="2121" w:type="dxa"/>
            <w:hideMark/>
          </w:tcPr>
          <w:p w14:paraId="39B5BC16" w14:textId="013D27C7" w:rsidR="00C24F10" w:rsidRDefault="00C24F10" w:rsidP="005E18C0">
            <w:pPr>
              <w:jc w:val="center"/>
              <w:rPr>
                <w:rFonts w:ascii="Calibri" w:hAnsi="Calibri" w:cs="Calibri"/>
                <w:b/>
                <w:bCs/>
                <w:color w:val="000000"/>
                <w:sz w:val="22"/>
                <w:szCs w:val="22"/>
              </w:rPr>
            </w:pPr>
            <w:r w:rsidRPr="00780295">
              <w:rPr>
                <w:rFonts w:ascii="Calibri" w:hAnsi="Calibri" w:cs="Calibri"/>
                <w:b/>
                <w:bCs/>
                <w:color w:val="000000"/>
                <w:sz w:val="22"/>
                <w:szCs w:val="22"/>
              </w:rPr>
              <w:t>Revenue movement</w:t>
            </w:r>
            <w:r>
              <w:rPr>
                <w:rFonts w:ascii="Calibri" w:hAnsi="Calibri" w:cs="Calibri"/>
                <w:b/>
                <w:bCs/>
                <w:color w:val="000000"/>
                <w:sz w:val="22"/>
                <w:szCs w:val="22"/>
              </w:rPr>
              <w:t xml:space="preserve"> 20/</w:t>
            </w:r>
            <w:r w:rsidR="00B90222">
              <w:rPr>
                <w:rFonts w:ascii="Calibri" w:hAnsi="Calibri" w:cs="Calibri"/>
                <w:b/>
                <w:bCs/>
                <w:color w:val="000000"/>
                <w:sz w:val="22"/>
                <w:szCs w:val="22"/>
              </w:rPr>
              <w:t>21 22</w:t>
            </w:r>
          </w:p>
        </w:tc>
        <w:tc>
          <w:tcPr>
            <w:tcW w:w="2121" w:type="dxa"/>
          </w:tcPr>
          <w:p w14:paraId="2C1FE353" w14:textId="1A6EA5DB" w:rsidR="00C24F10" w:rsidRPr="00780295" w:rsidRDefault="00C24F10" w:rsidP="005E18C0">
            <w:pPr>
              <w:jc w:val="center"/>
              <w:rPr>
                <w:rFonts w:ascii="Calibri" w:hAnsi="Calibri" w:cs="Calibri"/>
                <w:b/>
                <w:bCs/>
                <w:color w:val="000000"/>
                <w:sz w:val="22"/>
                <w:szCs w:val="22"/>
              </w:rPr>
            </w:pPr>
            <w:r>
              <w:rPr>
                <w:rFonts w:ascii="Calibri" w:hAnsi="Calibri" w:cs="Calibri"/>
                <w:b/>
                <w:bCs/>
                <w:color w:val="000000"/>
                <w:sz w:val="22"/>
                <w:szCs w:val="22"/>
              </w:rPr>
              <w:t>Revenue movement 20/21 to 21/22</w:t>
            </w:r>
            <w:r w:rsidRPr="00780295">
              <w:rPr>
                <w:rFonts w:ascii="Calibri" w:hAnsi="Calibri" w:cs="Calibri"/>
                <w:b/>
                <w:bCs/>
                <w:color w:val="000000"/>
                <w:sz w:val="22"/>
                <w:szCs w:val="22"/>
              </w:rPr>
              <w:t xml:space="preserve"> </w:t>
            </w:r>
          </w:p>
        </w:tc>
      </w:tr>
      <w:tr w:rsidR="00C424B1" w:rsidRPr="00780295" w14:paraId="2CF16FA9" w14:textId="77777777" w:rsidTr="00B90222">
        <w:trPr>
          <w:trHeight w:val="290"/>
        </w:trPr>
        <w:tc>
          <w:tcPr>
            <w:tcW w:w="1991" w:type="dxa"/>
            <w:noWrap/>
            <w:hideMark/>
          </w:tcPr>
          <w:p w14:paraId="3E324077" w14:textId="5192FCB0" w:rsidR="00C424B1" w:rsidRPr="00780295" w:rsidRDefault="00C424B1" w:rsidP="005E18C0">
            <w:pPr>
              <w:rPr>
                <w:rFonts w:ascii="Calibri" w:hAnsi="Calibri" w:cs="Calibri"/>
                <w:b/>
                <w:bCs/>
                <w:color w:val="000000"/>
                <w:sz w:val="22"/>
                <w:szCs w:val="22"/>
              </w:rPr>
            </w:pPr>
          </w:p>
        </w:tc>
        <w:tc>
          <w:tcPr>
            <w:tcW w:w="1559" w:type="dxa"/>
          </w:tcPr>
          <w:p w14:paraId="57B14C4B" w14:textId="4F9593C5" w:rsidR="00C424B1" w:rsidRPr="00780295" w:rsidRDefault="00C424B1" w:rsidP="005E18C0">
            <w:pPr>
              <w:jc w:val="center"/>
              <w:rPr>
                <w:rFonts w:ascii="Calibri" w:hAnsi="Calibri" w:cs="Calibri"/>
                <w:color w:val="000000"/>
                <w:sz w:val="22"/>
                <w:szCs w:val="22"/>
              </w:rPr>
            </w:pPr>
            <w:r w:rsidRPr="00780295">
              <w:rPr>
                <w:rFonts w:ascii="Calibri" w:hAnsi="Calibri" w:cs="Calibri"/>
                <w:color w:val="000000"/>
                <w:sz w:val="22"/>
                <w:szCs w:val="22"/>
              </w:rPr>
              <w:t>(£000)</w:t>
            </w:r>
          </w:p>
        </w:tc>
        <w:tc>
          <w:tcPr>
            <w:tcW w:w="1559" w:type="dxa"/>
          </w:tcPr>
          <w:p w14:paraId="5DDF2CFF" w14:textId="3E56B0AB" w:rsidR="00C424B1" w:rsidRPr="00C424B1" w:rsidRDefault="00C424B1" w:rsidP="005E18C0">
            <w:pPr>
              <w:jc w:val="center"/>
              <w:rPr>
                <w:rFonts w:ascii="Calibri" w:hAnsi="Calibri" w:cs="Calibri"/>
                <w:color w:val="000000"/>
                <w:sz w:val="22"/>
                <w:szCs w:val="22"/>
              </w:rPr>
            </w:pPr>
            <w:r>
              <w:rPr>
                <w:rFonts w:ascii="Calibri" w:hAnsi="Calibri" w:cs="Calibri"/>
                <w:color w:val="000000"/>
                <w:sz w:val="22"/>
                <w:szCs w:val="22"/>
              </w:rPr>
              <w:t>(</w:t>
            </w:r>
            <w:r w:rsidRPr="00C424B1">
              <w:rPr>
                <w:rFonts w:ascii="Calibri" w:hAnsi="Calibri" w:cs="Calibri"/>
                <w:color w:val="000000"/>
                <w:sz w:val="22"/>
                <w:szCs w:val="22"/>
              </w:rPr>
              <w:t>£000</w:t>
            </w:r>
            <w:r>
              <w:rPr>
                <w:rFonts w:ascii="Calibri" w:hAnsi="Calibri" w:cs="Calibri"/>
                <w:color w:val="000000"/>
                <w:sz w:val="22"/>
                <w:szCs w:val="22"/>
              </w:rPr>
              <w:t>)</w:t>
            </w:r>
          </w:p>
        </w:tc>
        <w:tc>
          <w:tcPr>
            <w:tcW w:w="2116" w:type="dxa"/>
            <w:noWrap/>
            <w:hideMark/>
          </w:tcPr>
          <w:p w14:paraId="34E91CC0" w14:textId="40756F45" w:rsidR="00C424B1" w:rsidRPr="00780295" w:rsidRDefault="00C424B1" w:rsidP="005E18C0">
            <w:pPr>
              <w:jc w:val="center"/>
              <w:rPr>
                <w:rFonts w:ascii="Calibri" w:hAnsi="Calibri" w:cs="Calibri"/>
                <w:color w:val="000000"/>
                <w:sz w:val="22"/>
                <w:szCs w:val="22"/>
              </w:rPr>
            </w:pPr>
            <w:r w:rsidRPr="00780295">
              <w:rPr>
                <w:rFonts w:ascii="Calibri" w:hAnsi="Calibri" w:cs="Calibri"/>
                <w:color w:val="000000"/>
                <w:sz w:val="22"/>
                <w:szCs w:val="22"/>
              </w:rPr>
              <w:t>(£</w:t>
            </w:r>
            <w:r>
              <w:rPr>
                <w:rFonts w:ascii="Calibri" w:hAnsi="Calibri" w:cs="Calibri"/>
                <w:color w:val="000000"/>
                <w:sz w:val="22"/>
                <w:szCs w:val="22"/>
              </w:rPr>
              <w:t>000</w:t>
            </w:r>
            <w:r w:rsidRPr="00780295">
              <w:rPr>
                <w:rFonts w:ascii="Calibri" w:hAnsi="Calibri" w:cs="Calibri"/>
                <w:color w:val="000000"/>
                <w:sz w:val="22"/>
                <w:szCs w:val="22"/>
              </w:rPr>
              <w:t>)</w:t>
            </w:r>
          </w:p>
        </w:tc>
        <w:tc>
          <w:tcPr>
            <w:tcW w:w="2126" w:type="dxa"/>
            <w:noWrap/>
            <w:hideMark/>
          </w:tcPr>
          <w:p w14:paraId="6E00BA21" w14:textId="77777777" w:rsidR="00C424B1" w:rsidRPr="00780295" w:rsidRDefault="00C424B1" w:rsidP="005E18C0">
            <w:pPr>
              <w:jc w:val="center"/>
              <w:rPr>
                <w:rFonts w:ascii="Calibri" w:hAnsi="Calibri" w:cs="Calibri"/>
                <w:color w:val="000000"/>
                <w:sz w:val="22"/>
                <w:szCs w:val="22"/>
              </w:rPr>
            </w:pPr>
            <w:r w:rsidRPr="00780295">
              <w:rPr>
                <w:rFonts w:ascii="Calibri" w:hAnsi="Calibri" w:cs="Calibri"/>
                <w:color w:val="000000"/>
                <w:sz w:val="22"/>
                <w:szCs w:val="22"/>
              </w:rPr>
              <w:t>(%)</w:t>
            </w:r>
          </w:p>
        </w:tc>
      </w:tr>
      <w:tr w:rsidR="00C424B1" w:rsidRPr="00780295" w14:paraId="1BC3CEEE" w14:textId="77777777" w:rsidTr="00B90222">
        <w:trPr>
          <w:trHeight w:val="290"/>
        </w:trPr>
        <w:tc>
          <w:tcPr>
            <w:tcW w:w="1991" w:type="dxa"/>
            <w:noWrap/>
            <w:hideMark/>
          </w:tcPr>
          <w:p w14:paraId="455580FC" w14:textId="77777777" w:rsidR="00C424B1" w:rsidRPr="00780295" w:rsidRDefault="00C424B1" w:rsidP="00C424B1">
            <w:pPr>
              <w:rPr>
                <w:rFonts w:ascii="Calibri" w:hAnsi="Calibri" w:cs="Calibri"/>
                <w:color w:val="000000"/>
                <w:sz w:val="22"/>
                <w:szCs w:val="22"/>
              </w:rPr>
            </w:pPr>
            <w:r w:rsidRPr="00780295">
              <w:rPr>
                <w:rFonts w:ascii="Calibri" w:hAnsi="Calibri" w:cs="Calibri"/>
                <w:color w:val="000000"/>
                <w:sz w:val="22"/>
                <w:szCs w:val="22"/>
              </w:rPr>
              <w:t>Nursery</w:t>
            </w:r>
          </w:p>
        </w:tc>
        <w:tc>
          <w:tcPr>
            <w:tcW w:w="1559" w:type="dxa"/>
          </w:tcPr>
          <w:p w14:paraId="0B28C915" w14:textId="47643A63" w:rsidR="00C424B1" w:rsidRPr="00780295" w:rsidRDefault="00C424B1" w:rsidP="00C424B1">
            <w:pPr>
              <w:jc w:val="center"/>
              <w:rPr>
                <w:rFonts w:ascii="Calibri" w:hAnsi="Calibri" w:cs="Calibri"/>
                <w:color w:val="000000"/>
                <w:sz w:val="22"/>
                <w:szCs w:val="22"/>
              </w:rPr>
            </w:pPr>
            <w:r>
              <w:rPr>
                <w:rFonts w:ascii="Calibri" w:hAnsi="Calibri" w:cs="Calibri"/>
                <w:color w:val="000000"/>
                <w:sz w:val="22"/>
                <w:szCs w:val="22"/>
              </w:rPr>
              <w:t xml:space="preserve">          676 </w:t>
            </w:r>
          </w:p>
        </w:tc>
        <w:tc>
          <w:tcPr>
            <w:tcW w:w="1559" w:type="dxa"/>
          </w:tcPr>
          <w:p w14:paraId="2EA30BB3" w14:textId="6130DF18" w:rsidR="00C424B1" w:rsidRPr="00780295" w:rsidRDefault="00C424B1" w:rsidP="00C424B1">
            <w:pPr>
              <w:jc w:val="center"/>
              <w:rPr>
                <w:rFonts w:ascii="Calibri" w:hAnsi="Calibri" w:cs="Calibri"/>
                <w:color w:val="000000"/>
                <w:sz w:val="22"/>
                <w:szCs w:val="22"/>
              </w:rPr>
            </w:pPr>
            <w:r>
              <w:rPr>
                <w:rFonts w:ascii="Calibri" w:hAnsi="Calibri" w:cs="Calibri"/>
                <w:color w:val="000000"/>
                <w:sz w:val="22"/>
                <w:szCs w:val="22"/>
              </w:rPr>
              <w:t xml:space="preserve">          422 </w:t>
            </w:r>
          </w:p>
        </w:tc>
        <w:tc>
          <w:tcPr>
            <w:tcW w:w="2116" w:type="dxa"/>
            <w:noWrap/>
            <w:hideMark/>
          </w:tcPr>
          <w:p w14:paraId="7EBCC381" w14:textId="52ACB502" w:rsidR="00C424B1" w:rsidRPr="00780295" w:rsidRDefault="00C424B1" w:rsidP="00C424B1">
            <w:pPr>
              <w:jc w:val="center"/>
              <w:rPr>
                <w:rFonts w:ascii="Calibri" w:hAnsi="Calibri" w:cs="Calibri"/>
                <w:color w:val="000000"/>
                <w:sz w:val="22"/>
                <w:szCs w:val="22"/>
              </w:rPr>
            </w:pPr>
            <w:r>
              <w:rPr>
                <w:rFonts w:ascii="Calibri" w:hAnsi="Calibri" w:cs="Calibri"/>
                <w:color w:val="000000"/>
                <w:sz w:val="22"/>
                <w:szCs w:val="22"/>
              </w:rPr>
              <w:t>- 254</w:t>
            </w:r>
          </w:p>
        </w:tc>
        <w:tc>
          <w:tcPr>
            <w:tcW w:w="2126" w:type="dxa"/>
            <w:noWrap/>
            <w:hideMark/>
          </w:tcPr>
          <w:p w14:paraId="2AA51FDB" w14:textId="314BBDD9" w:rsidR="00C424B1" w:rsidRPr="00780295" w:rsidRDefault="00C424B1" w:rsidP="00C424B1">
            <w:pPr>
              <w:jc w:val="center"/>
              <w:rPr>
                <w:rFonts w:ascii="Calibri" w:hAnsi="Calibri" w:cs="Calibri"/>
                <w:color w:val="000000"/>
                <w:sz w:val="22"/>
                <w:szCs w:val="22"/>
              </w:rPr>
            </w:pPr>
            <w:r>
              <w:rPr>
                <w:rFonts w:ascii="Calibri" w:hAnsi="Calibri" w:cs="Calibri"/>
                <w:color w:val="000000"/>
                <w:sz w:val="22"/>
                <w:szCs w:val="22"/>
              </w:rPr>
              <w:t>-38%</w:t>
            </w:r>
          </w:p>
        </w:tc>
      </w:tr>
      <w:tr w:rsidR="00C424B1" w:rsidRPr="00780295" w14:paraId="7876BF7B" w14:textId="77777777" w:rsidTr="00B90222">
        <w:trPr>
          <w:trHeight w:val="290"/>
        </w:trPr>
        <w:tc>
          <w:tcPr>
            <w:tcW w:w="1991" w:type="dxa"/>
            <w:noWrap/>
            <w:hideMark/>
          </w:tcPr>
          <w:p w14:paraId="41E6470B" w14:textId="77777777" w:rsidR="00C424B1" w:rsidRPr="00780295" w:rsidRDefault="00C424B1" w:rsidP="00C424B1">
            <w:pPr>
              <w:rPr>
                <w:rFonts w:ascii="Calibri" w:hAnsi="Calibri" w:cs="Calibri"/>
                <w:color w:val="000000"/>
                <w:sz w:val="22"/>
                <w:szCs w:val="22"/>
              </w:rPr>
            </w:pPr>
            <w:r w:rsidRPr="00780295">
              <w:rPr>
                <w:rFonts w:ascii="Calibri" w:hAnsi="Calibri" w:cs="Calibri"/>
                <w:color w:val="000000"/>
                <w:sz w:val="22"/>
                <w:szCs w:val="22"/>
              </w:rPr>
              <w:t xml:space="preserve">Primary </w:t>
            </w:r>
          </w:p>
        </w:tc>
        <w:tc>
          <w:tcPr>
            <w:tcW w:w="1559" w:type="dxa"/>
          </w:tcPr>
          <w:p w14:paraId="55AEBE59" w14:textId="54E74D93" w:rsidR="00C424B1" w:rsidRPr="00780295" w:rsidRDefault="00C424B1" w:rsidP="00C424B1">
            <w:pPr>
              <w:jc w:val="center"/>
              <w:rPr>
                <w:rFonts w:ascii="Calibri" w:hAnsi="Calibri" w:cs="Calibri"/>
                <w:color w:val="000000"/>
                <w:sz w:val="22"/>
                <w:szCs w:val="22"/>
              </w:rPr>
            </w:pPr>
            <w:r>
              <w:rPr>
                <w:rFonts w:ascii="Calibri" w:hAnsi="Calibri" w:cs="Calibri"/>
                <w:color w:val="000000"/>
                <w:sz w:val="22"/>
                <w:szCs w:val="22"/>
              </w:rPr>
              <w:t xml:space="preserve">    15,873 </w:t>
            </w:r>
          </w:p>
        </w:tc>
        <w:tc>
          <w:tcPr>
            <w:tcW w:w="1559" w:type="dxa"/>
          </w:tcPr>
          <w:p w14:paraId="6A5E116C" w14:textId="05E3FF75" w:rsidR="00C424B1" w:rsidRPr="00780295" w:rsidRDefault="00C424B1" w:rsidP="00C424B1">
            <w:pPr>
              <w:jc w:val="center"/>
              <w:rPr>
                <w:rFonts w:ascii="Calibri" w:hAnsi="Calibri" w:cs="Calibri"/>
                <w:color w:val="000000"/>
                <w:sz w:val="22"/>
                <w:szCs w:val="22"/>
              </w:rPr>
            </w:pPr>
            <w:r>
              <w:rPr>
                <w:rFonts w:ascii="Calibri" w:hAnsi="Calibri" w:cs="Calibri"/>
                <w:color w:val="000000"/>
                <w:sz w:val="22"/>
                <w:szCs w:val="22"/>
              </w:rPr>
              <w:t xml:space="preserve">    12,955 </w:t>
            </w:r>
          </w:p>
        </w:tc>
        <w:tc>
          <w:tcPr>
            <w:tcW w:w="2116" w:type="dxa"/>
            <w:noWrap/>
            <w:hideMark/>
          </w:tcPr>
          <w:p w14:paraId="489AEF56" w14:textId="13628895" w:rsidR="00C424B1" w:rsidRPr="00780295" w:rsidRDefault="00C424B1" w:rsidP="00C424B1">
            <w:pPr>
              <w:jc w:val="center"/>
              <w:rPr>
                <w:rFonts w:ascii="Calibri" w:hAnsi="Calibri" w:cs="Calibri"/>
                <w:color w:val="000000"/>
                <w:sz w:val="22"/>
                <w:szCs w:val="22"/>
              </w:rPr>
            </w:pPr>
            <w:r>
              <w:rPr>
                <w:rFonts w:ascii="Calibri" w:hAnsi="Calibri" w:cs="Calibri"/>
                <w:color w:val="000000"/>
                <w:sz w:val="22"/>
                <w:szCs w:val="22"/>
              </w:rPr>
              <w:t>- 2,918</w:t>
            </w:r>
          </w:p>
        </w:tc>
        <w:tc>
          <w:tcPr>
            <w:tcW w:w="2126" w:type="dxa"/>
            <w:noWrap/>
            <w:hideMark/>
          </w:tcPr>
          <w:p w14:paraId="7ADC8211" w14:textId="67E453BC" w:rsidR="00C424B1" w:rsidRPr="00780295" w:rsidRDefault="00C424B1" w:rsidP="00C424B1">
            <w:pPr>
              <w:jc w:val="center"/>
              <w:rPr>
                <w:rFonts w:ascii="Calibri" w:hAnsi="Calibri" w:cs="Calibri"/>
                <w:color w:val="000000"/>
                <w:sz w:val="22"/>
                <w:szCs w:val="22"/>
              </w:rPr>
            </w:pPr>
            <w:r>
              <w:rPr>
                <w:rFonts w:ascii="Calibri" w:hAnsi="Calibri" w:cs="Calibri"/>
                <w:color w:val="000000"/>
                <w:sz w:val="22"/>
                <w:szCs w:val="22"/>
              </w:rPr>
              <w:t>-18%</w:t>
            </w:r>
          </w:p>
        </w:tc>
      </w:tr>
      <w:tr w:rsidR="00C424B1" w:rsidRPr="00780295" w14:paraId="6C007A02" w14:textId="77777777" w:rsidTr="00B90222">
        <w:trPr>
          <w:trHeight w:val="290"/>
        </w:trPr>
        <w:tc>
          <w:tcPr>
            <w:tcW w:w="1991" w:type="dxa"/>
            <w:noWrap/>
            <w:hideMark/>
          </w:tcPr>
          <w:p w14:paraId="7E9CD4E1" w14:textId="77777777" w:rsidR="00C424B1" w:rsidRPr="00780295" w:rsidRDefault="00C424B1" w:rsidP="00C424B1">
            <w:pPr>
              <w:rPr>
                <w:rFonts w:ascii="Calibri" w:hAnsi="Calibri" w:cs="Calibri"/>
                <w:color w:val="000000"/>
                <w:sz w:val="22"/>
                <w:szCs w:val="22"/>
              </w:rPr>
            </w:pPr>
            <w:r w:rsidRPr="00780295">
              <w:rPr>
                <w:rFonts w:ascii="Calibri" w:hAnsi="Calibri" w:cs="Calibri"/>
                <w:color w:val="000000"/>
                <w:sz w:val="22"/>
                <w:szCs w:val="22"/>
              </w:rPr>
              <w:t>Secondary</w:t>
            </w:r>
          </w:p>
        </w:tc>
        <w:tc>
          <w:tcPr>
            <w:tcW w:w="1559" w:type="dxa"/>
          </w:tcPr>
          <w:p w14:paraId="7A973027" w14:textId="24B937BA" w:rsidR="00C424B1" w:rsidRPr="00780295" w:rsidRDefault="00C424B1" w:rsidP="00C424B1">
            <w:pPr>
              <w:jc w:val="center"/>
              <w:rPr>
                <w:rFonts w:ascii="Calibri" w:hAnsi="Calibri" w:cs="Calibri"/>
                <w:color w:val="000000"/>
                <w:sz w:val="22"/>
                <w:szCs w:val="22"/>
              </w:rPr>
            </w:pPr>
            <w:r>
              <w:rPr>
                <w:rFonts w:ascii="Calibri" w:hAnsi="Calibri" w:cs="Calibri"/>
                <w:color w:val="000000"/>
                <w:sz w:val="22"/>
                <w:szCs w:val="22"/>
              </w:rPr>
              <w:t xml:space="preserve">    11,067 </w:t>
            </w:r>
          </w:p>
        </w:tc>
        <w:tc>
          <w:tcPr>
            <w:tcW w:w="1559" w:type="dxa"/>
          </w:tcPr>
          <w:p w14:paraId="4D54221F" w14:textId="1EE3C326" w:rsidR="00C424B1" w:rsidRPr="00780295" w:rsidRDefault="00C424B1" w:rsidP="00C424B1">
            <w:pPr>
              <w:jc w:val="center"/>
              <w:rPr>
                <w:rFonts w:ascii="Calibri" w:hAnsi="Calibri" w:cs="Calibri"/>
                <w:color w:val="000000"/>
                <w:sz w:val="22"/>
                <w:szCs w:val="22"/>
              </w:rPr>
            </w:pPr>
            <w:r>
              <w:rPr>
                <w:rFonts w:ascii="Calibri" w:hAnsi="Calibri" w:cs="Calibri"/>
                <w:color w:val="000000"/>
                <w:sz w:val="22"/>
                <w:szCs w:val="22"/>
              </w:rPr>
              <w:t xml:space="preserve">    13,890 </w:t>
            </w:r>
          </w:p>
        </w:tc>
        <w:tc>
          <w:tcPr>
            <w:tcW w:w="2116" w:type="dxa"/>
            <w:noWrap/>
            <w:hideMark/>
          </w:tcPr>
          <w:p w14:paraId="63DE93FC" w14:textId="12C2CE7C" w:rsidR="00C424B1" w:rsidRPr="00780295" w:rsidRDefault="00C424B1" w:rsidP="00C424B1">
            <w:pPr>
              <w:rPr>
                <w:rFonts w:ascii="Calibri" w:hAnsi="Calibri" w:cs="Calibri"/>
                <w:color w:val="000000"/>
                <w:sz w:val="22"/>
                <w:szCs w:val="22"/>
              </w:rPr>
            </w:pPr>
            <w:r>
              <w:rPr>
                <w:rFonts w:ascii="Calibri" w:hAnsi="Calibri" w:cs="Calibri"/>
                <w:color w:val="000000"/>
                <w:sz w:val="22"/>
                <w:szCs w:val="22"/>
              </w:rPr>
              <w:t xml:space="preserve">       2,823 </w:t>
            </w:r>
          </w:p>
        </w:tc>
        <w:tc>
          <w:tcPr>
            <w:tcW w:w="2126" w:type="dxa"/>
            <w:noWrap/>
            <w:hideMark/>
          </w:tcPr>
          <w:p w14:paraId="6CE017DD" w14:textId="58D610BF" w:rsidR="00C424B1" w:rsidRPr="00780295" w:rsidRDefault="00C424B1" w:rsidP="00C424B1">
            <w:pPr>
              <w:jc w:val="center"/>
              <w:rPr>
                <w:rFonts w:ascii="Calibri" w:hAnsi="Calibri" w:cs="Calibri"/>
                <w:color w:val="000000"/>
                <w:sz w:val="22"/>
                <w:szCs w:val="22"/>
              </w:rPr>
            </w:pPr>
            <w:r>
              <w:rPr>
                <w:rFonts w:ascii="Calibri" w:hAnsi="Calibri" w:cs="Calibri"/>
                <w:color w:val="000000"/>
                <w:sz w:val="22"/>
                <w:szCs w:val="22"/>
              </w:rPr>
              <w:t>26%</w:t>
            </w:r>
          </w:p>
        </w:tc>
      </w:tr>
      <w:tr w:rsidR="00C424B1" w:rsidRPr="00780295" w14:paraId="5C0C069F" w14:textId="77777777" w:rsidTr="00B90222">
        <w:trPr>
          <w:trHeight w:val="290"/>
        </w:trPr>
        <w:tc>
          <w:tcPr>
            <w:tcW w:w="1991" w:type="dxa"/>
            <w:noWrap/>
            <w:hideMark/>
          </w:tcPr>
          <w:p w14:paraId="6955A153" w14:textId="77777777" w:rsidR="00C424B1" w:rsidRPr="00780295" w:rsidRDefault="00C424B1" w:rsidP="00C424B1">
            <w:pPr>
              <w:rPr>
                <w:rFonts w:ascii="Calibri" w:hAnsi="Calibri" w:cs="Calibri"/>
                <w:color w:val="000000"/>
                <w:sz w:val="22"/>
                <w:szCs w:val="22"/>
              </w:rPr>
            </w:pPr>
            <w:r w:rsidRPr="00780295">
              <w:rPr>
                <w:rFonts w:ascii="Calibri" w:hAnsi="Calibri" w:cs="Calibri"/>
                <w:color w:val="000000"/>
                <w:sz w:val="22"/>
                <w:szCs w:val="22"/>
              </w:rPr>
              <w:t>Special</w:t>
            </w:r>
          </w:p>
        </w:tc>
        <w:tc>
          <w:tcPr>
            <w:tcW w:w="1559" w:type="dxa"/>
          </w:tcPr>
          <w:p w14:paraId="67434DB7" w14:textId="5EADDD52" w:rsidR="00C424B1" w:rsidRPr="00780295" w:rsidRDefault="00C424B1" w:rsidP="00C424B1">
            <w:pPr>
              <w:jc w:val="center"/>
              <w:rPr>
                <w:rFonts w:ascii="Calibri" w:hAnsi="Calibri" w:cs="Calibri"/>
                <w:color w:val="000000"/>
                <w:sz w:val="22"/>
                <w:szCs w:val="22"/>
              </w:rPr>
            </w:pPr>
            <w:r>
              <w:rPr>
                <w:rFonts w:ascii="Calibri" w:hAnsi="Calibri" w:cs="Calibri"/>
                <w:color w:val="000000"/>
                <w:sz w:val="22"/>
                <w:szCs w:val="22"/>
              </w:rPr>
              <w:t xml:space="preserve">       5,019 </w:t>
            </w:r>
          </w:p>
        </w:tc>
        <w:tc>
          <w:tcPr>
            <w:tcW w:w="1559" w:type="dxa"/>
          </w:tcPr>
          <w:p w14:paraId="7819C508" w14:textId="4879BC3D" w:rsidR="00C424B1" w:rsidRPr="00780295" w:rsidRDefault="00C424B1" w:rsidP="00C424B1">
            <w:pPr>
              <w:jc w:val="center"/>
              <w:rPr>
                <w:rFonts w:ascii="Calibri" w:hAnsi="Calibri" w:cs="Calibri"/>
                <w:color w:val="000000"/>
                <w:sz w:val="22"/>
                <w:szCs w:val="22"/>
              </w:rPr>
            </w:pPr>
            <w:r>
              <w:rPr>
                <w:rFonts w:ascii="Calibri" w:hAnsi="Calibri" w:cs="Calibri"/>
                <w:color w:val="000000"/>
                <w:sz w:val="22"/>
                <w:szCs w:val="22"/>
              </w:rPr>
              <w:t xml:space="preserve">       7,025 </w:t>
            </w:r>
          </w:p>
        </w:tc>
        <w:tc>
          <w:tcPr>
            <w:tcW w:w="2116" w:type="dxa"/>
            <w:noWrap/>
            <w:hideMark/>
          </w:tcPr>
          <w:p w14:paraId="498413B7" w14:textId="44211103" w:rsidR="00C424B1" w:rsidRPr="00780295" w:rsidRDefault="00C424B1" w:rsidP="00C424B1">
            <w:pPr>
              <w:rPr>
                <w:rFonts w:ascii="Calibri" w:hAnsi="Calibri" w:cs="Calibri"/>
                <w:color w:val="000000"/>
                <w:sz w:val="22"/>
                <w:szCs w:val="22"/>
              </w:rPr>
            </w:pPr>
            <w:r>
              <w:rPr>
                <w:rFonts w:ascii="Calibri" w:hAnsi="Calibri" w:cs="Calibri"/>
                <w:color w:val="000000"/>
                <w:sz w:val="22"/>
                <w:szCs w:val="22"/>
              </w:rPr>
              <w:t xml:space="preserve">       2,007 </w:t>
            </w:r>
          </w:p>
        </w:tc>
        <w:tc>
          <w:tcPr>
            <w:tcW w:w="2126" w:type="dxa"/>
            <w:noWrap/>
            <w:hideMark/>
          </w:tcPr>
          <w:p w14:paraId="6AF53556" w14:textId="7FF5AF67" w:rsidR="00C424B1" w:rsidRPr="00780295" w:rsidRDefault="00C424B1" w:rsidP="00C424B1">
            <w:pPr>
              <w:jc w:val="center"/>
              <w:rPr>
                <w:rFonts w:ascii="Calibri" w:hAnsi="Calibri" w:cs="Calibri"/>
                <w:color w:val="000000"/>
                <w:sz w:val="22"/>
                <w:szCs w:val="22"/>
              </w:rPr>
            </w:pPr>
            <w:r>
              <w:rPr>
                <w:rFonts w:ascii="Calibri" w:hAnsi="Calibri" w:cs="Calibri"/>
                <w:color w:val="000000"/>
                <w:sz w:val="22"/>
                <w:szCs w:val="22"/>
              </w:rPr>
              <w:t>40%</w:t>
            </w:r>
          </w:p>
        </w:tc>
      </w:tr>
      <w:tr w:rsidR="00C424B1" w:rsidRPr="005C25DB" w14:paraId="74B24981" w14:textId="77777777" w:rsidTr="00B90222">
        <w:trPr>
          <w:trHeight w:val="290"/>
        </w:trPr>
        <w:tc>
          <w:tcPr>
            <w:tcW w:w="1991" w:type="dxa"/>
            <w:noWrap/>
            <w:hideMark/>
          </w:tcPr>
          <w:p w14:paraId="5466EEA2" w14:textId="77777777" w:rsidR="00C424B1" w:rsidRPr="00780295" w:rsidRDefault="00C424B1" w:rsidP="00C424B1">
            <w:pPr>
              <w:rPr>
                <w:rFonts w:ascii="Calibri" w:hAnsi="Calibri" w:cs="Calibri"/>
                <w:color w:val="000000"/>
                <w:sz w:val="22"/>
                <w:szCs w:val="22"/>
              </w:rPr>
            </w:pPr>
            <w:r w:rsidRPr="00780295">
              <w:rPr>
                <w:rFonts w:ascii="Calibri" w:hAnsi="Calibri" w:cs="Calibri"/>
                <w:color w:val="000000"/>
                <w:sz w:val="22"/>
                <w:szCs w:val="22"/>
              </w:rPr>
              <w:t> </w:t>
            </w:r>
          </w:p>
        </w:tc>
        <w:tc>
          <w:tcPr>
            <w:tcW w:w="1559" w:type="dxa"/>
          </w:tcPr>
          <w:p w14:paraId="35D117B5" w14:textId="6CD7FED3" w:rsidR="00C424B1" w:rsidRPr="00C424B1" w:rsidRDefault="00C424B1" w:rsidP="00C424B1">
            <w:pPr>
              <w:jc w:val="center"/>
              <w:rPr>
                <w:rFonts w:ascii="Calibri" w:hAnsi="Calibri" w:cs="Calibri"/>
                <w:b/>
                <w:bCs/>
                <w:color w:val="000000"/>
                <w:sz w:val="22"/>
                <w:szCs w:val="22"/>
              </w:rPr>
            </w:pPr>
            <w:r>
              <w:rPr>
                <w:rFonts w:ascii="Calibri" w:hAnsi="Calibri" w:cs="Calibri"/>
                <w:b/>
                <w:bCs/>
                <w:color w:val="000000"/>
                <w:sz w:val="22"/>
                <w:szCs w:val="22"/>
              </w:rPr>
              <w:t xml:space="preserve">    </w:t>
            </w:r>
            <w:r w:rsidRPr="00C424B1">
              <w:rPr>
                <w:rFonts w:ascii="Calibri" w:hAnsi="Calibri" w:cs="Calibri"/>
                <w:b/>
                <w:bCs/>
                <w:color w:val="000000"/>
                <w:sz w:val="22"/>
                <w:szCs w:val="22"/>
              </w:rPr>
              <w:t>32,634</w:t>
            </w:r>
          </w:p>
        </w:tc>
        <w:tc>
          <w:tcPr>
            <w:tcW w:w="1559" w:type="dxa"/>
          </w:tcPr>
          <w:p w14:paraId="0AB4DD40" w14:textId="3DA2E1AF" w:rsidR="00C424B1" w:rsidRPr="00C424B1" w:rsidRDefault="00C424B1" w:rsidP="00C424B1">
            <w:pPr>
              <w:jc w:val="center"/>
              <w:rPr>
                <w:rFonts w:ascii="Calibri" w:hAnsi="Calibri" w:cs="Calibri"/>
                <w:b/>
                <w:bCs/>
                <w:color w:val="000000"/>
                <w:sz w:val="22"/>
                <w:szCs w:val="22"/>
              </w:rPr>
            </w:pPr>
            <w:r>
              <w:rPr>
                <w:rFonts w:ascii="Calibri" w:hAnsi="Calibri" w:cs="Calibri"/>
                <w:b/>
                <w:bCs/>
                <w:color w:val="000000"/>
                <w:sz w:val="22"/>
                <w:szCs w:val="22"/>
              </w:rPr>
              <w:t xml:space="preserve">    </w:t>
            </w:r>
            <w:r w:rsidRPr="00C424B1">
              <w:rPr>
                <w:rFonts w:ascii="Calibri" w:hAnsi="Calibri" w:cs="Calibri"/>
                <w:b/>
                <w:bCs/>
                <w:color w:val="000000"/>
                <w:sz w:val="22"/>
                <w:szCs w:val="22"/>
              </w:rPr>
              <w:t>34,292</w:t>
            </w:r>
          </w:p>
        </w:tc>
        <w:tc>
          <w:tcPr>
            <w:tcW w:w="2116" w:type="dxa"/>
            <w:noWrap/>
            <w:hideMark/>
          </w:tcPr>
          <w:p w14:paraId="3BFCBCD0" w14:textId="746DD450" w:rsidR="00C424B1" w:rsidRPr="00C424B1" w:rsidRDefault="00C424B1" w:rsidP="00C424B1">
            <w:pPr>
              <w:jc w:val="center"/>
              <w:rPr>
                <w:rFonts w:ascii="Calibri" w:hAnsi="Calibri" w:cs="Calibri"/>
                <w:b/>
                <w:bCs/>
                <w:color w:val="000000"/>
                <w:sz w:val="22"/>
                <w:szCs w:val="22"/>
              </w:rPr>
            </w:pPr>
            <w:r w:rsidRPr="00C424B1">
              <w:rPr>
                <w:rFonts w:ascii="Calibri" w:hAnsi="Calibri" w:cs="Calibri"/>
                <w:b/>
                <w:bCs/>
                <w:color w:val="000000"/>
                <w:sz w:val="22"/>
                <w:szCs w:val="22"/>
              </w:rPr>
              <w:t>1,658</w:t>
            </w:r>
          </w:p>
        </w:tc>
        <w:tc>
          <w:tcPr>
            <w:tcW w:w="2126" w:type="dxa"/>
            <w:noWrap/>
            <w:hideMark/>
          </w:tcPr>
          <w:p w14:paraId="69E44184" w14:textId="584B05F9" w:rsidR="00C424B1" w:rsidRPr="00C424B1" w:rsidRDefault="00C424B1" w:rsidP="00C424B1">
            <w:pPr>
              <w:jc w:val="center"/>
              <w:rPr>
                <w:rFonts w:ascii="Calibri" w:hAnsi="Calibri" w:cs="Calibri"/>
                <w:b/>
                <w:bCs/>
                <w:color w:val="000000"/>
                <w:sz w:val="22"/>
                <w:szCs w:val="22"/>
              </w:rPr>
            </w:pPr>
            <w:r w:rsidRPr="00C424B1">
              <w:rPr>
                <w:rFonts w:ascii="Calibri" w:hAnsi="Calibri" w:cs="Calibri"/>
                <w:b/>
                <w:bCs/>
                <w:color w:val="000000"/>
                <w:sz w:val="22"/>
                <w:szCs w:val="22"/>
              </w:rPr>
              <w:t>5%</w:t>
            </w:r>
          </w:p>
        </w:tc>
      </w:tr>
    </w:tbl>
    <w:p w14:paraId="617C4D77" w14:textId="77777777" w:rsidR="004F1DD2" w:rsidRPr="005C25DB" w:rsidRDefault="004F1DD2" w:rsidP="0088574F">
      <w:pPr>
        <w:spacing w:after="120"/>
        <w:ind w:left="720" w:hanging="720"/>
        <w:jc w:val="center"/>
        <w:rPr>
          <w:b/>
          <w:noProof/>
          <w:sz w:val="20"/>
          <w:szCs w:val="20"/>
          <w:highlight w:val="yellow"/>
        </w:rPr>
      </w:pPr>
    </w:p>
    <w:p w14:paraId="7E58D3D9" w14:textId="17F551BD" w:rsidR="00D37F1B" w:rsidRPr="00A364CB" w:rsidRDefault="00503A62" w:rsidP="00423D02">
      <w:pPr>
        <w:spacing w:after="120"/>
        <w:ind w:left="720" w:hanging="720"/>
        <w:jc w:val="both"/>
        <w:rPr>
          <w:rFonts w:cs="Arial"/>
          <w:b/>
          <w:iCs/>
        </w:rPr>
      </w:pPr>
      <w:r w:rsidRPr="00A44E50">
        <w:rPr>
          <w:rFonts w:cs="Arial"/>
          <w:b/>
          <w:iCs/>
        </w:rPr>
        <w:tab/>
      </w:r>
      <w:r w:rsidR="008A222B" w:rsidRPr="00A364CB">
        <w:rPr>
          <w:rFonts w:cs="Arial"/>
          <w:b/>
          <w:iCs/>
        </w:rPr>
        <w:t>School</w:t>
      </w:r>
      <w:r w:rsidR="000965A3" w:rsidRPr="00A364CB">
        <w:rPr>
          <w:rFonts w:cs="Arial"/>
          <w:b/>
          <w:iCs/>
        </w:rPr>
        <w:t xml:space="preserve"> </w:t>
      </w:r>
      <w:r w:rsidR="00062F2A" w:rsidRPr="00A364CB">
        <w:rPr>
          <w:rFonts w:cs="Arial"/>
          <w:b/>
          <w:iCs/>
        </w:rPr>
        <w:t xml:space="preserve">Revenue </w:t>
      </w:r>
      <w:r w:rsidR="000965A3" w:rsidRPr="00A364CB">
        <w:rPr>
          <w:rFonts w:cs="Arial"/>
          <w:b/>
          <w:iCs/>
        </w:rPr>
        <w:t>Deficits</w:t>
      </w:r>
    </w:p>
    <w:p w14:paraId="30C427D7" w14:textId="43C7DB4A" w:rsidR="00D07CF7" w:rsidRDefault="00D37F1B" w:rsidP="00400AA7">
      <w:pPr>
        <w:pStyle w:val="ListParagraph"/>
        <w:numPr>
          <w:ilvl w:val="1"/>
          <w:numId w:val="29"/>
        </w:numPr>
        <w:spacing w:after="120"/>
        <w:ind w:left="709"/>
        <w:jc w:val="both"/>
        <w:rPr>
          <w:rFonts w:cs="Arial"/>
          <w:iCs/>
        </w:rPr>
      </w:pPr>
      <w:r w:rsidRPr="00A44E50">
        <w:rPr>
          <w:rFonts w:cs="Arial"/>
          <w:iCs/>
        </w:rPr>
        <w:tab/>
      </w:r>
      <w:r w:rsidR="00062F2A" w:rsidRPr="00A44E50">
        <w:rPr>
          <w:rFonts w:cs="Arial"/>
          <w:iCs/>
        </w:rPr>
        <w:t>The</w:t>
      </w:r>
      <w:r w:rsidR="00780295" w:rsidRPr="00A44E50">
        <w:rPr>
          <w:rFonts w:cs="Arial"/>
          <w:iCs/>
        </w:rPr>
        <w:t xml:space="preserve"> number of deficit schools has increased from </w:t>
      </w:r>
      <w:r w:rsidR="00A44E50" w:rsidRPr="00A44E50">
        <w:rPr>
          <w:rFonts w:cs="Arial"/>
          <w:b/>
          <w:bCs/>
          <w:i/>
        </w:rPr>
        <w:t xml:space="preserve">seven </w:t>
      </w:r>
      <w:r w:rsidR="00062F2A" w:rsidRPr="00A44E50">
        <w:rPr>
          <w:rFonts w:cs="Arial"/>
          <w:iCs/>
        </w:rPr>
        <w:t>at the end of 2020-21</w:t>
      </w:r>
      <w:r w:rsidR="00780295" w:rsidRPr="00A44E50">
        <w:rPr>
          <w:rFonts w:cs="Arial"/>
          <w:iCs/>
        </w:rPr>
        <w:t xml:space="preserve"> to </w:t>
      </w:r>
      <w:r w:rsidR="00780295" w:rsidRPr="00A44E50">
        <w:rPr>
          <w:rFonts w:cs="Arial"/>
          <w:b/>
          <w:bCs/>
          <w:i/>
        </w:rPr>
        <w:t>ten</w:t>
      </w:r>
      <w:r w:rsidR="00780295" w:rsidRPr="00A44E50">
        <w:rPr>
          <w:rFonts w:cs="Arial"/>
          <w:iCs/>
        </w:rPr>
        <w:t xml:space="preserve"> at the end of 2021-22</w:t>
      </w:r>
      <w:r w:rsidR="00062F2A" w:rsidRPr="00A44E50">
        <w:rPr>
          <w:rFonts w:cs="Arial"/>
          <w:iCs/>
        </w:rPr>
        <w:t xml:space="preserve">.  </w:t>
      </w:r>
      <w:r w:rsidR="00780295" w:rsidRPr="00A44E50">
        <w:rPr>
          <w:rFonts w:cs="Arial"/>
          <w:iCs/>
        </w:rPr>
        <w:t>T</w:t>
      </w:r>
      <w:r w:rsidR="00062F2A" w:rsidRPr="00A44E50">
        <w:rPr>
          <w:rFonts w:cs="Arial"/>
          <w:iCs/>
        </w:rPr>
        <w:t xml:space="preserve">he total value of deficit schools </w:t>
      </w:r>
      <w:r w:rsidR="00780295" w:rsidRPr="00A44E50">
        <w:rPr>
          <w:rFonts w:cs="Arial"/>
          <w:iCs/>
        </w:rPr>
        <w:t xml:space="preserve">at the end of </w:t>
      </w:r>
      <w:r w:rsidR="00780295" w:rsidRPr="00A44E50">
        <w:rPr>
          <w:rFonts w:cs="Arial"/>
          <w:iCs/>
        </w:rPr>
        <w:lastRenderedPageBreak/>
        <w:t xml:space="preserve">2021-22 </w:t>
      </w:r>
      <w:r w:rsidR="00A44E50" w:rsidRPr="00A44E50">
        <w:rPr>
          <w:rFonts w:cs="Arial"/>
          <w:iCs/>
        </w:rPr>
        <w:t>ha</w:t>
      </w:r>
      <w:r w:rsidR="00780295" w:rsidRPr="00A44E50">
        <w:rPr>
          <w:rFonts w:cs="Arial"/>
          <w:iCs/>
        </w:rPr>
        <w:t xml:space="preserve">s </w:t>
      </w:r>
      <w:r w:rsidR="00A44E50" w:rsidRPr="00A44E50">
        <w:rPr>
          <w:rFonts w:cs="Arial"/>
          <w:iCs/>
        </w:rPr>
        <w:t xml:space="preserve">increased from -£1,05m to </w:t>
      </w:r>
      <w:r w:rsidR="00062F2A" w:rsidRPr="00A44E50">
        <w:rPr>
          <w:rFonts w:cs="Arial"/>
          <w:iCs/>
        </w:rPr>
        <w:t>-£</w:t>
      </w:r>
      <w:r w:rsidR="00780295" w:rsidRPr="00A44E50">
        <w:rPr>
          <w:rFonts w:cs="Arial"/>
          <w:iCs/>
        </w:rPr>
        <w:t>1</w:t>
      </w:r>
      <w:r w:rsidR="00062F2A" w:rsidRPr="00A44E50">
        <w:rPr>
          <w:rFonts w:cs="Arial"/>
          <w:iCs/>
        </w:rPr>
        <w:t>.</w:t>
      </w:r>
      <w:r w:rsidR="00780295" w:rsidRPr="00A44E50">
        <w:rPr>
          <w:rFonts w:cs="Arial"/>
          <w:iCs/>
        </w:rPr>
        <w:t>48</w:t>
      </w:r>
      <w:r w:rsidR="00062F2A" w:rsidRPr="00A44E50">
        <w:rPr>
          <w:rFonts w:cs="Arial"/>
          <w:iCs/>
        </w:rPr>
        <w:t>m.</w:t>
      </w:r>
      <w:r w:rsidR="00A416E0" w:rsidRPr="00A44E50">
        <w:rPr>
          <w:rFonts w:cs="Arial"/>
          <w:iCs/>
        </w:rPr>
        <w:t xml:space="preserve">  One school came out of a deficit position,</w:t>
      </w:r>
      <w:r w:rsidR="00A44E50" w:rsidRPr="00A44E50">
        <w:rPr>
          <w:rFonts w:cs="Arial"/>
          <w:iCs/>
        </w:rPr>
        <w:t xml:space="preserve"> two reduced the deficit position from last year and 4</w:t>
      </w:r>
      <w:r w:rsidR="00A416E0" w:rsidRPr="00A44E50">
        <w:rPr>
          <w:rFonts w:cs="Arial"/>
          <w:iCs/>
        </w:rPr>
        <w:t xml:space="preserve"> more </w:t>
      </w:r>
      <w:proofErr w:type="gramStart"/>
      <w:r w:rsidR="00A416E0" w:rsidRPr="00A44E50">
        <w:rPr>
          <w:rFonts w:cs="Arial"/>
          <w:iCs/>
        </w:rPr>
        <w:t>entered into</w:t>
      </w:r>
      <w:proofErr w:type="gramEnd"/>
      <w:r w:rsidR="00A416E0" w:rsidRPr="00A44E50">
        <w:rPr>
          <w:rFonts w:cs="Arial"/>
          <w:iCs/>
        </w:rPr>
        <w:t xml:space="preserve"> a deficit</w:t>
      </w:r>
      <w:r w:rsidR="00A44E50">
        <w:rPr>
          <w:rFonts w:cs="Arial"/>
          <w:iCs/>
        </w:rPr>
        <w:t>.</w:t>
      </w:r>
      <w:r w:rsidR="00A62890">
        <w:rPr>
          <w:rFonts w:cs="Arial"/>
          <w:iCs/>
        </w:rPr>
        <w:t xml:space="preserve"> </w:t>
      </w:r>
    </w:p>
    <w:p w14:paraId="7421F859" w14:textId="77777777" w:rsidR="00400AA7" w:rsidRPr="00A44E50" w:rsidRDefault="00400AA7" w:rsidP="00400AA7">
      <w:pPr>
        <w:pStyle w:val="ListParagraph"/>
        <w:spacing w:after="120"/>
        <w:ind w:left="709"/>
        <w:jc w:val="both"/>
        <w:rPr>
          <w:rFonts w:cs="Arial"/>
          <w:iCs/>
        </w:rPr>
      </w:pPr>
    </w:p>
    <w:p w14:paraId="5A1D600B" w14:textId="64B46B24" w:rsidR="00A364CB" w:rsidRPr="00A364CB" w:rsidRDefault="006743FF" w:rsidP="00400AA7">
      <w:pPr>
        <w:pStyle w:val="ListParagraph"/>
        <w:numPr>
          <w:ilvl w:val="1"/>
          <w:numId w:val="29"/>
        </w:numPr>
        <w:spacing w:after="120"/>
        <w:ind w:left="709"/>
        <w:jc w:val="both"/>
        <w:rPr>
          <w:rFonts w:cs="Arial"/>
          <w:b/>
          <w:bCs/>
          <w:i/>
        </w:rPr>
      </w:pPr>
      <w:r w:rsidRPr="00A44E50">
        <w:rPr>
          <w:rFonts w:cs="Arial"/>
          <w:iCs/>
        </w:rPr>
        <w:tab/>
      </w:r>
      <w:r w:rsidR="00A364CB">
        <w:rPr>
          <w:rFonts w:cs="Arial"/>
          <w:iCs/>
        </w:rPr>
        <w:t>Despite the overall increase in revenue surplus balances, it is worth noting that the nursery and primary cumulative surplu</w:t>
      </w:r>
      <w:r w:rsidR="00023900">
        <w:rPr>
          <w:rFonts w:cs="Arial"/>
          <w:iCs/>
        </w:rPr>
        <w:t>ses</w:t>
      </w:r>
      <w:r w:rsidR="00A364CB">
        <w:rPr>
          <w:rFonts w:cs="Arial"/>
          <w:iCs/>
        </w:rPr>
        <w:t xml:space="preserve"> have reduced, whilst the secondary and special </w:t>
      </w:r>
      <w:r w:rsidR="00F71DB1">
        <w:rPr>
          <w:rFonts w:cs="Arial"/>
          <w:iCs/>
        </w:rPr>
        <w:t>schools’</w:t>
      </w:r>
      <w:r w:rsidR="00A364CB">
        <w:rPr>
          <w:rFonts w:cs="Arial"/>
          <w:iCs/>
        </w:rPr>
        <w:t xml:space="preserve"> cumulative surplu</w:t>
      </w:r>
      <w:r w:rsidR="00023900">
        <w:rPr>
          <w:rFonts w:cs="Arial"/>
          <w:iCs/>
        </w:rPr>
        <w:t>se</w:t>
      </w:r>
      <w:r w:rsidR="00A364CB">
        <w:rPr>
          <w:rFonts w:cs="Arial"/>
          <w:iCs/>
        </w:rPr>
        <w:t xml:space="preserve">s </w:t>
      </w:r>
      <w:r w:rsidR="00023900">
        <w:rPr>
          <w:rFonts w:cs="Arial"/>
          <w:iCs/>
        </w:rPr>
        <w:t xml:space="preserve">have </w:t>
      </w:r>
      <w:r w:rsidR="00A364CB">
        <w:rPr>
          <w:rFonts w:cs="Arial"/>
          <w:iCs/>
        </w:rPr>
        <w:t>increased.</w:t>
      </w:r>
    </w:p>
    <w:p w14:paraId="33FA5BB7" w14:textId="77777777" w:rsidR="00A364CB" w:rsidRPr="00A364CB" w:rsidRDefault="00A364CB" w:rsidP="00A364CB">
      <w:pPr>
        <w:pStyle w:val="ListParagraph"/>
        <w:rPr>
          <w:rFonts w:cs="Arial"/>
          <w:iCs/>
        </w:rPr>
      </w:pPr>
    </w:p>
    <w:p w14:paraId="104EBE96" w14:textId="5938262D" w:rsidR="006743FF" w:rsidRPr="00400AA7" w:rsidRDefault="00A44E50" w:rsidP="00400AA7">
      <w:pPr>
        <w:pStyle w:val="ListParagraph"/>
        <w:numPr>
          <w:ilvl w:val="1"/>
          <w:numId w:val="29"/>
        </w:numPr>
        <w:spacing w:after="120"/>
        <w:ind w:left="709"/>
        <w:jc w:val="both"/>
        <w:rPr>
          <w:rFonts w:cs="Arial"/>
          <w:b/>
          <w:bCs/>
          <w:i/>
        </w:rPr>
      </w:pPr>
      <w:r w:rsidRPr="00A44E50">
        <w:rPr>
          <w:rFonts w:cs="Arial"/>
          <w:iCs/>
        </w:rPr>
        <w:t xml:space="preserve">Three schools </w:t>
      </w:r>
      <w:r w:rsidR="006743FF" w:rsidRPr="00A44E50">
        <w:rPr>
          <w:rFonts w:cs="Arial"/>
          <w:iCs/>
        </w:rPr>
        <w:t>under</w:t>
      </w:r>
      <w:r w:rsidRPr="00A44E50">
        <w:rPr>
          <w:rFonts w:cs="Arial"/>
          <w:iCs/>
        </w:rPr>
        <w:t>went</w:t>
      </w:r>
      <w:r w:rsidR="006743FF" w:rsidRPr="00A44E50">
        <w:rPr>
          <w:rFonts w:cs="Arial"/>
          <w:iCs/>
        </w:rPr>
        <w:t xml:space="preserve"> planned closures</w:t>
      </w:r>
      <w:r w:rsidRPr="00A44E50">
        <w:rPr>
          <w:rFonts w:cs="Arial"/>
          <w:iCs/>
        </w:rPr>
        <w:t xml:space="preserve"> in 2021-22, all had deficits at the end of the year, although one had reduced this to a break-even position at year end.  Four other schools have amalgamated at the end of the year, one of which had a deficit, </w:t>
      </w:r>
      <w:r w:rsidR="00A416E0" w:rsidRPr="00A44E50">
        <w:rPr>
          <w:rFonts w:cs="Arial"/>
          <w:iCs/>
        </w:rPr>
        <w:t xml:space="preserve">another is seeking a partner in a bid to become sustainable for the future. </w:t>
      </w:r>
    </w:p>
    <w:p w14:paraId="1932A6CD" w14:textId="77777777" w:rsidR="00400AA7" w:rsidRPr="00A62890" w:rsidRDefault="00400AA7" w:rsidP="00400AA7">
      <w:pPr>
        <w:pStyle w:val="ListParagraph"/>
        <w:rPr>
          <w:rFonts w:cs="Arial"/>
          <w:iCs/>
        </w:rPr>
      </w:pPr>
    </w:p>
    <w:p w14:paraId="3D2D9825" w14:textId="77777777" w:rsidR="00400AA7" w:rsidRPr="00400AA7" w:rsidRDefault="00400AA7" w:rsidP="00400AA7">
      <w:pPr>
        <w:pStyle w:val="ListParagraph"/>
        <w:spacing w:after="120"/>
        <w:ind w:left="709"/>
        <w:jc w:val="both"/>
        <w:rPr>
          <w:rFonts w:cs="Arial"/>
          <w:b/>
          <w:bCs/>
          <w:i/>
        </w:rPr>
      </w:pPr>
    </w:p>
    <w:p w14:paraId="40AF5273" w14:textId="48019346" w:rsidR="00400AA7" w:rsidRPr="00A62890" w:rsidRDefault="00400AA7" w:rsidP="00EC6C84">
      <w:pPr>
        <w:pStyle w:val="Heading2"/>
        <w:numPr>
          <w:ilvl w:val="0"/>
          <w:numId w:val="29"/>
        </w:numPr>
      </w:pPr>
      <w:r w:rsidRPr="00A62890">
        <w:t>School Capital position</w:t>
      </w:r>
    </w:p>
    <w:p w14:paraId="595F8648" w14:textId="77777777" w:rsidR="00400AA7" w:rsidRPr="00400AA7" w:rsidRDefault="00400AA7" w:rsidP="00400AA7">
      <w:pPr>
        <w:pStyle w:val="ListParagraph"/>
        <w:spacing w:after="120"/>
        <w:ind w:left="709"/>
        <w:jc w:val="both"/>
        <w:rPr>
          <w:rFonts w:cs="Arial"/>
          <w:b/>
          <w:bCs/>
          <w:i/>
        </w:rPr>
      </w:pPr>
    </w:p>
    <w:p w14:paraId="1310EFC4" w14:textId="77777777" w:rsidR="00A364CB" w:rsidRDefault="00400AA7" w:rsidP="00400AA7">
      <w:pPr>
        <w:pStyle w:val="ListParagraph"/>
        <w:numPr>
          <w:ilvl w:val="1"/>
          <w:numId w:val="29"/>
        </w:numPr>
        <w:spacing w:after="120"/>
        <w:ind w:left="709"/>
        <w:jc w:val="both"/>
        <w:rPr>
          <w:rFonts w:cs="Arial"/>
          <w:iCs/>
        </w:rPr>
      </w:pPr>
      <w:r>
        <w:rPr>
          <w:rFonts w:cs="Arial"/>
          <w:iCs/>
        </w:rPr>
        <w:t xml:space="preserve">The </w:t>
      </w:r>
      <w:r w:rsidR="00E21EB8">
        <w:rPr>
          <w:rFonts w:cs="Arial"/>
          <w:iCs/>
        </w:rPr>
        <w:t xml:space="preserve">capital balances reduced by £1,053,740 </w:t>
      </w:r>
      <w:r w:rsidR="002C7043">
        <w:rPr>
          <w:rFonts w:cs="Arial"/>
          <w:iCs/>
        </w:rPr>
        <w:t xml:space="preserve">(33%) </w:t>
      </w:r>
      <w:r w:rsidR="00E21EB8">
        <w:rPr>
          <w:rFonts w:cs="Arial"/>
          <w:iCs/>
        </w:rPr>
        <w:t xml:space="preserve">from the </w:t>
      </w:r>
      <w:r w:rsidR="002C7043">
        <w:rPr>
          <w:rFonts w:cs="Arial"/>
          <w:iCs/>
        </w:rPr>
        <w:t xml:space="preserve">equivalent </w:t>
      </w:r>
      <w:r w:rsidR="00E21EB8">
        <w:rPr>
          <w:rFonts w:cs="Arial"/>
          <w:iCs/>
        </w:rPr>
        <w:t>c</w:t>
      </w:r>
      <w:r w:rsidR="002C7043">
        <w:rPr>
          <w:rFonts w:cs="Arial"/>
          <w:iCs/>
        </w:rPr>
        <w:t>lo</w:t>
      </w:r>
      <w:r w:rsidR="00E21EB8">
        <w:rPr>
          <w:rFonts w:cs="Arial"/>
          <w:iCs/>
        </w:rPr>
        <w:t>s</w:t>
      </w:r>
      <w:r w:rsidR="002C7043">
        <w:rPr>
          <w:rFonts w:cs="Arial"/>
          <w:iCs/>
        </w:rPr>
        <w:t>i</w:t>
      </w:r>
      <w:r w:rsidR="00E21EB8">
        <w:rPr>
          <w:rFonts w:cs="Arial"/>
          <w:iCs/>
        </w:rPr>
        <w:t>ng position in 2020-21</w:t>
      </w:r>
      <w:r w:rsidR="002C7043">
        <w:rPr>
          <w:rFonts w:cs="Arial"/>
          <w:iCs/>
        </w:rPr>
        <w:t xml:space="preserve">.  Not all schools manage capital funding locally, the capital funding for voluntary schools will </w:t>
      </w:r>
      <w:r w:rsidR="00A364CB">
        <w:rPr>
          <w:rFonts w:cs="Arial"/>
          <w:iCs/>
        </w:rPr>
        <w:t>generally</w:t>
      </w:r>
      <w:r w:rsidR="002C7043">
        <w:rPr>
          <w:rFonts w:cs="Arial"/>
          <w:iCs/>
        </w:rPr>
        <w:t xml:space="preserve"> be held by the diocese.</w:t>
      </w:r>
    </w:p>
    <w:p w14:paraId="7AF156A0" w14:textId="0EF61F06" w:rsidR="00400AA7" w:rsidRDefault="002C7043" w:rsidP="00A364CB">
      <w:pPr>
        <w:pStyle w:val="ListParagraph"/>
        <w:spacing w:after="120"/>
        <w:ind w:left="709"/>
        <w:jc w:val="both"/>
        <w:rPr>
          <w:rFonts w:cs="Arial"/>
          <w:iCs/>
        </w:rPr>
      </w:pPr>
      <w:r>
        <w:rPr>
          <w:rFonts w:cs="Arial"/>
          <w:iCs/>
        </w:rPr>
        <w:t xml:space="preserve">  </w:t>
      </w:r>
    </w:p>
    <w:p w14:paraId="5E4B0AC4" w14:textId="732C3B9E" w:rsidR="00E21EB8" w:rsidRPr="00E21EB8" w:rsidRDefault="00E21EB8" w:rsidP="00E21EB8">
      <w:pPr>
        <w:spacing w:after="120"/>
        <w:ind w:left="567"/>
        <w:rPr>
          <w:rFonts w:cs="Arial"/>
          <w:b/>
          <w:iCs/>
          <w:sz w:val="20"/>
          <w:szCs w:val="20"/>
        </w:rPr>
      </w:pPr>
      <w:r w:rsidRPr="00E21EB8">
        <w:rPr>
          <w:rFonts w:cs="Arial"/>
          <w:b/>
          <w:iCs/>
          <w:sz w:val="20"/>
          <w:szCs w:val="20"/>
        </w:rPr>
        <w:t xml:space="preserve">Table1. Provisional </w:t>
      </w:r>
      <w:r>
        <w:rPr>
          <w:rFonts w:cs="Arial"/>
          <w:b/>
          <w:iCs/>
          <w:sz w:val="20"/>
          <w:szCs w:val="20"/>
        </w:rPr>
        <w:t>Capital</w:t>
      </w:r>
      <w:r w:rsidRPr="00E21EB8">
        <w:rPr>
          <w:rFonts w:cs="Arial"/>
          <w:b/>
          <w:iCs/>
          <w:sz w:val="20"/>
          <w:szCs w:val="20"/>
        </w:rPr>
        <w:t xml:space="preserve"> Balances carried forward by sector: 2020-21 to 2021-22.</w:t>
      </w:r>
    </w:p>
    <w:tbl>
      <w:tblPr>
        <w:tblW w:w="7944" w:type="dxa"/>
        <w:tblInd w:w="704" w:type="dxa"/>
        <w:tblLook w:val="04A0" w:firstRow="1" w:lastRow="0" w:firstColumn="1" w:lastColumn="0" w:noHBand="0" w:noVBand="1"/>
      </w:tblPr>
      <w:tblGrid>
        <w:gridCol w:w="1991"/>
        <w:gridCol w:w="1559"/>
        <w:gridCol w:w="1559"/>
        <w:gridCol w:w="1418"/>
        <w:gridCol w:w="1417"/>
      </w:tblGrid>
      <w:tr w:rsidR="00E21EB8" w:rsidRPr="00780295" w14:paraId="306D2055" w14:textId="77777777" w:rsidTr="002608E5">
        <w:trPr>
          <w:trHeight w:val="580"/>
        </w:trPr>
        <w:tc>
          <w:tcPr>
            <w:tcW w:w="1991" w:type="dxa"/>
            <w:tcBorders>
              <w:top w:val="single" w:sz="4" w:space="0" w:color="auto"/>
              <w:left w:val="single" w:sz="4" w:space="0" w:color="auto"/>
              <w:right w:val="single" w:sz="4" w:space="0" w:color="auto"/>
            </w:tcBorders>
            <w:shd w:val="clear" w:color="auto" w:fill="auto"/>
            <w:noWrap/>
            <w:vAlign w:val="bottom"/>
            <w:hideMark/>
          </w:tcPr>
          <w:p w14:paraId="7FE8FACF" w14:textId="77777777" w:rsidR="00E21EB8" w:rsidRPr="00780295" w:rsidRDefault="00E21EB8" w:rsidP="00121AD0">
            <w:pPr>
              <w:rPr>
                <w:rFonts w:ascii="Calibri" w:hAnsi="Calibri" w:cs="Calibri"/>
                <w:color w:val="000000"/>
                <w:sz w:val="22"/>
                <w:szCs w:val="22"/>
              </w:rPr>
            </w:pPr>
            <w:r w:rsidRPr="00780295">
              <w:rPr>
                <w:rFonts w:ascii="Calibri" w:hAnsi="Calibri" w:cs="Calibri"/>
                <w:color w:val="000000"/>
                <w:sz w:val="22"/>
                <w:szCs w:val="22"/>
              </w:rPr>
              <w:t> </w:t>
            </w:r>
          </w:p>
          <w:p w14:paraId="27EACFD6" w14:textId="77777777" w:rsidR="00E21EB8" w:rsidRPr="00780295" w:rsidRDefault="00E21EB8" w:rsidP="00121AD0">
            <w:pPr>
              <w:rPr>
                <w:rFonts w:ascii="Calibri" w:hAnsi="Calibri" w:cs="Calibri"/>
                <w:color w:val="000000"/>
                <w:sz w:val="22"/>
                <w:szCs w:val="22"/>
              </w:rPr>
            </w:pPr>
            <w:r w:rsidRPr="00780295">
              <w:rPr>
                <w:rFonts w:ascii="Calibri" w:hAnsi="Calibri" w:cs="Calibri"/>
                <w:b/>
                <w:bCs/>
                <w:color w:val="000000"/>
                <w:sz w:val="22"/>
                <w:szCs w:val="22"/>
              </w:rPr>
              <w:t> </w:t>
            </w:r>
            <w:r>
              <w:rPr>
                <w:rFonts w:ascii="Calibri" w:hAnsi="Calibri" w:cs="Calibri"/>
                <w:b/>
                <w:bCs/>
                <w:color w:val="000000"/>
                <w:sz w:val="22"/>
                <w:szCs w:val="22"/>
              </w:rPr>
              <w:t>School phase</w:t>
            </w:r>
          </w:p>
        </w:tc>
        <w:tc>
          <w:tcPr>
            <w:tcW w:w="1559" w:type="dxa"/>
            <w:tcBorders>
              <w:top w:val="single" w:sz="4" w:space="0" w:color="auto"/>
              <w:left w:val="single" w:sz="4" w:space="0" w:color="auto"/>
              <w:bottom w:val="single" w:sz="4" w:space="0" w:color="auto"/>
              <w:right w:val="single" w:sz="4" w:space="0" w:color="auto"/>
            </w:tcBorders>
            <w:vAlign w:val="center"/>
          </w:tcPr>
          <w:p w14:paraId="7634094C" w14:textId="77777777" w:rsidR="00E21EB8" w:rsidRPr="00780295" w:rsidRDefault="00E21EB8" w:rsidP="00121AD0">
            <w:pPr>
              <w:jc w:val="center"/>
              <w:rPr>
                <w:rFonts w:ascii="Calibri" w:hAnsi="Calibri" w:cs="Calibri"/>
                <w:b/>
                <w:bCs/>
                <w:color w:val="000000"/>
                <w:sz w:val="22"/>
                <w:szCs w:val="22"/>
              </w:rPr>
            </w:pPr>
            <w:r w:rsidRPr="00780295">
              <w:rPr>
                <w:rFonts w:ascii="Calibri" w:hAnsi="Calibri" w:cs="Calibri"/>
                <w:b/>
                <w:bCs/>
                <w:color w:val="000000"/>
                <w:sz w:val="22"/>
                <w:szCs w:val="22"/>
              </w:rPr>
              <w:t xml:space="preserve">2020/21 </w:t>
            </w:r>
          </w:p>
        </w:tc>
        <w:tc>
          <w:tcPr>
            <w:tcW w:w="1559" w:type="dxa"/>
            <w:tcBorders>
              <w:top w:val="single" w:sz="4" w:space="0" w:color="auto"/>
              <w:left w:val="single" w:sz="4" w:space="0" w:color="auto"/>
              <w:bottom w:val="single" w:sz="4" w:space="0" w:color="auto"/>
              <w:right w:val="single" w:sz="4" w:space="0" w:color="auto"/>
            </w:tcBorders>
            <w:vAlign w:val="center"/>
          </w:tcPr>
          <w:p w14:paraId="4555B088" w14:textId="77777777" w:rsidR="00E21EB8" w:rsidRPr="00780295" w:rsidRDefault="00E21EB8" w:rsidP="00121AD0">
            <w:pPr>
              <w:jc w:val="center"/>
              <w:rPr>
                <w:rFonts w:ascii="Calibri" w:hAnsi="Calibri" w:cs="Calibri"/>
                <w:b/>
                <w:bCs/>
                <w:color w:val="000000"/>
                <w:sz w:val="22"/>
                <w:szCs w:val="22"/>
              </w:rPr>
            </w:pPr>
            <w:r w:rsidRPr="00780295">
              <w:rPr>
                <w:rFonts w:ascii="Calibri" w:hAnsi="Calibri" w:cs="Calibri"/>
                <w:b/>
                <w:bCs/>
                <w:color w:val="000000"/>
                <w:sz w:val="22"/>
                <w:szCs w:val="22"/>
              </w:rPr>
              <w:t>2021-22</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21811" w14:textId="1E23A039" w:rsidR="00E21EB8" w:rsidRDefault="00E21EB8" w:rsidP="00121AD0">
            <w:pPr>
              <w:jc w:val="center"/>
              <w:rPr>
                <w:rFonts w:ascii="Calibri" w:hAnsi="Calibri" w:cs="Calibri"/>
                <w:b/>
                <w:bCs/>
                <w:color w:val="000000"/>
                <w:sz w:val="22"/>
                <w:szCs w:val="22"/>
              </w:rPr>
            </w:pPr>
            <w:r>
              <w:rPr>
                <w:rFonts w:ascii="Calibri" w:hAnsi="Calibri" w:cs="Calibri"/>
                <w:b/>
                <w:bCs/>
                <w:color w:val="000000"/>
                <w:sz w:val="22"/>
                <w:szCs w:val="22"/>
              </w:rPr>
              <w:t>Capital</w:t>
            </w:r>
            <w:r w:rsidRPr="00780295">
              <w:rPr>
                <w:rFonts w:ascii="Calibri" w:hAnsi="Calibri" w:cs="Calibri"/>
                <w:b/>
                <w:bCs/>
                <w:color w:val="000000"/>
                <w:sz w:val="22"/>
                <w:szCs w:val="22"/>
              </w:rPr>
              <w:t xml:space="preserve"> movement</w:t>
            </w:r>
          </w:p>
          <w:p w14:paraId="654202AA" w14:textId="77777777" w:rsidR="00E21EB8" w:rsidRPr="00780295" w:rsidRDefault="00E21EB8" w:rsidP="00121AD0">
            <w:pPr>
              <w:jc w:val="center"/>
              <w:rPr>
                <w:rFonts w:ascii="Calibri" w:hAnsi="Calibri" w:cs="Calibri"/>
                <w:b/>
                <w:bCs/>
                <w:color w:val="000000"/>
                <w:sz w:val="22"/>
                <w:szCs w:val="22"/>
              </w:rPr>
            </w:pPr>
            <w:r>
              <w:rPr>
                <w:rFonts w:ascii="Calibri" w:hAnsi="Calibri" w:cs="Calibri"/>
                <w:b/>
                <w:bCs/>
                <w:color w:val="000000"/>
                <w:sz w:val="22"/>
                <w:szCs w:val="22"/>
              </w:rPr>
              <w:t>20/21 to 21/22</w:t>
            </w:r>
            <w:r w:rsidRPr="00780295">
              <w:rPr>
                <w:rFonts w:ascii="Calibri" w:hAnsi="Calibri" w:cs="Calibri"/>
                <w:b/>
                <w:bCs/>
                <w:color w:val="000000"/>
                <w:sz w:val="22"/>
                <w:szCs w:val="22"/>
              </w:rPr>
              <w:t xml:space="preserve"> </w:t>
            </w:r>
          </w:p>
        </w:tc>
      </w:tr>
      <w:tr w:rsidR="00E21EB8" w:rsidRPr="00780295" w14:paraId="304652CD" w14:textId="77777777" w:rsidTr="002608E5">
        <w:trPr>
          <w:trHeight w:val="290"/>
        </w:trPr>
        <w:tc>
          <w:tcPr>
            <w:tcW w:w="1991" w:type="dxa"/>
            <w:tcBorders>
              <w:left w:val="single" w:sz="4" w:space="0" w:color="auto"/>
              <w:bottom w:val="single" w:sz="4" w:space="0" w:color="auto"/>
              <w:right w:val="single" w:sz="4" w:space="0" w:color="auto"/>
            </w:tcBorders>
            <w:shd w:val="clear" w:color="auto" w:fill="auto"/>
            <w:noWrap/>
            <w:vAlign w:val="center"/>
            <w:hideMark/>
          </w:tcPr>
          <w:p w14:paraId="657E17EC" w14:textId="77777777" w:rsidR="00E21EB8" w:rsidRPr="00780295" w:rsidRDefault="00E21EB8" w:rsidP="00121AD0">
            <w:pPr>
              <w:rPr>
                <w:rFonts w:ascii="Calibri" w:hAnsi="Calibri" w:cs="Calibri"/>
                <w:b/>
                <w:bCs/>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16897AB" w14:textId="77777777" w:rsidR="00E21EB8" w:rsidRPr="00780295" w:rsidRDefault="00E21EB8" w:rsidP="00121AD0">
            <w:pPr>
              <w:jc w:val="center"/>
              <w:rPr>
                <w:rFonts w:ascii="Calibri" w:hAnsi="Calibri" w:cs="Calibri"/>
                <w:color w:val="000000"/>
                <w:sz w:val="22"/>
                <w:szCs w:val="22"/>
              </w:rPr>
            </w:pPr>
            <w:r w:rsidRPr="00780295">
              <w:rPr>
                <w:rFonts w:ascii="Calibri" w:hAnsi="Calibri" w:cs="Calibri"/>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Pr>
          <w:p w14:paraId="148F5A48" w14:textId="77777777" w:rsidR="00E21EB8" w:rsidRPr="00C424B1" w:rsidRDefault="00E21EB8" w:rsidP="00121AD0">
            <w:pPr>
              <w:jc w:val="center"/>
              <w:rPr>
                <w:rFonts w:ascii="Calibri" w:hAnsi="Calibri" w:cs="Calibri"/>
                <w:color w:val="000000"/>
                <w:sz w:val="22"/>
                <w:szCs w:val="22"/>
              </w:rPr>
            </w:pPr>
            <w:r>
              <w:rPr>
                <w:rFonts w:ascii="Calibri" w:hAnsi="Calibri" w:cs="Calibri"/>
                <w:color w:val="000000"/>
                <w:sz w:val="22"/>
                <w:szCs w:val="22"/>
              </w:rPr>
              <w:t>(</w:t>
            </w:r>
            <w:r w:rsidRPr="00C424B1">
              <w:rPr>
                <w:rFonts w:ascii="Calibri" w:hAnsi="Calibri" w:cs="Calibri"/>
                <w:color w:val="000000"/>
                <w:sz w:val="22"/>
                <w:szCs w:val="22"/>
              </w:rPr>
              <w:t>£000</w:t>
            </w:r>
            <w:r>
              <w:rPr>
                <w:rFonts w:ascii="Calibri" w:hAnsi="Calibri" w:cs="Calibri"/>
                <w:color w:val="000000"/>
                <w:sz w:val="22"/>
                <w:szCs w:val="22"/>
              </w:rPr>
              <w: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A8749DB" w14:textId="77777777" w:rsidR="00E21EB8" w:rsidRPr="00780295" w:rsidRDefault="00E21EB8" w:rsidP="00121AD0">
            <w:pPr>
              <w:jc w:val="center"/>
              <w:rPr>
                <w:rFonts w:ascii="Calibri" w:hAnsi="Calibri" w:cs="Calibri"/>
                <w:color w:val="000000"/>
                <w:sz w:val="22"/>
                <w:szCs w:val="22"/>
              </w:rPr>
            </w:pPr>
            <w:r w:rsidRPr="00780295">
              <w:rPr>
                <w:rFonts w:ascii="Calibri" w:hAnsi="Calibri" w:cs="Calibri"/>
                <w:color w:val="000000"/>
                <w:sz w:val="22"/>
                <w:szCs w:val="22"/>
              </w:rPr>
              <w:t>(£</w:t>
            </w:r>
            <w:r>
              <w:rPr>
                <w:rFonts w:ascii="Calibri" w:hAnsi="Calibri" w:cs="Calibri"/>
                <w:color w:val="000000"/>
                <w:sz w:val="22"/>
                <w:szCs w:val="22"/>
              </w:rPr>
              <w:t>000</w:t>
            </w:r>
            <w:r w:rsidRPr="00780295">
              <w:rPr>
                <w:rFonts w:ascii="Calibri" w:hAnsi="Calibri" w:cs="Calibri"/>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center"/>
            <w:hideMark/>
          </w:tcPr>
          <w:p w14:paraId="13293E43" w14:textId="77777777" w:rsidR="00E21EB8" w:rsidRPr="00780295" w:rsidRDefault="00E21EB8" w:rsidP="00121AD0">
            <w:pPr>
              <w:jc w:val="center"/>
              <w:rPr>
                <w:rFonts w:ascii="Calibri" w:hAnsi="Calibri" w:cs="Calibri"/>
                <w:color w:val="000000"/>
                <w:sz w:val="22"/>
                <w:szCs w:val="22"/>
              </w:rPr>
            </w:pPr>
            <w:r w:rsidRPr="00780295">
              <w:rPr>
                <w:rFonts w:ascii="Calibri" w:hAnsi="Calibri" w:cs="Calibri"/>
                <w:color w:val="000000"/>
                <w:sz w:val="22"/>
                <w:szCs w:val="22"/>
              </w:rPr>
              <w:t>(%)</w:t>
            </w:r>
          </w:p>
        </w:tc>
      </w:tr>
      <w:tr w:rsidR="00E21EB8" w:rsidRPr="00780295" w14:paraId="6997767E" w14:textId="77777777" w:rsidTr="002608E5">
        <w:trPr>
          <w:trHeight w:val="290"/>
        </w:trPr>
        <w:tc>
          <w:tcPr>
            <w:tcW w:w="1991" w:type="dxa"/>
            <w:tcBorders>
              <w:top w:val="nil"/>
              <w:left w:val="single" w:sz="4" w:space="0" w:color="auto"/>
              <w:bottom w:val="single" w:sz="4" w:space="0" w:color="auto"/>
              <w:right w:val="single" w:sz="4" w:space="0" w:color="auto"/>
            </w:tcBorders>
            <w:shd w:val="clear" w:color="auto" w:fill="auto"/>
            <w:noWrap/>
            <w:vAlign w:val="bottom"/>
            <w:hideMark/>
          </w:tcPr>
          <w:p w14:paraId="14E360BC" w14:textId="77777777" w:rsidR="00E21EB8" w:rsidRPr="00780295" w:rsidRDefault="00E21EB8" w:rsidP="00E21EB8">
            <w:pPr>
              <w:rPr>
                <w:rFonts w:ascii="Calibri" w:hAnsi="Calibri" w:cs="Calibri"/>
                <w:color w:val="000000"/>
                <w:sz w:val="22"/>
                <w:szCs w:val="22"/>
              </w:rPr>
            </w:pPr>
            <w:r w:rsidRPr="00780295">
              <w:rPr>
                <w:rFonts w:ascii="Calibri" w:hAnsi="Calibri" w:cs="Calibri"/>
                <w:color w:val="000000"/>
                <w:sz w:val="22"/>
                <w:szCs w:val="22"/>
              </w:rPr>
              <w:t>Nursery</w:t>
            </w:r>
          </w:p>
        </w:tc>
        <w:tc>
          <w:tcPr>
            <w:tcW w:w="1559" w:type="dxa"/>
            <w:tcBorders>
              <w:top w:val="single" w:sz="4" w:space="0" w:color="auto"/>
              <w:left w:val="single" w:sz="4" w:space="0" w:color="auto"/>
              <w:bottom w:val="single" w:sz="4" w:space="0" w:color="auto"/>
              <w:right w:val="single" w:sz="4" w:space="0" w:color="auto"/>
            </w:tcBorders>
            <w:vAlign w:val="bottom"/>
          </w:tcPr>
          <w:p w14:paraId="7202D31A" w14:textId="0E365656" w:rsidR="00E21EB8" w:rsidRPr="00780295" w:rsidRDefault="00E21EB8" w:rsidP="00E21EB8">
            <w:pPr>
              <w:jc w:val="center"/>
              <w:rPr>
                <w:rFonts w:ascii="Calibri" w:hAnsi="Calibri" w:cs="Calibri"/>
                <w:color w:val="000000"/>
                <w:sz w:val="22"/>
                <w:szCs w:val="22"/>
              </w:rPr>
            </w:pPr>
            <w:r>
              <w:rPr>
                <w:rFonts w:ascii="Calibri" w:hAnsi="Calibri" w:cs="Calibri"/>
                <w:color w:val="000000"/>
                <w:sz w:val="22"/>
                <w:szCs w:val="22"/>
              </w:rPr>
              <w:t>136.5</w:t>
            </w:r>
          </w:p>
        </w:tc>
        <w:tc>
          <w:tcPr>
            <w:tcW w:w="1559" w:type="dxa"/>
            <w:tcBorders>
              <w:top w:val="single" w:sz="4" w:space="0" w:color="auto"/>
              <w:left w:val="single" w:sz="4" w:space="0" w:color="auto"/>
              <w:bottom w:val="single" w:sz="4" w:space="0" w:color="auto"/>
              <w:right w:val="single" w:sz="4" w:space="0" w:color="auto"/>
            </w:tcBorders>
            <w:vAlign w:val="bottom"/>
          </w:tcPr>
          <w:p w14:paraId="71697F3C" w14:textId="559AD4A4" w:rsidR="00E21EB8" w:rsidRPr="00780295" w:rsidRDefault="00E21EB8" w:rsidP="00E21EB8">
            <w:pPr>
              <w:jc w:val="center"/>
              <w:rPr>
                <w:rFonts w:ascii="Calibri" w:hAnsi="Calibri" w:cs="Calibri"/>
                <w:color w:val="000000"/>
                <w:sz w:val="22"/>
                <w:szCs w:val="22"/>
              </w:rPr>
            </w:pPr>
            <w:r>
              <w:rPr>
                <w:rFonts w:ascii="Calibri" w:hAnsi="Calibri" w:cs="Calibri"/>
                <w:color w:val="000000"/>
                <w:sz w:val="22"/>
                <w:szCs w:val="22"/>
              </w:rPr>
              <w:t>109.9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743051F" w14:textId="404C259F" w:rsidR="00E21EB8" w:rsidRPr="00780295" w:rsidRDefault="00E21EB8" w:rsidP="00E21EB8">
            <w:pPr>
              <w:jc w:val="center"/>
              <w:rPr>
                <w:rFonts w:ascii="Calibri" w:hAnsi="Calibri" w:cs="Calibri"/>
                <w:color w:val="000000"/>
                <w:sz w:val="22"/>
                <w:szCs w:val="22"/>
              </w:rPr>
            </w:pPr>
            <w:r>
              <w:rPr>
                <w:rFonts w:ascii="Calibri" w:hAnsi="Calibri" w:cs="Calibri"/>
                <w:color w:val="000000"/>
                <w:sz w:val="22"/>
                <w:szCs w:val="22"/>
              </w:rPr>
              <w:t>-  26.6</w:t>
            </w:r>
          </w:p>
        </w:tc>
        <w:tc>
          <w:tcPr>
            <w:tcW w:w="1417" w:type="dxa"/>
            <w:tcBorders>
              <w:top w:val="nil"/>
              <w:left w:val="nil"/>
              <w:bottom w:val="single" w:sz="4" w:space="0" w:color="auto"/>
              <w:right w:val="single" w:sz="4" w:space="0" w:color="auto"/>
            </w:tcBorders>
            <w:shd w:val="clear" w:color="auto" w:fill="auto"/>
            <w:noWrap/>
            <w:vAlign w:val="bottom"/>
            <w:hideMark/>
          </w:tcPr>
          <w:p w14:paraId="61287EDB" w14:textId="4659AD55" w:rsidR="00E21EB8" w:rsidRPr="00780295" w:rsidRDefault="00E21EB8" w:rsidP="00E21EB8">
            <w:pPr>
              <w:jc w:val="center"/>
              <w:rPr>
                <w:rFonts w:ascii="Calibri" w:hAnsi="Calibri" w:cs="Calibri"/>
                <w:color w:val="000000"/>
                <w:sz w:val="22"/>
                <w:szCs w:val="22"/>
              </w:rPr>
            </w:pPr>
            <w:r>
              <w:rPr>
                <w:rFonts w:ascii="Calibri" w:hAnsi="Calibri" w:cs="Calibri"/>
                <w:color w:val="000000"/>
                <w:sz w:val="22"/>
                <w:szCs w:val="22"/>
              </w:rPr>
              <w:t>-19%</w:t>
            </w:r>
          </w:p>
        </w:tc>
      </w:tr>
      <w:tr w:rsidR="00E21EB8" w:rsidRPr="00780295" w14:paraId="5CD3BFCD" w14:textId="77777777" w:rsidTr="002608E5">
        <w:trPr>
          <w:trHeight w:val="290"/>
        </w:trPr>
        <w:tc>
          <w:tcPr>
            <w:tcW w:w="1991" w:type="dxa"/>
            <w:tcBorders>
              <w:top w:val="nil"/>
              <w:left w:val="single" w:sz="4" w:space="0" w:color="auto"/>
              <w:bottom w:val="single" w:sz="4" w:space="0" w:color="auto"/>
              <w:right w:val="single" w:sz="4" w:space="0" w:color="auto"/>
            </w:tcBorders>
            <w:shd w:val="clear" w:color="auto" w:fill="auto"/>
            <w:noWrap/>
            <w:vAlign w:val="bottom"/>
            <w:hideMark/>
          </w:tcPr>
          <w:p w14:paraId="72A99EEE" w14:textId="77777777" w:rsidR="00E21EB8" w:rsidRPr="00780295" w:rsidRDefault="00E21EB8" w:rsidP="00E21EB8">
            <w:pPr>
              <w:rPr>
                <w:rFonts w:ascii="Calibri" w:hAnsi="Calibri" w:cs="Calibri"/>
                <w:color w:val="000000"/>
                <w:sz w:val="22"/>
                <w:szCs w:val="22"/>
              </w:rPr>
            </w:pPr>
            <w:r w:rsidRPr="00780295">
              <w:rPr>
                <w:rFonts w:ascii="Calibri" w:hAnsi="Calibri" w:cs="Calibri"/>
                <w:color w:val="000000"/>
                <w:sz w:val="22"/>
                <w:szCs w:val="22"/>
              </w:rPr>
              <w:t xml:space="preserve">Primary </w:t>
            </w:r>
          </w:p>
        </w:tc>
        <w:tc>
          <w:tcPr>
            <w:tcW w:w="1559" w:type="dxa"/>
            <w:tcBorders>
              <w:top w:val="single" w:sz="4" w:space="0" w:color="auto"/>
              <w:left w:val="single" w:sz="4" w:space="0" w:color="auto"/>
              <w:bottom w:val="single" w:sz="4" w:space="0" w:color="auto"/>
              <w:right w:val="single" w:sz="4" w:space="0" w:color="auto"/>
            </w:tcBorders>
            <w:vAlign w:val="bottom"/>
          </w:tcPr>
          <w:p w14:paraId="70430486" w14:textId="219C8F68" w:rsidR="00E21EB8" w:rsidRPr="00780295" w:rsidRDefault="00E21EB8" w:rsidP="00E21EB8">
            <w:pPr>
              <w:jc w:val="center"/>
              <w:rPr>
                <w:rFonts w:ascii="Calibri" w:hAnsi="Calibri" w:cs="Calibri"/>
                <w:color w:val="000000"/>
                <w:sz w:val="22"/>
                <w:szCs w:val="22"/>
              </w:rPr>
            </w:pPr>
            <w:r>
              <w:rPr>
                <w:rFonts w:ascii="Calibri" w:hAnsi="Calibri" w:cs="Calibri"/>
                <w:color w:val="000000"/>
                <w:sz w:val="22"/>
                <w:szCs w:val="22"/>
              </w:rPr>
              <w:t>1,378.4</w:t>
            </w:r>
          </w:p>
        </w:tc>
        <w:tc>
          <w:tcPr>
            <w:tcW w:w="1559" w:type="dxa"/>
            <w:tcBorders>
              <w:top w:val="single" w:sz="4" w:space="0" w:color="auto"/>
              <w:left w:val="single" w:sz="4" w:space="0" w:color="auto"/>
              <w:bottom w:val="single" w:sz="4" w:space="0" w:color="auto"/>
              <w:right w:val="single" w:sz="4" w:space="0" w:color="auto"/>
            </w:tcBorders>
            <w:vAlign w:val="bottom"/>
          </w:tcPr>
          <w:p w14:paraId="56117074" w14:textId="2FDC88A5" w:rsidR="00E21EB8" w:rsidRPr="00780295" w:rsidRDefault="00E21EB8" w:rsidP="00E21EB8">
            <w:pPr>
              <w:jc w:val="center"/>
              <w:rPr>
                <w:rFonts w:ascii="Calibri" w:hAnsi="Calibri" w:cs="Calibri"/>
                <w:color w:val="000000"/>
                <w:sz w:val="22"/>
                <w:szCs w:val="22"/>
              </w:rPr>
            </w:pPr>
            <w:r>
              <w:rPr>
                <w:rFonts w:ascii="Calibri" w:hAnsi="Calibri" w:cs="Calibri"/>
                <w:color w:val="000000"/>
                <w:sz w:val="22"/>
                <w:szCs w:val="22"/>
              </w:rPr>
              <w:t>1,150.5</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6140201" w14:textId="444C2126" w:rsidR="00E21EB8" w:rsidRPr="00780295" w:rsidRDefault="00E21EB8" w:rsidP="00E21EB8">
            <w:pPr>
              <w:jc w:val="center"/>
              <w:rPr>
                <w:rFonts w:ascii="Calibri" w:hAnsi="Calibri" w:cs="Calibri"/>
                <w:color w:val="000000"/>
                <w:sz w:val="22"/>
                <w:szCs w:val="22"/>
              </w:rPr>
            </w:pPr>
            <w:r>
              <w:rPr>
                <w:rFonts w:ascii="Calibri" w:hAnsi="Calibri" w:cs="Calibri"/>
                <w:color w:val="000000"/>
                <w:sz w:val="22"/>
                <w:szCs w:val="22"/>
              </w:rPr>
              <w:t>- 227.9</w:t>
            </w:r>
          </w:p>
        </w:tc>
        <w:tc>
          <w:tcPr>
            <w:tcW w:w="1417" w:type="dxa"/>
            <w:tcBorders>
              <w:top w:val="nil"/>
              <w:left w:val="nil"/>
              <w:bottom w:val="single" w:sz="4" w:space="0" w:color="auto"/>
              <w:right w:val="single" w:sz="4" w:space="0" w:color="auto"/>
            </w:tcBorders>
            <w:shd w:val="clear" w:color="auto" w:fill="auto"/>
            <w:noWrap/>
            <w:vAlign w:val="bottom"/>
            <w:hideMark/>
          </w:tcPr>
          <w:p w14:paraId="789DE7D5" w14:textId="45F33F55" w:rsidR="00E21EB8" w:rsidRPr="00780295" w:rsidRDefault="00E21EB8" w:rsidP="00E21EB8">
            <w:pPr>
              <w:jc w:val="center"/>
              <w:rPr>
                <w:rFonts w:ascii="Calibri" w:hAnsi="Calibri" w:cs="Calibri"/>
                <w:color w:val="000000"/>
                <w:sz w:val="22"/>
                <w:szCs w:val="22"/>
              </w:rPr>
            </w:pPr>
            <w:r>
              <w:rPr>
                <w:rFonts w:ascii="Calibri" w:hAnsi="Calibri" w:cs="Calibri"/>
                <w:color w:val="000000"/>
                <w:sz w:val="22"/>
                <w:szCs w:val="22"/>
              </w:rPr>
              <w:t>-17%</w:t>
            </w:r>
          </w:p>
        </w:tc>
      </w:tr>
      <w:tr w:rsidR="00E21EB8" w:rsidRPr="00780295" w14:paraId="320737C1" w14:textId="77777777" w:rsidTr="002608E5">
        <w:trPr>
          <w:trHeight w:val="290"/>
        </w:trPr>
        <w:tc>
          <w:tcPr>
            <w:tcW w:w="1991" w:type="dxa"/>
            <w:tcBorders>
              <w:top w:val="nil"/>
              <w:left w:val="single" w:sz="4" w:space="0" w:color="auto"/>
              <w:bottom w:val="single" w:sz="4" w:space="0" w:color="auto"/>
              <w:right w:val="single" w:sz="4" w:space="0" w:color="auto"/>
            </w:tcBorders>
            <w:shd w:val="clear" w:color="auto" w:fill="auto"/>
            <w:noWrap/>
            <w:vAlign w:val="bottom"/>
            <w:hideMark/>
          </w:tcPr>
          <w:p w14:paraId="42720B31" w14:textId="77777777" w:rsidR="00E21EB8" w:rsidRPr="00780295" w:rsidRDefault="00E21EB8" w:rsidP="00E21EB8">
            <w:pPr>
              <w:rPr>
                <w:rFonts w:ascii="Calibri" w:hAnsi="Calibri" w:cs="Calibri"/>
                <w:color w:val="000000"/>
                <w:sz w:val="22"/>
                <w:szCs w:val="22"/>
              </w:rPr>
            </w:pPr>
            <w:r w:rsidRPr="00780295">
              <w:rPr>
                <w:rFonts w:ascii="Calibri" w:hAnsi="Calibri" w:cs="Calibri"/>
                <w:color w:val="000000"/>
                <w:sz w:val="22"/>
                <w:szCs w:val="22"/>
              </w:rPr>
              <w:t>Secondary</w:t>
            </w:r>
          </w:p>
        </w:tc>
        <w:tc>
          <w:tcPr>
            <w:tcW w:w="1559" w:type="dxa"/>
            <w:tcBorders>
              <w:top w:val="single" w:sz="4" w:space="0" w:color="auto"/>
              <w:left w:val="single" w:sz="4" w:space="0" w:color="auto"/>
              <w:bottom w:val="single" w:sz="4" w:space="0" w:color="auto"/>
              <w:right w:val="single" w:sz="4" w:space="0" w:color="auto"/>
            </w:tcBorders>
            <w:vAlign w:val="bottom"/>
          </w:tcPr>
          <w:p w14:paraId="2C2429F9" w14:textId="60B52D6D" w:rsidR="00E21EB8" w:rsidRPr="00780295" w:rsidRDefault="00E21EB8" w:rsidP="00E21EB8">
            <w:pPr>
              <w:jc w:val="center"/>
              <w:rPr>
                <w:rFonts w:ascii="Calibri" w:hAnsi="Calibri" w:cs="Calibri"/>
                <w:color w:val="000000"/>
                <w:sz w:val="22"/>
                <w:szCs w:val="22"/>
              </w:rPr>
            </w:pPr>
            <w:r>
              <w:rPr>
                <w:rFonts w:ascii="Calibri" w:hAnsi="Calibri" w:cs="Calibri"/>
                <w:color w:val="000000"/>
                <w:sz w:val="22"/>
                <w:szCs w:val="22"/>
              </w:rPr>
              <w:t>533.6</w:t>
            </w:r>
          </w:p>
        </w:tc>
        <w:tc>
          <w:tcPr>
            <w:tcW w:w="1559" w:type="dxa"/>
            <w:tcBorders>
              <w:top w:val="single" w:sz="4" w:space="0" w:color="auto"/>
              <w:left w:val="single" w:sz="4" w:space="0" w:color="auto"/>
              <w:bottom w:val="single" w:sz="4" w:space="0" w:color="auto"/>
              <w:right w:val="single" w:sz="4" w:space="0" w:color="auto"/>
            </w:tcBorders>
            <w:vAlign w:val="bottom"/>
          </w:tcPr>
          <w:p w14:paraId="026B00C4" w14:textId="3A72FF74" w:rsidR="00E21EB8" w:rsidRPr="00780295" w:rsidRDefault="00E21EB8" w:rsidP="00E21EB8">
            <w:pPr>
              <w:jc w:val="center"/>
              <w:rPr>
                <w:rFonts w:ascii="Calibri" w:hAnsi="Calibri" w:cs="Calibri"/>
                <w:color w:val="000000"/>
                <w:sz w:val="22"/>
                <w:szCs w:val="22"/>
              </w:rPr>
            </w:pPr>
            <w:r>
              <w:rPr>
                <w:rFonts w:ascii="Calibri" w:hAnsi="Calibri" w:cs="Calibri"/>
                <w:color w:val="000000"/>
                <w:sz w:val="22"/>
                <w:szCs w:val="22"/>
              </w:rPr>
              <w:t>482.1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E09015E" w14:textId="37A08739" w:rsidR="00E21EB8" w:rsidRPr="00780295" w:rsidRDefault="00E21EB8" w:rsidP="00E21EB8">
            <w:pPr>
              <w:jc w:val="center"/>
              <w:rPr>
                <w:rFonts w:ascii="Calibri" w:hAnsi="Calibri" w:cs="Calibri"/>
                <w:color w:val="000000"/>
                <w:sz w:val="22"/>
                <w:szCs w:val="22"/>
              </w:rPr>
            </w:pPr>
            <w:r>
              <w:rPr>
                <w:rFonts w:ascii="Calibri" w:hAnsi="Calibri" w:cs="Calibri"/>
                <w:color w:val="000000"/>
                <w:sz w:val="22"/>
                <w:szCs w:val="22"/>
              </w:rPr>
              <w:t>- 51.5</w:t>
            </w:r>
          </w:p>
        </w:tc>
        <w:tc>
          <w:tcPr>
            <w:tcW w:w="1417" w:type="dxa"/>
            <w:tcBorders>
              <w:top w:val="nil"/>
              <w:left w:val="nil"/>
              <w:bottom w:val="single" w:sz="4" w:space="0" w:color="auto"/>
              <w:right w:val="single" w:sz="4" w:space="0" w:color="auto"/>
            </w:tcBorders>
            <w:shd w:val="clear" w:color="auto" w:fill="auto"/>
            <w:noWrap/>
            <w:vAlign w:val="bottom"/>
            <w:hideMark/>
          </w:tcPr>
          <w:p w14:paraId="1A866CC3" w14:textId="41A79FFB" w:rsidR="00E21EB8" w:rsidRPr="00780295" w:rsidRDefault="00E21EB8" w:rsidP="00E21EB8">
            <w:pPr>
              <w:jc w:val="center"/>
              <w:rPr>
                <w:rFonts w:ascii="Calibri" w:hAnsi="Calibri" w:cs="Calibri"/>
                <w:color w:val="000000"/>
                <w:sz w:val="22"/>
                <w:szCs w:val="22"/>
              </w:rPr>
            </w:pPr>
            <w:r>
              <w:rPr>
                <w:rFonts w:ascii="Calibri" w:hAnsi="Calibri" w:cs="Calibri"/>
                <w:color w:val="000000"/>
                <w:sz w:val="22"/>
                <w:szCs w:val="22"/>
              </w:rPr>
              <w:t>-10%</w:t>
            </w:r>
          </w:p>
        </w:tc>
      </w:tr>
      <w:tr w:rsidR="00E21EB8" w:rsidRPr="00780295" w14:paraId="680F67F9" w14:textId="77777777" w:rsidTr="002608E5">
        <w:trPr>
          <w:trHeight w:val="290"/>
        </w:trPr>
        <w:tc>
          <w:tcPr>
            <w:tcW w:w="1991" w:type="dxa"/>
            <w:tcBorders>
              <w:top w:val="nil"/>
              <w:left w:val="single" w:sz="4" w:space="0" w:color="auto"/>
              <w:bottom w:val="single" w:sz="4" w:space="0" w:color="auto"/>
              <w:right w:val="single" w:sz="4" w:space="0" w:color="auto"/>
            </w:tcBorders>
            <w:shd w:val="clear" w:color="auto" w:fill="auto"/>
            <w:noWrap/>
            <w:vAlign w:val="bottom"/>
            <w:hideMark/>
          </w:tcPr>
          <w:p w14:paraId="59F2A275" w14:textId="77777777" w:rsidR="00E21EB8" w:rsidRPr="00780295" w:rsidRDefault="00E21EB8" w:rsidP="00E21EB8">
            <w:pPr>
              <w:rPr>
                <w:rFonts w:ascii="Calibri" w:hAnsi="Calibri" w:cs="Calibri"/>
                <w:color w:val="000000"/>
                <w:sz w:val="22"/>
                <w:szCs w:val="22"/>
              </w:rPr>
            </w:pPr>
            <w:r w:rsidRPr="00780295">
              <w:rPr>
                <w:rFonts w:ascii="Calibri" w:hAnsi="Calibri" w:cs="Calibri"/>
                <w:color w:val="000000"/>
                <w:sz w:val="22"/>
                <w:szCs w:val="22"/>
              </w:rPr>
              <w:t>Special</w:t>
            </w:r>
          </w:p>
        </w:tc>
        <w:tc>
          <w:tcPr>
            <w:tcW w:w="1559" w:type="dxa"/>
            <w:tcBorders>
              <w:top w:val="single" w:sz="4" w:space="0" w:color="auto"/>
              <w:left w:val="single" w:sz="4" w:space="0" w:color="auto"/>
              <w:bottom w:val="single" w:sz="4" w:space="0" w:color="auto"/>
              <w:right w:val="single" w:sz="4" w:space="0" w:color="auto"/>
            </w:tcBorders>
            <w:vAlign w:val="bottom"/>
          </w:tcPr>
          <w:p w14:paraId="4C4F36F3" w14:textId="7465DAF8" w:rsidR="00E21EB8" w:rsidRPr="00780295" w:rsidRDefault="00E21EB8" w:rsidP="00E21EB8">
            <w:pPr>
              <w:jc w:val="center"/>
              <w:rPr>
                <w:rFonts w:ascii="Calibri" w:hAnsi="Calibri" w:cs="Calibri"/>
                <w:color w:val="000000"/>
                <w:sz w:val="22"/>
                <w:szCs w:val="22"/>
              </w:rPr>
            </w:pPr>
            <w:r>
              <w:rPr>
                <w:rFonts w:ascii="Calibri" w:hAnsi="Calibri" w:cs="Calibri"/>
                <w:color w:val="000000"/>
                <w:sz w:val="22"/>
                <w:szCs w:val="22"/>
              </w:rPr>
              <w:t>1,170.2</w:t>
            </w:r>
          </w:p>
        </w:tc>
        <w:tc>
          <w:tcPr>
            <w:tcW w:w="1559" w:type="dxa"/>
            <w:tcBorders>
              <w:top w:val="single" w:sz="4" w:space="0" w:color="auto"/>
              <w:left w:val="single" w:sz="4" w:space="0" w:color="auto"/>
              <w:bottom w:val="single" w:sz="4" w:space="0" w:color="auto"/>
              <w:right w:val="single" w:sz="4" w:space="0" w:color="auto"/>
            </w:tcBorders>
            <w:vAlign w:val="bottom"/>
          </w:tcPr>
          <w:p w14:paraId="15FBD6F4" w14:textId="68BED2FD" w:rsidR="00E21EB8" w:rsidRPr="00780295" w:rsidRDefault="00E21EB8" w:rsidP="00E21EB8">
            <w:pPr>
              <w:jc w:val="center"/>
              <w:rPr>
                <w:rFonts w:ascii="Calibri" w:hAnsi="Calibri" w:cs="Calibri"/>
                <w:color w:val="000000"/>
                <w:sz w:val="22"/>
                <w:szCs w:val="22"/>
              </w:rPr>
            </w:pPr>
            <w:r>
              <w:rPr>
                <w:rFonts w:ascii="Calibri" w:hAnsi="Calibri" w:cs="Calibri"/>
                <w:color w:val="000000"/>
                <w:sz w:val="22"/>
                <w:szCs w:val="22"/>
              </w:rPr>
              <w:t>422.5</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9721DD6" w14:textId="24705613" w:rsidR="00E21EB8" w:rsidRPr="00780295" w:rsidRDefault="00E21EB8" w:rsidP="00E21EB8">
            <w:pPr>
              <w:jc w:val="center"/>
              <w:rPr>
                <w:rFonts w:ascii="Calibri" w:hAnsi="Calibri" w:cs="Calibri"/>
                <w:color w:val="000000"/>
                <w:sz w:val="22"/>
                <w:szCs w:val="22"/>
              </w:rPr>
            </w:pPr>
            <w:r>
              <w:rPr>
                <w:rFonts w:ascii="Calibri" w:hAnsi="Calibri" w:cs="Calibri"/>
                <w:color w:val="000000"/>
                <w:sz w:val="22"/>
                <w:szCs w:val="22"/>
              </w:rPr>
              <w:t>-  747.7</w:t>
            </w:r>
          </w:p>
        </w:tc>
        <w:tc>
          <w:tcPr>
            <w:tcW w:w="1417" w:type="dxa"/>
            <w:tcBorders>
              <w:top w:val="nil"/>
              <w:left w:val="nil"/>
              <w:bottom w:val="single" w:sz="4" w:space="0" w:color="auto"/>
              <w:right w:val="single" w:sz="4" w:space="0" w:color="auto"/>
            </w:tcBorders>
            <w:shd w:val="clear" w:color="auto" w:fill="auto"/>
            <w:noWrap/>
            <w:vAlign w:val="bottom"/>
            <w:hideMark/>
          </w:tcPr>
          <w:p w14:paraId="29EF9AB9" w14:textId="6A1CB20E" w:rsidR="00E21EB8" w:rsidRPr="00780295" w:rsidRDefault="00E21EB8" w:rsidP="00E21EB8">
            <w:pPr>
              <w:jc w:val="center"/>
              <w:rPr>
                <w:rFonts w:ascii="Calibri" w:hAnsi="Calibri" w:cs="Calibri"/>
                <w:color w:val="000000"/>
                <w:sz w:val="22"/>
                <w:szCs w:val="22"/>
              </w:rPr>
            </w:pPr>
            <w:r>
              <w:rPr>
                <w:rFonts w:ascii="Calibri" w:hAnsi="Calibri" w:cs="Calibri"/>
                <w:color w:val="000000"/>
                <w:sz w:val="22"/>
                <w:szCs w:val="22"/>
              </w:rPr>
              <w:t>-64%</w:t>
            </w:r>
          </w:p>
        </w:tc>
      </w:tr>
      <w:tr w:rsidR="00E21EB8" w:rsidRPr="005C25DB" w14:paraId="15398A7E" w14:textId="77777777" w:rsidTr="002608E5">
        <w:trPr>
          <w:trHeight w:val="290"/>
        </w:trPr>
        <w:tc>
          <w:tcPr>
            <w:tcW w:w="1991" w:type="dxa"/>
            <w:tcBorders>
              <w:top w:val="nil"/>
              <w:left w:val="single" w:sz="4" w:space="0" w:color="auto"/>
              <w:bottom w:val="single" w:sz="4" w:space="0" w:color="auto"/>
              <w:right w:val="single" w:sz="4" w:space="0" w:color="auto"/>
            </w:tcBorders>
            <w:shd w:val="clear" w:color="auto" w:fill="auto"/>
            <w:noWrap/>
            <w:vAlign w:val="bottom"/>
            <w:hideMark/>
          </w:tcPr>
          <w:p w14:paraId="3214A136" w14:textId="77777777" w:rsidR="00E21EB8" w:rsidRPr="00780295" w:rsidRDefault="00E21EB8" w:rsidP="00E21EB8">
            <w:pPr>
              <w:rPr>
                <w:rFonts w:ascii="Calibri" w:hAnsi="Calibri" w:cs="Calibri"/>
                <w:color w:val="000000"/>
                <w:sz w:val="22"/>
                <w:szCs w:val="22"/>
              </w:rPr>
            </w:pPr>
            <w:r w:rsidRPr="00780295">
              <w:rPr>
                <w:rFonts w:ascii="Calibri" w:hAnsi="Calibri" w:cs="Calibri"/>
                <w:color w:val="000000"/>
                <w:sz w:val="22"/>
                <w:szCs w:val="22"/>
              </w:rPr>
              <w:t> </w:t>
            </w:r>
          </w:p>
        </w:tc>
        <w:tc>
          <w:tcPr>
            <w:tcW w:w="1559" w:type="dxa"/>
            <w:tcBorders>
              <w:top w:val="single" w:sz="4" w:space="0" w:color="auto"/>
              <w:left w:val="single" w:sz="4" w:space="0" w:color="auto"/>
              <w:bottom w:val="single" w:sz="4" w:space="0" w:color="auto"/>
              <w:right w:val="single" w:sz="4" w:space="0" w:color="auto"/>
            </w:tcBorders>
            <w:vAlign w:val="bottom"/>
          </w:tcPr>
          <w:p w14:paraId="5C7961B8" w14:textId="7D4A8E22" w:rsidR="00E21EB8" w:rsidRPr="00E21EB8" w:rsidRDefault="00E21EB8" w:rsidP="00E21EB8">
            <w:pPr>
              <w:jc w:val="center"/>
              <w:rPr>
                <w:rFonts w:ascii="Calibri" w:hAnsi="Calibri" w:cs="Calibri"/>
                <w:b/>
                <w:bCs/>
                <w:color w:val="000000"/>
                <w:sz w:val="22"/>
                <w:szCs w:val="22"/>
              </w:rPr>
            </w:pPr>
            <w:r w:rsidRPr="00E21EB8">
              <w:rPr>
                <w:rFonts w:ascii="Calibri" w:hAnsi="Calibri" w:cs="Calibri"/>
                <w:b/>
                <w:bCs/>
                <w:color w:val="000000"/>
                <w:sz w:val="22"/>
                <w:szCs w:val="22"/>
              </w:rPr>
              <w:t>3,218.7</w:t>
            </w:r>
          </w:p>
        </w:tc>
        <w:tc>
          <w:tcPr>
            <w:tcW w:w="1559" w:type="dxa"/>
            <w:tcBorders>
              <w:top w:val="single" w:sz="4" w:space="0" w:color="auto"/>
              <w:left w:val="single" w:sz="4" w:space="0" w:color="auto"/>
              <w:bottom w:val="single" w:sz="4" w:space="0" w:color="auto"/>
              <w:right w:val="single" w:sz="4" w:space="0" w:color="auto"/>
            </w:tcBorders>
            <w:vAlign w:val="bottom"/>
          </w:tcPr>
          <w:p w14:paraId="37A6A629" w14:textId="303B9B73" w:rsidR="00E21EB8" w:rsidRPr="00E21EB8" w:rsidRDefault="00E21EB8" w:rsidP="00E21EB8">
            <w:pPr>
              <w:jc w:val="center"/>
              <w:rPr>
                <w:rFonts w:ascii="Calibri" w:hAnsi="Calibri" w:cs="Calibri"/>
                <w:b/>
                <w:bCs/>
                <w:color w:val="000000"/>
                <w:sz w:val="22"/>
                <w:szCs w:val="22"/>
              </w:rPr>
            </w:pPr>
            <w:r w:rsidRPr="00E21EB8">
              <w:rPr>
                <w:rFonts w:ascii="Calibri" w:hAnsi="Calibri" w:cs="Calibri"/>
                <w:b/>
                <w:bCs/>
                <w:color w:val="000000"/>
                <w:sz w:val="22"/>
                <w:szCs w:val="22"/>
              </w:rPr>
              <w:t xml:space="preserve">2,165.0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F415654" w14:textId="04A2CB82" w:rsidR="00E21EB8" w:rsidRPr="00E21EB8" w:rsidRDefault="00E21EB8" w:rsidP="00E21EB8">
            <w:pPr>
              <w:jc w:val="center"/>
              <w:rPr>
                <w:rFonts w:ascii="Calibri" w:hAnsi="Calibri" w:cs="Calibri"/>
                <w:b/>
                <w:bCs/>
                <w:color w:val="000000"/>
                <w:sz w:val="22"/>
                <w:szCs w:val="22"/>
              </w:rPr>
            </w:pPr>
            <w:r w:rsidRPr="00E21EB8">
              <w:rPr>
                <w:rFonts w:ascii="Calibri" w:hAnsi="Calibri" w:cs="Calibri"/>
                <w:b/>
                <w:bCs/>
                <w:color w:val="000000"/>
                <w:sz w:val="22"/>
                <w:szCs w:val="22"/>
              </w:rPr>
              <w:t xml:space="preserve">- 1,053.7 </w:t>
            </w:r>
          </w:p>
        </w:tc>
        <w:tc>
          <w:tcPr>
            <w:tcW w:w="1417" w:type="dxa"/>
            <w:tcBorders>
              <w:top w:val="nil"/>
              <w:left w:val="nil"/>
              <w:bottom w:val="single" w:sz="4" w:space="0" w:color="auto"/>
              <w:right w:val="single" w:sz="4" w:space="0" w:color="auto"/>
            </w:tcBorders>
            <w:shd w:val="clear" w:color="auto" w:fill="auto"/>
            <w:noWrap/>
            <w:vAlign w:val="bottom"/>
            <w:hideMark/>
          </w:tcPr>
          <w:p w14:paraId="5899896A" w14:textId="76C3B306" w:rsidR="00E21EB8" w:rsidRPr="00E21EB8" w:rsidRDefault="00E21EB8" w:rsidP="00E21EB8">
            <w:pPr>
              <w:jc w:val="center"/>
              <w:rPr>
                <w:rFonts w:ascii="Calibri" w:hAnsi="Calibri" w:cs="Calibri"/>
                <w:b/>
                <w:bCs/>
                <w:color w:val="000000"/>
                <w:sz w:val="22"/>
                <w:szCs w:val="22"/>
              </w:rPr>
            </w:pPr>
            <w:r w:rsidRPr="00E21EB8">
              <w:rPr>
                <w:rFonts w:ascii="Calibri" w:hAnsi="Calibri" w:cs="Calibri"/>
                <w:b/>
                <w:bCs/>
                <w:color w:val="000000"/>
                <w:sz w:val="22"/>
                <w:szCs w:val="22"/>
              </w:rPr>
              <w:t>-33%</w:t>
            </w:r>
          </w:p>
        </w:tc>
      </w:tr>
    </w:tbl>
    <w:p w14:paraId="75371C71" w14:textId="77777777" w:rsidR="00E21EB8" w:rsidRPr="00400AA7" w:rsidRDefault="00E21EB8" w:rsidP="002C7043">
      <w:pPr>
        <w:pStyle w:val="ListParagraph"/>
        <w:spacing w:after="120"/>
        <w:ind w:left="1080"/>
        <w:jc w:val="both"/>
        <w:rPr>
          <w:rFonts w:cs="Arial"/>
          <w:iCs/>
        </w:rPr>
      </w:pPr>
    </w:p>
    <w:p w14:paraId="2887C084" w14:textId="77777777" w:rsidR="00400AA7" w:rsidRPr="00400AA7" w:rsidRDefault="00400AA7" w:rsidP="00400AA7">
      <w:pPr>
        <w:pStyle w:val="ListParagraph"/>
        <w:spacing w:after="120"/>
        <w:ind w:left="709"/>
        <w:jc w:val="both"/>
        <w:rPr>
          <w:rFonts w:cs="Arial"/>
          <w:iCs/>
        </w:rPr>
      </w:pPr>
    </w:p>
    <w:p w14:paraId="70392E42" w14:textId="0448B955" w:rsidR="00423D02" w:rsidRPr="00400AA7" w:rsidRDefault="00423D02" w:rsidP="00EC6C84">
      <w:pPr>
        <w:pStyle w:val="Heading2"/>
        <w:numPr>
          <w:ilvl w:val="0"/>
          <w:numId w:val="29"/>
        </w:numPr>
      </w:pPr>
      <w:r w:rsidRPr="0008700F">
        <w:t>S</w:t>
      </w:r>
      <w:r w:rsidR="00B74BDC" w:rsidRPr="0008700F">
        <w:t xml:space="preserve">crutiny </w:t>
      </w:r>
      <w:r w:rsidR="00A44E50" w:rsidRPr="0008700F">
        <w:t>and thresholds</w:t>
      </w:r>
    </w:p>
    <w:p w14:paraId="650F3F7A" w14:textId="77777777" w:rsidR="00400AA7" w:rsidRPr="0008700F" w:rsidRDefault="00400AA7" w:rsidP="00400AA7">
      <w:pPr>
        <w:pStyle w:val="ListParagraph"/>
        <w:spacing w:after="120"/>
        <w:ind w:left="709"/>
        <w:rPr>
          <w:iCs/>
        </w:rPr>
      </w:pPr>
    </w:p>
    <w:p w14:paraId="58BDD7EE" w14:textId="2FDD609A" w:rsidR="0005519A" w:rsidRDefault="00B74BDC" w:rsidP="00400AA7">
      <w:pPr>
        <w:pStyle w:val="ListParagraph"/>
        <w:numPr>
          <w:ilvl w:val="1"/>
          <w:numId w:val="29"/>
        </w:numPr>
        <w:spacing w:after="120"/>
        <w:ind w:left="709" w:hanging="709"/>
        <w:jc w:val="both"/>
        <w:rPr>
          <w:iCs/>
        </w:rPr>
      </w:pPr>
      <w:r w:rsidRPr="0008700F">
        <w:rPr>
          <w:iCs/>
        </w:rPr>
        <w:tab/>
      </w:r>
      <w:bookmarkStart w:id="0" w:name="_Hlk42672798"/>
      <w:r w:rsidR="00F67AF6" w:rsidRPr="0008700F">
        <w:rPr>
          <w:iCs/>
        </w:rPr>
        <w:t xml:space="preserve">The </w:t>
      </w:r>
      <w:r w:rsidR="002608E5">
        <w:rPr>
          <w:iCs/>
        </w:rPr>
        <w:t xml:space="preserve">local authority has a duty to monitor the use of public monies, including the funds delegated to schools to be managed locally.  </w:t>
      </w:r>
      <w:r w:rsidR="0005519A">
        <w:rPr>
          <w:iCs/>
        </w:rPr>
        <w:t xml:space="preserve">Tower Hamlets have adopted similar monitoring </w:t>
      </w:r>
      <w:r w:rsidR="00F71DB1">
        <w:rPr>
          <w:iCs/>
        </w:rPr>
        <w:t>t</w:t>
      </w:r>
      <w:r w:rsidR="00F71DB1" w:rsidRPr="0008700F">
        <w:rPr>
          <w:iCs/>
        </w:rPr>
        <w:t>hreshold</w:t>
      </w:r>
      <w:r w:rsidR="00F71DB1">
        <w:rPr>
          <w:iCs/>
        </w:rPr>
        <w:t>s</w:t>
      </w:r>
      <w:r w:rsidR="0005519A">
        <w:rPr>
          <w:iCs/>
        </w:rPr>
        <w:t xml:space="preserve"> to other authorities, </w:t>
      </w:r>
      <w:proofErr w:type="gramStart"/>
      <w:r w:rsidR="0005519A">
        <w:rPr>
          <w:iCs/>
        </w:rPr>
        <w:t>in order to</w:t>
      </w:r>
      <w:proofErr w:type="gramEnd"/>
      <w:r w:rsidR="0005519A">
        <w:rPr>
          <w:iCs/>
        </w:rPr>
        <w:t xml:space="preserve"> target schools</w:t>
      </w:r>
      <w:r w:rsidR="00A44E50" w:rsidRPr="0008700F">
        <w:rPr>
          <w:iCs/>
        </w:rPr>
        <w:t xml:space="preserve"> for </w:t>
      </w:r>
      <w:r w:rsidR="0005519A">
        <w:rPr>
          <w:iCs/>
        </w:rPr>
        <w:t>scrutiny</w:t>
      </w:r>
      <w:r w:rsidR="00FD6DA7" w:rsidRPr="0008700F">
        <w:rPr>
          <w:iCs/>
        </w:rPr>
        <w:t>.</w:t>
      </w:r>
      <w:r w:rsidR="0005519A">
        <w:rPr>
          <w:iCs/>
        </w:rPr>
        <w:t xml:space="preserve">  </w:t>
      </w:r>
      <w:r w:rsidR="00130C27">
        <w:rPr>
          <w:iCs/>
        </w:rPr>
        <w:t xml:space="preserve">Schools in Tower Hamlets receive the </w:t>
      </w:r>
      <w:r w:rsidR="0005519A">
        <w:rPr>
          <w:iCs/>
        </w:rPr>
        <w:t>highest fund</w:t>
      </w:r>
      <w:r w:rsidR="00130C27">
        <w:rPr>
          <w:iCs/>
        </w:rPr>
        <w:t xml:space="preserve">ing rates per pupil </w:t>
      </w:r>
      <w:r w:rsidR="0005519A">
        <w:rPr>
          <w:iCs/>
        </w:rPr>
        <w:t xml:space="preserve">nationally, our level of surplus balance is </w:t>
      </w:r>
      <w:r w:rsidR="00130C27">
        <w:rPr>
          <w:iCs/>
        </w:rPr>
        <w:t xml:space="preserve">therefore </w:t>
      </w:r>
      <w:r w:rsidR="0005519A">
        <w:rPr>
          <w:iCs/>
        </w:rPr>
        <w:t>of particular interest. All schools with balances over the thresholds are required to submit an expenditure plan, agreed by the governing body.</w:t>
      </w:r>
      <w:r w:rsidR="00FD6DA7" w:rsidRPr="0008700F">
        <w:rPr>
          <w:iCs/>
        </w:rPr>
        <w:t xml:space="preserve">  </w:t>
      </w:r>
      <w:r w:rsidR="00130C27">
        <w:rPr>
          <w:iCs/>
        </w:rPr>
        <w:t>All n</w:t>
      </w:r>
      <w:r w:rsidR="00130C27" w:rsidRPr="0008700F">
        <w:rPr>
          <w:iCs/>
        </w:rPr>
        <w:t>ursery, primary and special schools are required to submit plan for a surplus over an 8% threshold</w:t>
      </w:r>
      <w:r w:rsidR="00130C27">
        <w:rPr>
          <w:iCs/>
        </w:rPr>
        <w:t>,</w:t>
      </w:r>
      <w:r w:rsidR="00130C27" w:rsidRPr="0008700F">
        <w:rPr>
          <w:iCs/>
        </w:rPr>
        <w:t xml:space="preserve"> </w:t>
      </w:r>
      <w:r w:rsidR="00130C27">
        <w:rPr>
          <w:iCs/>
        </w:rPr>
        <w:t>the s</w:t>
      </w:r>
      <w:r w:rsidR="00130C27" w:rsidRPr="0008700F">
        <w:rPr>
          <w:iCs/>
        </w:rPr>
        <w:t>econdary school</w:t>
      </w:r>
      <w:r w:rsidR="00130C27">
        <w:rPr>
          <w:iCs/>
        </w:rPr>
        <w:t>’s</w:t>
      </w:r>
      <w:r w:rsidR="00130C27" w:rsidRPr="0008700F">
        <w:rPr>
          <w:iCs/>
        </w:rPr>
        <w:t xml:space="preserve"> threshold is 5%.  </w:t>
      </w:r>
    </w:p>
    <w:p w14:paraId="6EBFABA2" w14:textId="77777777" w:rsidR="0005519A" w:rsidRDefault="0005519A" w:rsidP="0005519A">
      <w:pPr>
        <w:pStyle w:val="ListParagraph"/>
        <w:spacing w:after="120"/>
        <w:ind w:left="709"/>
        <w:jc w:val="both"/>
        <w:rPr>
          <w:iCs/>
        </w:rPr>
      </w:pPr>
    </w:p>
    <w:p w14:paraId="556787E9" w14:textId="4F1219AF" w:rsidR="0020434A" w:rsidRDefault="0020434A" w:rsidP="0020434A">
      <w:pPr>
        <w:pStyle w:val="ListParagraph"/>
        <w:numPr>
          <w:ilvl w:val="1"/>
          <w:numId w:val="29"/>
        </w:numPr>
        <w:spacing w:after="120"/>
        <w:ind w:left="709" w:hanging="709"/>
        <w:jc w:val="both"/>
        <w:rPr>
          <w:iCs/>
        </w:rPr>
      </w:pPr>
      <w:r w:rsidRPr="0008700F">
        <w:rPr>
          <w:iCs/>
        </w:rPr>
        <w:t xml:space="preserve">Tower Hamlets have a balance control mechanism discussed at School’s Forum in 2021-22 </w:t>
      </w:r>
      <w:r>
        <w:rPr>
          <w:iCs/>
        </w:rPr>
        <w:t xml:space="preserve">which would </w:t>
      </w:r>
      <w:r w:rsidRPr="0008700F">
        <w:rPr>
          <w:iCs/>
        </w:rPr>
        <w:t>apply to all schools in the final column of the table 2</w:t>
      </w:r>
      <w:r>
        <w:rPr>
          <w:iCs/>
        </w:rPr>
        <w:t xml:space="preserve"> a surplus of over 12%.  </w:t>
      </w:r>
      <w:r w:rsidR="00F71DB1">
        <w:rPr>
          <w:iCs/>
        </w:rPr>
        <w:t>Overall,</w:t>
      </w:r>
      <w:r>
        <w:rPr>
          <w:iCs/>
        </w:rPr>
        <w:t xml:space="preserve"> 24 schools have a surplus of over 12%, </w:t>
      </w:r>
      <w:r w:rsidR="005B2933">
        <w:rPr>
          <w:iCs/>
        </w:rPr>
        <w:t xml:space="preserve">which </w:t>
      </w:r>
      <w:r w:rsidR="005B2933">
        <w:rPr>
          <w:iCs/>
        </w:rPr>
        <w:lastRenderedPageBreak/>
        <w:t xml:space="preserve">accounts for </w:t>
      </w:r>
      <w:r>
        <w:rPr>
          <w:iCs/>
        </w:rPr>
        <w:t xml:space="preserve">£25 million of the total surplus </w:t>
      </w:r>
      <w:r w:rsidR="005B2933">
        <w:rPr>
          <w:iCs/>
        </w:rPr>
        <w:t xml:space="preserve">of </w:t>
      </w:r>
      <w:r>
        <w:rPr>
          <w:iCs/>
        </w:rPr>
        <w:t xml:space="preserve">£34 million.  </w:t>
      </w:r>
      <w:r w:rsidR="005B2933">
        <w:rPr>
          <w:iCs/>
        </w:rPr>
        <w:t>If the surpluses of over 12% were recouped this would represent £9.4 million, with schools retaining £9 million</w:t>
      </w:r>
      <w:r>
        <w:rPr>
          <w:iCs/>
        </w:rPr>
        <w:t xml:space="preserve">.  The </w:t>
      </w:r>
      <w:r w:rsidRPr="0008700F">
        <w:rPr>
          <w:iCs/>
        </w:rPr>
        <w:t>commitments</w:t>
      </w:r>
      <w:r w:rsidR="005B2933">
        <w:rPr>
          <w:iCs/>
        </w:rPr>
        <w:t xml:space="preserve"> will be anal</w:t>
      </w:r>
      <w:r w:rsidRPr="0008700F">
        <w:rPr>
          <w:iCs/>
        </w:rPr>
        <w:t xml:space="preserve">ysed </w:t>
      </w:r>
      <w:r w:rsidR="005B2933">
        <w:rPr>
          <w:iCs/>
        </w:rPr>
        <w:t>before any proposals are discussed with Schools Forum</w:t>
      </w:r>
      <w:r w:rsidRPr="0008700F">
        <w:rPr>
          <w:iCs/>
        </w:rPr>
        <w:t>.  These schools will be required to demonstrate that the surplus balance reported is held for assigned purpose(s) and has been reported to and agreed with the governing body.</w:t>
      </w:r>
    </w:p>
    <w:p w14:paraId="5D47641D" w14:textId="77777777" w:rsidR="00A364CB" w:rsidRPr="00A364CB" w:rsidRDefault="00A364CB" w:rsidP="00A364CB">
      <w:pPr>
        <w:pStyle w:val="ListParagraph"/>
        <w:rPr>
          <w:iCs/>
        </w:rPr>
      </w:pPr>
    </w:p>
    <w:p w14:paraId="5E7F8613" w14:textId="35DF58C0" w:rsidR="00A364CB" w:rsidRDefault="00A364CB" w:rsidP="0020434A">
      <w:pPr>
        <w:pStyle w:val="ListParagraph"/>
        <w:numPr>
          <w:ilvl w:val="1"/>
          <w:numId w:val="29"/>
        </w:numPr>
        <w:spacing w:after="120"/>
        <w:ind w:left="709" w:hanging="709"/>
        <w:jc w:val="both"/>
        <w:rPr>
          <w:iCs/>
        </w:rPr>
      </w:pPr>
      <w:r>
        <w:rPr>
          <w:iCs/>
        </w:rPr>
        <w:t xml:space="preserve">The </w:t>
      </w:r>
      <w:r w:rsidR="00673520">
        <w:rPr>
          <w:iCs/>
        </w:rPr>
        <w:t>calculation methodology of the</w:t>
      </w:r>
      <w:r>
        <w:rPr>
          <w:iCs/>
        </w:rPr>
        <w:t xml:space="preserve"> surplus as a percentage of income altered for 2021-22 outturn.  Consistent with the DFE benchmarking</w:t>
      </w:r>
      <w:r w:rsidR="00673520">
        <w:rPr>
          <w:iCs/>
        </w:rPr>
        <w:t xml:space="preserve"> formula</w:t>
      </w:r>
      <w:r>
        <w:rPr>
          <w:iCs/>
        </w:rPr>
        <w:t xml:space="preserve">, the percentage revenue surplus represents </w:t>
      </w:r>
      <w:r w:rsidR="00673520">
        <w:rPr>
          <w:iCs/>
        </w:rPr>
        <w:t>a</w:t>
      </w:r>
      <w:r>
        <w:rPr>
          <w:iCs/>
        </w:rPr>
        <w:t xml:space="preserve"> surplus over the total income, as reco</w:t>
      </w:r>
      <w:r w:rsidR="00023900">
        <w:rPr>
          <w:iCs/>
        </w:rPr>
        <w:t>r</w:t>
      </w:r>
      <w:r>
        <w:rPr>
          <w:iCs/>
        </w:rPr>
        <w:t xml:space="preserve">ded on the school’s </w:t>
      </w:r>
      <w:r w:rsidR="00023900">
        <w:rPr>
          <w:iCs/>
        </w:rPr>
        <w:t>y</w:t>
      </w:r>
      <w:r>
        <w:rPr>
          <w:iCs/>
        </w:rPr>
        <w:t>ear</w:t>
      </w:r>
      <w:r w:rsidR="00023900">
        <w:rPr>
          <w:iCs/>
        </w:rPr>
        <w:t>-</w:t>
      </w:r>
      <w:r>
        <w:rPr>
          <w:iCs/>
        </w:rPr>
        <w:t xml:space="preserve">end outturn submitted in April 2022.  </w:t>
      </w:r>
      <w:r w:rsidR="00673520">
        <w:rPr>
          <w:iCs/>
        </w:rPr>
        <w:t xml:space="preserve">Previous years would have taken the surplus over the sum of selected “budget” lines: I01, I02, and I03.  </w:t>
      </w:r>
    </w:p>
    <w:p w14:paraId="3E0AC13E" w14:textId="77777777" w:rsidR="0020434A" w:rsidRPr="0020434A" w:rsidRDefault="0020434A" w:rsidP="0020434A">
      <w:pPr>
        <w:pStyle w:val="ListParagraph"/>
        <w:rPr>
          <w:iCs/>
        </w:rPr>
      </w:pPr>
    </w:p>
    <w:p w14:paraId="2A710699" w14:textId="65589060" w:rsidR="005B2933" w:rsidRDefault="00130C27" w:rsidP="00130C27">
      <w:pPr>
        <w:pStyle w:val="ListParagraph"/>
        <w:numPr>
          <w:ilvl w:val="1"/>
          <w:numId w:val="29"/>
        </w:numPr>
        <w:spacing w:after="120"/>
        <w:ind w:left="720"/>
        <w:rPr>
          <w:iCs/>
        </w:rPr>
      </w:pPr>
      <w:r w:rsidRPr="00130C27">
        <w:rPr>
          <w:iCs/>
        </w:rPr>
        <w:t xml:space="preserve">Table </w:t>
      </w:r>
      <w:r w:rsidR="005B2933">
        <w:rPr>
          <w:iCs/>
        </w:rPr>
        <w:t>2</w:t>
      </w:r>
      <w:r w:rsidRPr="00130C27">
        <w:rPr>
          <w:iCs/>
        </w:rPr>
        <w:t xml:space="preserve"> shows the number and percentage of schools that fall into these monitoring categories.</w:t>
      </w:r>
    </w:p>
    <w:p w14:paraId="11A79BB4" w14:textId="77777777" w:rsidR="005B2933" w:rsidRDefault="005B2933">
      <w:pPr>
        <w:rPr>
          <w:iCs/>
        </w:rPr>
      </w:pPr>
      <w:r>
        <w:rPr>
          <w:iCs/>
        </w:rPr>
        <w:br w:type="page"/>
      </w:r>
    </w:p>
    <w:p w14:paraId="4212C691" w14:textId="77777777" w:rsidR="006B5F1A" w:rsidRPr="00130C27" w:rsidRDefault="006B5F1A" w:rsidP="005B2933">
      <w:pPr>
        <w:pStyle w:val="ListParagraph"/>
        <w:spacing w:after="120"/>
        <w:rPr>
          <w:rFonts w:cs="Arial"/>
          <w:b/>
          <w:iCs/>
          <w:sz w:val="20"/>
          <w:szCs w:val="20"/>
        </w:rPr>
      </w:pPr>
    </w:p>
    <w:p w14:paraId="015A01B6" w14:textId="30A11099" w:rsidR="006B5F1A" w:rsidRPr="00780295" w:rsidRDefault="006B5F1A" w:rsidP="00400AA7">
      <w:pPr>
        <w:spacing w:after="120"/>
        <w:ind w:left="720" w:hanging="11"/>
        <w:rPr>
          <w:rFonts w:cs="Arial"/>
          <w:b/>
          <w:iCs/>
          <w:sz w:val="20"/>
          <w:szCs w:val="20"/>
        </w:rPr>
      </w:pPr>
      <w:r w:rsidRPr="00780295">
        <w:rPr>
          <w:rFonts w:cs="Arial"/>
          <w:b/>
          <w:iCs/>
          <w:sz w:val="20"/>
          <w:szCs w:val="20"/>
        </w:rPr>
        <w:t>Table</w:t>
      </w:r>
      <w:r w:rsidR="004963AA">
        <w:rPr>
          <w:rFonts w:cs="Arial"/>
          <w:b/>
          <w:iCs/>
          <w:sz w:val="20"/>
          <w:szCs w:val="20"/>
        </w:rPr>
        <w:t xml:space="preserve"> </w:t>
      </w:r>
      <w:r w:rsidR="0020434A">
        <w:rPr>
          <w:rFonts w:cs="Arial"/>
          <w:b/>
          <w:iCs/>
          <w:sz w:val="20"/>
          <w:szCs w:val="20"/>
        </w:rPr>
        <w:t>2</w:t>
      </w:r>
      <w:r w:rsidRPr="00780295">
        <w:rPr>
          <w:rFonts w:cs="Arial"/>
          <w:b/>
          <w:iCs/>
          <w:sz w:val="20"/>
          <w:szCs w:val="20"/>
        </w:rPr>
        <w:t xml:space="preserve">. </w:t>
      </w:r>
      <w:r>
        <w:rPr>
          <w:rFonts w:cs="Arial"/>
          <w:b/>
          <w:iCs/>
          <w:sz w:val="20"/>
          <w:szCs w:val="20"/>
        </w:rPr>
        <w:t xml:space="preserve">percentage of schools within thresholds </w:t>
      </w:r>
      <w:r w:rsidRPr="00780295">
        <w:rPr>
          <w:rFonts w:cs="Arial"/>
          <w:b/>
          <w:iCs/>
          <w:sz w:val="20"/>
          <w:szCs w:val="20"/>
        </w:rPr>
        <w:t>202</w:t>
      </w:r>
      <w:r>
        <w:rPr>
          <w:rFonts w:cs="Arial"/>
          <w:b/>
          <w:iCs/>
          <w:sz w:val="20"/>
          <w:szCs w:val="20"/>
        </w:rPr>
        <w:t>1</w:t>
      </w:r>
      <w:r w:rsidRPr="00780295">
        <w:rPr>
          <w:rFonts w:cs="Arial"/>
          <w:b/>
          <w:iCs/>
          <w:sz w:val="20"/>
          <w:szCs w:val="20"/>
        </w:rPr>
        <w:t>-2</w:t>
      </w:r>
      <w:r>
        <w:rPr>
          <w:rFonts w:cs="Arial"/>
          <w:b/>
          <w:iCs/>
          <w:sz w:val="20"/>
          <w:szCs w:val="20"/>
        </w:rPr>
        <w:t>2</w:t>
      </w:r>
      <w:r w:rsidRPr="00780295">
        <w:rPr>
          <w:rFonts w:cs="Arial"/>
          <w:b/>
          <w:iCs/>
          <w:sz w:val="20"/>
          <w:szCs w:val="20"/>
        </w:rPr>
        <w:t>.</w:t>
      </w:r>
    </w:p>
    <w:tbl>
      <w:tblPr>
        <w:tblW w:w="830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288"/>
        <w:gridCol w:w="1418"/>
        <w:gridCol w:w="1417"/>
        <w:gridCol w:w="992"/>
        <w:gridCol w:w="1503"/>
      </w:tblGrid>
      <w:tr w:rsidR="006B5F1A" w:rsidRPr="006B5F1A" w14:paraId="6792BB55" w14:textId="5125C570" w:rsidTr="00400AA7">
        <w:trPr>
          <w:trHeight w:val="290"/>
        </w:trPr>
        <w:tc>
          <w:tcPr>
            <w:tcW w:w="1684" w:type="dxa"/>
            <w:shd w:val="clear" w:color="auto" w:fill="auto"/>
            <w:noWrap/>
            <w:vAlign w:val="bottom"/>
            <w:hideMark/>
          </w:tcPr>
          <w:p w14:paraId="4CF08C59" w14:textId="20A99F8E" w:rsidR="006B5F1A" w:rsidRPr="006B5F1A" w:rsidRDefault="006B5F1A" w:rsidP="00400AA7">
            <w:pPr>
              <w:ind w:left="32" w:hanging="32"/>
              <w:rPr>
                <w:rFonts w:ascii="Times New Roman" w:hAnsi="Times New Roman"/>
                <w:sz w:val="20"/>
                <w:szCs w:val="20"/>
              </w:rPr>
            </w:pPr>
            <w:r>
              <w:rPr>
                <w:rFonts w:ascii="Calibri" w:hAnsi="Calibri" w:cs="Calibri"/>
                <w:color w:val="000000"/>
                <w:sz w:val="22"/>
                <w:szCs w:val="22"/>
              </w:rPr>
              <w:t xml:space="preserve">Phase of </w:t>
            </w:r>
            <w:r w:rsidRPr="006B5F1A">
              <w:rPr>
                <w:rFonts w:ascii="Calibri" w:hAnsi="Calibri" w:cs="Calibri"/>
                <w:color w:val="000000"/>
                <w:sz w:val="22"/>
                <w:szCs w:val="22"/>
              </w:rPr>
              <w:t>School</w:t>
            </w:r>
          </w:p>
        </w:tc>
        <w:tc>
          <w:tcPr>
            <w:tcW w:w="1288" w:type="dxa"/>
            <w:shd w:val="clear" w:color="auto" w:fill="auto"/>
            <w:noWrap/>
            <w:vAlign w:val="bottom"/>
            <w:hideMark/>
          </w:tcPr>
          <w:p w14:paraId="4345190F" w14:textId="77777777" w:rsidR="006B5F1A" w:rsidRPr="006B5F1A" w:rsidRDefault="006B5F1A" w:rsidP="0008700F">
            <w:pPr>
              <w:jc w:val="center"/>
              <w:rPr>
                <w:rFonts w:ascii="Calibri" w:hAnsi="Calibri" w:cs="Calibri"/>
                <w:color w:val="000000"/>
                <w:sz w:val="22"/>
                <w:szCs w:val="22"/>
              </w:rPr>
            </w:pPr>
            <w:r w:rsidRPr="006B5F1A">
              <w:rPr>
                <w:rFonts w:ascii="Calibri" w:hAnsi="Calibri" w:cs="Calibri"/>
                <w:color w:val="000000"/>
                <w:sz w:val="22"/>
                <w:szCs w:val="22"/>
              </w:rPr>
              <w:t>deficit</w:t>
            </w:r>
          </w:p>
        </w:tc>
        <w:tc>
          <w:tcPr>
            <w:tcW w:w="1418" w:type="dxa"/>
            <w:shd w:val="clear" w:color="auto" w:fill="auto"/>
            <w:noWrap/>
            <w:vAlign w:val="bottom"/>
            <w:hideMark/>
          </w:tcPr>
          <w:p w14:paraId="4CDF2F69" w14:textId="6A77184D" w:rsidR="006B5F1A" w:rsidRPr="006B5F1A" w:rsidRDefault="006B5F1A" w:rsidP="0008700F">
            <w:pPr>
              <w:jc w:val="center"/>
              <w:rPr>
                <w:rFonts w:ascii="Calibri" w:hAnsi="Calibri" w:cs="Calibri"/>
                <w:color w:val="000000"/>
                <w:sz w:val="22"/>
                <w:szCs w:val="22"/>
              </w:rPr>
            </w:pPr>
            <w:r w:rsidRPr="006B5F1A">
              <w:rPr>
                <w:rFonts w:ascii="Calibri" w:hAnsi="Calibri" w:cs="Calibri"/>
                <w:color w:val="000000"/>
                <w:sz w:val="22"/>
                <w:szCs w:val="22"/>
              </w:rPr>
              <w:t xml:space="preserve">within </w:t>
            </w:r>
            <w:r>
              <w:rPr>
                <w:rFonts w:ascii="Calibri" w:hAnsi="Calibri" w:cs="Calibri"/>
                <w:color w:val="000000"/>
                <w:sz w:val="22"/>
                <w:szCs w:val="22"/>
              </w:rPr>
              <w:t xml:space="preserve">5% / 8% </w:t>
            </w:r>
            <w:r w:rsidRPr="006B5F1A">
              <w:rPr>
                <w:rFonts w:ascii="Calibri" w:hAnsi="Calibri" w:cs="Calibri"/>
                <w:color w:val="000000"/>
                <w:sz w:val="22"/>
                <w:szCs w:val="22"/>
              </w:rPr>
              <w:t>threshold</w:t>
            </w:r>
          </w:p>
        </w:tc>
        <w:tc>
          <w:tcPr>
            <w:tcW w:w="1417" w:type="dxa"/>
            <w:shd w:val="clear" w:color="auto" w:fill="auto"/>
            <w:noWrap/>
            <w:vAlign w:val="bottom"/>
            <w:hideMark/>
          </w:tcPr>
          <w:p w14:paraId="40C86A1B" w14:textId="77777777" w:rsidR="006B5F1A" w:rsidRPr="006B5F1A" w:rsidRDefault="006B5F1A" w:rsidP="0008700F">
            <w:pPr>
              <w:jc w:val="center"/>
              <w:rPr>
                <w:rFonts w:ascii="Calibri" w:hAnsi="Calibri" w:cs="Calibri"/>
                <w:color w:val="000000"/>
                <w:sz w:val="22"/>
                <w:szCs w:val="22"/>
              </w:rPr>
            </w:pPr>
            <w:r w:rsidRPr="006B5F1A">
              <w:rPr>
                <w:rFonts w:ascii="Calibri" w:hAnsi="Calibri" w:cs="Calibri"/>
                <w:color w:val="000000"/>
                <w:sz w:val="22"/>
                <w:szCs w:val="22"/>
              </w:rPr>
              <w:t xml:space="preserve">above </w:t>
            </w:r>
            <w:r>
              <w:rPr>
                <w:rFonts w:ascii="Calibri" w:hAnsi="Calibri" w:cs="Calibri"/>
                <w:color w:val="000000"/>
                <w:sz w:val="22"/>
                <w:szCs w:val="22"/>
              </w:rPr>
              <w:t xml:space="preserve">5% / 8% </w:t>
            </w:r>
            <w:r w:rsidRPr="006B5F1A">
              <w:rPr>
                <w:rFonts w:ascii="Calibri" w:hAnsi="Calibri" w:cs="Calibri"/>
                <w:color w:val="000000"/>
                <w:sz w:val="22"/>
                <w:szCs w:val="22"/>
              </w:rPr>
              <w:t>threshold</w:t>
            </w:r>
          </w:p>
        </w:tc>
        <w:tc>
          <w:tcPr>
            <w:tcW w:w="992" w:type="dxa"/>
            <w:shd w:val="clear" w:color="auto" w:fill="auto"/>
            <w:vAlign w:val="bottom"/>
          </w:tcPr>
          <w:p w14:paraId="292ABC9E" w14:textId="482B28BC" w:rsidR="006B5F1A" w:rsidRPr="006B5F1A" w:rsidRDefault="00130C27" w:rsidP="0008700F">
            <w:pPr>
              <w:jc w:val="center"/>
              <w:rPr>
                <w:rFonts w:ascii="Calibri" w:hAnsi="Calibri" w:cs="Calibri"/>
                <w:color w:val="000000"/>
                <w:sz w:val="22"/>
                <w:szCs w:val="22"/>
              </w:rPr>
            </w:pPr>
            <w:r>
              <w:rPr>
                <w:rFonts w:ascii="Calibri" w:hAnsi="Calibri" w:cs="Calibri"/>
                <w:color w:val="000000"/>
                <w:sz w:val="22"/>
                <w:szCs w:val="22"/>
              </w:rPr>
              <w:t>T</w:t>
            </w:r>
            <w:r w:rsidR="004963AA">
              <w:rPr>
                <w:rFonts w:ascii="Calibri" w:hAnsi="Calibri" w:cs="Calibri"/>
                <w:color w:val="000000"/>
                <w:sz w:val="22"/>
                <w:szCs w:val="22"/>
              </w:rPr>
              <w:t>otal</w:t>
            </w:r>
            <w:r>
              <w:rPr>
                <w:rFonts w:ascii="Calibri" w:hAnsi="Calibri" w:cs="Calibri"/>
                <w:color w:val="000000"/>
                <w:sz w:val="22"/>
                <w:szCs w:val="22"/>
              </w:rPr>
              <w:t xml:space="preserve"> 100%</w:t>
            </w:r>
          </w:p>
        </w:tc>
        <w:tc>
          <w:tcPr>
            <w:tcW w:w="1503" w:type="dxa"/>
          </w:tcPr>
          <w:p w14:paraId="7E395CC0" w14:textId="5FE407F0" w:rsidR="006B5F1A" w:rsidRDefault="006B5F1A" w:rsidP="0008700F">
            <w:pPr>
              <w:jc w:val="center"/>
              <w:rPr>
                <w:rFonts w:ascii="Calibri" w:hAnsi="Calibri" w:cs="Calibri"/>
                <w:color w:val="000000"/>
                <w:sz w:val="22"/>
                <w:szCs w:val="22"/>
              </w:rPr>
            </w:pPr>
            <w:r>
              <w:rPr>
                <w:rFonts w:ascii="Calibri" w:hAnsi="Calibri" w:cs="Calibri"/>
                <w:color w:val="000000"/>
                <w:sz w:val="22"/>
                <w:szCs w:val="22"/>
              </w:rPr>
              <w:t>Above 1</w:t>
            </w:r>
            <w:r w:rsidR="0020434A">
              <w:rPr>
                <w:rFonts w:ascii="Calibri" w:hAnsi="Calibri" w:cs="Calibri"/>
                <w:color w:val="000000"/>
                <w:sz w:val="22"/>
                <w:szCs w:val="22"/>
              </w:rPr>
              <w:t>2</w:t>
            </w:r>
            <w:r>
              <w:rPr>
                <w:rFonts w:ascii="Calibri" w:hAnsi="Calibri" w:cs="Calibri"/>
                <w:color w:val="000000"/>
                <w:sz w:val="22"/>
                <w:szCs w:val="22"/>
              </w:rPr>
              <w:t xml:space="preserve">% </w:t>
            </w:r>
          </w:p>
          <w:p w14:paraId="311448F5" w14:textId="096BE2FA" w:rsidR="004963AA" w:rsidRPr="006B5F1A" w:rsidRDefault="004963AA" w:rsidP="0008700F">
            <w:pPr>
              <w:jc w:val="center"/>
              <w:rPr>
                <w:rFonts w:ascii="Calibri" w:hAnsi="Calibri" w:cs="Calibri"/>
                <w:color w:val="000000"/>
                <w:sz w:val="22"/>
                <w:szCs w:val="22"/>
              </w:rPr>
            </w:pPr>
            <w:r>
              <w:rPr>
                <w:rFonts w:ascii="Calibri" w:hAnsi="Calibri" w:cs="Calibri"/>
                <w:color w:val="000000"/>
                <w:sz w:val="22"/>
                <w:szCs w:val="22"/>
              </w:rPr>
              <w:t>threshold</w:t>
            </w:r>
          </w:p>
        </w:tc>
      </w:tr>
      <w:tr w:rsidR="006B5F1A" w:rsidRPr="006B5F1A" w14:paraId="4F14A43C" w14:textId="0F5A4F4E" w:rsidTr="00400AA7">
        <w:trPr>
          <w:trHeight w:val="290"/>
        </w:trPr>
        <w:tc>
          <w:tcPr>
            <w:tcW w:w="1684" w:type="dxa"/>
            <w:shd w:val="clear" w:color="auto" w:fill="auto"/>
            <w:noWrap/>
            <w:vAlign w:val="bottom"/>
            <w:hideMark/>
          </w:tcPr>
          <w:p w14:paraId="0329A617" w14:textId="1E688BC7" w:rsidR="006B5F1A" w:rsidRPr="006B5F1A" w:rsidRDefault="006B5F1A" w:rsidP="0008700F">
            <w:pPr>
              <w:rPr>
                <w:rFonts w:ascii="Calibri" w:hAnsi="Calibri" w:cs="Calibri"/>
                <w:color w:val="000000"/>
                <w:sz w:val="22"/>
                <w:szCs w:val="22"/>
              </w:rPr>
            </w:pPr>
            <w:r>
              <w:rPr>
                <w:rFonts w:ascii="Calibri" w:hAnsi="Calibri" w:cs="Calibri"/>
                <w:color w:val="000000"/>
                <w:sz w:val="22"/>
                <w:szCs w:val="22"/>
              </w:rPr>
              <w:t xml:space="preserve">Nursery </w:t>
            </w:r>
          </w:p>
        </w:tc>
        <w:tc>
          <w:tcPr>
            <w:tcW w:w="1288" w:type="dxa"/>
            <w:shd w:val="clear" w:color="auto" w:fill="auto"/>
            <w:noWrap/>
            <w:vAlign w:val="bottom"/>
            <w:hideMark/>
          </w:tcPr>
          <w:p w14:paraId="6FD57DA5" w14:textId="3F55B07C" w:rsidR="006B5F1A" w:rsidRPr="006B5F1A" w:rsidRDefault="00130C27" w:rsidP="0008700F">
            <w:pPr>
              <w:jc w:val="center"/>
              <w:rPr>
                <w:rFonts w:ascii="Calibri" w:hAnsi="Calibri" w:cs="Calibri"/>
                <w:color w:val="000000"/>
                <w:sz w:val="22"/>
                <w:szCs w:val="22"/>
              </w:rPr>
            </w:pPr>
            <w:r>
              <w:rPr>
                <w:rFonts w:ascii="Calibri" w:hAnsi="Calibri" w:cs="Calibri"/>
                <w:color w:val="000000"/>
                <w:sz w:val="22"/>
                <w:szCs w:val="22"/>
              </w:rPr>
              <w:t>2 (</w:t>
            </w:r>
            <w:r w:rsidR="006B5F1A" w:rsidRPr="006B5F1A">
              <w:rPr>
                <w:rFonts w:ascii="Calibri" w:hAnsi="Calibri" w:cs="Calibri"/>
                <w:color w:val="000000"/>
                <w:sz w:val="22"/>
                <w:szCs w:val="22"/>
              </w:rPr>
              <w:t>33%</w:t>
            </w:r>
            <w:r>
              <w:rPr>
                <w:rFonts w:ascii="Calibri" w:hAnsi="Calibri" w:cs="Calibri"/>
                <w:color w:val="000000"/>
                <w:sz w:val="22"/>
                <w:szCs w:val="22"/>
              </w:rPr>
              <w:t>)</w:t>
            </w:r>
          </w:p>
        </w:tc>
        <w:tc>
          <w:tcPr>
            <w:tcW w:w="1418" w:type="dxa"/>
            <w:shd w:val="clear" w:color="auto" w:fill="auto"/>
            <w:noWrap/>
            <w:vAlign w:val="bottom"/>
            <w:hideMark/>
          </w:tcPr>
          <w:p w14:paraId="6C42131C" w14:textId="1C69EB02" w:rsidR="006B5F1A" w:rsidRPr="006B5F1A" w:rsidRDefault="00130C27" w:rsidP="0008700F">
            <w:pPr>
              <w:jc w:val="center"/>
              <w:rPr>
                <w:rFonts w:ascii="Calibri" w:hAnsi="Calibri" w:cs="Calibri"/>
                <w:color w:val="000000"/>
                <w:sz w:val="22"/>
                <w:szCs w:val="22"/>
              </w:rPr>
            </w:pPr>
            <w:r>
              <w:rPr>
                <w:rFonts w:ascii="Calibri" w:hAnsi="Calibri" w:cs="Calibri"/>
                <w:color w:val="000000"/>
                <w:sz w:val="22"/>
                <w:szCs w:val="22"/>
              </w:rPr>
              <w:t>1 (</w:t>
            </w:r>
            <w:r w:rsidR="006B5F1A" w:rsidRPr="006B5F1A">
              <w:rPr>
                <w:rFonts w:ascii="Calibri" w:hAnsi="Calibri" w:cs="Calibri"/>
                <w:color w:val="000000"/>
                <w:sz w:val="22"/>
                <w:szCs w:val="22"/>
              </w:rPr>
              <w:t>17%</w:t>
            </w:r>
            <w:r>
              <w:rPr>
                <w:rFonts w:ascii="Calibri" w:hAnsi="Calibri" w:cs="Calibri"/>
                <w:color w:val="000000"/>
                <w:sz w:val="22"/>
                <w:szCs w:val="22"/>
              </w:rPr>
              <w:t>)</w:t>
            </w:r>
          </w:p>
        </w:tc>
        <w:tc>
          <w:tcPr>
            <w:tcW w:w="1417" w:type="dxa"/>
            <w:shd w:val="clear" w:color="auto" w:fill="auto"/>
            <w:noWrap/>
            <w:vAlign w:val="bottom"/>
            <w:hideMark/>
          </w:tcPr>
          <w:p w14:paraId="3DE406CB" w14:textId="3E8F7E20" w:rsidR="006B5F1A" w:rsidRPr="006B5F1A" w:rsidRDefault="00130C27" w:rsidP="0008700F">
            <w:pPr>
              <w:jc w:val="center"/>
              <w:rPr>
                <w:rFonts w:ascii="Calibri" w:hAnsi="Calibri" w:cs="Calibri"/>
                <w:color w:val="000000"/>
                <w:sz w:val="22"/>
                <w:szCs w:val="22"/>
              </w:rPr>
            </w:pPr>
            <w:r>
              <w:rPr>
                <w:rFonts w:ascii="Calibri" w:hAnsi="Calibri" w:cs="Calibri"/>
                <w:color w:val="000000"/>
                <w:sz w:val="22"/>
                <w:szCs w:val="22"/>
              </w:rPr>
              <w:t>3 (</w:t>
            </w:r>
            <w:r w:rsidR="006B5F1A" w:rsidRPr="006B5F1A">
              <w:rPr>
                <w:rFonts w:ascii="Calibri" w:hAnsi="Calibri" w:cs="Calibri"/>
                <w:color w:val="000000"/>
                <w:sz w:val="22"/>
                <w:szCs w:val="22"/>
              </w:rPr>
              <w:t>50%</w:t>
            </w:r>
            <w:r>
              <w:rPr>
                <w:rFonts w:ascii="Calibri" w:hAnsi="Calibri" w:cs="Calibri"/>
                <w:color w:val="000000"/>
                <w:sz w:val="22"/>
                <w:szCs w:val="22"/>
              </w:rPr>
              <w:t>)</w:t>
            </w:r>
          </w:p>
        </w:tc>
        <w:tc>
          <w:tcPr>
            <w:tcW w:w="992" w:type="dxa"/>
            <w:shd w:val="clear" w:color="auto" w:fill="auto"/>
            <w:noWrap/>
            <w:vAlign w:val="bottom"/>
            <w:hideMark/>
          </w:tcPr>
          <w:p w14:paraId="6FE569B1" w14:textId="0FF5A8E6" w:rsidR="006B5F1A" w:rsidRPr="006B5F1A" w:rsidRDefault="00130C27" w:rsidP="00130C27">
            <w:pPr>
              <w:jc w:val="center"/>
              <w:rPr>
                <w:rFonts w:ascii="Calibri" w:hAnsi="Calibri" w:cs="Calibri"/>
                <w:color w:val="000000"/>
                <w:sz w:val="22"/>
                <w:szCs w:val="22"/>
              </w:rPr>
            </w:pPr>
            <w:r>
              <w:rPr>
                <w:rFonts w:ascii="Calibri" w:hAnsi="Calibri" w:cs="Calibri"/>
                <w:color w:val="000000"/>
                <w:sz w:val="22"/>
                <w:szCs w:val="22"/>
              </w:rPr>
              <w:t>6</w:t>
            </w:r>
          </w:p>
        </w:tc>
        <w:tc>
          <w:tcPr>
            <w:tcW w:w="1503" w:type="dxa"/>
            <w:vAlign w:val="center"/>
          </w:tcPr>
          <w:p w14:paraId="16A12C52" w14:textId="5A1F357A" w:rsidR="006B5F1A" w:rsidRPr="006B5F1A" w:rsidRDefault="006B5F1A" w:rsidP="0008700F">
            <w:pPr>
              <w:jc w:val="center"/>
              <w:rPr>
                <w:rFonts w:ascii="Calibri" w:hAnsi="Calibri" w:cs="Calibri"/>
                <w:color w:val="000000"/>
                <w:sz w:val="22"/>
                <w:szCs w:val="22"/>
              </w:rPr>
            </w:pPr>
            <w:r>
              <w:rPr>
                <w:rFonts w:ascii="Calibri" w:hAnsi="Calibri" w:cs="Calibri"/>
                <w:color w:val="000000"/>
                <w:sz w:val="22"/>
                <w:szCs w:val="22"/>
              </w:rPr>
              <w:t>3 (50%)</w:t>
            </w:r>
          </w:p>
        </w:tc>
      </w:tr>
      <w:tr w:rsidR="006B5F1A" w:rsidRPr="006B5F1A" w14:paraId="04254EAE" w14:textId="612317DB" w:rsidTr="00400AA7">
        <w:trPr>
          <w:trHeight w:val="290"/>
        </w:trPr>
        <w:tc>
          <w:tcPr>
            <w:tcW w:w="1684" w:type="dxa"/>
            <w:shd w:val="clear" w:color="auto" w:fill="auto"/>
            <w:noWrap/>
            <w:vAlign w:val="bottom"/>
            <w:hideMark/>
          </w:tcPr>
          <w:p w14:paraId="65ED723A" w14:textId="2A8B5F19" w:rsidR="006B5F1A" w:rsidRPr="006B5F1A" w:rsidRDefault="006B5F1A" w:rsidP="0008700F">
            <w:pPr>
              <w:rPr>
                <w:rFonts w:ascii="Calibri" w:hAnsi="Calibri" w:cs="Calibri"/>
                <w:color w:val="000000"/>
                <w:sz w:val="22"/>
                <w:szCs w:val="22"/>
              </w:rPr>
            </w:pPr>
            <w:r>
              <w:rPr>
                <w:rFonts w:ascii="Calibri" w:hAnsi="Calibri" w:cs="Calibri"/>
                <w:color w:val="000000"/>
                <w:sz w:val="22"/>
                <w:szCs w:val="22"/>
              </w:rPr>
              <w:t>Primary</w:t>
            </w:r>
          </w:p>
        </w:tc>
        <w:tc>
          <w:tcPr>
            <w:tcW w:w="1288" w:type="dxa"/>
            <w:shd w:val="clear" w:color="auto" w:fill="auto"/>
            <w:noWrap/>
            <w:vAlign w:val="bottom"/>
            <w:hideMark/>
          </w:tcPr>
          <w:p w14:paraId="61441281" w14:textId="68EBCA75" w:rsidR="006B5F1A" w:rsidRPr="006B5F1A" w:rsidRDefault="00130C27" w:rsidP="0008700F">
            <w:pPr>
              <w:jc w:val="center"/>
              <w:rPr>
                <w:rFonts w:ascii="Calibri" w:hAnsi="Calibri" w:cs="Calibri"/>
                <w:color w:val="000000"/>
                <w:sz w:val="22"/>
                <w:szCs w:val="22"/>
              </w:rPr>
            </w:pPr>
            <w:r>
              <w:rPr>
                <w:rFonts w:ascii="Calibri" w:hAnsi="Calibri" w:cs="Calibri"/>
                <w:color w:val="000000"/>
                <w:sz w:val="22"/>
                <w:szCs w:val="22"/>
              </w:rPr>
              <w:t>7 (</w:t>
            </w:r>
            <w:r w:rsidR="006B5F1A" w:rsidRPr="006B5F1A">
              <w:rPr>
                <w:rFonts w:ascii="Calibri" w:hAnsi="Calibri" w:cs="Calibri"/>
                <w:color w:val="000000"/>
                <w:sz w:val="22"/>
                <w:szCs w:val="22"/>
              </w:rPr>
              <w:t>12%</w:t>
            </w:r>
            <w:r>
              <w:rPr>
                <w:rFonts w:ascii="Calibri" w:hAnsi="Calibri" w:cs="Calibri"/>
                <w:color w:val="000000"/>
                <w:sz w:val="22"/>
                <w:szCs w:val="22"/>
              </w:rPr>
              <w:t>)</w:t>
            </w:r>
          </w:p>
        </w:tc>
        <w:tc>
          <w:tcPr>
            <w:tcW w:w="1418" w:type="dxa"/>
            <w:shd w:val="clear" w:color="auto" w:fill="auto"/>
            <w:noWrap/>
            <w:vAlign w:val="bottom"/>
            <w:hideMark/>
          </w:tcPr>
          <w:p w14:paraId="0B86CD3C" w14:textId="73FF27AF" w:rsidR="006B5F1A" w:rsidRPr="006B5F1A" w:rsidRDefault="00130C27" w:rsidP="0008700F">
            <w:pPr>
              <w:jc w:val="center"/>
              <w:rPr>
                <w:rFonts w:ascii="Calibri" w:hAnsi="Calibri" w:cs="Calibri"/>
                <w:color w:val="000000"/>
                <w:sz w:val="22"/>
                <w:szCs w:val="22"/>
              </w:rPr>
            </w:pPr>
            <w:r>
              <w:rPr>
                <w:rFonts w:ascii="Calibri" w:hAnsi="Calibri" w:cs="Calibri"/>
                <w:color w:val="000000"/>
                <w:sz w:val="22"/>
                <w:szCs w:val="22"/>
              </w:rPr>
              <w:t>22 (</w:t>
            </w:r>
            <w:r w:rsidR="006B5F1A" w:rsidRPr="006B5F1A">
              <w:rPr>
                <w:rFonts w:ascii="Calibri" w:hAnsi="Calibri" w:cs="Calibri"/>
                <w:color w:val="000000"/>
                <w:sz w:val="22"/>
                <w:szCs w:val="22"/>
              </w:rPr>
              <w:t>37%</w:t>
            </w:r>
            <w:r>
              <w:rPr>
                <w:rFonts w:ascii="Calibri" w:hAnsi="Calibri" w:cs="Calibri"/>
                <w:color w:val="000000"/>
                <w:sz w:val="22"/>
                <w:szCs w:val="22"/>
              </w:rPr>
              <w:t>)</w:t>
            </w:r>
          </w:p>
        </w:tc>
        <w:tc>
          <w:tcPr>
            <w:tcW w:w="1417" w:type="dxa"/>
            <w:shd w:val="clear" w:color="auto" w:fill="auto"/>
            <w:noWrap/>
            <w:vAlign w:val="bottom"/>
            <w:hideMark/>
          </w:tcPr>
          <w:p w14:paraId="4D7C3FA0" w14:textId="66A7D13A" w:rsidR="006B5F1A" w:rsidRPr="006B5F1A" w:rsidRDefault="00130C27" w:rsidP="0008700F">
            <w:pPr>
              <w:jc w:val="center"/>
              <w:rPr>
                <w:rFonts w:ascii="Calibri" w:hAnsi="Calibri" w:cs="Calibri"/>
                <w:color w:val="000000"/>
                <w:sz w:val="22"/>
                <w:szCs w:val="22"/>
              </w:rPr>
            </w:pPr>
            <w:r>
              <w:rPr>
                <w:rFonts w:ascii="Calibri" w:hAnsi="Calibri" w:cs="Calibri"/>
                <w:color w:val="000000"/>
                <w:sz w:val="22"/>
                <w:szCs w:val="22"/>
              </w:rPr>
              <w:t>30 (</w:t>
            </w:r>
            <w:r w:rsidR="006B5F1A" w:rsidRPr="006B5F1A">
              <w:rPr>
                <w:rFonts w:ascii="Calibri" w:hAnsi="Calibri" w:cs="Calibri"/>
                <w:color w:val="000000"/>
                <w:sz w:val="22"/>
                <w:szCs w:val="22"/>
              </w:rPr>
              <w:t>51%</w:t>
            </w:r>
            <w:r>
              <w:rPr>
                <w:rFonts w:ascii="Calibri" w:hAnsi="Calibri" w:cs="Calibri"/>
                <w:color w:val="000000"/>
                <w:sz w:val="22"/>
                <w:szCs w:val="22"/>
              </w:rPr>
              <w:t>)</w:t>
            </w:r>
          </w:p>
        </w:tc>
        <w:tc>
          <w:tcPr>
            <w:tcW w:w="992" w:type="dxa"/>
            <w:shd w:val="clear" w:color="auto" w:fill="auto"/>
            <w:noWrap/>
            <w:vAlign w:val="bottom"/>
            <w:hideMark/>
          </w:tcPr>
          <w:p w14:paraId="32A1CC3F" w14:textId="2E1783DE" w:rsidR="006B5F1A" w:rsidRPr="006B5F1A" w:rsidRDefault="00130C27" w:rsidP="00130C27">
            <w:pPr>
              <w:jc w:val="center"/>
              <w:rPr>
                <w:rFonts w:ascii="Calibri" w:hAnsi="Calibri" w:cs="Calibri"/>
                <w:color w:val="000000"/>
                <w:sz w:val="22"/>
                <w:szCs w:val="22"/>
              </w:rPr>
            </w:pPr>
            <w:r>
              <w:rPr>
                <w:rFonts w:ascii="Calibri" w:hAnsi="Calibri" w:cs="Calibri"/>
                <w:color w:val="000000"/>
                <w:sz w:val="22"/>
                <w:szCs w:val="22"/>
              </w:rPr>
              <w:t>59</w:t>
            </w:r>
          </w:p>
        </w:tc>
        <w:tc>
          <w:tcPr>
            <w:tcW w:w="1503" w:type="dxa"/>
            <w:vAlign w:val="center"/>
          </w:tcPr>
          <w:p w14:paraId="1A57116A" w14:textId="7A0D35F0" w:rsidR="006B5F1A" w:rsidRPr="006B5F1A" w:rsidRDefault="0020434A" w:rsidP="0008700F">
            <w:pPr>
              <w:jc w:val="center"/>
              <w:rPr>
                <w:rFonts w:ascii="Calibri" w:hAnsi="Calibri" w:cs="Calibri"/>
                <w:color w:val="000000"/>
                <w:sz w:val="22"/>
                <w:szCs w:val="22"/>
              </w:rPr>
            </w:pPr>
            <w:r>
              <w:rPr>
                <w:rFonts w:ascii="Calibri" w:hAnsi="Calibri" w:cs="Calibri"/>
                <w:color w:val="000000"/>
                <w:sz w:val="22"/>
                <w:szCs w:val="22"/>
              </w:rPr>
              <w:t>12</w:t>
            </w:r>
            <w:r w:rsidR="004963AA">
              <w:rPr>
                <w:rFonts w:ascii="Calibri" w:hAnsi="Calibri" w:cs="Calibri"/>
                <w:color w:val="000000"/>
                <w:sz w:val="22"/>
                <w:szCs w:val="22"/>
              </w:rPr>
              <w:t xml:space="preserve"> (</w:t>
            </w:r>
            <w:r>
              <w:rPr>
                <w:rFonts w:ascii="Calibri" w:hAnsi="Calibri" w:cs="Calibri"/>
                <w:color w:val="000000"/>
                <w:sz w:val="22"/>
                <w:szCs w:val="22"/>
              </w:rPr>
              <w:t>2</w:t>
            </w:r>
            <w:r w:rsidR="004963AA">
              <w:rPr>
                <w:rFonts w:ascii="Calibri" w:hAnsi="Calibri" w:cs="Calibri"/>
                <w:color w:val="000000"/>
                <w:sz w:val="22"/>
                <w:szCs w:val="22"/>
              </w:rPr>
              <w:t>0%)</w:t>
            </w:r>
          </w:p>
        </w:tc>
      </w:tr>
      <w:tr w:rsidR="006B5F1A" w:rsidRPr="006B5F1A" w14:paraId="388E3ED4" w14:textId="49C41966" w:rsidTr="00400AA7">
        <w:trPr>
          <w:trHeight w:val="290"/>
        </w:trPr>
        <w:tc>
          <w:tcPr>
            <w:tcW w:w="1684" w:type="dxa"/>
            <w:shd w:val="clear" w:color="auto" w:fill="auto"/>
            <w:noWrap/>
            <w:vAlign w:val="bottom"/>
            <w:hideMark/>
          </w:tcPr>
          <w:p w14:paraId="264808C2" w14:textId="02F8DDFE" w:rsidR="006B5F1A" w:rsidRPr="006B5F1A" w:rsidRDefault="006B5F1A" w:rsidP="0008700F">
            <w:pPr>
              <w:rPr>
                <w:rFonts w:ascii="Calibri" w:hAnsi="Calibri" w:cs="Calibri"/>
                <w:color w:val="000000"/>
                <w:sz w:val="22"/>
                <w:szCs w:val="22"/>
              </w:rPr>
            </w:pPr>
            <w:r>
              <w:rPr>
                <w:rFonts w:ascii="Calibri" w:hAnsi="Calibri" w:cs="Calibri"/>
                <w:color w:val="000000"/>
                <w:sz w:val="22"/>
                <w:szCs w:val="22"/>
              </w:rPr>
              <w:t>Secondary</w:t>
            </w:r>
          </w:p>
        </w:tc>
        <w:tc>
          <w:tcPr>
            <w:tcW w:w="1288" w:type="dxa"/>
            <w:shd w:val="clear" w:color="auto" w:fill="auto"/>
            <w:noWrap/>
            <w:vAlign w:val="bottom"/>
            <w:hideMark/>
          </w:tcPr>
          <w:p w14:paraId="3484C003" w14:textId="77777777" w:rsidR="006B5F1A" w:rsidRPr="006B5F1A" w:rsidRDefault="006B5F1A" w:rsidP="0008700F">
            <w:pPr>
              <w:jc w:val="center"/>
              <w:rPr>
                <w:rFonts w:ascii="Calibri" w:hAnsi="Calibri" w:cs="Calibri"/>
                <w:color w:val="000000"/>
                <w:sz w:val="22"/>
                <w:szCs w:val="22"/>
              </w:rPr>
            </w:pPr>
            <w:r w:rsidRPr="006B5F1A">
              <w:rPr>
                <w:rFonts w:ascii="Calibri" w:hAnsi="Calibri" w:cs="Calibri"/>
                <w:color w:val="000000"/>
                <w:sz w:val="22"/>
                <w:szCs w:val="22"/>
              </w:rPr>
              <w:t>0%</w:t>
            </w:r>
          </w:p>
        </w:tc>
        <w:tc>
          <w:tcPr>
            <w:tcW w:w="1418" w:type="dxa"/>
            <w:shd w:val="clear" w:color="auto" w:fill="auto"/>
            <w:noWrap/>
            <w:vAlign w:val="bottom"/>
            <w:hideMark/>
          </w:tcPr>
          <w:p w14:paraId="63C6FC25" w14:textId="7031779C" w:rsidR="006B5F1A" w:rsidRPr="006B5F1A" w:rsidRDefault="00130C27" w:rsidP="0008700F">
            <w:pPr>
              <w:jc w:val="center"/>
              <w:rPr>
                <w:rFonts w:ascii="Calibri" w:hAnsi="Calibri" w:cs="Calibri"/>
                <w:color w:val="000000"/>
                <w:sz w:val="22"/>
                <w:szCs w:val="22"/>
              </w:rPr>
            </w:pPr>
            <w:r>
              <w:rPr>
                <w:rFonts w:ascii="Calibri" w:hAnsi="Calibri" w:cs="Calibri"/>
                <w:color w:val="000000"/>
                <w:sz w:val="22"/>
                <w:szCs w:val="22"/>
              </w:rPr>
              <w:t>1 (</w:t>
            </w:r>
            <w:r w:rsidR="006B5F1A" w:rsidRPr="006B5F1A">
              <w:rPr>
                <w:rFonts w:ascii="Calibri" w:hAnsi="Calibri" w:cs="Calibri"/>
                <w:color w:val="000000"/>
                <w:sz w:val="22"/>
                <w:szCs w:val="22"/>
              </w:rPr>
              <w:t>10%</w:t>
            </w:r>
            <w:r>
              <w:rPr>
                <w:rFonts w:ascii="Calibri" w:hAnsi="Calibri" w:cs="Calibri"/>
                <w:color w:val="000000"/>
                <w:sz w:val="22"/>
                <w:szCs w:val="22"/>
              </w:rPr>
              <w:t>)</w:t>
            </w:r>
          </w:p>
        </w:tc>
        <w:tc>
          <w:tcPr>
            <w:tcW w:w="1417" w:type="dxa"/>
            <w:shd w:val="clear" w:color="auto" w:fill="auto"/>
            <w:noWrap/>
            <w:vAlign w:val="bottom"/>
            <w:hideMark/>
          </w:tcPr>
          <w:p w14:paraId="63C3F51A" w14:textId="71275958" w:rsidR="006B5F1A" w:rsidRPr="006B5F1A" w:rsidRDefault="00130C27" w:rsidP="0008700F">
            <w:pPr>
              <w:jc w:val="center"/>
              <w:rPr>
                <w:rFonts w:ascii="Calibri" w:hAnsi="Calibri" w:cs="Calibri"/>
                <w:color w:val="000000"/>
                <w:sz w:val="22"/>
                <w:szCs w:val="22"/>
              </w:rPr>
            </w:pPr>
            <w:r>
              <w:rPr>
                <w:rFonts w:ascii="Calibri" w:hAnsi="Calibri" w:cs="Calibri"/>
                <w:color w:val="000000"/>
                <w:sz w:val="22"/>
                <w:szCs w:val="22"/>
              </w:rPr>
              <w:t>9 (</w:t>
            </w:r>
            <w:r w:rsidR="006B5F1A" w:rsidRPr="006B5F1A">
              <w:rPr>
                <w:rFonts w:ascii="Calibri" w:hAnsi="Calibri" w:cs="Calibri"/>
                <w:color w:val="000000"/>
                <w:sz w:val="22"/>
                <w:szCs w:val="22"/>
              </w:rPr>
              <w:t>90%</w:t>
            </w:r>
            <w:r>
              <w:rPr>
                <w:rFonts w:ascii="Calibri" w:hAnsi="Calibri" w:cs="Calibri"/>
                <w:color w:val="000000"/>
                <w:sz w:val="22"/>
                <w:szCs w:val="22"/>
              </w:rPr>
              <w:t>)</w:t>
            </w:r>
          </w:p>
        </w:tc>
        <w:tc>
          <w:tcPr>
            <w:tcW w:w="992" w:type="dxa"/>
            <w:shd w:val="clear" w:color="auto" w:fill="auto"/>
            <w:noWrap/>
            <w:vAlign w:val="bottom"/>
            <w:hideMark/>
          </w:tcPr>
          <w:p w14:paraId="6F9EC23B" w14:textId="1043FC22" w:rsidR="006B5F1A" w:rsidRPr="006B5F1A" w:rsidRDefault="006B5F1A" w:rsidP="00130C27">
            <w:pPr>
              <w:jc w:val="center"/>
              <w:rPr>
                <w:rFonts w:ascii="Calibri" w:hAnsi="Calibri" w:cs="Calibri"/>
                <w:color w:val="000000"/>
                <w:sz w:val="22"/>
                <w:szCs w:val="22"/>
              </w:rPr>
            </w:pPr>
            <w:r w:rsidRPr="006B5F1A">
              <w:rPr>
                <w:rFonts w:ascii="Calibri" w:hAnsi="Calibri" w:cs="Calibri"/>
                <w:color w:val="000000"/>
                <w:sz w:val="22"/>
                <w:szCs w:val="22"/>
              </w:rPr>
              <w:t>10</w:t>
            </w:r>
          </w:p>
        </w:tc>
        <w:tc>
          <w:tcPr>
            <w:tcW w:w="1503" w:type="dxa"/>
            <w:vAlign w:val="center"/>
          </w:tcPr>
          <w:p w14:paraId="030F3D38" w14:textId="593F00E4" w:rsidR="006B5F1A" w:rsidRPr="006B5F1A" w:rsidRDefault="004963AA" w:rsidP="0008700F">
            <w:pPr>
              <w:jc w:val="center"/>
              <w:rPr>
                <w:rFonts w:ascii="Calibri" w:hAnsi="Calibri" w:cs="Calibri"/>
                <w:color w:val="000000"/>
                <w:sz w:val="22"/>
                <w:szCs w:val="22"/>
              </w:rPr>
            </w:pPr>
            <w:r>
              <w:rPr>
                <w:rFonts w:ascii="Calibri" w:hAnsi="Calibri" w:cs="Calibri"/>
                <w:color w:val="000000"/>
                <w:sz w:val="22"/>
                <w:szCs w:val="22"/>
              </w:rPr>
              <w:t>4 (40%)</w:t>
            </w:r>
          </w:p>
        </w:tc>
      </w:tr>
      <w:tr w:rsidR="006B5F1A" w:rsidRPr="006B5F1A" w14:paraId="74640A64" w14:textId="010D908D" w:rsidTr="00400AA7">
        <w:trPr>
          <w:trHeight w:val="290"/>
        </w:trPr>
        <w:tc>
          <w:tcPr>
            <w:tcW w:w="1684" w:type="dxa"/>
            <w:shd w:val="clear" w:color="auto" w:fill="auto"/>
            <w:noWrap/>
            <w:vAlign w:val="bottom"/>
            <w:hideMark/>
          </w:tcPr>
          <w:p w14:paraId="440D2C59" w14:textId="72539297" w:rsidR="006B5F1A" w:rsidRPr="006B5F1A" w:rsidRDefault="006B5F1A" w:rsidP="0008700F">
            <w:pPr>
              <w:rPr>
                <w:rFonts w:ascii="Calibri" w:hAnsi="Calibri" w:cs="Calibri"/>
                <w:color w:val="000000"/>
                <w:sz w:val="22"/>
                <w:szCs w:val="22"/>
              </w:rPr>
            </w:pPr>
            <w:r>
              <w:rPr>
                <w:rFonts w:ascii="Calibri" w:hAnsi="Calibri" w:cs="Calibri"/>
                <w:color w:val="000000"/>
                <w:sz w:val="22"/>
                <w:szCs w:val="22"/>
              </w:rPr>
              <w:t>Special</w:t>
            </w:r>
          </w:p>
        </w:tc>
        <w:tc>
          <w:tcPr>
            <w:tcW w:w="1288" w:type="dxa"/>
            <w:shd w:val="clear" w:color="auto" w:fill="auto"/>
            <w:noWrap/>
            <w:vAlign w:val="bottom"/>
            <w:hideMark/>
          </w:tcPr>
          <w:p w14:paraId="486B2A4C" w14:textId="277301FC" w:rsidR="006B5F1A" w:rsidRPr="006B5F1A" w:rsidRDefault="00130C27" w:rsidP="0008700F">
            <w:pPr>
              <w:jc w:val="center"/>
              <w:rPr>
                <w:rFonts w:ascii="Calibri" w:hAnsi="Calibri" w:cs="Calibri"/>
                <w:color w:val="000000"/>
                <w:sz w:val="22"/>
                <w:szCs w:val="22"/>
              </w:rPr>
            </w:pPr>
            <w:r>
              <w:rPr>
                <w:rFonts w:ascii="Calibri" w:hAnsi="Calibri" w:cs="Calibri"/>
                <w:color w:val="000000"/>
                <w:sz w:val="22"/>
                <w:szCs w:val="22"/>
              </w:rPr>
              <w:t>1 (</w:t>
            </w:r>
            <w:r w:rsidR="006B5F1A" w:rsidRPr="006B5F1A">
              <w:rPr>
                <w:rFonts w:ascii="Calibri" w:hAnsi="Calibri" w:cs="Calibri"/>
                <w:color w:val="000000"/>
                <w:sz w:val="22"/>
                <w:szCs w:val="22"/>
              </w:rPr>
              <w:t>17%</w:t>
            </w:r>
            <w:r>
              <w:rPr>
                <w:rFonts w:ascii="Calibri" w:hAnsi="Calibri" w:cs="Calibri"/>
                <w:color w:val="000000"/>
                <w:sz w:val="22"/>
                <w:szCs w:val="22"/>
              </w:rPr>
              <w:t>)</w:t>
            </w:r>
          </w:p>
        </w:tc>
        <w:tc>
          <w:tcPr>
            <w:tcW w:w="1418" w:type="dxa"/>
            <w:shd w:val="clear" w:color="auto" w:fill="auto"/>
            <w:noWrap/>
            <w:vAlign w:val="bottom"/>
            <w:hideMark/>
          </w:tcPr>
          <w:p w14:paraId="524288E3" w14:textId="77777777" w:rsidR="006B5F1A" w:rsidRPr="006B5F1A" w:rsidRDefault="006B5F1A" w:rsidP="0008700F">
            <w:pPr>
              <w:jc w:val="center"/>
              <w:rPr>
                <w:rFonts w:ascii="Calibri" w:hAnsi="Calibri" w:cs="Calibri"/>
                <w:color w:val="000000"/>
                <w:sz w:val="22"/>
                <w:szCs w:val="22"/>
              </w:rPr>
            </w:pPr>
            <w:r w:rsidRPr="006B5F1A">
              <w:rPr>
                <w:rFonts w:ascii="Calibri" w:hAnsi="Calibri" w:cs="Calibri"/>
                <w:color w:val="000000"/>
                <w:sz w:val="22"/>
                <w:szCs w:val="22"/>
              </w:rPr>
              <w:t>0%</w:t>
            </w:r>
          </w:p>
        </w:tc>
        <w:tc>
          <w:tcPr>
            <w:tcW w:w="1417" w:type="dxa"/>
            <w:shd w:val="clear" w:color="auto" w:fill="auto"/>
            <w:noWrap/>
            <w:vAlign w:val="bottom"/>
            <w:hideMark/>
          </w:tcPr>
          <w:p w14:paraId="5D8A6027" w14:textId="404F7BDB" w:rsidR="006B5F1A" w:rsidRPr="006B5F1A" w:rsidRDefault="00130C27" w:rsidP="0008700F">
            <w:pPr>
              <w:jc w:val="center"/>
              <w:rPr>
                <w:rFonts w:ascii="Calibri" w:hAnsi="Calibri" w:cs="Calibri"/>
                <w:color w:val="000000"/>
                <w:sz w:val="22"/>
                <w:szCs w:val="22"/>
              </w:rPr>
            </w:pPr>
            <w:r>
              <w:rPr>
                <w:rFonts w:ascii="Calibri" w:hAnsi="Calibri" w:cs="Calibri"/>
                <w:color w:val="000000"/>
                <w:sz w:val="22"/>
                <w:szCs w:val="22"/>
              </w:rPr>
              <w:t>5 (</w:t>
            </w:r>
            <w:r w:rsidR="006B5F1A" w:rsidRPr="006B5F1A">
              <w:rPr>
                <w:rFonts w:ascii="Calibri" w:hAnsi="Calibri" w:cs="Calibri"/>
                <w:color w:val="000000"/>
                <w:sz w:val="22"/>
                <w:szCs w:val="22"/>
              </w:rPr>
              <w:t>83%</w:t>
            </w:r>
            <w:r>
              <w:rPr>
                <w:rFonts w:ascii="Calibri" w:hAnsi="Calibri" w:cs="Calibri"/>
                <w:color w:val="000000"/>
                <w:sz w:val="22"/>
                <w:szCs w:val="22"/>
              </w:rPr>
              <w:t>)</w:t>
            </w:r>
          </w:p>
        </w:tc>
        <w:tc>
          <w:tcPr>
            <w:tcW w:w="992" w:type="dxa"/>
            <w:shd w:val="clear" w:color="auto" w:fill="auto"/>
            <w:noWrap/>
            <w:vAlign w:val="bottom"/>
            <w:hideMark/>
          </w:tcPr>
          <w:p w14:paraId="2097A365" w14:textId="7113662F" w:rsidR="006B5F1A" w:rsidRPr="006B5F1A" w:rsidRDefault="00130C27" w:rsidP="00130C27">
            <w:pPr>
              <w:jc w:val="center"/>
              <w:rPr>
                <w:rFonts w:ascii="Calibri" w:hAnsi="Calibri" w:cs="Calibri"/>
                <w:color w:val="000000"/>
                <w:sz w:val="22"/>
                <w:szCs w:val="22"/>
              </w:rPr>
            </w:pPr>
            <w:r>
              <w:rPr>
                <w:rFonts w:ascii="Calibri" w:hAnsi="Calibri" w:cs="Calibri"/>
                <w:color w:val="000000"/>
                <w:sz w:val="22"/>
                <w:szCs w:val="22"/>
              </w:rPr>
              <w:t>6</w:t>
            </w:r>
          </w:p>
        </w:tc>
        <w:tc>
          <w:tcPr>
            <w:tcW w:w="1503" w:type="dxa"/>
            <w:vAlign w:val="center"/>
          </w:tcPr>
          <w:p w14:paraId="006F2706" w14:textId="24094CAB" w:rsidR="006B5F1A" w:rsidRPr="006B5F1A" w:rsidRDefault="0020434A" w:rsidP="0008700F">
            <w:pPr>
              <w:jc w:val="center"/>
              <w:rPr>
                <w:rFonts w:ascii="Calibri" w:hAnsi="Calibri" w:cs="Calibri"/>
                <w:color w:val="000000"/>
                <w:sz w:val="22"/>
                <w:szCs w:val="22"/>
              </w:rPr>
            </w:pPr>
            <w:r>
              <w:rPr>
                <w:rFonts w:ascii="Calibri" w:hAnsi="Calibri" w:cs="Calibri"/>
                <w:color w:val="000000"/>
                <w:sz w:val="22"/>
                <w:szCs w:val="22"/>
              </w:rPr>
              <w:t>5</w:t>
            </w:r>
            <w:r w:rsidR="004963AA">
              <w:rPr>
                <w:rFonts w:ascii="Calibri" w:hAnsi="Calibri" w:cs="Calibri"/>
                <w:color w:val="000000"/>
                <w:sz w:val="22"/>
                <w:szCs w:val="22"/>
              </w:rPr>
              <w:t xml:space="preserve"> (</w:t>
            </w:r>
            <w:r>
              <w:rPr>
                <w:rFonts w:ascii="Calibri" w:hAnsi="Calibri" w:cs="Calibri"/>
                <w:color w:val="000000"/>
                <w:sz w:val="22"/>
                <w:szCs w:val="22"/>
              </w:rPr>
              <w:t>83</w:t>
            </w:r>
            <w:r w:rsidR="004963AA">
              <w:rPr>
                <w:rFonts w:ascii="Calibri" w:hAnsi="Calibri" w:cs="Calibri"/>
                <w:color w:val="000000"/>
                <w:sz w:val="22"/>
                <w:szCs w:val="22"/>
              </w:rPr>
              <w:t>%)</w:t>
            </w:r>
          </w:p>
        </w:tc>
      </w:tr>
    </w:tbl>
    <w:p w14:paraId="1FB630B3" w14:textId="77777777" w:rsidR="006B5F1A" w:rsidRPr="005C25DB" w:rsidRDefault="006B5F1A" w:rsidP="0008700F">
      <w:pPr>
        <w:keepNext/>
        <w:spacing w:after="120"/>
        <w:ind w:left="720" w:hanging="720"/>
        <w:jc w:val="both"/>
        <w:rPr>
          <w:iCs/>
          <w:highlight w:val="yellow"/>
        </w:rPr>
      </w:pPr>
    </w:p>
    <w:bookmarkEnd w:id="0"/>
    <w:p w14:paraId="7968FE75" w14:textId="2F6F3EBC" w:rsidR="00423D02" w:rsidRPr="0008700F" w:rsidRDefault="00F67AF6" w:rsidP="00400AA7">
      <w:pPr>
        <w:pStyle w:val="ListParagraph"/>
        <w:numPr>
          <w:ilvl w:val="1"/>
          <w:numId w:val="29"/>
        </w:numPr>
        <w:spacing w:after="120"/>
        <w:ind w:left="709" w:hanging="709"/>
        <w:jc w:val="both"/>
        <w:rPr>
          <w:iCs/>
        </w:rPr>
      </w:pPr>
      <w:r w:rsidRPr="0008700F">
        <w:rPr>
          <w:iCs/>
        </w:rPr>
        <w:tab/>
      </w:r>
      <w:r w:rsidR="00423D02" w:rsidRPr="0008700F">
        <w:rPr>
          <w:iCs/>
        </w:rPr>
        <w:t>The Department for Education (DfE) published Financial Management Framework document outlin</w:t>
      </w:r>
      <w:r w:rsidR="00062F2A" w:rsidRPr="0008700F">
        <w:rPr>
          <w:iCs/>
        </w:rPr>
        <w:t>es</w:t>
      </w:r>
      <w:r w:rsidR="00423D02" w:rsidRPr="0008700F">
        <w:rPr>
          <w:iCs/>
        </w:rPr>
        <w:t xml:space="preserve"> how the DfE </w:t>
      </w:r>
      <w:r w:rsidR="008A222B" w:rsidRPr="0008700F">
        <w:rPr>
          <w:iCs/>
        </w:rPr>
        <w:t>intend</w:t>
      </w:r>
      <w:r w:rsidR="00423D02" w:rsidRPr="0008700F">
        <w:rPr>
          <w:iCs/>
        </w:rPr>
        <w:t xml:space="preserve"> to challenge and</w:t>
      </w:r>
      <w:r w:rsidR="00B74BDC" w:rsidRPr="0008700F">
        <w:rPr>
          <w:iCs/>
        </w:rPr>
        <w:t xml:space="preserve"> </w:t>
      </w:r>
      <w:r w:rsidR="00423D02" w:rsidRPr="0008700F">
        <w:rPr>
          <w:iCs/>
        </w:rPr>
        <w:t>scrutinise local authorities and schools in certain areas. The framework focuses on</w:t>
      </w:r>
      <w:r w:rsidR="00B74BDC" w:rsidRPr="0008700F">
        <w:rPr>
          <w:iCs/>
        </w:rPr>
        <w:t xml:space="preserve"> </w:t>
      </w:r>
      <w:r w:rsidR="00423D02" w:rsidRPr="0008700F">
        <w:rPr>
          <w:iCs/>
        </w:rPr>
        <w:t>three key aspects:</w:t>
      </w:r>
    </w:p>
    <w:p w14:paraId="4BF6D453" w14:textId="77777777" w:rsidR="00423D02" w:rsidRPr="0008700F" w:rsidRDefault="00423D02" w:rsidP="0008700F">
      <w:pPr>
        <w:pStyle w:val="ListParagraph"/>
        <w:numPr>
          <w:ilvl w:val="0"/>
          <w:numId w:val="24"/>
        </w:numPr>
        <w:spacing w:after="120"/>
        <w:jc w:val="both"/>
        <w:rPr>
          <w:iCs/>
        </w:rPr>
      </w:pPr>
      <w:r w:rsidRPr="0008700F">
        <w:rPr>
          <w:iCs/>
        </w:rPr>
        <w:t>The reported year-end position of the total Dedicated Schools Grant (DSG</w:t>
      </w:r>
      <w:proofErr w:type="gramStart"/>
      <w:r w:rsidRPr="0008700F">
        <w:rPr>
          <w:iCs/>
        </w:rPr>
        <w:t>);</w:t>
      </w:r>
      <w:proofErr w:type="gramEnd"/>
    </w:p>
    <w:p w14:paraId="573C5DE0" w14:textId="77777777" w:rsidR="00423D02" w:rsidRPr="0008700F" w:rsidRDefault="00423D02" w:rsidP="0008700F">
      <w:pPr>
        <w:pStyle w:val="ListParagraph"/>
        <w:numPr>
          <w:ilvl w:val="0"/>
          <w:numId w:val="24"/>
        </w:numPr>
        <w:spacing w:after="120"/>
        <w:jc w:val="both"/>
        <w:rPr>
          <w:iCs/>
        </w:rPr>
      </w:pPr>
      <w:r w:rsidRPr="0008700F">
        <w:rPr>
          <w:iCs/>
        </w:rPr>
        <w:t>The reported position of schools completing the Schools Financial Value</w:t>
      </w:r>
      <w:r w:rsidR="004401D0" w:rsidRPr="0008700F">
        <w:rPr>
          <w:iCs/>
        </w:rPr>
        <w:t xml:space="preserve"> </w:t>
      </w:r>
      <w:r w:rsidRPr="0008700F">
        <w:rPr>
          <w:iCs/>
        </w:rPr>
        <w:t>Standard (SFVS); and</w:t>
      </w:r>
    </w:p>
    <w:p w14:paraId="41EA3F87" w14:textId="28169414" w:rsidR="00423D02" w:rsidRPr="0008700F" w:rsidRDefault="00423D02" w:rsidP="0008700F">
      <w:pPr>
        <w:pStyle w:val="ListParagraph"/>
        <w:numPr>
          <w:ilvl w:val="0"/>
          <w:numId w:val="24"/>
        </w:numPr>
        <w:spacing w:after="120"/>
        <w:jc w:val="both"/>
        <w:rPr>
          <w:iCs/>
        </w:rPr>
      </w:pPr>
      <w:r w:rsidRPr="0008700F">
        <w:rPr>
          <w:iCs/>
        </w:rPr>
        <w:t>The reported position of surplus school balances held.</w:t>
      </w:r>
    </w:p>
    <w:p w14:paraId="053B867B" w14:textId="77777777" w:rsidR="004963AA" w:rsidRPr="0008700F" w:rsidRDefault="004963AA" w:rsidP="0008700F">
      <w:pPr>
        <w:pStyle w:val="ListParagraph"/>
        <w:spacing w:after="120"/>
        <w:ind w:left="1080"/>
        <w:jc w:val="both"/>
        <w:rPr>
          <w:iCs/>
        </w:rPr>
      </w:pPr>
    </w:p>
    <w:p w14:paraId="2552FE74" w14:textId="77777777" w:rsidR="0008700F" w:rsidRPr="0008700F" w:rsidRDefault="0008700F" w:rsidP="00400AA7">
      <w:pPr>
        <w:pStyle w:val="ListParagraph"/>
        <w:spacing w:after="120"/>
        <w:ind w:left="709"/>
        <w:jc w:val="both"/>
        <w:rPr>
          <w:iCs/>
        </w:rPr>
      </w:pPr>
    </w:p>
    <w:p w14:paraId="57536672" w14:textId="44566F4C" w:rsidR="0008700F" w:rsidRPr="0008700F" w:rsidRDefault="00F33D37" w:rsidP="00400AA7">
      <w:pPr>
        <w:pStyle w:val="ListParagraph"/>
        <w:numPr>
          <w:ilvl w:val="1"/>
          <w:numId w:val="29"/>
        </w:numPr>
        <w:spacing w:after="120"/>
        <w:ind w:left="709" w:hanging="709"/>
        <w:jc w:val="both"/>
        <w:rPr>
          <w:iCs/>
        </w:rPr>
      </w:pPr>
      <w:r w:rsidRPr="0008700F">
        <w:rPr>
          <w:iCs/>
        </w:rPr>
        <w:t xml:space="preserve">Schools are also required to submit quarterly monitoring information, which includes a projection of the year end position, and should evidence progress or potential further financial risk is assessed.  </w:t>
      </w:r>
      <w:r w:rsidR="00D273FE" w:rsidRPr="0008700F">
        <w:rPr>
          <w:iCs/>
        </w:rPr>
        <w:t xml:space="preserve">Where proposals are accepted, schools will </w:t>
      </w:r>
      <w:r w:rsidR="006743FF" w:rsidRPr="0008700F">
        <w:rPr>
          <w:iCs/>
        </w:rPr>
        <w:t xml:space="preserve">continue to </w:t>
      </w:r>
      <w:r w:rsidR="00D273FE" w:rsidRPr="0008700F">
        <w:rPr>
          <w:iCs/>
        </w:rPr>
        <w:t xml:space="preserve">be </w:t>
      </w:r>
      <w:r w:rsidR="006743FF" w:rsidRPr="0008700F">
        <w:rPr>
          <w:iCs/>
        </w:rPr>
        <w:t xml:space="preserve">supported and </w:t>
      </w:r>
      <w:r w:rsidR="00D273FE" w:rsidRPr="0008700F">
        <w:rPr>
          <w:iCs/>
        </w:rPr>
        <w:t>monitored to ensure the plans are put into practice</w:t>
      </w:r>
      <w:r w:rsidR="006743FF" w:rsidRPr="0008700F">
        <w:rPr>
          <w:iCs/>
        </w:rPr>
        <w:t xml:space="preserve"> and are sustainable. </w:t>
      </w:r>
    </w:p>
    <w:p w14:paraId="06A816FB" w14:textId="77777777" w:rsidR="0008700F" w:rsidRPr="0008700F" w:rsidRDefault="0008700F" w:rsidP="00400AA7">
      <w:pPr>
        <w:pStyle w:val="ListParagraph"/>
        <w:spacing w:after="120"/>
        <w:ind w:left="709"/>
        <w:jc w:val="both"/>
        <w:rPr>
          <w:iCs/>
        </w:rPr>
      </w:pPr>
    </w:p>
    <w:p w14:paraId="39026E4F" w14:textId="070C2EA1" w:rsidR="00264263" w:rsidRDefault="0008700F" w:rsidP="00400AA7">
      <w:pPr>
        <w:pStyle w:val="ListParagraph"/>
        <w:numPr>
          <w:ilvl w:val="1"/>
          <w:numId w:val="29"/>
        </w:numPr>
        <w:spacing w:after="120"/>
        <w:ind w:left="709" w:hanging="709"/>
        <w:jc w:val="both"/>
        <w:rPr>
          <w:iCs/>
        </w:rPr>
      </w:pPr>
      <w:r w:rsidRPr="0008700F">
        <w:rPr>
          <w:iCs/>
        </w:rPr>
        <w:t>Following the final reconciliation of school’s balances, and w</w:t>
      </w:r>
      <w:r w:rsidR="00D273FE" w:rsidRPr="0008700F">
        <w:rPr>
          <w:iCs/>
        </w:rPr>
        <w:t xml:space="preserve">here proposals are not accepted, the surplus funding </w:t>
      </w:r>
      <w:r w:rsidR="00F33D37" w:rsidRPr="0008700F">
        <w:rPr>
          <w:iCs/>
        </w:rPr>
        <w:t>(</w:t>
      </w:r>
      <w:proofErr w:type="gramStart"/>
      <w:r w:rsidR="00F33D37" w:rsidRPr="0008700F">
        <w:rPr>
          <w:iCs/>
        </w:rPr>
        <w:t>in excess of</w:t>
      </w:r>
      <w:proofErr w:type="gramEnd"/>
      <w:r w:rsidR="00F33D37" w:rsidRPr="0008700F">
        <w:rPr>
          <w:iCs/>
        </w:rPr>
        <w:t xml:space="preserve"> the </w:t>
      </w:r>
      <w:r w:rsidRPr="0008700F">
        <w:rPr>
          <w:iCs/>
        </w:rPr>
        <w:t>1</w:t>
      </w:r>
      <w:r w:rsidR="005B2933">
        <w:rPr>
          <w:iCs/>
        </w:rPr>
        <w:t>2</w:t>
      </w:r>
      <w:r w:rsidR="00F33D37" w:rsidRPr="0008700F">
        <w:rPr>
          <w:iCs/>
        </w:rPr>
        <w:t xml:space="preserve">%) </w:t>
      </w:r>
      <w:r w:rsidRPr="0008700F">
        <w:rPr>
          <w:iCs/>
        </w:rPr>
        <w:t xml:space="preserve">will be presented for discussion at Schools Forum before action is taken. </w:t>
      </w:r>
      <w:r w:rsidR="001C7BE6" w:rsidRPr="0008700F">
        <w:rPr>
          <w:iCs/>
        </w:rPr>
        <w:t xml:space="preserve"> </w:t>
      </w:r>
    </w:p>
    <w:p w14:paraId="4234C4BC" w14:textId="2CB8CF97" w:rsidR="00C424B1" w:rsidRDefault="00C424B1">
      <w:pPr>
        <w:rPr>
          <w:b/>
          <w:highlight w:val="yellow"/>
        </w:rPr>
      </w:pPr>
      <w:r>
        <w:rPr>
          <w:b/>
          <w:highlight w:val="yellow"/>
        </w:rPr>
        <w:br w:type="page"/>
      </w:r>
    </w:p>
    <w:tbl>
      <w:tblPr>
        <w:tblStyle w:val="TableGrid"/>
        <w:tblW w:w="9662" w:type="dxa"/>
        <w:tblLook w:val="04A0" w:firstRow="1" w:lastRow="0" w:firstColumn="1" w:lastColumn="0" w:noHBand="0" w:noVBand="1"/>
      </w:tblPr>
      <w:tblGrid>
        <w:gridCol w:w="2760"/>
        <w:gridCol w:w="2201"/>
        <w:gridCol w:w="1130"/>
        <w:gridCol w:w="2360"/>
        <w:gridCol w:w="1211"/>
      </w:tblGrid>
      <w:tr w:rsidR="00A62890" w:rsidRPr="00C424B1" w14:paraId="595C24EA" w14:textId="77777777" w:rsidTr="00B90222">
        <w:trPr>
          <w:trHeight w:val="843"/>
        </w:trPr>
        <w:tc>
          <w:tcPr>
            <w:tcW w:w="2760" w:type="dxa"/>
            <w:hideMark/>
          </w:tcPr>
          <w:p w14:paraId="4D0A7964" w14:textId="58B4C3B9" w:rsidR="00A62890" w:rsidRPr="00C424B1" w:rsidRDefault="00A62890" w:rsidP="00C424B1">
            <w:pPr>
              <w:rPr>
                <w:rFonts w:ascii="Calibri" w:hAnsi="Calibri" w:cs="Calibri"/>
                <w:b/>
                <w:bCs/>
                <w:color w:val="000000"/>
                <w:sz w:val="22"/>
                <w:szCs w:val="22"/>
              </w:rPr>
            </w:pPr>
            <w:r w:rsidRPr="00C424B1">
              <w:rPr>
                <w:rFonts w:ascii="Calibri" w:hAnsi="Calibri" w:cs="Calibri"/>
                <w:b/>
                <w:bCs/>
                <w:color w:val="000000"/>
                <w:sz w:val="22"/>
                <w:szCs w:val="22"/>
              </w:rPr>
              <w:lastRenderedPageBreak/>
              <w:t>School</w:t>
            </w:r>
          </w:p>
        </w:tc>
        <w:tc>
          <w:tcPr>
            <w:tcW w:w="2201" w:type="dxa"/>
            <w:hideMark/>
          </w:tcPr>
          <w:p w14:paraId="25DFD596" w14:textId="14A1EA1F" w:rsidR="00A62890" w:rsidRPr="00C424B1" w:rsidRDefault="00A62890" w:rsidP="00C424B1">
            <w:pPr>
              <w:jc w:val="center"/>
              <w:rPr>
                <w:rFonts w:ascii="Calibri" w:hAnsi="Calibri" w:cs="Calibri"/>
                <w:b/>
                <w:bCs/>
                <w:color w:val="000000"/>
                <w:sz w:val="22"/>
                <w:szCs w:val="22"/>
              </w:rPr>
            </w:pPr>
            <w:r w:rsidRPr="00C424B1">
              <w:rPr>
                <w:rFonts w:ascii="Calibri" w:hAnsi="Calibri" w:cs="Calibri"/>
                <w:b/>
                <w:bCs/>
                <w:color w:val="000000"/>
                <w:sz w:val="22"/>
                <w:szCs w:val="22"/>
              </w:rPr>
              <w:t xml:space="preserve">2020/21 </w:t>
            </w:r>
            <w:r w:rsidRPr="00C424B1">
              <w:rPr>
                <w:rFonts w:ascii="Calibri" w:hAnsi="Calibri" w:cs="Calibri"/>
                <w:b/>
                <w:bCs/>
                <w:color w:val="000000"/>
                <w:sz w:val="22"/>
                <w:szCs w:val="22"/>
              </w:rPr>
              <w:br/>
              <w:t>Revenue balance</w:t>
            </w:r>
          </w:p>
        </w:tc>
        <w:tc>
          <w:tcPr>
            <w:tcW w:w="1130" w:type="dxa"/>
            <w:noWrap/>
            <w:hideMark/>
          </w:tcPr>
          <w:p w14:paraId="17119052" w14:textId="2235DE64" w:rsidR="00A62890" w:rsidRPr="00C424B1" w:rsidRDefault="00A62890" w:rsidP="00C424B1">
            <w:pPr>
              <w:jc w:val="center"/>
              <w:rPr>
                <w:rFonts w:ascii="Calibri" w:hAnsi="Calibri" w:cs="Calibri"/>
                <w:color w:val="000000"/>
                <w:sz w:val="22"/>
                <w:szCs w:val="22"/>
              </w:rPr>
            </w:pPr>
            <w:r w:rsidRPr="0055779A">
              <w:rPr>
                <w:rFonts w:ascii="Calibri" w:hAnsi="Calibri" w:cs="Calibri"/>
                <w:color w:val="000000"/>
                <w:sz w:val="22"/>
                <w:szCs w:val="22"/>
              </w:rPr>
              <w:t>Rev surplus 20-21</w:t>
            </w:r>
          </w:p>
        </w:tc>
        <w:tc>
          <w:tcPr>
            <w:tcW w:w="2360" w:type="dxa"/>
            <w:hideMark/>
          </w:tcPr>
          <w:p w14:paraId="17DA4F71" w14:textId="77777777" w:rsidR="00A62890" w:rsidRPr="00C424B1" w:rsidRDefault="00A62890" w:rsidP="00C424B1">
            <w:pPr>
              <w:jc w:val="center"/>
              <w:rPr>
                <w:rFonts w:ascii="Calibri" w:hAnsi="Calibri" w:cs="Calibri"/>
                <w:b/>
                <w:bCs/>
                <w:color w:val="000000"/>
                <w:sz w:val="22"/>
                <w:szCs w:val="22"/>
              </w:rPr>
            </w:pPr>
            <w:r w:rsidRPr="00C424B1">
              <w:rPr>
                <w:rFonts w:ascii="Calibri" w:hAnsi="Calibri" w:cs="Calibri"/>
                <w:b/>
                <w:bCs/>
                <w:color w:val="000000"/>
                <w:sz w:val="22"/>
                <w:szCs w:val="22"/>
              </w:rPr>
              <w:t xml:space="preserve">2021/22 C/F </w:t>
            </w:r>
            <w:r w:rsidRPr="00C424B1">
              <w:rPr>
                <w:rFonts w:ascii="Calibri" w:hAnsi="Calibri" w:cs="Calibri"/>
                <w:b/>
                <w:bCs/>
                <w:color w:val="000000"/>
                <w:sz w:val="22"/>
                <w:szCs w:val="22"/>
              </w:rPr>
              <w:br/>
              <w:t>Provisional</w:t>
            </w:r>
            <w:r w:rsidRPr="00C424B1">
              <w:rPr>
                <w:rFonts w:ascii="Calibri" w:hAnsi="Calibri" w:cs="Calibri"/>
                <w:b/>
                <w:bCs/>
                <w:color w:val="000000"/>
                <w:sz w:val="22"/>
                <w:szCs w:val="22"/>
              </w:rPr>
              <w:br/>
              <w:t>Revenue balance</w:t>
            </w:r>
          </w:p>
        </w:tc>
        <w:tc>
          <w:tcPr>
            <w:tcW w:w="1211" w:type="dxa"/>
            <w:hideMark/>
          </w:tcPr>
          <w:p w14:paraId="187EF3D0" w14:textId="075445E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 xml:space="preserve">rev surplus </w:t>
            </w:r>
            <w:r>
              <w:rPr>
                <w:rFonts w:ascii="Calibri" w:hAnsi="Calibri" w:cs="Calibri"/>
                <w:color w:val="000000"/>
                <w:sz w:val="22"/>
                <w:szCs w:val="22"/>
              </w:rPr>
              <w:t>21-22</w:t>
            </w:r>
          </w:p>
        </w:tc>
      </w:tr>
      <w:tr w:rsidR="00A62890" w:rsidRPr="00C424B1" w14:paraId="516613A3" w14:textId="77777777" w:rsidTr="00B90222">
        <w:trPr>
          <w:trHeight w:val="290"/>
        </w:trPr>
        <w:tc>
          <w:tcPr>
            <w:tcW w:w="2760" w:type="dxa"/>
            <w:noWrap/>
            <w:hideMark/>
          </w:tcPr>
          <w:p w14:paraId="3F01013F"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Alice Model</w:t>
            </w:r>
          </w:p>
        </w:tc>
        <w:tc>
          <w:tcPr>
            <w:tcW w:w="2201" w:type="dxa"/>
            <w:noWrap/>
            <w:hideMark/>
          </w:tcPr>
          <w:p w14:paraId="2499985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95,232</w:t>
            </w:r>
          </w:p>
        </w:tc>
        <w:tc>
          <w:tcPr>
            <w:tcW w:w="1130" w:type="dxa"/>
            <w:noWrap/>
            <w:hideMark/>
          </w:tcPr>
          <w:p w14:paraId="337716C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16%</w:t>
            </w:r>
          </w:p>
        </w:tc>
        <w:tc>
          <w:tcPr>
            <w:tcW w:w="2360" w:type="dxa"/>
            <w:noWrap/>
            <w:hideMark/>
          </w:tcPr>
          <w:p w14:paraId="7AB0C45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24,333</w:t>
            </w:r>
          </w:p>
        </w:tc>
        <w:tc>
          <w:tcPr>
            <w:tcW w:w="1211" w:type="dxa"/>
            <w:noWrap/>
            <w:hideMark/>
          </w:tcPr>
          <w:p w14:paraId="57542040"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w:t>
            </w:r>
          </w:p>
        </w:tc>
      </w:tr>
      <w:tr w:rsidR="00A62890" w:rsidRPr="00C424B1" w14:paraId="413E1FC1" w14:textId="77777777" w:rsidTr="00B90222">
        <w:trPr>
          <w:trHeight w:val="290"/>
        </w:trPr>
        <w:tc>
          <w:tcPr>
            <w:tcW w:w="2760" w:type="dxa"/>
            <w:noWrap/>
            <w:hideMark/>
          </w:tcPr>
          <w:p w14:paraId="540C2CA1"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Childrens House</w:t>
            </w:r>
          </w:p>
        </w:tc>
        <w:tc>
          <w:tcPr>
            <w:tcW w:w="2201" w:type="dxa"/>
            <w:noWrap/>
            <w:hideMark/>
          </w:tcPr>
          <w:p w14:paraId="72190336"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231,521</w:t>
            </w:r>
          </w:p>
        </w:tc>
        <w:tc>
          <w:tcPr>
            <w:tcW w:w="1130" w:type="dxa"/>
            <w:noWrap/>
            <w:hideMark/>
          </w:tcPr>
          <w:p w14:paraId="449D2FF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27%</w:t>
            </w:r>
          </w:p>
        </w:tc>
        <w:tc>
          <w:tcPr>
            <w:tcW w:w="2360" w:type="dxa"/>
            <w:noWrap/>
            <w:hideMark/>
          </w:tcPr>
          <w:p w14:paraId="5D451E2B"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299,425</w:t>
            </w:r>
          </w:p>
        </w:tc>
        <w:tc>
          <w:tcPr>
            <w:tcW w:w="1211" w:type="dxa"/>
            <w:noWrap/>
            <w:hideMark/>
          </w:tcPr>
          <w:p w14:paraId="3FC34515"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30%</w:t>
            </w:r>
          </w:p>
        </w:tc>
      </w:tr>
      <w:tr w:rsidR="00A62890" w:rsidRPr="00C424B1" w14:paraId="0303CEDB" w14:textId="77777777" w:rsidTr="00B90222">
        <w:trPr>
          <w:trHeight w:val="290"/>
        </w:trPr>
        <w:tc>
          <w:tcPr>
            <w:tcW w:w="2760" w:type="dxa"/>
            <w:noWrap/>
            <w:hideMark/>
          </w:tcPr>
          <w:p w14:paraId="075502E3"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Columbia Market</w:t>
            </w:r>
          </w:p>
        </w:tc>
        <w:tc>
          <w:tcPr>
            <w:tcW w:w="2201" w:type="dxa"/>
            <w:noWrap/>
            <w:hideMark/>
          </w:tcPr>
          <w:p w14:paraId="635C74C9"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212,678</w:t>
            </w:r>
          </w:p>
        </w:tc>
        <w:tc>
          <w:tcPr>
            <w:tcW w:w="1130" w:type="dxa"/>
            <w:noWrap/>
            <w:hideMark/>
          </w:tcPr>
          <w:p w14:paraId="6CF9374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33%</w:t>
            </w:r>
          </w:p>
        </w:tc>
        <w:tc>
          <w:tcPr>
            <w:tcW w:w="2360" w:type="dxa"/>
            <w:noWrap/>
            <w:hideMark/>
          </w:tcPr>
          <w:p w14:paraId="2FCBA7F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233,046</w:t>
            </w:r>
          </w:p>
        </w:tc>
        <w:tc>
          <w:tcPr>
            <w:tcW w:w="1211" w:type="dxa"/>
            <w:noWrap/>
            <w:hideMark/>
          </w:tcPr>
          <w:p w14:paraId="0DE0C575"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34%</w:t>
            </w:r>
          </w:p>
        </w:tc>
      </w:tr>
      <w:tr w:rsidR="00A62890" w:rsidRPr="00C424B1" w14:paraId="40E6F749" w14:textId="77777777" w:rsidTr="00B90222">
        <w:trPr>
          <w:trHeight w:val="290"/>
        </w:trPr>
        <w:tc>
          <w:tcPr>
            <w:tcW w:w="2760" w:type="dxa"/>
            <w:noWrap/>
            <w:hideMark/>
          </w:tcPr>
          <w:p w14:paraId="4423679F"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Harry Roberts</w:t>
            </w:r>
          </w:p>
        </w:tc>
        <w:tc>
          <w:tcPr>
            <w:tcW w:w="2201" w:type="dxa"/>
            <w:noWrap/>
            <w:hideMark/>
          </w:tcPr>
          <w:p w14:paraId="1D4B2438"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2,756</w:t>
            </w:r>
          </w:p>
        </w:tc>
        <w:tc>
          <w:tcPr>
            <w:tcW w:w="1130" w:type="dxa"/>
            <w:noWrap/>
            <w:hideMark/>
          </w:tcPr>
          <w:p w14:paraId="66B9409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0%</w:t>
            </w:r>
          </w:p>
        </w:tc>
        <w:tc>
          <w:tcPr>
            <w:tcW w:w="2360" w:type="dxa"/>
            <w:noWrap/>
            <w:hideMark/>
          </w:tcPr>
          <w:p w14:paraId="6BEF2523" w14:textId="77777777" w:rsidR="00A62890" w:rsidRPr="00C424B1" w:rsidRDefault="00A62890" w:rsidP="00C424B1">
            <w:pPr>
              <w:jc w:val="center"/>
              <w:rPr>
                <w:rFonts w:ascii="Calibri" w:hAnsi="Calibri" w:cs="Calibri"/>
                <w:color w:val="000000"/>
                <w:sz w:val="22"/>
                <w:szCs w:val="22"/>
              </w:rPr>
            </w:pPr>
            <w:r w:rsidRPr="00B90222">
              <w:rPr>
                <w:rFonts w:ascii="Calibri" w:hAnsi="Calibri" w:cs="Calibri"/>
                <w:color w:val="FF0000"/>
                <w:sz w:val="22"/>
                <w:szCs w:val="22"/>
              </w:rPr>
              <w:t>-53,606</w:t>
            </w:r>
          </w:p>
        </w:tc>
        <w:tc>
          <w:tcPr>
            <w:tcW w:w="1211" w:type="dxa"/>
            <w:noWrap/>
            <w:hideMark/>
          </w:tcPr>
          <w:p w14:paraId="3D715C19"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-9%</w:t>
            </w:r>
          </w:p>
        </w:tc>
      </w:tr>
      <w:tr w:rsidR="00A62890" w:rsidRPr="00C424B1" w14:paraId="6BE2E08C" w14:textId="77777777" w:rsidTr="00B90222">
        <w:trPr>
          <w:trHeight w:val="290"/>
        </w:trPr>
        <w:tc>
          <w:tcPr>
            <w:tcW w:w="2760" w:type="dxa"/>
            <w:noWrap/>
            <w:hideMark/>
          </w:tcPr>
          <w:p w14:paraId="77A97AF1"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Old Church</w:t>
            </w:r>
          </w:p>
        </w:tc>
        <w:tc>
          <w:tcPr>
            <w:tcW w:w="2201" w:type="dxa"/>
            <w:noWrap/>
            <w:hideMark/>
          </w:tcPr>
          <w:p w14:paraId="3BDE5E1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-392,754</w:t>
            </w:r>
          </w:p>
        </w:tc>
        <w:tc>
          <w:tcPr>
            <w:tcW w:w="1130" w:type="dxa"/>
            <w:noWrap/>
            <w:hideMark/>
          </w:tcPr>
          <w:p w14:paraId="5CCBAF6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-31%</w:t>
            </w:r>
          </w:p>
        </w:tc>
        <w:tc>
          <w:tcPr>
            <w:tcW w:w="2360" w:type="dxa"/>
            <w:noWrap/>
            <w:hideMark/>
          </w:tcPr>
          <w:p w14:paraId="0D140A16"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-512,207</w:t>
            </w:r>
          </w:p>
        </w:tc>
        <w:tc>
          <w:tcPr>
            <w:tcW w:w="1211" w:type="dxa"/>
            <w:noWrap/>
            <w:hideMark/>
          </w:tcPr>
          <w:p w14:paraId="62E4502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-50%</w:t>
            </w:r>
          </w:p>
        </w:tc>
      </w:tr>
      <w:tr w:rsidR="00A62890" w:rsidRPr="00C424B1" w14:paraId="0C3D7515" w14:textId="77777777" w:rsidTr="00B90222">
        <w:trPr>
          <w:trHeight w:val="290"/>
        </w:trPr>
        <w:tc>
          <w:tcPr>
            <w:tcW w:w="2760" w:type="dxa"/>
            <w:noWrap/>
            <w:hideMark/>
          </w:tcPr>
          <w:p w14:paraId="79CD3D89"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Rachel Keeling</w:t>
            </w:r>
          </w:p>
        </w:tc>
        <w:tc>
          <w:tcPr>
            <w:tcW w:w="2201" w:type="dxa"/>
            <w:noWrap/>
            <w:hideMark/>
          </w:tcPr>
          <w:p w14:paraId="51BEB98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526,704</w:t>
            </w:r>
          </w:p>
        </w:tc>
        <w:tc>
          <w:tcPr>
            <w:tcW w:w="1130" w:type="dxa"/>
            <w:noWrap/>
            <w:hideMark/>
          </w:tcPr>
          <w:p w14:paraId="1CDFC377"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65%</w:t>
            </w:r>
          </w:p>
        </w:tc>
        <w:tc>
          <w:tcPr>
            <w:tcW w:w="2360" w:type="dxa"/>
            <w:noWrap/>
            <w:hideMark/>
          </w:tcPr>
          <w:p w14:paraId="4F5A5CC9"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430,868</w:t>
            </w:r>
          </w:p>
        </w:tc>
        <w:tc>
          <w:tcPr>
            <w:tcW w:w="1211" w:type="dxa"/>
            <w:noWrap/>
            <w:hideMark/>
          </w:tcPr>
          <w:p w14:paraId="5B454A3A"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64%</w:t>
            </w:r>
          </w:p>
        </w:tc>
      </w:tr>
      <w:tr w:rsidR="00A62890" w:rsidRPr="00C424B1" w14:paraId="447E0C28" w14:textId="77777777" w:rsidTr="00B90222">
        <w:trPr>
          <w:trHeight w:val="290"/>
        </w:trPr>
        <w:tc>
          <w:tcPr>
            <w:tcW w:w="2760" w:type="dxa"/>
            <w:noWrap/>
            <w:hideMark/>
          </w:tcPr>
          <w:p w14:paraId="2CC155AF" w14:textId="77777777" w:rsidR="00A62890" w:rsidRPr="00C424B1" w:rsidRDefault="00A62890" w:rsidP="00C424B1">
            <w:pPr>
              <w:rPr>
                <w:rFonts w:ascii="Calibri" w:hAnsi="Calibri" w:cs="Calibri"/>
                <w:color w:val="000000"/>
                <w:sz w:val="22"/>
                <w:szCs w:val="22"/>
              </w:rPr>
            </w:pPr>
          </w:p>
        </w:tc>
        <w:tc>
          <w:tcPr>
            <w:tcW w:w="2201" w:type="dxa"/>
            <w:noWrap/>
            <w:hideMark/>
          </w:tcPr>
          <w:p w14:paraId="1000F71D" w14:textId="77777777" w:rsidR="00A62890" w:rsidRPr="00C424B1" w:rsidRDefault="00A62890" w:rsidP="00C424B1">
            <w:pPr>
              <w:jc w:val="center"/>
              <w:rPr>
                <w:rFonts w:ascii="Times New Roman" w:hAnsi="Times New Roman"/>
                <w:sz w:val="20"/>
                <w:szCs w:val="20"/>
              </w:rPr>
            </w:pPr>
          </w:p>
        </w:tc>
        <w:tc>
          <w:tcPr>
            <w:tcW w:w="1130" w:type="dxa"/>
            <w:noWrap/>
            <w:hideMark/>
          </w:tcPr>
          <w:p w14:paraId="1014D387" w14:textId="77777777" w:rsidR="00A62890" w:rsidRPr="00C424B1" w:rsidRDefault="00A62890" w:rsidP="00C424B1">
            <w:pPr>
              <w:jc w:val="center"/>
              <w:rPr>
                <w:rFonts w:ascii="Times New Roman" w:hAnsi="Times New Roman"/>
                <w:sz w:val="20"/>
                <w:szCs w:val="20"/>
              </w:rPr>
            </w:pPr>
          </w:p>
        </w:tc>
        <w:tc>
          <w:tcPr>
            <w:tcW w:w="2360" w:type="dxa"/>
            <w:noWrap/>
            <w:hideMark/>
          </w:tcPr>
          <w:p w14:paraId="0A039A2B" w14:textId="77777777" w:rsidR="00A62890" w:rsidRPr="00C424B1" w:rsidRDefault="00A62890" w:rsidP="00C424B1">
            <w:pPr>
              <w:jc w:val="center"/>
              <w:rPr>
                <w:rFonts w:ascii="Times New Roman" w:hAnsi="Times New Roman"/>
                <w:sz w:val="20"/>
                <w:szCs w:val="20"/>
              </w:rPr>
            </w:pPr>
          </w:p>
        </w:tc>
        <w:tc>
          <w:tcPr>
            <w:tcW w:w="1211" w:type="dxa"/>
            <w:noWrap/>
            <w:hideMark/>
          </w:tcPr>
          <w:p w14:paraId="1A297BC6" w14:textId="77777777" w:rsidR="00A62890" w:rsidRPr="00C424B1" w:rsidRDefault="00A62890" w:rsidP="00C424B1">
            <w:pPr>
              <w:jc w:val="center"/>
              <w:rPr>
                <w:rFonts w:ascii="Calibri" w:hAnsi="Calibri" w:cs="Calibri"/>
                <w:color w:val="000000"/>
                <w:sz w:val="22"/>
                <w:szCs w:val="22"/>
              </w:rPr>
            </w:pPr>
          </w:p>
        </w:tc>
      </w:tr>
      <w:tr w:rsidR="00A62890" w:rsidRPr="00C424B1" w14:paraId="1CBEA5E6" w14:textId="77777777" w:rsidTr="00B90222">
        <w:trPr>
          <w:trHeight w:val="290"/>
        </w:trPr>
        <w:tc>
          <w:tcPr>
            <w:tcW w:w="2760" w:type="dxa"/>
            <w:noWrap/>
            <w:hideMark/>
          </w:tcPr>
          <w:p w14:paraId="32A54156"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Arnhem Wharf</w:t>
            </w:r>
          </w:p>
        </w:tc>
        <w:tc>
          <w:tcPr>
            <w:tcW w:w="2201" w:type="dxa"/>
            <w:noWrap/>
            <w:hideMark/>
          </w:tcPr>
          <w:p w14:paraId="08C83BD0"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1,125</w:t>
            </w:r>
          </w:p>
        </w:tc>
        <w:tc>
          <w:tcPr>
            <w:tcW w:w="1130" w:type="dxa"/>
            <w:noWrap/>
            <w:hideMark/>
          </w:tcPr>
          <w:p w14:paraId="04AB5D8D"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0%</w:t>
            </w:r>
          </w:p>
        </w:tc>
        <w:tc>
          <w:tcPr>
            <w:tcW w:w="2360" w:type="dxa"/>
            <w:noWrap/>
            <w:hideMark/>
          </w:tcPr>
          <w:p w14:paraId="3D30AC89"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73,080</w:t>
            </w:r>
          </w:p>
        </w:tc>
        <w:tc>
          <w:tcPr>
            <w:tcW w:w="1211" w:type="dxa"/>
            <w:noWrap/>
            <w:hideMark/>
          </w:tcPr>
          <w:p w14:paraId="6EE3303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w:t>
            </w:r>
          </w:p>
        </w:tc>
      </w:tr>
      <w:tr w:rsidR="00A62890" w:rsidRPr="00C424B1" w14:paraId="36634487" w14:textId="77777777" w:rsidTr="00B90222">
        <w:trPr>
          <w:trHeight w:val="290"/>
        </w:trPr>
        <w:tc>
          <w:tcPr>
            <w:tcW w:w="2760" w:type="dxa"/>
            <w:noWrap/>
            <w:hideMark/>
          </w:tcPr>
          <w:p w14:paraId="58EF2745"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Bangabandhu</w:t>
            </w:r>
          </w:p>
        </w:tc>
        <w:tc>
          <w:tcPr>
            <w:tcW w:w="2201" w:type="dxa"/>
            <w:noWrap/>
            <w:hideMark/>
          </w:tcPr>
          <w:p w14:paraId="69C25D2D"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41,314</w:t>
            </w:r>
          </w:p>
        </w:tc>
        <w:tc>
          <w:tcPr>
            <w:tcW w:w="1130" w:type="dxa"/>
            <w:noWrap/>
            <w:hideMark/>
          </w:tcPr>
          <w:p w14:paraId="607D82C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w:t>
            </w:r>
          </w:p>
        </w:tc>
        <w:tc>
          <w:tcPr>
            <w:tcW w:w="2360" w:type="dxa"/>
            <w:noWrap/>
            <w:hideMark/>
          </w:tcPr>
          <w:p w14:paraId="4A0E062C"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53,666</w:t>
            </w:r>
          </w:p>
        </w:tc>
        <w:tc>
          <w:tcPr>
            <w:tcW w:w="1211" w:type="dxa"/>
            <w:noWrap/>
            <w:hideMark/>
          </w:tcPr>
          <w:p w14:paraId="3043DC3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w:t>
            </w:r>
          </w:p>
        </w:tc>
      </w:tr>
      <w:tr w:rsidR="00A62890" w:rsidRPr="00C424B1" w14:paraId="51BCA9A3" w14:textId="77777777" w:rsidTr="00B90222">
        <w:trPr>
          <w:trHeight w:val="290"/>
        </w:trPr>
        <w:tc>
          <w:tcPr>
            <w:tcW w:w="2760" w:type="dxa"/>
            <w:noWrap/>
            <w:hideMark/>
          </w:tcPr>
          <w:p w14:paraId="1948CB22"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Ben Jonson</w:t>
            </w:r>
          </w:p>
        </w:tc>
        <w:tc>
          <w:tcPr>
            <w:tcW w:w="2201" w:type="dxa"/>
            <w:noWrap/>
            <w:hideMark/>
          </w:tcPr>
          <w:p w14:paraId="18A593E5"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88,291</w:t>
            </w:r>
          </w:p>
        </w:tc>
        <w:tc>
          <w:tcPr>
            <w:tcW w:w="1130" w:type="dxa"/>
            <w:noWrap/>
            <w:hideMark/>
          </w:tcPr>
          <w:p w14:paraId="2327890B"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w:t>
            </w:r>
          </w:p>
        </w:tc>
        <w:tc>
          <w:tcPr>
            <w:tcW w:w="2360" w:type="dxa"/>
            <w:noWrap/>
            <w:hideMark/>
          </w:tcPr>
          <w:p w14:paraId="3EC11E19"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22,429</w:t>
            </w:r>
          </w:p>
        </w:tc>
        <w:tc>
          <w:tcPr>
            <w:tcW w:w="1211" w:type="dxa"/>
            <w:noWrap/>
            <w:hideMark/>
          </w:tcPr>
          <w:p w14:paraId="28FECAF4"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0%</w:t>
            </w:r>
          </w:p>
        </w:tc>
      </w:tr>
      <w:tr w:rsidR="00A62890" w:rsidRPr="00C424B1" w14:paraId="5D54BDCA" w14:textId="77777777" w:rsidTr="00B90222">
        <w:trPr>
          <w:trHeight w:val="290"/>
        </w:trPr>
        <w:tc>
          <w:tcPr>
            <w:tcW w:w="2760" w:type="dxa"/>
            <w:noWrap/>
            <w:hideMark/>
          </w:tcPr>
          <w:p w14:paraId="4DC4B87E"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Bigland Green</w:t>
            </w:r>
          </w:p>
        </w:tc>
        <w:tc>
          <w:tcPr>
            <w:tcW w:w="2201" w:type="dxa"/>
            <w:noWrap/>
            <w:hideMark/>
          </w:tcPr>
          <w:p w14:paraId="0EE6914B"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998,981</w:t>
            </w:r>
          </w:p>
        </w:tc>
        <w:tc>
          <w:tcPr>
            <w:tcW w:w="1130" w:type="dxa"/>
            <w:noWrap/>
            <w:hideMark/>
          </w:tcPr>
          <w:p w14:paraId="3E60A3B7"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29%</w:t>
            </w:r>
          </w:p>
        </w:tc>
        <w:tc>
          <w:tcPr>
            <w:tcW w:w="2360" w:type="dxa"/>
            <w:noWrap/>
            <w:hideMark/>
          </w:tcPr>
          <w:p w14:paraId="1C758989"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1,071,213</w:t>
            </w:r>
          </w:p>
        </w:tc>
        <w:tc>
          <w:tcPr>
            <w:tcW w:w="1211" w:type="dxa"/>
            <w:noWrap/>
            <w:hideMark/>
          </w:tcPr>
          <w:p w14:paraId="6A8DCF40"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29%</w:t>
            </w:r>
          </w:p>
        </w:tc>
      </w:tr>
      <w:tr w:rsidR="00A62890" w:rsidRPr="00C424B1" w14:paraId="7276AD6F" w14:textId="77777777" w:rsidTr="00B90222">
        <w:trPr>
          <w:trHeight w:val="290"/>
        </w:trPr>
        <w:tc>
          <w:tcPr>
            <w:tcW w:w="2760" w:type="dxa"/>
            <w:noWrap/>
            <w:hideMark/>
          </w:tcPr>
          <w:p w14:paraId="1701CBAC"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Blue G F Infant</w:t>
            </w:r>
          </w:p>
        </w:tc>
        <w:tc>
          <w:tcPr>
            <w:tcW w:w="2201" w:type="dxa"/>
            <w:noWrap/>
            <w:hideMark/>
          </w:tcPr>
          <w:p w14:paraId="3AEF3E6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525,256</w:t>
            </w:r>
          </w:p>
        </w:tc>
        <w:tc>
          <w:tcPr>
            <w:tcW w:w="1130" w:type="dxa"/>
            <w:noWrap/>
            <w:hideMark/>
          </w:tcPr>
          <w:p w14:paraId="073ADD9A"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21%</w:t>
            </w:r>
          </w:p>
        </w:tc>
        <w:tc>
          <w:tcPr>
            <w:tcW w:w="2360" w:type="dxa"/>
            <w:noWrap/>
            <w:hideMark/>
          </w:tcPr>
          <w:p w14:paraId="7854160A"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223,214</w:t>
            </w:r>
          </w:p>
        </w:tc>
        <w:tc>
          <w:tcPr>
            <w:tcW w:w="1211" w:type="dxa"/>
            <w:noWrap/>
            <w:hideMark/>
          </w:tcPr>
          <w:p w14:paraId="6D084CC9"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9%</w:t>
            </w:r>
          </w:p>
        </w:tc>
      </w:tr>
      <w:tr w:rsidR="00A62890" w:rsidRPr="00C424B1" w14:paraId="59DEDD8C" w14:textId="77777777" w:rsidTr="00B90222">
        <w:trPr>
          <w:trHeight w:val="290"/>
        </w:trPr>
        <w:tc>
          <w:tcPr>
            <w:tcW w:w="2760" w:type="dxa"/>
            <w:noWrap/>
            <w:hideMark/>
          </w:tcPr>
          <w:p w14:paraId="4DE86340"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Blue G F Junior</w:t>
            </w:r>
          </w:p>
        </w:tc>
        <w:tc>
          <w:tcPr>
            <w:tcW w:w="2201" w:type="dxa"/>
            <w:noWrap/>
            <w:hideMark/>
          </w:tcPr>
          <w:p w14:paraId="673465B0"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427,062</w:t>
            </w:r>
          </w:p>
        </w:tc>
        <w:tc>
          <w:tcPr>
            <w:tcW w:w="1130" w:type="dxa"/>
            <w:noWrap/>
            <w:hideMark/>
          </w:tcPr>
          <w:p w14:paraId="602E102A"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17%</w:t>
            </w:r>
          </w:p>
        </w:tc>
        <w:tc>
          <w:tcPr>
            <w:tcW w:w="2360" w:type="dxa"/>
            <w:noWrap/>
            <w:hideMark/>
          </w:tcPr>
          <w:p w14:paraId="622F056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208,670</w:t>
            </w:r>
          </w:p>
        </w:tc>
        <w:tc>
          <w:tcPr>
            <w:tcW w:w="1211" w:type="dxa"/>
            <w:noWrap/>
            <w:hideMark/>
          </w:tcPr>
          <w:p w14:paraId="6F2AD94A"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8%</w:t>
            </w:r>
          </w:p>
        </w:tc>
      </w:tr>
      <w:tr w:rsidR="00A62890" w:rsidRPr="00C424B1" w14:paraId="23630DA5" w14:textId="77777777" w:rsidTr="00B90222">
        <w:trPr>
          <w:trHeight w:val="290"/>
        </w:trPr>
        <w:tc>
          <w:tcPr>
            <w:tcW w:w="2760" w:type="dxa"/>
            <w:noWrap/>
            <w:hideMark/>
          </w:tcPr>
          <w:p w14:paraId="55E632D4"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Bonner</w:t>
            </w:r>
          </w:p>
        </w:tc>
        <w:tc>
          <w:tcPr>
            <w:tcW w:w="2201" w:type="dxa"/>
            <w:noWrap/>
            <w:hideMark/>
          </w:tcPr>
          <w:p w14:paraId="7B38C93A"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0</w:t>
            </w:r>
          </w:p>
        </w:tc>
        <w:tc>
          <w:tcPr>
            <w:tcW w:w="1130" w:type="dxa"/>
            <w:noWrap/>
            <w:hideMark/>
          </w:tcPr>
          <w:p w14:paraId="4C8CAA95"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0%</w:t>
            </w:r>
          </w:p>
        </w:tc>
        <w:tc>
          <w:tcPr>
            <w:tcW w:w="2360" w:type="dxa"/>
            <w:noWrap/>
            <w:hideMark/>
          </w:tcPr>
          <w:p w14:paraId="4B79015A"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-215,691</w:t>
            </w:r>
          </w:p>
        </w:tc>
        <w:tc>
          <w:tcPr>
            <w:tcW w:w="1211" w:type="dxa"/>
            <w:noWrap/>
            <w:hideMark/>
          </w:tcPr>
          <w:p w14:paraId="31945A90"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-3%</w:t>
            </w:r>
          </w:p>
        </w:tc>
      </w:tr>
      <w:tr w:rsidR="00A62890" w:rsidRPr="00C424B1" w14:paraId="37702CE4" w14:textId="77777777" w:rsidTr="00B90222">
        <w:trPr>
          <w:trHeight w:val="290"/>
        </w:trPr>
        <w:tc>
          <w:tcPr>
            <w:tcW w:w="2760" w:type="dxa"/>
            <w:noWrap/>
            <w:hideMark/>
          </w:tcPr>
          <w:p w14:paraId="2A0F49C9"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Canon Barnett</w:t>
            </w:r>
          </w:p>
        </w:tc>
        <w:tc>
          <w:tcPr>
            <w:tcW w:w="2201" w:type="dxa"/>
            <w:noWrap/>
            <w:hideMark/>
          </w:tcPr>
          <w:p w14:paraId="278E6B8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106,071</w:t>
            </w:r>
          </w:p>
        </w:tc>
        <w:tc>
          <w:tcPr>
            <w:tcW w:w="1130" w:type="dxa"/>
            <w:noWrap/>
            <w:hideMark/>
          </w:tcPr>
          <w:p w14:paraId="1DBEF248"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6%</w:t>
            </w:r>
          </w:p>
        </w:tc>
        <w:tc>
          <w:tcPr>
            <w:tcW w:w="2360" w:type="dxa"/>
            <w:noWrap/>
            <w:hideMark/>
          </w:tcPr>
          <w:p w14:paraId="41617365"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4,319</w:t>
            </w:r>
          </w:p>
        </w:tc>
        <w:tc>
          <w:tcPr>
            <w:tcW w:w="1211" w:type="dxa"/>
            <w:noWrap/>
            <w:hideMark/>
          </w:tcPr>
          <w:p w14:paraId="3E5E0199"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0%</w:t>
            </w:r>
          </w:p>
        </w:tc>
      </w:tr>
      <w:tr w:rsidR="00A62890" w:rsidRPr="00C424B1" w14:paraId="68DA3B80" w14:textId="77777777" w:rsidTr="00B90222">
        <w:trPr>
          <w:trHeight w:val="290"/>
        </w:trPr>
        <w:tc>
          <w:tcPr>
            <w:tcW w:w="2760" w:type="dxa"/>
            <w:noWrap/>
            <w:hideMark/>
          </w:tcPr>
          <w:p w14:paraId="6576E64A"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Cayley</w:t>
            </w:r>
          </w:p>
        </w:tc>
        <w:tc>
          <w:tcPr>
            <w:tcW w:w="2201" w:type="dxa"/>
            <w:noWrap/>
            <w:hideMark/>
          </w:tcPr>
          <w:p w14:paraId="1D6D9F5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927,463</w:t>
            </w:r>
          </w:p>
        </w:tc>
        <w:tc>
          <w:tcPr>
            <w:tcW w:w="1130" w:type="dxa"/>
            <w:noWrap/>
            <w:hideMark/>
          </w:tcPr>
          <w:p w14:paraId="1185B8A0"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23%</w:t>
            </w:r>
          </w:p>
        </w:tc>
        <w:tc>
          <w:tcPr>
            <w:tcW w:w="2360" w:type="dxa"/>
            <w:noWrap/>
            <w:hideMark/>
          </w:tcPr>
          <w:p w14:paraId="52088F9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791,060</w:t>
            </w:r>
          </w:p>
        </w:tc>
        <w:tc>
          <w:tcPr>
            <w:tcW w:w="1211" w:type="dxa"/>
            <w:noWrap/>
            <w:hideMark/>
          </w:tcPr>
          <w:p w14:paraId="254BD294"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20%</w:t>
            </w:r>
          </w:p>
        </w:tc>
      </w:tr>
      <w:tr w:rsidR="00A62890" w:rsidRPr="00C424B1" w14:paraId="134F7A70" w14:textId="77777777" w:rsidTr="00B90222">
        <w:trPr>
          <w:trHeight w:val="290"/>
        </w:trPr>
        <w:tc>
          <w:tcPr>
            <w:tcW w:w="2760" w:type="dxa"/>
            <w:noWrap/>
            <w:hideMark/>
          </w:tcPr>
          <w:p w14:paraId="17297F22"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Chisenhale</w:t>
            </w:r>
          </w:p>
        </w:tc>
        <w:tc>
          <w:tcPr>
            <w:tcW w:w="2201" w:type="dxa"/>
            <w:noWrap/>
            <w:hideMark/>
          </w:tcPr>
          <w:p w14:paraId="2DFF08D4"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90,296</w:t>
            </w:r>
          </w:p>
        </w:tc>
        <w:tc>
          <w:tcPr>
            <w:tcW w:w="1130" w:type="dxa"/>
            <w:noWrap/>
            <w:hideMark/>
          </w:tcPr>
          <w:p w14:paraId="2C027FD0"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3%</w:t>
            </w:r>
          </w:p>
        </w:tc>
        <w:tc>
          <w:tcPr>
            <w:tcW w:w="2360" w:type="dxa"/>
            <w:noWrap/>
            <w:hideMark/>
          </w:tcPr>
          <w:p w14:paraId="76EE1D6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-61,234</w:t>
            </w:r>
          </w:p>
        </w:tc>
        <w:tc>
          <w:tcPr>
            <w:tcW w:w="1211" w:type="dxa"/>
            <w:noWrap/>
            <w:hideMark/>
          </w:tcPr>
          <w:p w14:paraId="747A4FAC"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-2%</w:t>
            </w:r>
          </w:p>
        </w:tc>
      </w:tr>
      <w:tr w:rsidR="00A62890" w:rsidRPr="00C424B1" w14:paraId="7E937302" w14:textId="77777777" w:rsidTr="00B90222">
        <w:trPr>
          <w:trHeight w:val="290"/>
        </w:trPr>
        <w:tc>
          <w:tcPr>
            <w:tcW w:w="2760" w:type="dxa"/>
            <w:noWrap/>
            <w:hideMark/>
          </w:tcPr>
          <w:p w14:paraId="6B18E564"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Christchurch</w:t>
            </w:r>
          </w:p>
        </w:tc>
        <w:tc>
          <w:tcPr>
            <w:tcW w:w="2201" w:type="dxa"/>
            <w:noWrap/>
            <w:hideMark/>
          </w:tcPr>
          <w:p w14:paraId="35250AD7"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289,280</w:t>
            </w:r>
          </w:p>
        </w:tc>
        <w:tc>
          <w:tcPr>
            <w:tcW w:w="1130" w:type="dxa"/>
            <w:noWrap/>
            <w:hideMark/>
          </w:tcPr>
          <w:p w14:paraId="691DA7F4"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19%</w:t>
            </w:r>
          </w:p>
        </w:tc>
        <w:tc>
          <w:tcPr>
            <w:tcW w:w="2360" w:type="dxa"/>
            <w:noWrap/>
            <w:hideMark/>
          </w:tcPr>
          <w:p w14:paraId="31C13147"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176,170</w:t>
            </w:r>
          </w:p>
        </w:tc>
        <w:tc>
          <w:tcPr>
            <w:tcW w:w="1211" w:type="dxa"/>
            <w:noWrap/>
            <w:hideMark/>
          </w:tcPr>
          <w:p w14:paraId="67B3FA3A"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11%</w:t>
            </w:r>
          </w:p>
        </w:tc>
      </w:tr>
      <w:tr w:rsidR="00A62890" w:rsidRPr="00C424B1" w14:paraId="4049539F" w14:textId="77777777" w:rsidTr="00B90222">
        <w:trPr>
          <w:trHeight w:val="290"/>
        </w:trPr>
        <w:tc>
          <w:tcPr>
            <w:tcW w:w="2760" w:type="dxa"/>
            <w:noWrap/>
            <w:hideMark/>
          </w:tcPr>
          <w:p w14:paraId="79B02229"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Columbia</w:t>
            </w:r>
          </w:p>
        </w:tc>
        <w:tc>
          <w:tcPr>
            <w:tcW w:w="2201" w:type="dxa"/>
            <w:noWrap/>
            <w:hideMark/>
          </w:tcPr>
          <w:p w14:paraId="751B8AA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294,436</w:t>
            </w:r>
          </w:p>
        </w:tc>
        <w:tc>
          <w:tcPr>
            <w:tcW w:w="1130" w:type="dxa"/>
            <w:noWrap/>
            <w:hideMark/>
          </w:tcPr>
          <w:p w14:paraId="3CA25FEA"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9%</w:t>
            </w:r>
          </w:p>
        </w:tc>
        <w:tc>
          <w:tcPr>
            <w:tcW w:w="2360" w:type="dxa"/>
            <w:noWrap/>
            <w:hideMark/>
          </w:tcPr>
          <w:p w14:paraId="3C465F9C"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354,811</w:t>
            </w:r>
          </w:p>
        </w:tc>
        <w:tc>
          <w:tcPr>
            <w:tcW w:w="1211" w:type="dxa"/>
            <w:noWrap/>
            <w:hideMark/>
          </w:tcPr>
          <w:p w14:paraId="4C96626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11%</w:t>
            </w:r>
          </w:p>
        </w:tc>
      </w:tr>
      <w:tr w:rsidR="00A62890" w:rsidRPr="00C424B1" w14:paraId="559DA4A0" w14:textId="77777777" w:rsidTr="00B90222">
        <w:trPr>
          <w:trHeight w:val="290"/>
        </w:trPr>
        <w:tc>
          <w:tcPr>
            <w:tcW w:w="2760" w:type="dxa"/>
            <w:noWrap/>
            <w:hideMark/>
          </w:tcPr>
          <w:p w14:paraId="5819DB91"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Cubitt Town Infants</w:t>
            </w:r>
          </w:p>
        </w:tc>
        <w:tc>
          <w:tcPr>
            <w:tcW w:w="2201" w:type="dxa"/>
            <w:noWrap/>
            <w:hideMark/>
          </w:tcPr>
          <w:p w14:paraId="73093D96"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257,646</w:t>
            </w:r>
          </w:p>
        </w:tc>
        <w:tc>
          <w:tcPr>
            <w:tcW w:w="1130" w:type="dxa"/>
            <w:noWrap/>
            <w:hideMark/>
          </w:tcPr>
          <w:p w14:paraId="448CA39F"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10%</w:t>
            </w:r>
          </w:p>
        </w:tc>
        <w:tc>
          <w:tcPr>
            <w:tcW w:w="2360" w:type="dxa"/>
            <w:noWrap/>
            <w:hideMark/>
          </w:tcPr>
          <w:p w14:paraId="626DD59D"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20</w:t>
            </w:r>
          </w:p>
        </w:tc>
        <w:tc>
          <w:tcPr>
            <w:tcW w:w="1211" w:type="dxa"/>
            <w:noWrap/>
            <w:hideMark/>
          </w:tcPr>
          <w:p w14:paraId="2C3A5A0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0%</w:t>
            </w:r>
          </w:p>
        </w:tc>
      </w:tr>
      <w:tr w:rsidR="00A62890" w:rsidRPr="00C424B1" w14:paraId="7148DE48" w14:textId="77777777" w:rsidTr="00B90222">
        <w:trPr>
          <w:trHeight w:val="290"/>
        </w:trPr>
        <w:tc>
          <w:tcPr>
            <w:tcW w:w="2760" w:type="dxa"/>
            <w:noWrap/>
            <w:hideMark/>
          </w:tcPr>
          <w:p w14:paraId="1BC16A4A"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Cubitt Town Junior</w:t>
            </w:r>
          </w:p>
        </w:tc>
        <w:tc>
          <w:tcPr>
            <w:tcW w:w="2201" w:type="dxa"/>
            <w:noWrap/>
            <w:hideMark/>
          </w:tcPr>
          <w:p w14:paraId="66175C64"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474,443</w:t>
            </w:r>
          </w:p>
        </w:tc>
        <w:tc>
          <w:tcPr>
            <w:tcW w:w="1130" w:type="dxa"/>
            <w:noWrap/>
            <w:hideMark/>
          </w:tcPr>
          <w:p w14:paraId="29405B6B"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18%</w:t>
            </w:r>
          </w:p>
        </w:tc>
        <w:tc>
          <w:tcPr>
            <w:tcW w:w="2360" w:type="dxa"/>
            <w:noWrap/>
            <w:hideMark/>
          </w:tcPr>
          <w:p w14:paraId="24FFF1B6"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595,415</w:t>
            </w:r>
          </w:p>
        </w:tc>
        <w:tc>
          <w:tcPr>
            <w:tcW w:w="1211" w:type="dxa"/>
            <w:noWrap/>
            <w:hideMark/>
          </w:tcPr>
          <w:p w14:paraId="45052428"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21%</w:t>
            </w:r>
          </w:p>
        </w:tc>
      </w:tr>
      <w:tr w:rsidR="00A62890" w:rsidRPr="00C424B1" w14:paraId="7452325B" w14:textId="77777777" w:rsidTr="00B90222">
        <w:trPr>
          <w:trHeight w:val="290"/>
        </w:trPr>
        <w:tc>
          <w:tcPr>
            <w:tcW w:w="2760" w:type="dxa"/>
            <w:noWrap/>
            <w:hideMark/>
          </w:tcPr>
          <w:p w14:paraId="13846280"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Cyril Jackson</w:t>
            </w:r>
          </w:p>
        </w:tc>
        <w:tc>
          <w:tcPr>
            <w:tcW w:w="2201" w:type="dxa"/>
            <w:noWrap/>
            <w:hideMark/>
          </w:tcPr>
          <w:p w14:paraId="58C3832B"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168,481</w:t>
            </w:r>
          </w:p>
        </w:tc>
        <w:tc>
          <w:tcPr>
            <w:tcW w:w="1130" w:type="dxa"/>
            <w:noWrap/>
            <w:hideMark/>
          </w:tcPr>
          <w:p w14:paraId="5F8BEB1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w:t>
            </w:r>
          </w:p>
        </w:tc>
        <w:tc>
          <w:tcPr>
            <w:tcW w:w="2360" w:type="dxa"/>
            <w:noWrap/>
            <w:hideMark/>
          </w:tcPr>
          <w:p w14:paraId="15C62BAB"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247,682</w:t>
            </w:r>
          </w:p>
        </w:tc>
        <w:tc>
          <w:tcPr>
            <w:tcW w:w="1211" w:type="dxa"/>
            <w:noWrap/>
            <w:hideMark/>
          </w:tcPr>
          <w:p w14:paraId="7DA66A8A"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15%</w:t>
            </w:r>
          </w:p>
        </w:tc>
      </w:tr>
      <w:tr w:rsidR="00A62890" w:rsidRPr="00C424B1" w14:paraId="496A110D" w14:textId="77777777" w:rsidTr="00B90222">
        <w:trPr>
          <w:trHeight w:val="290"/>
        </w:trPr>
        <w:tc>
          <w:tcPr>
            <w:tcW w:w="2760" w:type="dxa"/>
            <w:noWrap/>
            <w:hideMark/>
          </w:tcPr>
          <w:p w14:paraId="1062C193"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Elizabeth Selby</w:t>
            </w:r>
          </w:p>
        </w:tc>
        <w:tc>
          <w:tcPr>
            <w:tcW w:w="2201" w:type="dxa"/>
            <w:noWrap/>
            <w:hideMark/>
          </w:tcPr>
          <w:p w14:paraId="37A8E94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279,997</w:t>
            </w:r>
          </w:p>
        </w:tc>
        <w:tc>
          <w:tcPr>
            <w:tcW w:w="1130" w:type="dxa"/>
            <w:noWrap/>
            <w:hideMark/>
          </w:tcPr>
          <w:p w14:paraId="66098668"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14%</w:t>
            </w:r>
          </w:p>
        </w:tc>
        <w:tc>
          <w:tcPr>
            <w:tcW w:w="2360" w:type="dxa"/>
            <w:noWrap/>
            <w:hideMark/>
          </w:tcPr>
          <w:p w14:paraId="1676202C"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180,551</w:t>
            </w:r>
          </w:p>
        </w:tc>
        <w:tc>
          <w:tcPr>
            <w:tcW w:w="1211" w:type="dxa"/>
            <w:noWrap/>
            <w:hideMark/>
          </w:tcPr>
          <w:p w14:paraId="5BCFAE99"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9%</w:t>
            </w:r>
          </w:p>
        </w:tc>
      </w:tr>
      <w:tr w:rsidR="00A62890" w:rsidRPr="00C424B1" w14:paraId="26E30055" w14:textId="77777777" w:rsidTr="00B90222">
        <w:trPr>
          <w:trHeight w:val="290"/>
        </w:trPr>
        <w:tc>
          <w:tcPr>
            <w:tcW w:w="2760" w:type="dxa"/>
            <w:noWrap/>
            <w:hideMark/>
          </w:tcPr>
          <w:p w14:paraId="051D0807"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English Martyrs</w:t>
            </w:r>
          </w:p>
        </w:tc>
        <w:tc>
          <w:tcPr>
            <w:tcW w:w="2201" w:type="dxa"/>
            <w:noWrap/>
            <w:hideMark/>
          </w:tcPr>
          <w:p w14:paraId="45C9A206"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56,226</w:t>
            </w:r>
          </w:p>
        </w:tc>
        <w:tc>
          <w:tcPr>
            <w:tcW w:w="1130" w:type="dxa"/>
            <w:noWrap/>
            <w:hideMark/>
          </w:tcPr>
          <w:p w14:paraId="6359A3D5"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w:t>
            </w:r>
          </w:p>
        </w:tc>
        <w:tc>
          <w:tcPr>
            <w:tcW w:w="2360" w:type="dxa"/>
            <w:noWrap/>
            <w:hideMark/>
          </w:tcPr>
          <w:p w14:paraId="00EF128D"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23,425</w:t>
            </w:r>
          </w:p>
        </w:tc>
        <w:tc>
          <w:tcPr>
            <w:tcW w:w="1211" w:type="dxa"/>
            <w:noWrap/>
            <w:hideMark/>
          </w:tcPr>
          <w:p w14:paraId="68E150BB"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w:t>
            </w:r>
          </w:p>
        </w:tc>
      </w:tr>
      <w:tr w:rsidR="00A62890" w:rsidRPr="00C424B1" w14:paraId="4BE78728" w14:textId="77777777" w:rsidTr="00B90222">
        <w:trPr>
          <w:trHeight w:val="290"/>
        </w:trPr>
        <w:tc>
          <w:tcPr>
            <w:tcW w:w="2760" w:type="dxa"/>
            <w:noWrap/>
            <w:hideMark/>
          </w:tcPr>
          <w:p w14:paraId="6D909405"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Globe</w:t>
            </w:r>
          </w:p>
        </w:tc>
        <w:tc>
          <w:tcPr>
            <w:tcW w:w="2201" w:type="dxa"/>
            <w:noWrap/>
            <w:hideMark/>
          </w:tcPr>
          <w:p w14:paraId="5E8B672B"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2,656</w:t>
            </w:r>
          </w:p>
        </w:tc>
        <w:tc>
          <w:tcPr>
            <w:tcW w:w="1130" w:type="dxa"/>
            <w:noWrap/>
            <w:hideMark/>
          </w:tcPr>
          <w:p w14:paraId="2501D76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0%</w:t>
            </w:r>
          </w:p>
        </w:tc>
        <w:tc>
          <w:tcPr>
            <w:tcW w:w="2360" w:type="dxa"/>
            <w:noWrap/>
            <w:hideMark/>
          </w:tcPr>
          <w:p w14:paraId="52B265A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180,551</w:t>
            </w:r>
          </w:p>
        </w:tc>
        <w:tc>
          <w:tcPr>
            <w:tcW w:w="1211" w:type="dxa"/>
            <w:noWrap/>
            <w:hideMark/>
          </w:tcPr>
          <w:p w14:paraId="0555E965"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5%</w:t>
            </w:r>
          </w:p>
        </w:tc>
      </w:tr>
      <w:tr w:rsidR="00A62890" w:rsidRPr="00C424B1" w14:paraId="3B8E3920" w14:textId="77777777" w:rsidTr="00B90222">
        <w:trPr>
          <w:trHeight w:val="290"/>
        </w:trPr>
        <w:tc>
          <w:tcPr>
            <w:tcW w:w="2760" w:type="dxa"/>
            <w:noWrap/>
            <w:hideMark/>
          </w:tcPr>
          <w:p w14:paraId="0C38DD9B"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Hague</w:t>
            </w:r>
          </w:p>
        </w:tc>
        <w:tc>
          <w:tcPr>
            <w:tcW w:w="2201" w:type="dxa"/>
            <w:noWrap/>
            <w:hideMark/>
          </w:tcPr>
          <w:p w14:paraId="7C9A2F2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165,583</w:t>
            </w:r>
          </w:p>
        </w:tc>
        <w:tc>
          <w:tcPr>
            <w:tcW w:w="1130" w:type="dxa"/>
            <w:noWrap/>
            <w:hideMark/>
          </w:tcPr>
          <w:p w14:paraId="420F5BE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9%</w:t>
            </w:r>
          </w:p>
        </w:tc>
        <w:tc>
          <w:tcPr>
            <w:tcW w:w="2360" w:type="dxa"/>
            <w:noWrap/>
            <w:hideMark/>
          </w:tcPr>
          <w:p w14:paraId="6244C4D7"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139,553</w:t>
            </w:r>
          </w:p>
        </w:tc>
        <w:tc>
          <w:tcPr>
            <w:tcW w:w="1211" w:type="dxa"/>
            <w:noWrap/>
            <w:hideMark/>
          </w:tcPr>
          <w:p w14:paraId="653BA0A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7%</w:t>
            </w:r>
          </w:p>
        </w:tc>
      </w:tr>
      <w:tr w:rsidR="00A62890" w:rsidRPr="00C424B1" w14:paraId="3F91C291" w14:textId="77777777" w:rsidTr="00B90222">
        <w:trPr>
          <w:trHeight w:val="290"/>
        </w:trPr>
        <w:tc>
          <w:tcPr>
            <w:tcW w:w="2760" w:type="dxa"/>
            <w:noWrap/>
            <w:hideMark/>
          </w:tcPr>
          <w:p w14:paraId="5A324509"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Halley</w:t>
            </w:r>
          </w:p>
        </w:tc>
        <w:tc>
          <w:tcPr>
            <w:tcW w:w="2201" w:type="dxa"/>
            <w:noWrap/>
            <w:hideMark/>
          </w:tcPr>
          <w:p w14:paraId="558F3DE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218,693</w:t>
            </w:r>
          </w:p>
        </w:tc>
        <w:tc>
          <w:tcPr>
            <w:tcW w:w="1130" w:type="dxa"/>
            <w:noWrap/>
            <w:hideMark/>
          </w:tcPr>
          <w:p w14:paraId="7346229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12%</w:t>
            </w:r>
          </w:p>
        </w:tc>
        <w:tc>
          <w:tcPr>
            <w:tcW w:w="2360" w:type="dxa"/>
            <w:noWrap/>
            <w:hideMark/>
          </w:tcPr>
          <w:p w14:paraId="64A95DE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145,138</w:t>
            </w:r>
          </w:p>
        </w:tc>
        <w:tc>
          <w:tcPr>
            <w:tcW w:w="1211" w:type="dxa"/>
            <w:noWrap/>
            <w:hideMark/>
          </w:tcPr>
          <w:p w14:paraId="136FB57A"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8%</w:t>
            </w:r>
          </w:p>
        </w:tc>
      </w:tr>
      <w:tr w:rsidR="00A62890" w:rsidRPr="00C424B1" w14:paraId="0ADBBF3C" w14:textId="77777777" w:rsidTr="00B90222">
        <w:trPr>
          <w:trHeight w:val="290"/>
        </w:trPr>
        <w:tc>
          <w:tcPr>
            <w:tcW w:w="2760" w:type="dxa"/>
            <w:noWrap/>
            <w:hideMark/>
          </w:tcPr>
          <w:p w14:paraId="55E205D2"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Harbinger</w:t>
            </w:r>
          </w:p>
        </w:tc>
        <w:tc>
          <w:tcPr>
            <w:tcW w:w="2201" w:type="dxa"/>
            <w:noWrap/>
            <w:hideMark/>
          </w:tcPr>
          <w:p w14:paraId="5B063EA0"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76,820</w:t>
            </w:r>
          </w:p>
        </w:tc>
        <w:tc>
          <w:tcPr>
            <w:tcW w:w="1130" w:type="dxa"/>
            <w:noWrap/>
            <w:hideMark/>
          </w:tcPr>
          <w:p w14:paraId="199D6B3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3%</w:t>
            </w:r>
          </w:p>
        </w:tc>
        <w:tc>
          <w:tcPr>
            <w:tcW w:w="2360" w:type="dxa"/>
            <w:noWrap/>
            <w:hideMark/>
          </w:tcPr>
          <w:p w14:paraId="47264CA8"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-22,466</w:t>
            </w:r>
          </w:p>
        </w:tc>
        <w:tc>
          <w:tcPr>
            <w:tcW w:w="1211" w:type="dxa"/>
            <w:noWrap/>
            <w:hideMark/>
          </w:tcPr>
          <w:p w14:paraId="2FDEA138"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-1%</w:t>
            </w:r>
          </w:p>
        </w:tc>
      </w:tr>
      <w:tr w:rsidR="00A62890" w:rsidRPr="00C424B1" w14:paraId="1D5C4CCE" w14:textId="77777777" w:rsidTr="00B90222">
        <w:trPr>
          <w:trHeight w:val="290"/>
        </w:trPr>
        <w:tc>
          <w:tcPr>
            <w:tcW w:w="2760" w:type="dxa"/>
            <w:noWrap/>
            <w:hideMark/>
          </w:tcPr>
          <w:p w14:paraId="2B4404C4"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Harry Gosling</w:t>
            </w:r>
          </w:p>
        </w:tc>
        <w:tc>
          <w:tcPr>
            <w:tcW w:w="2201" w:type="dxa"/>
            <w:noWrap/>
            <w:hideMark/>
          </w:tcPr>
          <w:p w14:paraId="6B778DDF"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417,818</w:t>
            </w:r>
          </w:p>
        </w:tc>
        <w:tc>
          <w:tcPr>
            <w:tcW w:w="1130" w:type="dxa"/>
            <w:noWrap/>
            <w:hideMark/>
          </w:tcPr>
          <w:p w14:paraId="648A8677"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14%</w:t>
            </w:r>
          </w:p>
        </w:tc>
        <w:tc>
          <w:tcPr>
            <w:tcW w:w="2360" w:type="dxa"/>
            <w:noWrap/>
            <w:hideMark/>
          </w:tcPr>
          <w:p w14:paraId="31557725"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364,264</w:t>
            </w:r>
          </w:p>
        </w:tc>
        <w:tc>
          <w:tcPr>
            <w:tcW w:w="1211" w:type="dxa"/>
            <w:noWrap/>
            <w:hideMark/>
          </w:tcPr>
          <w:p w14:paraId="07212385"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11%</w:t>
            </w:r>
          </w:p>
        </w:tc>
      </w:tr>
      <w:tr w:rsidR="00A62890" w:rsidRPr="00C424B1" w14:paraId="51F94716" w14:textId="77777777" w:rsidTr="00B90222">
        <w:trPr>
          <w:trHeight w:val="290"/>
        </w:trPr>
        <w:tc>
          <w:tcPr>
            <w:tcW w:w="2760" w:type="dxa"/>
            <w:noWrap/>
            <w:hideMark/>
          </w:tcPr>
          <w:p w14:paraId="78FB4A1B"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Hermitage</w:t>
            </w:r>
          </w:p>
        </w:tc>
        <w:tc>
          <w:tcPr>
            <w:tcW w:w="2201" w:type="dxa"/>
            <w:noWrap/>
            <w:hideMark/>
          </w:tcPr>
          <w:p w14:paraId="5B56F4C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354,511</w:t>
            </w:r>
          </w:p>
        </w:tc>
        <w:tc>
          <w:tcPr>
            <w:tcW w:w="1130" w:type="dxa"/>
            <w:noWrap/>
            <w:hideMark/>
          </w:tcPr>
          <w:p w14:paraId="31F86F3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17%</w:t>
            </w:r>
          </w:p>
        </w:tc>
        <w:tc>
          <w:tcPr>
            <w:tcW w:w="2360" w:type="dxa"/>
            <w:noWrap/>
            <w:hideMark/>
          </w:tcPr>
          <w:p w14:paraId="22CEBE4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199,852</w:t>
            </w:r>
          </w:p>
        </w:tc>
        <w:tc>
          <w:tcPr>
            <w:tcW w:w="1211" w:type="dxa"/>
            <w:noWrap/>
            <w:hideMark/>
          </w:tcPr>
          <w:p w14:paraId="473EDEE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8%</w:t>
            </w:r>
          </w:p>
        </w:tc>
      </w:tr>
      <w:tr w:rsidR="00A62890" w:rsidRPr="00C424B1" w14:paraId="343D68BB" w14:textId="77777777" w:rsidTr="00B90222">
        <w:trPr>
          <w:trHeight w:val="290"/>
        </w:trPr>
        <w:tc>
          <w:tcPr>
            <w:tcW w:w="2760" w:type="dxa"/>
            <w:noWrap/>
            <w:hideMark/>
          </w:tcPr>
          <w:p w14:paraId="6328FFAA"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John Scurr</w:t>
            </w:r>
          </w:p>
        </w:tc>
        <w:tc>
          <w:tcPr>
            <w:tcW w:w="2201" w:type="dxa"/>
            <w:noWrap/>
            <w:hideMark/>
          </w:tcPr>
          <w:p w14:paraId="36E5137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410,924</w:t>
            </w:r>
          </w:p>
        </w:tc>
        <w:tc>
          <w:tcPr>
            <w:tcW w:w="1130" w:type="dxa"/>
            <w:noWrap/>
            <w:hideMark/>
          </w:tcPr>
          <w:p w14:paraId="0D27CB78"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14%</w:t>
            </w:r>
          </w:p>
        </w:tc>
        <w:tc>
          <w:tcPr>
            <w:tcW w:w="2360" w:type="dxa"/>
            <w:noWrap/>
            <w:hideMark/>
          </w:tcPr>
          <w:p w14:paraId="4AB55FE8"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504,002</w:t>
            </w:r>
          </w:p>
        </w:tc>
        <w:tc>
          <w:tcPr>
            <w:tcW w:w="1211" w:type="dxa"/>
            <w:noWrap/>
            <w:hideMark/>
          </w:tcPr>
          <w:p w14:paraId="2B353BA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16%</w:t>
            </w:r>
          </w:p>
        </w:tc>
      </w:tr>
      <w:tr w:rsidR="00A62890" w:rsidRPr="00C424B1" w14:paraId="126B4DE9" w14:textId="77777777" w:rsidTr="00B90222">
        <w:trPr>
          <w:trHeight w:val="290"/>
        </w:trPr>
        <w:tc>
          <w:tcPr>
            <w:tcW w:w="2760" w:type="dxa"/>
            <w:noWrap/>
            <w:hideMark/>
          </w:tcPr>
          <w:p w14:paraId="32E78E39"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Kobi Nazrul</w:t>
            </w:r>
          </w:p>
        </w:tc>
        <w:tc>
          <w:tcPr>
            <w:tcW w:w="2201" w:type="dxa"/>
            <w:noWrap/>
            <w:hideMark/>
          </w:tcPr>
          <w:p w14:paraId="7847F4B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254,346</w:t>
            </w:r>
          </w:p>
        </w:tc>
        <w:tc>
          <w:tcPr>
            <w:tcW w:w="1130" w:type="dxa"/>
            <w:noWrap/>
            <w:hideMark/>
          </w:tcPr>
          <w:p w14:paraId="7B83689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15%</w:t>
            </w:r>
          </w:p>
        </w:tc>
        <w:tc>
          <w:tcPr>
            <w:tcW w:w="2360" w:type="dxa"/>
            <w:noWrap/>
            <w:hideMark/>
          </w:tcPr>
          <w:p w14:paraId="7B515D5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113,320</w:t>
            </w:r>
          </w:p>
        </w:tc>
        <w:tc>
          <w:tcPr>
            <w:tcW w:w="1211" w:type="dxa"/>
            <w:noWrap/>
            <w:hideMark/>
          </w:tcPr>
          <w:p w14:paraId="4A469FBF"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7%</w:t>
            </w:r>
          </w:p>
        </w:tc>
      </w:tr>
      <w:tr w:rsidR="00A62890" w:rsidRPr="00C424B1" w14:paraId="46A740F8" w14:textId="77777777" w:rsidTr="00B90222">
        <w:trPr>
          <w:trHeight w:val="290"/>
        </w:trPr>
        <w:tc>
          <w:tcPr>
            <w:tcW w:w="2760" w:type="dxa"/>
            <w:noWrap/>
            <w:hideMark/>
          </w:tcPr>
          <w:p w14:paraId="3998B039"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Lansbury Lawrence</w:t>
            </w:r>
          </w:p>
        </w:tc>
        <w:tc>
          <w:tcPr>
            <w:tcW w:w="2201" w:type="dxa"/>
            <w:noWrap/>
            <w:hideMark/>
          </w:tcPr>
          <w:p w14:paraId="31AD469C"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343,142</w:t>
            </w:r>
          </w:p>
        </w:tc>
        <w:tc>
          <w:tcPr>
            <w:tcW w:w="1130" w:type="dxa"/>
            <w:noWrap/>
            <w:hideMark/>
          </w:tcPr>
          <w:p w14:paraId="5F7AA896"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9%</w:t>
            </w:r>
          </w:p>
        </w:tc>
        <w:tc>
          <w:tcPr>
            <w:tcW w:w="2360" w:type="dxa"/>
            <w:noWrap/>
            <w:hideMark/>
          </w:tcPr>
          <w:p w14:paraId="7FA25B2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255,310</w:t>
            </w:r>
          </w:p>
        </w:tc>
        <w:tc>
          <w:tcPr>
            <w:tcW w:w="1211" w:type="dxa"/>
            <w:noWrap/>
            <w:hideMark/>
          </w:tcPr>
          <w:p w14:paraId="0DCB2DC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7%</w:t>
            </w:r>
          </w:p>
        </w:tc>
      </w:tr>
      <w:tr w:rsidR="00A62890" w:rsidRPr="00C424B1" w14:paraId="62D6A417" w14:textId="77777777" w:rsidTr="00B90222">
        <w:trPr>
          <w:trHeight w:val="290"/>
        </w:trPr>
        <w:tc>
          <w:tcPr>
            <w:tcW w:w="2760" w:type="dxa"/>
            <w:noWrap/>
            <w:hideMark/>
          </w:tcPr>
          <w:p w14:paraId="19744D9A"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Lawdale</w:t>
            </w:r>
          </w:p>
        </w:tc>
        <w:tc>
          <w:tcPr>
            <w:tcW w:w="2201" w:type="dxa"/>
            <w:noWrap/>
            <w:hideMark/>
          </w:tcPr>
          <w:p w14:paraId="1DD1C8D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185,885</w:t>
            </w:r>
          </w:p>
        </w:tc>
        <w:tc>
          <w:tcPr>
            <w:tcW w:w="1130" w:type="dxa"/>
            <w:noWrap/>
            <w:hideMark/>
          </w:tcPr>
          <w:p w14:paraId="1411B26D"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10%</w:t>
            </w:r>
          </w:p>
        </w:tc>
        <w:tc>
          <w:tcPr>
            <w:tcW w:w="2360" w:type="dxa"/>
            <w:noWrap/>
            <w:hideMark/>
          </w:tcPr>
          <w:p w14:paraId="05F6B16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177,632</w:t>
            </w:r>
          </w:p>
        </w:tc>
        <w:tc>
          <w:tcPr>
            <w:tcW w:w="1211" w:type="dxa"/>
            <w:noWrap/>
            <w:hideMark/>
          </w:tcPr>
          <w:p w14:paraId="63FFAE8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10%</w:t>
            </w:r>
          </w:p>
        </w:tc>
      </w:tr>
      <w:tr w:rsidR="00A62890" w:rsidRPr="00C424B1" w14:paraId="4D6B6297" w14:textId="77777777" w:rsidTr="00B90222">
        <w:trPr>
          <w:trHeight w:val="290"/>
        </w:trPr>
        <w:tc>
          <w:tcPr>
            <w:tcW w:w="2760" w:type="dxa"/>
            <w:noWrap/>
            <w:hideMark/>
          </w:tcPr>
          <w:p w14:paraId="5F61F1A7"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Malmesbury</w:t>
            </w:r>
          </w:p>
        </w:tc>
        <w:tc>
          <w:tcPr>
            <w:tcW w:w="2201" w:type="dxa"/>
            <w:noWrap/>
            <w:hideMark/>
          </w:tcPr>
          <w:p w14:paraId="4B8071B4"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-60,665</w:t>
            </w:r>
          </w:p>
        </w:tc>
        <w:tc>
          <w:tcPr>
            <w:tcW w:w="1130" w:type="dxa"/>
            <w:noWrap/>
            <w:hideMark/>
          </w:tcPr>
          <w:p w14:paraId="1996DEA9"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-2%</w:t>
            </w:r>
          </w:p>
        </w:tc>
        <w:tc>
          <w:tcPr>
            <w:tcW w:w="2360" w:type="dxa"/>
            <w:noWrap/>
            <w:hideMark/>
          </w:tcPr>
          <w:p w14:paraId="4BE8ABD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-53,353</w:t>
            </w:r>
          </w:p>
        </w:tc>
        <w:tc>
          <w:tcPr>
            <w:tcW w:w="1211" w:type="dxa"/>
            <w:noWrap/>
            <w:hideMark/>
          </w:tcPr>
          <w:p w14:paraId="5A67711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-1%</w:t>
            </w:r>
          </w:p>
        </w:tc>
      </w:tr>
      <w:tr w:rsidR="00A62890" w:rsidRPr="00C424B1" w14:paraId="0230D4FC" w14:textId="77777777" w:rsidTr="00B90222">
        <w:trPr>
          <w:trHeight w:val="290"/>
        </w:trPr>
        <w:tc>
          <w:tcPr>
            <w:tcW w:w="2760" w:type="dxa"/>
            <w:noWrap/>
            <w:hideMark/>
          </w:tcPr>
          <w:p w14:paraId="2BB21AC4"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Manorfield</w:t>
            </w:r>
          </w:p>
        </w:tc>
        <w:tc>
          <w:tcPr>
            <w:tcW w:w="2201" w:type="dxa"/>
            <w:noWrap/>
            <w:hideMark/>
          </w:tcPr>
          <w:p w14:paraId="6AB997DC"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623,977</w:t>
            </w:r>
          </w:p>
        </w:tc>
        <w:tc>
          <w:tcPr>
            <w:tcW w:w="1130" w:type="dxa"/>
            <w:noWrap/>
            <w:hideMark/>
          </w:tcPr>
          <w:p w14:paraId="6D03B7C6"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12%</w:t>
            </w:r>
          </w:p>
        </w:tc>
        <w:tc>
          <w:tcPr>
            <w:tcW w:w="2360" w:type="dxa"/>
            <w:noWrap/>
            <w:hideMark/>
          </w:tcPr>
          <w:p w14:paraId="42AE1380"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342,491</w:t>
            </w:r>
          </w:p>
        </w:tc>
        <w:tc>
          <w:tcPr>
            <w:tcW w:w="1211" w:type="dxa"/>
            <w:noWrap/>
            <w:hideMark/>
          </w:tcPr>
          <w:p w14:paraId="1958E408"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6%</w:t>
            </w:r>
          </w:p>
        </w:tc>
      </w:tr>
      <w:tr w:rsidR="00A62890" w:rsidRPr="00C424B1" w14:paraId="3EBB414D" w14:textId="77777777" w:rsidTr="00B90222">
        <w:trPr>
          <w:trHeight w:val="290"/>
        </w:trPr>
        <w:tc>
          <w:tcPr>
            <w:tcW w:w="2760" w:type="dxa"/>
            <w:noWrap/>
            <w:hideMark/>
          </w:tcPr>
          <w:p w14:paraId="2667855D"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Marion Richardson</w:t>
            </w:r>
          </w:p>
        </w:tc>
        <w:tc>
          <w:tcPr>
            <w:tcW w:w="2201" w:type="dxa"/>
            <w:noWrap/>
            <w:hideMark/>
          </w:tcPr>
          <w:p w14:paraId="6C74150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246,145</w:t>
            </w:r>
          </w:p>
        </w:tc>
        <w:tc>
          <w:tcPr>
            <w:tcW w:w="1130" w:type="dxa"/>
            <w:noWrap/>
            <w:hideMark/>
          </w:tcPr>
          <w:p w14:paraId="3C56BE80"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7%</w:t>
            </w:r>
          </w:p>
        </w:tc>
        <w:tc>
          <w:tcPr>
            <w:tcW w:w="2360" w:type="dxa"/>
            <w:noWrap/>
            <w:hideMark/>
          </w:tcPr>
          <w:p w14:paraId="66D70725"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273,285</w:t>
            </w:r>
          </w:p>
        </w:tc>
        <w:tc>
          <w:tcPr>
            <w:tcW w:w="1211" w:type="dxa"/>
            <w:noWrap/>
            <w:hideMark/>
          </w:tcPr>
          <w:p w14:paraId="04AB67D6"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8%</w:t>
            </w:r>
          </w:p>
        </w:tc>
      </w:tr>
      <w:tr w:rsidR="00A62890" w:rsidRPr="00C424B1" w14:paraId="6D34D554" w14:textId="77777777" w:rsidTr="00B90222">
        <w:trPr>
          <w:trHeight w:val="290"/>
        </w:trPr>
        <w:tc>
          <w:tcPr>
            <w:tcW w:w="2760" w:type="dxa"/>
            <w:noWrap/>
            <w:hideMark/>
          </w:tcPr>
          <w:p w14:paraId="30C50888"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Marner</w:t>
            </w:r>
          </w:p>
        </w:tc>
        <w:tc>
          <w:tcPr>
            <w:tcW w:w="2201" w:type="dxa"/>
            <w:noWrap/>
            <w:hideMark/>
          </w:tcPr>
          <w:p w14:paraId="11E50FEB"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539,399</w:t>
            </w:r>
          </w:p>
        </w:tc>
        <w:tc>
          <w:tcPr>
            <w:tcW w:w="1130" w:type="dxa"/>
            <w:noWrap/>
            <w:hideMark/>
          </w:tcPr>
          <w:p w14:paraId="1BA05AED"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11%</w:t>
            </w:r>
          </w:p>
        </w:tc>
        <w:tc>
          <w:tcPr>
            <w:tcW w:w="2360" w:type="dxa"/>
            <w:noWrap/>
            <w:hideMark/>
          </w:tcPr>
          <w:p w14:paraId="71CD048B"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587,875</w:t>
            </w:r>
          </w:p>
        </w:tc>
        <w:tc>
          <w:tcPr>
            <w:tcW w:w="1211" w:type="dxa"/>
            <w:noWrap/>
            <w:hideMark/>
          </w:tcPr>
          <w:p w14:paraId="31282C36"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11%</w:t>
            </w:r>
          </w:p>
        </w:tc>
      </w:tr>
      <w:tr w:rsidR="00A62890" w:rsidRPr="00C424B1" w14:paraId="5882C81B" w14:textId="77777777" w:rsidTr="00B90222">
        <w:trPr>
          <w:trHeight w:val="290"/>
        </w:trPr>
        <w:tc>
          <w:tcPr>
            <w:tcW w:w="2760" w:type="dxa"/>
            <w:noWrap/>
            <w:hideMark/>
          </w:tcPr>
          <w:p w14:paraId="1EE8DCD2"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Mayflower</w:t>
            </w:r>
          </w:p>
        </w:tc>
        <w:tc>
          <w:tcPr>
            <w:tcW w:w="2201" w:type="dxa"/>
            <w:noWrap/>
            <w:hideMark/>
          </w:tcPr>
          <w:p w14:paraId="666C2DF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439,897</w:t>
            </w:r>
          </w:p>
        </w:tc>
        <w:tc>
          <w:tcPr>
            <w:tcW w:w="1130" w:type="dxa"/>
            <w:noWrap/>
            <w:hideMark/>
          </w:tcPr>
          <w:p w14:paraId="5F2B6598"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15%</w:t>
            </w:r>
          </w:p>
        </w:tc>
        <w:tc>
          <w:tcPr>
            <w:tcW w:w="2360" w:type="dxa"/>
            <w:noWrap/>
            <w:hideMark/>
          </w:tcPr>
          <w:p w14:paraId="1EE55967"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311,875</w:t>
            </w:r>
          </w:p>
        </w:tc>
        <w:tc>
          <w:tcPr>
            <w:tcW w:w="1211" w:type="dxa"/>
            <w:noWrap/>
            <w:hideMark/>
          </w:tcPr>
          <w:p w14:paraId="325741C4"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10%</w:t>
            </w:r>
          </w:p>
        </w:tc>
      </w:tr>
      <w:tr w:rsidR="00A62890" w:rsidRPr="00C424B1" w14:paraId="0840B2F3" w14:textId="77777777" w:rsidTr="00B90222">
        <w:trPr>
          <w:trHeight w:val="290"/>
        </w:trPr>
        <w:tc>
          <w:tcPr>
            <w:tcW w:w="2760" w:type="dxa"/>
            <w:noWrap/>
            <w:hideMark/>
          </w:tcPr>
          <w:p w14:paraId="2C438DB9"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Mowlem</w:t>
            </w:r>
          </w:p>
        </w:tc>
        <w:tc>
          <w:tcPr>
            <w:tcW w:w="2201" w:type="dxa"/>
            <w:noWrap/>
            <w:hideMark/>
          </w:tcPr>
          <w:p w14:paraId="36A0CAD9"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62,093</w:t>
            </w:r>
          </w:p>
        </w:tc>
        <w:tc>
          <w:tcPr>
            <w:tcW w:w="1130" w:type="dxa"/>
            <w:noWrap/>
            <w:hideMark/>
          </w:tcPr>
          <w:p w14:paraId="5192BC1A"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w:t>
            </w:r>
          </w:p>
        </w:tc>
        <w:tc>
          <w:tcPr>
            <w:tcW w:w="2360" w:type="dxa"/>
            <w:noWrap/>
            <w:hideMark/>
          </w:tcPr>
          <w:p w14:paraId="0547000D"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147,185</w:t>
            </w:r>
          </w:p>
        </w:tc>
        <w:tc>
          <w:tcPr>
            <w:tcW w:w="1211" w:type="dxa"/>
            <w:noWrap/>
            <w:hideMark/>
          </w:tcPr>
          <w:p w14:paraId="3BD57D9D"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9%</w:t>
            </w:r>
          </w:p>
        </w:tc>
      </w:tr>
      <w:tr w:rsidR="00A62890" w:rsidRPr="00C424B1" w14:paraId="78F40C29" w14:textId="77777777" w:rsidTr="00B90222">
        <w:trPr>
          <w:trHeight w:val="290"/>
        </w:trPr>
        <w:tc>
          <w:tcPr>
            <w:tcW w:w="2760" w:type="dxa"/>
            <w:noWrap/>
            <w:hideMark/>
          </w:tcPr>
          <w:p w14:paraId="351DCF9F"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Old Palace</w:t>
            </w:r>
          </w:p>
        </w:tc>
        <w:tc>
          <w:tcPr>
            <w:tcW w:w="2201" w:type="dxa"/>
            <w:noWrap/>
            <w:hideMark/>
          </w:tcPr>
          <w:p w14:paraId="53B2DB34"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428,261</w:t>
            </w:r>
          </w:p>
        </w:tc>
        <w:tc>
          <w:tcPr>
            <w:tcW w:w="1130" w:type="dxa"/>
            <w:noWrap/>
            <w:hideMark/>
          </w:tcPr>
          <w:p w14:paraId="0F904EEF"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15%</w:t>
            </w:r>
          </w:p>
        </w:tc>
        <w:tc>
          <w:tcPr>
            <w:tcW w:w="2360" w:type="dxa"/>
            <w:noWrap/>
            <w:hideMark/>
          </w:tcPr>
          <w:p w14:paraId="2E30CFA9"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452,887</w:t>
            </w:r>
          </w:p>
        </w:tc>
        <w:tc>
          <w:tcPr>
            <w:tcW w:w="1211" w:type="dxa"/>
            <w:noWrap/>
            <w:hideMark/>
          </w:tcPr>
          <w:p w14:paraId="1CD02A50"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15%</w:t>
            </w:r>
          </w:p>
        </w:tc>
      </w:tr>
      <w:tr w:rsidR="00A62890" w:rsidRPr="00C424B1" w14:paraId="682FBC12" w14:textId="77777777" w:rsidTr="00B90222">
        <w:trPr>
          <w:trHeight w:val="290"/>
        </w:trPr>
        <w:tc>
          <w:tcPr>
            <w:tcW w:w="2760" w:type="dxa"/>
            <w:noWrap/>
            <w:hideMark/>
          </w:tcPr>
          <w:p w14:paraId="45837D93"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Olga</w:t>
            </w:r>
          </w:p>
        </w:tc>
        <w:tc>
          <w:tcPr>
            <w:tcW w:w="2201" w:type="dxa"/>
            <w:noWrap/>
            <w:hideMark/>
          </w:tcPr>
          <w:p w14:paraId="607553D5"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385,159</w:t>
            </w:r>
          </w:p>
        </w:tc>
        <w:tc>
          <w:tcPr>
            <w:tcW w:w="1130" w:type="dxa"/>
            <w:noWrap/>
            <w:hideMark/>
          </w:tcPr>
          <w:p w14:paraId="101DEDA5"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10%</w:t>
            </w:r>
          </w:p>
        </w:tc>
        <w:tc>
          <w:tcPr>
            <w:tcW w:w="2360" w:type="dxa"/>
            <w:noWrap/>
            <w:hideMark/>
          </w:tcPr>
          <w:p w14:paraId="67328F8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262,734</w:t>
            </w:r>
          </w:p>
        </w:tc>
        <w:tc>
          <w:tcPr>
            <w:tcW w:w="1211" w:type="dxa"/>
            <w:noWrap/>
            <w:hideMark/>
          </w:tcPr>
          <w:p w14:paraId="33BCAC6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6%</w:t>
            </w:r>
          </w:p>
        </w:tc>
      </w:tr>
      <w:tr w:rsidR="00A62890" w:rsidRPr="00C424B1" w14:paraId="772B5CFA" w14:textId="77777777" w:rsidTr="00B90222">
        <w:trPr>
          <w:trHeight w:val="290"/>
        </w:trPr>
        <w:tc>
          <w:tcPr>
            <w:tcW w:w="2760" w:type="dxa"/>
            <w:noWrap/>
            <w:hideMark/>
          </w:tcPr>
          <w:p w14:paraId="0A4EDCA7"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Osmani</w:t>
            </w:r>
          </w:p>
        </w:tc>
        <w:tc>
          <w:tcPr>
            <w:tcW w:w="2201" w:type="dxa"/>
            <w:noWrap/>
            <w:hideMark/>
          </w:tcPr>
          <w:p w14:paraId="0E73AB8B"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438,312</w:t>
            </w:r>
          </w:p>
        </w:tc>
        <w:tc>
          <w:tcPr>
            <w:tcW w:w="1130" w:type="dxa"/>
            <w:noWrap/>
            <w:hideMark/>
          </w:tcPr>
          <w:p w14:paraId="0688A1C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14%</w:t>
            </w:r>
          </w:p>
        </w:tc>
        <w:tc>
          <w:tcPr>
            <w:tcW w:w="2360" w:type="dxa"/>
            <w:noWrap/>
            <w:hideMark/>
          </w:tcPr>
          <w:p w14:paraId="42B4190D"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325,790</w:t>
            </w:r>
          </w:p>
        </w:tc>
        <w:tc>
          <w:tcPr>
            <w:tcW w:w="1211" w:type="dxa"/>
            <w:noWrap/>
            <w:hideMark/>
          </w:tcPr>
          <w:p w14:paraId="5B58C285"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10%</w:t>
            </w:r>
          </w:p>
        </w:tc>
      </w:tr>
      <w:tr w:rsidR="00A62890" w:rsidRPr="00C424B1" w14:paraId="4D2ECB68" w14:textId="77777777" w:rsidTr="00B90222">
        <w:trPr>
          <w:trHeight w:val="290"/>
        </w:trPr>
        <w:tc>
          <w:tcPr>
            <w:tcW w:w="2760" w:type="dxa"/>
            <w:noWrap/>
            <w:hideMark/>
          </w:tcPr>
          <w:p w14:paraId="559ADBE7" w14:textId="1343148E"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Our Lady &amp; St Joseph</w:t>
            </w:r>
          </w:p>
        </w:tc>
        <w:tc>
          <w:tcPr>
            <w:tcW w:w="2201" w:type="dxa"/>
            <w:noWrap/>
            <w:hideMark/>
          </w:tcPr>
          <w:p w14:paraId="30F31B24"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857,982</w:t>
            </w:r>
          </w:p>
        </w:tc>
        <w:tc>
          <w:tcPr>
            <w:tcW w:w="1130" w:type="dxa"/>
            <w:noWrap/>
            <w:hideMark/>
          </w:tcPr>
          <w:p w14:paraId="7964EEF8"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26%</w:t>
            </w:r>
          </w:p>
        </w:tc>
        <w:tc>
          <w:tcPr>
            <w:tcW w:w="2360" w:type="dxa"/>
            <w:noWrap/>
            <w:hideMark/>
          </w:tcPr>
          <w:p w14:paraId="30309775"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689,354</w:t>
            </w:r>
          </w:p>
        </w:tc>
        <w:tc>
          <w:tcPr>
            <w:tcW w:w="1211" w:type="dxa"/>
            <w:noWrap/>
            <w:hideMark/>
          </w:tcPr>
          <w:p w14:paraId="5C192F0C"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20%</w:t>
            </w:r>
          </w:p>
        </w:tc>
      </w:tr>
      <w:tr w:rsidR="00A62890" w:rsidRPr="00C424B1" w14:paraId="530A62CE" w14:textId="77777777" w:rsidTr="00B90222">
        <w:trPr>
          <w:trHeight w:val="290"/>
        </w:trPr>
        <w:tc>
          <w:tcPr>
            <w:tcW w:w="2760" w:type="dxa"/>
            <w:noWrap/>
            <w:hideMark/>
          </w:tcPr>
          <w:p w14:paraId="173E2BC7"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lastRenderedPageBreak/>
              <w:t>Seven Mills</w:t>
            </w:r>
          </w:p>
        </w:tc>
        <w:tc>
          <w:tcPr>
            <w:tcW w:w="2201" w:type="dxa"/>
            <w:noWrap/>
            <w:hideMark/>
          </w:tcPr>
          <w:p w14:paraId="47222059"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169,873</w:t>
            </w:r>
          </w:p>
        </w:tc>
        <w:tc>
          <w:tcPr>
            <w:tcW w:w="1130" w:type="dxa"/>
            <w:noWrap/>
            <w:hideMark/>
          </w:tcPr>
          <w:p w14:paraId="033FD2DF"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9%</w:t>
            </w:r>
          </w:p>
        </w:tc>
        <w:tc>
          <w:tcPr>
            <w:tcW w:w="2360" w:type="dxa"/>
            <w:noWrap/>
            <w:hideMark/>
          </w:tcPr>
          <w:p w14:paraId="42897500"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213,552</w:t>
            </w:r>
          </w:p>
        </w:tc>
        <w:tc>
          <w:tcPr>
            <w:tcW w:w="1211" w:type="dxa"/>
            <w:noWrap/>
            <w:hideMark/>
          </w:tcPr>
          <w:p w14:paraId="21BFB834"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11%</w:t>
            </w:r>
          </w:p>
        </w:tc>
      </w:tr>
      <w:tr w:rsidR="00A62890" w:rsidRPr="00C424B1" w14:paraId="229716B9" w14:textId="77777777" w:rsidTr="00B90222">
        <w:trPr>
          <w:trHeight w:val="290"/>
        </w:trPr>
        <w:tc>
          <w:tcPr>
            <w:tcW w:w="2760" w:type="dxa"/>
            <w:noWrap/>
            <w:hideMark/>
          </w:tcPr>
          <w:p w14:paraId="507D505A"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Shapla</w:t>
            </w:r>
          </w:p>
        </w:tc>
        <w:tc>
          <w:tcPr>
            <w:tcW w:w="2201" w:type="dxa"/>
            <w:noWrap/>
            <w:hideMark/>
          </w:tcPr>
          <w:p w14:paraId="72806C87"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-314,528</w:t>
            </w:r>
          </w:p>
        </w:tc>
        <w:tc>
          <w:tcPr>
            <w:tcW w:w="1130" w:type="dxa"/>
            <w:noWrap/>
            <w:hideMark/>
          </w:tcPr>
          <w:p w14:paraId="43D05D18"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-17%</w:t>
            </w:r>
          </w:p>
        </w:tc>
        <w:tc>
          <w:tcPr>
            <w:tcW w:w="2360" w:type="dxa"/>
            <w:noWrap/>
            <w:hideMark/>
          </w:tcPr>
          <w:p w14:paraId="2B904AD8"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-183,716</w:t>
            </w:r>
          </w:p>
        </w:tc>
        <w:tc>
          <w:tcPr>
            <w:tcW w:w="1211" w:type="dxa"/>
            <w:noWrap/>
            <w:hideMark/>
          </w:tcPr>
          <w:p w14:paraId="4A3306C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-18%</w:t>
            </w:r>
          </w:p>
        </w:tc>
      </w:tr>
      <w:tr w:rsidR="00A62890" w:rsidRPr="00C424B1" w14:paraId="02974D51" w14:textId="77777777" w:rsidTr="00B90222">
        <w:trPr>
          <w:trHeight w:val="290"/>
        </w:trPr>
        <w:tc>
          <w:tcPr>
            <w:tcW w:w="2760" w:type="dxa"/>
            <w:noWrap/>
            <w:hideMark/>
          </w:tcPr>
          <w:p w14:paraId="194F6D4F"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St Agnes</w:t>
            </w:r>
          </w:p>
        </w:tc>
        <w:tc>
          <w:tcPr>
            <w:tcW w:w="2201" w:type="dxa"/>
            <w:noWrap/>
            <w:hideMark/>
          </w:tcPr>
          <w:p w14:paraId="172128B9"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159,822</w:t>
            </w:r>
          </w:p>
        </w:tc>
        <w:tc>
          <w:tcPr>
            <w:tcW w:w="1130" w:type="dxa"/>
            <w:noWrap/>
            <w:hideMark/>
          </w:tcPr>
          <w:p w14:paraId="6E23FD7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11%</w:t>
            </w:r>
          </w:p>
        </w:tc>
        <w:tc>
          <w:tcPr>
            <w:tcW w:w="2360" w:type="dxa"/>
            <w:noWrap/>
            <w:hideMark/>
          </w:tcPr>
          <w:p w14:paraId="75BF001D"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156,707</w:t>
            </w:r>
          </w:p>
        </w:tc>
        <w:tc>
          <w:tcPr>
            <w:tcW w:w="1211" w:type="dxa"/>
            <w:noWrap/>
            <w:hideMark/>
          </w:tcPr>
          <w:p w14:paraId="4E4D328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10%</w:t>
            </w:r>
          </w:p>
        </w:tc>
      </w:tr>
      <w:tr w:rsidR="00A62890" w:rsidRPr="00C424B1" w14:paraId="6439F49D" w14:textId="77777777" w:rsidTr="00B90222">
        <w:trPr>
          <w:trHeight w:val="290"/>
        </w:trPr>
        <w:tc>
          <w:tcPr>
            <w:tcW w:w="2760" w:type="dxa"/>
            <w:noWrap/>
            <w:hideMark/>
          </w:tcPr>
          <w:p w14:paraId="017DD6B9"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St Anne &amp; Guardian Angels</w:t>
            </w:r>
          </w:p>
        </w:tc>
        <w:tc>
          <w:tcPr>
            <w:tcW w:w="2201" w:type="dxa"/>
            <w:noWrap/>
            <w:hideMark/>
          </w:tcPr>
          <w:p w14:paraId="53A336D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384,024</w:t>
            </w:r>
          </w:p>
        </w:tc>
        <w:tc>
          <w:tcPr>
            <w:tcW w:w="1130" w:type="dxa"/>
            <w:noWrap/>
            <w:hideMark/>
          </w:tcPr>
          <w:p w14:paraId="377B0F4B"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15%</w:t>
            </w:r>
          </w:p>
        </w:tc>
        <w:tc>
          <w:tcPr>
            <w:tcW w:w="2360" w:type="dxa"/>
            <w:noWrap/>
            <w:hideMark/>
          </w:tcPr>
          <w:p w14:paraId="07068465"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239,380</w:t>
            </w:r>
          </w:p>
        </w:tc>
        <w:tc>
          <w:tcPr>
            <w:tcW w:w="1211" w:type="dxa"/>
            <w:noWrap/>
            <w:hideMark/>
          </w:tcPr>
          <w:p w14:paraId="72A94E9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10%</w:t>
            </w:r>
          </w:p>
        </w:tc>
      </w:tr>
      <w:tr w:rsidR="00A62890" w:rsidRPr="00C424B1" w14:paraId="12971DA3" w14:textId="77777777" w:rsidTr="00B90222">
        <w:trPr>
          <w:trHeight w:val="290"/>
        </w:trPr>
        <w:tc>
          <w:tcPr>
            <w:tcW w:w="2760" w:type="dxa"/>
            <w:noWrap/>
            <w:hideMark/>
          </w:tcPr>
          <w:p w14:paraId="1E6A168F"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St Edmund</w:t>
            </w:r>
          </w:p>
        </w:tc>
        <w:tc>
          <w:tcPr>
            <w:tcW w:w="2201" w:type="dxa"/>
            <w:noWrap/>
            <w:hideMark/>
          </w:tcPr>
          <w:p w14:paraId="66F03886"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29,075</w:t>
            </w:r>
          </w:p>
        </w:tc>
        <w:tc>
          <w:tcPr>
            <w:tcW w:w="1130" w:type="dxa"/>
            <w:noWrap/>
            <w:hideMark/>
          </w:tcPr>
          <w:p w14:paraId="28B55EF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w:t>
            </w:r>
          </w:p>
        </w:tc>
        <w:tc>
          <w:tcPr>
            <w:tcW w:w="2360" w:type="dxa"/>
            <w:noWrap/>
            <w:hideMark/>
          </w:tcPr>
          <w:p w14:paraId="510843D4"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90,548</w:t>
            </w:r>
          </w:p>
        </w:tc>
        <w:tc>
          <w:tcPr>
            <w:tcW w:w="1211" w:type="dxa"/>
            <w:noWrap/>
            <w:hideMark/>
          </w:tcPr>
          <w:p w14:paraId="47A4A69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5%</w:t>
            </w:r>
          </w:p>
        </w:tc>
      </w:tr>
      <w:tr w:rsidR="00A62890" w:rsidRPr="00C424B1" w14:paraId="404897AB" w14:textId="77777777" w:rsidTr="00B90222">
        <w:trPr>
          <w:trHeight w:val="290"/>
        </w:trPr>
        <w:tc>
          <w:tcPr>
            <w:tcW w:w="2760" w:type="dxa"/>
            <w:noWrap/>
            <w:hideMark/>
          </w:tcPr>
          <w:p w14:paraId="4A58AD96"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St Elizabeth</w:t>
            </w:r>
          </w:p>
        </w:tc>
        <w:tc>
          <w:tcPr>
            <w:tcW w:w="2201" w:type="dxa"/>
            <w:noWrap/>
            <w:hideMark/>
          </w:tcPr>
          <w:p w14:paraId="4708363F"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179,913</w:t>
            </w:r>
          </w:p>
        </w:tc>
        <w:tc>
          <w:tcPr>
            <w:tcW w:w="1130" w:type="dxa"/>
            <w:noWrap/>
            <w:hideMark/>
          </w:tcPr>
          <w:p w14:paraId="2115F82A"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7%</w:t>
            </w:r>
          </w:p>
        </w:tc>
        <w:tc>
          <w:tcPr>
            <w:tcW w:w="2360" w:type="dxa"/>
            <w:noWrap/>
            <w:hideMark/>
          </w:tcPr>
          <w:p w14:paraId="62DE1E99"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130,540</w:t>
            </w:r>
          </w:p>
        </w:tc>
        <w:tc>
          <w:tcPr>
            <w:tcW w:w="1211" w:type="dxa"/>
            <w:noWrap/>
            <w:hideMark/>
          </w:tcPr>
          <w:p w14:paraId="2D8772B7"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5%</w:t>
            </w:r>
          </w:p>
        </w:tc>
      </w:tr>
      <w:tr w:rsidR="00A62890" w:rsidRPr="00C424B1" w14:paraId="1BA58483" w14:textId="77777777" w:rsidTr="00B90222">
        <w:trPr>
          <w:trHeight w:val="290"/>
        </w:trPr>
        <w:tc>
          <w:tcPr>
            <w:tcW w:w="2760" w:type="dxa"/>
            <w:noWrap/>
            <w:hideMark/>
          </w:tcPr>
          <w:p w14:paraId="3BEF5602"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St Johns</w:t>
            </w:r>
          </w:p>
        </w:tc>
        <w:tc>
          <w:tcPr>
            <w:tcW w:w="2201" w:type="dxa"/>
            <w:noWrap/>
            <w:hideMark/>
          </w:tcPr>
          <w:p w14:paraId="67C3713A"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-44,382</w:t>
            </w:r>
          </w:p>
        </w:tc>
        <w:tc>
          <w:tcPr>
            <w:tcW w:w="1130" w:type="dxa"/>
            <w:noWrap/>
            <w:hideMark/>
          </w:tcPr>
          <w:p w14:paraId="4FDBAA7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-3%</w:t>
            </w:r>
          </w:p>
        </w:tc>
        <w:tc>
          <w:tcPr>
            <w:tcW w:w="2360" w:type="dxa"/>
            <w:noWrap/>
            <w:hideMark/>
          </w:tcPr>
          <w:p w14:paraId="3928773F"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-117,676</w:t>
            </w:r>
          </w:p>
        </w:tc>
        <w:tc>
          <w:tcPr>
            <w:tcW w:w="1211" w:type="dxa"/>
            <w:noWrap/>
            <w:hideMark/>
          </w:tcPr>
          <w:p w14:paraId="622AB66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-9%</w:t>
            </w:r>
          </w:p>
        </w:tc>
      </w:tr>
      <w:tr w:rsidR="00A62890" w:rsidRPr="00C424B1" w14:paraId="38FEBD44" w14:textId="77777777" w:rsidTr="00B90222">
        <w:trPr>
          <w:trHeight w:val="290"/>
        </w:trPr>
        <w:tc>
          <w:tcPr>
            <w:tcW w:w="2760" w:type="dxa"/>
            <w:noWrap/>
            <w:hideMark/>
          </w:tcPr>
          <w:p w14:paraId="37D9544E"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St Luke's</w:t>
            </w:r>
          </w:p>
        </w:tc>
        <w:tc>
          <w:tcPr>
            <w:tcW w:w="2201" w:type="dxa"/>
            <w:noWrap/>
            <w:hideMark/>
          </w:tcPr>
          <w:p w14:paraId="27840F7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45,997</w:t>
            </w:r>
          </w:p>
        </w:tc>
        <w:tc>
          <w:tcPr>
            <w:tcW w:w="1130" w:type="dxa"/>
            <w:noWrap/>
            <w:hideMark/>
          </w:tcPr>
          <w:p w14:paraId="105183D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w:t>
            </w:r>
          </w:p>
        </w:tc>
        <w:tc>
          <w:tcPr>
            <w:tcW w:w="2360" w:type="dxa"/>
            <w:noWrap/>
            <w:hideMark/>
          </w:tcPr>
          <w:p w14:paraId="223AEF59"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50,913</w:t>
            </w:r>
          </w:p>
        </w:tc>
        <w:tc>
          <w:tcPr>
            <w:tcW w:w="1211" w:type="dxa"/>
            <w:noWrap/>
            <w:hideMark/>
          </w:tcPr>
          <w:p w14:paraId="4B66921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w:t>
            </w:r>
          </w:p>
        </w:tc>
      </w:tr>
      <w:tr w:rsidR="00A62890" w:rsidRPr="00C424B1" w14:paraId="00181081" w14:textId="77777777" w:rsidTr="00B90222">
        <w:trPr>
          <w:trHeight w:val="290"/>
        </w:trPr>
        <w:tc>
          <w:tcPr>
            <w:tcW w:w="2760" w:type="dxa"/>
            <w:noWrap/>
            <w:hideMark/>
          </w:tcPr>
          <w:p w14:paraId="1FAFB5CB"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St Mary / St Michael</w:t>
            </w:r>
          </w:p>
        </w:tc>
        <w:tc>
          <w:tcPr>
            <w:tcW w:w="2201" w:type="dxa"/>
            <w:noWrap/>
            <w:hideMark/>
          </w:tcPr>
          <w:p w14:paraId="32DDE94A"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224,101</w:t>
            </w:r>
          </w:p>
        </w:tc>
        <w:tc>
          <w:tcPr>
            <w:tcW w:w="1130" w:type="dxa"/>
            <w:noWrap/>
            <w:hideMark/>
          </w:tcPr>
          <w:p w14:paraId="064B8CBC"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7%</w:t>
            </w:r>
          </w:p>
        </w:tc>
        <w:tc>
          <w:tcPr>
            <w:tcW w:w="2360" w:type="dxa"/>
            <w:noWrap/>
            <w:hideMark/>
          </w:tcPr>
          <w:p w14:paraId="1B62BB67"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330,514</w:t>
            </w:r>
          </w:p>
        </w:tc>
        <w:tc>
          <w:tcPr>
            <w:tcW w:w="1211" w:type="dxa"/>
            <w:noWrap/>
            <w:hideMark/>
          </w:tcPr>
          <w:p w14:paraId="7D82057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11%</w:t>
            </w:r>
          </w:p>
        </w:tc>
      </w:tr>
      <w:tr w:rsidR="00A62890" w:rsidRPr="00C424B1" w14:paraId="3EE3A8F7" w14:textId="77777777" w:rsidTr="00B90222">
        <w:trPr>
          <w:trHeight w:val="290"/>
        </w:trPr>
        <w:tc>
          <w:tcPr>
            <w:tcW w:w="2760" w:type="dxa"/>
            <w:noWrap/>
            <w:hideMark/>
          </w:tcPr>
          <w:p w14:paraId="363DE4EE"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St Matthias</w:t>
            </w:r>
          </w:p>
        </w:tc>
        <w:tc>
          <w:tcPr>
            <w:tcW w:w="2201" w:type="dxa"/>
            <w:noWrap/>
            <w:hideMark/>
          </w:tcPr>
          <w:p w14:paraId="7F843D8C"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-35,444</w:t>
            </w:r>
          </w:p>
        </w:tc>
        <w:tc>
          <w:tcPr>
            <w:tcW w:w="1130" w:type="dxa"/>
            <w:noWrap/>
            <w:hideMark/>
          </w:tcPr>
          <w:p w14:paraId="0F3A2F74"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-3%</w:t>
            </w:r>
          </w:p>
        </w:tc>
        <w:tc>
          <w:tcPr>
            <w:tcW w:w="2360" w:type="dxa"/>
            <w:noWrap/>
            <w:hideMark/>
          </w:tcPr>
          <w:p w14:paraId="463B37E7"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2,319</w:t>
            </w:r>
          </w:p>
        </w:tc>
        <w:tc>
          <w:tcPr>
            <w:tcW w:w="1211" w:type="dxa"/>
            <w:noWrap/>
            <w:hideMark/>
          </w:tcPr>
          <w:p w14:paraId="701A600C"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0%</w:t>
            </w:r>
          </w:p>
        </w:tc>
      </w:tr>
      <w:tr w:rsidR="00A62890" w:rsidRPr="00C424B1" w14:paraId="3C88619D" w14:textId="77777777" w:rsidTr="00B90222">
        <w:trPr>
          <w:trHeight w:val="290"/>
        </w:trPr>
        <w:tc>
          <w:tcPr>
            <w:tcW w:w="2760" w:type="dxa"/>
            <w:noWrap/>
            <w:hideMark/>
          </w:tcPr>
          <w:p w14:paraId="3ED5E844"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St Paul / St Luke</w:t>
            </w:r>
          </w:p>
        </w:tc>
        <w:tc>
          <w:tcPr>
            <w:tcW w:w="2201" w:type="dxa"/>
            <w:noWrap/>
            <w:hideMark/>
          </w:tcPr>
          <w:p w14:paraId="2F3C5F0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237,499</w:t>
            </w:r>
          </w:p>
        </w:tc>
        <w:tc>
          <w:tcPr>
            <w:tcW w:w="1130" w:type="dxa"/>
            <w:noWrap/>
            <w:hideMark/>
          </w:tcPr>
          <w:p w14:paraId="3A177A9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14%</w:t>
            </w:r>
          </w:p>
        </w:tc>
        <w:tc>
          <w:tcPr>
            <w:tcW w:w="2360" w:type="dxa"/>
            <w:noWrap/>
            <w:hideMark/>
          </w:tcPr>
          <w:p w14:paraId="31C60EC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193,378</w:t>
            </w:r>
          </w:p>
        </w:tc>
        <w:tc>
          <w:tcPr>
            <w:tcW w:w="1211" w:type="dxa"/>
            <w:noWrap/>
            <w:hideMark/>
          </w:tcPr>
          <w:p w14:paraId="0502191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13%</w:t>
            </w:r>
          </w:p>
        </w:tc>
      </w:tr>
      <w:tr w:rsidR="00A62890" w:rsidRPr="00C424B1" w14:paraId="2BAC0BD9" w14:textId="77777777" w:rsidTr="00B90222">
        <w:trPr>
          <w:trHeight w:val="290"/>
        </w:trPr>
        <w:tc>
          <w:tcPr>
            <w:tcW w:w="2760" w:type="dxa"/>
            <w:noWrap/>
            <w:hideMark/>
          </w:tcPr>
          <w:p w14:paraId="5715A5F7"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St Pauls Whitechapel</w:t>
            </w:r>
          </w:p>
        </w:tc>
        <w:tc>
          <w:tcPr>
            <w:tcW w:w="2201" w:type="dxa"/>
            <w:noWrap/>
            <w:hideMark/>
          </w:tcPr>
          <w:p w14:paraId="748CDE14"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77,380</w:t>
            </w:r>
          </w:p>
        </w:tc>
        <w:tc>
          <w:tcPr>
            <w:tcW w:w="1130" w:type="dxa"/>
            <w:noWrap/>
            <w:hideMark/>
          </w:tcPr>
          <w:p w14:paraId="5B308DF0"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5%</w:t>
            </w:r>
          </w:p>
        </w:tc>
        <w:tc>
          <w:tcPr>
            <w:tcW w:w="2360" w:type="dxa"/>
            <w:noWrap/>
            <w:hideMark/>
          </w:tcPr>
          <w:p w14:paraId="70C226F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65,994</w:t>
            </w:r>
          </w:p>
        </w:tc>
        <w:tc>
          <w:tcPr>
            <w:tcW w:w="1211" w:type="dxa"/>
            <w:noWrap/>
            <w:hideMark/>
          </w:tcPr>
          <w:p w14:paraId="32A2D40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w:t>
            </w:r>
          </w:p>
        </w:tc>
      </w:tr>
      <w:tr w:rsidR="00A62890" w:rsidRPr="00C424B1" w14:paraId="72BF1EC9" w14:textId="77777777" w:rsidTr="00B90222">
        <w:trPr>
          <w:trHeight w:val="290"/>
        </w:trPr>
        <w:tc>
          <w:tcPr>
            <w:tcW w:w="2760" w:type="dxa"/>
            <w:noWrap/>
            <w:hideMark/>
          </w:tcPr>
          <w:p w14:paraId="024F4360"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St Peters</w:t>
            </w:r>
          </w:p>
        </w:tc>
        <w:tc>
          <w:tcPr>
            <w:tcW w:w="2201" w:type="dxa"/>
            <w:noWrap/>
            <w:hideMark/>
          </w:tcPr>
          <w:p w14:paraId="35D86E8D"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183,996</w:t>
            </w:r>
          </w:p>
        </w:tc>
        <w:tc>
          <w:tcPr>
            <w:tcW w:w="1130" w:type="dxa"/>
            <w:noWrap/>
            <w:hideMark/>
          </w:tcPr>
          <w:p w14:paraId="4B15E54D"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11%</w:t>
            </w:r>
          </w:p>
        </w:tc>
        <w:tc>
          <w:tcPr>
            <w:tcW w:w="2360" w:type="dxa"/>
            <w:noWrap/>
            <w:hideMark/>
          </w:tcPr>
          <w:p w14:paraId="220A8FCB"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231,474</w:t>
            </w:r>
          </w:p>
        </w:tc>
        <w:tc>
          <w:tcPr>
            <w:tcW w:w="1211" w:type="dxa"/>
            <w:noWrap/>
            <w:hideMark/>
          </w:tcPr>
          <w:p w14:paraId="4F1BA614"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12%</w:t>
            </w:r>
          </w:p>
        </w:tc>
      </w:tr>
      <w:tr w:rsidR="00A62890" w:rsidRPr="00C424B1" w14:paraId="39FF3FF1" w14:textId="77777777" w:rsidTr="00B90222">
        <w:trPr>
          <w:trHeight w:val="290"/>
        </w:trPr>
        <w:tc>
          <w:tcPr>
            <w:tcW w:w="2760" w:type="dxa"/>
            <w:noWrap/>
            <w:hideMark/>
          </w:tcPr>
          <w:p w14:paraId="290CF6D6"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St Saviours</w:t>
            </w:r>
          </w:p>
        </w:tc>
        <w:tc>
          <w:tcPr>
            <w:tcW w:w="2201" w:type="dxa"/>
            <w:noWrap/>
            <w:hideMark/>
          </w:tcPr>
          <w:p w14:paraId="71664648"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214,982</w:t>
            </w:r>
          </w:p>
        </w:tc>
        <w:tc>
          <w:tcPr>
            <w:tcW w:w="1130" w:type="dxa"/>
            <w:noWrap/>
            <w:hideMark/>
          </w:tcPr>
          <w:p w14:paraId="7BA3307D"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12%</w:t>
            </w:r>
          </w:p>
        </w:tc>
        <w:tc>
          <w:tcPr>
            <w:tcW w:w="2360" w:type="dxa"/>
            <w:noWrap/>
            <w:hideMark/>
          </w:tcPr>
          <w:p w14:paraId="3E8820D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90,379</w:t>
            </w:r>
          </w:p>
        </w:tc>
        <w:tc>
          <w:tcPr>
            <w:tcW w:w="1211" w:type="dxa"/>
            <w:noWrap/>
            <w:hideMark/>
          </w:tcPr>
          <w:p w14:paraId="52A90A5C"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5%</w:t>
            </w:r>
          </w:p>
        </w:tc>
      </w:tr>
      <w:tr w:rsidR="00A62890" w:rsidRPr="00C424B1" w14:paraId="398D1FFE" w14:textId="77777777" w:rsidTr="00B90222">
        <w:trPr>
          <w:trHeight w:val="290"/>
        </w:trPr>
        <w:tc>
          <w:tcPr>
            <w:tcW w:w="2760" w:type="dxa"/>
            <w:noWrap/>
            <w:hideMark/>
          </w:tcPr>
          <w:p w14:paraId="1044D632"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Stepney Greencoat</w:t>
            </w:r>
          </w:p>
        </w:tc>
        <w:tc>
          <w:tcPr>
            <w:tcW w:w="2201" w:type="dxa"/>
            <w:noWrap/>
            <w:hideMark/>
          </w:tcPr>
          <w:p w14:paraId="3BDA073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188,691</w:t>
            </w:r>
          </w:p>
        </w:tc>
        <w:tc>
          <w:tcPr>
            <w:tcW w:w="1130" w:type="dxa"/>
            <w:noWrap/>
            <w:hideMark/>
          </w:tcPr>
          <w:p w14:paraId="3654AF8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14%</w:t>
            </w:r>
          </w:p>
        </w:tc>
        <w:tc>
          <w:tcPr>
            <w:tcW w:w="2360" w:type="dxa"/>
            <w:noWrap/>
            <w:hideMark/>
          </w:tcPr>
          <w:p w14:paraId="69DE143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122,117</w:t>
            </w:r>
          </w:p>
        </w:tc>
        <w:tc>
          <w:tcPr>
            <w:tcW w:w="1211" w:type="dxa"/>
            <w:noWrap/>
            <w:hideMark/>
          </w:tcPr>
          <w:p w14:paraId="6D67935C"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9%</w:t>
            </w:r>
          </w:p>
        </w:tc>
      </w:tr>
      <w:tr w:rsidR="00A62890" w:rsidRPr="00C424B1" w14:paraId="32FDBEDB" w14:textId="77777777" w:rsidTr="00B90222">
        <w:trPr>
          <w:trHeight w:val="290"/>
        </w:trPr>
        <w:tc>
          <w:tcPr>
            <w:tcW w:w="2760" w:type="dxa"/>
            <w:noWrap/>
            <w:hideMark/>
          </w:tcPr>
          <w:p w14:paraId="76111894" w14:textId="5096068C"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Stepney Park</w:t>
            </w:r>
          </w:p>
        </w:tc>
        <w:tc>
          <w:tcPr>
            <w:tcW w:w="2201" w:type="dxa"/>
            <w:noWrap/>
            <w:hideMark/>
          </w:tcPr>
          <w:p w14:paraId="08E8E6A5"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1,471,588</w:t>
            </w:r>
          </w:p>
        </w:tc>
        <w:tc>
          <w:tcPr>
            <w:tcW w:w="1130" w:type="dxa"/>
            <w:noWrap/>
            <w:hideMark/>
          </w:tcPr>
          <w:p w14:paraId="69E50B99"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25%</w:t>
            </w:r>
          </w:p>
        </w:tc>
        <w:tc>
          <w:tcPr>
            <w:tcW w:w="2360" w:type="dxa"/>
            <w:noWrap/>
            <w:hideMark/>
          </w:tcPr>
          <w:p w14:paraId="12FAED9D"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1,143,387</w:t>
            </w:r>
          </w:p>
        </w:tc>
        <w:tc>
          <w:tcPr>
            <w:tcW w:w="1211" w:type="dxa"/>
            <w:noWrap/>
            <w:hideMark/>
          </w:tcPr>
          <w:p w14:paraId="780355C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19%</w:t>
            </w:r>
          </w:p>
        </w:tc>
      </w:tr>
      <w:tr w:rsidR="00A62890" w:rsidRPr="00C424B1" w14:paraId="4B9553AA" w14:textId="77777777" w:rsidTr="00B90222">
        <w:trPr>
          <w:trHeight w:val="290"/>
        </w:trPr>
        <w:tc>
          <w:tcPr>
            <w:tcW w:w="2760" w:type="dxa"/>
            <w:noWrap/>
            <w:hideMark/>
          </w:tcPr>
          <w:p w14:paraId="4B8FA735"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Stewart Headlam</w:t>
            </w:r>
          </w:p>
        </w:tc>
        <w:tc>
          <w:tcPr>
            <w:tcW w:w="2201" w:type="dxa"/>
            <w:noWrap/>
            <w:hideMark/>
          </w:tcPr>
          <w:p w14:paraId="610E7950"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58,366</w:t>
            </w:r>
          </w:p>
        </w:tc>
        <w:tc>
          <w:tcPr>
            <w:tcW w:w="1130" w:type="dxa"/>
            <w:noWrap/>
            <w:hideMark/>
          </w:tcPr>
          <w:p w14:paraId="0350E2D5"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w:t>
            </w:r>
          </w:p>
        </w:tc>
        <w:tc>
          <w:tcPr>
            <w:tcW w:w="2360" w:type="dxa"/>
            <w:noWrap/>
            <w:hideMark/>
          </w:tcPr>
          <w:p w14:paraId="511AC704"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40,547</w:t>
            </w:r>
          </w:p>
        </w:tc>
        <w:tc>
          <w:tcPr>
            <w:tcW w:w="1211" w:type="dxa"/>
            <w:noWrap/>
            <w:hideMark/>
          </w:tcPr>
          <w:p w14:paraId="5F689E7F"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w:t>
            </w:r>
          </w:p>
        </w:tc>
      </w:tr>
      <w:tr w:rsidR="00A62890" w:rsidRPr="00C424B1" w14:paraId="13801122" w14:textId="77777777" w:rsidTr="00B90222">
        <w:trPr>
          <w:trHeight w:val="290"/>
        </w:trPr>
        <w:tc>
          <w:tcPr>
            <w:tcW w:w="2760" w:type="dxa"/>
            <w:noWrap/>
            <w:hideMark/>
          </w:tcPr>
          <w:p w14:paraId="3AB77F51"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T Buxton primary</w:t>
            </w:r>
          </w:p>
        </w:tc>
        <w:tc>
          <w:tcPr>
            <w:tcW w:w="2201" w:type="dxa"/>
            <w:noWrap/>
            <w:hideMark/>
          </w:tcPr>
          <w:p w14:paraId="2C9C291C"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292,747</w:t>
            </w:r>
          </w:p>
        </w:tc>
        <w:tc>
          <w:tcPr>
            <w:tcW w:w="1130" w:type="dxa"/>
            <w:noWrap/>
            <w:hideMark/>
          </w:tcPr>
          <w:p w14:paraId="7DE1D31C"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9%</w:t>
            </w:r>
          </w:p>
        </w:tc>
        <w:tc>
          <w:tcPr>
            <w:tcW w:w="2360" w:type="dxa"/>
            <w:noWrap/>
            <w:hideMark/>
          </w:tcPr>
          <w:p w14:paraId="5B6CE55D"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153,726</w:t>
            </w:r>
          </w:p>
        </w:tc>
        <w:tc>
          <w:tcPr>
            <w:tcW w:w="1211" w:type="dxa"/>
            <w:noWrap/>
            <w:hideMark/>
          </w:tcPr>
          <w:p w14:paraId="513904F5"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w:t>
            </w:r>
          </w:p>
        </w:tc>
      </w:tr>
      <w:tr w:rsidR="00A62890" w:rsidRPr="00C424B1" w14:paraId="2B91570F" w14:textId="77777777" w:rsidTr="00B90222">
        <w:trPr>
          <w:trHeight w:val="290"/>
        </w:trPr>
        <w:tc>
          <w:tcPr>
            <w:tcW w:w="2760" w:type="dxa"/>
            <w:noWrap/>
            <w:hideMark/>
          </w:tcPr>
          <w:p w14:paraId="331E0EEF"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Virginia</w:t>
            </w:r>
          </w:p>
        </w:tc>
        <w:tc>
          <w:tcPr>
            <w:tcW w:w="2201" w:type="dxa"/>
            <w:noWrap/>
            <w:hideMark/>
          </w:tcPr>
          <w:p w14:paraId="232FA88A"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151,109</w:t>
            </w:r>
          </w:p>
        </w:tc>
        <w:tc>
          <w:tcPr>
            <w:tcW w:w="1130" w:type="dxa"/>
            <w:noWrap/>
            <w:hideMark/>
          </w:tcPr>
          <w:p w14:paraId="7661751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9%</w:t>
            </w:r>
          </w:p>
        </w:tc>
        <w:tc>
          <w:tcPr>
            <w:tcW w:w="2360" w:type="dxa"/>
            <w:noWrap/>
            <w:hideMark/>
          </w:tcPr>
          <w:p w14:paraId="13D5238F"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201,283</w:t>
            </w:r>
          </w:p>
        </w:tc>
        <w:tc>
          <w:tcPr>
            <w:tcW w:w="1211" w:type="dxa"/>
            <w:noWrap/>
            <w:hideMark/>
          </w:tcPr>
          <w:p w14:paraId="7D406C8D"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12%</w:t>
            </w:r>
          </w:p>
        </w:tc>
      </w:tr>
      <w:tr w:rsidR="00A62890" w:rsidRPr="00C424B1" w14:paraId="1B58D14A" w14:textId="77777777" w:rsidTr="00B90222">
        <w:trPr>
          <w:trHeight w:val="290"/>
        </w:trPr>
        <w:tc>
          <w:tcPr>
            <w:tcW w:w="2760" w:type="dxa"/>
            <w:noWrap/>
            <w:hideMark/>
          </w:tcPr>
          <w:p w14:paraId="01C59B6B"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Wellington</w:t>
            </w:r>
          </w:p>
        </w:tc>
        <w:tc>
          <w:tcPr>
            <w:tcW w:w="2201" w:type="dxa"/>
            <w:noWrap/>
            <w:hideMark/>
          </w:tcPr>
          <w:p w14:paraId="14E7F77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161,506</w:t>
            </w:r>
          </w:p>
        </w:tc>
        <w:tc>
          <w:tcPr>
            <w:tcW w:w="1130" w:type="dxa"/>
            <w:noWrap/>
            <w:hideMark/>
          </w:tcPr>
          <w:p w14:paraId="220E6948"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5%</w:t>
            </w:r>
          </w:p>
        </w:tc>
        <w:tc>
          <w:tcPr>
            <w:tcW w:w="2360" w:type="dxa"/>
            <w:noWrap/>
            <w:hideMark/>
          </w:tcPr>
          <w:p w14:paraId="1DE9A4BB"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78,037</w:t>
            </w:r>
          </w:p>
        </w:tc>
        <w:tc>
          <w:tcPr>
            <w:tcW w:w="1211" w:type="dxa"/>
            <w:noWrap/>
            <w:hideMark/>
          </w:tcPr>
          <w:p w14:paraId="72AABE70"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w:t>
            </w:r>
          </w:p>
        </w:tc>
      </w:tr>
      <w:tr w:rsidR="00A62890" w:rsidRPr="00C424B1" w14:paraId="76095F81" w14:textId="77777777" w:rsidTr="00B90222">
        <w:trPr>
          <w:trHeight w:val="290"/>
        </w:trPr>
        <w:tc>
          <w:tcPr>
            <w:tcW w:w="2760" w:type="dxa"/>
            <w:noWrap/>
            <w:hideMark/>
          </w:tcPr>
          <w:p w14:paraId="3961CE70"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William Davis</w:t>
            </w:r>
          </w:p>
        </w:tc>
        <w:tc>
          <w:tcPr>
            <w:tcW w:w="2201" w:type="dxa"/>
            <w:noWrap/>
            <w:hideMark/>
          </w:tcPr>
          <w:p w14:paraId="78396E4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-4,341</w:t>
            </w:r>
          </w:p>
        </w:tc>
        <w:tc>
          <w:tcPr>
            <w:tcW w:w="1130" w:type="dxa"/>
            <w:noWrap/>
            <w:hideMark/>
          </w:tcPr>
          <w:p w14:paraId="4E47D66F"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-0%</w:t>
            </w:r>
          </w:p>
        </w:tc>
        <w:tc>
          <w:tcPr>
            <w:tcW w:w="2360" w:type="dxa"/>
            <w:noWrap/>
            <w:hideMark/>
          </w:tcPr>
          <w:p w14:paraId="34FA2EED"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-65,601</w:t>
            </w:r>
          </w:p>
        </w:tc>
        <w:tc>
          <w:tcPr>
            <w:tcW w:w="1211" w:type="dxa"/>
            <w:noWrap/>
            <w:hideMark/>
          </w:tcPr>
          <w:p w14:paraId="56683014"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-4%</w:t>
            </w:r>
          </w:p>
        </w:tc>
      </w:tr>
      <w:tr w:rsidR="00A62890" w:rsidRPr="00C424B1" w14:paraId="1E88AC1D" w14:textId="77777777" w:rsidTr="00B90222">
        <w:trPr>
          <w:trHeight w:val="290"/>
        </w:trPr>
        <w:tc>
          <w:tcPr>
            <w:tcW w:w="2760" w:type="dxa"/>
            <w:noWrap/>
            <w:hideMark/>
          </w:tcPr>
          <w:p w14:paraId="60A1DBCF"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Woolmore</w:t>
            </w:r>
          </w:p>
        </w:tc>
        <w:tc>
          <w:tcPr>
            <w:tcW w:w="2201" w:type="dxa"/>
            <w:noWrap/>
            <w:hideMark/>
          </w:tcPr>
          <w:p w14:paraId="3C7A8F75"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623,273</w:t>
            </w:r>
          </w:p>
        </w:tc>
        <w:tc>
          <w:tcPr>
            <w:tcW w:w="1130" w:type="dxa"/>
            <w:noWrap/>
            <w:hideMark/>
          </w:tcPr>
          <w:p w14:paraId="44DE4DA0"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14%</w:t>
            </w:r>
          </w:p>
        </w:tc>
        <w:tc>
          <w:tcPr>
            <w:tcW w:w="2360" w:type="dxa"/>
            <w:noWrap/>
            <w:hideMark/>
          </w:tcPr>
          <w:p w14:paraId="1F54CFF7"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640,965</w:t>
            </w:r>
          </w:p>
        </w:tc>
        <w:tc>
          <w:tcPr>
            <w:tcW w:w="1211" w:type="dxa"/>
            <w:noWrap/>
            <w:hideMark/>
          </w:tcPr>
          <w:p w14:paraId="3A77BC89"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13%</w:t>
            </w:r>
          </w:p>
        </w:tc>
      </w:tr>
      <w:tr w:rsidR="00A62890" w:rsidRPr="00C424B1" w14:paraId="14DBE27D" w14:textId="77777777" w:rsidTr="00B90222">
        <w:trPr>
          <w:trHeight w:val="290"/>
        </w:trPr>
        <w:tc>
          <w:tcPr>
            <w:tcW w:w="2760" w:type="dxa"/>
            <w:noWrap/>
            <w:hideMark/>
          </w:tcPr>
          <w:p w14:paraId="7C3F8DED" w14:textId="77777777" w:rsidR="00A62890" w:rsidRPr="00C424B1" w:rsidRDefault="00A62890" w:rsidP="00C424B1">
            <w:pPr>
              <w:rPr>
                <w:rFonts w:ascii="Calibri" w:hAnsi="Calibri" w:cs="Calibri"/>
                <w:color w:val="000000"/>
                <w:sz w:val="22"/>
                <w:szCs w:val="22"/>
              </w:rPr>
            </w:pPr>
          </w:p>
        </w:tc>
        <w:tc>
          <w:tcPr>
            <w:tcW w:w="2201" w:type="dxa"/>
            <w:noWrap/>
            <w:hideMark/>
          </w:tcPr>
          <w:p w14:paraId="2D34C28C" w14:textId="77777777" w:rsidR="00A62890" w:rsidRPr="00C424B1" w:rsidRDefault="00A62890" w:rsidP="00C424B1">
            <w:pPr>
              <w:jc w:val="center"/>
              <w:rPr>
                <w:rFonts w:ascii="Times New Roman" w:hAnsi="Times New Roman"/>
                <w:sz w:val="20"/>
                <w:szCs w:val="20"/>
              </w:rPr>
            </w:pPr>
          </w:p>
        </w:tc>
        <w:tc>
          <w:tcPr>
            <w:tcW w:w="1130" w:type="dxa"/>
            <w:noWrap/>
            <w:hideMark/>
          </w:tcPr>
          <w:p w14:paraId="5C183BAA" w14:textId="77777777" w:rsidR="00A62890" w:rsidRPr="00C424B1" w:rsidRDefault="00A62890" w:rsidP="00C424B1">
            <w:pPr>
              <w:jc w:val="center"/>
              <w:rPr>
                <w:rFonts w:ascii="Times New Roman" w:hAnsi="Times New Roman"/>
                <w:sz w:val="20"/>
                <w:szCs w:val="20"/>
              </w:rPr>
            </w:pPr>
          </w:p>
        </w:tc>
        <w:tc>
          <w:tcPr>
            <w:tcW w:w="2360" w:type="dxa"/>
            <w:noWrap/>
            <w:hideMark/>
          </w:tcPr>
          <w:p w14:paraId="28B5DB8D" w14:textId="77777777" w:rsidR="00A62890" w:rsidRPr="00C424B1" w:rsidRDefault="00A62890" w:rsidP="00C424B1">
            <w:pPr>
              <w:jc w:val="center"/>
              <w:rPr>
                <w:rFonts w:ascii="Times New Roman" w:hAnsi="Times New Roman"/>
                <w:sz w:val="20"/>
                <w:szCs w:val="20"/>
              </w:rPr>
            </w:pPr>
          </w:p>
        </w:tc>
        <w:tc>
          <w:tcPr>
            <w:tcW w:w="1211" w:type="dxa"/>
            <w:noWrap/>
            <w:hideMark/>
          </w:tcPr>
          <w:p w14:paraId="7C20E41B" w14:textId="77777777" w:rsidR="00A62890" w:rsidRPr="00C424B1" w:rsidRDefault="00A62890" w:rsidP="00C424B1">
            <w:pPr>
              <w:jc w:val="center"/>
              <w:rPr>
                <w:rFonts w:ascii="Calibri" w:hAnsi="Calibri" w:cs="Calibri"/>
                <w:color w:val="000000"/>
                <w:sz w:val="22"/>
                <w:szCs w:val="22"/>
              </w:rPr>
            </w:pPr>
          </w:p>
        </w:tc>
      </w:tr>
      <w:tr w:rsidR="00A62890" w:rsidRPr="00C424B1" w14:paraId="79FD84F3" w14:textId="77777777" w:rsidTr="00B90222">
        <w:trPr>
          <w:trHeight w:val="290"/>
        </w:trPr>
        <w:tc>
          <w:tcPr>
            <w:tcW w:w="2760" w:type="dxa"/>
            <w:noWrap/>
            <w:hideMark/>
          </w:tcPr>
          <w:p w14:paraId="528C807E"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Bishop Challoner Boys</w:t>
            </w:r>
          </w:p>
        </w:tc>
        <w:tc>
          <w:tcPr>
            <w:tcW w:w="2201" w:type="dxa"/>
            <w:noWrap/>
            <w:hideMark/>
          </w:tcPr>
          <w:p w14:paraId="732A4C9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1,202,498</w:t>
            </w:r>
          </w:p>
        </w:tc>
        <w:tc>
          <w:tcPr>
            <w:tcW w:w="1130" w:type="dxa"/>
            <w:noWrap/>
            <w:hideMark/>
          </w:tcPr>
          <w:p w14:paraId="38CA4A5A"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23%</w:t>
            </w:r>
          </w:p>
        </w:tc>
        <w:tc>
          <w:tcPr>
            <w:tcW w:w="2360" w:type="dxa"/>
            <w:noWrap/>
            <w:hideMark/>
          </w:tcPr>
          <w:p w14:paraId="43932966"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1,538,194</w:t>
            </w:r>
          </w:p>
        </w:tc>
        <w:tc>
          <w:tcPr>
            <w:tcW w:w="1211" w:type="dxa"/>
            <w:noWrap/>
            <w:hideMark/>
          </w:tcPr>
          <w:p w14:paraId="16EC1565"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28%</w:t>
            </w:r>
          </w:p>
        </w:tc>
      </w:tr>
      <w:tr w:rsidR="00A62890" w:rsidRPr="00C424B1" w14:paraId="1EE38973" w14:textId="77777777" w:rsidTr="00B90222">
        <w:trPr>
          <w:trHeight w:val="290"/>
        </w:trPr>
        <w:tc>
          <w:tcPr>
            <w:tcW w:w="2760" w:type="dxa"/>
            <w:noWrap/>
            <w:hideMark/>
          </w:tcPr>
          <w:p w14:paraId="0DE26680"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Bishop Challoner Girls</w:t>
            </w:r>
          </w:p>
        </w:tc>
        <w:tc>
          <w:tcPr>
            <w:tcW w:w="2201" w:type="dxa"/>
            <w:noWrap/>
            <w:hideMark/>
          </w:tcPr>
          <w:p w14:paraId="4182F8AB"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858,416</w:t>
            </w:r>
          </w:p>
        </w:tc>
        <w:tc>
          <w:tcPr>
            <w:tcW w:w="1130" w:type="dxa"/>
            <w:noWrap/>
            <w:hideMark/>
          </w:tcPr>
          <w:p w14:paraId="588A8C7D"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12%</w:t>
            </w:r>
          </w:p>
        </w:tc>
        <w:tc>
          <w:tcPr>
            <w:tcW w:w="2360" w:type="dxa"/>
            <w:noWrap/>
            <w:hideMark/>
          </w:tcPr>
          <w:p w14:paraId="563C857B"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1,179,396</w:t>
            </w:r>
          </w:p>
        </w:tc>
        <w:tc>
          <w:tcPr>
            <w:tcW w:w="1211" w:type="dxa"/>
            <w:noWrap/>
            <w:hideMark/>
          </w:tcPr>
          <w:p w14:paraId="101208AD"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15%</w:t>
            </w:r>
          </w:p>
        </w:tc>
      </w:tr>
      <w:tr w:rsidR="00A62890" w:rsidRPr="00C424B1" w14:paraId="3575FF98" w14:textId="77777777" w:rsidTr="00B90222">
        <w:trPr>
          <w:trHeight w:val="290"/>
        </w:trPr>
        <w:tc>
          <w:tcPr>
            <w:tcW w:w="2760" w:type="dxa"/>
            <w:noWrap/>
            <w:hideMark/>
          </w:tcPr>
          <w:p w14:paraId="1A1CC7E3"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Bow</w:t>
            </w:r>
          </w:p>
        </w:tc>
        <w:tc>
          <w:tcPr>
            <w:tcW w:w="2201" w:type="dxa"/>
            <w:noWrap/>
            <w:hideMark/>
          </w:tcPr>
          <w:p w14:paraId="5D2D1166"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270,129</w:t>
            </w:r>
          </w:p>
        </w:tc>
        <w:tc>
          <w:tcPr>
            <w:tcW w:w="1130" w:type="dxa"/>
            <w:noWrap/>
            <w:hideMark/>
          </w:tcPr>
          <w:p w14:paraId="25017044"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w:t>
            </w:r>
          </w:p>
        </w:tc>
        <w:tc>
          <w:tcPr>
            <w:tcW w:w="2360" w:type="dxa"/>
            <w:noWrap/>
            <w:hideMark/>
          </w:tcPr>
          <w:p w14:paraId="433C9DFF"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1,275,543</w:t>
            </w:r>
          </w:p>
        </w:tc>
        <w:tc>
          <w:tcPr>
            <w:tcW w:w="1211" w:type="dxa"/>
            <w:noWrap/>
            <w:hideMark/>
          </w:tcPr>
          <w:p w14:paraId="74171B0F"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10%</w:t>
            </w:r>
          </w:p>
        </w:tc>
      </w:tr>
      <w:tr w:rsidR="00A62890" w:rsidRPr="00C424B1" w14:paraId="6FE4D002" w14:textId="77777777" w:rsidTr="00B90222">
        <w:trPr>
          <w:trHeight w:val="290"/>
        </w:trPr>
        <w:tc>
          <w:tcPr>
            <w:tcW w:w="2760" w:type="dxa"/>
            <w:noWrap/>
            <w:hideMark/>
          </w:tcPr>
          <w:p w14:paraId="0ADB287D"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CFGS</w:t>
            </w:r>
          </w:p>
        </w:tc>
        <w:tc>
          <w:tcPr>
            <w:tcW w:w="2201" w:type="dxa"/>
            <w:noWrap/>
            <w:hideMark/>
          </w:tcPr>
          <w:p w14:paraId="14ACF4B7"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416,020</w:t>
            </w:r>
          </w:p>
        </w:tc>
        <w:tc>
          <w:tcPr>
            <w:tcW w:w="1130" w:type="dxa"/>
            <w:noWrap/>
            <w:hideMark/>
          </w:tcPr>
          <w:p w14:paraId="4A34D7E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3%</w:t>
            </w:r>
          </w:p>
        </w:tc>
        <w:tc>
          <w:tcPr>
            <w:tcW w:w="2360" w:type="dxa"/>
            <w:noWrap/>
            <w:hideMark/>
          </w:tcPr>
          <w:p w14:paraId="684AFD46"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431,960</w:t>
            </w:r>
          </w:p>
        </w:tc>
        <w:tc>
          <w:tcPr>
            <w:tcW w:w="1211" w:type="dxa"/>
            <w:noWrap/>
            <w:hideMark/>
          </w:tcPr>
          <w:p w14:paraId="447FA4DF"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3%</w:t>
            </w:r>
          </w:p>
        </w:tc>
      </w:tr>
      <w:tr w:rsidR="00A62890" w:rsidRPr="00C424B1" w14:paraId="72E72961" w14:textId="77777777" w:rsidTr="00B90222">
        <w:trPr>
          <w:trHeight w:val="290"/>
        </w:trPr>
        <w:tc>
          <w:tcPr>
            <w:tcW w:w="2760" w:type="dxa"/>
            <w:noWrap/>
            <w:hideMark/>
          </w:tcPr>
          <w:p w14:paraId="380CC421"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George Green</w:t>
            </w:r>
          </w:p>
        </w:tc>
        <w:tc>
          <w:tcPr>
            <w:tcW w:w="2201" w:type="dxa"/>
            <w:noWrap/>
            <w:hideMark/>
          </w:tcPr>
          <w:p w14:paraId="5CCCF2F0"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1,332,077</w:t>
            </w:r>
          </w:p>
        </w:tc>
        <w:tc>
          <w:tcPr>
            <w:tcW w:w="1130" w:type="dxa"/>
            <w:noWrap/>
            <w:hideMark/>
          </w:tcPr>
          <w:p w14:paraId="3D90CFEF"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11%</w:t>
            </w:r>
          </w:p>
        </w:tc>
        <w:tc>
          <w:tcPr>
            <w:tcW w:w="2360" w:type="dxa"/>
            <w:noWrap/>
            <w:hideMark/>
          </w:tcPr>
          <w:p w14:paraId="7785C92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1,202,845</w:t>
            </w:r>
          </w:p>
        </w:tc>
        <w:tc>
          <w:tcPr>
            <w:tcW w:w="1211" w:type="dxa"/>
            <w:noWrap/>
            <w:hideMark/>
          </w:tcPr>
          <w:p w14:paraId="6467885C"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10%</w:t>
            </w:r>
          </w:p>
        </w:tc>
      </w:tr>
      <w:tr w:rsidR="00A62890" w:rsidRPr="00C424B1" w14:paraId="2648C35A" w14:textId="77777777" w:rsidTr="00B90222">
        <w:trPr>
          <w:trHeight w:val="290"/>
        </w:trPr>
        <w:tc>
          <w:tcPr>
            <w:tcW w:w="2760" w:type="dxa"/>
            <w:noWrap/>
            <w:hideMark/>
          </w:tcPr>
          <w:p w14:paraId="292B6706"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Langdon Park</w:t>
            </w:r>
          </w:p>
        </w:tc>
        <w:tc>
          <w:tcPr>
            <w:tcW w:w="2201" w:type="dxa"/>
            <w:noWrap/>
            <w:hideMark/>
          </w:tcPr>
          <w:p w14:paraId="011C2388"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142,146</w:t>
            </w:r>
          </w:p>
        </w:tc>
        <w:tc>
          <w:tcPr>
            <w:tcW w:w="1130" w:type="dxa"/>
            <w:noWrap/>
            <w:hideMark/>
          </w:tcPr>
          <w:p w14:paraId="2F8BBD6C"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w:t>
            </w:r>
          </w:p>
        </w:tc>
        <w:tc>
          <w:tcPr>
            <w:tcW w:w="2360" w:type="dxa"/>
            <w:noWrap/>
            <w:hideMark/>
          </w:tcPr>
          <w:p w14:paraId="1EEEA7BD"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919,079</w:t>
            </w:r>
          </w:p>
        </w:tc>
        <w:tc>
          <w:tcPr>
            <w:tcW w:w="1211" w:type="dxa"/>
            <w:noWrap/>
            <w:hideMark/>
          </w:tcPr>
          <w:p w14:paraId="6DB3D03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9%</w:t>
            </w:r>
          </w:p>
        </w:tc>
      </w:tr>
      <w:tr w:rsidR="00A62890" w:rsidRPr="00C424B1" w14:paraId="24F09F25" w14:textId="77777777" w:rsidTr="00B90222">
        <w:trPr>
          <w:trHeight w:val="290"/>
        </w:trPr>
        <w:tc>
          <w:tcPr>
            <w:tcW w:w="2760" w:type="dxa"/>
            <w:noWrap/>
            <w:hideMark/>
          </w:tcPr>
          <w:p w14:paraId="507B0BAB"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Morpeth</w:t>
            </w:r>
          </w:p>
        </w:tc>
        <w:tc>
          <w:tcPr>
            <w:tcW w:w="2201" w:type="dxa"/>
            <w:noWrap/>
            <w:hideMark/>
          </w:tcPr>
          <w:p w14:paraId="1B7B6CE6"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2,334,014</w:t>
            </w:r>
          </w:p>
        </w:tc>
        <w:tc>
          <w:tcPr>
            <w:tcW w:w="1130" w:type="dxa"/>
            <w:noWrap/>
            <w:hideMark/>
          </w:tcPr>
          <w:p w14:paraId="690D7BDC"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17%</w:t>
            </w:r>
          </w:p>
        </w:tc>
        <w:tc>
          <w:tcPr>
            <w:tcW w:w="2360" w:type="dxa"/>
            <w:noWrap/>
            <w:hideMark/>
          </w:tcPr>
          <w:p w14:paraId="45558BA0"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2,229,032</w:t>
            </w:r>
          </w:p>
        </w:tc>
        <w:tc>
          <w:tcPr>
            <w:tcW w:w="1211" w:type="dxa"/>
            <w:noWrap/>
            <w:hideMark/>
          </w:tcPr>
          <w:p w14:paraId="206384F6"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16%</w:t>
            </w:r>
          </w:p>
        </w:tc>
      </w:tr>
      <w:tr w:rsidR="00A62890" w:rsidRPr="00C424B1" w14:paraId="3B094E75" w14:textId="77777777" w:rsidTr="00B90222">
        <w:trPr>
          <w:trHeight w:val="290"/>
        </w:trPr>
        <w:tc>
          <w:tcPr>
            <w:tcW w:w="2760" w:type="dxa"/>
            <w:noWrap/>
            <w:hideMark/>
          </w:tcPr>
          <w:p w14:paraId="3E1616BF"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Oaklands</w:t>
            </w:r>
          </w:p>
        </w:tc>
        <w:tc>
          <w:tcPr>
            <w:tcW w:w="2201" w:type="dxa"/>
            <w:noWrap/>
            <w:hideMark/>
          </w:tcPr>
          <w:p w14:paraId="70738216"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774,969</w:t>
            </w:r>
          </w:p>
        </w:tc>
        <w:tc>
          <w:tcPr>
            <w:tcW w:w="1130" w:type="dxa"/>
            <w:noWrap/>
            <w:hideMark/>
          </w:tcPr>
          <w:p w14:paraId="1A528AF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10%</w:t>
            </w:r>
          </w:p>
        </w:tc>
        <w:tc>
          <w:tcPr>
            <w:tcW w:w="2360" w:type="dxa"/>
            <w:noWrap/>
            <w:hideMark/>
          </w:tcPr>
          <w:p w14:paraId="6BAAF5A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956,196</w:t>
            </w:r>
          </w:p>
        </w:tc>
        <w:tc>
          <w:tcPr>
            <w:tcW w:w="1211" w:type="dxa"/>
            <w:noWrap/>
            <w:hideMark/>
          </w:tcPr>
          <w:p w14:paraId="0C79E315"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11%</w:t>
            </w:r>
          </w:p>
        </w:tc>
      </w:tr>
      <w:tr w:rsidR="00A62890" w:rsidRPr="00C424B1" w14:paraId="394A70C2" w14:textId="77777777" w:rsidTr="00B90222">
        <w:trPr>
          <w:trHeight w:val="290"/>
        </w:trPr>
        <w:tc>
          <w:tcPr>
            <w:tcW w:w="2760" w:type="dxa"/>
            <w:hideMark/>
          </w:tcPr>
          <w:p w14:paraId="6F13B053" w14:textId="23D7563B"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Stepney All Saints</w:t>
            </w:r>
          </w:p>
        </w:tc>
        <w:tc>
          <w:tcPr>
            <w:tcW w:w="2201" w:type="dxa"/>
            <w:noWrap/>
            <w:hideMark/>
          </w:tcPr>
          <w:p w14:paraId="6160477A"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1,082,672</w:t>
            </w:r>
          </w:p>
        </w:tc>
        <w:tc>
          <w:tcPr>
            <w:tcW w:w="1130" w:type="dxa"/>
            <w:noWrap/>
            <w:hideMark/>
          </w:tcPr>
          <w:p w14:paraId="45A2FFB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9%</w:t>
            </w:r>
          </w:p>
        </w:tc>
        <w:tc>
          <w:tcPr>
            <w:tcW w:w="2360" w:type="dxa"/>
            <w:noWrap/>
            <w:hideMark/>
          </w:tcPr>
          <w:p w14:paraId="1939EF7F"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1,378,685</w:t>
            </w:r>
          </w:p>
        </w:tc>
        <w:tc>
          <w:tcPr>
            <w:tcW w:w="1211" w:type="dxa"/>
            <w:noWrap/>
            <w:hideMark/>
          </w:tcPr>
          <w:p w14:paraId="05340FAF"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11%</w:t>
            </w:r>
          </w:p>
        </w:tc>
      </w:tr>
      <w:tr w:rsidR="00A62890" w:rsidRPr="00C424B1" w14:paraId="674D5184" w14:textId="77777777" w:rsidTr="00B90222">
        <w:trPr>
          <w:trHeight w:val="290"/>
        </w:trPr>
        <w:tc>
          <w:tcPr>
            <w:tcW w:w="2760" w:type="dxa"/>
            <w:noWrap/>
            <w:hideMark/>
          </w:tcPr>
          <w:p w14:paraId="77D4A78D"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Swanlea</w:t>
            </w:r>
          </w:p>
        </w:tc>
        <w:tc>
          <w:tcPr>
            <w:tcW w:w="2201" w:type="dxa"/>
            <w:noWrap/>
            <w:hideMark/>
          </w:tcPr>
          <w:p w14:paraId="342CCDB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2,653,794</w:t>
            </w:r>
          </w:p>
        </w:tc>
        <w:tc>
          <w:tcPr>
            <w:tcW w:w="1130" w:type="dxa"/>
            <w:noWrap/>
            <w:hideMark/>
          </w:tcPr>
          <w:p w14:paraId="35DC211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23%</w:t>
            </w:r>
          </w:p>
        </w:tc>
        <w:tc>
          <w:tcPr>
            <w:tcW w:w="2360" w:type="dxa"/>
            <w:noWrap/>
            <w:hideMark/>
          </w:tcPr>
          <w:p w14:paraId="58ED8F99"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2,778,873</w:t>
            </w:r>
          </w:p>
        </w:tc>
        <w:tc>
          <w:tcPr>
            <w:tcW w:w="1211" w:type="dxa"/>
            <w:noWrap/>
            <w:hideMark/>
          </w:tcPr>
          <w:p w14:paraId="7ED5B35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23%</w:t>
            </w:r>
          </w:p>
        </w:tc>
      </w:tr>
      <w:tr w:rsidR="00A62890" w:rsidRPr="00C424B1" w14:paraId="53997E1E" w14:textId="77777777" w:rsidTr="00B90222">
        <w:trPr>
          <w:trHeight w:val="290"/>
        </w:trPr>
        <w:tc>
          <w:tcPr>
            <w:tcW w:w="2760" w:type="dxa"/>
            <w:noWrap/>
            <w:hideMark/>
          </w:tcPr>
          <w:p w14:paraId="1C3D1131" w14:textId="77777777" w:rsidR="00A62890" w:rsidRPr="00C424B1" w:rsidRDefault="00A62890" w:rsidP="00C424B1">
            <w:pPr>
              <w:rPr>
                <w:rFonts w:ascii="Calibri" w:hAnsi="Calibri" w:cs="Calibri"/>
                <w:color w:val="000000"/>
                <w:sz w:val="22"/>
                <w:szCs w:val="22"/>
              </w:rPr>
            </w:pPr>
          </w:p>
        </w:tc>
        <w:tc>
          <w:tcPr>
            <w:tcW w:w="2201" w:type="dxa"/>
            <w:noWrap/>
            <w:hideMark/>
          </w:tcPr>
          <w:p w14:paraId="6DC94F47" w14:textId="77777777" w:rsidR="00A62890" w:rsidRPr="00C424B1" w:rsidRDefault="00A62890" w:rsidP="00C424B1">
            <w:pPr>
              <w:jc w:val="center"/>
              <w:rPr>
                <w:rFonts w:ascii="Times New Roman" w:hAnsi="Times New Roman"/>
                <w:sz w:val="20"/>
                <w:szCs w:val="20"/>
              </w:rPr>
            </w:pPr>
          </w:p>
        </w:tc>
        <w:tc>
          <w:tcPr>
            <w:tcW w:w="1130" w:type="dxa"/>
            <w:noWrap/>
            <w:hideMark/>
          </w:tcPr>
          <w:p w14:paraId="5EF345C3" w14:textId="77777777" w:rsidR="00A62890" w:rsidRPr="00C424B1" w:rsidRDefault="00A62890" w:rsidP="00C424B1">
            <w:pPr>
              <w:jc w:val="center"/>
              <w:rPr>
                <w:rFonts w:ascii="Times New Roman" w:hAnsi="Times New Roman"/>
                <w:sz w:val="20"/>
                <w:szCs w:val="20"/>
              </w:rPr>
            </w:pPr>
          </w:p>
        </w:tc>
        <w:tc>
          <w:tcPr>
            <w:tcW w:w="2360" w:type="dxa"/>
            <w:noWrap/>
            <w:hideMark/>
          </w:tcPr>
          <w:p w14:paraId="35C82421" w14:textId="77777777" w:rsidR="00A62890" w:rsidRPr="00C424B1" w:rsidRDefault="00A62890" w:rsidP="00C424B1">
            <w:pPr>
              <w:jc w:val="center"/>
              <w:rPr>
                <w:rFonts w:ascii="Times New Roman" w:hAnsi="Times New Roman"/>
                <w:sz w:val="20"/>
                <w:szCs w:val="20"/>
              </w:rPr>
            </w:pPr>
          </w:p>
        </w:tc>
        <w:tc>
          <w:tcPr>
            <w:tcW w:w="1211" w:type="dxa"/>
            <w:noWrap/>
            <w:hideMark/>
          </w:tcPr>
          <w:p w14:paraId="6329BF37" w14:textId="77777777" w:rsidR="00A62890" w:rsidRPr="00C424B1" w:rsidRDefault="00A62890" w:rsidP="00C424B1">
            <w:pPr>
              <w:jc w:val="center"/>
              <w:rPr>
                <w:rFonts w:ascii="Calibri" w:hAnsi="Calibri" w:cs="Calibri"/>
                <w:color w:val="000000"/>
                <w:sz w:val="22"/>
                <w:szCs w:val="22"/>
              </w:rPr>
            </w:pPr>
          </w:p>
        </w:tc>
      </w:tr>
      <w:tr w:rsidR="00A62890" w:rsidRPr="00C424B1" w14:paraId="522BB199" w14:textId="77777777" w:rsidTr="00B90222">
        <w:trPr>
          <w:trHeight w:val="290"/>
        </w:trPr>
        <w:tc>
          <w:tcPr>
            <w:tcW w:w="2760" w:type="dxa"/>
            <w:noWrap/>
            <w:hideMark/>
          </w:tcPr>
          <w:p w14:paraId="42881645"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Beatrice Tate</w:t>
            </w:r>
          </w:p>
        </w:tc>
        <w:tc>
          <w:tcPr>
            <w:tcW w:w="2201" w:type="dxa"/>
            <w:noWrap/>
            <w:hideMark/>
          </w:tcPr>
          <w:p w14:paraId="79CB38F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1,244,362</w:t>
            </w:r>
          </w:p>
        </w:tc>
        <w:tc>
          <w:tcPr>
            <w:tcW w:w="1130" w:type="dxa"/>
            <w:noWrap/>
            <w:hideMark/>
          </w:tcPr>
          <w:p w14:paraId="04547AA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36%</w:t>
            </w:r>
          </w:p>
        </w:tc>
        <w:tc>
          <w:tcPr>
            <w:tcW w:w="2360" w:type="dxa"/>
            <w:noWrap/>
            <w:hideMark/>
          </w:tcPr>
          <w:p w14:paraId="37F1166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815,736</w:t>
            </w:r>
          </w:p>
        </w:tc>
        <w:tc>
          <w:tcPr>
            <w:tcW w:w="1211" w:type="dxa"/>
            <w:noWrap/>
            <w:hideMark/>
          </w:tcPr>
          <w:p w14:paraId="041FC741"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23%</w:t>
            </w:r>
          </w:p>
        </w:tc>
      </w:tr>
      <w:tr w:rsidR="00A62890" w:rsidRPr="00C424B1" w14:paraId="24D70E2D" w14:textId="77777777" w:rsidTr="00B90222">
        <w:trPr>
          <w:trHeight w:val="290"/>
        </w:trPr>
        <w:tc>
          <w:tcPr>
            <w:tcW w:w="2760" w:type="dxa"/>
            <w:noWrap/>
            <w:hideMark/>
          </w:tcPr>
          <w:p w14:paraId="71492221"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Bowden House</w:t>
            </w:r>
          </w:p>
        </w:tc>
        <w:tc>
          <w:tcPr>
            <w:tcW w:w="2201" w:type="dxa"/>
            <w:noWrap/>
            <w:hideMark/>
          </w:tcPr>
          <w:p w14:paraId="1DAF4D3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588,417</w:t>
            </w:r>
          </w:p>
        </w:tc>
        <w:tc>
          <w:tcPr>
            <w:tcW w:w="1130" w:type="dxa"/>
            <w:noWrap/>
            <w:hideMark/>
          </w:tcPr>
          <w:p w14:paraId="693303BC"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19%</w:t>
            </w:r>
          </w:p>
        </w:tc>
        <w:tc>
          <w:tcPr>
            <w:tcW w:w="2360" w:type="dxa"/>
            <w:noWrap/>
            <w:hideMark/>
          </w:tcPr>
          <w:p w14:paraId="652336AF"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798,206</w:t>
            </w:r>
          </w:p>
        </w:tc>
        <w:tc>
          <w:tcPr>
            <w:tcW w:w="1211" w:type="dxa"/>
            <w:noWrap/>
            <w:hideMark/>
          </w:tcPr>
          <w:p w14:paraId="4B1FFA6D"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23%</w:t>
            </w:r>
          </w:p>
        </w:tc>
      </w:tr>
      <w:tr w:rsidR="00A62890" w:rsidRPr="00C424B1" w14:paraId="50CDEC87" w14:textId="77777777" w:rsidTr="00B90222">
        <w:trPr>
          <w:trHeight w:val="290"/>
        </w:trPr>
        <w:tc>
          <w:tcPr>
            <w:tcW w:w="2760" w:type="dxa"/>
            <w:noWrap/>
            <w:hideMark/>
          </w:tcPr>
          <w:p w14:paraId="6947A15F"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Cherry Trees</w:t>
            </w:r>
          </w:p>
        </w:tc>
        <w:tc>
          <w:tcPr>
            <w:tcW w:w="2201" w:type="dxa"/>
            <w:noWrap/>
            <w:hideMark/>
          </w:tcPr>
          <w:p w14:paraId="7C06AF39"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-201,804</w:t>
            </w:r>
          </w:p>
        </w:tc>
        <w:tc>
          <w:tcPr>
            <w:tcW w:w="1130" w:type="dxa"/>
            <w:noWrap/>
            <w:hideMark/>
          </w:tcPr>
          <w:p w14:paraId="277D0543"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-19%</w:t>
            </w:r>
          </w:p>
        </w:tc>
        <w:tc>
          <w:tcPr>
            <w:tcW w:w="2360" w:type="dxa"/>
            <w:noWrap/>
            <w:hideMark/>
          </w:tcPr>
          <w:p w14:paraId="023F9005" w14:textId="77777777" w:rsidR="00A62890" w:rsidRPr="00C424B1" w:rsidRDefault="00A62890" w:rsidP="00C424B1">
            <w:pPr>
              <w:jc w:val="center"/>
              <w:rPr>
                <w:rFonts w:ascii="Calibri" w:hAnsi="Calibri" w:cs="Calibri"/>
                <w:color w:val="000000"/>
                <w:sz w:val="22"/>
                <w:szCs w:val="22"/>
              </w:rPr>
            </w:pPr>
            <w:r w:rsidRPr="00291DF0">
              <w:rPr>
                <w:rFonts w:ascii="Calibri" w:hAnsi="Calibri" w:cs="Calibri"/>
                <w:color w:val="FF0000"/>
                <w:sz w:val="22"/>
                <w:szCs w:val="22"/>
              </w:rPr>
              <w:t>-199,122</w:t>
            </w:r>
          </w:p>
        </w:tc>
        <w:tc>
          <w:tcPr>
            <w:tcW w:w="1211" w:type="dxa"/>
            <w:noWrap/>
            <w:hideMark/>
          </w:tcPr>
          <w:p w14:paraId="400667EE"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FF0000"/>
                <w:sz w:val="22"/>
                <w:szCs w:val="22"/>
              </w:rPr>
              <w:t>-17%</w:t>
            </w:r>
          </w:p>
        </w:tc>
      </w:tr>
      <w:tr w:rsidR="00A62890" w:rsidRPr="00C424B1" w14:paraId="076FDCB4" w14:textId="77777777" w:rsidTr="00B90222">
        <w:trPr>
          <w:trHeight w:val="290"/>
        </w:trPr>
        <w:tc>
          <w:tcPr>
            <w:tcW w:w="2760" w:type="dxa"/>
            <w:noWrap/>
            <w:hideMark/>
          </w:tcPr>
          <w:p w14:paraId="06F7D36F"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LEAP</w:t>
            </w:r>
          </w:p>
        </w:tc>
        <w:tc>
          <w:tcPr>
            <w:tcW w:w="2201" w:type="dxa"/>
            <w:noWrap/>
            <w:hideMark/>
          </w:tcPr>
          <w:p w14:paraId="6C76FB60"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298,453</w:t>
            </w:r>
          </w:p>
        </w:tc>
        <w:tc>
          <w:tcPr>
            <w:tcW w:w="1130" w:type="dxa"/>
            <w:noWrap/>
            <w:hideMark/>
          </w:tcPr>
          <w:p w14:paraId="2B96789A"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6%</w:t>
            </w:r>
          </w:p>
        </w:tc>
        <w:tc>
          <w:tcPr>
            <w:tcW w:w="2360" w:type="dxa"/>
            <w:noWrap/>
            <w:hideMark/>
          </w:tcPr>
          <w:p w14:paraId="469D86FC"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1,261,327</w:t>
            </w:r>
          </w:p>
        </w:tc>
        <w:tc>
          <w:tcPr>
            <w:tcW w:w="1211" w:type="dxa"/>
            <w:noWrap/>
            <w:hideMark/>
          </w:tcPr>
          <w:p w14:paraId="2D35E3C6"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21%</w:t>
            </w:r>
          </w:p>
        </w:tc>
      </w:tr>
      <w:tr w:rsidR="00A62890" w:rsidRPr="00C424B1" w14:paraId="18EBC2DA" w14:textId="77777777" w:rsidTr="00B90222">
        <w:trPr>
          <w:trHeight w:val="290"/>
        </w:trPr>
        <w:tc>
          <w:tcPr>
            <w:tcW w:w="2760" w:type="dxa"/>
            <w:noWrap/>
            <w:hideMark/>
          </w:tcPr>
          <w:p w14:paraId="69729A96"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Phoenix</w:t>
            </w:r>
          </w:p>
        </w:tc>
        <w:tc>
          <w:tcPr>
            <w:tcW w:w="2201" w:type="dxa"/>
            <w:noWrap/>
            <w:hideMark/>
          </w:tcPr>
          <w:p w14:paraId="6CA16B58"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2,664,597</w:t>
            </w:r>
          </w:p>
        </w:tc>
        <w:tc>
          <w:tcPr>
            <w:tcW w:w="1130" w:type="dxa"/>
            <w:noWrap/>
            <w:hideMark/>
          </w:tcPr>
          <w:p w14:paraId="079FFCAB"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19%</w:t>
            </w:r>
          </w:p>
        </w:tc>
        <w:tc>
          <w:tcPr>
            <w:tcW w:w="2360" w:type="dxa"/>
            <w:noWrap/>
            <w:hideMark/>
          </w:tcPr>
          <w:p w14:paraId="1FACDC9A"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3,829,006</w:t>
            </w:r>
          </w:p>
        </w:tc>
        <w:tc>
          <w:tcPr>
            <w:tcW w:w="1211" w:type="dxa"/>
            <w:noWrap/>
            <w:hideMark/>
          </w:tcPr>
          <w:p w14:paraId="766B997A"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25%</w:t>
            </w:r>
          </w:p>
        </w:tc>
      </w:tr>
      <w:tr w:rsidR="00A62890" w:rsidRPr="00C424B1" w14:paraId="44C04298" w14:textId="77777777" w:rsidTr="00B90222">
        <w:trPr>
          <w:trHeight w:val="290"/>
        </w:trPr>
        <w:tc>
          <w:tcPr>
            <w:tcW w:w="2760" w:type="dxa"/>
            <w:noWrap/>
            <w:hideMark/>
          </w:tcPr>
          <w:p w14:paraId="279EDD78" w14:textId="77777777" w:rsidR="00A62890" w:rsidRPr="00C424B1" w:rsidRDefault="00A62890" w:rsidP="00C424B1">
            <w:pPr>
              <w:rPr>
                <w:rFonts w:ascii="Calibri" w:hAnsi="Calibri" w:cs="Calibri"/>
                <w:color w:val="000000"/>
                <w:sz w:val="22"/>
                <w:szCs w:val="22"/>
              </w:rPr>
            </w:pPr>
            <w:r w:rsidRPr="00C424B1">
              <w:rPr>
                <w:rFonts w:ascii="Calibri" w:hAnsi="Calibri" w:cs="Calibri"/>
                <w:color w:val="000000"/>
                <w:sz w:val="22"/>
                <w:szCs w:val="22"/>
              </w:rPr>
              <w:t>Stephen Hawkings</w:t>
            </w:r>
          </w:p>
        </w:tc>
        <w:tc>
          <w:tcPr>
            <w:tcW w:w="2201" w:type="dxa"/>
            <w:noWrap/>
            <w:hideMark/>
          </w:tcPr>
          <w:p w14:paraId="14A307E2"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424,559</w:t>
            </w:r>
          </w:p>
        </w:tc>
        <w:tc>
          <w:tcPr>
            <w:tcW w:w="1130" w:type="dxa"/>
            <w:noWrap/>
            <w:hideMark/>
          </w:tcPr>
          <w:p w14:paraId="4D7220EC"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11%</w:t>
            </w:r>
          </w:p>
        </w:tc>
        <w:tc>
          <w:tcPr>
            <w:tcW w:w="2360" w:type="dxa"/>
            <w:noWrap/>
            <w:hideMark/>
          </w:tcPr>
          <w:p w14:paraId="2E65E3F0"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519,981</w:t>
            </w:r>
          </w:p>
        </w:tc>
        <w:tc>
          <w:tcPr>
            <w:tcW w:w="1211" w:type="dxa"/>
            <w:noWrap/>
            <w:hideMark/>
          </w:tcPr>
          <w:p w14:paraId="00EDFAEF" w14:textId="77777777" w:rsidR="00A62890" w:rsidRPr="00C424B1" w:rsidRDefault="00A62890" w:rsidP="00C424B1">
            <w:pPr>
              <w:jc w:val="center"/>
              <w:rPr>
                <w:rFonts w:ascii="Calibri" w:hAnsi="Calibri" w:cs="Calibri"/>
                <w:color w:val="000000"/>
                <w:sz w:val="22"/>
                <w:szCs w:val="22"/>
              </w:rPr>
            </w:pPr>
            <w:r w:rsidRPr="00C424B1">
              <w:rPr>
                <w:rFonts w:ascii="Calibri" w:hAnsi="Calibri" w:cs="Calibri"/>
                <w:color w:val="000000"/>
                <w:sz w:val="22"/>
                <w:szCs w:val="22"/>
              </w:rPr>
              <w:t>12%</w:t>
            </w:r>
          </w:p>
        </w:tc>
      </w:tr>
      <w:tr w:rsidR="00A62890" w:rsidRPr="00C424B1" w14:paraId="4F8DC5A7" w14:textId="77777777" w:rsidTr="00B90222">
        <w:trPr>
          <w:trHeight w:val="290"/>
        </w:trPr>
        <w:tc>
          <w:tcPr>
            <w:tcW w:w="2760" w:type="dxa"/>
            <w:noWrap/>
            <w:hideMark/>
          </w:tcPr>
          <w:p w14:paraId="1EC79BA9" w14:textId="77777777" w:rsidR="00A62890" w:rsidRPr="00C424B1" w:rsidRDefault="00A62890" w:rsidP="00C424B1">
            <w:pPr>
              <w:rPr>
                <w:rFonts w:ascii="Calibri" w:hAnsi="Calibri" w:cs="Calibri"/>
                <w:b/>
                <w:bCs/>
                <w:color w:val="000000"/>
                <w:sz w:val="22"/>
                <w:szCs w:val="22"/>
              </w:rPr>
            </w:pPr>
            <w:r w:rsidRPr="00C424B1">
              <w:rPr>
                <w:rFonts w:ascii="Calibri" w:hAnsi="Calibri" w:cs="Calibri"/>
                <w:b/>
                <w:bCs/>
                <w:color w:val="000000"/>
                <w:sz w:val="22"/>
                <w:szCs w:val="22"/>
              </w:rPr>
              <w:t>TOTAL</w:t>
            </w:r>
          </w:p>
        </w:tc>
        <w:tc>
          <w:tcPr>
            <w:tcW w:w="2201" w:type="dxa"/>
            <w:noWrap/>
            <w:hideMark/>
          </w:tcPr>
          <w:p w14:paraId="6AAB6A8C" w14:textId="77777777" w:rsidR="00A62890" w:rsidRPr="00C424B1" w:rsidRDefault="00A62890" w:rsidP="00C424B1">
            <w:pPr>
              <w:jc w:val="center"/>
              <w:rPr>
                <w:rFonts w:ascii="Calibri" w:hAnsi="Calibri" w:cs="Calibri"/>
                <w:b/>
                <w:bCs/>
                <w:color w:val="000000"/>
                <w:sz w:val="22"/>
                <w:szCs w:val="22"/>
              </w:rPr>
            </w:pPr>
            <w:r w:rsidRPr="00C424B1">
              <w:rPr>
                <w:rFonts w:ascii="Calibri" w:hAnsi="Calibri" w:cs="Calibri"/>
                <w:b/>
                <w:bCs/>
                <w:color w:val="000000"/>
                <w:sz w:val="22"/>
                <w:szCs w:val="22"/>
              </w:rPr>
              <w:t>32,634,010</w:t>
            </w:r>
          </w:p>
        </w:tc>
        <w:tc>
          <w:tcPr>
            <w:tcW w:w="1130" w:type="dxa"/>
            <w:noWrap/>
            <w:hideMark/>
          </w:tcPr>
          <w:p w14:paraId="4D2379FD" w14:textId="77777777" w:rsidR="00A62890" w:rsidRPr="00C424B1" w:rsidRDefault="00A62890" w:rsidP="00C424B1">
            <w:pPr>
              <w:jc w:val="center"/>
              <w:rPr>
                <w:rFonts w:ascii="Calibri" w:hAnsi="Calibri" w:cs="Calibri"/>
                <w:b/>
                <w:bCs/>
                <w:color w:val="000000"/>
                <w:sz w:val="22"/>
                <w:szCs w:val="22"/>
              </w:rPr>
            </w:pPr>
          </w:p>
        </w:tc>
        <w:tc>
          <w:tcPr>
            <w:tcW w:w="2360" w:type="dxa"/>
            <w:noWrap/>
            <w:hideMark/>
          </w:tcPr>
          <w:p w14:paraId="650BC5C9" w14:textId="77777777" w:rsidR="00A62890" w:rsidRPr="00C424B1" w:rsidRDefault="00A62890" w:rsidP="00C424B1">
            <w:pPr>
              <w:jc w:val="center"/>
              <w:rPr>
                <w:rFonts w:ascii="Calibri" w:hAnsi="Calibri" w:cs="Calibri"/>
                <w:b/>
                <w:bCs/>
                <w:color w:val="000000"/>
                <w:sz w:val="22"/>
                <w:szCs w:val="22"/>
              </w:rPr>
            </w:pPr>
            <w:r w:rsidRPr="00C424B1">
              <w:rPr>
                <w:rFonts w:ascii="Calibri" w:hAnsi="Calibri" w:cs="Calibri"/>
                <w:b/>
                <w:bCs/>
                <w:color w:val="000000"/>
                <w:sz w:val="22"/>
                <w:szCs w:val="22"/>
              </w:rPr>
              <w:t>34,291,643</w:t>
            </w:r>
          </w:p>
        </w:tc>
        <w:tc>
          <w:tcPr>
            <w:tcW w:w="1211" w:type="dxa"/>
            <w:noWrap/>
            <w:hideMark/>
          </w:tcPr>
          <w:p w14:paraId="7BDC5AA1" w14:textId="77777777" w:rsidR="00A62890" w:rsidRPr="00C424B1" w:rsidRDefault="00A62890" w:rsidP="00C424B1">
            <w:pPr>
              <w:jc w:val="center"/>
              <w:rPr>
                <w:rFonts w:ascii="Calibri" w:hAnsi="Calibri" w:cs="Calibri"/>
                <w:b/>
                <w:bCs/>
                <w:color w:val="000000"/>
                <w:sz w:val="22"/>
                <w:szCs w:val="22"/>
              </w:rPr>
            </w:pPr>
          </w:p>
        </w:tc>
      </w:tr>
    </w:tbl>
    <w:p w14:paraId="4900B111" w14:textId="01A037A5" w:rsidR="0008700F" w:rsidRDefault="0008700F">
      <w:pPr>
        <w:rPr>
          <w:b/>
          <w:highlight w:val="yellow"/>
        </w:rPr>
      </w:pPr>
    </w:p>
    <w:p w14:paraId="7A836B09" w14:textId="68E3BF67" w:rsidR="00C424B1" w:rsidRPr="00A62890" w:rsidRDefault="00A62890">
      <w:pPr>
        <w:rPr>
          <w:bCs/>
        </w:rPr>
      </w:pPr>
      <w:r w:rsidRPr="00A62890">
        <w:rPr>
          <w:bCs/>
        </w:rPr>
        <w:t>Key</w:t>
      </w:r>
      <w:r>
        <w:rPr>
          <w:bCs/>
        </w:rPr>
        <w:t xml:space="preserve"> to colour coding</w:t>
      </w:r>
    </w:p>
    <w:tbl>
      <w:tblPr>
        <w:tblStyle w:val="TableGrid"/>
        <w:tblW w:w="0" w:type="auto"/>
        <w:tblLook w:val="04A0" w:firstRow="1" w:lastRow="0" w:firstColumn="1" w:lastColumn="0" w:noHBand="0" w:noVBand="1"/>
      </w:tblPr>
      <w:tblGrid>
        <w:gridCol w:w="4531"/>
      </w:tblGrid>
      <w:tr w:rsidR="00C424B1" w:rsidRPr="00C424B1" w14:paraId="4DDEC499" w14:textId="77777777" w:rsidTr="00C424B1">
        <w:tc>
          <w:tcPr>
            <w:tcW w:w="4531" w:type="dxa"/>
            <w:shd w:val="clear" w:color="auto" w:fill="CCFFFF"/>
          </w:tcPr>
          <w:p w14:paraId="512D31DD" w14:textId="50A98B1D" w:rsidR="00C424B1" w:rsidRPr="00C424B1" w:rsidRDefault="00C424B1">
            <w:pPr>
              <w:rPr>
                <w:bCs/>
                <w:highlight w:val="yellow"/>
              </w:rPr>
            </w:pPr>
            <w:r w:rsidRPr="00C424B1">
              <w:rPr>
                <w:bCs/>
              </w:rPr>
              <w:t>Schools merged at end of year</w:t>
            </w:r>
          </w:p>
        </w:tc>
      </w:tr>
      <w:tr w:rsidR="00C424B1" w14:paraId="20390DC4" w14:textId="77777777" w:rsidTr="00C424B1">
        <w:tc>
          <w:tcPr>
            <w:tcW w:w="4531" w:type="dxa"/>
            <w:shd w:val="clear" w:color="auto" w:fill="FFCCFF"/>
          </w:tcPr>
          <w:p w14:paraId="76290F33" w14:textId="4AB152B9" w:rsidR="00C424B1" w:rsidRPr="00C424B1" w:rsidRDefault="00C424B1">
            <w:pPr>
              <w:rPr>
                <w:bCs/>
              </w:rPr>
            </w:pPr>
            <w:r w:rsidRPr="00C424B1">
              <w:rPr>
                <w:bCs/>
              </w:rPr>
              <w:t>School conversion to academy in- year</w:t>
            </w:r>
          </w:p>
        </w:tc>
      </w:tr>
      <w:tr w:rsidR="00C424B1" w14:paraId="5A22F9FB" w14:textId="77777777" w:rsidTr="00C424B1">
        <w:tc>
          <w:tcPr>
            <w:tcW w:w="4531" w:type="dxa"/>
            <w:shd w:val="clear" w:color="auto" w:fill="FFFF00"/>
          </w:tcPr>
          <w:p w14:paraId="47D1E3F5" w14:textId="2A8D0D95" w:rsidR="00C424B1" w:rsidRPr="00C424B1" w:rsidRDefault="00C424B1">
            <w:pPr>
              <w:rPr>
                <w:bCs/>
                <w:highlight w:val="yellow"/>
              </w:rPr>
            </w:pPr>
            <w:r>
              <w:rPr>
                <w:bCs/>
                <w:highlight w:val="yellow"/>
              </w:rPr>
              <w:t>Schools closed in-year</w:t>
            </w:r>
          </w:p>
        </w:tc>
      </w:tr>
    </w:tbl>
    <w:p w14:paraId="7C1F2A05" w14:textId="0432C86F" w:rsidR="00C424B1" w:rsidRDefault="00C424B1">
      <w:pPr>
        <w:rPr>
          <w:b/>
          <w:highlight w:val="yellow"/>
        </w:rPr>
      </w:pPr>
    </w:p>
    <w:p w14:paraId="2B400106" w14:textId="51740D95" w:rsidR="00A62890" w:rsidRDefault="00A62890">
      <w:pPr>
        <w:rPr>
          <w:b/>
          <w:highlight w:val="yellow"/>
        </w:rPr>
      </w:pPr>
      <w:r>
        <w:rPr>
          <w:b/>
          <w:highlight w:val="yellow"/>
        </w:rPr>
        <w:br w:type="page"/>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56"/>
        <w:gridCol w:w="1843"/>
        <w:gridCol w:w="1646"/>
      </w:tblGrid>
      <w:tr w:rsidR="00A62890" w:rsidRPr="00A62890" w14:paraId="20110E87" w14:textId="77777777" w:rsidTr="00172A57">
        <w:trPr>
          <w:trHeight w:val="580"/>
          <w:jc w:val="center"/>
        </w:trPr>
        <w:tc>
          <w:tcPr>
            <w:tcW w:w="3964" w:type="dxa"/>
            <w:shd w:val="clear" w:color="auto" w:fill="auto"/>
            <w:vAlign w:val="bottom"/>
            <w:hideMark/>
          </w:tcPr>
          <w:p w14:paraId="0078AFDA" w14:textId="59BC6B39" w:rsidR="00A62890" w:rsidRPr="00A62890" w:rsidRDefault="00A62890" w:rsidP="00A62890">
            <w:pPr>
              <w:rPr>
                <w:rFonts w:ascii="Calibri" w:hAnsi="Calibri" w:cs="Calibri"/>
                <w:color w:val="000000"/>
                <w:sz w:val="22"/>
                <w:szCs w:val="22"/>
              </w:rPr>
            </w:pPr>
          </w:p>
        </w:tc>
        <w:tc>
          <w:tcPr>
            <w:tcW w:w="1756" w:type="dxa"/>
            <w:shd w:val="clear" w:color="auto" w:fill="943634" w:themeFill="accent2" w:themeFillShade="BF"/>
            <w:vAlign w:val="center"/>
            <w:hideMark/>
          </w:tcPr>
          <w:p w14:paraId="30FEF113" w14:textId="77777777" w:rsidR="00A62890" w:rsidRPr="00172A57" w:rsidRDefault="00A62890" w:rsidP="00A62890">
            <w:pPr>
              <w:jc w:val="center"/>
              <w:rPr>
                <w:rFonts w:ascii="Calibri" w:hAnsi="Calibri" w:cs="Calibri"/>
                <w:b/>
                <w:bCs/>
                <w:color w:val="FFFFFF"/>
              </w:rPr>
            </w:pPr>
            <w:r w:rsidRPr="00172A57">
              <w:rPr>
                <w:rFonts w:ascii="Calibri" w:hAnsi="Calibri" w:cs="Calibri"/>
                <w:b/>
                <w:bCs/>
                <w:color w:val="FFFFFF"/>
              </w:rPr>
              <w:t>capital opening balance</w:t>
            </w:r>
          </w:p>
        </w:tc>
        <w:tc>
          <w:tcPr>
            <w:tcW w:w="1843" w:type="dxa"/>
            <w:shd w:val="clear" w:color="auto" w:fill="002060"/>
            <w:vAlign w:val="center"/>
            <w:hideMark/>
          </w:tcPr>
          <w:p w14:paraId="3F732631" w14:textId="74BE68E5" w:rsidR="00A62890" w:rsidRPr="00172A57" w:rsidRDefault="00A62890" w:rsidP="00A62890">
            <w:pPr>
              <w:jc w:val="center"/>
              <w:rPr>
                <w:rFonts w:ascii="Calibri" w:hAnsi="Calibri" w:cs="Calibri"/>
                <w:b/>
                <w:bCs/>
                <w:color w:val="FFFFFF"/>
              </w:rPr>
            </w:pPr>
            <w:r w:rsidRPr="00172A57">
              <w:rPr>
                <w:rFonts w:ascii="Calibri" w:hAnsi="Calibri" w:cs="Calibri"/>
                <w:b/>
                <w:bCs/>
                <w:color w:val="FFFFFF"/>
              </w:rPr>
              <w:t xml:space="preserve">capital </w:t>
            </w:r>
            <w:r w:rsidR="007E0FFA" w:rsidRPr="00172A57">
              <w:rPr>
                <w:rFonts w:ascii="Calibri" w:hAnsi="Calibri" w:cs="Calibri"/>
                <w:b/>
                <w:bCs/>
                <w:color w:val="FFFFFF"/>
              </w:rPr>
              <w:t>closing balance</w:t>
            </w:r>
          </w:p>
        </w:tc>
        <w:tc>
          <w:tcPr>
            <w:tcW w:w="1646" w:type="dxa"/>
            <w:shd w:val="clear" w:color="auto" w:fill="auto"/>
            <w:noWrap/>
            <w:vAlign w:val="bottom"/>
            <w:hideMark/>
          </w:tcPr>
          <w:p w14:paraId="3F8D054C"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movement </w:t>
            </w:r>
          </w:p>
        </w:tc>
      </w:tr>
      <w:tr w:rsidR="00A62890" w:rsidRPr="00A62890" w14:paraId="61530C60" w14:textId="77777777" w:rsidTr="00A62890">
        <w:trPr>
          <w:trHeight w:val="290"/>
          <w:jc w:val="center"/>
        </w:trPr>
        <w:tc>
          <w:tcPr>
            <w:tcW w:w="3964" w:type="dxa"/>
            <w:shd w:val="clear" w:color="auto" w:fill="auto"/>
            <w:noWrap/>
            <w:vAlign w:val="bottom"/>
            <w:hideMark/>
          </w:tcPr>
          <w:p w14:paraId="49670352"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Alice Model</w:t>
            </w:r>
          </w:p>
        </w:tc>
        <w:tc>
          <w:tcPr>
            <w:tcW w:w="1756" w:type="dxa"/>
            <w:shd w:val="clear" w:color="auto" w:fill="auto"/>
            <w:noWrap/>
            <w:vAlign w:val="bottom"/>
            <w:hideMark/>
          </w:tcPr>
          <w:p w14:paraId="0FF73610"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43,906 </w:t>
            </w:r>
          </w:p>
        </w:tc>
        <w:tc>
          <w:tcPr>
            <w:tcW w:w="1843" w:type="dxa"/>
            <w:shd w:val="clear" w:color="auto" w:fill="auto"/>
            <w:noWrap/>
            <w:vAlign w:val="bottom"/>
            <w:hideMark/>
          </w:tcPr>
          <w:p w14:paraId="19E1AC0D"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36,787 </w:t>
            </w:r>
          </w:p>
        </w:tc>
        <w:tc>
          <w:tcPr>
            <w:tcW w:w="1646" w:type="dxa"/>
            <w:shd w:val="clear" w:color="auto" w:fill="auto"/>
            <w:noWrap/>
            <w:vAlign w:val="bottom"/>
            <w:hideMark/>
          </w:tcPr>
          <w:p w14:paraId="019236F5"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7,119 </w:t>
            </w:r>
          </w:p>
        </w:tc>
      </w:tr>
      <w:tr w:rsidR="00A62890" w:rsidRPr="00A62890" w14:paraId="1D70A909" w14:textId="77777777" w:rsidTr="00A62890">
        <w:trPr>
          <w:trHeight w:val="290"/>
          <w:jc w:val="center"/>
        </w:trPr>
        <w:tc>
          <w:tcPr>
            <w:tcW w:w="3964" w:type="dxa"/>
            <w:shd w:val="clear" w:color="auto" w:fill="auto"/>
            <w:noWrap/>
            <w:vAlign w:val="bottom"/>
            <w:hideMark/>
          </w:tcPr>
          <w:p w14:paraId="4A0EA1A2"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Childrens House</w:t>
            </w:r>
          </w:p>
        </w:tc>
        <w:tc>
          <w:tcPr>
            <w:tcW w:w="1756" w:type="dxa"/>
            <w:shd w:val="clear" w:color="auto" w:fill="auto"/>
            <w:noWrap/>
            <w:vAlign w:val="bottom"/>
            <w:hideMark/>
          </w:tcPr>
          <w:p w14:paraId="2E5B923A"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7,904 </w:t>
            </w:r>
          </w:p>
        </w:tc>
        <w:tc>
          <w:tcPr>
            <w:tcW w:w="1843" w:type="dxa"/>
            <w:shd w:val="clear" w:color="auto" w:fill="auto"/>
            <w:noWrap/>
            <w:vAlign w:val="bottom"/>
            <w:hideMark/>
          </w:tcPr>
          <w:p w14:paraId="0A0594C3"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13,058 </w:t>
            </w:r>
          </w:p>
        </w:tc>
        <w:tc>
          <w:tcPr>
            <w:tcW w:w="1646" w:type="dxa"/>
            <w:shd w:val="clear" w:color="auto" w:fill="auto"/>
            <w:noWrap/>
            <w:vAlign w:val="bottom"/>
            <w:hideMark/>
          </w:tcPr>
          <w:p w14:paraId="1328C094"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5,154 </w:t>
            </w:r>
          </w:p>
        </w:tc>
      </w:tr>
      <w:tr w:rsidR="00A62890" w:rsidRPr="00A62890" w14:paraId="14B9F1AD" w14:textId="77777777" w:rsidTr="00A62890">
        <w:trPr>
          <w:trHeight w:val="290"/>
          <w:jc w:val="center"/>
        </w:trPr>
        <w:tc>
          <w:tcPr>
            <w:tcW w:w="3964" w:type="dxa"/>
            <w:shd w:val="clear" w:color="auto" w:fill="auto"/>
            <w:noWrap/>
            <w:vAlign w:val="bottom"/>
            <w:hideMark/>
          </w:tcPr>
          <w:p w14:paraId="06118BC0"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Columbia Market</w:t>
            </w:r>
          </w:p>
        </w:tc>
        <w:tc>
          <w:tcPr>
            <w:tcW w:w="1756" w:type="dxa"/>
            <w:shd w:val="clear" w:color="auto" w:fill="auto"/>
            <w:noWrap/>
            <w:vAlign w:val="bottom"/>
            <w:hideMark/>
          </w:tcPr>
          <w:p w14:paraId="6A2AF12E"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50,463 </w:t>
            </w:r>
          </w:p>
        </w:tc>
        <w:tc>
          <w:tcPr>
            <w:tcW w:w="1843" w:type="dxa"/>
            <w:shd w:val="clear" w:color="auto" w:fill="auto"/>
            <w:noWrap/>
            <w:vAlign w:val="bottom"/>
            <w:hideMark/>
          </w:tcPr>
          <w:p w14:paraId="0C7366E7"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51,968 </w:t>
            </w:r>
          </w:p>
        </w:tc>
        <w:tc>
          <w:tcPr>
            <w:tcW w:w="1646" w:type="dxa"/>
            <w:shd w:val="clear" w:color="auto" w:fill="auto"/>
            <w:noWrap/>
            <w:vAlign w:val="bottom"/>
            <w:hideMark/>
          </w:tcPr>
          <w:p w14:paraId="423F62B1"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1,505 </w:t>
            </w:r>
          </w:p>
        </w:tc>
      </w:tr>
      <w:tr w:rsidR="00A62890" w:rsidRPr="00A62890" w14:paraId="548F700E" w14:textId="77777777" w:rsidTr="00A62890">
        <w:trPr>
          <w:trHeight w:val="290"/>
          <w:jc w:val="center"/>
        </w:trPr>
        <w:tc>
          <w:tcPr>
            <w:tcW w:w="3964" w:type="dxa"/>
            <w:shd w:val="clear" w:color="auto" w:fill="auto"/>
            <w:noWrap/>
            <w:vAlign w:val="bottom"/>
            <w:hideMark/>
          </w:tcPr>
          <w:p w14:paraId="3C79375D"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Harry Roberts</w:t>
            </w:r>
          </w:p>
        </w:tc>
        <w:tc>
          <w:tcPr>
            <w:tcW w:w="1756" w:type="dxa"/>
            <w:shd w:val="clear" w:color="auto" w:fill="auto"/>
            <w:noWrap/>
            <w:vAlign w:val="bottom"/>
            <w:hideMark/>
          </w:tcPr>
          <w:p w14:paraId="114DC97F"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13,029 </w:t>
            </w:r>
          </w:p>
        </w:tc>
        <w:tc>
          <w:tcPr>
            <w:tcW w:w="1843" w:type="dxa"/>
            <w:shd w:val="clear" w:color="auto" w:fill="auto"/>
            <w:noWrap/>
            <w:vAlign w:val="bottom"/>
            <w:hideMark/>
          </w:tcPr>
          <w:p w14:paraId="7037D763"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3,475 </w:t>
            </w:r>
          </w:p>
        </w:tc>
        <w:tc>
          <w:tcPr>
            <w:tcW w:w="1646" w:type="dxa"/>
            <w:shd w:val="clear" w:color="auto" w:fill="auto"/>
            <w:noWrap/>
            <w:vAlign w:val="bottom"/>
            <w:hideMark/>
          </w:tcPr>
          <w:p w14:paraId="294EF165"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9,554 </w:t>
            </w:r>
          </w:p>
        </w:tc>
      </w:tr>
      <w:tr w:rsidR="00A62890" w:rsidRPr="00A62890" w14:paraId="69DD62B9" w14:textId="77777777" w:rsidTr="00A62890">
        <w:trPr>
          <w:trHeight w:val="290"/>
          <w:jc w:val="center"/>
        </w:trPr>
        <w:tc>
          <w:tcPr>
            <w:tcW w:w="3964" w:type="dxa"/>
            <w:shd w:val="clear" w:color="auto" w:fill="auto"/>
            <w:noWrap/>
            <w:vAlign w:val="bottom"/>
            <w:hideMark/>
          </w:tcPr>
          <w:p w14:paraId="1DCAA40D"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Old Church</w:t>
            </w:r>
          </w:p>
        </w:tc>
        <w:tc>
          <w:tcPr>
            <w:tcW w:w="1756" w:type="dxa"/>
            <w:shd w:val="clear" w:color="auto" w:fill="auto"/>
            <w:noWrap/>
            <w:vAlign w:val="bottom"/>
            <w:hideMark/>
          </w:tcPr>
          <w:p w14:paraId="02044DD5"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7,468 </w:t>
            </w:r>
          </w:p>
        </w:tc>
        <w:tc>
          <w:tcPr>
            <w:tcW w:w="1843" w:type="dxa"/>
            <w:shd w:val="clear" w:color="auto" w:fill="auto"/>
            <w:noWrap/>
            <w:vAlign w:val="bottom"/>
            <w:hideMark/>
          </w:tcPr>
          <w:p w14:paraId="7A2AA650"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4,612 </w:t>
            </w:r>
          </w:p>
        </w:tc>
        <w:tc>
          <w:tcPr>
            <w:tcW w:w="1646" w:type="dxa"/>
            <w:shd w:val="clear" w:color="auto" w:fill="auto"/>
            <w:noWrap/>
            <w:vAlign w:val="bottom"/>
            <w:hideMark/>
          </w:tcPr>
          <w:p w14:paraId="513B4546"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2,857 </w:t>
            </w:r>
          </w:p>
        </w:tc>
      </w:tr>
      <w:tr w:rsidR="00A62890" w:rsidRPr="00A62890" w14:paraId="5C853BB2" w14:textId="77777777" w:rsidTr="00A62890">
        <w:trPr>
          <w:trHeight w:val="290"/>
          <w:jc w:val="center"/>
        </w:trPr>
        <w:tc>
          <w:tcPr>
            <w:tcW w:w="3964" w:type="dxa"/>
            <w:shd w:val="clear" w:color="auto" w:fill="auto"/>
            <w:noWrap/>
            <w:vAlign w:val="bottom"/>
            <w:hideMark/>
          </w:tcPr>
          <w:p w14:paraId="6D213A4E"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Rachel Keeling</w:t>
            </w:r>
          </w:p>
        </w:tc>
        <w:tc>
          <w:tcPr>
            <w:tcW w:w="1756" w:type="dxa"/>
            <w:shd w:val="clear" w:color="auto" w:fill="auto"/>
            <w:noWrap/>
            <w:vAlign w:val="bottom"/>
            <w:hideMark/>
          </w:tcPr>
          <w:p w14:paraId="2EC6C024"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13,773 </w:t>
            </w:r>
          </w:p>
        </w:tc>
        <w:tc>
          <w:tcPr>
            <w:tcW w:w="1843" w:type="dxa"/>
            <w:shd w:val="clear" w:color="auto" w:fill="auto"/>
            <w:noWrap/>
            <w:vAlign w:val="bottom"/>
            <w:hideMark/>
          </w:tcPr>
          <w:p w14:paraId="19C5FE05"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   </w:t>
            </w:r>
          </w:p>
        </w:tc>
        <w:tc>
          <w:tcPr>
            <w:tcW w:w="1646" w:type="dxa"/>
            <w:shd w:val="clear" w:color="auto" w:fill="auto"/>
            <w:noWrap/>
            <w:vAlign w:val="bottom"/>
            <w:hideMark/>
          </w:tcPr>
          <w:p w14:paraId="5BAED098"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13,773 </w:t>
            </w:r>
          </w:p>
        </w:tc>
      </w:tr>
      <w:tr w:rsidR="00A62890" w:rsidRPr="00A62890" w14:paraId="12E2EA80" w14:textId="77777777" w:rsidTr="00A62890">
        <w:trPr>
          <w:trHeight w:val="290"/>
          <w:jc w:val="center"/>
        </w:trPr>
        <w:tc>
          <w:tcPr>
            <w:tcW w:w="3964" w:type="dxa"/>
            <w:shd w:val="clear" w:color="auto" w:fill="auto"/>
            <w:noWrap/>
            <w:vAlign w:val="bottom"/>
            <w:hideMark/>
          </w:tcPr>
          <w:p w14:paraId="7E500BC1"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Arnhem Wharf Primary School</w:t>
            </w:r>
          </w:p>
        </w:tc>
        <w:tc>
          <w:tcPr>
            <w:tcW w:w="1756" w:type="dxa"/>
            <w:shd w:val="clear" w:color="auto" w:fill="auto"/>
            <w:noWrap/>
            <w:vAlign w:val="bottom"/>
            <w:hideMark/>
          </w:tcPr>
          <w:p w14:paraId="5FDFE120"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1,751 </w:t>
            </w:r>
          </w:p>
        </w:tc>
        <w:tc>
          <w:tcPr>
            <w:tcW w:w="1843" w:type="dxa"/>
            <w:shd w:val="clear" w:color="auto" w:fill="auto"/>
            <w:noWrap/>
            <w:vAlign w:val="bottom"/>
            <w:hideMark/>
          </w:tcPr>
          <w:p w14:paraId="2ACC65C3"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1,344 </w:t>
            </w:r>
          </w:p>
        </w:tc>
        <w:tc>
          <w:tcPr>
            <w:tcW w:w="1646" w:type="dxa"/>
            <w:shd w:val="clear" w:color="auto" w:fill="auto"/>
            <w:noWrap/>
            <w:vAlign w:val="bottom"/>
            <w:hideMark/>
          </w:tcPr>
          <w:p w14:paraId="7E68BB35"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407 </w:t>
            </w:r>
          </w:p>
        </w:tc>
      </w:tr>
      <w:tr w:rsidR="00A62890" w:rsidRPr="00A62890" w14:paraId="26E98A28" w14:textId="77777777" w:rsidTr="00A62890">
        <w:trPr>
          <w:trHeight w:val="290"/>
          <w:jc w:val="center"/>
        </w:trPr>
        <w:tc>
          <w:tcPr>
            <w:tcW w:w="3964" w:type="dxa"/>
            <w:shd w:val="clear" w:color="auto" w:fill="auto"/>
            <w:noWrap/>
            <w:vAlign w:val="bottom"/>
            <w:hideMark/>
          </w:tcPr>
          <w:p w14:paraId="264AE8EC"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Bangabandhu Primary School</w:t>
            </w:r>
          </w:p>
        </w:tc>
        <w:tc>
          <w:tcPr>
            <w:tcW w:w="1756" w:type="dxa"/>
            <w:shd w:val="clear" w:color="auto" w:fill="auto"/>
            <w:noWrap/>
            <w:vAlign w:val="bottom"/>
            <w:hideMark/>
          </w:tcPr>
          <w:p w14:paraId="22D676F5"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34,296 </w:t>
            </w:r>
          </w:p>
        </w:tc>
        <w:tc>
          <w:tcPr>
            <w:tcW w:w="1843" w:type="dxa"/>
            <w:shd w:val="clear" w:color="auto" w:fill="auto"/>
            <w:noWrap/>
            <w:vAlign w:val="bottom"/>
            <w:hideMark/>
          </w:tcPr>
          <w:p w14:paraId="189E6AF3"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42,485 </w:t>
            </w:r>
          </w:p>
        </w:tc>
        <w:tc>
          <w:tcPr>
            <w:tcW w:w="1646" w:type="dxa"/>
            <w:shd w:val="clear" w:color="auto" w:fill="auto"/>
            <w:noWrap/>
            <w:vAlign w:val="bottom"/>
            <w:hideMark/>
          </w:tcPr>
          <w:p w14:paraId="1079ACDE"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8,190 </w:t>
            </w:r>
          </w:p>
        </w:tc>
      </w:tr>
      <w:tr w:rsidR="00A62890" w:rsidRPr="00A62890" w14:paraId="07F4CD34" w14:textId="77777777" w:rsidTr="00A62890">
        <w:trPr>
          <w:trHeight w:val="290"/>
          <w:jc w:val="center"/>
        </w:trPr>
        <w:tc>
          <w:tcPr>
            <w:tcW w:w="3964" w:type="dxa"/>
            <w:shd w:val="clear" w:color="auto" w:fill="auto"/>
            <w:noWrap/>
            <w:vAlign w:val="bottom"/>
            <w:hideMark/>
          </w:tcPr>
          <w:p w14:paraId="6865DB46"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Ben Jonson Primary School</w:t>
            </w:r>
          </w:p>
        </w:tc>
        <w:tc>
          <w:tcPr>
            <w:tcW w:w="1756" w:type="dxa"/>
            <w:shd w:val="clear" w:color="auto" w:fill="auto"/>
            <w:noWrap/>
            <w:vAlign w:val="bottom"/>
            <w:hideMark/>
          </w:tcPr>
          <w:p w14:paraId="2699F5DB"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   </w:t>
            </w:r>
          </w:p>
        </w:tc>
        <w:tc>
          <w:tcPr>
            <w:tcW w:w="1843" w:type="dxa"/>
            <w:shd w:val="clear" w:color="auto" w:fill="auto"/>
            <w:noWrap/>
            <w:vAlign w:val="bottom"/>
            <w:hideMark/>
          </w:tcPr>
          <w:p w14:paraId="7B799BD6"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3,578 </w:t>
            </w:r>
          </w:p>
        </w:tc>
        <w:tc>
          <w:tcPr>
            <w:tcW w:w="1646" w:type="dxa"/>
            <w:shd w:val="clear" w:color="auto" w:fill="auto"/>
            <w:noWrap/>
            <w:vAlign w:val="bottom"/>
            <w:hideMark/>
          </w:tcPr>
          <w:p w14:paraId="035C5350"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3,578 </w:t>
            </w:r>
          </w:p>
        </w:tc>
      </w:tr>
      <w:tr w:rsidR="00A62890" w:rsidRPr="00A62890" w14:paraId="0BFCC6AD" w14:textId="77777777" w:rsidTr="00A62890">
        <w:trPr>
          <w:trHeight w:val="290"/>
          <w:jc w:val="center"/>
        </w:trPr>
        <w:tc>
          <w:tcPr>
            <w:tcW w:w="3964" w:type="dxa"/>
            <w:shd w:val="clear" w:color="auto" w:fill="auto"/>
            <w:noWrap/>
            <w:vAlign w:val="bottom"/>
            <w:hideMark/>
          </w:tcPr>
          <w:p w14:paraId="5570ECA7"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Bigland Green Primary School</w:t>
            </w:r>
          </w:p>
        </w:tc>
        <w:tc>
          <w:tcPr>
            <w:tcW w:w="1756" w:type="dxa"/>
            <w:shd w:val="clear" w:color="auto" w:fill="auto"/>
            <w:noWrap/>
            <w:vAlign w:val="bottom"/>
            <w:hideMark/>
          </w:tcPr>
          <w:p w14:paraId="68339550"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25,624 </w:t>
            </w:r>
          </w:p>
        </w:tc>
        <w:tc>
          <w:tcPr>
            <w:tcW w:w="1843" w:type="dxa"/>
            <w:shd w:val="clear" w:color="auto" w:fill="auto"/>
            <w:noWrap/>
            <w:vAlign w:val="bottom"/>
            <w:hideMark/>
          </w:tcPr>
          <w:p w14:paraId="1DF40551"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24,473 </w:t>
            </w:r>
          </w:p>
        </w:tc>
        <w:tc>
          <w:tcPr>
            <w:tcW w:w="1646" w:type="dxa"/>
            <w:shd w:val="clear" w:color="auto" w:fill="auto"/>
            <w:noWrap/>
            <w:vAlign w:val="bottom"/>
            <w:hideMark/>
          </w:tcPr>
          <w:p w14:paraId="357CB371"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1,152 </w:t>
            </w:r>
          </w:p>
        </w:tc>
      </w:tr>
      <w:tr w:rsidR="00A62890" w:rsidRPr="00A62890" w14:paraId="6379693E" w14:textId="77777777" w:rsidTr="00A62890">
        <w:trPr>
          <w:trHeight w:val="290"/>
          <w:jc w:val="center"/>
        </w:trPr>
        <w:tc>
          <w:tcPr>
            <w:tcW w:w="3964" w:type="dxa"/>
            <w:shd w:val="clear" w:color="auto" w:fill="auto"/>
            <w:noWrap/>
            <w:vAlign w:val="bottom"/>
            <w:hideMark/>
          </w:tcPr>
          <w:p w14:paraId="7B5E9F67"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Blue Gate Fields Infants' School</w:t>
            </w:r>
          </w:p>
        </w:tc>
        <w:tc>
          <w:tcPr>
            <w:tcW w:w="1756" w:type="dxa"/>
            <w:shd w:val="clear" w:color="auto" w:fill="auto"/>
            <w:noWrap/>
            <w:vAlign w:val="bottom"/>
            <w:hideMark/>
          </w:tcPr>
          <w:p w14:paraId="78163A56"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123,795 </w:t>
            </w:r>
          </w:p>
        </w:tc>
        <w:tc>
          <w:tcPr>
            <w:tcW w:w="1843" w:type="dxa"/>
            <w:shd w:val="clear" w:color="auto" w:fill="auto"/>
            <w:noWrap/>
            <w:vAlign w:val="bottom"/>
            <w:hideMark/>
          </w:tcPr>
          <w:p w14:paraId="07C8E244"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131,554 </w:t>
            </w:r>
          </w:p>
        </w:tc>
        <w:tc>
          <w:tcPr>
            <w:tcW w:w="1646" w:type="dxa"/>
            <w:shd w:val="clear" w:color="auto" w:fill="auto"/>
            <w:noWrap/>
            <w:vAlign w:val="bottom"/>
            <w:hideMark/>
          </w:tcPr>
          <w:p w14:paraId="409D0945"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7,760 </w:t>
            </w:r>
          </w:p>
        </w:tc>
      </w:tr>
      <w:tr w:rsidR="00A62890" w:rsidRPr="00A62890" w14:paraId="67925198" w14:textId="77777777" w:rsidTr="00A62890">
        <w:trPr>
          <w:trHeight w:val="290"/>
          <w:jc w:val="center"/>
        </w:trPr>
        <w:tc>
          <w:tcPr>
            <w:tcW w:w="3964" w:type="dxa"/>
            <w:shd w:val="clear" w:color="auto" w:fill="auto"/>
            <w:noWrap/>
            <w:vAlign w:val="bottom"/>
            <w:hideMark/>
          </w:tcPr>
          <w:p w14:paraId="43C74CCF"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Blue Gate Fields Junior School</w:t>
            </w:r>
          </w:p>
        </w:tc>
        <w:tc>
          <w:tcPr>
            <w:tcW w:w="1756" w:type="dxa"/>
            <w:shd w:val="clear" w:color="auto" w:fill="auto"/>
            <w:noWrap/>
            <w:vAlign w:val="bottom"/>
            <w:hideMark/>
          </w:tcPr>
          <w:p w14:paraId="4FDA8082"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6,651 </w:t>
            </w:r>
          </w:p>
        </w:tc>
        <w:tc>
          <w:tcPr>
            <w:tcW w:w="1843" w:type="dxa"/>
            <w:shd w:val="clear" w:color="auto" w:fill="auto"/>
            <w:noWrap/>
            <w:vAlign w:val="bottom"/>
            <w:hideMark/>
          </w:tcPr>
          <w:p w14:paraId="0C80D6DE"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14,544 </w:t>
            </w:r>
          </w:p>
        </w:tc>
        <w:tc>
          <w:tcPr>
            <w:tcW w:w="1646" w:type="dxa"/>
            <w:shd w:val="clear" w:color="auto" w:fill="auto"/>
            <w:noWrap/>
            <w:vAlign w:val="bottom"/>
            <w:hideMark/>
          </w:tcPr>
          <w:p w14:paraId="45BFBBBE"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7,893 </w:t>
            </w:r>
          </w:p>
        </w:tc>
      </w:tr>
      <w:tr w:rsidR="00A62890" w:rsidRPr="00A62890" w14:paraId="5B8086FE" w14:textId="77777777" w:rsidTr="00A62890">
        <w:trPr>
          <w:trHeight w:val="290"/>
          <w:jc w:val="center"/>
        </w:trPr>
        <w:tc>
          <w:tcPr>
            <w:tcW w:w="3964" w:type="dxa"/>
            <w:shd w:val="clear" w:color="auto" w:fill="auto"/>
            <w:noWrap/>
            <w:vAlign w:val="bottom"/>
            <w:hideMark/>
          </w:tcPr>
          <w:p w14:paraId="735131CC"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Bonner Primary School</w:t>
            </w:r>
          </w:p>
        </w:tc>
        <w:tc>
          <w:tcPr>
            <w:tcW w:w="1756" w:type="dxa"/>
            <w:shd w:val="clear" w:color="auto" w:fill="auto"/>
            <w:noWrap/>
            <w:vAlign w:val="bottom"/>
            <w:hideMark/>
          </w:tcPr>
          <w:p w14:paraId="0CF04970"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201,403 </w:t>
            </w:r>
          </w:p>
        </w:tc>
        <w:tc>
          <w:tcPr>
            <w:tcW w:w="1843" w:type="dxa"/>
            <w:shd w:val="clear" w:color="auto" w:fill="auto"/>
            <w:noWrap/>
            <w:vAlign w:val="bottom"/>
            <w:hideMark/>
          </w:tcPr>
          <w:p w14:paraId="793DF792"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127,464 </w:t>
            </w:r>
          </w:p>
        </w:tc>
        <w:tc>
          <w:tcPr>
            <w:tcW w:w="1646" w:type="dxa"/>
            <w:shd w:val="clear" w:color="auto" w:fill="auto"/>
            <w:noWrap/>
            <w:vAlign w:val="bottom"/>
            <w:hideMark/>
          </w:tcPr>
          <w:p w14:paraId="594F8A7B"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73,939 </w:t>
            </w:r>
          </w:p>
        </w:tc>
      </w:tr>
      <w:tr w:rsidR="00A62890" w:rsidRPr="00A62890" w14:paraId="349EB566" w14:textId="77777777" w:rsidTr="00A62890">
        <w:trPr>
          <w:trHeight w:val="290"/>
          <w:jc w:val="center"/>
        </w:trPr>
        <w:tc>
          <w:tcPr>
            <w:tcW w:w="3964" w:type="dxa"/>
            <w:shd w:val="clear" w:color="auto" w:fill="auto"/>
            <w:noWrap/>
            <w:vAlign w:val="bottom"/>
            <w:hideMark/>
          </w:tcPr>
          <w:p w14:paraId="6CC7B735"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Canon Barnett Primary School</w:t>
            </w:r>
          </w:p>
        </w:tc>
        <w:tc>
          <w:tcPr>
            <w:tcW w:w="1756" w:type="dxa"/>
            <w:shd w:val="clear" w:color="auto" w:fill="auto"/>
            <w:noWrap/>
            <w:vAlign w:val="bottom"/>
            <w:hideMark/>
          </w:tcPr>
          <w:p w14:paraId="44CC4C89"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124,073 </w:t>
            </w:r>
          </w:p>
        </w:tc>
        <w:tc>
          <w:tcPr>
            <w:tcW w:w="1843" w:type="dxa"/>
            <w:shd w:val="clear" w:color="auto" w:fill="auto"/>
            <w:noWrap/>
            <w:vAlign w:val="bottom"/>
            <w:hideMark/>
          </w:tcPr>
          <w:p w14:paraId="6CA10D57"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65,414 </w:t>
            </w:r>
          </w:p>
        </w:tc>
        <w:tc>
          <w:tcPr>
            <w:tcW w:w="1646" w:type="dxa"/>
            <w:shd w:val="clear" w:color="auto" w:fill="auto"/>
            <w:noWrap/>
            <w:vAlign w:val="bottom"/>
            <w:hideMark/>
          </w:tcPr>
          <w:p w14:paraId="7989C02F"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58,658 </w:t>
            </w:r>
          </w:p>
        </w:tc>
      </w:tr>
      <w:tr w:rsidR="00A62890" w:rsidRPr="00A62890" w14:paraId="54E4D06C" w14:textId="77777777" w:rsidTr="00A62890">
        <w:trPr>
          <w:trHeight w:val="290"/>
          <w:jc w:val="center"/>
        </w:trPr>
        <w:tc>
          <w:tcPr>
            <w:tcW w:w="3964" w:type="dxa"/>
            <w:shd w:val="clear" w:color="auto" w:fill="auto"/>
            <w:noWrap/>
            <w:vAlign w:val="bottom"/>
            <w:hideMark/>
          </w:tcPr>
          <w:p w14:paraId="47A1DA4E"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Cayley Primary School</w:t>
            </w:r>
          </w:p>
        </w:tc>
        <w:tc>
          <w:tcPr>
            <w:tcW w:w="1756" w:type="dxa"/>
            <w:shd w:val="clear" w:color="auto" w:fill="auto"/>
            <w:noWrap/>
            <w:vAlign w:val="bottom"/>
            <w:hideMark/>
          </w:tcPr>
          <w:p w14:paraId="2740AA6B"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122,104 </w:t>
            </w:r>
          </w:p>
        </w:tc>
        <w:tc>
          <w:tcPr>
            <w:tcW w:w="1843" w:type="dxa"/>
            <w:shd w:val="clear" w:color="auto" w:fill="auto"/>
            <w:noWrap/>
            <w:vAlign w:val="bottom"/>
            <w:hideMark/>
          </w:tcPr>
          <w:p w14:paraId="76D69AAB"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2,371 </w:t>
            </w:r>
          </w:p>
        </w:tc>
        <w:tc>
          <w:tcPr>
            <w:tcW w:w="1646" w:type="dxa"/>
            <w:shd w:val="clear" w:color="auto" w:fill="auto"/>
            <w:noWrap/>
            <w:vAlign w:val="bottom"/>
            <w:hideMark/>
          </w:tcPr>
          <w:p w14:paraId="21F87D1F"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119,733 </w:t>
            </w:r>
          </w:p>
        </w:tc>
      </w:tr>
      <w:tr w:rsidR="00A62890" w:rsidRPr="00A62890" w14:paraId="0D2B56A5" w14:textId="77777777" w:rsidTr="00A62890">
        <w:trPr>
          <w:trHeight w:val="290"/>
          <w:jc w:val="center"/>
        </w:trPr>
        <w:tc>
          <w:tcPr>
            <w:tcW w:w="3964" w:type="dxa"/>
            <w:shd w:val="clear" w:color="auto" w:fill="auto"/>
            <w:noWrap/>
            <w:vAlign w:val="bottom"/>
            <w:hideMark/>
          </w:tcPr>
          <w:p w14:paraId="691CA7FB"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Chisenhale Primary School</w:t>
            </w:r>
          </w:p>
        </w:tc>
        <w:tc>
          <w:tcPr>
            <w:tcW w:w="1756" w:type="dxa"/>
            <w:shd w:val="clear" w:color="auto" w:fill="auto"/>
            <w:noWrap/>
            <w:vAlign w:val="bottom"/>
            <w:hideMark/>
          </w:tcPr>
          <w:p w14:paraId="0B6545D8"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   </w:t>
            </w:r>
          </w:p>
        </w:tc>
        <w:tc>
          <w:tcPr>
            <w:tcW w:w="1843" w:type="dxa"/>
            <w:shd w:val="clear" w:color="auto" w:fill="auto"/>
            <w:noWrap/>
            <w:vAlign w:val="bottom"/>
            <w:hideMark/>
          </w:tcPr>
          <w:p w14:paraId="47351409"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812 </w:t>
            </w:r>
          </w:p>
        </w:tc>
        <w:tc>
          <w:tcPr>
            <w:tcW w:w="1646" w:type="dxa"/>
            <w:shd w:val="clear" w:color="auto" w:fill="auto"/>
            <w:noWrap/>
            <w:vAlign w:val="bottom"/>
            <w:hideMark/>
          </w:tcPr>
          <w:p w14:paraId="5A4E6952"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812 </w:t>
            </w:r>
          </w:p>
        </w:tc>
      </w:tr>
      <w:tr w:rsidR="00A62890" w:rsidRPr="00A62890" w14:paraId="78E54D8F" w14:textId="77777777" w:rsidTr="00A62890">
        <w:trPr>
          <w:trHeight w:val="290"/>
          <w:jc w:val="center"/>
        </w:trPr>
        <w:tc>
          <w:tcPr>
            <w:tcW w:w="3964" w:type="dxa"/>
            <w:shd w:val="clear" w:color="auto" w:fill="auto"/>
            <w:noWrap/>
            <w:vAlign w:val="bottom"/>
            <w:hideMark/>
          </w:tcPr>
          <w:p w14:paraId="52A7A1FA"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Columbia Primary School</w:t>
            </w:r>
          </w:p>
        </w:tc>
        <w:tc>
          <w:tcPr>
            <w:tcW w:w="1756" w:type="dxa"/>
            <w:shd w:val="clear" w:color="auto" w:fill="auto"/>
            <w:noWrap/>
            <w:vAlign w:val="bottom"/>
            <w:hideMark/>
          </w:tcPr>
          <w:p w14:paraId="03FDC9D8"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35,297 </w:t>
            </w:r>
          </w:p>
        </w:tc>
        <w:tc>
          <w:tcPr>
            <w:tcW w:w="1843" w:type="dxa"/>
            <w:shd w:val="clear" w:color="auto" w:fill="auto"/>
            <w:noWrap/>
            <w:vAlign w:val="bottom"/>
            <w:hideMark/>
          </w:tcPr>
          <w:p w14:paraId="3A3504AA"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38,160 </w:t>
            </w:r>
          </w:p>
        </w:tc>
        <w:tc>
          <w:tcPr>
            <w:tcW w:w="1646" w:type="dxa"/>
            <w:shd w:val="clear" w:color="auto" w:fill="auto"/>
            <w:noWrap/>
            <w:vAlign w:val="bottom"/>
            <w:hideMark/>
          </w:tcPr>
          <w:p w14:paraId="1F00B325"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2,863 </w:t>
            </w:r>
          </w:p>
        </w:tc>
      </w:tr>
      <w:tr w:rsidR="00A62890" w:rsidRPr="00A62890" w14:paraId="326EEC05" w14:textId="77777777" w:rsidTr="00A62890">
        <w:trPr>
          <w:trHeight w:val="290"/>
          <w:jc w:val="center"/>
        </w:trPr>
        <w:tc>
          <w:tcPr>
            <w:tcW w:w="3964" w:type="dxa"/>
            <w:shd w:val="clear" w:color="auto" w:fill="auto"/>
            <w:noWrap/>
            <w:vAlign w:val="bottom"/>
            <w:hideMark/>
          </w:tcPr>
          <w:p w14:paraId="0FDD4CDB"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Cubitt Town Infants' School</w:t>
            </w:r>
          </w:p>
        </w:tc>
        <w:tc>
          <w:tcPr>
            <w:tcW w:w="1756" w:type="dxa"/>
            <w:shd w:val="clear" w:color="auto" w:fill="auto"/>
            <w:noWrap/>
            <w:vAlign w:val="bottom"/>
            <w:hideMark/>
          </w:tcPr>
          <w:p w14:paraId="37DA223C"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11,844 </w:t>
            </w:r>
          </w:p>
        </w:tc>
        <w:tc>
          <w:tcPr>
            <w:tcW w:w="1843" w:type="dxa"/>
            <w:shd w:val="clear" w:color="auto" w:fill="auto"/>
            <w:noWrap/>
            <w:vAlign w:val="bottom"/>
            <w:hideMark/>
          </w:tcPr>
          <w:p w14:paraId="466025DF"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   </w:t>
            </w:r>
          </w:p>
        </w:tc>
        <w:tc>
          <w:tcPr>
            <w:tcW w:w="1646" w:type="dxa"/>
            <w:shd w:val="clear" w:color="auto" w:fill="auto"/>
            <w:noWrap/>
            <w:vAlign w:val="bottom"/>
            <w:hideMark/>
          </w:tcPr>
          <w:p w14:paraId="7199C030"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11,844 </w:t>
            </w:r>
          </w:p>
        </w:tc>
      </w:tr>
      <w:tr w:rsidR="00A62890" w:rsidRPr="00A62890" w14:paraId="33087FDA" w14:textId="77777777" w:rsidTr="00A62890">
        <w:trPr>
          <w:trHeight w:val="290"/>
          <w:jc w:val="center"/>
        </w:trPr>
        <w:tc>
          <w:tcPr>
            <w:tcW w:w="3964" w:type="dxa"/>
            <w:shd w:val="clear" w:color="auto" w:fill="auto"/>
            <w:noWrap/>
            <w:vAlign w:val="bottom"/>
            <w:hideMark/>
          </w:tcPr>
          <w:p w14:paraId="64615BF3"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Cubitt Town Junior School</w:t>
            </w:r>
          </w:p>
        </w:tc>
        <w:tc>
          <w:tcPr>
            <w:tcW w:w="1756" w:type="dxa"/>
            <w:shd w:val="clear" w:color="auto" w:fill="auto"/>
            <w:noWrap/>
            <w:vAlign w:val="bottom"/>
            <w:hideMark/>
          </w:tcPr>
          <w:p w14:paraId="061154D8"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45,428 </w:t>
            </w:r>
          </w:p>
        </w:tc>
        <w:tc>
          <w:tcPr>
            <w:tcW w:w="1843" w:type="dxa"/>
            <w:shd w:val="clear" w:color="auto" w:fill="auto"/>
            <w:noWrap/>
            <w:vAlign w:val="bottom"/>
            <w:hideMark/>
          </w:tcPr>
          <w:p w14:paraId="61F09498"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53,410 </w:t>
            </w:r>
          </w:p>
        </w:tc>
        <w:tc>
          <w:tcPr>
            <w:tcW w:w="1646" w:type="dxa"/>
            <w:shd w:val="clear" w:color="auto" w:fill="auto"/>
            <w:noWrap/>
            <w:vAlign w:val="bottom"/>
            <w:hideMark/>
          </w:tcPr>
          <w:p w14:paraId="658178E9"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7,983 </w:t>
            </w:r>
          </w:p>
        </w:tc>
      </w:tr>
      <w:tr w:rsidR="00A62890" w:rsidRPr="00A62890" w14:paraId="14D7FFB8" w14:textId="77777777" w:rsidTr="00A62890">
        <w:trPr>
          <w:trHeight w:val="290"/>
          <w:jc w:val="center"/>
        </w:trPr>
        <w:tc>
          <w:tcPr>
            <w:tcW w:w="3964" w:type="dxa"/>
            <w:shd w:val="clear" w:color="000000" w:fill="FFFFFF"/>
            <w:noWrap/>
            <w:vAlign w:val="bottom"/>
            <w:hideMark/>
          </w:tcPr>
          <w:p w14:paraId="681D95AD"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Cyril Jackson</w:t>
            </w:r>
          </w:p>
        </w:tc>
        <w:tc>
          <w:tcPr>
            <w:tcW w:w="1756" w:type="dxa"/>
            <w:shd w:val="clear" w:color="auto" w:fill="auto"/>
            <w:noWrap/>
            <w:vAlign w:val="bottom"/>
            <w:hideMark/>
          </w:tcPr>
          <w:p w14:paraId="5203F2A0"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29,991 </w:t>
            </w:r>
          </w:p>
        </w:tc>
        <w:tc>
          <w:tcPr>
            <w:tcW w:w="1843" w:type="dxa"/>
            <w:shd w:val="clear" w:color="auto" w:fill="auto"/>
            <w:noWrap/>
            <w:vAlign w:val="bottom"/>
            <w:hideMark/>
          </w:tcPr>
          <w:p w14:paraId="7C7FC9B9"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32,385 </w:t>
            </w:r>
          </w:p>
        </w:tc>
        <w:tc>
          <w:tcPr>
            <w:tcW w:w="1646" w:type="dxa"/>
            <w:shd w:val="clear" w:color="auto" w:fill="auto"/>
            <w:noWrap/>
            <w:vAlign w:val="bottom"/>
            <w:hideMark/>
          </w:tcPr>
          <w:p w14:paraId="4D6ACA19"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2,395 </w:t>
            </w:r>
          </w:p>
        </w:tc>
      </w:tr>
      <w:tr w:rsidR="00A62890" w:rsidRPr="00A62890" w14:paraId="578D4B80" w14:textId="77777777" w:rsidTr="00A62890">
        <w:trPr>
          <w:trHeight w:val="290"/>
          <w:jc w:val="center"/>
        </w:trPr>
        <w:tc>
          <w:tcPr>
            <w:tcW w:w="3964" w:type="dxa"/>
            <w:shd w:val="clear" w:color="auto" w:fill="auto"/>
            <w:noWrap/>
            <w:vAlign w:val="bottom"/>
            <w:hideMark/>
          </w:tcPr>
          <w:p w14:paraId="3D79F921"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Globe Primary School</w:t>
            </w:r>
          </w:p>
        </w:tc>
        <w:tc>
          <w:tcPr>
            <w:tcW w:w="1756" w:type="dxa"/>
            <w:shd w:val="clear" w:color="auto" w:fill="auto"/>
            <w:noWrap/>
            <w:vAlign w:val="bottom"/>
            <w:hideMark/>
          </w:tcPr>
          <w:p w14:paraId="0B57452D"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3,030 </w:t>
            </w:r>
          </w:p>
        </w:tc>
        <w:tc>
          <w:tcPr>
            <w:tcW w:w="1843" w:type="dxa"/>
            <w:shd w:val="clear" w:color="auto" w:fill="auto"/>
            <w:noWrap/>
            <w:vAlign w:val="bottom"/>
            <w:hideMark/>
          </w:tcPr>
          <w:p w14:paraId="2E058F30"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11,174 </w:t>
            </w:r>
          </w:p>
        </w:tc>
        <w:tc>
          <w:tcPr>
            <w:tcW w:w="1646" w:type="dxa"/>
            <w:shd w:val="clear" w:color="auto" w:fill="auto"/>
            <w:noWrap/>
            <w:vAlign w:val="bottom"/>
            <w:hideMark/>
          </w:tcPr>
          <w:p w14:paraId="2652F4FD"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8,144 </w:t>
            </w:r>
          </w:p>
        </w:tc>
      </w:tr>
      <w:tr w:rsidR="00A62890" w:rsidRPr="00A62890" w14:paraId="695D7A06" w14:textId="77777777" w:rsidTr="00A62890">
        <w:trPr>
          <w:trHeight w:val="290"/>
          <w:jc w:val="center"/>
        </w:trPr>
        <w:tc>
          <w:tcPr>
            <w:tcW w:w="3964" w:type="dxa"/>
            <w:shd w:val="clear" w:color="auto" w:fill="auto"/>
            <w:noWrap/>
            <w:vAlign w:val="bottom"/>
            <w:hideMark/>
          </w:tcPr>
          <w:p w14:paraId="6296532D"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Hague Primary School</w:t>
            </w:r>
          </w:p>
        </w:tc>
        <w:tc>
          <w:tcPr>
            <w:tcW w:w="1756" w:type="dxa"/>
            <w:shd w:val="clear" w:color="auto" w:fill="auto"/>
            <w:noWrap/>
            <w:vAlign w:val="bottom"/>
            <w:hideMark/>
          </w:tcPr>
          <w:p w14:paraId="3C01D1D8"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11,948 </w:t>
            </w:r>
          </w:p>
        </w:tc>
        <w:tc>
          <w:tcPr>
            <w:tcW w:w="1843" w:type="dxa"/>
            <w:shd w:val="clear" w:color="auto" w:fill="auto"/>
            <w:noWrap/>
            <w:vAlign w:val="bottom"/>
            <w:hideMark/>
          </w:tcPr>
          <w:p w14:paraId="2CDC25E9"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18,301 </w:t>
            </w:r>
          </w:p>
        </w:tc>
        <w:tc>
          <w:tcPr>
            <w:tcW w:w="1646" w:type="dxa"/>
            <w:shd w:val="clear" w:color="auto" w:fill="auto"/>
            <w:noWrap/>
            <w:vAlign w:val="bottom"/>
            <w:hideMark/>
          </w:tcPr>
          <w:p w14:paraId="14A71857"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6,354 </w:t>
            </w:r>
          </w:p>
        </w:tc>
      </w:tr>
      <w:tr w:rsidR="00A62890" w:rsidRPr="00A62890" w14:paraId="1E800546" w14:textId="77777777" w:rsidTr="00A62890">
        <w:trPr>
          <w:trHeight w:val="290"/>
          <w:jc w:val="center"/>
        </w:trPr>
        <w:tc>
          <w:tcPr>
            <w:tcW w:w="3964" w:type="dxa"/>
            <w:shd w:val="clear" w:color="auto" w:fill="auto"/>
            <w:noWrap/>
            <w:vAlign w:val="bottom"/>
            <w:hideMark/>
          </w:tcPr>
          <w:p w14:paraId="421F2FC4"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Halley Primary School</w:t>
            </w:r>
          </w:p>
        </w:tc>
        <w:tc>
          <w:tcPr>
            <w:tcW w:w="1756" w:type="dxa"/>
            <w:shd w:val="clear" w:color="auto" w:fill="auto"/>
            <w:noWrap/>
            <w:vAlign w:val="bottom"/>
            <w:hideMark/>
          </w:tcPr>
          <w:p w14:paraId="41784825"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25,538 </w:t>
            </w:r>
          </w:p>
        </w:tc>
        <w:tc>
          <w:tcPr>
            <w:tcW w:w="1843" w:type="dxa"/>
            <w:shd w:val="clear" w:color="auto" w:fill="auto"/>
            <w:noWrap/>
            <w:vAlign w:val="bottom"/>
            <w:hideMark/>
          </w:tcPr>
          <w:p w14:paraId="3E749A65"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31,923 </w:t>
            </w:r>
          </w:p>
        </w:tc>
        <w:tc>
          <w:tcPr>
            <w:tcW w:w="1646" w:type="dxa"/>
            <w:shd w:val="clear" w:color="auto" w:fill="auto"/>
            <w:noWrap/>
            <w:vAlign w:val="bottom"/>
            <w:hideMark/>
          </w:tcPr>
          <w:p w14:paraId="1A53DE33"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6,385 </w:t>
            </w:r>
          </w:p>
        </w:tc>
      </w:tr>
      <w:tr w:rsidR="00A62890" w:rsidRPr="00A62890" w14:paraId="6CD031DA" w14:textId="77777777" w:rsidTr="00A62890">
        <w:trPr>
          <w:trHeight w:val="290"/>
          <w:jc w:val="center"/>
        </w:trPr>
        <w:tc>
          <w:tcPr>
            <w:tcW w:w="3964" w:type="dxa"/>
            <w:shd w:val="clear" w:color="auto" w:fill="auto"/>
            <w:noWrap/>
            <w:vAlign w:val="bottom"/>
            <w:hideMark/>
          </w:tcPr>
          <w:p w14:paraId="3057117E"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Harbinger Primary School</w:t>
            </w:r>
          </w:p>
        </w:tc>
        <w:tc>
          <w:tcPr>
            <w:tcW w:w="1756" w:type="dxa"/>
            <w:shd w:val="clear" w:color="auto" w:fill="auto"/>
            <w:noWrap/>
            <w:vAlign w:val="bottom"/>
            <w:hideMark/>
          </w:tcPr>
          <w:p w14:paraId="1746D80E"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4,756 </w:t>
            </w:r>
          </w:p>
        </w:tc>
        <w:tc>
          <w:tcPr>
            <w:tcW w:w="1843" w:type="dxa"/>
            <w:shd w:val="clear" w:color="auto" w:fill="auto"/>
            <w:noWrap/>
            <w:vAlign w:val="bottom"/>
            <w:hideMark/>
          </w:tcPr>
          <w:p w14:paraId="13DB5D4B"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12,027 </w:t>
            </w:r>
          </w:p>
        </w:tc>
        <w:tc>
          <w:tcPr>
            <w:tcW w:w="1646" w:type="dxa"/>
            <w:shd w:val="clear" w:color="auto" w:fill="auto"/>
            <w:noWrap/>
            <w:vAlign w:val="bottom"/>
            <w:hideMark/>
          </w:tcPr>
          <w:p w14:paraId="6196AF4E"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7,272 </w:t>
            </w:r>
          </w:p>
        </w:tc>
      </w:tr>
      <w:tr w:rsidR="00A62890" w:rsidRPr="00A62890" w14:paraId="45E885FD" w14:textId="77777777" w:rsidTr="00A62890">
        <w:trPr>
          <w:trHeight w:val="290"/>
          <w:jc w:val="center"/>
        </w:trPr>
        <w:tc>
          <w:tcPr>
            <w:tcW w:w="3964" w:type="dxa"/>
            <w:shd w:val="clear" w:color="auto" w:fill="auto"/>
            <w:noWrap/>
            <w:vAlign w:val="bottom"/>
            <w:hideMark/>
          </w:tcPr>
          <w:p w14:paraId="0A157554"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Harry Gosling Primary School</w:t>
            </w:r>
          </w:p>
        </w:tc>
        <w:tc>
          <w:tcPr>
            <w:tcW w:w="1756" w:type="dxa"/>
            <w:shd w:val="clear" w:color="auto" w:fill="auto"/>
            <w:noWrap/>
            <w:vAlign w:val="bottom"/>
            <w:hideMark/>
          </w:tcPr>
          <w:p w14:paraId="7442D82D"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93,614 </w:t>
            </w:r>
          </w:p>
        </w:tc>
        <w:tc>
          <w:tcPr>
            <w:tcW w:w="1843" w:type="dxa"/>
            <w:shd w:val="clear" w:color="auto" w:fill="auto"/>
            <w:noWrap/>
            <w:vAlign w:val="bottom"/>
            <w:hideMark/>
          </w:tcPr>
          <w:p w14:paraId="436C2D2F"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102,111 </w:t>
            </w:r>
          </w:p>
        </w:tc>
        <w:tc>
          <w:tcPr>
            <w:tcW w:w="1646" w:type="dxa"/>
            <w:shd w:val="clear" w:color="auto" w:fill="auto"/>
            <w:noWrap/>
            <w:vAlign w:val="bottom"/>
            <w:hideMark/>
          </w:tcPr>
          <w:p w14:paraId="280E4136"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8,497 </w:t>
            </w:r>
          </w:p>
        </w:tc>
      </w:tr>
      <w:tr w:rsidR="00A62890" w:rsidRPr="00A62890" w14:paraId="71A83AE4" w14:textId="77777777" w:rsidTr="00A62890">
        <w:trPr>
          <w:trHeight w:val="290"/>
          <w:jc w:val="center"/>
        </w:trPr>
        <w:tc>
          <w:tcPr>
            <w:tcW w:w="3964" w:type="dxa"/>
            <w:shd w:val="clear" w:color="auto" w:fill="auto"/>
            <w:noWrap/>
            <w:vAlign w:val="bottom"/>
            <w:hideMark/>
          </w:tcPr>
          <w:p w14:paraId="04691ECB"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Hermitage Primary School</w:t>
            </w:r>
          </w:p>
        </w:tc>
        <w:tc>
          <w:tcPr>
            <w:tcW w:w="1756" w:type="dxa"/>
            <w:shd w:val="clear" w:color="auto" w:fill="auto"/>
            <w:noWrap/>
            <w:vAlign w:val="bottom"/>
            <w:hideMark/>
          </w:tcPr>
          <w:p w14:paraId="4FCF0A17"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555 </w:t>
            </w:r>
          </w:p>
        </w:tc>
        <w:tc>
          <w:tcPr>
            <w:tcW w:w="1843" w:type="dxa"/>
            <w:shd w:val="clear" w:color="auto" w:fill="auto"/>
            <w:noWrap/>
            <w:vAlign w:val="bottom"/>
            <w:hideMark/>
          </w:tcPr>
          <w:p w14:paraId="54C304F9"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273 </w:t>
            </w:r>
          </w:p>
        </w:tc>
        <w:tc>
          <w:tcPr>
            <w:tcW w:w="1646" w:type="dxa"/>
            <w:shd w:val="clear" w:color="auto" w:fill="auto"/>
            <w:noWrap/>
            <w:vAlign w:val="bottom"/>
            <w:hideMark/>
          </w:tcPr>
          <w:p w14:paraId="58A29E85"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282 </w:t>
            </w:r>
          </w:p>
        </w:tc>
      </w:tr>
      <w:tr w:rsidR="00A62890" w:rsidRPr="00A62890" w14:paraId="330C7E22" w14:textId="77777777" w:rsidTr="00A62890">
        <w:trPr>
          <w:trHeight w:val="290"/>
          <w:jc w:val="center"/>
        </w:trPr>
        <w:tc>
          <w:tcPr>
            <w:tcW w:w="3964" w:type="dxa"/>
            <w:shd w:val="clear" w:color="auto" w:fill="auto"/>
            <w:noWrap/>
            <w:vAlign w:val="bottom"/>
            <w:hideMark/>
          </w:tcPr>
          <w:p w14:paraId="5DE83037"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John Scurr Primary School</w:t>
            </w:r>
          </w:p>
        </w:tc>
        <w:tc>
          <w:tcPr>
            <w:tcW w:w="1756" w:type="dxa"/>
            <w:shd w:val="clear" w:color="auto" w:fill="auto"/>
            <w:noWrap/>
            <w:vAlign w:val="bottom"/>
            <w:hideMark/>
          </w:tcPr>
          <w:p w14:paraId="2F8EA3B2"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5,995 </w:t>
            </w:r>
          </w:p>
        </w:tc>
        <w:tc>
          <w:tcPr>
            <w:tcW w:w="1843" w:type="dxa"/>
            <w:shd w:val="clear" w:color="auto" w:fill="auto"/>
            <w:noWrap/>
            <w:vAlign w:val="bottom"/>
            <w:hideMark/>
          </w:tcPr>
          <w:p w14:paraId="0E2AA4DB"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14,450 </w:t>
            </w:r>
          </w:p>
        </w:tc>
        <w:tc>
          <w:tcPr>
            <w:tcW w:w="1646" w:type="dxa"/>
            <w:shd w:val="clear" w:color="auto" w:fill="auto"/>
            <w:noWrap/>
            <w:vAlign w:val="bottom"/>
            <w:hideMark/>
          </w:tcPr>
          <w:p w14:paraId="15031A16"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8,455 </w:t>
            </w:r>
          </w:p>
        </w:tc>
      </w:tr>
      <w:tr w:rsidR="00A62890" w:rsidRPr="00A62890" w14:paraId="27FF1880" w14:textId="77777777" w:rsidTr="00A62890">
        <w:trPr>
          <w:trHeight w:val="290"/>
          <w:jc w:val="center"/>
        </w:trPr>
        <w:tc>
          <w:tcPr>
            <w:tcW w:w="3964" w:type="dxa"/>
            <w:shd w:val="clear" w:color="auto" w:fill="auto"/>
            <w:noWrap/>
            <w:vAlign w:val="bottom"/>
            <w:hideMark/>
          </w:tcPr>
          <w:p w14:paraId="014FA46A"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Kobi Nazrul Primary School</w:t>
            </w:r>
          </w:p>
        </w:tc>
        <w:tc>
          <w:tcPr>
            <w:tcW w:w="1756" w:type="dxa"/>
            <w:shd w:val="clear" w:color="auto" w:fill="auto"/>
            <w:noWrap/>
            <w:vAlign w:val="bottom"/>
            <w:hideMark/>
          </w:tcPr>
          <w:p w14:paraId="6763239D"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49,755 </w:t>
            </w:r>
          </w:p>
        </w:tc>
        <w:tc>
          <w:tcPr>
            <w:tcW w:w="1843" w:type="dxa"/>
            <w:shd w:val="clear" w:color="auto" w:fill="auto"/>
            <w:noWrap/>
            <w:vAlign w:val="bottom"/>
            <w:hideMark/>
          </w:tcPr>
          <w:p w14:paraId="615A2536"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32,823 </w:t>
            </w:r>
          </w:p>
        </w:tc>
        <w:tc>
          <w:tcPr>
            <w:tcW w:w="1646" w:type="dxa"/>
            <w:shd w:val="clear" w:color="auto" w:fill="auto"/>
            <w:noWrap/>
            <w:vAlign w:val="bottom"/>
            <w:hideMark/>
          </w:tcPr>
          <w:p w14:paraId="5A52727D"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16,932 </w:t>
            </w:r>
          </w:p>
        </w:tc>
      </w:tr>
      <w:tr w:rsidR="00A62890" w:rsidRPr="00A62890" w14:paraId="36273DE5" w14:textId="77777777" w:rsidTr="00A62890">
        <w:trPr>
          <w:trHeight w:val="290"/>
          <w:jc w:val="center"/>
        </w:trPr>
        <w:tc>
          <w:tcPr>
            <w:tcW w:w="3964" w:type="dxa"/>
            <w:shd w:val="clear" w:color="auto" w:fill="auto"/>
            <w:noWrap/>
            <w:vAlign w:val="bottom"/>
            <w:hideMark/>
          </w:tcPr>
          <w:p w14:paraId="005BC058"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Lawdale Junior School</w:t>
            </w:r>
          </w:p>
        </w:tc>
        <w:tc>
          <w:tcPr>
            <w:tcW w:w="1756" w:type="dxa"/>
            <w:shd w:val="clear" w:color="auto" w:fill="auto"/>
            <w:noWrap/>
            <w:vAlign w:val="bottom"/>
            <w:hideMark/>
          </w:tcPr>
          <w:p w14:paraId="5AEE9B47"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   </w:t>
            </w:r>
          </w:p>
        </w:tc>
        <w:tc>
          <w:tcPr>
            <w:tcW w:w="1843" w:type="dxa"/>
            <w:shd w:val="clear" w:color="auto" w:fill="auto"/>
            <w:noWrap/>
            <w:vAlign w:val="bottom"/>
            <w:hideMark/>
          </w:tcPr>
          <w:p w14:paraId="0EC7CC30"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6,627 </w:t>
            </w:r>
          </w:p>
        </w:tc>
        <w:tc>
          <w:tcPr>
            <w:tcW w:w="1646" w:type="dxa"/>
            <w:shd w:val="clear" w:color="auto" w:fill="auto"/>
            <w:noWrap/>
            <w:vAlign w:val="bottom"/>
            <w:hideMark/>
          </w:tcPr>
          <w:p w14:paraId="21F103B0"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6,627 </w:t>
            </w:r>
          </w:p>
        </w:tc>
      </w:tr>
      <w:tr w:rsidR="00A62890" w:rsidRPr="00A62890" w14:paraId="08AC04D1" w14:textId="77777777" w:rsidTr="00A62890">
        <w:trPr>
          <w:trHeight w:val="290"/>
          <w:jc w:val="center"/>
        </w:trPr>
        <w:tc>
          <w:tcPr>
            <w:tcW w:w="3964" w:type="dxa"/>
            <w:shd w:val="clear" w:color="auto" w:fill="auto"/>
            <w:noWrap/>
            <w:vAlign w:val="bottom"/>
            <w:hideMark/>
          </w:tcPr>
          <w:p w14:paraId="1A7E548F"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Malmesbury Primary School</w:t>
            </w:r>
          </w:p>
        </w:tc>
        <w:tc>
          <w:tcPr>
            <w:tcW w:w="1756" w:type="dxa"/>
            <w:shd w:val="clear" w:color="auto" w:fill="auto"/>
            <w:noWrap/>
            <w:vAlign w:val="bottom"/>
            <w:hideMark/>
          </w:tcPr>
          <w:p w14:paraId="7B7EA7AB"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26,720 </w:t>
            </w:r>
          </w:p>
        </w:tc>
        <w:tc>
          <w:tcPr>
            <w:tcW w:w="1843" w:type="dxa"/>
            <w:shd w:val="clear" w:color="auto" w:fill="auto"/>
            <w:noWrap/>
            <w:vAlign w:val="bottom"/>
            <w:hideMark/>
          </w:tcPr>
          <w:p w14:paraId="44F35464"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36,341 </w:t>
            </w:r>
          </w:p>
        </w:tc>
        <w:tc>
          <w:tcPr>
            <w:tcW w:w="1646" w:type="dxa"/>
            <w:shd w:val="clear" w:color="auto" w:fill="auto"/>
            <w:noWrap/>
            <w:vAlign w:val="bottom"/>
            <w:hideMark/>
          </w:tcPr>
          <w:p w14:paraId="45F9512D"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9,621 </w:t>
            </w:r>
          </w:p>
        </w:tc>
      </w:tr>
      <w:tr w:rsidR="00A62890" w:rsidRPr="00A62890" w14:paraId="050CB3EA" w14:textId="77777777" w:rsidTr="00A62890">
        <w:trPr>
          <w:trHeight w:val="290"/>
          <w:jc w:val="center"/>
        </w:trPr>
        <w:tc>
          <w:tcPr>
            <w:tcW w:w="3964" w:type="dxa"/>
            <w:shd w:val="clear" w:color="auto" w:fill="auto"/>
            <w:noWrap/>
            <w:vAlign w:val="bottom"/>
            <w:hideMark/>
          </w:tcPr>
          <w:p w14:paraId="4A4174C1"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Marion Richardson Primary School</w:t>
            </w:r>
          </w:p>
        </w:tc>
        <w:tc>
          <w:tcPr>
            <w:tcW w:w="1756" w:type="dxa"/>
            <w:shd w:val="clear" w:color="auto" w:fill="auto"/>
            <w:noWrap/>
            <w:vAlign w:val="bottom"/>
            <w:hideMark/>
          </w:tcPr>
          <w:p w14:paraId="4C28FE1C"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   </w:t>
            </w:r>
          </w:p>
        </w:tc>
        <w:tc>
          <w:tcPr>
            <w:tcW w:w="1843" w:type="dxa"/>
            <w:shd w:val="clear" w:color="auto" w:fill="auto"/>
            <w:noWrap/>
            <w:vAlign w:val="bottom"/>
            <w:hideMark/>
          </w:tcPr>
          <w:p w14:paraId="5BA94486"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8,861 </w:t>
            </w:r>
          </w:p>
        </w:tc>
        <w:tc>
          <w:tcPr>
            <w:tcW w:w="1646" w:type="dxa"/>
            <w:shd w:val="clear" w:color="auto" w:fill="auto"/>
            <w:noWrap/>
            <w:vAlign w:val="bottom"/>
            <w:hideMark/>
          </w:tcPr>
          <w:p w14:paraId="07B6A60B"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8,861 </w:t>
            </w:r>
          </w:p>
        </w:tc>
      </w:tr>
      <w:tr w:rsidR="00A62890" w:rsidRPr="00A62890" w14:paraId="54A2FE3C" w14:textId="77777777" w:rsidTr="00A62890">
        <w:trPr>
          <w:trHeight w:val="290"/>
          <w:jc w:val="center"/>
        </w:trPr>
        <w:tc>
          <w:tcPr>
            <w:tcW w:w="3964" w:type="dxa"/>
            <w:shd w:val="clear" w:color="auto" w:fill="auto"/>
            <w:noWrap/>
            <w:vAlign w:val="bottom"/>
            <w:hideMark/>
          </w:tcPr>
          <w:p w14:paraId="535EC929"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Marner Primary School</w:t>
            </w:r>
          </w:p>
        </w:tc>
        <w:tc>
          <w:tcPr>
            <w:tcW w:w="1756" w:type="dxa"/>
            <w:shd w:val="clear" w:color="auto" w:fill="auto"/>
            <w:noWrap/>
            <w:vAlign w:val="bottom"/>
            <w:hideMark/>
          </w:tcPr>
          <w:p w14:paraId="765809BA"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1,919 </w:t>
            </w:r>
          </w:p>
        </w:tc>
        <w:tc>
          <w:tcPr>
            <w:tcW w:w="1843" w:type="dxa"/>
            <w:shd w:val="clear" w:color="auto" w:fill="auto"/>
            <w:noWrap/>
            <w:vAlign w:val="bottom"/>
            <w:hideMark/>
          </w:tcPr>
          <w:p w14:paraId="2A7A0AA0"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   </w:t>
            </w:r>
          </w:p>
        </w:tc>
        <w:tc>
          <w:tcPr>
            <w:tcW w:w="1646" w:type="dxa"/>
            <w:shd w:val="clear" w:color="auto" w:fill="auto"/>
            <w:noWrap/>
            <w:vAlign w:val="bottom"/>
            <w:hideMark/>
          </w:tcPr>
          <w:p w14:paraId="26F65EE3"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1,919 </w:t>
            </w:r>
          </w:p>
        </w:tc>
      </w:tr>
      <w:tr w:rsidR="00A62890" w:rsidRPr="00A62890" w14:paraId="421BEDAB" w14:textId="77777777" w:rsidTr="00A62890">
        <w:trPr>
          <w:trHeight w:val="290"/>
          <w:jc w:val="center"/>
        </w:trPr>
        <w:tc>
          <w:tcPr>
            <w:tcW w:w="3964" w:type="dxa"/>
            <w:shd w:val="clear" w:color="auto" w:fill="auto"/>
            <w:noWrap/>
            <w:vAlign w:val="bottom"/>
            <w:hideMark/>
          </w:tcPr>
          <w:p w14:paraId="0C00207D"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Mayflower Primary School</w:t>
            </w:r>
          </w:p>
        </w:tc>
        <w:tc>
          <w:tcPr>
            <w:tcW w:w="1756" w:type="dxa"/>
            <w:shd w:val="clear" w:color="auto" w:fill="auto"/>
            <w:noWrap/>
            <w:vAlign w:val="bottom"/>
            <w:hideMark/>
          </w:tcPr>
          <w:p w14:paraId="7BEB02F8"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   </w:t>
            </w:r>
          </w:p>
        </w:tc>
        <w:tc>
          <w:tcPr>
            <w:tcW w:w="1843" w:type="dxa"/>
            <w:shd w:val="clear" w:color="auto" w:fill="auto"/>
            <w:noWrap/>
            <w:vAlign w:val="bottom"/>
            <w:hideMark/>
          </w:tcPr>
          <w:p w14:paraId="01DDE0B4"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8,240 </w:t>
            </w:r>
          </w:p>
        </w:tc>
        <w:tc>
          <w:tcPr>
            <w:tcW w:w="1646" w:type="dxa"/>
            <w:shd w:val="clear" w:color="auto" w:fill="auto"/>
            <w:noWrap/>
            <w:vAlign w:val="bottom"/>
            <w:hideMark/>
          </w:tcPr>
          <w:p w14:paraId="38020F91"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8,240 </w:t>
            </w:r>
          </w:p>
        </w:tc>
      </w:tr>
      <w:tr w:rsidR="00A62890" w:rsidRPr="00A62890" w14:paraId="279DF5C5" w14:textId="77777777" w:rsidTr="00A62890">
        <w:trPr>
          <w:trHeight w:val="290"/>
          <w:jc w:val="center"/>
        </w:trPr>
        <w:tc>
          <w:tcPr>
            <w:tcW w:w="3964" w:type="dxa"/>
            <w:shd w:val="clear" w:color="auto" w:fill="auto"/>
            <w:noWrap/>
            <w:vAlign w:val="bottom"/>
            <w:hideMark/>
          </w:tcPr>
          <w:p w14:paraId="4479883F"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Mowlem Primary School</w:t>
            </w:r>
          </w:p>
        </w:tc>
        <w:tc>
          <w:tcPr>
            <w:tcW w:w="1756" w:type="dxa"/>
            <w:shd w:val="clear" w:color="auto" w:fill="auto"/>
            <w:noWrap/>
            <w:vAlign w:val="bottom"/>
            <w:hideMark/>
          </w:tcPr>
          <w:p w14:paraId="056CAB89"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1,194 </w:t>
            </w:r>
          </w:p>
        </w:tc>
        <w:tc>
          <w:tcPr>
            <w:tcW w:w="1843" w:type="dxa"/>
            <w:shd w:val="clear" w:color="auto" w:fill="auto"/>
            <w:noWrap/>
            <w:vAlign w:val="bottom"/>
            <w:hideMark/>
          </w:tcPr>
          <w:p w14:paraId="34FD67A9"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2,556 </w:t>
            </w:r>
          </w:p>
        </w:tc>
        <w:tc>
          <w:tcPr>
            <w:tcW w:w="1646" w:type="dxa"/>
            <w:shd w:val="clear" w:color="auto" w:fill="auto"/>
            <w:noWrap/>
            <w:vAlign w:val="bottom"/>
            <w:hideMark/>
          </w:tcPr>
          <w:p w14:paraId="787E7D68"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1,363 </w:t>
            </w:r>
          </w:p>
        </w:tc>
      </w:tr>
      <w:tr w:rsidR="00A62890" w:rsidRPr="00A62890" w14:paraId="7094C2BD" w14:textId="77777777" w:rsidTr="00A62890">
        <w:trPr>
          <w:trHeight w:val="290"/>
          <w:jc w:val="center"/>
        </w:trPr>
        <w:tc>
          <w:tcPr>
            <w:tcW w:w="3964" w:type="dxa"/>
            <w:shd w:val="clear" w:color="auto" w:fill="auto"/>
            <w:noWrap/>
            <w:vAlign w:val="bottom"/>
            <w:hideMark/>
          </w:tcPr>
          <w:p w14:paraId="71EA4B20"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Old Palace Primary School</w:t>
            </w:r>
          </w:p>
        </w:tc>
        <w:tc>
          <w:tcPr>
            <w:tcW w:w="1756" w:type="dxa"/>
            <w:shd w:val="clear" w:color="auto" w:fill="auto"/>
            <w:noWrap/>
            <w:vAlign w:val="bottom"/>
            <w:hideMark/>
          </w:tcPr>
          <w:p w14:paraId="4450EC2F"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72,275 </w:t>
            </w:r>
          </w:p>
        </w:tc>
        <w:tc>
          <w:tcPr>
            <w:tcW w:w="1843" w:type="dxa"/>
            <w:shd w:val="clear" w:color="auto" w:fill="auto"/>
            <w:noWrap/>
            <w:vAlign w:val="bottom"/>
            <w:hideMark/>
          </w:tcPr>
          <w:p w14:paraId="6F818DBB"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58,416 </w:t>
            </w:r>
          </w:p>
        </w:tc>
        <w:tc>
          <w:tcPr>
            <w:tcW w:w="1646" w:type="dxa"/>
            <w:shd w:val="clear" w:color="auto" w:fill="auto"/>
            <w:noWrap/>
            <w:vAlign w:val="bottom"/>
            <w:hideMark/>
          </w:tcPr>
          <w:p w14:paraId="582723C9"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13,859 </w:t>
            </w:r>
          </w:p>
        </w:tc>
      </w:tr>
      <w:tr w:rsidR="00A62890" w:rsidRPr="00A62890" w14:paraId="76F2D081" w14:textId="77777777" w:rsidTr="00A62890">
        <w:trPr>
          <w:trHeight w:val="290"/>
          <w:jc w:val="center"/>
        </w:trPr>
        <w:tc>
          <w:tcPr>
            <w:tcW w:w="3964" w:type="dxa"/>
            <w:shd w:val="clear" w:color="auto" w:fill="auto"/>
            <w:noWrap/>
            <w:vAlign w:val="bottom"/>
            <w:hideMark/>
          </w:tcPr>
          <w:p w14:paraId="15FFBC02"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Osmani Primary School</w:t>
            </w:r>
          </w:p>
        </w:tc>
        <w:tc>
          <w:tcPr>
            <w:tcW w:w="1756" w:type="dxa"/>
            <w:shd w:val="clear" w:color="auto" w:fill="auto"/>
            <w:noWrap/>
            <w:vAlign w:val="bottom"/>
            <w:hideMark/>
          </w:tcPr>
          <w:p w14:paraId="0EDC4935"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83,054 </w:t>
            </w:r>
          </w:p>
        </w:tc>
        <w:tc>
          <w:tcPr>
            <w:tcW w:w="1843" w:type="dxa"/>
            <w:shd w:val="clear" w:color="auto" w:fill="auto"/>
            <w:noWrap/>
            <w:vAlign w:val="bottom"/>
            <w:hideMark/>
          </w:tcPr>
          <w:p w14:paraId="33F13DBD"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91,516 </w:t>
            </w:r>
          </w:p>
        </w:tc>
        <w:tc>
          <w:tcPr>
            <w:tcW w:w="1646" w:type="dxa"/>
            <w:shd w:val="clear" w:color="auto" w:fill="auto"/>
            <w:noWrap/>
            <w:vAlign w:val="bottom"/>
            <w:hideMark/>
          </w:tcPr>
          <w:p w14:paraId="48DA3A13"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8,462 </w:t>
            </w:r>
          </w:p>
        </w:tc>
      </w:tr>
      <w:tr w:rsidR="00A62890" w:rsidRPr="00A62890" w14:paraId="25BEF96B" w14:textId="77777777" w:rsidTr="00A62890">
        <w:trPr>
          <w:trHeight w:val="290"/>
          <w:jc w:val="center"/>
        </w:trPr>
        <w:tc>
          <w:tcPr>
            <w:tcW w:w="3964" w:type="dxa"/>
            <w:shd w:val="clear" w:color="auto" w:fill="FFFF00"/>
            <w:noWrap/>
            <w:vAlign w:val="bottom"/>
            <w:hideMark/>
          </w:tcPr>
          <w:p w14:paraId="5C35CA64"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Shapla</w:t>
            </w:r>
          </w:p>
        </w:tc>
        <w:tc>
          <w:tcPr>
            <w:tcW w:w="1756" w:type="dxa"/>
            <w:shd w:val="clear" w:color="auto" w:fill="auto"/>
            <w:noWrap/>
            <w:vAlign w:val="bottom"/>
            <w:hideMark/>
          </w:tcPr>
          <w:p w14:paraId="16A23CF7"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27,823 </w:t>
            </w:r>
          </w:p>
        </w:tc>
        <w:tc>
          <w:tcPr>
            <w:tcW w:w="1843" w:type="dxa"/>
            <w:shd w:val="clear" w:color="auto" w:fill="auto"/>
            <w:noWrap/>
            <w:vAlign w:val="bottom"/>
            <w:hideMark/>
          </w:tcPr>
          <w:p w14:paraId="69099304"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33,712 </w:t>
            </w:r>
          </w:p>
        </w:tc>
        <w:tc>
          <w:tcPr>
            <w:tcW w:w="1646" w:type="dxa"/>
            <w:shd w:val="clear" w:color="auto" w:fill="auto"/>
            <w:noWrap/>
            <w:vAlign w:val="bottom"/>
            <w:hideMark/>
          </w:tcPr>
          <w:p w14:paraId="2F59DEA4"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5,889 </w:t>
            </w:r>
          </w:p>
        </w:tc>
      </w:tr>
      <w:tr w:rsidR="00A62890" w:rsidRPr="00A62890" w14:paraId="5CA0D287" w14:textId="77777777" w:rsidTr="00A62890">
        <w:trPr>
          <w:trHeight w:val="290"/>
          <w:jc w:val="center"/>
        </w:trPr>
        <w:tc>
          <w:tcPr>
            <w:tcW w:w="3964" w:type="dxa"/>
            <w:shd w:val="clear" w:color="auto" w:fill="auto"/>
            <w:noWrap/>
            <w:vAlign w:val="bottom"/>
            <w:hideMark/>
          </w:tcPr>
          <w:p w14:paraId="2A734E6C" w14:textId="715C3B24" w:rsidR="00A62890" w:rsidRPr="00A62890" w:rsidRDefault="00A62890" w:rsidP="00A62890">
            <w:pPr>
              <w:rPr>
                <w:rFonts w:ascii="Calibri" w:hAnsi="Calibri" w:cs="Calibri"/>
                <w:sz w:val="20"/>
                <w:szCs w:val="20"/>
              </w:rPr>
            </w:pPr>
            <w:r w:rsidRPr="00A62890">
              <w:rPr>
                <w:rFonts w:ascii="Calibri" w:hAnsi="Calibri" w:cs="Calibri"/>
                <w:sz w:val="20"/>
                <w:szCs w:val="20"/>
              </w:rPr>
              <w:t xml:space="preserve">St Anne's and Guardian Angels Catholic </w:t>
            </w:r>
          </w:p>
        </w:tc>
        <w:tc>
          <w:tcPr>
            <w:tcW w:w="1756" w:type="dxa"/>
            <w:shd w:val="clear" w:color="auto" w:fill="auto"/>
            <w:noWrap/>
            <w:vAlign w:val="bottom"/>
            <w:hideMark/>
          </w:tcPr>
          <w:p w14:paraId="249442D4"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19,557 </w:t>
            </w:r>
          </w:p>
        </w:tc>
        <w:tc>
          <w:tcPr>
            <w:tcW w:w="1843" w:type="dxa"/>
            <w:shd w:val="clear" w:color="auto" w:fill="auto"/>
            <w:noWrap/>
            <w:vAlign w:val="bottom"/>
            <w:hideMark/>
          </w:tcPr>
          <w:p w14:paraId="66D47E54"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0 </w:t>
            </w:r>
          </w:p>
        </w:tc>
        <w:tc>
          <w:tcPr>
            <w:tcW w:w="1646" w:type="dxa"/>
            <w:shd w:val="clear" w:color="auto" w:fill="auto"/>
            <w:noWrap/>
            <w:vAlign w:val="bottom"/>
            <w:hideMark/>
          </w:tcPr>
          <w:p w14:paraId="00FF4904"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19,557 </w:t>
            </w:r>
          </w:p>
        </w:tc>
      </w:tr>
      <w:tr w:rsidR="00A62890" w:rsidRPr="00A62890" w14:paraId="11FB1C9E" w14:textId="77777777" w:rsidTr="00A62890">
        <w:trPr>
          <w:trHeight w:val="290"/>
          <w:jc w:val="center"/>
        </w:trPr>
        <w:tc>
          <w:tcPr>
            <w:tcW w:w="3964" w:type="dxa"/>
            <w:shd w:val="clear" w:color="auto" w:fill="auto"/>
            <w:noWrap/>
            <w:vAlign w:val="bottom"/>
            <w:hideMark/>
          </w:tcPr>
          <w:p w14:paraId="20B9681A"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Stepney Park Primary School</w:t>
            </w:r>
          </w:p>
        </w:tc>
        <w:tc>
          <w:tcPr>
            <w:tcW w:w="1756" w:type="dxa"/>
            <w:shd w:val="clear" w:color="auto" w:fill="auto"/>
            <w:noWrap/>
            <w:vAlign w:val="bottom"/>
            <w:hideMark/>
          </w:tcPr>
          <w:p w14:paraId="03DB7156"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63,230 </w:t>
            </w:r>
          </w:p>
        </w:tc>
        <w:tc>
          <w:tcPr>
            <w:tcW w:w="1843" w:type="dxa"/>
            <w:shd w:val="clear" w:color="auto" w:fill="auto"/>
            <w:noWrap/>
            <w:vAlign w:val="bottom"/>
            <w:hideMark/>
          </w:tcPr>
          <w:p w14:paraId="14979316"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10,011 </w:t>
            </w:r>
          </w:p>
        </w:tc>
        <w:tc>
          <w:tcPr>
            <w:tcW w:w="1646" w:type="dxa"/>
            <w:shd w:val="clear" w:color="auto" w:fill="auto"/>
            <w:noWrap/>
            <w:vAlign w:val="bottom"/>
            <w:hideMark/>
          </w:tcPr>
          <w:p w14:paraId="15F2783B"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53,219 </w:t>
            </w:r>
          </w:p>
        </w:tc>
      </w:tr>
      <w:tr w:rsidR="00A62890" w:rsidRPr="00A62890" w14:paraId="124E6E93" w14:textId="77777777" w:rsidTr="00A62890">
        <w:trPr>
          <w:trHeight w:val="290"/>
          <w:jc w:val="center"/>
        </w:trPr>
        <w:tc>
          <w:tcPr>
            <w:tcW w:w="3964" w:type="dxa"/>
            <w:shd w:val="clear" w:color="auto" w:fill="auto"/>
            <w:noWrap/>
            <w:vAlign w:val="bottom"/>
            <w:hideMark/>
          </w:tcPr>
          <w:p w14:paraId="6985A12D"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Stewart Headlam Primary School</w:t>
            </w:r>
          </w:p>
        </w:tc>
        <w:tc>
          <w:tcPr>
            <w:tcW w:w="1756" w:type="dxa"/>
            <w:shd w:val="clear" w:color="auto" w:fill="auto"/>
            <w:noWrap/>
            <w:vAlign w:val="bottom"/>
            <w:hideMark/>
          </w:tcPr>
          <w:p w14:paraId="46853C00"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11,698 </w:t>
            </w:r>
          </w:p>
        </w:tc>
        <w:tc>
          <w:tcPr>
            <w:tcW w:w="1843" w:type="dxa"/>
            <w:shd w:val="clear" w:color="auto" w:fill="auto"/>
            <w:noWrap/>
            <w:vAlign w:val="bottom"/>
            <w:hideMark/>
          </w:tcPr>
          <w:p w14:paraId="005BA11F"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9,581 </w:t>
            </w:r>
          </w:p>
        </w:tc>
        <w:tc>
          <w:tcPr>
            <w:tcW w:w="1646" w:type="dxa"/>
            <w:shd w:val="clear" w:color="auto" w:fill="auto"/>
            <w:noWrap/>
            <w:vAlign w:val="bottom"/>
            <w:hideMark/>
          </w:tcPr>
          <w:p w14:paraId="5640E2EC"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2,116 </w:t>
            </w:r>
          </w:p>
        </w:tc>
      </w:tr>
      <w:tr w:rsidR="00A62890" w:rsidRPr="00A62890" w14:paraId="03EAF99C" w14:textId="77777777" w:rsidTr="00A62890">
        <w:trPr>
          <w:trHeight w:val="290"/>
          <w:jc w:val="center"/>
        </w:trPr>
        <w:tc>
          <w:tcPr>
            <w:tcW w:w="3964" w:type="dxa"/>
            <w:shd w:val="clear" w:color="auto" w:fill="auto"/>
            <w:noWrap/>
            <w:vAlign w:val="bottom"/>
            <w:hideMark/>
          </w:tcPr>
          <w:p w14:paraId="65F4C269"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Thomas Buxton Primary School</w:t>
            </w:r>
          </w:p>
        </w:tc>
        <w:tc>
          <w:tcPr>
            <w:tcW w:w="1756" w:type="dxa"/>
            <w:shd w:val="clear" w:color="auto" w:fill="auto"/>
            <w:noWrap/>
            <w:vAlign w:val="bottom"/>
            <w:hideMark/>
          </w:tcPr>
          <w:p w14:paraId="79D31B25"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9,246 </w:t>
            </w:r>
          </w:p>
        </w:tc>
        <w:tc>
          <w:tcPr>
            <w:tcW w:w="1843" w:type="dxa"/>
            <w:shd w:val="clear" w:color="auto" w:fill="auto"/>
            <w:noWrap/>
            <w:vAlign w:val="bottom"/>
            <w:hideMark/>
          </w:tcPr>
          <w:p w14:paraId="32C554F3"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18,046 </w:t>
            </w:r>
          </w:p>
        </w:tc>
        <w:tc>
          <w:tcPr>
            <w:tcW w:w="1646" w:type="dxa"/>
            <w:shd w:val="clear" w:color="auto" w:fill="auto"/>
            <w:noWrap/>
            <w:vAlign w:val="bottom"/>
            <w:hideMark/>
          </w:tcPr>
          <w:p w14:paraId="5758C784"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8,799 </w:t>
            </w:r>
          </w:p>
        </w:tc>
      </w:tr>
      <w:tr w:rsidR="00A62890" w:rsidRPr="00A62890" w14:paraId="5D06F1F0" w14:textId="77777777" w:rsidTr="00A62890">
        <w:trPr>
          <w:trHeight w:val="290"/>
          <w:jc w:val="center"/>
        </w:trPr>
        <w:tc>
          <w:tcPr>
            <w:tcW w:w="3964" w:type="dxa"/>
            <w:shd w:val="clear" w:color="auto" w:fill="auto"/>
            <w:noWrap/>
            <w:vAlign w:val="bottom"/>
            <w:hideMark/>
          </w:tcPr>
          <w:p w14:paraId="6876834D"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Virginia Primary School</w:t>
            </w:r>
          </w:p>
        </w:tc>
        <w:tc>
          <w:tcPr>
            <w:tcW w:w="1756" w:type="dxa"/>
            <w:shd w:val="clear" w:color="auto" w:fill="auto"/>
            <w:noWrap/>
            <w:vAlign w:val="bottom"/>
            <w:hideMark/>
          </w:tcPr>
          <w:p w14:paraId="25981291"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13,738 </w:t>
            </w:r>
          </w:p>
        </w:tc>
        <w:tc>
          <w:tcPr>
            <w:tcW w:w="1843" w:type="dxa"/>
            <w:shd w:val="clear" w:color="auto" w:fill="auto"/>
            <w:noWrap/>
            <w:vAlign w:val="bottom"/>
            <w:hideMark/>
          </w:tcPr>
          <w:p w14:paraId="560D063D"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17,346 </w:t>
            </w:r>
          </w:p>
        </w:tc>
        <w:tc>
          <w:tcPr>
            <w:tcW w:w="1646" w:type="dxa"/>
            <w:shd w:val="clear" w:color="auto" w:fill="auto"/>
            <w:noWrap/>
            <w:vAlign w:val="bottom"/>
            <w:hideMark/>
          </w:tcPr>
          <w:p w14:paraId="4CB52987"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3,608 </w:t>
            </w:r>
          </w:p>
        </w:tc>
      </w:tr>
      <w:tr w:rsidR="00A62890" w:rsidRPr="00A62890" w14:paraId="49DDF90A" w14:textId="77777777" w:rsidTr="00A62890">
        <w:trPr>
          <w:trHeight w:val="290"/>
          <w:jc w:val="center"/>
        </w:trPr>
        <w:tc>
          <w:tcPr>
            <w:tcW w:w="3964" w:type="dxa"/>
            <w:shd w:val="clear" w:color="auto" w:fill="auto"/>
            <w:noWrap/>
            <w:vAlign w:val="bottom"/>
            <w:hideMark/>
          </w:tcPr>
          <w:p w14:paraId="6E7C727B"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Wellington Primary School</w:t>
            </w:r>
          </w:p>
        </w:tc>
        <w:tc>
          <w:tcPr>
            <w:tcW w:w="1756" w:type="dxa"/>
            <w:shd w:val="clear" w:color="auto" w:fill="auto"/>
            <w:noWrap/>
            <w:vAlign w:val="bottom"/>
            <w:hideMark/>
          </w:tcPr>
          <w:p w14:paraId="3740C0E9"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20,238 </w:t>
            </w:r>
          </w:p>
        </w:tc>
        <w:tc>
          <w:tcPr>
            <w:tcW w:w="1843" w:type="dxa"/>
            <w:shd w:val="clear" w:color="auto" w:fill="auto"/>
            <w:noWrap/>
            <w:vAlign w:val="bottom"/>
            <w:hideMark/>
          </w:tcPr>
          <w:p w14:paraId="4A357798"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12,050 </w:t>
            </w:r>
          </w:p>
        </w:tc>
        <w:tc>
          <w:tcPr>
            <w:tcW w:w="1646" w:type="dxa"/>
            <w:shd w:val="clear" w:color="auto" w:fill="auto"/>
            <w:noWrap/>
            <w:vAlign w:val="bottom"/>
            <w:hideMark/>
          </w:tcPr>
          <w:p w14:paraId="0039F0F8"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8,188 </w:t>
            </w:r>
          </w:p>
        </w:tc>
      </w:tr>
      <w:tr w:rsidR="00A62890" w:rsidRPr="00A62890" w14:paraId="18EA47BD" w14:textId="77777777" w:rsidTr="00A62890">
        <w:trPr>
          <w:trHeight w:val="290"/>
          <w:jc w:val="center"/>
        </w:trPr>
        <w:tc>
          <w:tcPr>
            <w:tcW w:w="3964" w:type="dxa"/>
            <w:shd w:val="clear" w:color="auto" w:fill="auto"/>
            <w:noWrap/>
            <w:vAlign w:val="bottom"/>
            <w:hideMark/>
          </w:tcPr>
          <w:p w14:paraId="63A7CF25"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William Davis Primary School</w:t>
            </w:r>
          </w:p>
        </w:tc>
        <w:tc>
          <w:tcPr>
            <w:tcW w:w="1756" w:type="dxa"/>
            <w:shd w:val="clear" w:color="auto" w:fill="auto"/>
            <w:noWrap/>
            <w:vAlign w:val="bottom"/>
            <w:hideMark/>
          </w:tcPr>
          <w:p w14:paraId="37C2B6DA"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20,461 </w:t>
            </w:r>
          </w:p>
        </w:tc>
        <w:tc>
          <w:tcPr>
            <w:tcW w:w="1843" w:type="dxa"/>
            <w:shd w:val="clear" w:color="auto" w:fill="auto"/>
            <w:noWrap/>
            <w:vAlign w:val="bottom"/>
            <w:hideMark/>
          </w:tcPr>
          <w:p w14:paraId="43ED9F10"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16,047 </w:t>
            </w:r>
          </w:p>
        </w:tc>
        <w:tc>
          <w:tcPr>
            <w:tcW w:w="1646" w:type="dxa"/>
            <w:shd w:val="clear" w:color="auto" w:fill="auto"/>
            <w:noWrap/>
            <w:vAlign w:val="bottom"/>
            <w:hideMark/>
          </w:tcPr>
          <w:p w14:paraId="0DFC08CD"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4,414 </w:t>
            </w:r>
          </w:p>
        </w:tc>
      </w:tr>
      <w:tr w:rsidR="00A62890" w:rsidRPr="00A62890" w14:paraId="098C5B01" w14:textId="77777777" w:rsidTr="00A62890">
        <w:trPr>
          <w:trHeight w:val="290"/>
          <w:jc w:val="center"/>
        </w:trPr>
        <w:tc>
          <w:tcPr>
            <w:tcW w:w="3964" w:type="dxa"/>
            <w:shd w:val="clear" w:color="auto" w:fill="auto"/>
            <w:noWrap/>
            <w:vAlign w:val="bottom"/>
            <w:hideMark/>
          </w:tcPr>
          <w:p w14:paraId="6ECED807"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Woolmore Primary School</w:t>
            </w:r>
          </w:p>
        </w:tc>
        <w:tc>
          <w:tcPr>
            <w:tcW w:w="1756" w:type="dxa"/>
            <w:shd w:val="clear" w:color="auto" w:fill="auto"/>
            <w:noWrap/>
            <w:vAlign w:val="bottom"/>
            <w:hideMark/>
          </w:tcPr>
          <w:p w14:paraId="1042717E"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49,807 </w:t>
            </w:r>
          </w:p>
        </w:tc>
        <w:tc>
          <w:tcPr>
            <w:tcW w:w="1843" w:type="dxa"/>
            <w:shd w:val="clear" w:color="auto" w:fill="auto"/>
            <w:noWrap/>
            <w:vAlign w:val="bottom"/>
            <w:hideMark/>
          </w:tcPr>
          <w:p w14:paraId="6008A672"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60,026 </w:t>
            </w:r>
          </w:p>
        </w:tc>
        <w:tc>
          <w:tcPr>
            <w:tcW w:w="1646" w:type="dxa"/>
            <w:shd w:val="clear" w:color="auto" w:fill="auto"/>
            <w:noWrap/>
            <w:vAlign w:val="bottom"/>
            <w:hideMark/>
          </w:tcPr>
          <w:p w14:paraId="46E63BAE"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10,219 </w:t>
            </w:r>
          </w:p>
        </w:tc>
      </w:tr>
      <w:tr w:rsidR="00A62890" w:rsidRPr="00A62890" w14:paraId="3025106D" w14:textId="77777777" w:rsidTr="00A62890">
        <w:trPr>
          <w:trHeight w:val="290"/>
          <w:jc w:val="center"/>
        </w:trPr>
        <w:tc>
          <w:tcPr>
            <w:tcW w:w="3964" w:type="dxa"/>
            <w:shd w:val="clear" w:color="auto" w:fill="auto"/>
            <w:noWrap/>
            <w:vAlign w:val="bottom"/>
            <w:hideMark/>
          </w:tcPr>
          <w:p w14:paraId="688BF234"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lastRenderedPageBreak/>
              <w:t>Bishop Challoner Boys' School</w:t>
            </w:r>
          </w:p>
        </w:tc>
        <w:tc>
          <w:tcPr>
            <w:tcW w:w="1756" w:type="dxa"/>
            <w:shd w:val="clear" w:color="auto" w:fill="auto"/>
            <w:noWrap/>
            <w:vAlign w:val="bottom"/>
            <w:hideMark/>
          </w:tcPr>
          <w:p w14:paraId="5BD7A19C"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   </w:t>
            </w:r>
          </w:p>
        </w:tc>
        <w:tc>
          <w:tcPr>
            <w:tcW w:w="1843" w:type="dxa"/>
            <w:shd w:val="clear" w:color="auto" w:fill="auto"/>
            <w:noWrap/>
            <w:vAlign w:val="bottom"/>
            <w:hideMark/>
          </w:tcPr>
          <w:p w14:paraId="7A5FCD03"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55,797 </w:t>
            </w:r>
          </w:p>
        </w:tc>
        <w:tc>
          <w:tcPr>
            <w:tcW w:w="1646" w:type="dxa"/>
            <w:shd w:val="clear" w:color="auto" w:fill="auto"/>
            <w:noWrap/>
            <w:vAlign w:val="bottom"/>
            <w:hideMark/>
          </w:tcPr>
          <w:p w14:paraId="4848E925"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55,797 </w:t>
            </w:r>
          </w:p>
        </w:tc>
      </w:tr>
      <w:tr w:rsidR="00A62890" w:rsidRPr="00A62890" w14:paraId="18E4C7FE" w14:textId="77777777" w:rsidTr="00A62890">
        <w:trPr>
          <w:trHeight w:val="290"/>
          <w:jc w:val="center"/>
        </w:trPr>
        <w:tc>
          <w:tcPr>
            <w:tcW w:w="3964" w:type="dxa"/>
            <w:shd w:val="clear" w:color="auto" w:fill="auto"/>
            <w:noWrap/>
            <w:vAlign w:val="bottom"/>
            <w:hideMark/>
          </w:tcPr>
          <w:p w14:paraId="18F3F33A"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Bishop Challoner Girls' School</w:t>
            </w:r>
          </w:p>
        </w:tc>
        <w:tc>
          <w:tcPr>
            <w:tcW w:w="1756" w:type="dxa"/>
            <w:shd w:val="clear" w:color="auto" w:fill="auto"/>
            <w:noWrap/>
            <w:vAlign w:val="bottom"/>
            <w:hideMark/>
          </w:tcPr>
          <w:p w14:paraId="61C6B270"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2,335 </w:t>
            </w:r>
          </w:p>
        </w:tc>
        <w:tc>
          <w:tcPr>
            <w:tcW w:w="1843" w:type="dxa"/>
            <w:shd w:val="clear" w:color="auto" w:fill="auto"/>
            <w:noWrap/>
            <w:vAlign w:val="bottom"/>
            <w:hideMark/>
          </w:tcPr>
          <w:p w14:paraId="1EB85FA3"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21,418 </w:t>
            </w:r>
          </w:p>
        </w:tc>
        <w:tc>
          <w:tcPr>
            <w:tcW w:w="1646" w:type="dxa"/>
            <w:shd w:val="clear" w:color="auto" w:fill="auto"/>
            <w:noWrap/>
            <w:vAlign w:val="bottom"/>
            <w:hideMark/>
          </w:tcPr>
          <w:p w14:paraId="2239A7BD"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19,083 </w:t>
            </w:r>
          </w:p>
        </w:tc>
      </w:tr>
      <w:tr w:rsidR="00A62890" w:rsidRPr="00A62890" w14:paraId="65CC3CBD" w14:textId="77777777" w:rsidTr="00A62890">
        <w:trPr>
          <w:trHeight w:val="290"/>
          <w:jc w:val="center"/>
        </w:trPr>
        <w:tc>
          <w:tcPr>
            <w:tcW w:w="3964" w:type="dxa"/>
            <w:shd w:val="clear" w:color="auto" w:fill="auto"/>
            <w:noWrap/>
            <w:vAlign w:val="bottom"/>
            <w:hideMark/>
          </w:tcPr>
          <w:p w14:paraId="1BD915F2"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Bow School</w:t>
            </w:r>
          </w:p>
        </w:tc>
        <w:tc>
          <w:tcPr>
            <w:tcW w:w="1756" w:type="dxa"/>
            <w:shd w:val="clear" w:color="auto" w:fill="auto"/>
            <w:noWrap/>
            <w:vAlign w:val="bottom"/>
            <w:hideMark/>
          </w:tcPr>
          <w:p w14:paraId="722BA101"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94,332 </w:t>
            </w:r>
          </w:p>
        </w:tc>
        <w:tc>
          <w:tcPr>
            <w:tcW w:w="1843" w:type="dxa"/>
            <w:shd w:val="clear" w:color="auto" w:fill="auto"/>
            <w:noWrap/>
            <w:vAlign w:val="bottom"/>
            <w:hideMark/>
          </w:tcPr>
          <w:p w14:paraId="0ECC9721"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37,434 </w:t>
            </w:r>
          </w:p>
        </w:tc>
        <w:tc>
          <w:tcPr>
            <w:tcW w:w="1646" w:type="dxa"/>
            <w:shd w:val="clear" w:color="auto" w:fill="auto"/>
            <w:noWrap/>
            <w:vAlign w:val="bottom"/>
            <w:hideMark/>
          </w:tcPr>
          <w:p w14:paraId="59CE98E4"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56,898 </w:t>
            </w:r>
          </w:p>
        </w:tc>
      </w:tr>
      <w:tr w:rsidR="00A62890" w:rsidRPr="00A62890" w14:paraId="079DF639" w14:textId="77777777" w:rsidTr="00A62890">
        <w:trPr>
          <w:trHeight w:val="290"/>
          <w:jc w:val="center"/>
        </w:trPr>
        <w:tc>
          <w:tcPr>
            <w:tcW w:w="3964" w:type="dxa"/>
            <w:shd w:val="clear" w:color="auto" w:fill="auto"/>
            <w:noWrap/>
            <w:vAlign w:val="bottom"/>
            <w:hideMark/>
          </w:tcPr>
          <w:p w14:paraId="67431DA9"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Central Foundation Girls' School</w:t>
            </w:r>
          </w:p>
        </w:tc>
        <w:tc>
          <w:tcPr>
            <w:tcW w:w="1756" w:type="dxa"/>
            <w:shd w:val="clear" w:color="auto" w:fill="auto"/>
            <w:noWrap/>
            <w:vAlign w:val="bottom"/>
            <w:hideMark/>
          </w:tcPr>
          <w:p w14:paraId="14D5D807"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155,320 </w:t>
            </w:r>
          </w:p>
        </w:tc>
        <w:tc>
          <w:tcPr>
            <w:tcW w:w="1843" w:type="dxa"/>
            <w:shd w:val="clear" w:color="auto" w:fill="auto"/>
            <w:noWrap/>
            <w:vAlign w:val="bottom"/>
            <w:hideMark/>
          </w:tcPr>
          <w:p w14:paraId="6ACD5324"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176,060 </w:t>
            </w:r>
          </w:p>
        </w:tc>
        <w:tc>
          <w:tcPr>
            <w:tcW w:w="1646" w:type="dxa"/>
            <w:shd w:val="clear" w:color="auto" w:fill="auto"/>
            <w:noWrap/>
            <w:vAlign w:val="bottom"/>
            <w:hideMark/>
          </w:tcPr>
          <w:p w14:paraId="61FB7AAC"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20,740 </w:t>
            </w:r>
          </w:p>
        </w:tc>
      </w:tr>
      <w:tr w:rsidR="00A62890" w:rsidRPr="00A62890" w14:paraId="64B9D6FA" w14:textId="77777777" w:rsidTr="00A62890">
        <w:trPr>
          <w:trHeight w:val="290"/>
          <w:jc w:val="center"/>
        </w:trPr>
        <w:tc>
          <w:tcPr>
            <w:tcW w:w="3964" w:type="dxa"/>
            <w:shd w:val="clear" w:color="auto" w:fill="auto"/>
            <w:noWrap/>
            <w:vAlign w:val="bottom"/>
            <w:hideMark/>
          </w:tcPr>
          <w:p w14:paraId="51FBA519"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Langdon Park Community School</w:t>
            </w:r>
          </w:p>
        </w:tc>
        <w:tc>
          <w:tcPr>
            <w:tcW w:w="1756" w:type="dxa"/>
            <w:shd w:val="clear" w:color="auto" w:fill="auto"/>
            <w:noWrap/>
            <w:vAlign w:val="bottom"/>
            <w:hideMark/>
          </w:tcPr>
          <w:p w14:paraId="3DF9995B"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32,271 </w:t>
            </w:r>
          </w:p>
        </w:tc>
        <w:tc>
          <w:tcPr>
            <w:tcW w:w="1843" w:type="dxa"/>
            <w:shd w:val="clear" w:color="auto" w:fill="auto"/>
            <w:noWrap/>
            <w:vAlign w:val="bottom"/>
            <w:hideMark/>
          </w:tcPr>
          <w:p w14:paraId="2B7D19C4"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4,701 </w:t>
            </w:r>
          </w:p>
        </w:tc>
        <w:tc>
          <w:tcPr>
            <w:tcW w:w="1646" w:type="dxa"/>
            <w:shd w:val="clear" w:color="auto" w:fill="auto"/>
            <w:noWrap/>
            <w:vAlign w:val="bottom"/>
            <w:hideMark/>
          </w:tcPr>
          <w:p w14:paraId="795248A5"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27,569 </w:t>
            </w:r>
          </w:p>
        </w:tc>
      </w:tr>
      <w:tr w:rsidR="00A62890" w:rsidRPr="00A62890" w14:paraId="236B1ACF" w14:textId="77777777" w:rsidTr="00A62890">
        <w:trPr>
          <w:trHeight w:val="290"/>
          <w:jc w:val="center"/>
        </w:trPr>
        <w:tc>
          <w:tcPr>
            <w:tcW w:w="3964" w:type="dxa"/>
            <w:shd w:val="clear" w:color="auto" w:fill="auto"/>
            <w:noWrap/>
            <w:vAlign w:val="bottom"/>
            <w:hideMark/>
          </w:tcPr>
          <w:p w14:paraId="48792A88"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Morpeth School</w:t>
            </w:r>
          </w:p>
        </w:tc>
        <w:tc>
          <w:tcPr>
            <w:tcW w:w="1756" w:type="dxa"/>
            <w:shd w:val="clear" w:color="auto" w:fill="auto"/>
            <w:noWrap/>
            <w:vAlign w:val="bottom"/>
            <w:hideMark/>
          </w:tcPr>
          <w:p w14:paraId="6B618AF4"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205,699 </w:t>
            </w:r>
          </w:p>
        </w:tc>
        <w:tc>
          <w:tcPr>
            <w:tcW w:w="1843" w:type="dxa"/>
            <w:shd w:val="clear" w:color="auto" w:fill="auto"/>
            <w:noWrap/>
            <w:vAlign w:val="bottom"/>
            <w:hideMark/>
          </w:tcPr>
          <w:p w14:paraId="181CB3E5"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123,572 </w:t>
            </w:r>
          </w:p>
        </w:tc>
        <w:tc>
          <w:tcPr>
            <w:tcW w:w="1646" w:type="dxa"/>
            <w:shd w:val="clear" w:color="auto" w:fill="auto"/>
            <w:noWrap/>
            <w:vAlign w:val="bottom"/>
            <w:hideMark/>
          </w:tcPr>
          <w:p w14:paraId="202E1868"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82,127 </w:t>
            </w:r>
          </w:p>
        </w:tc>
      </w:tr>
      <w:tr w:rsidR="00A62890" w:rsidRPr="00A62890" w14:paraId="496BB634" w14:textId="77777777" w:rsidTr="00A62890">
        <w:trPr>
          <w:trHeight w:val="290"/>
          <w:jc w:val="center"/>
        </w:trPr>
        <w:tc>
          <w:tcPr>
            <w:tcW w:w="3964" w:type="dxa"/>
            <w:shd w:val="clear" w:color="auto" w:fill="auto"/>
            <w:noWrap/>
            <w:vAlign w:val="bottom"/>
            <w:hideMark/>
          </w:tcPr>
          <w:p w14:paraId="5EF0468C"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Oaklands School</w:t>
            </w:r>
          </w:p>
        </w:tc>
        <w:tc>
          <w:tcPr>
            <w:tcW w:w="1756" w:type="dxa"/>
            <w:shd w:val="clear" w:color="auto" w:fill="auto"/>
            <w:noWrap/>
            <w:vAlign w:val="bottom"/>
            <w:hideMark/>
          </w:tcPr>
          <w:p w14:paraId="42CF5069"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43,622 </w:t>
            </w:r>
          </w:p>
        </w:tc>
        <w:tc>
          <w:tcPr>
            <w:tcW w:w="1843" w:type="dxa"/>
            <w:shd w:val="clear" w:color="auto" w:fill="auto"/>
            <w:noWrap/>
            <w:vAlign w:val="bottom"/>
            <w:hideMark/>
          </w:tcPr>
          <w:p w14:paraId="264CA709"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63,122 </w:t>
            </w:r>
          </w:p>
        </w:tc>
        <w:tc>
          <w:tcPr>
            <w:tcW w:w="1646" w:type="dxa"/>
            <w:shd w:val="clear" w:color="auto" w:fill="auto"/>
            <w:noWrap/>
            <w:vAlign w:val="bottom"/>
            <w:hideMark/>
          </w:tcPr>
          <w:p w14:paraId="65B0C468"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19,500 </w:t>
            </w:r>
          </w:p>
        </w:tc>
      </w:tr>
      <w:tr w:rsidR="00A62890" w:rsidRPr="00A62890" w14:paraId="1A4E0401" w14:textId="77777777" w:rsidTr="00A62890">
        <w:trPr>
          <w:trHeight w:val="290"/>
          <w:jc w:val="center"/>
        </w:trPr>
        <w:tc>
          <w:tcPr>
            <w:tcW w:w="3964" w:type="dxa"/>
            <w:shd w:val="clear" w:color="auto" w:fill="auto"/>
            <w:noWrap/>
            <w:vAlign w:val="bottom"/>
            <w:hideMark/>
          </w:tcPr>
          <w:p w14:paraId="4439BC5C"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Beatrice Tate</w:t>
            </w:r>
          </w:p>
        </w:tc>
        <w:tc>
          <w:tcPr>
            <w:tcW w:w="1756" w:type="dxa"/>
            <w:shd w:val="clear" w:color="auto" w:fill="auto"/>
            <w:noWrap/>
            <w:vAlign w:val="bottom"/>
            <w:hideMark/>
          </w:tcPr>
          <w:p w14:paraId="75FBFC98"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99,654 </w:t>
            </w:r>
          </w:p>
        </w:tc>
        <w:tc>
          <w:tcPr>
            <w:tcW w:w="1843" w:type="dxa"/>
            <w:shd w:val="clear" w:color="auto" w:fill="auto"/>
            <w:noWrap/>
            <w:vAlign w:val="bottom"/>
            <w:hideMark/>
          </w:tcPr>
          <w:p w14:paraId="5F1657FD"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91,921 </w:t>
            </w:r>
          </w:p>
        </w:tc>
        <w:tc>
          <w:tcPr>
            <w:tcW w:w="1646" w:type="dxa"/>
            <w:shd w:val="clear" w:color="auto" w:fill="auto"/>
            <w:noWrap/>
            <w:vAlign w:val="bottom"/>
            <w:hideMark/>
          </w:tcPr>
          <w:p w14:paraId="773A8004"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7,733 </w:t>
            </w:r>
          </w:p>
        </w:tc>
      </w:tr>
      <w:tr w:rsidR="00A62890" w:rsidRPr="00A62890" w14:paraId="7C813C4F" w14:textId="77777777" w:rsidTr="00A62890">
        <w:trPr>
          <w:trHeight w:val="290"/>
          <w:jc w:val="center"/>
        </w:trPr>
        <w:tc>
          <w:tcPr>
            <w:tcW w:w="3964" w:type="dxa"/>
            <w:shd w:val="clear" w:color="auto" w:fill="auto"/>
            <w:noWrap/>
            <w:vAlign w:val="bottom"/>
            <w:hideMark/>
          </w:tcPr>
          <w:p w14:paraId="3DFC593B"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Bowden House</w:t>
            </w:r>
          </w:p>
        </w:tc>
        <w:tc>
          <w:tcPr>
            <w:tcW w:w="1756" w:type="dxa"/>
            <w:shd w:val="clear" w:color="auto" w:fill="auto"/>
            <w:noWrap/>
            <w:vAlign w:val="bottom"/>
            <w:hideMark/>
          </w:tcPr>
          <w:p w14:paraId="14F7EF1F"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100,264 </w:t>
            </w:r>
          </w:p>
        </w:tc>
        <w:tc>
          <w:tcPr>
            <w:tcW w:w="1843" w:type="dxa"/>
            <w:shd w:val="clear" w:color="auto" w:fill="auto"/>
            <w:noWrap/>
            <w:vAlign w:val="bottom"/>
            <w:hideMark/>
          </w:tcPr>
          <w:p w14:paraId="069D4511"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59,758 </w:t>
            </w:r>
          </w:p>
        </w:tc>
        <w:tc>
          <w:tcPr>
            <w:tcW w:w="1646" w:type="dxa"/>
            <w:shd w:val="clear" w:color="auto" w:fill="auto"/>
            <w:noWrap/>
            <w:vAlign w:val="bottom"/>
            <w:hideMark/>
          </w:tcPr>
          <w:p w14:paraId="5A6F579E"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40,507 </w:t>
            </w:r>
          </w:p>
        </w:tc>
      </w:tr>
      <w:tr w:rsidR="00A62890" w:rsidRPr="00A62890" w14:paraId="2A1F0753" w14:textId="77777777" w:rsidTr="00A62890">
        <w:trPr>
          <w:trHeight w:val="290"/>
          <w:jc w:val="center"/>
        </w:trPr>
        <w:tc>
          <w:tcPr>
            <w:tcW w:w="3964" w:type="dxa"/>
            <w:shd w:val="clear" w:color="auto" w:fill="FFFF00"/>
            <w:noWrap/>
            <w:vAlign w:val="bottom"/>
            <w:hideMark/>
          </w:tcPr>
          <w:p w14:paraId="04F3A2D5"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Cherry Trees</w:t>
            </w:r>
          </w:p>
        </w:tc>
        <w:tc>
          <w:tcPr>
            <w:tcW w:w="1756" w:type="dxa"/>
            <w:shd w:val="clear" w:color="auto" w:fill="auto"/>
            <w:noWrap/>
            <w:vAlign w:val="bottom"/>
            <w:hideMark/>
          </w:tcPr>
          <w:p w14:paraId="11BA69DF"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   </w:t>
            </w:r>
          </w:p>
        </w:tc>
        <w:tc>
          <w:tcPr>
            <w:tcW w:w="1843" w:type="dxa"/>
            <w:shd w:val="clear" w:color="auto" w:fill="auto"/>
            <w:noWrap/>
            <w:vAlign w:val="bottom"/>
            <w:hideMark/>
          </w:tcPr>
          <w:p w14:paraId="377C5519"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4,557 </w:t>
            </w:r>
          </w:p>
        </w:tc>
        <w:tc>
          <w:tcPr>
            <w:tcW w:w="1646" w:type="dxa"/>
            <w:shd w:val="clear" w:color="auto" w:fill="auto"/>
            <w:noWrap/>
            <w:vAlign w:val="bottom"/>
            <w:hideMark/>
          </w:tcPr>
          <w:p w14:paraId="37D965B1"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4,557 </w:t>
            </w:r>
          </w:p>
        </w:tc>
      </w:tr>
      <w:tr w:rsidR="00A62890" w:rsidRPr="00A62890" w14:paraId="6AD90696" w14:textId="77777777" w:rsidTr="00A62890">
        <w:trPr>
          <w:trHeight w:val="290"/>
          <w:jc w:val="center"/>
        </w:trPr>
        <w:tc>
          <w:tcPr>
            <w:tcW w:w="3964" w:type="dxa"/>
            <w:shd w:val="clear" w:color="auto" w:fill="auto"/>
            <w:noWrap/>
            <w:vAlign w:val="bottom"/>
            <w:hideMark/>
          </w:tcPr>
          <w:p w14:paraId="0368D4B2"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Phoenix</w:t>
            </w:r>
          </w:p>
        </w:tc>
        <w:tc>
          <w:tcPr>
            <w:tcW w:w="1756" w:type="dxa"/>
            <w:shd w:val="clear" w:color="auto" w:fill="auto"/>
            <w:noWrap/>
            <w:vAlign w:val="bottom"/>
            <w:hideMark/>
          </w:tcPr>
          <w:p w14:paraId="67B46676"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970,214 </w:t>
            </w:r>
          </w:p>
        </w:tc>
        <w:tc>
          <w:tcPr>
            <w:tcW w:w="1843" w:type="dxa"/>
            <w:shd w:val="clear" w:color="auto" w:fill="auto"/>
            <w:noWrap/>
            <w:vAlign w:val="bottom"/>
            <w:hideMark/>
          </w:tcPr>
          <w:p w14:paraId="0ECBA6BF"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265,524 </w:t>
            </w:r>
          </w:p>
        </w:tc>
        <w:tc>
          <w:tcPr>
            <w:tcW w:w="1646" w:type="dxa"/>
            <w:shd w:val="clear" w:color="auto" w:fill="auto"/>
            <w:noWrap/>
            <w:vAlign w:val="bottom"/>
            <w:hideMark/>
          </w:tcPr>
          <w:p w14:paraId="35C893C0"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704,691 </w:t>
            </w:r>
          </w:p>
        </w:tc>
      </w:tr>
      <w:tr w:rsidR="00A62890" w:rsidRPr="00A62890" w14:paraId="01589348" w14:textId="77777777" w:rsidTr="00A62890">
        <w:trPr>
          <w:trHeight w:val="290"/>
          <w:jc w:val="center"/>
        </w:trPr>
        <w:tc>
          <w:tcPr>
            <w:tcW w:w="3964" w:type="dxa"/>
            <w:shd w:val="clear" w:color="auto" w:fill="auto"/>
            <w:noWrap/>
            <w:vAlign w:val="bottom"/>
            <w:hideMark/>
          </w:tcPr>
          <w:p w14:paraId="22DEA088" w14:textId="77777777" w:rsidR="00A62890" w:rsidRPr="00A62890" w:rsidRDefault="00A62890" w:rsidP="00A62890">
            <w:pPr>
              <w:rPr>
                <w:rFonts w:ascii="Calibri" w:hAnsi="Calibri" w:cs="Calibri"/>
                <w:sz w:val="20"/>
                <w:szCs w:val="20"/>
              </w:rPr>
            </w:pPr>
            <w:r w:rsidRPr="00A62890">
              <w:rPr>
                <w:rFonts w:ascii="Calibri" w:hAnsi="Calibri" w:cs="Calibri"/>
                <w:sz w:val="20"/>
                <w:szCs w:val="20"/>
              </w:rPr>
              <w:t>Stephen Hawking</w:t>
            </w:r>
          </w:p>
        </w:tc>
        <w:tc>
          <w:tcPr>
            <w:tcW w:w="1756" w:type="dxa"/>
            <w:shd w:val="clear" w:color="auto" w:fill="auto"/>
            <w:noWrap/>
            <w:vAlign w:val="bottom"/>
            <w:hideMark/>
          </w:tcPr>
          <w:p w14:paraId="51C13495"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40 </w:t>
            </w:r>
          </w:p>
        </w:tc>
        <w:tc>
          <w:tcPr>
            <w:tcW w:w="1843" w:type="dxa"/>
            <w:shd w:val="clear" w:color="auto" w:fill="auto"/>
            <w:noWrap/>
            <w:vAlign w:val="bottom"/>
            <w:hideMark/>
          </w:tcPr>
          <w:p w14:paraId="7C0B144A"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748 </w:t>
            </w:r>
          </w:p>
        </w:tc>
        <w:tc>
          <w:tcPr>
            <w:tcW w:w="1646" w:type="dxa"/>
            <w:shd w:val="clear" w:color="auto" w:fill="auto"/>
            <w:noWrap/>
            <w:vAlign w:val="bottom"/>
            <w:hideMark/>
          </w:tcPr>
          <w:p w14:paraId="501644C1"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708 </w:t>
            </w:r>
          </w:p>
        </w:tc>
      </w:tr>
      <w:tr w:rsidR="00A62890" w:rsidRPr="00A62890" w14:paraId="6CC5AB8B" w14:textId="77777777" w:rsidTr="00A62890">
        <w:trPr>
          <w:trHeight w:val="290"/>
          <w:jc w:val="center"/>
        </w:trPr>
        <w:tc>
          <w:tcPr>
            <w:tcW w:w="3964" w:type="dxa"/>
            <w:shd w:val="clear" w:color="auto" w:fill="auto"/>
            <w:noWrap/>
            <w:vAlign w:val="bottom"/>
            <w:hideMark/>
          </w:tcPr>
          <w:p w14:paraId="3E16EB9A" w14:textId="77777777" w:rsidR="00A62890" w:rsidRPr="00A62890" w:rsidRDefault="00A62890" w:rsidP="00A62890">
            <w:pPr>
              <w:rPr>
                <w:rFonts w:ascii="Calibri" w:hAnsi="Calibri" w:cs="Calibri"/>
                <w:color w:val="000000"/>
                <w:sz w:val="22"/>
                <w:szCs w:val="22"/>
              </w:rPr>
            </w:pPr>
          </w:p>
        </w:tc>
        <w:tc>
          <w:tcPr>
            <w:tcW w:w="1756" w:type="dxa"/>
            <w:shd w:val="clear" w:color="auto" w:fill="auto"/>
            <w:noWrap/>
            <w:vAlign w:val="bottom"/>
            <w:hideMark/>
          </w:tcPr>
          <w:p w14:paraId="10594080" w14:textId="77777777" w:rsidR="00A62890" w:rsidRPr="00A62890" w:rsidRDefault="00A62890" w:rsidP="00A62890">
            <w:pPr>
              <w:rPr>
                <w:rFonts w:ascii="Times New Roman" w:hAnsi="Times New Roman"/>
                <w:sz w:val="20"/>
                <w:szCs w:val="20"/>
              </w:rPr>
            </w:pPr>
          </w:p>
        </w:tc>
        <w:tc>
          <w:tcPr>
            <w:tcW w:w="1843" w:type="dxa"/>
            <w:shd w:val="clear" w:color="auto" w:fill="auto"/>
            <w:noWrap/>
            <w:vAlign w:val="bottom"/>
            <w:hideMark/>
          </w:tcPr>
          <w:p w14:paraId="4B0C2D5D" w14:textId="77777777" w:rsidR="00A62890" w:rsidRPr="00A62890" w:rsidRDefault="00A62890" w:rsidP="00A62890">
            <w:pPr>
              <w:rPr>
                <w:rFonts w:ascii="Times New Roman" w:hAnsi="Times New Roman"/>
                <w:sz w:val="20"/>
                <w:szCs w:val="20"/>
              </w:rPr>
            </w:pPr>
          </w:p>
        </w:tc>
        <w:tc>
          <w:tcPr>
            <w:tcW w:w="1646" w:type="dxa"/>
            <w:shd w:val="clear" w:color="auto" w:fill="auto"/>
            <w:noWrap/>
            <w:vAlign w:val="bottom"/>
            <w:hideMark/>
          </w:tcPr>
          <w:p w14:paraId="2D3531D6" w14:textId="77777777" w:rsidR="00A62890" w:rsidRPr="00A62890" w:rsidRDefault="00A62890" w:rsidP="00A62890">
            <w:pPr>
              <w:rPr>
                <w:rFonts w:ascii="Times New Roman" w:hAnsi="Times New Roman"/>
                <w:sz w:val="20"/>
                <w:szCs w:val="20"/>
              </w:rPr>
            </w:pPr>
          </w:p>
        </w:tc>
      </w:tr>
      <w:tr w:rsidR="00A62890" w:rsidRPr="00A62890" w14:paraId="4700331E" w14:textId="77777777" w:rsidTr="00A62890">
        <w:trPr>
          <w:trHeight w:val="290"/>
          <w:jc w:val="center"/>
        </w:trPr>
        <w:tc>
          <w:tcPr>
            <w:tcW w:w="3964" w:type="dxa"/>
            <w:shd w:val="clear" w:color="auto" w:fill="auto"/>
            <w:noWrap/>
            <w:vAlign w:val="bottom"/>
            <w:hideMark/>
          </w:tcPr>
          <w:p w14:paraId="7652D44D" w14:textId="77777777" w:rsidR="00A62890" w:rsidRPr="00A62890" w:rsidRDefault="00A62890" w:rsidP="00A62890">
            <w:pPr>
              <w:rPr>
                <w:rFonts w:ascii="Times New Roman" w:hAnsi="Times New Roman"/>
                <w:sz w:val="20"/>
                <w:szCs w:val="20"/>
              </w:rPr>
            </w:pPr>
          </w:p>
        </w:tc>
        <w:tc>
          <w:tcPr>
            <w:tcW w:w="1756" w:type="dxa"/>
            <w:shd w:val="clear" w:color="auto" w:fill="auto"/>
            <w:noWrap/>
            <w:vAlign w:val="bottom"/>
            <w:hideMark/>
          </w:tcPr>
          <w:p w14:paraId="62A781E3"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3,218,704 </w:t>
            </w:r>
          </w:p>
        </w:tc>
        <w:tc>
          <w:tcPr>
            <w:tcW w:w="1843" w:type="dxa"/>
            <w:shd w:val="clear" w:color="auto" w:fill="auto"/>
            <w:noWrap/>
            <w:vAlign w:val="bottom"/>
            <w:hideMark/>
          </w:tcPr>
          <w:p w14:paraId="4F2EBB4E"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2,164,965 </w:t>
            </w:r>
          </w:p>
        </w:tc>
        <w:tc>
          <w:tcPr>
            <w:tcW w:w="1646" w:type="dxa"/>
            <w:shd w:val="clear" w:color="auto" w:fill="auto"/>
            <w:noWrap/>
            <w:vAlign w:val="bottom"/>
            <w:hideMark/>
          </w:tcPr>
          <w:p w14:paraId="4ED47102" w14:textId="77777777" w:rsidR="00A62890" w:rsidRPr="00A62890" w:rsidRDefault="00A62890" w:rsidP="00A62890">
            <w:pPr>
              <w:rPr>
                <w:rFonts w:ascii="Calibri" w:hAnsi="Calibri" w:cs="Calibri"/>
                <w:color w:val="000000"/>
                <w:sz w:val="22"/>
                <w:szCs w:val="22"/>
              </w:rPr>
            </w:pPr>
            <w:r w:rsidRPr="00A62890">
              <w:rPr>
                <w:rFonts w:ascii="Calibri" w:hAnsi="Calibri" w:cs="Calibri"/>
                <w:color w:val="000000"/>
                <w:sz w:val="22"/>
                <w:szCs w:val="22"/>
              </w:rPr>
              <w:t xml:space="preserve">-      1,053,739 </w:t>
            </w:r>
          </w:p>
        </w:tc>
      </w:tr>
    </w:tbl>
    <w:p w14:paraId="6C39F521" w14:textId="2C6A548E" w:rsidR="00A62890" w:rsidRDefault="00A62890">
      <w:pPr>
        <w:rPr>
          <w:b/>
          <w:highlight w:val="yellow"/>
        </w:rPr>
      </w:pPr>
    </w:p>
    <w:p w14:paraId="0048377F" w14:textId="1CA6E23E" w:rsidR="00574983" w:rsidRDefault="00574983">
      <w:pPr>
        <w:rPr>
          <w:bCs/>
        </w:rPr>
      </w:pPr>
      <w:r>
        <w:rPr>
          <w:bCs/>
        </w:rPr>
        <w:t>The 24 s</w:t>
      </w:r>
      <w:r w:rsidR="00A62890" w:rsidRPr="00A62890">
        <w:rPr>
          <w:bCs/>
        </w:rPr>
        <w:t>chools not listed have a 0 movement between years, these will include</w:t>
      </w:r>
      <w:r>
        <w:rPr>
          <w:bCs/>
        </w:rPr>
        <w:t>:</w:t>
      </w:r>
    </w:p>
    <w:p w14:paraId="19D18FA3" w14:textId="6D85A05B" w:rsidR="00574983" w:rsidRDefault="00A62890">
      <w:pPr>
        <w:rPr>
          <w:bCs/>
        </w:rPr>
      </w:pPr>
      <w:r w:rsidRPr="00A62890">
        <w:rPr>
          <w:bCs/>
        </w:rPr>
        <w:t xml:space="preserve">those schools that do not manage capital funding at school level (voluntary schools), </w:t>
      </w:r>
    </w:p>
    <w:p w14:paraId="26F6452F" w14:textId="77777777" w:rsidR="00574983" w:rsidRDefault="00A62890">
      <w:pPr>
        <w:rPr>
          <w:bCs/>
        </w:rPr>
      </w:pPr>
      <w:r w:rsidRPr="00A62890">
        <w:rPr>
          <w:bCs/>
        </w:rPr>
        <w:t xml:space="preserve">or </w:t>
      </w:r>
    </w:p>
    <w:p w14:paraId="063AA62E" w14:textId="17801019" w:rsidR="00A62890" w:rsidRPr="00A62890" w:rsidRDefault="00574983">
      <w:pPr>
        <w:rPr>
          <w:bCs/>
        </w:rPr>
      </w:pPr>
      <w:r>
        <w:rPr>
          <w:bCs/>
        </w:rPr>
        <w:t>have consistently</w:t>
      </w:r>
      <w:r w:rsidR="00A62890" w:rsidRPr="00A62890">
        <w:rPr>
          <w:bCs/>
        </w:rPr>
        <w:t xml:space="preserve"> fully spen</w:t>
      </w:r>
      <w:r>
        <w:rPr>
          <w:bCs/>
        </w:rPr>
        <w:t>t available</w:t>
      </w:r>
      <w:r w:rsidR="00A62890" w:rsidRPr="00A62890">
        <w:rPr>
          <w:bCs/>
        </w:rPr>
        <w:t xml:space="preserve"> funding each year.</w:t>
      </w:r>
    </w:p>
    <w:sectPr w:rsidR="00A62890" w:rsidRPr="00A62890" w:rsidSect="00400AA7">
      <w:headerReference w:type="default" r:id="rId11"/>
      <w:footerReference w:type="default" r:id="rId12"/>
      <w:pgSz w:w="11906" w:h="16838"/>
      <w:pgMar w:top="851" w:right="1797" w:bottom="1134" w:left="993"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CAC35" w14:textId="77777777" w:rsidR="008368D4" w:rsidRDefault="008368D4">
      <w:r>
        <w:separator/>
      </w:r>
    </w:p>
  </w:endnote>
  <w:endnote w:type="continuationSeparator" w:id="0">
    <w:p w14:paraId="2DF577AA" w14:textId="77777777" w:rsidR="008368D4" w:rsidRDefault="0083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F165" w14:textId="6526EB5C" w:rsidR="00CA5FFB" w:rsidRDefault="00C80502">
    <w:pPr>
      <w:pStyle w:val="Footer"/>
    </w:pPr>
    <w:r>
      <w:tab/>
    </w:r>
    <w:r w:rsidR="00F559C8">
      <w:t xml:space="preserve">Schools Forum </w:t>
    </w:r>
    <w:r w:rsidR="005C25DB">
      <w:t>22</w:t>
    </w:r>
    <w:r w:rsidR="00F05251">
      <w:t xml:space="preserve"> </w:t>
    </w:r>
    <w:r w:rsidR="005C25DB">
      <w:t>June</w:t>
    </w:r>
    <w:r w:rsidR="00F05251">
      <w:t xml:space="preserve"> 20</w:t>
    </w:r>
    <w:r w:rsidR="00945C2A">
      <w:t>2</w:t>
    </w:r>
    <w:r w:rsidR="005C25DB">
      <w:t>2</w:t>
    </w:r>
  </w:p>
  <w:p w14:paraId="55C9D276" w14:textId="77777777" w:rsidR="00F05251" w:rsidRDefault="00F05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416D" w14:textId="77777777" w:rsidR="008368D4" w:rsidRDefault="008368D4">
      <w:r>
        <w:separator/>
      </w:r>
    </w:p>
  </w:footnote>
  <w:footnote w:type="continuationSeparator" w:id="0">
    <w:p w14:paraId="6E308080" w14:textId="77777777" w:rsidR="008368D4" w:rsidRDefault="00836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5262" w14:textId="54586C98" w:rsidR="00815A0C" w:rsidRDefault="00815A0C" w:rsidP="00815A0C">
    <w:pPr>
      <w:pStyle w:val="Header"/>
      <w:jc w:val="center"/>
    </w:pPr>
    <w:r>
      <w:t>Schools Forum 22 June 2022</w:t>
    </w:r>
  </w:p>
  <w:p w14:paraId="15119BFF" w14:textId="77777777" w:rsidR="00815A0C" w:rsidRDefault="00815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CBC"/>
    <w:multiLevelType w:val="multilevel"/>
    <w:tmpl w:val="0CC43A28"/>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CE8590C"/>
    <w:multiLevelType w:val="hybridMultilevel"/>
    <w:tmpl w:val="DFBA7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A64BB"/>
    <w:multiLevelType w:val="multilevel"/>
    <w:tmpl w:val="417CC0F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09139A8"/>
    <w:multiLevelType w:val="multilevel"/>
    <w:tmpl w:val="8B8CE46C"/>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ascii="Arial" w:eastAsia="Times New Roman" w:hAnsi="Arial" w:cs="Times New Roman"/>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0FC4477"/>
    <w:multiLevelType w:val="multilevel"/>
    <w:tmpl w:val="76005A1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1050DE9"/>
    <w:multiLevelType w:val="hybridMultilevel"/>
    <w:tmpl w:val="90B27132"/>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15:restartNumberingAfterBreak="0">
    <w:nsid w:val="14E54CB8"/>
    <w:multiLevelType w:val="hybridMultilevel"/>
    <w:tmpl w:val="C530581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B141709"/>
    <w:multiLevelType w:val="multilevel"/>
    <w:tmpl w:val="417CC0F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CE93B34"/>
    <w:multiLevelType w:val="hybridMultilevel"/>
    <w:tmpl w:val="16561F0E"/>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D8C3073"/>
    <w:multiLevelType w:val="hybridMultilevel"/>
    <w:tmpl w:val="ABFE9BF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ept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1" w15:restartNumberingAfterBreak="0">
    <w:nsid w:val="2DC779E3"/>
    <w:multiLevelType w:val="multilevel"/>
    <w:tmpl w:val="846CC68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E60680E"/>
    <w:multiLevelType w:val="hybridMultilevel"/>
    <w:tmpl w:val="95E4EB72"/>
    <w:lvl w:ilvl="0" w:tplc="758031B0">
      <w:start w:val="3"/>
      <w:numFmt w:val="decimal"/>
      <w:lvlText w:val="%1."/>
      <w:lvlJc w:val="left"/>
      <w:pPr>
        <w:tabs>
          <w:tab w:val="num" w:pos="1080"/>
        </w:tabs>
        <w:ind w:left="1080" w:hanging="720"/>
      </w:pPr>
      <w:rPr>
        <w:rFonts w:cs="Times New Roman" w:hint="default"/>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DF3438"/>
    <w:multiLevelType w:val="hybridMultilevel"/>
    <w:tmpl w:val="03F2A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85697E"/>
    <w:multiLevelType w:val="multilevel"/>
    <w:tmpl w:val="B8FC3C1C"/>
    <w:lvl w:ilvl="0">
      <w:start w:val="2"/>
      <w:numFmt w:val="decimal"/>
      <w:lvlText w:val="%1"/>
      <w:lvlJc w:val="left"/>
      <w:pPr>
        <w:tabs>
          <w:tab w:val="num" w:pos="720"/>
        </w:tabs>
        <w:ind w:left="720" w:hanging="72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51169D4"/>
    <w:multiLevelType w:val="multilevel"/>
    <w:tmpl w:val="5C0A4E5E"/>
    <w:lvl w:ilvl="0">
      <w:start w:val="2"/>
      <w:numFmt w:val="decimal"/>
      <w:lvlText w:val="%1"/>
      <w:lvlJc w:val="left"/>
      <w:pPr>
        <w:tabs>
          <w:tab w:val="num" w:pos="720"/>
        </w:tabs>
        <w:ind w:left="720" w:hanging="72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bullet"/>
      <w:lvlText w:val=""/>
      <w:lvlJc w:val="left"/>
      <w:pPr>
        <w:tabs>
          <w:tab w:val="num" w:pos="360"/>
        </w:tabs>
        <w:ind w:left="360" w:hanging="360"/>
      </w:pPr>
      <w:rPr>
        <w:rFonts w:ascii="Symbol" w:hAnsi="Symbol"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6F729B0"/>
    <w:multiLevelType w:val="multilevel"/>
    <w:tmpl w:val="A9EC49E2"/>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4B041A00"/>
    <w:multiLevelType w:val="hybridMultilevel"/>
    <w:tmpl w:val="3C644D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CA06C4F"/>
    <w:multiLevelType w:val="multilevel"/>
    <w:tmpl w:val="CB565D0E"/>
    <w:lvl w:ilvl="0">
      <w:start w:val="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E19603D"/>
    <w:multiLevelType w:val="multilevel"/>
    <w:tmpl w:val="C3F8BBA0"/>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7FD5323"/>
    <w:multiLevelType w:val="multilevel"/>
    <w:tmpl w:val="4C12CB5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896410D"/>
    <w:multiLevelType w:val="hybridMultilevel"/>
    <w:tmpl w:val="B3F66B5C"/>
    <w:lvl w:ilvl="0" w:tplc="DEEEE87A">
      <w:numFmt w:val="bullet"/>
      <w:lvlText w:val=""/>
      <w:lvlJc w:val="left"/>
      <w:pPr>
        <w:ind w:left="720" w:hanging="360"/>
      </w:pPr>
      <w:rPr>
        <w:rFonts w:ascii="Symbol" w:eastAsiaTheme="minorHAnsi"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92FD2"/>
    <w:multiLevelType w:val="hybridMultilevel"/>
    <w:tmpl w:val="785CDB7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B3C4434"/>
    <w:multiLevelType w:val="hybridMultilevel"/>
    <w:tmpl w:val="24C64ACE"/>
    <w:lvl w:ilvl="0" w:tplc="BCA6C4E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E691A69"/>
    <w:multiLevelType w:val="multilevel"/>
    <w:tmpl w:val="311EB9AC"/>
    <w:lvl w:ilvl="0">
      <w:start w:val="1"/>
      <w:numFmt w:val="decimal"/>
      <w:lvlText w:val="%1."/>
      <w:lvlJc w:val="left"/>
      <w:pPr>
        <w:ind w:left="1080" w:hanging="720"/>
      </w:pPr>
      <w:rPr>
        <w:rFonts w:hint="default"/>
        <w:b/>
        <w:bCs/>
        <w:i w:val="0"/>
        <w:iCs w:val="0"/>
      </w:rPr>
    </w:lvl>
    <w:lvl w:ilvl="1">
      <w:start w:val="1"/>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05600CB"/>
    <w:multiLevelType w:val="hybridMultilevel"/>
    <w:tmpl w:val="C5DE68CA"/>
    <w:lvl w:ilvl="0" w:tplc="443C0060">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6C663F"/>
    <w:multiLevelType w:val="hybridMultilevel"/>
    <w:tmpl w:val="BD60B46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6E9A4687"/>
    <w:multiLevelType w:val="hybridMultilevel"/>
    <w:tmpl w:val="FB80F944"/>
    <w:lvl w:ilvl="0" w:tplc="5E16F418">
      <w:start w:val="1"/>
      <w:numFmt w:val="bullet"/>
      <w:lvlText w:val=""/>
      <w:lvlJc w:val="left"/>
      <w:pPr>
        <w:tabs>
          <w:tab w:val="num" w:pos="1685"/>
        </w:tabs>
        <w:ind w:left="1685" w:hanging="425"/>
      </w:pPr>
      <w:rPr>
        <w:rFonts w:ascii="Wingdings 2" w:hAnsi="Wingdings 2"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27"/>
  </w:num>
  <w:num w:numId="2">
    <w:abstractNumId w:val="4"/>
  </w:num>
  <w:num w:numId="3">
    <w:abstractNumId w:val="3"/>
  </w:num>
  <w:num w:numId="4">
    <w:abstractNumId w:val="16"/>
  </w:num>
  <w:num w:numId="5">
    <w:abstractNumId w:val="0"/>
  </w:num>
  <w:num w:numId="6">
    <w:abstractNumId w:val="22"/>
  </w:num>
  <w:num w:numId="7">
    <w:abstractNumId w:val="20"/>
  </w:num>
  <w:num w:numId="8">
    <w:abstractNumId w:val="11"/>
  </w:num>
  <w:num w:numId="9">
    <w:abstractNumId w:val="6"/>
  </w:num>
  <w:num w:numId="10">
    <w:abstractNumId w:val="10"/>
  </w:num>
  <w:num w:numId="11">
    <w:abstractNumId w:val="25"/>
  </w:num>
  <w:num w:numId="12">
    <w:abstractNumId w:val="2"/>
  </w:num>
  <w:num w:numId="13">
    <w:abstractNumId w:val="18"/>
  </w:num>
  <w:num w:numId="14">
    <w:abstractNumId w:val="19"/>
  </w:num>
  <w:num w:numId="15">
    <w:abstractNumId w:val="7"/>
  </w:num>
  <w:num w:numId="16">
    <w:abstractNumId w:val="12"/>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4"/>
  </w:num>
  <w:num w:numId="20">
    <w:abstractNumId w:val="15"/>
  </w:num>
  <w:num w:numId="21">
    <w:abstractNumId w:val="26"/>
  </w:num>
  <w:num w:numId="22">
    <w:abstractNumId w:val="9"/>
  </w:num>
  <w:num w:numId="23">
    <w:abstractNumId w:val="8"/>
  </w:num>
  <w:num w:numId="24">
    <w:abstractNumId w:val="17"/>
  </w:num>
  <w:num w:numId="25">
    <w:abstractNumId w:val="23"/>
  </w:num>
  <w:num w:numId="26">
    <w:abstractNumId w:val="1"/>
  </w:num>
  <w:num w:numId="27">
    <w:abstractNumId w:val="21"/>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D8"/>
    <w:rsid w:val="000012CD"/>
    <w:rsid w:val="00003D47"/>
    <w:rsid w:val="00011E62"/>
    <w:rsid w:val="000124DC"/>
    <w:rsid w:val="0001396D"/>
    <w:rsid w:val="00016358"/>
    <w:rsid w:val="00023900"/>
    <w:rsid w:val="00024336"/>
    <w:rsid w:val="00026F7E"/>
    <w:rsid w:val="00033409"/>
    <w:rsid w:val="000374BD"/>
    <w:rsid w:val="000431DB"/>
    <w:rsid w:val="000476EB"/>
    <w:rsid w:val="0005519A"/>
    <w:rsid w:val="00056DDF"/>
    <w:rsid w:val="00062F2A"/>
    <w:rsid w:val="0007096B"/>
    <w:rsid w:val="00072016"/>
    <w:rsid w:val="00081E87"/>
    <w:rsid w:val="0008700F"/>
    <w:rsid w:val="00092E36"/>
    <w:rsid w:val="00095149"/>
    <w:rsid w:val="000965A3"/>
    <w:rsid w:val="0009779D"/>
    <w:rsid w:val="000A0C41"/>
    <w:rsid w:val="000A6393"/>
    <w:rsid w:val="000B3354"/>
    <w:rsid w:val="000B3D6D"/>
    <w:rsid w:val="000B402E"/>
    <w:rsid w:val="000C1772"/>
    <w:rsid w:val="000F24B5"/>
    <w:rsid w:val="000F76D4"/>
    <w:rsid w:val="00102F48"/>
    <w:rsid w:val="00110A3B"/>
    <w:rsid w:val="00110C54"/>
    <w:rsid w:val="00115242"/>
    <w:rsid w:val="001205D1"/>
    <w:rsid w:val="00127BC6"/>
    <w:rsid w:val="00130C27"/>
    <w:rsid w:val="0013344F"/>
    <w:rsid w:val="001336EE"/>
    <w:rsid w:val="00146471"/>
    <w:rsid w:val="00146B08"/>
    <w:rsid w:val="001510E3"/>
    <w:rsid w:val="00163240"/>
    <w:rsid w:val="00165F60"/>
    <w:rsid w:val="00172875"/>
    <w:rsid w:val="00172A57"/>
    <w:rsid w:val="00174E53"/>
    <w:rsid w:val="00176D63"/>
    <w:rsid w:val="00185F6F"/>
    <w:rsid w:val="00186146"/>
    <w:rsid w:val="00186E5D"/>
    <w:rsid w:val="00190268"/>
    <w:rsid w:val="00196AC3"/>
    <w:rsid w:val="00196E98"/>
    <w:rsid w:val="00197611"/>
    <w:rsid w:val="001A2DD9"/>
    <w:rsid w:val="001A5C79"/>
    <w:rsid w:val="001A7719"/>
    <w:rsid w:val="001B368A"/>
    <w:rsid w:val="001C0FFE"/>
    <w:rsid w:val="001C20E2"/>
    <w:rsid w:val="001C7BE6"/>
    <w:rsid w:val="001D247E"/>
    <w:rsid w:val="001D2AC8"/>
    <w:rsid w:val="001D708D"/>
    <w:rsid w:val="001E18EB"/>
    <w:rsid w:val="001E4EC5"/>
    <w:rsid w:val="001E6030"/>
    <w:rsid w:val="001E62C3"/>
    <w:rsid w:val="001E7215"/>
    <w:rsid w:val="001F07B7"/>
    <w:rsid w:val="001F54E0"/>
    <w:rsid w:val="0020434A"/>
    <w:rsid w:val="00216458"/>
    <w:rsid w:val="00216DC1"/>
    <w:rsid w:val="002174F7"/>
    <w:rsid w:val="002279CC"/>
    <w:rsid w:val="002317F1"/>
    <w:rsid w:val="00240014"/>
    <w:rsid w:val="00240E27"/>
    <w:rsid w:val="00247FBD"/>
    <w:rsid w:val="00254DFD"/>
    <w:rsid w:val="00255B09"/>
    <w:rsid w:val="00257E6A"/>
    <w:rsid w:val="002608E5"/>
    <w:rsid w:val="00261917"/>
    <w:rsid w:val="00261F02"/>
    <w:rsid w:val="002632F0"/>
    <w:rsid w:val="00263483"/>
    <w:rsid w:val="00264263"/>
    <w:rsid w:val="0027261C"/>
    <w:rsid w:val="002802B8"/>
    <w:rsid w:val="00291DF0"/>
    <w:rsid w:val="00295374"/>
    <w:rsid w:val="002955D4"/>
    <w:rsid w:val="00296B60"/>
    <w:rsid w:val="00297306"/>
    <w:rsid w:val="002A341B"/>
    <w:rsid w:val="002A62FE"/>
    <w:rsid w:val="002B2E98"/>
    <w:rsid w:val="002C7043"/>
    <w:rsid w:val="002D25E1"/>
    <w:rsid w:val="002D2FB9"/>
    <w:rsid w:val="002D3EDC"/>
    <w:rsid w:val="002D6DA3"/>
    <w:rsid w:val="002D77D6"/>
    <w:rsid w:val="002D7993"/>
    <w:rsid w:val="002E1521"/>
    <w:rsid w:val="002E2A74"/>
    <w:rsid w:val="002F1B68"/>
    <w:rsid w:val="002F25D0"/>
    <w:rsid w:val="002F64FC"/>
    <w:rsid w:val="002F73DF"/>
    <w:rsid w:val="002F7612"/>
    <w:rsid w:val="00303AF4"/>
    <w:rsid w:val="00310095"/>
    <w:rsid w:val="0031401B"/>
    <w:rsid w:val="00314509"/>
    <w:rsid w:val="003147CB"/>
    <w:rsid w:val="00315ECA"/>
    <w:rsid w:val="00326E1B"/>
    <w:rsid w:val="00330970"/>
    <w:rsid w:val="00331CEC"/>
    <w:rsid w:val="0033425D"/>
    <w:rsid w:val="0033514D"/>
    <w:rsid w:val="00342794"/>
    <w:rsid w:val="00347396"/>
    <w:rsid w:val="00351C32"/>
    <w:rsid w:val="003555BB"/>
    <w:rsid w:val="00360AE1"/>
    <w:rsid w:val="00360EB1"/>
    <w:rsid w:val="003622EA"/>
    <w:rsid w:val="003829BD"/>
    <w:rsid w:val="00383ABD"/>
    <w:rsid w:val="00384913"/>
    <w:rsid w:val="00390DCB"/>
    <w:rsid w:val="00397C7C"/>
    <w:rsid w:val="003A0062"/>
    <w:rsid w:val="003A02EE"/>
    <w:rsid w:val="003A4F64"/>
    <w:rsid w:val="003B23CD"/>
    <w:rsid w:val="003B3BB3"/>
    <w:rsid w:val="003C167B"/>
    <w:rsid w:val="003C26D5"/>
    <w:rsid w:val="003D16DB"/>
    <w:rsid w:val="003D1FB3"/>
    <w:rsid w:val="003D3F5A"/>
    <w:rsid w:val="003F0867"/>
    <w:rsid w:val="003F0F39"/>
    <w:rsid w:val="003F1007"/>
    <w:rsid w:val="003F1710"/>
    <w:rsid w:val="00400AA7"/>
    <w:rsid w:val="00406324"/>
    <w:rsid w:val="00413402"/>
    <w:rsid w:val="00414139"/>
    <w:rsid w:val="00420B80"/>
    <w:rsid w:val="004226A7"/>
    <w:rsid w:val="00423D02"/>
    <w:rsid w:val="00427F8B"/>
    <w:rsid w:val="004373BC"/>
    <w:rsid w:val="004401D0"/>
    <w:rsid w:val="00456B27"/>
    <w:rsid w:val="004607A5"/>
    <w:rsid w:val="00461073"/>
    <w:rsid w:val="00462D23"/>
    <w:rsid w:val="004630D4"/>
    <w:rsid w:val="00463311"/>
    <w:rsid w:val="00467E5F"/>
    <w:rsid w:val="00480C42"/>
    <w:rsid w:val="004872E1"/>
    <w:rsid w:val="004915BC"/>
    <w:rsid w:val="004963AA"/>
    <w:rsid w:val="00497311"/>
    <w:rsid w:val="00497C60"/>
    <w:rsid w:val="004A013E"/>
    <w:rsid w:val="004A317B"/>
    <w:rsid w:val="004B09B1"/>
    <w:rsid w:val="004B191E"/>
    <w:rsid w:val="004B42BF"/>
    <w:rsid w:val="004C13B7"/>
    <w:rsid w:val="004C4B61"/>
    <w:rsid w:val="004C52A5"/>
    <w:rsid w:val="004C5F96"/>
    <w:rsid w:val="004E3467"/>
    <w:rsid w:val="004E36BF"/>
    <w:rsid w:val="004E484F"/>
    <w:rsid w:val="004F0D0E"/>
    <w:rsid w:val="004F1DD2"/>
    <w:rsid w:val="00501575"/>
    <w:rsid w:val="0050224E"/>
    <w:rsid w:val="00503A62"/>
    <w:rsid w:val="00506B42"/>
    <w:rsid w:val="00512058"/>
    <w:rsid w:val="005168CE"/>
    <w:rsid w:val="00517637"/>
    <w:rsid w:val="00521475"/>
    <w:rsid w:val="00523281"/>
    <w:rsid w:val="00527F40"/>
    <w:rsid w:val="00541736"/>
    <w:rsid w:val="00541D0C"/>
    <w:rsid w:val="005423C7"/>
    <w:rsid w:val="005438B2"/>
    <w:rsid w:val="0055779A"/>
    <w:rsid w:val="005579D8"/>
    <w:rsid w:val="00574983"/>
    <w:rsid w:val="00574B04"/>
    <w:rsid w:val="00574BAA"/>
    <w:rsid w:val="00582E37"/>
    <w:rsid w:val="005867D7"/>
    <w:rsid w:val="00593FCD"/>
    <w:rsid w:val="00596D54"/>
    <w:rsid w:val="00597A71"/>
    <w:rsid w:val="005A3FBD"/>
    <w:rsid w:val="005A7777"/>
    <w:rsid w:val="005A7CCD"/>
    <w:rsid w:val="005B2933"/>
    <w:rsid w:val="005C25DB"/>
    <w:rsid w:val="005C4480"/>
    <w:rsid w:val="005C6EBF"/>
    <w:rsid w:val="005D6C4A"/>
    <w:rsid w:val="005E18C0"/>
    <w:rsid w:val="005E6F06"/>
    <w:rsid w:val="005E7025"/>
    <w:rsid w:val="006012F8"/>
    <w:rsid w:val="00607318"/>
    <w:rsid w:val="006110D4"/>
    <w:rsid w:val="00612CC4"/>
    <w:rsid w:val="006236AD"/>
    <w:rsid w:val="00626DB4"/>
    <w:rsid w:val="0063125D"/>
    <w:rsid w:val="006318C7"/>
    <w:rsid w:val="00633CBB"/>
    <w:rsid w:val="00644FC6"/>
    <w:rsid w:val="0065283B"/>
    <w:rsid w:val="00652FE1"/>
    <w:rsid w:val="006622C0"/>
    <w:rsid w:val="00663EE9"/>
    <w:rsid w:val="00667C46"/>
    <w:rsid w:val="0067284F"/>
    <w:rsid w:val="00673520"/>
    <w:rsid w:val="006743FF"/>
    <w:rsid w:val="00687A45"/>
    <w:rsid w:val="00697E29"/>
    <w:rsid w:val="006B0554"/>
    <w:rsid w:val="006B5F1A"/>
    <w:rsid w:val="006B70F3"/>
    <w:rsid w:val="006C2150"/>
    <w:rsid w:val="006C647F"/>
    <w:rsid w:val="006D0ED8"/>
    <w:rsid w:val="006D1635"/>
    <w:rsid w:val="006D28B7"/>
    <w:rsid w:val="006D3838"/>
    <w:rsid w:val="006D6E4C"/>
    <w:rsid w:val="006E5CCC"/>
    <w:rsid w:val="006F254E"/>
    <w:rsid w:val="006F6193"/>
    <w:rsid w:val="00700123"/>
    <w:rsid w:val="00700C1B"/>
    <w:rsid w:val="007020DD"/>
    <w:rsid w:val="00717360"/>
    <w:rsid w:val="00717948"/>
    <w:rsid w:val="007179BA"/>
    <w:rsid w:val="00723EC0"/>
    <w:rsid w:val="007254B6"/>
    <w:rsid w:val="00735DA2"/>
    <w:rsid w:val="0073605B"/>
    <w:rsid w:val="007373D9"/>
    <w:rsid w:val="0074479A"/>
    <w:rsid w:val="00746D53"/>
    <w:rsid w:val="00747560"/>
    <w:rsid w:val="0075680D"/>
    <w:rsid w:val="0077105B"/>
    <w:rsid w:val="00773C61"/>
    <w:rsid w:val="00780295"/>
    <w:rsid w:val="00782F6E"/>
    <w:rsid w:val="00786578"/>
    <w:rsid w:val="0079048F"/>
    <w:rsid w:val="0079479D"/>
    <w:rsid w:val="00794BD6"/>
    <w:rsid w:val="007A6F54"/>
    <w:rsid w:val="007B1D86"/>
    <w:rsid w:val="007B6D28"/>
    <w:rsid w:val="007B7520"/>
    <w:rsid w:val="007B76C2"/>
    <w:rsid w:val="007C1A22"/>
    <w:rsid w:val="007C239E"/>
    <w:rsid w:val="007D18A0"/>
    <w:rsid w:val="007D331D"/>
    <w:rsid w:val="007E0FFA"/>
    <w:rsid w:val="007E24BC"/>
    <w:rsid w:val="007F1872"/>
    <w:rsid w:val="007F259D"/>
    <w:rsid w:val="007F39B5"/>
    <w:rsid w:val="007F5E25"/>
    <w:rsid w:val="00811D5E"/>
    <w:rsid w:val="00815A0C"/>
    <w:rsid w:val="00826AE1"/>
    <w:rsid w:val="00827CDA"/>
    <w:rsid w:val="00830EE2"/>
    <w:rsid w:val="00834795"/>
    <w:rsid w:val="008368D4"/>
    <w:rsid w:val="00836EBF"/>
    <w:rsid w:val="00843355"/>
    <w:rsid w:val="00843386"/>
    <w:rsid w:val="00852A22"/>
    <w:rsid w:val="008542E5"/>
    <w:rsid w:val="00857B8C"/>
    <w:rsid w:val="008606F3"/>
    <w:rsid w:val="00861071"/>
    <w:rsid w:val="00875452"/>
    <w:rsid w:val="0088043A"/>
    <w:rsid w:val="0088574F"/>
    <w:rsid w:val="008A222B"/>
    <w:rsid w:val="008B2680"/>
    <w:rsid w:val="008B334D"/>
    <w:rsid w:val="008B526C"/>
    <w:rsid w:val="008C10FD"/>
    <w:rsid w:val="008C5D67"/>
    <w:rsid w:val="008E162B"/>
    <w:rsid w:val="008E3D68"/>
    <w:rsid w:val="008E48D3"/>
    <w:rsid w:val="008E5036"/>
    <w:rsid w:val="008E6396"/>
    <w:rsid w:val="008E6FAB"/>
    <w:rsid w:val="008F3A87"/>
    <w:rsid w:val="00901027"/>
    <w:rsid w:val="00901C73"/>
    <w:rsid w:val="00904456"/>
    <w:rsid w:val="0090581A"/>
    <w:rsid w:val="00906789"/>
    <w:rsid w:val="009101A4"/>
    <w:rsid w:val="00911E4F"/>
    <w:rsid w:val="00913BAB"/>
    <w:rsid w:val="00916333"/>
    <w:rsid w:val="009211C8"/>
    <w:rsid w:val="0092163D"/>
    <w:rsid w:val="009242CF"/>
    <w:rsid w:val="00932F5A"/>
    <w:rsid w:val="00936F11"/>
    <w:rsid w:val="00937150"/>
    <w:rsid w:val="00945C2A"/>
    <w:rsid w:val="009472F9"/>
    <w:rsid w:val="00947BC6"/>
    <w:rsid w:val="0095387F"/>
    <w:rsid w:val="00955434"/>
    <w:rsid w:val="00957E26"/>
    <w:rsid w:val="0096422A"/>
    <w:rsid w:val="00972199"/>
    <w:rsid w:val="00974B9B"/>
    <w:rsid w:val="00976CF8"/>
    <w:rsid w:val="00984609"/>
    <w:rsid w:val="00984B63"/>
    <w:rsid w:val="00992F2B"/>
    <w:rsid w:val="009A698C"/>
    <w:rsid w:val="009A759A"/>
    <w:rsid w:val="009C40AF"/>
    <w:rsid w:val="009D2AA8"/>
    <w:rsid w:val="009D6E09"/>
    <w:rsid w:val="009E1529"/>
    <w:rsid w:val="009E1CE4"/>
    <w:rsid w:val="009E522C"/>
    <w:rsid w:val="009E7FA5"/>
    <w:rsid w:val="009F474B"/>
    <w:rsid w:val="00A05EB5"/>
    <w:rsid w:val="00A1042E"/>
    <w:rsid w:val="00A2584E"/>
    <w:rsid w:val="00A33D3B"/>
    <w:rsid w:val="00A35310"/>
    <w:rsid w:val="00A364CB"/>
    <w:rsid w:val="00A40BEB"/>
    <w:rsid w:val="00A41639"/>
    <w:rsid w:val="00A416E0"/>
    <w:rsid w:val="00A42074"/>
    <w:rsid w:val="00A44E50"/>
    <w:rsid w:val="00A463D8"/>
    <w:rsid w:val="00A46DED"/>
    <w:rsid w:val="00A559FC"/>
    <w:rsid w:val="00A55F0A"/>
    <w:rsid w:val="00A57EDC"/>
    <w:rsid w:val="00A62890"/>
    <w:rsid w:val="00A6319E"/>
    <w:rsid w:val="00A7377D"/>
    <w:rsid w:val="00A76645"/>
    <w:rsid w:val="00A773B4"/>
    <w:rsid w:val="00A816D7"/>
    <w:rsid w:val="00A92021"/>
    <w:rsid w:val="00A92833"/>
    <w:rsid w:val="00AB0952"/>
    <w:rsid w:val="00AB203A"/>
    <w:rsid w:val="00AC10B4"/>
    <w:rsid w:val="00AC1258"/>
    <w:rsid w:val="00AC16B8"/>
    <w:rsid w:val="00AC7615"/>
    <w:rsid w:val="00AD6CA7"/>
    <w:rsid w:val="00AE670C"/>
    <w:rsid w:val="00AF17F5"/>
    <w:rsid w:val="00AF1CAE"/>
    <w:rsid w:val="00AF278D"/>
    <w:rsid w:val="00B0410A"/>
    <w:rsid w:val="00B13E42"/>
    <w:rsid w:val="00B17B39"/>
    <w:rsid w:val="00B2220C"/>
    <w:rsid w:val="00B25A1E"/>
    <w:rsid w:val="00B3064F"/>
    <w:rsid w:val="00B32D7B"/>
    <w:rsid w:val="00B33808"/>
    <w:rsid w:val="00B541DE"/>
    <w:rsid w:val="00B55941"/>
    <w:rsid w:val="00B61DF3"/>
    <w:rsid w:val="00B622AD"/>
    <w:rsid w:val="00B63C31"/>
    <w:rsid w:val="00B65FC2"/>
    <w:rsid w:val="00B74727"/>
    <w:rsid w:val="00B74BDC"/>
    <w:rsid w:val="00B853CC"/>
    <w:rsid w:val="00B87386"/>
    <w:rsid w:val="00B90222"/>
    <w:rsid w:val="00B9115E"/>
    <w:rsid w:val="00B924A1"/>
    <w:rsid w:val="00B93033"/>
    <w:rsid w:val="00B969D1"/>
    <w:rsid w:val="00BA07C4"/>
    <w:rsid w:val="00BA0EDE"/>
    <w:rsid w:val="00BA24EF"/>
    <w:rsid w:val="00BA30A9"/>
    <w:rsid w:val="00BA4C89"/>
    <w:rsid w:val="00BA4F87"/>
    <w:rsid w:val="00BC454C"/>
    <w:rsid w:val="00BD1CD2"/>
    <w:rsid w:val="00BE08D2"/>
    <w:rsid w:val="00BE14AD"/>
    <w:rsid w:val="00BE4FBD"/>
    <w:rsid w:val="00C03C7C"/>
    <w:rsid w:val="00C059B3"/>
    <w:rsid w:val="00C05E5D"/>
    <w:rsid w:val="00C12B1D"/>
    <w:rsid w:val="00C15FBA"/>
    <w:rsid w:val="00C206EA"/>
    <w:rsid w:val="00C218B7"/>
    <w:rsid w:val="00C2286A"/>
    <w:rsid w:val="00C23CF6"/>
    <w:rsid w:val="00C24F10"/>
    <w:rsid w:val="00C30B62"/>
    <w:rsid w:val="00C30BF2"/>
    <w:rsid w:val="00C4108D"/>
    <w:rsid w:val="00C41337"/>
    <w:rsid w:val="00C424B1"/>
    <w:rsid w:val="00C45CD8"/>
    <w:rsid w:val="00C51737"/>
    <w:rsid w:val="00C52B70"/>
    <w:rsid w:val="00C57097"/>
    <w:rsid w:val="00C63666"/>
    <w:rsid w:val="00C657E9"/>
    <w:rsid w:val="00C71CA8"/>
    <w:rsid w:val="00C80502"/>
    <w:rsid w:val="00C80B3F"/>
    <w:rsid w:val="00C82C01"/>
    <w:rsid w:val="00C910B1"/>
    <w:rsid w:val="00C92C36"/>
    <w:rsid w:val="00C92E7F"/>
    <w:rsid w:val="00C95073"/>
    <w:rsid w:val="00CA1BE3"/>
    <w:rsid w:val="00CA5C17"/>
    <w:rsid w:val="00CA5FFB"/>
    <w:rsid w:val="00CC0284"/>
    <w:rsid w:val="00CC2E52"/>
    <w:rsid w:val="00CD274A"/>
    <w:rsid w:val="00CD7A4A"/>
    <w:rsid w:val="00CE192A"/>
    <w:rsid w:val="00CE4BBB"/>
    <w:rsid w:val="00D012F9"/>
    <w:rsid w:val="00D024BE"/>
    <w:rsid w:val="00D06C55"/>
    <w:rsid w:val="00D07CF7"/>
    <w:rsid w:val="00D11BEE"/>
    <w:rsid w:val="00D142DC"/>
    <w:rsid w:val="00D20CA7"/>
    <w:rsid w:val="00D21C43"/>
    <w:rsid w:val="00D273FE"/>
    <w:rsid w:val="00D37F1B"/>
    <w:rsid w:val="00D446C1"/>
    <w:rsid w:val="00D456B7"/>
    <w:rsid w:val="00D46E3E"/>
    <w:rsid w:val="00D50A97"/>
    <w:rsid w:val="00D54AD9"/>
    <w:rsid w:val="00D560A4"/>
    <w:rsid w:val="00D56E4F"/>
    <w:rsid w:val="00D62EA1"/>
    <w:rsid w:val="00D6719B"/>
    <w:rsid w:val="00D700A6"/>
    <w:rsid w:val="00D81F83"/>
    <w:rsid w:val="00D82A0C"/>
    <w:rsid w:val="00D838E2"/>
    <w:rsid w:val="00D875A0"/>
    <w:rsid w:val="00D91D48"/>
    <w:rsid w:val="00D92A61"/>
    <w:rsid w:val="00D93400"/>
    <w:rsid w:val="00D94271"/>
    <w:rsid w:val="00DA08A2"/>
    <w:rsid w:val="00DA417F"/>
    <w:rsid w:val="00DD415B"/>
    <w:rsid w:val="00DD644A"/>
    <w:rsid w:val="00DE0673"/>
    <w:rsid w:val="00DE0956"/>
    <w:rsid w:val="00DE7A0A"/>
    <w:rsid w:val="00DF0524"/>
    <w:rsid w:val="00DF0E87"/>
    <w:rsid w:val="00DF264F"/>
    <w:rsid w:val="00DF278D"/>
    <w:rsid w:val="00DF56D0"/>
    <w:rsid w:val="00DF6960"/>
    <w:rsid w:val="00E05672"/>
    <w:rsid w:val="00E21EB8"/>
    <w:rsid w:val="00E321A5"/>
    <w:rsid w:val="00E32C2B"/>
    <w:rsid w:val="00E4316F"/>
    <w:rsid w:val="00E432F6"/>
    <w:rsid w:val="00E44D4F"/>
    <w:rsid w:val="00E46E73"/>
    <w:rsid w:val="00E47379"/>
    <w:rsid w:val="00E5118D"/>
    <w:rsid w:val="00E5640F"/>
    <w:rsid w:val="00E667B7"/>
    <w:rsid w:val="00E673B1"/>
    <w:rsid w:val="00E7184D"/>
    <w:rsid w:val="00E72808"/>
    <w:rsid w:val="00E73743"/>
    <w:rsid w:val="00E90C22"/>
    <w:rsid w:val="00E90D81"/>
    <w:rsid w:val="00E914CA"/>
    <w:rsid w:val="00E929B1"/>
    <w:rsid w:val="00EA0E4F"/>
    <w:rsid w:val="00EA21B6"/>
    <w:rsid w:val="00EA7023"/>
    <w:rsid w:val="00EB3B4D"/>
    <w:rsid w:val="00EB3C3E"/>
    <w:rsid w:val="00EC1A3A"/>
    <w:rsid w:val="00EC4817"/>
    <w:rsid w:val="00EC5264"/>
    <w:rsid w:val="00EC6C84"/>
    <w:rsid w:val="00EC6F2D"/>
    <w:rsid w:val="00ED0DEB"/>
    <w:rsid w:val="00ED2722"/>
    <w:rsid w:val="00ED448C"/>
    <w:rsid w:val="00ED6650"/>
    <w:rsid w:val="00ED6B4A"/>
    <w:rsid w:val="00EE4435"/>
    <w:rsid w:val="00EF051F"/>
    <w:rsid w:val="00EF07D5"/>
    <w:rsid w:val="00F04A51"/>
    <w:rsid w:val="00F05251"/>
    <w:rsid w:val="00F07557"/>
    <w:rsid w:val="00F07F77"/>
    <w:rsid w:val="00F137B1"/>
    <w:rsid w:val="00F1636C"/>
    <w:rsid w:val="00F2068C"/>
    <w:rsid w:val="00F33D37"/>
    <w:rsid w:val="00F353E3"/>
    <w:rsid w:val="00F42A05"/>
    <w:rsid w:val="00F46E07"/>
    <w:rsid w:val="00F514F3"/>
    <w:rsid w:val="00F53EE0"/>
    <w:rsid w:val="00F54C81"/>
    <w:rsid w:val="00F559C8"/>
    <w:rsid w:val="00F618E2"/>
    <w:rsid w:val="00F64C58"/>
    <w:rsid w:val="00F67AF6"/>
    <w:rsid w:val="00F71DB1"/>
    <w:rsid w:val="00F80F6F"/>
    <w:rsid w:val="00F916AB"/>
    <w:rsid w:val="00F929E2"/>
    <w:rsid w:val="00F951A0"/>
    <w:rsid w:val="00F95D07"/>
    <w:rsid w:val="00FA0DCA"/>
    <w:rsid w:val="00FC0BBF"/>
    <w:rsid w:val="00FD0FA5"/>
    <w:rsid w:val="00FD6DA7"/>
    <w:rsid w:val="00FF6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70FEB4"/>
  <w15:docId w15:val="{EABFE660-AE35-4FDC-AC82-57878BF1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1D0"/>
    <w:rPr>
      <w:rFonts w:ascii="Arial" w:hAnsi="Arial"/>
      <w:sz w:val="24"/>
      <w:szCs w:val="24"/>
    </w:rPr>
  </w:style>
  <w:style w:type="paragraph" w:styleId="Heading1">
    <w:name w:val="heading 1"/>
    <w:aliases w:val="Numbered - 1"/>
    <w:basedOn w:val="Normal"/>
    <w:next w:val="Normal"/>
    <w:link w:val="Heading1Char"/>
    <w:qFormat/>
    <w:locked/>
    <w:rsid w:val="002279CC"/>
    <w:pPr>
      <w:keepNext/>
      <w:keepLines/>
      <w:widowControl w:val="0"/>
      <w:spacing w:before="240" w:after="240"/>
      <w:outlineLvl w:val="0"/>
    </w:pPr>
    <w:rPr>
      <w:b/>
      <w:kern w:val="28"/>
      <w:sz w:val="22"/>
      <w:szCs w:val="20"/>
      <w:lang w:eastAsia="en-US"/>
    </w:rPr>
  </w:style>
  <w:style w:type="paragraph" w:styleId="Heading2">
    <w:name w:val="heading 2"/>
    <w:basedOn w:val="Normal"/>
    <w:next w:val="Normal"/>
    <w:link w:val="Heading2Char"/>
    <w:qFormat/>
    <w:locked/>
    <w:rsid w:val="002279CC"/>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4336"/>
    <w:pPr>
      <w:tabs>
        <w:tab w:val="center" w:pos="4153"/>
        <w:tab w:val="right" w:pos="8306"/>
      </w:tabs>
    </w:pPr>
  </w:style>
  <w:style w:type="character" w:customStyle="1" w:styleId="HeaderChar">
    <w:name w:val="Header Char"/>
    <w:basedOn w:val="DefaultParagraphFont"/>
    <w:link w:val="Header"/>
    <w:uiPriority w:val="99"/>
    <w:locked/>
    <w:rsid w:val="0033425D"/>
    <w:rPr>
      <w:rFonts w:ascii="Arial" w:hAnsi="Arial" w:cs="Times New Roman"/>
      <w:sz w:val="24"/>
      <w:szCs w:val="24"/>
    </w:rPr>
  </w:style>
  <w:style w:type="paragraph" w:styleId="Footer">
    <w:name w:val="footer"/>
    <w:basedOn w:val="Normal"/>
    <w:link w:val="FooterChar"/>
    <w:rsid w:val="00024336"/>
    <w:pPr>
      <w:tabs>
        <w:tab w:val="center" w:pos="4153"/>
        <w:tab w:val="right" w:pos="8306"/>
      </w:tabs>
    </w:pPr>
  </w:style>
  <w:style w:type="character" w:customStyle="1" w:styleId="FooterChar">
    <w:name w:val="Footer Char"/>
    <w:basedOn w:val="DefaultParagraphFont"/>
    <w:link w:val="Footer"/>
    <w:uiPriority w:val="99"/>
    <w:locked/>
    <w:rsid w:val="0033425D"/>
    <w:rPr>
      <w:rFonts w:ascii="Arial" w:hAnsi="Arial" w:cs="Times New Roman"/>
      <w:sz w:val="24"/>
      <w:szCs w:val="24"/>
    </w:rPr>
  </w:style>
  <w:style w:type="paragraph" w:styleId="BalloonText">
    <w:name w:val="Balloon Text"/>
    <w:basedOn w:val="Normal"/>
    <w:link w:val="BalloonTextChar"/>
    <w:uiPriority w:val="99"/>
    <w:semiHidden/>
    <w:rsid w:val="000243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425D"/>
    <w:rPr>
      <w:rFonts w:cs="Times New Roman"/>
      <w:sz w:val="2"/>
    </w:rPr>
  </w:style>
  <w:style w:type="table" w:styleId="TableGrid">
    <w:name w:val="Table Grid"/>
    <w:basedOn w:val="TableNormal"/>
    <w:uiPriority w:val="99"/>
    <w:rsid w:val="0091633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929B1"/>
    <w:rPr>
      <w:rFonts w:cs="Times New Roman"/>
    </w:rPr>
  </w:style>
  <w:style w:type="character" w:styleId="Hyperlink">
    <w:name w:val="Hyperlink"/>
    <w:basedOn w:val="DefaultParagraphFont"/>
    <w:uiPriority w:val="99"/>
    <w:rsid w:val="00456B27"/>
    <w:rPr>
      <w:rFonts w:cs="Times New Roman"/>
      <w:color w:val="0000FF"/>
      <w:u w:val="single"/>
    </w:rPr>
  </w:style>
  <w:style w:type="paragraph" w:customStyle="1" w:styleId="DeptOutNumbered">
    <w:name w:val="DeptOutNumbered"/>
    <w:basedOn w:val="Normal"/>
    <w:uiPriority w:val="99"/>
    <w:rsid w:val="00B924A1"/>
    <w:pPr>
      <w:widowControl w:val="0"/>
      <w:numPr>
        <w:numId w:val="10"/>
      </w:numPr>
      <w:overflowPunct w:val="0"/>
      <w:autoSpaceDE w:val="0"/>
      <w:autoSpaceDN w:val="0"/>
      <w:adjustRightInd w:val="0"/>
      <w:spacing w:after="240"/>
      <w:textAlignment w:val="baseline"/>
    </w:pPr>
    <w:rPr>
      <w:szCs w:val="20"/>
      <w:lang w:eastAsia="en-US"/>
    </w:rPr>
  </w:style>
  <w:style w:type="character" w:customStyle="1" w:styleId="EmailStyle25">
    <w:name w:val="EmailStyle25"/>
    <w:basedOn w:val="DefaultParagraphFont"/>
    <w:uiPriority w:val="99"/>
    <w:semiHidden/>
    <w:rsid w:val="006236AD"/>
    <w:rPr>
      <w:rFonts w:ascii="Arial" w:hAnsi="Arial" w:cs="Arial"/>
      <w:color w:val="auto"/>
      <w:sz w:val="20"/>
      <w:szCs w:val="20"/>
    </w:rPr>
  </w:style>
  <w:style w:type="paragraph" w:styleId="BodyTextIndent">
    <w:name w:val="Body Text Indent"/>
    <w:basedOn w:val="Normal"/>
    <w:link w:val="BodyTextIndentChar"/>
    <w:uiPriority w:val="99"/>
    <w:rsid w:val="00056DDF"/>
    <w:pPr>
      <w:tabs>
        <w:tab w:val="left" w:pos="360"/>
      </w:tabs>
      <w:spacing w:after="120"/>
      <w:ind w:left="360" w:hanging="360"/>
    </w:pPr>
    <w:rPr>
      <w:sz w:val="22"/>
      <w:szCs w:val="20"/>
      <w:lang w:val="en-US" w:eastAsia="en-US"/>
    </w:rPr>
  </w:style>
  <w:style w:type="character" w:customStyle="1" w:styleId="BodyTextIndentChar">
    <w:name w:val="Body Text Indent Char"/>
    <w:basedOn w:val="DefaultParagraphFont"/>
    <w:link w:val="BodyTextIndent"/>
    <w:uiPriority w:val="99"/>
    <w:semiHidden/>
    <w:locked/>
    <w:rsid w:val="0033425D"/>
    <w:rPr>
      <w:rFonts w:ascii="Arial" w:hAnsi="Arial" w:cs="Times New Roman"/>
      <w:sz w:val="24"/>
      <w:szCs w:val="24"/>
    </w:rPr>
  </w:style>
  <w:style w:type="paragraph" w:customStyle="1" w:styleId="Default">
    <w:name w:val="Default"/>
    <w:uiPriority w:val="99"/>
    <w:rsid w:val="006C2150"/>
    <w:pPr>
      <w:autoSpaceDE w:val="0"/>
      <w:autoSpaceDN w:val="0"/>
      <w:adjustRightInd w:val="0"/>
    </w:pPr>
    <w:rPr>
      <w:rFonts w:ascii="Arial" w:hAnsi="Arial" w:cs="Arial"/>
      <w:color w:val="000000"/>
      <w:sz w:val="24"/>
      <w:szCs w:val="24"/>
      <w:lang w:val="en-US" w:eastAsia="en-US"/>
    </w:rPr>
  </w:style>
  <w:style w:type="paragraph" w:styleId="BodyText">
    <w:name w:val="Body Text"/>
    <w:basedOn w:val="Normal"/>
    <w:link w:val="BodyTextChar"/>
    <w:uiPriority w:val="99"/>
    <w:rsid w:val="00351C32"/>
    <w:pPr>
      <w:spacing w:after="120"/>
    </w:pPr>
    <w:rPr>
      <w:rFonts w:ascii="Times New Roman" w:hAnsi="Times New Roman"/>
      <w:szCs w:val="20"/>
    </w:rPr>
  </w:style>
  <w:style w:type="character" w:customStyle="1" w:styleId="BodyTextChar">
    <w:name w:val="Body Text Char"/>
    <w:basedOn w:val="DefaultParagraphFont"/>
    <w:link w:val="BodyText"/>
    <w:uiPriority w:val="99"/>
    <w:locked/>
    <w:rsid w:val="00351C32"/>
    <w:rPr>
      <w:rFonts w:cs="Times New Roman"/>
      <w:sz w:val="24"/>
      <w:lang w:val="en-GB" w:eastAsia="en-GB" w:bidi="ar-SA"/>
    </w:rPr>
  </w:style>
  <w:style w:type="character" w:customStyle="1" w:styleId="EmailStyle31">
    <w:name w:val="EmailStyle31"/>
    <w:basedOn w:val="DefaultParagraphFont"/>
    <w:uiPriority w:val="99"/>
    <w:semiHidden/>
    <w:rsid w:val="002F7612"/>
    <w:rPr>
      <w:rFonts w:ascii="Arial" w:hAnsi="Arial" w:cs="Arial"/>
      <w:color w:val="auto"/>
      <w:sz w:val="20"/>
      <w:szCs w:val="20"/>
    </w:rPr>
  </w:style>
  <w:style w:type="paragraph" w:styleId="Caption">
    <w:name w:val="caption"/>
    <w:basedOn w:val="Normal"/>
    <w:next w:val="Normal"/>
    <w:uiPriority w:val="99"/>
    <w:qFormat/>
    <w:locked/>
    <w:rsid w:val="00360AE1"/>
    <w:rPr>
      <w:b/>
      <w:bCs/>
      <w:sz w:val="20"/>
      <w:szCs w:val="20"/>
    </w:rPr>
  </w:style>
  <w:style w:type="paragraph" w:styleId="ListParagraph">
    <w:name w:val="List Paragraph"/>
    <w:basedOn w:val="Normal"/>
    <w:uiPriority w:val="34"/>
    <w:qFormat/>
    <w:rsid w:val="004401D0"/>
    <w:pPr>
      <w:ind w:left="720"/>
      <w:contextualSpacing/>
    </w:pPr>
  </w:style>
  <w:style w:type="character" w:styleId="CommentReference">
    <w:name w:val="annotation reference"/>
    <w:basedOn w:val="DefaultParagraphFont"/>
    <w:uiPriority w:val="99"/>
    <w:semiHidden/>
    <w:unhideWhenUsed/>
    <w:rsid w:val="00263483"/>
    <w:rPr>
      <w:sz w:val="16"/>
      <w:szCs w:val="16"/>
    </w:rPr>
  </w:style>
  <w:style w:type="paragraph" w:styleId="CommentText">
    <w:name w:val="annotation text"/>
    <w:basedOn w:val="Normal"/>
    <w:link w:val="CommentTextChar"/>
    <w:uiPriority w:val="99"/>
    <w:semiHidden/>
    <w:unhideWhenUsed/>
    <w:rsid w:val="00263483"/>
    <w:rPr>
      <w:sz w:val="20"/>
      <w:szCs w:val="20"/>
    </w:rPr>
  </w:style>
  <w:style w:type="character" w:customStyle="1" w:styleId="CommentTextChar">
    <w:name w:val="Comment Text Char"/>
    <w:basedOn w:val="DefaultParagraphFont"/>
    <w:link w:val="CommentText"/>
    <w:uiPriority w:val="99"/>
    <w:semiHidden/>
    <w:rsid w:val="0026348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63483"/>
    <w:rPr>
      <w:b/>
      <w:bCs/>
    </w:rPr>
  </w:style>
  <w:style w:type="character" w:customStyle="1" w:styleId="CommentSubjectChar">
    <w:name w:val="Comment Subject Char"/>
    <w:basedOn w:val="CommentTextChar"/>
    <w:link w:val="CommentSubject"/>
    <w:uiPriority w:val="99"/>
    <w:semiHidden/>
    <w:rsid w:val="00263483"/>
    <w:rPr>
      <w:rFonts w:ascii="Arial" w:hAnsi="Arial"/>
      <w:b/>
      <w:bCs/>
      <w:sz w:val="20"/>
      <w:szCs w:val="20"/>
    </w:rPr>
  </w:style>
  <w:style w:type="character" w:customStyle="1" w:styleId="Heading1Char">
    <w:name w:val="Heading 1 Char"/>
    <w:aliases w:val="Numbered - 1 Char"/>
    <w:basedOn w:val="DefaultParagraphFont"/>
    <w:link w:val="Heading1"/>
    <w:rsid w:val="002279CC"/>
    <w:rPr>
      <w:rFonts w:ascii="Arial" w:hAnsi="Arial"/>
      <w:b/>
      <w:kern w:val="28"/>
      <w:szCs w:val="20"/>
      <w:lang w:eastAsia="en-US"/>
    </w:rPr>
  </w:style>
  <w:style w:type="character" w:customStyle="1" w:styleId="Heading2Char">
    <w:name w:val="Heading 2 Char"/>
    <w:basedOn w:val="DefaultParagraphFont"/>
    <w:link w:val="Heading2"/>
    <w:rsid w:val="002279CC"/>
    <w:rPr>
      <w:rFonts w:ascii="Arial" w:hAnsi="Arial" w:cs="Arial"/>
      <w:b/>
      <w:bCs/>
      <w:i/>
      <w:iCs/>
      <w:sz w:val="28"/>
      <w:szCs w:val="28"/>
    </w:rPr>
  </w:style>
  <w:style w:type="table" w:styleId="TableGridLight">
    <w:name w:val="Grid Table Light"/>
    <w:basedOn w:val="TableNormal"/>
    <w:uiPriority w:val="40"/>
    <w:rsid w:val="00C24F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600">
      <w:bodyDiv w:val="1"/>
      <w:marLeft w:val="0"/>
      <w:marRight w:val="0"/>
      <w:marTop w:val="0"/>
      <w:marBottom w:val="0"/>
      <w:divBdr>
        <w:top w:val="none" w:sz="0" w:space="0" w:color="auto"/>
        <w:left w:val="none" w:sz="0" w:space="0" w:color="auto"/>
        <w:bottom w:val="none" w:sz="0" w:space="0" w:color="auto"/>
        <w:right w:val="none" w:sz="0" w:space="0" w:color="auto"/>
      </w:divBdr>
    </w:div>
    <w:div w:id="305427896">
      <w:bodyDiv w:val="1"/>
      <w:marLeft w:val="0"/>
      <w:marRight w:val="0"/>
      <w:marTop w:val="0"/>
      <w:marBottom w:val="0"/>
      <w:divBdr>
        <w:top w:val="none" w:sz="0" w:space="0" w:color="auto"/>
        <w:left w:val="none" w:sz="0" w:space="0" w:color="auto"/>
        <w:bottom w:val="none" w:sz="0" w:space="0" w:color="auto"/>
        <w:right w:val="none" w:sz="0" w:space="0" w:color="auto"/>
      </w:divBdr>
    </w:div>
    <w:div w:id="442237512">
      <w:bodyDiv w:val="1"/>
      <w:marLeft w:val="0"/>
      <w:marRight w:val="0"/>
      <w:marTop w:val="0"/>
      <w:marBottom w:val="0"/>
      <w:divBdr>
        <w:top w:val="none" w:sz="0" w:space="0" w:color="auto"/>
        <w:left w:val="none" w:sz="0" w:space="0" w:color="auto"/>
        <w:bottom w:val="none" w:sz="0" w:space="0" w:color="auto"/>
        <w:right w:val="none" w:sz="0" w:space="0" w:color="auto"/>
      </w:divBdr>
    </w:div>
    <w:div w:id="540702874">
      <w:bodyDiv w:val="1"/>
      <w:marLeft w:val="0"/>
      <w:marRight w:val="0"/>
      <w:marTop w:val="0"/>
      <w:marBottom w:val="0"/>
      <w:divBdr>
        <w:top w:val="none" w:sz="0" w:space="0" w:color="auto"/>
        <w:left w:val="none" w:sz="0" w:space="0" w:color="auto"/>
        <w:bottom w:val="none" w:sz="0" w:space="0" w:color="auto"/>
        <w:right w:val="none" w:sz="0" w:space="0" w:color="auto"/>
      </w:divBdr>
    </w:div>
    <w:div w:id="777797642">
      <w:bodyDiv w:val="1"/>
      <w:marLeft w:val="0"/>
      <w:marRight w:val="0"/>
      <w:marTop w:val="0"/>
      <w:marBottom w:val="0"/>
      <w:divBdr>
        <w:top w:val="none" w:sz="0" w:space="0" w:color="auto"/>
        <w:left w:val="none" w:sz="0" w:space="0" w:color="auto"/>
        <w:bottom w:val="none" w:sz="0" w:space="0" w:color="auto"/>
        <w:right w:val="none" w:sz="0" w:space="0" w:color="auto"/>
      </w:divBdr>
    </w:div>
    <w:div w:id="1038311265">
      <w:marLeft w:val="0"/>
      <w:marRight w:val="0"/>
      <w:marTop w:val="0"/>
      <w:marBottom w:val="0"/>
      <w:divBdr>
        <w:top w:val="none" w:sz="0" w:space="0" w:color="auto"/>
        <w:left w:val="none" w:sz="0" w:space="0" w:color="auto"/>
        <w:bottom w:val="none" w:sz="0" w:space="0" w:color="auto"/>
        <w:right w:val="none" w:sz="0" w:space="0" w:color="auto"/>
      </w:divBdr>
    </w:div>
    <w:div w:id="1038311266">
      <w:marLeft w:val="0"/>
      <w:marRight w:val="0"/>
      <w:marTop w:val="0"/>
      <w:marBottom w:val="0"/>
      <w:divBdr>
        <w:top w:val="none" w:sz="0" w:space="0" w:color="auto"/>
        <w:left w:val="none" w:sz="0" w:space="0" w:color="auto"/>
        <w:bottom w:val="none" w:sz="0" w:space="0" w:color="auto"/>
        <w:right w:val="none" w:sz="0" w:space="0" w:color="auto"/>
      </w:divBdr>
    </w:div>
    <w:div w:id="1038311267">
      <w:marLeft w:val="0"/>
      <w:marRight w:val="0"/>
      <w:marTop w:val="0"/>
      <w:marBottom w:val="0"/>
      <w:divBdr>
        <w:top w:val="none" w:sz="0" w:space="0" w:color="auto"/>
        <w:left w:val="none" w:sz="0" w:space="0" w:color="auto"/>
        <w:bottom w:val="none" w:sz="0" w:space="0" w:color="auto"/>
        <w:right w:val="none" w:sz="0" w:space="0" w:color="auto"/>
      </w:divBdr>
      <w:divsChild>
        <w:div w:id="1038311274">
          <w:marLeft w:val="0"/>
          <w:marRight w:val="0"/>
          <w:marTop w:val="0"/>
          <w:marBottom w:val="0"/>
          <w:divBdr>
            <w:top w:val="none" w:sz="0" w:space="0" w:color="auto"/>
            <w:left w:val="none" w:sz="0" w:space="0" w:color="auto"/>
            <w:bottom w:val="none" w:sz="0" w:space="0" w:color="auto"/>
            <w:right w:val="none" w:sz="0" w:space="0" w:color="auto"/>
          </w:divBdr>
        </w:div>
      </w:divsChild>
    </w:div>
    <w:div w:id="1038311268">
      <w:marLeft w:val="0"/>
      <w:marRight w:val="0"/>
      <w:marTop w:val="0"/>
      <w:marBottom w:val="0"/>
      <w:divBdr>
        <w:top w:val="none" w:sz="0" w:space="0" w:color="auto"/>
        <w:left w:val="none" w:sz="0" w:space="0" w:color="auto"/>
        <w:bottom w:val="none" w:sz="0" w:space="0" w:color="auto"/>
        <w:right w:val="none" w:sz="0" w:space="0" w:color="auto"/>
      </w:divBdr>
    </w:div>
    <w:div w:id="1038311269">
      <w:marLeft w:val="0"/>
      <w:marRight w:val="0"/>
      <w:marTop w:val="0"/>
      <w:marBottom w:val="0"/>
      <w:divBdr>
        <w:top w:val="none" w:sz="0" w:space="0" w:color="auto"/>
        <w:left w:val="none" w:sz="0" w:space="0" w:color="auto"/>
        <w:bottom w:val="none" w:sz="0" w:space="0" w:color="auto"/>
        <w:right w:val="none" w:sz="0" w:space="0" w:color="auto"/>
      </w:divBdr>
      <w:divsChild>
        <w:div w:id="1038311271">
          <w:marLeft w:val="0"/>
          <w:marRight w:val="0"/>
          <w:marTop w:val="0"/>
          <w:marBottom w:val="0"/>
          <w:divBdr>
            <w:top w:val="none" w:sz="0" w:space="0" w:color="auto"/>
            <w:left w:val="none" w:sz="0" w:space="0" w:color="auto"/>
            <w:bottom w:val="none" w:sz="0" w:space="0" w:color="auto"/>
            <w:right w:val="none" w:sz="0" w:space="0" w:color="auto"/>
          </w:divBdr>
        </w:div>
      </w:divsChild>
    </w:div>
    <w:div w:id="1038311270">
      <w:marLeft w:val="0"/>
      <w:marRight w:val="0"/>
      <w:marTop w:val="0"/>
      <w:marBottom w:val="0"/>
      <w:divBdr>
        <w:top w:val="none" w:sz="0" w:space="0" w:color="auto"/>
        <w:left w:val="none" w:sz="0" w:space="0" w:color="auto"/>
        <w:bottom w:val="none" w:sz="0" w:space="0" w:color="auto"/>
        <w:right w:val="none" w:sz="0" w:space="0" w:color="auto"/>
      </w:divBdr>
    </w:div>
    <w:div w:id="1038311272">
      <w:marLeft w:val="0"/>
      <w:marRight w:val="0"/>
      <w:marTop w:val="0"/>
      <w:marBottom w:val="0"/>
      <w:divBdr>
        <w:top w:val="none" w:sz="0" w:space="0" w:color="auto"/>
        <w:left w:val="none" w:sz="0" w:space="0" w:color="auto"/>
        <w:bottom w:val="none" w:sz="0" w:space="0" w:color="auto"/>
        <w:right w:val="none" w:sz="0" w:space="0" w:color="auto"/>
      </w:divBdr>
    </w:div>
    <w:div w:id="1038311273">
      <w:marLeft w:val="0"/>
      <w:marRight w:val="0"/>
      <w:marTop w:val="0"/>
      <w:marBottom w:val="0"/>
      <w:divBdr>
        <w:top w:val="none" w:sz="0" w:space="0" w:color="auto"/>
        <w:left w:val="none" w:sz="0" w:space="0" w:color="auto"/>
        <w:bottom w:val="none" w:sz="0" w:space="0" w:color="auto"/>
        <w:right w:val="none" w:sz="0" w:space="0" w:color="auto"/>
      </w:divBdr>
    </w:div>
    <w:div w:id="1038311275">
      <w:marLeft w:val="0"/>
      <w:marRight w:val="0"/>
      <w:marTop w:val="0"/>
      <w:marBottom w:val="0"/>
      <w:divBdr>
        <w:top w:val="none" w:sz="0" w:space="0" w:color="auto"/>
        <w:left w:val="none" w:sz="0" w:space="0" w:color="auto"/>
        <w:bottom w:val="none" w:sz="0" w:space="0" w:color="auto"/>
        <w:right w:val="none" w:sz="0" w:space="0" w:color="auto"/>
      </w:divBdr>
    </w:div>
    <w:div w:id="1038311276">
      <w:marLeft w:val="0"/>
      <w:marRight w:val="0"/>
      <w:marTop w:val="0"/>
      <w:marBottom w:val="0"/>
      <w:divBdr>
        <w:top w:val="none" w:sz="0" w:space="0" w:color="auto"/>
        <w:left w:val="none" w:sz="0" w:space="0" w:color="auto"/>
        <w:bottom w:val="none" w:sz="0" w:space="0" w:color="auto"/>
        <w:right w:val="none" w:sz="0" w:space="0" w:color="auto"/>
      </w:divBdr>
    </w:div>
    <w:div w:id="1038311277">
      <w:marLeft w:val="0"/>
      <w:marRight w:val="0"/>
      <w:marTop w:val="0"/>
      <w:marBottom w:val="0"/>
      <w:divBdr>
        <w:top w:val="none" w:sz="0" w:space="0" w:color="auto"/>
        <w:left w:val="none" w:sz="0" w:space="0" w:color="auto"/>
        <w:bottom w:val="none" w:sz="0" w:space="0" w:color="auto"/>
        <w:right w:val="none" w:sz="0" w:space="0" w:color="auto"/>
      </w:divBdr>
    </w:div>
    <w:div w:id="1038311278">
      <w:marLeft w:val="0"/>
      <w:marRight w:val="0"/>
      <w:marTop w:val="0"/>
      <w:marBottom w:val="0"/>
      <w:divBdr>
        <w:top w:val="none" w:sz="0" w:space="0" w:color="auto"/>
        <w:left w:val="none" w:sz="0" w:space="0" w:color="auto"/>
        <w:bottom w:val="none" w:sz="0" w:space="0" w:color="auto"/>
        <w:right w:val="none" w:sz="0" w:space="0" w:color="auto"/>
      </w:divBdr>
    </w:div>
    <w:div w:id="1038311279">
      <w:marLeft w:val="0"/>
      <w:marRight w:val="0"/>
      <w:marTop w:val="0"/>
      <w:marBottom w:val="0"/>
      <w:divBdr>
        <w:top w:val="none" w:sz="0" w:space="0" w:color="auto"/>
        <w:left w:val="none" w:sz="0" w:space="0" w:color="auto"/>
        <w:bottom w:val="none" w:sz="0" w:space="0" w:color="auto"/>
        <w:right w:val="none" w:sz="0" w:space="0" w:color="auto"/>
      </w:divBdr>
    </w:div>
    <w:div w:id="1038311280">
      <w:marLeft w:val="0"/>
      <w:marRight w:val="0"/>
      <w:marTop w:val="0"/>
      <w:marBottom w:val="0"/>
      <w:divBdr>
        <w:top w:val="none" w:sz="0" w:space="0" w:color="auto"/>
        <w:left w:val="none" w:sz="0" w:space="0" w:color="auto"/>
        <w:bottom w:val="none" w:sz="0" w:space="0" w:color="auto"/>
        <w:right w:val="none" w:sz="0" w:space="0" w:color="auto"/>
      </w:divBdr>
    </w:div>
    <w:div w:id="1038311281">
      <w:marLeft w:val="0"/>
      <w:marRight w:val="0"/>
      <w:marTop w:val="0"/>
      <w:marBottom w:val="0"/>
      <w:divBdr>
        <w:top w:val="none" w:sz="0" w:space="0" w:color="auto"/>
        <w:left w:val="none" w:sz="0" w:space="0" w:color="auto"/>
        <w:bottom w:val="none" w:sz="0" w:space="0" w:color="auto"/>
        <w:right w:val="none" w:sz="0" w:space="0" w:color="auto"/>
      </w:divBdr>
    </w:div>
    <w:div w:id="1038311282">
      <w:marLeft w:val="0"/>
      <w:marRight w:val="0"/>
      <w:marTop w:val="0"/>
      <w:marBottom w:val="0"/>
      <w:divBdr>
        <w:top w:val="none" w:sz="0" w:space="0" w:color="auto"/>
        <w:left w:val="none" w:sz="0" w:space="0" w:color="auto"/>
        <w:bottom w:val="none" w:sz="0" w:space="0" w:color="auto"/>
        <w:right w:val="none" w:sz="0" w:space="0" w:color="auto"/>
      </w:divBdr>
    </w:div>
    <w:div w:id="1038311283">
      <w:marLeft w:val="0"/>
      <w:marRight w:val="0"/>
      <w:marTop w:val="0"/>
      <w:marBottom w:val="0"/>
      <w:divBdr>
        <w:top w:val="none" w:sz="0" w:space="0" w:color="auto"/>
        <w:left w:val="none" w:sz="0" w:space="0" w:color="auto"/>
        <w:bottom w:val="none" w:sz="0" w:space="0" w:color="auto"/>
        <w:right w:val="none" w:sz="0" w:space="0" w:color="auto"/>
      </w:divBdr>
    </w:div>
    <w:div w:id="1038311284">
      <w:marLeft w:val="0"/>
      <w:marRight w:val="0"/>
      <w:marTop w:val="0"/>
      <w:marBottom w:val="0"/>
      <w:divBdr>
        <w:top w:val="none" w:sz="0" w:space="0" w:color="auto"/>
        <w:left w:val="none" w:sz="0" w:space="0" w:color="auto"/>
        <w:bottom w:val="none" w:sz="0" w:space="0" w:color="auto"/>
        <w:right w:val="none" w:sz="0" w:space="0" w:color="auto"/>
      </w:divBdr>
    </w:div>
    <w:div w:id="1038311285">
      <w:marLeft w:val="0"/>
      <w:marRight w:val="0"/>
      <w:marTop w:val="0"/>
      <w:marBottom w:val="0"/>
      <w:divBdr>
        <w:top w:val="none" w:sz="0" w:space="0" w:color="auto"/>
        <w:left w:val="none" w:sz="0" w:space="0" w:color="auto"/>
        <w:bottom w:val="none" w:sz="0" w:space="0" w:color="auto"/>
        <w:right w:val="none" w:sz="0" w:space="0" w:color="auto"/>
      </w:divBdr>
    </w:div>
    <w:div w:id="1038311286">
      <w:marLeft w:val="0"/>
      <w:marRight w:val="0"/>
      <w:marTop w:val="0"/>
      <w:marBottom w:val="0"/>
      <w:divBdr>
        <w:top w:val="none" w:sz="0" w:space="0" w:color="auto"/>
        <w:left w:val="none" w:sz="0" w:space="0" w:color="auto"/>
        <w:bottom w:val="none" w:sz="0" w:space="0" w:color="auto"/>
        <w:right w:val="none" w:sz="0" w:space="0" w:color="auto"/>
      </w:divBdr>
    </w:div>
    <w:div w:id="1038311287">
      <w:marLeft w:val="0"/>
      <w:marRight w:val="0"/>
      <w:marTop w:val="0"/>
      <w:marBottom w:val="0"/>
      <w:divBdr>
        <w:top w:val="none" w:sz="0" w:space="0" w:color="auto"/>
        <w:left w:val="none" w:sz="0" w:space="0" w:color="auto"/>
        <w:bottom w:val="none" w:sz="0" w:space="0" w:color="auto"/>
        <w:right w:val="none" w:sz="0" w:space="0" w:color="auto"/>
      </w:divBdr>
    </w:div>
    <w:div w:id="1038311288">
      <w:marLeft w:val="0"/>
      <w:marRight w:val="0"/>
      <w:marTop w:val="0"/>
      <w:marBottom w:val="0"/>
      <w:divBdr>
        <w:top w:val="none" w:sz="0" w:space="0" w:color="auto"/>
        <w:left w:val="none" w:sz="0" w:space="0" w:color="auto"/>
        <w:bottom w:val="none" w:sz="0" w:space="0" w:color="auto"/>
        <w:right w:val="none" w:sz="0" w:space="0" w:color="auto"/>
      </w:divBdr>
    </w:div>
    <w:div w:id="1038311289">
      <w:marLeft w:val="0"/>
      <w:marRight w:val="0"/>
      <w:marTop w:val="0"/>
      <w:marBottom w:val="0"/>
      <w:divBdr>
        <w:top w:val="none" w:sz="0" w:space="0" w:color="auto"/>
        <w:left w:val="none" w:sz="0" w:space="0" w:color="auto"/>
        <w:bottom w:val="none" w:sz="0" w:space="0" w:color="auto"/>
        <w:right w:val="none" w:sz="0" w:space="0" w:color="auto"/>
      </w:divBdr>
    </w:div>
    <w:div w:id="1038311290">
      <w:marLeft w:val="0"/>
      <w:marRight w:val="0"/>
      <w:marTop w:val="0"/>
      <w:marBottom w:val="0"/>
      <w:divBdr>
        <w:top w:val="none" w:sz="0" w:space="0" w:color="auto"/>
        <w:left w:val="none" w:sz="0" w:space="0" w:color="auto"/>
        <w:bottom w:val="none" w:sz="0" w:space="0" w:color="auto"/>
        <w:right w:val="none" w:sz="0" w:space="0" w:color="auto"/>
      </w:divBdr>
    </w:div>
    <w:div w:id="1038311291">
      <w:marLeft w:val="0"/>
      <w:marRight w:val="0"/>
      <w:marTop w:val="0"/>
      <w:marBottom w:val="0"/>
      <w:divBdr>
        <w:top w:val="none" w:sz="0" w:space="0" w:color="auto"/>
        <w:left w:val="none" w:sz="0" w:space="0" w:color="auto"/>
        <w:bottom w:val="none" w:sz="0" w:space="0" w:color="auto"/>
        <w:right w:val="none" w:sz="0" w:space="0" w:color="auto"/>
      </w:divBdr>
    </w:div>
    <w:div w:id="1038311292">
      <w:marLeft w:val="0"/>
      <w:marRight w:val="0"/>
      <w:marTop w:val="0"/>
      <w:marBottom w:val="0"/>
      <w:divBdr>
        <w:top w:val="none" w:sz="0" w:space="0" w:color="auto"/>
        <w:left w:val="none" w:sz="0" w:space="0" w:color="auto"/>
        <w:bottom w:val="none" w:sz="0" w:space="0" w:color="auto"/>
        <w:right w:val="none" w:sz="0" w:space="0" w:color="auto"/>
      </w:divBdr>
    </w:div>
    <w:div w:id="1038311293">
      <w:marLeft w:val="0"/>
      <w:marRight w:val="0"/>
      <w:marTop w:val="0"/>
      <w:marBottom w:val="0"/>
      <w:divBdr>
        <w:top w:val="none" w:sz="0" w:space="0" w:color="auto"/>
        <w:left w:val="none" w:sz="0" w:space="0" w:color="auto"/>
        <w:bottom w:val="none" w:sz="0" w:space="0" w:color="auto"/>
        <w:right w:val="none" w:sz="0" w:space="0" w:color="auto"/>
      </w:divBdr>
    </w:div>
    <w:div w:id="1038311294">
      <w:marLeft w:val="0"/>
      <w:marRight w:val="0"/>
      <w:marTop w:val="0"/>
      <w:marBottom w:val="0"/>
      <w:divBdr>
        <w:top w:val="none" w:sz="0" w:space="0" w:color="auto"/>
        <w:left w:val="none" w:sz="0" w:space="0" w:color="auto"/>
        <w:bottom w:val="none" w:sz="0" w:space="0" w:color="auto"/>
        <w:right w:val="none" w:sz="0" w:space="0" w:color="auto"/>
      </w:divBdr>
    </w:div>
    <w:div w:id="1038311295">
      <w:marLeft w:val="0"/>
      <w:marRight w:val="0"/>
      <w:marTop w:val="0"/>
      <w:marBottom w:val="0"/>
      <w:divBdr>
        <w:top w:val="none" w:sz="0" w:space="0" w:color="auto"/>
        <w:left w:val="none" w:sz="0" w:space="0" w:color="auto"/>
        <w:bottom w:val="none" w:sz="0" w:space="0" w:color="auto"/>
        <w:right w:val="none" w:sz="0" w:space="0" w:color="auto"/>
      </w:divBdr>
    </w:div>
    <w:div w:id="1038311296">
      <w:marLeft w:val="0"/>
      <w:marRight w:val="0"/>
      <w:marTop w:val="0"/>
      <w:marBottom w:val="0"/>
      <w:divBdr>
        <w:top w:val="none" w:sz="0" w:space="0" w:color="auto"/>
        <w:left w:val="none" w:sz="0" w:space="0" w:color="auto"/>
        <w:bottom w:val="none" w:sz="0" w:space="0" w:color="auto"/>
        <w:right w:val="none" w:sz="0" w:space="0" w:color="auto"/>
      </w:divBdr>
    </w:div>
    <w:div w:id="1041975278">
      <w:bodyDiv w:val="1"/>
      <w:marLeft w:val="0"/>
      <w:marRight w:val="0"/>
      <w:marTop w:val="0"/>
      <w:marBottom w:val="0"/>
      <w:divBdr>
        <w:top w:val="none" w:sz="0" w:space="0" w:color="auto"/>
        <w:left w:val="none" w:sz="0" w:space="0" w:color="auto"/>
        <w:bottom w:val="none" w:sz="0" w:space="0" w:color="auto"/>
        <w:right w:val="none" w:sz="0" w:space="0" w:color="auto"/>
      </w:divBdr>
    </w:div>
    <w:div w:id="1306470283">
      <w:bodyDiv w:val="1"/>
      <w:marLeft w:val="0"/>
      <w:marRight w:val="0"/>
      <w:marTop w:val="0"/>
      <w:marBottom w:val="0"/>
      <w:divBdr>
        <w:top w:val="none" w:sz="0" w:space="0" w:color="auto"/>
        <w:left w:val="none" w:sz="0" w:space="0" w:color="auto"/>
        <w:bottom w:val="none" w:sz="0" w:space="0" w:color="auto"/>
        <w:right w:val="none" w:sz="0" w:space="0" w:color="auto"/>
      </w:divBdr>
    </w:div>
    <w:div w:id="1386296009">
      <w:bodyDiv w:val="1"/>
      <w:marLeft w:val="0"/>
      <w:marRight w:val="0"/>
      <w:marTop w:val="0"/>
      <w:marBottom w:val="0"/>
      <w:divBdr>
        <w:top w:val="none" w:sz="0" w:space="0" w:color="auto"/>
        <w:left w:val="none" w:sz="0" w:space="0" w:color="auto"/>
        <w:bottom w:val="none" w:sz="0" w:space="0" w:color="auto"/>
        <w:right w:val="none" w:sz="0" w:space="0" w:color="auto"/>
      </w:divBdr>
    </w:div>
    <w:div w:id="1645625512">
      <w:bodyDiv w:val="1"/>
      <w:marLeft w:val="0"/>
      <w:marRight w:val="0"/>
      <w:marTop w:val="0"/>
      <w:marBottom w:val="0"/>
      <w:divBdr>
        <w:top w:val="none" w:sz="0" w:space="0" w:color="auto"/>
        <w:left w:val="none" w:sz="0" w:space="0" w:color="auto"/>
        <w:bottom w:val="none" w:sz="0" w:space="0" w:color="auto"/>
        <w:right w:val="none" w:sz="0" w:space="0" w:color="auto"/>
      </w:divBdr>
    </w:div>
    <w:div w:id="1650741079">
      <w:bodyDiv w:val="1"/>
      <w:marLeft w:val="0"/>
      <w:marRight w:val="0"/>
      <w:marTop w:val="0"/>
      <w:marBottom w:val="0"/>
      <w:divBdr>
        <w:top w:val="none" w:sz="0" w:space="0" w:color="auto"/>
        <w:left w:val="none" w:sz="0" w:space="0" w:color="auto"/>
        <w:bottom w:val="none" w:sz="0" w:space="0" w:color="auto"/>
        <w:right w:val="none" w:sz="0" w:space="0" w:color="auto"/>
      </w:divBdr>
    </w:div>
    <w:div w:id="1821455335">
      <w:bodyDiv w:val="1"/>
      <w:marLeft w:val="0"/>
      <w:marRight w:val="0"/>
      <w:marTop w:val="0"/>
      <w:marBottom w:val="0"/>
      <w:divBdr>
        <w:top w:val="none" w:sz="0" w:space="0" w:color="auto"/>
        <w:left w:val="none" w:sz="0" w:space="0" w:color="auto"/>
        <w:bottom w:val="none" w:sz="0" w:space="0" w:color="auto"/>
        <w:right w:val="none" w:sz="0" w:space="0" w:color="auto"/>
      </w:divBdr>
    </w:div>
    <w:div w:id="19281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SharedWithUsers xmlns="30d79745-92fc-4b4e-a213-f975f2a6d945">
      <UserInfo>
        <DisplayName>Nikki Parsons</DisplayName>
        <AccountId>208</AccountId>
        <AccountType/>
      </UserInfo>
      <UserInfo>
        <DisplayName>Kay Goodacre</DisplayName>
        <AccountId>29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6" ma:contentTypeDescription="Create a new document." ma:contentTypeScope="" ma:versionID="c55be5c4856c147cf072aba43e2c0743">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63e26bc531ea084e734d7506d8187469"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BF93D-1938-4DA7-87AF-69C94C0E7B69}">
  <ds:schemaRefs>
    <ds:schemaRef ds:uri="http://schemas.openxmlformats.org/officeDocument/2006/bibliography"/>
  </ds:schemaRefs>
</ds:datastoreItem>
</file>

<file path=customXml/itemProps2.xml><?xml version="1.0" encoding="utf-8"?>
<ds:datastoreItem xmlns:ds="http://schemas.openxmlformats.org/officeDocument/2006/customXml" ds:itemID="{0E326206-1B1E-40A4-BA84-5CFE490771EB}">
  <ds:schemaRefs>
    <ds:schemaRef ds:uri="http://schemas.microsoft.com/sharepoint/v3/contenttype/forms"/>
  </ds:schemaRefs>
</ds:datastoreItem>
</file>

<file path=customXml/itemProps3.xml><?xml version="1.0" encoding="utf-8"?>
<ds:datastoreItem xmlns:ds="http://schemas.openxmlformats.org/officeDocument/2006/customXml" ds:itemID="{10678399-4629-45B4-9927-7D62D2ECD281}">
  <ds:schemaRef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deec781b-51b2-41f5-8977-d833afa0cdb5"/>
    <ds:schemaRef ds:uri="30d79745-92fc-4b4e-a213-f975f2a6d945"/>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3B45B95-23A2-44F8-B8FA-B3B358CEE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2143</Words>
  <Characters>14764</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School Balances</vt:lpstr>
    </vt:vector>
  </TitlesOfParts>
  <Company>London Borough of Tower Hamlets</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Balances</dc:title>
  <dc:creator>sailesh.patel</dc:creator>
  <cp:lastModifiedBy>Phillip Nduoyo</cp:lastModifiedBy>
  <cp:revision>15</cp:revision>
  <cp:lastPrinted>2019-06-12T14:51:00Z</cp:lastPrinted>
  <dcterms:created xsi:type="dcterms:W3CDTF">2022-06-16T14:20:00Z</dcterms:created>
  <dcterms:modified xsi:type="dcterms:W3CDTF">2022-06-20T16:04:00Z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Order">
    <vt:r8>18337600</vt:r8>
  </property>
  <property fmtid="{D5CDD505-2E9C-101B-9397-08002B2CF9AE}" pid="4" name="MediaServiceImageTags">
    <vt:lpwstr/>
  </property>
</Properties>
</file>