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305F" w14:textId="647EEBE3" w:rsidR="003B3AEF" w:rsidRPr="00F62AA0" w:rsidRDefault="003B3AEF" w:rsidP="003D08B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 w:rsidRPr="00F62AA0">
        <w:rPr>
          <w:b/>
          <w:sz w:val="32"/>
          <w:szCs w:val="32"/>
        </w:rPr>
        <w:t>AGENDA ITEM</w:t>
      </w:r>
      <w:r w:rsidR="00C37D1C">
        <w:rPr>
          <w:b/>
          <w:sz w:val="32"/>
          <w:szCs w:val="32"/>
        </w:rPr>
        <w:t xml:space="preserve"> 4</w:t>
      </w:r>
    </w:p>
    <w:p w14:paraId="737C7125" w14:textId="77777777" w:rsidR="003B3AEF" w:rsidRPr="00CB5A97" w:rsidRDefault="003B3AEF" w:rsidP="003D08B1">
      <w:pPr>
        <w:rPr>
          <w:b/>
          <w:highlight w:val="yellow"/>
        </w:rPr>
      </w:pPr>
    </w:p>
    <w:p w14:paraId="080D80F8" w14:textId="268338F3" w:rsidR="003B3AEF" w:rsidRPr="00CB5A97" w:rsidRDefault="004B7D19" w:rsidP="5DEB177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bCs/>
          <w:sz w:val="32"/>
          <w:szCs w:val="32"/>
        </w:rPr>
      </w:pPr>
      <w:r w:rsidRPr="5DEB1779">
        <w:rPr>
          <w:b/>
          <w:bCs/>
          <w:sz w:val="32"/>
          <w:szCs w:val="32"/>
        </w:rPr>
        <w:t>Title of report: Dedicated Schools Grant</w:t>
      </w:r>
      <w:r w:rsidR="003B3AEF" w:rsidRPr="5DEB1779">
        <w:rPr>
          <w:b/>
          <w:bCs/>
          <w:sz w:val="32"/>
          <w:szCs w:val="32"/>
        </w:rPr>
        <w:t xml:space="preserve"> </w:t>
      </w:r>
      <w:r w:rsidR="00307B81" w:rsidRPr="5DEB1779">
        <w:rPr>
          <w:b/>
          <w:bCs/>
          <w:sz w:val="32"/>
          <w:szCs w:val="32"/>
        </w:rPr>
        <w:t xml:space="preserve">Provisional </w:t>
      </w:r>
      <w:r w:rsidR="007A0400" w:rsidRPr="5DEB1779">
        <w:rPr>
          <w:b/>
          <w:bCs/>
          <w:sz w:val="32"/>
          <w:szCs w:val="32"/>
        </w:rPr>
        <w:t>Outturn 20</w:t>
      </w:r>
      <w:r w:rsidR="67E50457" w:rsidRPr="5DEB1779">
        <w:rPr>
          <w:b/>
          <w:bCs/>
          <w:sz w:val="32"/>
          <w:szCs w:val="32"/>
        </w:rPr>
        <w:t>20</w:t>
      </w:r>
      <w:r w:rsidR="007A0400" w:rsidRPr="5DEB1779">
        <w:rPr>
          <w:b/>
          <w:bCs/>
          <w:sz w:val="32"/>
          <w:szCs w:val="32"/>
        </w:rPr>
        <w:t>/</w:t>
      </w:r>
      <w:r w:rsidR="00D60070" w:rsidRPr="5DEB1779">
        <w:rPr>
          <w:b/>
          <w:bCs/>
          <w:sz w:val="32"/>
          <w:szCs w:val="32"/>
        </w:rPr>
        <w:t>2</w:t>
      </w:r>
      <w:r w:rsidR="7D0B1D36" w:rsidRPr="5DEB1779">
        <w:rPr>
          <w:b/>
          <w:bCs/>
          <w:sz w:val="32"/>
          <w:szCs w:val="32"/>
        </w:rPr>
        <w:t>1</w:t>
      </w:r>
    </w:p>
    <w:p w14:paraId="09196C8F" w14:textId="77777777" w:rsidR="003B3AEF" w:rsidRPr="00CB5A97" w:rsidRDefault="003B3AEF" w:rsidP="001E4116">
      <w:pPr>
        <w:rPr>
          <w:b/>
          <w:u w:val="single"/>
        </w:rPr>
      </w:pPr>
    </w:p>
    <w:p w14:paraId="56CD00CA" w14:textId="03D2452A" w:rsidR="003B3AEF" w:rsidRDefault="003B3AEF" w:rsidP="5DEB1779">
      <w:pPr>
        <w:spacing w:line="259" w:lineRule="auto"/>
        <w:rPr>
          <w:b/>
          <w:bCs/>
        </w:rPr>
      </w:pPr>
      <w:r w:rsidRPr="5DEB1779">
        <w:rPr>
          <w:b/>
          <w:bCs/>
        </w:rPr>
        <w:t>Author of the paper:</w:t>
      </w:r>
      <w:r w:rsidR="00F91A57" w:rsidRPr="5DEB1779">
        <w:rPr>
          <w:b/>
          <w:bCs/>
        </w:rPr>
        <w:t xml:space="preserve"> </w:t>
      </w:r>
      <w:r w:rsidR="00B84A17">
        <w:rPr>
          <w:b/>
          <w:bCs/>
        </w:rPr>
        <w:t>Kay Goodacre</w:t>
      </w:r>
    </w:p>
    <w:p w14:paraId="05C488A5" w14:textId="77777777" w:rsidR="003B3AEF" w:rsidRPr="00CB5A97" w:rsidRDefault="003B3AEF" w:rsidP="001E4116"/>
    <w:p w14:paraId="5FBAC801" w14:textId="0FDFE475" w:rsidR="003B3AEF" w:rsidRDefault="003B3AEF" w:rsidP="5DEB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5DEB1779">
        <w:rPr>
          <w:b/>
          <w:bCs/>
        </w:rPr>
        <w:t xml:space="preserve">Officer to present the paper to Schools Forum: </w:t>
      </w:r>
      <w:r w:rsidR="00B84A17">
        <w:t>Kay Goodacre</w:t>
      </w:r>
    </w:p>
    <w:p w14:paraId="1B97B2B2" w14:textId="77777777" w:rsidR="00F91A57" w:rsidRPr="00CB5A97" w:rsidRDefault="00F91A57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AF1275" w14:textId="77777777" w:rsidR="003B3AEF" w:rsidRPr="00CB5A97" w:rsidRDefault="003B3AEF" w:rsidP="001E4116">
      <w:pPr>
        <w:rPr>
          <w:highlight w:val="yellow"/>
        </w:rPr>
      </w:pPr>
    </w:p>
    <w:p w14:paraId="4863EA65" w14:textId="06A36B49" w:rsidR="003B3AEF" w:rsidRPr="008D651A" w:rsidRDefault="003B3AEF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651A">
        <w:rPr>
          <w:b/>
        </w:rPr>
        <w:t>Details on who has been consulted with on this paper to date:</w:t>
      </w:r>
      <w:r w:rsidR="004F6589">
        <w:rPr>
          <w:b/>
        </w:rPr>
        <w:t xml:space="preserve"> </w:t>
      </w:r>
      <w:r w:rsidR="00B84A17">
        <w:rPr>
          <w:b/>
        </w:rPr>
        <w:t>N/A</w:t>
      </w:r>
    </w:p>
    <w:p w14:paraId="3C240101" w14:textId="77777777" w:rsidR="003B3AEF" w:rsidRPr="008D651A" w:rsidRDefault="003B3AEF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754CF" w14:textId="77777777" w:rsidR="003B3AEF" w:rsidRPr="00CB5A97" w:rsidRDefault="003B3AEF" w:rsidP="001E4116">
      <w:pPr>
        <w:spacing w:after="120"/>
        <w:rPr>
          <w:b/>
          <w:highlight w:val="yellow"/>
        </w:rPr>
      </w:pPr>
    </w:p>
    <w:p w14:paraId="678D740B" w14:textId="77777777" w:rsidR="003B3AEF" w:rsidRPr="007766FD" w:rsidRDefault="003B3AEF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 w:rsidRPr="007766FD">
        <w:rPr>
          <w:b/>
        </w:rPr>
        <w:t>Executive Summary</w:t>
      </w:r>
    </w:p>
    <w:p w14:paraId="38A9CAF3" w14:textId="715E09B2" w:rsidR="00AC7E50" w:rsidRDefault="00BE1FCE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  <w:r>
        <w:t xml:space="preserve">This report </w:t>
      </w:r>
      <w:r w:rsidR="00AC7E50">
        <w:t xml:space="preserve">sets out the </w:t>
      </w:r>
      <w:r w:rsidR="00307B81">
        <w:t xml:space="preserve">provisional </w:t>
      </w:r>
      <w:r w:rsidR="00AC7E50">
        <w:t>outturn position</w:t>
      </w:r>
      <w:r w:rsidR="00E7152D">
        <w:t xml:space="preserve"> (excluding individual schools)</w:t>
      </w:r>
      <w:r w:rsidR="00AC7E50">
        <w:t xml:space="preserve"> for Tower Hamlets’ </w:t>
      </w:r>
      <w:r w:rsidR="00E7152D">
        <w:t>DSG</w:t>
      </w:r>
      <w:r w:rsidR="00AC7E50">
        <w:t xml:space="preserve"> Budget for 20</w:t>
      </w:r>
      <w:r w:rsidR="00DA1EDC">
        <w:t>20</w:t>
      </w:r>
      <w:r w:rsidR="00AC7E50">
        <w:t>-</w:t>
      </w:r>
      <w:r w:rsidR="00D60070">
        <w:t>2</w:t>
      </w:r>
      <w:r w:rsidR="00DA1EDC">
        <w:t>1</w:t>
      </w:r>
    </w:p>
    <w:p w14:paraId="6347AC6F" w14:textId="33786429" w:rsidR="0091068B" w:rsidRPr="00023434" w:rsidRDefault="00AC7E50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  <w:r>
        <w:t xml:space="preserve">The </w:t>
      </w:r>
      <w:r w:rsidR="00307B81">
        <w:t xml:space="preserve">provisional </w:t>
      </w:r>
      <w:r>
        <w:t xml:space="preserve">net </w:t>
      </w:r>
      <w:r w:rsidR="005B488F">
        <w:t>overspends</w:t>
      </w:r>
      <w:r>
        <w:t xml:space="preserve"> of £</w:t>
      </w:r>
      <w:r w:rsidR="00B84A17">
        <w:t>0</w:t>
      </w:r>
      <w:r w:rsidR="42313CE2">
        <w:t>.</w:t>
      </w:r>
      <w:r w:rsidR="00B84A17">
        <w:t>2</w:t>
      </w:r>
      <w:r>
        <w:t xml:space="preserve">m is </w:t>
      </w:r>
      <w:r w:rsidR="003A7452">
        <w:t xml:space="preserve">set out in Table 1 </w:t>
      </w:r>
      <w:r w:rsidR="00666C61">
        <w:t>and the cumulative position in Table 2</w:t>
      </w:r>
      <w:r w:rsidR="15E69286">
        <w:t>.</w:t>
      </w:r>
    </w:p>
    <w:p w14:paraId="573918D3" w14:textId="2ADC87BA" w:rsidR="0091068B" w:rsidRPr="00023434" w:rsidRDefault="0085360B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  <w:r>
        <w:t>Forum is</w:t>
      </w:r>
      <w:r w:rsidR="00AC7E50">
        <w:t xml:space="preserve"> asked to note the position a</w:t>
      </w:r>
      <w:r w:rsidR="005B71A8">
        <w:t>nd agree</w:t>
      </w:r>
      <w:r w:rsidR="00E7152D">
        <w:t>/comment on the proposal</w:t>
      </w:r>
      <w:r w:rsidR="00123518">
        <w:t>s to</w:t>
      </w:r>
      <w:r w:rsidR="00666C61">
        <w:t xml:space="preserve"> carry forward or transfer variances.</w:t>
      </w:r>
    </w:p>
    <w:p w14:paraId="447A28A0" w14:textId="77777777" w:rsidR="00200347" w:rsidRPr="00AB4D79" w:rsidRDefault="00200347" w:rsidP="007766FD">
      <w:pPr>
        <w:pBdr>
          <w:top w:val="single" w:sz="4" w:space="5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</w:pPr>
    </w:p>
    <w:p w14:paraId="1D755107" w14:textId="77777777" w:rsidR="003B3AEF" w:rsidRPr="00CB5A97" w:rsidRDefault="003B3AEF" w:rsidP="001E4116">
      <w:pPr>
        <w:rPr>
          <w:highlight w:val="yellow"/>
        </w:rPr>
      </w:pPr>
    </w:p>
    <w:p w14:paraId="38B23749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AB4D79">
        <w:rPr>
          <w:b/>
        </w:rPr>
        <w:t xml:space="preserve">Details of recommendations and timescales for decisions: </w:t>
      </w:r>
    </w:p>
    <w:p w14:paraId="27FFB8C6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</w:p>
    <w:p w14:paraId="186041D3" w14:textId="77777777" w:rsidR="003B3AEF" w:rsidRPr="00AB4D79" w:rsidRDefault="003B3AEF" w:rsidP="008626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AB4D79">
        <w:t>Schools Forum is asked to:</w:t>
      </w:r>
    </w:p>
    <w:p w14:paraId="3FC9F07A" w14:textId="6BEB0828" w:rsidR="00BA7C70" w:rsidRDefault="00BA7C70" w:rsidP="0020034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123518">
        <w:t xml:space="preserve">To note the </w:t>
      </w:r>
      <w:r w:rsidR="00307B81">
        <w:t xml:space="preserve">provisional </w:t>
      </w:r>
      <w:r w:rsidRPr="00123518">
        <w:t>outturn position.</w:t>
      </w:r>
    </w:p>
    <w:p w14:paraId="32A4DA4C" w14:textId="70A9E75D" w:rsidR="002D7915" w:rsidRPr="00123518" w:rsidRDefault="002D7915" w:rsidP="0020034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>
        <w:t>Agree the use of Bought forward Balances</w:t>
      </w:r>
    </w:p>
    <w:p w14:paraId="507F1CD1" w14:textId="119C15C3" w:rsidR="00BA7C70" w:rsidRPr="00123518" w:rsidRDefault="00666C61" w:rsidP="00DA64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>
        <w:t>.</w:t>
      </w:r>
    </w:p>
    <w:p w14:paraId="378152E5" w14:textId="77777777" w:rsidR="0002125B" w:rsidRDefault="0002125B" w:rsidP="00910C13">
      <w:pPr>
        <w:pStyle w:val="Header"/>
        <w:jc w:val="center"/>
        <w:rPr>
          <w:b/>
          <w:highlight w:val="yellow"/>
        </w:rPr>
      </w:pPr>
    </w:p>
    <w:p w14:paraId="7755F447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78946DF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2870B540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6E622BC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45CF288A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7531059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8A6F47C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07FDFDD6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35FFA47A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2B55BCD4" w14:textId="7777777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1339E90F" w14:textId="2BFB8467" w:rsidR="00910C13" w:rsidRDefault="00910C13" w:rsidP="00910C13">
      <w:pPr>
        <w:pStyle w:val="Header"/>
        <w:jc w:val="center"/>
        <w:rPr>
          <w:b/>
          <w:highlight w:val="yellow"/>
        </w:rPr>
      </w:pPr>
    </w:p>
    <w:p w14:paraId="6B131D7C" w14:textId="575F157B" w:rsidR="00DA6401" w:rsidRDefault="00DA6401" w:rsidP="00910C13">
      <w:pPr>
        <w:pStyle w:val="Header"/>
        <w:jc w:val="center"/>
        <w:rPr>
          <w:b/>
          <w:highlight w:val="yellow"/>
        </w:rPr>
      </w:pPr>
    </w:p>
    <w:p w14:paraId="2FAEA856" w14:textId="77777777" w:rsidR="00CF3636" w:rsidRDefault="00CF3636" w:rsidP="00F44713">
      <w:pPr>
        <w:jc w:val="both"/>
        <w:rPr>
          <w:b/>
        </w:rPr>
      </w:pPr>
    </w:p>
    <w:p w14:paraId="5A7CB472" w14:textId="3081B9BE" w:rsidR="003B3AEF" w:rsidRPr="009E422F" w:rsidRDefault="000B24B2" w:rsidP="00F44713">
      <w:pPr>
        <w:jc w:val="both"/>
        <w:rPr>
          <w:b/>
        </w:rPr>
      </w:pPr>
      <w:r w:rsidRPr="009E422F">
        <w:rPr>
          <w:b/>
        </w:rPr>
        <w:lastRenderedPageBreak/>
        <w:t>1</w:t>
      </w:r>
      <w:r w:rsidR="003B3AEF" w:rsidRPr="009E422F">
        <w:rPr>
          <w:b/>
        </w:rPr>
        <w:t>.  20</w:t>
      </w:r>
      <w:r w:rsidR="00DA6401">
        <w:rPr>
          <w:b/>
        </w:rPr>
        <w:t>20</w:t>
      </w:r>
      <w:r w:rsidR="00E4575A">
        <w:rPr>
          <w:b/>
        </w:rPr>
        <w:t>/</w:t>
      </w:r>
      <w:r w:rsidR="00123518">
        <w:rPr>
          <w:b/>
        </w:rPr>
        <w:t>2</w:t>
      </w:r>
      <w:r w:rsidR="00DA6401">
        <w:rPr>
          <w:b/>
        </w:rPr>
        <w:t>1</w:t>
      </w:r>
      <w:r w:rsidR="002E27CC">
        <w:rPr>
          <w:b/>
        </w:rPr>
        <w:t xml:space="preserve"> Dedicated Schools Grant</w:t>
      </w:r>
      <w:r w:rsidR="00E4575A">
        <w:rPr>
          <w:b/>
        </w:rPr>
        <w:t xml:space="preserve"> </w:t>
      </w:r>
      <w:r w:rsidR="00307B81">
        <w:rPr>
          <w:b/>
        </w:rPr>
        <w:t xml:space="preserve">Provisional </w:t>
      </w:r>
      <w:r w:rsidR="00E4575A">
        <w:rPr>
          <w:b/>
        </w:rPr>
        <w:t>Outturn- O</w:t>
      </w:r>
      <w:r w:rsidR="00C34BB6" w:rsidRPr="009E422F">
        <w:rPr>
          <w:b/>
        </w:rPr>
        <w:t>verview</w:t>
      </w:r>
      <w:r w:rsidR="00E4575A">
        <w:rPr>
          <w:b/>
        </w:rPr>
        <w:t>.</w:t>
      </w:r>
    </w:p>
    <w:p w14:paraId="7D236502" w14:textId="77777777" w:rsidR="003B3AEF" w:rsidRPr="009E422F" w:rsidRDefault="003B3AEF" w:rsidP="00F44713">
      <w:pPr>
        <w:jc w:val="both"/>
      </w:pPr>
    </w:p>
    <w:p w14:paraId="51E6F7A2" w14:textId="299C6DCA" w:rsidR="00B65728" w:rsidRDefault="00C34BB6" w:rsidP="00B65728">
      <w:pPr>
        <w:pStyle w:val="ListParagraph"/>
        <w:numPr>
          <w:ilvl w:val="1"/>
          <w:numId w:val="11"/>
        </w:numPr>
        <w:jc w:val="both"/>
      </w:pPr>
      <w:r w:rsidRPr="009E422F">
        <w:t xml:space="preserve"> </w:t>
      </w:r>
      <w:r w:rsidR="008F2F2A">
        <w:t xml:space="preserve">The </w:t>
      </w:r>
      <w:r w:rsidR="00E4575A">
        <w:t>Dedicated Schools G</w:t>
      </w:r>
      <w:r w:rsidR="00B65728" w:rsidRPr="00B65728">
        <w:t>rant</w:t>
      </w:r>
      <w:r w:rsidR="00B65728">
        <w:t xml:space="preserve"> </w:t>
      </w:r>
      <w:r w:rsidR="00B65728" w:rsidRPr="00B65728">
        <w:t xml:space="preserve">(DSG) </w:t>
      </w:r>
      <w:r w:rsidR="008F2F2A">
        <w:t xml:space="preserve">is </w:t>
      </w:r>
      <w:r w:rsidR="00B65728" w:rsidRPr="00B65728">
        <w:t>distributed by the Department for Education (DfE) on a national formulaic</w:t>
      </w:r>
      <w:r w:rsidR="00B65728">
        <w:t xml:space="preserve"> </w:t>
      </w:r>
      <w:r w:rsidR="00B65728" w:rsidRPr="00B65728">
        <w:t>basis</w:t>
      </w:r>
      <w:r w:rsidR="00B65728">
        <w:t>.</w:t>
      </w:r>
      <w:r w:rsidR="00B65728" w:rsidRPr="00B65728">
        <w:rPr>
          <w:rFonts w:ascii="ArialMT" w:hAnsi="ArialMT" w:cs="ArialMT"/>
        </w:rPr>
        <w:t xml:space="preserve"> </w:t>
      </w:r>
      <w:r w:rsidR="00B65728" w:rsidRPr="00B65728">
        <w:t xml:space="preserve">The DSG </w:t>
      </w:r>
      <w:r w:rsidR="00E4575A">
        <w:t>20</w:t>
      </w:r>
      <w:r w:rsidR="00F367CD">
        <w:t>20</w:t>
      </w:r>
      <w:r w:rsidR="00E4575A">
        <w:t>-</w:t>
      </w:r>
      <w:r w:rsidR="00123518">
        <w:t>2</w:t>
      </w:r>
      <w:r w:rsidR="00F367CD">
        <w:t>1</w:t>
      </w:r>
      <w:r w:rsidR="00C55838">
        <w:t xml:space="preserve"> </w:t>
      </w:r>
      <w:r w:rsidR="00B65728" w:rsidRPr="00B65728">
        <w:t xml:space="preserve">is allocated to </w:t>
      </w:r>
      <w:r w:rsidR="008612D5">
        <w:t>l</w:t>
      </w:r>
      <w:r w:rsidR="00E4575A">
        <w:t xml:space="preserve">ocal </w:t>
      </w:r>
      <w:r w:rsidR="008612D5">
        <w:t>a</w:t>
      </w:r>
      <w:r w:rsidR="00E4575A">
        <w:t>uthorit</w:t>
      </w:r>
      <w:r w:rsidR="008612D5">
        <w:t>ies</w:t>
      </w:r>
      <w:r w:rsidR="00E4575A">
        <w:t xml:space="preserve"> in four </w:t>
      </w:r>
      <w:r w:rsidR="005B488F" w:rsidRPr="00B65728">
        <w:t>blocks:</w:t>
      </w:r>
      <w:r w:rsidR="00B65728" w:rsidRPr="00B65728">
        <w:t xml:space="preserve"> Schools</w:t>
      </w:r>
      <w:r w:rsidR="00B65728">
        <w:t xml:space="preserve"> </w:t>
      </w:r>
      <w:r w:rsidR="00E4575A">
        <w:t>Block (SB), Early Years B</w:t>
      </w:r>
      <w:r w:rsidR="00B65728" w:rsidRPr="00B65728">
        <w:t>lock (EYB)</w:t>
      </w:r>
      <w:r w:rsidR="00E4575A">
        <w:t>, High Needs B</w:t>
      </w:r>
      <w:r w:rsidR="00B65728" w:rsidRPr="00B65728">
        <w:t>lock (HNB)</w:t>
      </w:r>
      <w:r w:rsidR="00E4575A">
        <w:t xml:space="preserve"> and the Central Schools Services Block (CSSB)</w:t>
      </w:r>
      <w:r w:rsidR="00B65728" w:rsidRPr="00B65728">
        <w:t>.</w:t>
      </w:r>
    </w:p>
    <w:p w14:paraId="24B6F013" w14:textId="77777777" w:rsidR="00C34BB6" w:rsidRDefault="00C34BB6" w:rsidP="00B65728">
      <w:pPr>
        <w:pStyle w:val="ListParagraph"/>
        <w:ind w:left="480"/>
        <w:jc w:val="both"/>
      </w:pPr>
      <w:r w:rsidRPr="009E422F">
        <w:t xml:space="preserve"> </w:t>
      </w:r>
    </w:p>
    <w:p w14:paraId="00B14BCA" w14:textId="2E19D3AE" w:rsidR="009D102D" w:rsidRDefault="00B65728" w:rsidP="009E422F">
      <w:pPr>
        <w:pStyle w:val="ListParagraph"/>
        <w:numPr>
          <w:ilvl w:val="1"/>
          <w:numId w:val="11"/>
        </w:numPr>
        <w:jc w:val="both"/>
      </w:pPr>
      <w:r w:rsidRPr="000F02CD">
        <w:t>Table 1</w:t>
      </w:r>
      <w:r w:rsidRPr="00B65728">
        <w:t xml:space="preserve"> </w:t>
      </w:r>
      <w:r w:rsidR="00D41132">
        <w:t xml:space="preserve">gives an overview of the </w:t>
      </w:r>
      <w:r w:rsidR="00307B81">
        <w:t xml:space="preserve">provisional </w:t>
      </w:r>
      <w:r w:rsidR="00D41132">
        <w:t>outturn position for 20</w:t>
      </w:r>
      <w:r w:rsidR="00F367CD">
        <w:t>20</w:t>
      </w:r>
      <w:r w:rsidR="00D41132">
        <w:t>-</w:t>
      </w:r>
      <w:r w:rsidR="00123518">
        <w:t>20</w:t>
      </w:r>
      <w:r w:rsidR="002D7915">
        <w:t>2</w:t>
      </w:r>
      <w:r w:rsidR="00F367CD">
        <w:t>1</w:t>
      </w:r>
      <w:r w:rsidR="00D41132">
        <w:t>.</w:t>
      </w:r>
      <w:r w:rsidR="006C1E39">
        <w:t xml:space="preserve"> The DSG</w:t>
      </w:r>
      <w:r w:rsidR="00D81BF6">
        <w:t xml:space="preserve"> budgets</w:t>
      </w:r>
      <w:r w:rsidR="006C1E39">
        <w:t xml:space="preserve"> </w:t>
      </w:r>
      <w:r w:rsidR="00D81BF6">
        <w:t>are</w:t>
      </w:r>
      <w:r w:rsidR="006C1E39">
        <w:t xml:space="preserve"> shown after deductions have been made for direct payments to academies. </w:t>
      </w:r>
      <w:r w:rsidR="006B69E8">
        <w:t>The grant will be amended in June/July for the final position on the EYB.</w:t>
      </w:r>
    </w:p>
    <w:p w14:paraId="2CB5365D" w14:textId="77777777" w:rsidR="009D102D" w:rsidRDefault="009D102D" w:rsidP="009D102D">
      <w:pPr>
        <w:pStyle w:val="ListParagraph"/>
      </w:pPr>
    </w:p>
    <w:p w14:paraId="1924C3CC" w14:textId="718E32BC" w:rsidR="00B65728" w:rsidRPr="009E422F" w:rsidRDefault="009D102D" w:rsidP="009E422F">
      <w:pPr>
        <w:pStyle w:val="ListParagraph"/>
        <w:numPr>
          <w:ilvl w:val="1"/>
          <w:numId w:val="11"/>
        </w:numPr>
        <w:jc w:val="both"/>
      </w:pPr>
      <w:r>
        <w:t>The figures presented are provisional and will be confirmed at the next meeting of the Forum.</w:t>
      </w:r>
      <w:r w:rsidR="00B65728" w:rsidRPr="00B65728">
        <w:t xml:space="preserve">  </w:t>
      </w:r>
    </w:p>
    <w:p w14:paraId="32783A1C" w14:textId="77777777" w:rsidR="00C34BB6" w:rsidRDefault="00C34BB6" w:rsidP="000F02CD">
      <w:pPr>
        <w:ind w:left="480"/>
        <w:jc w:val="both"/>
        <w:rPr>
          <w:highlight w:val="yellow"/>
        </w:rPr>
      </w:pPr>
    </w:p>
    <w:p w14:paraId="495A0536" w14:textId="5A9EA025" w:rsidR="000F02CD" w:rsidRPr="000F02CD" w:rsidRDefault="000F02CD" w:rsidP="0068212D">
      <w:pPr>
        <w:ind w:firstLine="360"/>
        <w:jc w:val="both"/>
        <w:rPr>
          <w:b/>
        </w:rPr>
      </w:pPr>
      <w:r w:rsidRPr="000F02CD">
        <w:rPr>
          <w:b/>
        </w:rPr>
        <w:t>Table 1:</w:t>
      </w:r>
      <w:r w:rsidR="0068212D">
        <w:rPr>
          <w:b/>
        </w:rPr>
        <w:tab/>
      </w:r>
      <w:r w:rsidRPr="000F02CD">
        <w:rPr>
          <w:b/>
        </w:rPr>
        <w:t>Net DSG</w:t>
      </w:r>
      <w:r w:rsidR="007A417B">
        <w:rPr>
          <w:b/>
        </w:rPr>
        <w:t xml:space="preserve"> Budget</w:t>
      </w:r>
      <w:r w:rsidR="0068212D">
        <w:rPr>
          <w:b/>
        </w:rPr>
        <w:t>s</w:t>
      </w:r>
      <w:r w:rsidRPr="000F02CD">
        <w:rPr>
          <w:b/>
        </w:rPr>
        <w:t xml:space="preserve">, </w:t>
      </w:r>
      <w:r w:rsidR="0068212D">
        <w:rPr>
          <w:b/>
        </w:rPr>
        <w:t xml:space="preserve">Provisional </w:t>
      </w:r>
      <w:r w:rsidRPr="000F02CD">
        <w:rPr>
          <w:b/>
        </w:rPr>
        <w:t xml:space="preserve">Net Expenditure and </w:t>
      </w:r>
      <w:r w:rsidR="0068212D">
        <w:rPr>
          <w:b/>
        </w:rPr>
        <w:tab/>
      </w:r>
      <w:r w:rsidR="0068212D">
        <w:rPr>
          <w:b/>
        </w:rPr>
        <w:tab/>
      </w:r>
      <w:r w:rsidR="0068212D">
        <w:rPr>
          <w:b/>
        </w:rPr>
        <w:tab/>
        <w:t xml:space="preserve">Provisional </w:t>
      </w:r>
      <w:r w:rsidRPr="000F02CD">
        <w:rPr>
          <w:b/>
        </w:rPr>
        <w:t>Under/</w:t>
      </w:r>
      <w:r w:rsidR="005B488F" w:rsidRPr="000F02CD">
        <w:rPr>
          <w:b/>
        </w:rPr>
        <w:t>Overspends</w:t>
      </w:r>
      <w:r w:rsidRPr="000F02CD">
        <w:rPr>
          <w:b/>
        </w:rPr>
        <w:t xml:space="preserve"> 20</w:t>
      </w:r>
      <w:r w:rsidR="008F58AA">
        <w:rPr>
          <w:b/>
        </w:rPr>
        <w:t>20</w:t>
      </w:r>
      <w:r w:rsidRPr="000F02CD">
        <w:rPr>
          <w:b/>
        </w:rPr>
        <w:t>-</w:t>
      </w:r>
      <w:r w:rsidR="00123518">
        <w:rPr>
          <w:b/>
        </w:rPr>
        <w:t>2</w:t>
      </w:r>
      <w:r w:rsidR="008F58AA">
        <w:rPr>
          <w:b/>
        </w:rPr>
        <w:t>1</w:t>
      </w:r>
      <w:r w:rsidRPr="000F02CD">
        <w:rPr>
          <w:b/>
        </w:rPr>
        <w:t>.</w:t>
      </w:r>
    </w:p>
    <w:p w14:paraId="1D86B592" w14:textId="77777777" w:rsidR="000F02CD" w:rsidRPr="00CB5A97" w:rsidRDefault="000F02CD" w:rsidP="000F02CD">
      <w:pPr>
        <w:ind w:left="480"/>
        <w:jc w:val="both"/>
        <w:rPr>
          <w:highlight w:val="yellow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842"/>
        <w:gridCol w:w="1843"/>
        <w:gridCol w:w="1843"/>
      </w:tblGrid>
      <w:tr w:rsidR="0086682F" w14:paraId="65BCF369" w14:textId="77777777" w:rsidTr="00AB5A44">
        <w:tc>
          <w:tcPr>
            <w:tcW w:w="2551" w:type="dxa"/>
          </w:tcPr>
          <w:p w14:paraId="53F06A6B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  <w:r w:rsidRPr="006C1E39">
              <w:rPr>
                <w:sz w:val="22"/>
                <w:szCs w:val="22"/>
              </w:rPr>
              <w:t>Block</w:t>
            </w:r>
          </w:p>
        </w:tc>
        <w:tc>
          <w:tcPr>
            <w:tcW w:w="1842" w:type="dxa"/>
          </w:tcPr>
          <w:p w14:paraId="492F768B" w14:textId="28D35B13" w:rsidR="0086682F" w:rsidRPr="006C1E39" w:rsidRDefault="000F02CD" w:rsidP="000F0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 </w:t>
            </w:r>
            <w:r w:rsidR="0086682F">
              <w:rPr>
                <w:sz w:val="22"/>
                <w:szCs w:val="22"/>
              </w:rPr>
              <w:t>DSG</w:t>
            </w:r>
            <w:r w:rsidR="007A417B">
              <w:rPr>
                <w:sz w:val="22"/>
                <w:szCs w:val="22"/>
              </w:rPr>
              <w:t xml:space="preserve"> Budgets</w:t>
            </w:r>
            <w:r w:rsidRPr="000F02C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CE38D03" w14:textId="4891FF3C" w:rsidR="0086682F" w:rsidRPr="006C1E39" w:rsidRDefault="000F02CD" w:rsidP="000F0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Expenditure</w:t>
            </w:r>
            <w:r w:rsidR="00307B81" w:rsidRPr="00307B8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0A56FC1" w14:textId="71BCE57D" w:rsidR="0086682F" w:rsidRPr="006C1E39" w:rsidRDefault="005B488F" w:rsidP="000F0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(</w:t>
            </w:r>
            <w:r w:rsidR="00203198">
              <w:rPr>
                <w:sz w:val="22"/>
                <w:szCs w:val="22"/>
              </w:rPr>
              <w:t xml:space="preserve">-) </w:t>
            </w:r>
            <w:r w:rsidR="000F02CD">
              <w:rPr>
                <w:sz w:val="22"/>
                <w:szCs w:val="22"/>
              </w:rPr>
              <w:t>/Over</w:t>
            </w:r>
          </w:p>
        </w:tc>
      </w:tr>
      <w:tr w:rsidR="0086682F" w14:paraId="1E123DCB" w14:textId="77777777" w:rsidTr="00AB5A44">
        <w:tc>
          <w:tcPr>
            <w:tcW w:w="2551" w:type="dxa"/>
            <w:shd w:val="clear" w:color="auto" w:fill="auto"/>
          </w:tcPr>
          <w:p w14:paraId="1CD2FB1C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4F818B1" w14:textId="77777777" w:rsidR="0086682F" w:rsidRPr="00123518" w:rsidRDefault="000F02CD" w:rsidP="000F02CD">
            <w:pPr>
              <w:jc w:val="center"/>
              <w:rPr>
                <w:sz w:val="22"/>
                <w:szCs w:val="22"/>
              </w:rPr>
            </w:pPr>
            <w:r w:rsidRPr="00123518">
              <w:rPr>
                <w:sz w:val="22"/>
                <w:szCs w:val="22"/>
              </w:rPr>
              <w:t>£m</w:t>
            </w:r>
          </w:p>
        </w:tc>
        <w:tc>
          <w:tcPr>
            <w:tcW w:w="1843" w:type="dxa"/>
          </w:tcPr>
          <w:p w14:paraId="1CD82EFF" w14:textId="77777777" w:rsidR="0086682F" w:rsidRPr="00123518" w:rsidRDefault="000F02CD" w:rsidP="000F02CD">
            <w:pPr>
              <w:jc w:val="center"/>
              <w:rPr>
                <w:sz w:val="22"/>
                <w:szCs w:val="22"/>
              </w:rPr>
            </w:pPr>
            <w:r w:rsidRPr="00123518">
              <w:rPr>
                <w:sz w:val="22"/>
                <w:szCs w:val="22"/>
              </w:rPr>
              <w:t>£m</w:t>
            </w:r>
          </w:p>
        </w:tc>
        <w:tc>
          <w:tcPr>
            <w:tcW w:w="1843" w:type="dxa"/>
          </w:tcPr>
          <w:p w14:paraId="2C8FA74F" w14:textId="77777777" w:rsidR="0086682F" w:rsidRPr="006C1E39" w:rsidRDefault="000F02CD" w:rsidP="000F02CD">
            <w:pPr>
              <w:jc w:val="center"/>
              <w:rPr>
                <w:sz w:val="22"/>
                <w:szCs w:val="22"/>
              </w:rPr>
            </w:pPr>
            <w:r w:rsidRPr="00123518">
              <w:rPr>
                <w:sz w:val="22"/>
                <w:szCs w:val="22"/>
              </w:rPr>
              <w:t>£m</w:t>
            </w:r>
          </w:p>
        </w:tc>
      </w:tr>
      <w:tr w:rsidR="0086682F" w14:paraId="2ACD29C7" w14:textId="77777777" w:rsidTr="00AB5A44">
        <w:tc>
          <w:tcPr>
            <w:tcW w:w="2551" w:type="dxa"/>
            <w:shd w:val="clear" w:color="auto" w:fill="auto"/>
          </w:tcPr>
          <w:p w14:paraId="3CD96226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  <w:r w:rsidRPr="006C1E39">
              <w:rPr>
                <w:sz w:val="22"/>
                <w:szCs w:val="22"/>
              </w:rPr>
              <w:t>Schools Block</w:t>
            </w:r>
          </w:p>
        </w:tc>
        <w:tc>
          <w:tcPr>
            <w:tcW w:w="1842" w:type="dxa"/>
          </w:tcPr>
          <w:p w14:paraId="7A9717A1" w14:textId="73ED0BB1" w:rsidR="0086682F" w:rsidRPr="006C1E39" w:rsidRDefault="0086682F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136A7">
              <w:rPr>
                <w:sz w:val="22"/>
                <w:szCs w:val="22"/>
              </w:rPr>
              <w:t>9</w:t>
            </w:r>
            <w:r w:rsidR="0026505F">
              <w:rPr>
                <w:sz w:val="22"/>
                <w:szCs w:val="22"/>
              </w:rPr>
              <w:t>.6</w:t>
            </w:r>
          </w:p>
        </w:tc>
        <w:tc>
          <w:tcPr>
            <w:tcW w:w="1843" w:type="dxa"/>
          </w:tcPr>
          <w:p w14:paraId="117274CD" w14:textId="167D452B" w:rsidR="0086682F" w:rsidRPr="006C1E39" w:rsidRDefault="00BC4AE2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199.3</w:t>
            </w:r>
          </w:p>
        </w:tc>
        <w:tc>
          <w:tcPr>
            <w:tcW w:w="1843" w:type="dxa"/>
          </w:tcPr>
          <w:p w14:paraId="6EF792F1" w14:textId="3A802FF2" w:rsidR="0086682F" w:rsidRPr="006C1E39" w:rsidRDefault="00307B81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3198">
              <w:rPr>
                <w:sz w:val="22"/>
                <w:szCs w:val="22"/>
              </w:rPr>
              <w:t>0.3</w:t>
            </w:r>
            <w:r>
              <w:rPr>
                <w:sz w:val="22"/>
                <w:szCs w:val="22"/>
              </w:rPr>
              <w:t>)</w:t>
            </w:r>
          </w:p>
        </w:tc>
      </w:tr>
      <w:tr w:rsidR="0086682F" w:rsidRPr="007245AD" w14:paraId="5CB71BD6" w14:textId="77777777" w:rsidTr="00AB5A44">
        <w:tc>
          <w:tcPr>
            <w:tcW w:w="2551" w:type="dxa"/>
          </w:tcPr>
          <w:p w14:paraId="1BC88572" w14:textId="77777777" w:rsidR="0086682F" w:rsidRPr="007245AD" w:rsidRDefault="0086682F" w:rsidP="009E422F">
            <w:pPr>
              <w:jc w:val="both"/>
              <w:rPr>
                <w:sz w:val="22"/>
                <w:szCs w:val="22"/>
              </w:rPr>
            </w:pPr>
            <w:r w:rsidRPr="007245AD">
              <w:rPr>
                <w:sz w:val="22"/>
                <w:szCs w:val="22"/>
              </w:rPr>
              <w:t>High Needs Block</w:t>
            </w:r>
          </w:p>
        </w:tc>
        <w:tc>
          <w:tcPr>
            <w:tcW w:w="1842" w:type="dxa"/>
          </w:tcPr>
          <w:p w14:paraId="76B42B32" w14:textId="62CF8873" w:rsidR="0086682F" w:rsidRPr="007245AD" w:rsidRDefault="0026505F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54.7</w:t>
            </w:r>
          </w:p>
        </w:tc>
        <w:tc>
          <w:tcPr>
            <w:tcW w:w="1843" w:type="dxa"/>
          </w:tcPr>
          <w:p w14:paraId="78EA139F" w14:textId="69D9AAC5" w:rsidR="0086682F" w:rsidRPr="007245AD" w:rsidRDefault="00EB5DCB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</w:t>
            </w:r>
          </w:p>
        </w:tc>
        <w:tc>
          <w:tcPr>
            <w:tcW w:w="1843" w:type="dxa"/>
          </w:tcPr>
          <w:p w14:paraId="46FFC1B5" w14:textId="53677650" w:rsidR="0086682F" w:rsidRPr="007245AD" w:rsidRDefault="00AB5A44" w:rsidP="00AB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1.5  </w:t>
            </w:r>
          </w:p>
        </w:tc>
      </w:tr>
      <w:tr w:rsidR="0086682F" w14:paraId="55003510" w14:textId="77777777" w:rsidTr="00AB5A44">
        <w:tc>
          <w:tcPr>
            <w:tcW w:w="2551" w:type="dxa"/>
          </w:tcPr>
          <w:p w14:paraId="77B3CDD6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  <w:r w:rsidRPr="006C1E39">
              <w:rPr>
                <w:sz w:val="22"/>
                <w:szCs w:val="22"/>
              </w:rPr>
              <w:t>CSSB</w:t>
            </w:r>
          </w:p>
        </w:tc>
        <w:tc>
          <w:tcPr>
            <w:tcW w:w="1842" w:type="dxa"/>
          </w:tcPr>
          <w:p w14:paraId="47EC7690" w14:textId="42C48184" w:rsidR="0086682F" w:rsidRPr="006C1E39" w:rsidRDefault="0026505F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</w:tcPr>
          <w:p w14:paraId="558D5AD6" w14:textId="179B4EAA" w:rsidR="0086682F" w:rsidRPr="006C1E39" w:rsidRDefault="00AB5A44" w:rsidP="008D29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</w:tcPr>
          <w:p w14:paraId="2AE2AC7E" w14:textId="34ADCA2C" w:rsidR="0086682F" w:rsidRPr="006C1E39" w:rsidRDefault="00316412" w:rsidP="003164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-</w:t>
            </w:r>
          </w:p>
        </w:tc>
      </w:tr>
      <w:tr w:rsidR="0086682F" w14:paraId="4387DA9C" w14:textId="77777777" w:rsidTr="00AB5A44">
        <w:tc>
          <w:tcPr>
            <w:tcW w:w="2551" w:type="dxa"/>
          </w:tcPr>
          <w:p w14:paraId="0400981C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  <w:r w:rsidRPr="006C1E39">
              <w:rPr>
                <w:sz w:val="22"/>
                <w:szCs w:val="22"/>
              </w:rPr>
              <w:t>Early Years Block</w:t>
            </w:r>
          </w:p>
        </w:tc>
        <w:tc>
          <w:tcPr>
            <w:tcW w:w="1842" w:type="dxa"/>
          </w:tcPr>
          <w:p w14:paraId="25D80FDD" w14:textId="7DCCB842" w:rsidR="0086682F" w:rsidRPr="006C1E39" w:rsidRDefault="0026505F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</w:tc>
        <w:tc>
          <w:tcPr>
            <w:tcW w:w="1843" w:type="dxa"/>
          </w:tcPr>
          <w:p w14:paraId="6CE552C5" w14:textId="660A6398" w:rsidR="0086682F" w:rsidRPr="006C1E39" w:rsidRDefault="008B7AEB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</w:p>
        </w:tc>
        <w:tc>
          <w:tcPr>
            <w:tcW w:w="1843" w:type="dxa"/>
          </w:tcPr>
          <w:p w14:paraId="34A54654" w14:textId="6C114076" w:rsidR="0086682F" w:rsidRPr="006C1E39" w:rsidRDefault="00B74988" w:rsidP="00B7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(1.0)  </w:t>
            </w:r>
          </w:p>
        </w:tc>
      </w:tr>
      <w:tr w:rsidR="0086682F" w14:paraId="425091EE" w14:textId="77777777" w:rsidTr="00AB5A44">
        <w:tc>
          <w:tcPr>
            <w:tcW w:w="2551" w:type="dxa"/>
          </w:tcPr>
          <w:p w14:paraId="4DDA6132" w14:textId="77777777" w:rsidR="0086682F" w:rsidRPr="006C1E39" w:rsidRDefault="0086682F" w:rsidP="009E422F">
            <w:pPr>
              <w:jc w:val="both"/>
              <w:rPr>
                <w:sz w:val="22"/>
                <w:szCs w:val="22"/>
              </w:rPr>
            </w:pPr>
            <w:r w:rsidRPr="006C1E39">
              <w:rPr>
                <w:sz w:val="22"/>
                <w:szCs w:val="22"/>
              </w:rPr>
              <w:t>Total</w:t>
            </w:r>
          </w:p>
        </w:tc>
        <w:tc>
          <w:tcPr>
            <w:tcW w:w="1842" w:type="dxa"/>
          </w:tcPr>
          <w:p w14:paraId="4DCFA2CA" w14:textId="4800C69F" w:rsidR="0086682F" w:rsidRPr="006C1E39" w:rsidRDefault="00107D64" w:rsidP="006B69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289.6</w:t>
            </w:r>
          </w:p>
        </w:tc>
        <w:tc>
          <w:tcPr>
            <w:tcW w:w="1843" w:type="dxa"/>
          </w:tcPr>
          <w:p w14:paraId="31A5013E" w14:textId="7E7FCBA4" w:rsidR="0086682F" w:rsidRPr="006C1E39" w:rsidRDefault="007A417B" w:rsidP="008D29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C1879">
              <w:rPr>
                <w:sz w:val="22"/>
                <w:szCs w:val="22"/>
              </w:rPr>
              <w:t>9.8</w:t>
            </w:r>
          </w:p>
        </w:tc>
        <w:tc>
          <w:tcPr>
            <w:tcW w:w="1843" w:type="dxa"/>
          </w:tcPr>
          <w:p w14:paraId="222D638B" w14:textId="60B843FB" w:rsidR="0086682F" w:rsidRPr="006C1E39" w:rsidRDefault="00B74988" w:rsidP="00B74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0.2</w:t>
            </w:r>
          </w:p>
        </w:tc>
      </w:tr>
    </w:tbl>
    <w:p w14:paraId="27FB2769" w14:textId="5CE1922F" w:rsidR="000F02CD" w:rsidRDefault="000F02CD" w:rsidP="000F02CD">
      <w:pPr>
        <w:pStyle w:val="ListParagraph"/>
        <w:numPr>
          <w:ilvl w:val="0"/>
          <w:numId w:val="16"/>
        </w:numPr>
        <w:ind w:left="851" w:hanging="425"/>
        <w:jc w:val="both"/>
        <w:rPr>
          <w:sz w:val="20"/>
          <w:szCs w:val="20"/>
        </w:rPr>
      </w:pPr>
      <w:r w:rsidRPr="000F02CD">
        <w:rPr>
          <w:sz w:val="20"/>
          <w:szCs w:val="20"/>
        </w:rPr>
        <w:t xml:space="preserve">Net DSG </w:t>
      </w:r>
      <w:r w:rsidR="007A417B">
        <w:rPr>
          <w:sz w:val="20"/>
          <w:szCs w:val="20"/>
        </w:rPr>
        <w:t>excludes</w:t>
      </w:r>
      <w:r w:rsidRPr="000F02CD">
        <w:rPr>
          <w:sz w:val="20"/>
          <w:szCs w:val="20"/>
        </w:rPr>
        <w:t xml:space="preserve"> the recoupment of amounts due to academies</w:t>
      </w:r>
    </w:p>
    <w:p w14:paraId="3383E0AA" w14:textId="53980E99" w:rsidR="00307B81" w:rsidRPr="000F02CD" w:rsidRDefault="00307B81" w:rsidP="000F02CD">
      <w:pPr>
        <w:pStyle w:val="ListParagraph"/>
        <w:numPr>
          <w:ilvl w:val="0"/>
          <w:numId w:val="16"/>
        </w:numPr>
        <w:ind w:left="851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Net expenditure takes delegated budgets as allocated. Under or overspends on delegated budgets are recorded as individual school balances. </w:t>
      </w:r>
    </w:p>
    <w:p w14:paraId="6923B9B7" w14:textId="77777777" w:rsidR="00C868C2" w:rsidRPr="005D0E2D" w:rsidRDefault="00C868C2" w:rsidP="00F44713">
      <w:pPr>
        <w:jc w:val="both"/>
        <w:rPr>
          <w:color w:val="000000" w:themeColor="text1"/>
          <w:highlight w:val="yellow"/>
        </w:rPr>
      </w:pPr>
    </w:p>
    <w:p w14:paraId="7246D197" w14:textId="1B7DA8C6" w:rsidR="00466C73" w:rsidRPr="002D7915" w:rsidRDefault="007245AD" w:rsidP="00466C73">
      <w:pPr>
        <w:pStyle w:val="ListParagraph"/>
        <w:numPr>
          <w:ilvl w:val="1"/>
          <w:numId w:val="11"/>
        </w:numPr>
        <w:ind w:left="851" w:hanging="425"/>
        <w:jc w:val="both"/>
        <w:rPr>
          <w:color w:val="FF0000"/>
        </w:rPr>
      </w:pPr>
      <w:r>
        <w:t>In summary</w:t>
      </w:r>
      <w:r w:rsidR="00325AE4">
        <w:t>, the position of t</w:t>
      </w:r>
      <w:r w:rsidR="00AC15D3">
        <w:t xml:space="preserve">he total DSG spend shows a slight </w:t>
      </w:r>
      <w:r w:rsidR="0031090B">
        <w:t xml:space="preserve">overspend with </w:t>
      </w:r>
      <w:r w:rsidR="00E47329">
        <w:t xml:space="preserve">the major component of this being </w:t>
      </w:r>
      <w:r w:rsidR="00597EE4">
        <w:t xml:space="preserve">high needs spend offset by an </w:t>
      </w:r>
      <w:r w:rsidR="002D7915">
        <w:t>e</w:t>
      </w:r>
      <w:r w:rsidR="00597EE4">
        <w:t xml:space="preserve">arly </w:t>
      </w:r>
      <w:r w:rsidR="005B488F">
        <w:t>year’s</w:t>
      </w:r>
      <w:r w:rsidR="00597EE4">
        <w:t xml:space="preserve"> underspend due to reduced take up</w:t>
      </w:r>
      <w:r w:rsidR="009F09E1">
        <w:t xml:space="preserve"> in some </w:t>
      </w:r>
      <w:r w:rsidR="009F09E1" w:rsidRPr="002D7915">
        <w:t>areas</w:t>
      </w:r>
      <w:r w:rsidR="00754A70" w:rsidRPr="002D7915">
        <w:t>.</w:t>
      </w:r>
    </w:p>
    <w:p w14:paraId="31382DEC" w14:textId="77777777" w:rsidR="00466C73" w:rsidRDefault="00466C73" w:rsidP="00466C73">
      <w:pPr>
        <w:pStyle w:val="ListParagraph"/>
        <w:ind w:left="360"/>
        <w:jc w:val="both"/>
      </w:pPr>
    </w:p>
    <w:p w14:paraId="5C012B90" w14:textId="59C5A8C1" w:rsidR="00F55D03" w:rsidRPr="002D7915" w:rsidRDefault="00754A70" w:rsidP="00754A70">
      <w:pPr>
        <w:pStyle w:val="ListParagraph"/>
        <w:numPr>
          <w:ilvl w:val="1"/>
          <w:numId w:val="11"/>
        </w:numPr>
        <w:ind w:left="851" w:hanging="425"/>
        <w:jc w:val="both"/>
        <w:rPr>
          <w:color w:val="FF0000"/>
        </w:rPr>
      </w:pPr>
      <w:r>
        <w:t xml:space="preserve">The in-year position needs to be added to balances brought forward as </w:t>
      </w:r>
      <w:r w:rsidRPr="002D7915">
        <w:t>shown in Table 2.</w:t>
      </w:r>
      <w:r w:rsidR="00994461" w:rsidRPr="002D7915">
        <w:t xml:space="preserve"> </w:t>
      </w:r>
    </w:p>
    <w:p w14:paraId="3E82F10E" w14:textId="77777777" w:rsidR="00F814E5" w:rsidRPr="00F814E5" w:rsidRDefault="00F814E5" w:rsidP="00F814E5">
      <w:pPr>
        <w:pStyle w:val="ListParagraph"/>
        <w:ind w:left="360"/>
        <w:jc w:val="both"/>
        <w:rPr>
          <w:color w:val="FF0000"/>
          <w:highlight w:val="yellow"/>
        </w:rPr>
      </w:pPr>
    </w:p>
    <w:p w14:paraId="5D54F1A4" w14:textId="4FDA5365" w:rsidR="00F55D03" w:rsidRPr="00A76AC6" w:rsidRDefault="00A76AC6" w:rsidP="00BF73B5">
      <w:pPr>
        <w:keepNext/>
        <w:ind w:left="480" w:hanging="54"/>
        <w:jc w:val="both"/>
        <w:rPr>
          <w:b/>
        </w:rPr>
      </w:pPr>
      <w:r w:rsidRPr="00A76AC6">
        <w:rPr>
          <w:b/>
        </w:rPr>
        <w:t>Table 2: Cumulative Position</w:t>
      </w:r>
      <w:r w:rsidR="00255B4E">
        <w:rPr>
          <w:b/>
        </w:rPr>
        <w:t xml:space="preserve"> on Balances Brought Forward</w:t>
      </w:r>
      <w:r w:rsidRPr="00A76AC6">
        <w:rPr>
          <w:b/>
        </w:rPr>
        <w:t xml:space="preserve">. </w:t>
      </w:r>
    </w:p>
    <w:p w14:paraId="60B0BDD4" w14:textId="77777777" w:rsidR="00A76AC6" w:rsidRPr="00F55D03" w:rsidRDefault="00A76AC6" w:rsidP="00BF73B5">
      <w:pPr>
        <w:keepNext/>
        <w:ind w:left="720"/>
        <w:jc w:val="both"/>
        <w:rPr>
          <w:highlight w:val="yellow"/>
        </w:rPr>
      </w:pPr>
    </w:p>
    <w:tbl>
      <w:tblPr>
        <w:tblStyle w:val="TableGrid"/>
        <w:tblW w:w="7821" w:type="dxa"/>
        <w:tblInd w:w="792" w:type="dxa"/>
        <w:tblLook w:val="04A0" w:firstRow="1" w:lastRow="0" w:firstColumn="1" w:lastColumn="0" w:noHBand="0" w:noVBand="1"/>
      </w:tblPr>
      <w:tblGrid>
        <w:gridCol w:w="2293"/>
        <w:gridCol w:w="1843"/>
        <w:gridCol w:w="1843"/>
        <w:gridCol w:w="1842"/>
      </w:tblGrid>
      <w:tr w:rsidR="00F55D03" w14:paraId="63F8AB8A" w14:textId="77777777" w:rsidTr="00A60DE3">
        <w:tc>
          <w:tcPr>
            <w:tcW w:w="2293" w:type="dxa"/>
          </w:tcPr>
          <w:p w14:paraId="33898F15" w14:textId="2121A3D8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6C1E39">
              <w:rPr>
                <w:sz w:val="22"/>
                <w:szCs w:val="22"/>
              </w:rPr>
              <w:t>Block</w:t>
            </w:r>
          </w:p>
        </w:tc>
        <w:tc>
          <w:tcPr>
            <w:tcW w:w="1843" w:type="dxa"/>
            <w:shd w:val="clear" w:color="auto" w:fill="auto"/>
          </w:tcPr>
          <w:p w14:paraId="1D738D58" w14:textId="069C87C8" w:rsidR="00F55D03" w:rsidRPr="00A76AC6" w:rsidRDefault="00B74988" w:rsidP="00BF73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B/</w:t>
            </w:r>
            <w:r w:rsidR="00A8672B">
              <w:rPr>
                <w:sz w:val="22"/>
                <w:szCs w:val="22"/>
              </w:rPr>
              <w:t>F prior years</w:t>
            </w:r>
          </w:p>
        </w:tc>
        <w:tc>
          <w:tcPr>
            <w:tcW w:w="1843" w:type="dxa"/>
          </w:tcPr>
          <w:p w14:paraId="75021DDD" w14:textId="4F7AA988" w:rsidR="00F55D03" w:rsidRPr="00A76AC6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A76AC6">
              <w:rPr>
                <w:sz w:val="22"/>
                <w:szCs w:val="22"/>
              </w:rPr>
              <w:t>20</w:t>
            </w:r>
            <w:r w:rsidR="00A8672B">
              <w:rPr>
                <w:sz w:val="22"/>
                <w:szCs w:val="22"/>
              </w:rPr>
              <w:t>20</w:t>
            </w:r>
            <w:r w:rsidRPr="00A76AC6">
              <w:rPr>
                <w:sz w:val="22"/>
                <w:szCs w:val="22"/>
              </w:rPr>
              <w:t>-2</w:t>
            </w:r>
            <w:r w:rsidR="00A8672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D40B0A0" w14:textId="32378970" w:rsidR="00F55D03" w:rsidRPr="00A76AC6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A76AC6">
              <w:rPr>
                <w:sz w:val="22"/>
                <w:szCs w:val="22"/>
              </w:rPr>
              <w:t>Cumulative</w:t>
            </w:r>
          </w:p>
        </w:tc>
      </w:tr>
      <w:tr w:rsidR="00F55D03" w14:paraId="096D5970" w14:textId="77777777" w:rsidTr="00F55D03">
        <w:tc>
          <w:tcPr>
            <w:tcW w:w="2293" w:type="dxa"/>
          </w:tcPr>
          <w:p w14:paraId="054E836D" w14:textId="77777777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14:paraId="55D9B3DC" w14:textId="3ABF28CC" w:rsidR="00F55D03" w:rsidRPr="00A76AC6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A76AC6">
              <w:rPr>
                <w:sz w:val="22"/>
                <w:szCs w:val="22"/>
              </w:rPr>
              <w:t>£m</w:t>
            </w:r>
          </w:p>
        </w:tc>
        <w:tc>
          <w:tcPr>
            <w:tcW w:w="1843" w:type="dxa"/>
          </w:tcPr>
          <w:p w14:paraId="1BD5D9E3" w14:textId="032CF1D3" w:rsidR="00F55D03" w:rsidRPr="00A76AC6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A76AC6">
              <w:rPr>
                <w:sz w:val="22"/>
                <w:szCs w:val="22"/>
              </w:rPr>
              <w:t>£m</w:t>
            </w:r>
          </w:p>
        </w:tc>
        <w:tc>
          <w:tcPr>
            <w:tcW w:w="1842" w:type="dxa"/>
          </w:tcPr>
          <w:p w14:paraId="7614A092" w14:textId="4CACAB06" w:rsidR="00F55D03" w:rsidRPr="00A76AC6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A76AC6">
              <w:rPr>
                <w:sz w:val="22"/>
                <w:szCs w:val="22"/>
              </w:rPr>
              <w:t>£m</w:t>
            </w:r>
          </w:p>
        </w:tc>
      </w:tr>
      <w:tr w:rsidR="00F55D03" w14:paraId="39B108B9" w14:textId="77777777" w:rsidTr="00F55D03">
        <w:tc>
          <w:tcPr>
            <w:tcW w:w="2293" w:type="dxa"/>
          </w:tcPr>
          <w:p w14:paraId="22CC44E3" w14:textId="533C9461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6C1E39">
              <w:rPr>
                <w:sz w:val="22"/>
                <w:szCs w:val="22"/>
              </w:rPr>
              <w:t>S</w:t>
            </w:r>
            <w:r w:rsidR="005400C7">
              <w:rPr>
                <w:sz w:val="22"/>
                <w:szCs w:val="22"/>
              </w:rPr>
              <w:t xml:space="preserve">B Central </w:t>
            </w:r>
          </w:p>
        </w:tc>
        <w:tc>
          <w:tcPr>
            <w:tcW w:w="1843" w:type="dxa"/>
          </w:tcPr>
          <w:p w14:paraId="430CC147" w14:textId="452B9205" w:rsidR="00F55D03" w:rsidRPr="009B0E9E" w:rsidRDefault="009B0E9E" w:rsidP="00BF73B5">
            <w:pPr>
              <w:keepNext/>
              <w:jc w:val="right"/>
              <w:rPr>
                <w:sz w:val="22"/>
                <w:szCs w:val="22"/>
              </w:rPr>
            </w:pPr>
            <w:r w:rsidRPr="00F814E5">
              <w:rPr>
                <w:sz w:val="22"/>
                <w:szCs w:val="22"/>
              </w:rPr>
              <w:t>(</w:t>
            </w:r>
            <w:r w:rsidR="001617F7">
              <w:rPr>
                <w:sz w:val="22"/>
                <w:szCs w:val="22"/>
              </w:rPr>
              <w:t>1</w:t>
            </w:r>
            <w:r w:rsidR="005F7ECB">
              <w:rPr>
                <w:sz w:val="22"/>
                <w:szCs w:val="22"/>
              </w:rPr>
              <w:t>.0</w:t>
            </w:r>
            <w:r w:rsidRPr="00F814E5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B5FA558" w14:textId="4FD07228" w:rsidR="00F55D03" w:rsidRPr="009B0E9E" w:rsidRDefault="00F814E5" w:rsidP="00BF73B5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F7ECB">
              <w:rPr>
                <w:sz w:val="22"/>
                <w:szCs w:val="22"/>
              </w:rPr>
              <w:t>0.3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7F571807" w14:textId="61085C21" w:rsidR="00F55D03" w:rsidRPr="009B0E9E" w:rsidRDefault="003A14A2" w:rsidP="003A14A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F814E5">
              <w:rPr>
                <w:sz w:val="22"/>
                <w:szCs w:val="22"/>
              </w:rPr>
              <w:t>(</w:t>
            </w:r>
            <w:r w:rsidR="005F7ECB">
              <w:rPr>
                <w:sz w:val="22"/>
                <w:szCs w:val="22"/>
              </w:rPr>
              <w:t>1.3</w:t>
            </w:r>
            <w:r w:rsidR="00F814E5">
              <w:rPr>
                <w:sz w:val="22"/>
                <w:szCs w:val="22"/>
              </w:rPr>
              <w:t>)</w:t>
            </w:r>
          </w:p>
        </w:tc>
      </w:tr>
      <w:tr w:rsidR="00F55D03" w14:paraId="08C69F0E" w14:textId="77777777" w:rsidTr="00F55D03">
        <w:tc>
          <w:tcPr>
            <w:tcW w:w="2293" w:type="dxa"/>
          </w:tcPr>
          <w:p w14:paraId="4869FCE5" w14:textId="218595B3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7245AD">
              <w:rPr>
                <w:sz w:val="22"/>
                <w:szCs w:val="22"/>
              </w:rPr>
              <w:t>High Needs Block</w:t>
            </w:r>
          </w:p>
        </w:tc>
        <w:tc>
          <w:tcPr>
            <w:tcW w:w="1843" w:type="dxa"/>
          </w:tcPr>
          <w:p w14:paraId="57A8749A" w14:textId="281EA317" w:rsidR="00F55D03" w:rsidRPr="009B0E9E" w:rsidRDefault="00F15BA1" w:rsidP="00BF73B5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39134E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748E1826" w14:textId="00ED6C67" w:rsidR="00F55D03" w:rsidRPr="009B0E9E" w:rsidRDefault="0039134E" w:rsidP="0039134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1.5</w:t>
            </w:r>
          </w:p>
        </w:tc>
        <w:tc>
          <w:tcPr>
            <w:tcW w:w="1842" w:type="dxa"/>
          </w:tcPr>
          <w:p w14:paraId="0A4172B4" w14:textId="2C7EF9D2" w:rsidR="00F55D03" w:rsidRPr="009B0E9E" w:rsidRDefault="00CE4522" w:rsidP="00CE452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13.3</w:t>
            </w:r>
          </w:p>
        </w:tc>
      </w:tr>
      <w:tr w:rsidR="00F55D03" w14:paraId="608BD499" w14:textId="77777777" w:rsidTr="00F55D03">
        <w:tc>
          <w:tcPr>
            <w:tcW w:w="2293" w:type="dxa"/>
          </w:tcPr>
          <w:p w14:paraId="177F9A7B" w14:textId="1CCCB837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6C1E39">
              <w:rPr>
                <w:sz w:val="22"/>
                <w:szCs w:val="22"/>
              </w:rPr>
              <w:t>CSSB</w:t>
            </w:r>
          </w:p>
        </w:tc>
        <w:tc>
          <w:tcPr>
            <w:tcW w:w="1843" w:type="dxa"/>
          </w:tcPr>
          <w:p w14:paraId="46D08F56" w14:textId="387F029F" w:rsidR="00F55D03" w:rsidRPr="009B0E9E" w:rsidRDefault="00CE4522" w:rsidP="00CE452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(0.4)</w:t>
            </w:r>
          </w:p>
        </w:tc>
        <w:tc>
          <w:tcPr>
            <w:tcW w:w="1843" w:type="dxa"/>
          </w:tcPr>
          <w:p w14:paraId="4A17B95F" w14:textId="02E8EA66" w:rsidR="00F55D03" w:rsidRPr="009B0E9E" w:rsidRDefault="00CE4522" w:rsidP="00CE452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-</w:t>
            </w:r>
          </w:p>
        </w:tc>
        <w:tc>
          <w:tcPr>
            <w:tcW w:w="1842" w:type="dxa"/>
          </w:tcPr>
          <w:p w14:paraId="0B2F5745" w14:textId="4D96BA82" w:rsidR="00F55D03" w:rsidRPr="009B0E9E" w:rsidRDefault="00CE4522" w:rsidP="00CE452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0.4</w:t>
            </w:r>
          </w:p>
        </w:tc>
      </w:tr>
      <w:tr w:rsidR="00F55D03" w14:paraId="33D5680B" w14:textId="77777777" w:rsidTr="00F55D03">
        <w:tc>
          <w:tcPr>
            <w:tcW w:w="2293" w:type="dxa"/>
          </w:tcPr>
          <w:p w14:paraId="2438E495" w14:textId="74C3D4B1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6C1E39">
              <w:rPr>
                <w:sz w:val="22"/>
                <w:szCs w:val="22"/>
              </w:rPr>
              <w:t>Early Years Block</w:t>
            </w:r>
          </w:p>
        </w:tc>
        <w:tc>
          <w:tcPr>
            <w:tcW w:w="1843" w:type="dxa"/>
          </w:tcPr>
          <w:p w14:paraId="6F67CCD8" w14:textId="702EB267" w:rsidR="00F55D03" w:rsidRPr="009B0E9E" w:rsidRDefault="00CE4522" w:rsidP="00CE452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0.</w:t>
            </w:r>
            <w:r w:rsidR="007F1F7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7C2A68E9" w14:textId="0403E8EA" w:rsidR="00F55D03" w:rsidRPr="009B0E9E" w:rsidRDefault="003A14A2" w:rsidP="00BF73B5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(1.0) </w:t>
            </w:r>
          </w:p>
        </w:tc>
        <w:tc>
          <w:tcPr>
            <w:tcW w:w="1842" w:type="dxa"/>
          </w:tcPr>
          <w:p w14:paraId="0207A8F6" w14:textId="04974D85" w:rsidR="00F55D03" w:rsidRPr="009B0E9E" w:rsidRDefault="003A14A2" w:rsidP="003A14A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(0.</w:t>
            </w:r>
            <w:r w:rsidR="007F1F7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</w:tr>
      <w:tr w:rsidR="00F55D03" w14:paraId="47CFD40C" w14:textId="77777777" w:rsidTr="00F55D03">
        <w:tc>
          <w:tcPr>
            <w:tcW w:w="2293" w:type="dxa"/>
          </w:tcPr>
          <w:p w14:paraId="3B13EADF" w14:textId="17C38BC8" w:rsidR="00F55D03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  <w:highlight w:val="yellow"/>
              </w:rPr>
            </w:pPr>
            <w:r w:rsidRPr="006C1E39">
              <w:rPr>
                <w:sz w:val="22"/>
                <w:szCs w:val="22"/>
              </w:rPr>
              <w:t>Total</w:t>
            </w:r>
          </w:p>
        </w:tc>
        <w:tc>
          <w:tcPr>
            <w:tcW w:w="1843" w:type="dxa"/>
          </w:tcPr>
          <w:p w14:paraId="1D053C99" w14:textId="1E48AC41" w:rsidR="00F55D03" w:rsidRPr="009B0E9E" w:rsidRDefault="00AC5485" w:rsidP="00BF73B5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843" w:type="dxa"/>
          </w:tcPr>
          <w:p w14:paraId="6CF281CF" w14:textId="6FBC3565" w:rsidR="00F55D03" w:rsidRPr="009B0E9E" w:rsidRDefault="00AC5485" w:rsidP="00AC548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0.2</w:t>
            </w:r>
          </w:p>
        </w:tc>
        <w:tc>
          <w:tcPr>
            <w:tcW w:w="1842" w:type="dxa"/>
          </w:tcPr>
          <w:p w14:paraId="2E6AE64D" w14:textId="18D2E365" w:rsidR="00F55D03" w:rsidRPr="009B0E9E" w:rsidRDefault="00571B84" w:rsidP="00571B84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  <w:r w:rsidR="00D81BF6">
              <w:rPr>
                <w:sz w:val="22"/>
                <w:szCs w:val="22"/>
              </w:rPr>
              <w:t>1.</w:t>
            </w:r>
            <w:r w:rsidR="00995DF8">
              <w:rPr>
                <w:sz w:val="22"/>
                <w:szCs w:val="22"/>
              </w:rPr>
              <w:t>3</w:t>
            </w:r>
          </w:p>
        </w:tc>
      </w:tr>
    </w:tbl>
    <w:p w14:paraId="3C285ED7" w14:textId="6017EC3B" w:rsidR="00F55D03" w:rsidRDefault="00922F7A" w:rsidP="00BF73B5">
      <w:pPr>
        <w:pStyle w:val="ListParagraph"/>
        <w:keepNext/>
        <w:ind w:left="851"/>
        <w:jc w:val="both"/>
        <w:rPr>
          <w:sz w:val="20"/>
          <w:szCs w:val="20"/>
        </w:rPr>
      </w:pPr>
      <w:r w:rsidRPr="00922F7A">
        <w:rPr>
          <w:sz w:val="20"/>
          <w:szCs w:val="20"/>
        </w:rPr>
        <w:t>Note: Excludes individual school balances.</w:t>
      </w:r>
      <w:r w:rsidR="00864A20">
        <w:rPr>
          <w:sz w:val="20"/>
          <w:szCs w:val="20"/>
        </w:rPr>
        <w:tab/>
      </w:r>
    </w:p>
    <w:p w14:paraId="10CE7AC3" w14:textId="33260A8B" w:rsidR="00864A20" w:rsidRDefault="00864A20" w:rsidP="00BF73B5">
      <w:pPr>
        <w:pStyle w:val="ListParagraph"/>
        <w:keepNext/>
        <w:ind w:left="851" w:firstLine="5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HNB Prior Years includes </w:t>
      </w:r>
      <w:r w:rsidR="00457C65">
        <w:rPr>
          <w:sz w:val="20"/>
          <w:szCs w:val="20"/>
        </w:rPr>
        <w:t xml:space="preserve">agreed </w:t>
      </w:r>
      <w:r>
        <w:rPr>
          <w:sz w:val="20"/>
          <w:szCs w:val="20"/>
        </w:rPr>
        <w:t xml:space="preserve">offsetting contributions from CSSB </w:t>
      </w:r>
      <w:r w:rsidR="00457C65">
        <w:rPr>
          <w:sz w:val="20"/>
          <w:szCs w:val="20"/>
        </w:rPr>
        <w:t>and SB.</w:t>
      </w:r>
    </w:p>
    <w:p w14:paraId="4C4413BC" w14:textId="77777777" w:rsidR="00864A20" w:rsidRPr="00922F7A" w:rsidRDefault="00864A20" w:rsidP="00922F7A">
      <w:pPr>
        <w:pStyle w:val="ListParagraph"/>
        <w:ind w:left="851"/>
        <w:jc w:val="both"/>
        <w:rPr>
          <w:sz w:val="20"/>
          <w:szCs w:val="20"/>
        </w:rPr>
      </w:pPr>
    </w:p>
    <w:p w14:paraId="2DB75487" w14:textId="77777777" w:rsidR="00E3342C" w:rsidRPr="009D102D" w:rsidRDefault="00E3342C" w:rsidP="009D102D">
      <w:pPr>
        <w:jc w:val="both"/>
        <w:rPr>
          <w:color w:val="FF0000"/>
          <w:highlight w:val="yellow"/>
        </w:rPr>
      </w:pPr>
    </w:p>
    <w:p w14:paraId="6D32919D" w14:textId="143312DC" w:rsidR="00C34BB6" w:rsidRPr="00A86869" w:rsidRDefault="00BF73B5" w:rsidP="007731C8">
      <w:pPr>
        <w:pStyle w:val="ListParagraph"/>
        <w:numPr>
          <w:ilvl w:val="0"/>
          <w:numId w:val="1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Provisional </w:t>
      </w:r>
      <w:r w:rsidR="007731C8" w:rsidRPr="007731C8">
        <w:rPr>
          <w:b/>
          <w:color w:val="000000" w:themeColor="text1"/>
        </w:rPr>
        <w:t xml:space="preserve">Year-end </w:t>
      </w:r>
      <w:r w:rsidR="005843ED" w:rsidRPr="00A86869">
        <w:rPr>
          <w:b/>
          <w:color w:val="000000" w:themeColor="text1"/>
        </w:rPr>
        <w:t>outturn for 201</w:t>
      </w:r>
      <w:r>
        <w:rPr>
          <w:b/>
          <w:color w:val="000000" w:themeColor="text1"/>
        </w:rPr>
        <w:t>9</w:t>
      </w:r>
      <w:r w:rsidR="005843ED" w:rsidRPr="00A86869">
        <w:rPr>
          <w:b/>
          <w:color w:val="000000" w:themeColor="text1"/>
        </w:rPr>
        <w:t>/</w:t>
      </w:r>
      <w:r>
        <w:rPr>
          <w:b/>
          <w:color w:val="000000" w:themeColor="text1"/>
        </w:rPr>
        <w:t>20</w:t>
      </w:r>
      <w:r w:rsidR="007245AD">
        <w:rPr>
          <w:b/>
          <w:color w:val="000000" w:themeColor="text1"/>
        </w:rPr>
        <w:t>.</w:t>
      </w:r>
    </w:p>
    <w:p w14:paraId="48091451" w14:textId="77777777" w:rsidR="008E7EB7" w:rsidRDefault="008E7EB7" w:rsidP="008E7EB7">
      <w:pPr>
        <w:jc w:val="both"/>
        <w:rPr>
          <w:color w:val="000000" w:themeColor="text1"/>
        </w:rPr>
      </w:pPr>
    </w:p>
    <w:p w14:paraId="1F5D5101" w14:textId="77777777" w:rsidR="008E7EB7" w:rsidRPr="008E7EB7" w:rsidRDefault="008E7EB7" w:rsidP="008E7EB7">
      <w:pPr>
        <w:jc w:val="both"/>
        <w:rPr>
          <w:b/>
          <w:color w:val="000000" w:themeColor="text1"/>
        </w:rPr>
      </w:pPr>
      <w:r w:rsidRPr="008E7EB7">
        <w:rPr>
          <w:b/>
          <w:color w:val="000000" w:themeColor="text1"/>
        </w:rPr>
        <w:lastRenderedPageBreak/>
        <w:t>High Needs Block.</w:t>
      </w:r>
    </w:p>
    <w:p w14:paraId="59F94437" w14:textId="77777777" w:rsidR="008E7EB7" w:rsidRPr="00A86869" w:rsidRDefault="008E7EB7" w:rsidP="008E7EB7">
      <w:pPr>
        <w:ind w:left="480"/>
        <w:jc w:val="both"/>
        <w:rPr>
          <w:color w:val="000000" w:themeColor="text1"/>
        </w:rPr>
      </w:pPr>
    </w:p>
    <w:p w14:paraId="4ABADC4E" w14:textId="19B35031" w:rsidR="00E34CAB" w:rsidRDefault="008F4037" w:rsidP="00F83532">
      <w:pPr>
        <w:pStyle w:val="ListParagraph"/>
        <w:numPr>
          <w:ilvl w:val="1"/>
          <w:numId w:val="11"/>
        </w:numPr>
        <w:rPr>
          <w:color w:val="000000" w:themeColor="text1"/>
        </w:rPr>
      </w:pPr>
      <w:r>
        <w:rPr>
          <w:color w:val="000000" w:themeColor="text1"/>
        </w:rPr>
        <w:t>A High Needs working group has been set up of the Schools Forum an</w:t>
      </w:r>
      <w:r w:rsidR="003F5D94">
        <w:rPr>
          <w:color w:val="000000" w:themeColor="text1"/>
        </w:rPr>
        <w:t>d</w:t>
      </w:r>
      <w:r>
        <w:rPr>
          <w:color w:val="000000" w:themeColor="text1"/>
        </w:rPr>
        <w:t xml:space="preserve"> a</w:t>
      </w:r>
      <w:r w:rsidR="002D7915">
        <w:rPr>
          <w:color w:val="000000" w:themeColor="text1"/>
        </w:rPr>
        <w:t>n</w:t>
      </w:r>
      <w:r>
        <w:rPr>
          <w:color w:val="000000" w:themeColor="text1"/>
        </w:rPr>
        <w:t xml:space="preserve"> initial meeting has been arranged with the DfE </w:t>
      </w:r>
      <w:r w:rsidR="003F5D94">
        <w:rPr>
          <w:color w:val="000000" w:themeColor="text1"/>
        </w:rPr>
        <w:t>for th</w:t>
      </w:r>
      <w:r w:rsidR="00225E8D">
        <w:rPr>
          <w:color w:val="000000" w:themeColor="text1"/>
        </w:rPr>
        <w:t>e 22</w:t>
      </w:r>
      <w:r w:rsidR="00225E8D" w:rsidRPr="00225E8D">
        <w:rPr>
          <w:color w:val="000000" w:themeColor="text1"/>
          <w:vertAlign w:val="superscript"/>
        </w:rPr>
        <w:t>nd</w:t>
      </w:r>
      <w:r w:rsidR="00225E8D">
        <w:rPr>
          <w:color w:val="000000" w:themeColor="text1"/>
        </w:rPr>
        <w:t xml:space="preserve"> June with the expectation of </w:t>
      </w:r>
      <w:r w:rsidR="0095646E">
        <w:rPr>
          <w:color w:val="000000" w:themeColor="text1"/>
        </w:rPr>
        <w:t xml:space="preserve">a Management plan being </w:t>
      </w:r>
      <w:r w:rsidR="00090CBA">
        <w:rPr>
          <w:color w:val="000000" w:themeColor="text1"/>
        </w:rPr>
        <w:t>completed in the later part of the Autumn term</w:t>
      </w:r>
      <w:r w:rsidR="009633C9">
        <w:rPr>
          <w:color w:val="000000" w:themeColor="text1"/>
        </w:rPr>
        <w:t xml:space="preserve">. The draft management plan will </w:t>
      </w:r>
      <w:r w:rsidR="009F13F7">
        <w:rPr>
          <w:color w:val="000000" w:themeColor="text1"/>
        </w:rPr>
        <w:t xml:space="preserve">be reviewed with both </w:t>
      </w:r>
      <w:r w:rsidR="002D7915">
        <w:rPr>
          <w:color w:val="000000" w:themeColor="text1"/>
        </w:rPr>
        <w:t>t</w:t>
      </w:r>
      <w:r w:rsidR="009F13F7">
        <w:rPr>
          <w:color w:val="000000" w:themeColor="text1"/>
        </w:rPr>
        <w:t>he working group and the full Schools Forum</w:t>
      </w:r>
    </w:p>
    <w:p w14:paraId="6ACF9F25" w14:textId="77777777" w:rsidR="00ED15AD" w:rsidRDefault="00ED15AD" w:rsidP="00ED15AD">
      <w:pPr>
        <w:pStyle w:val="ListParagraph"/>
        <w:ind w:left="792"/>
        <w:rPr>
          <w:color w:val="000000" w:themeColor="text1"/>
        </w:rPr>
      </w:pPr>
    </w:p>
    <w:p w14:paraId="3ADCC7BA" w14:textId="34C072FD" w:rsidR="008E7EB7" w:rsidRDefault="008E7EB7" w:rsidP="008E7EB7">
      <w:pPr>
        <w:jc w:val="both"/>
        <w:rPr>
          <w:b/>
          <w:color w:val="000000" w:themeColor="text1"/>
        </w:rPr>
      </w:pPr>
    </w:p>
    <w:p w14:paraId="55BBC3CF" w14:textId="77777777" w:rsidR="00BF73B5" w:rsidRDefault="00BF73B5" w:rsidP="008E7EB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Early Years Block.</w:t>
      </w:r>
    </w:p>
    <w:p w14:paraId="696A3014" w14:textId="77777777" w:rsidR="00BF73B5" w:rsidRDefault="00BF73B5" w:rsidP="008E7EB7">
      <w:pPr>
        <w:jc w:val="both"/>
        <w:rPr>
          <w:b/>
          <w:color w:val="000000" w:themeColor="text1"/>
        </w:rPr>
      </w:pPr>
    </w:p>
    <w:p w14:paraId="69F142D2" w14:textId="2A14939C" w:rsidR="00BF73B5" w:rsidRPr="005824FC" w:rsidRDefault="0013583F" w:rsidP="00DE1946">
      <w:pPr>
        <w:pStyle w:val="ListParagraph"/>
        <w:numPr>
          <w:ilvl w:val="1"/>
          <w:numId w:val="11"/>
        </w:numPr>
        <w:jc w:val="both"/>
        <w:rPr>
          <w:b/>
          <w:color w:val="000000" w:themeColor="text1"/>
        </w:rPr>
      </w:pPr>
      <w:r w:rsidRPr="005824FC">
        <w:rPr>
          <w:bCs/>
          <w:color w:val="000000" w:themeColor="text1"/>
        </w:rPr>
        <w:t xml:space="preserve">The </w:t>
      </w:r>
      <w:r w:rsidR="009C195B" w:rsidRPr="005824FC">
        <w:rPr>
          <w:bCs/>
          <w:color w:val="000000" w:themeColor="text1"/>
        </w:rPr>
        <w:t>under</w:t>
      </w:r>
      <w:r w:rsidRPr="005824FC">
        <w:rPr>
          <w:bCs/>
          <w:color w:val="000000" w:themeColor="text1"/>
        </w:rPr>
        <w:t xml:space="preserve">spend </w:t>
      </w:r>
      <w:r w:rsidR="00612905" w:rsidRPr="005824FC">
        <w:rPr>
          <w:bCs/>
          <w:color w:val="000000" w:themeColor="text1"/>
        </w:rPr>
        <w:t>on</w:t>
      </w:r>
      <w:r w:rsidRPr="005824FC">
        <w:rPr>
          <w:bCs/>
          <w:color w:val="000000" w:themeColor="text1"/>
        </w:rPr>
        <w:t xml:space="preserve"> this block </w:t>
      </w:r>
      <w:r w:rsidR="006F44CE">
        <w:rPr>
          <w:bCs/>
          <w:color w:val="000000" w:themeColor="text1"/>
        </w:rPr>
        <w:t xml:space="preserve">was </w:t>
      </w:r>
      <w:r w:rsidR="008337A8">
        <w:rPr>
          <w:bCs/>
          <w:color w:val="000000" w:themeColor="text1"/>
        </w:rPr>
        <w:t>partly due to</w:t>
      </w:r>
      <w:r w:rsidR="00612905" w:rsidRPr="005824FC">
        <w:rPr>
          <w:bCs/>
          <w:color w:val="000000" w:themeColor="text1"/>
        </w:rPr>
        <w:t xml:space="preserve"> funding being received </w:t>
      </w:r>
      <w:r w:rsidR="009A3152" w:rsidRPr="005824FC">
        <w:rPr>
          <w:bCs/>
          <w:color w:val="000000" w:themeColor="text1"/>
        </w:rPr>
        <w:t xml:space="preserve">differently this year </w:t>
      </w:r>
      <w:r w:rsidR="008337A8">
        <w:rPr>
          <w:bCs/>
          <w:color w:val="000000" w:themeColor="text1"/>
        </w:rPr>
        <w:t>because of the uncertainty caused by</w:t>
      </w:r>
      <w:r w:rsidR="009A3152" w:rsidRPr="005824FC">
        <w:rPr>
          <w:bCs/>
          <w:color w:val="000000" w:themeColor="text1"/>
        </w:rPr>
        <w:t xml:space="preserve"> Covid</w:t>
      </w:r>
      <w:r w:rsidR="008337A8">
        <w:rPr>
          <w:bCs/>
          <w:color w:val="000000" w:themeColor="text1"/>
        </w:rPr>
        <w:t>. Funding</w:t>
      </w:r>
      <w:r w:rsidR="009A3152" w:rsidRPr="005824FC">
        <w:rPr>
          <w:bCs/>
          <w:color w:val="000000" w:themeColor="text1"/>
        </w:rPr>
        <w:t xml:space="preserve"> </w:t>
      </w:r>
      <w:r w:rsidR="00612905" w:rsidRPr="005824FC">
        <w:rPr>
          <w:bCs/>
          <w:color w:val="000000" w:themeColor="text1"/>
        </w:rPr>
        <w:t xml:space="preserve">from the Education and Skills Funding Agency (ESFA) </w:t>
      </w:r>
      <w:r w:rsidR="00146529">
        <w:rPr>
          <w:bCs/>
          <w:color w:val="000000" w:themeColor="text1"/>
        </w:rPr>
        <w:t>was</w:t>
      </w:r>
      <w:r w:rsidR="009632BA" w:rsidRPr="005824FC">
        <w:rPr>
          <w:bCs/>
          <w:color w:val="000000" w:themeColor="text1"/>
        </w:rPr>
        <w:t xml:space="preserve"> </w:t>
      </w:r>
      <w:r w:rsidR="00612905" w:rsidRPr="005824FC">
        <w:rPr>
          <w:bCs/>
          <w:color w:val="000000" w:themeColor="text1"/>
        </w:rPr>
        <w:t xml:space="preserve">based </w:t>
      </w:r>
      <w:r w:rsidR="009A3152" w:rsidRPr="005824FC">
        <w:rPr>
          <w:bCs/>
          <w:color w:val="000000" w:themeColor="text1"/>
        </w:rPr>
        <w:t>9</w:t>
      </w:r>
      <w:r w:rsidR="00612905" w:rsidRPr="005824FC">
        <w:rPr>
          <w:bCs/>
          <w:color w:val="000000" w:themeColor="text1"/>
        </w:rPr>
        <w:t>/12</w:t>
      </w:r>
      <w:r w:rsidR="00612905" w:rsidRPr="005824FC">
        <w:rPr>
          <w:bCs/>
          <w:color w:val="000000" w:themeColor="text1"/>
          <w:vertAlign w:val="superscript"/>
        </w:rPr>
        <w:t>ths</w:t>
      </w:r>
      <w:r w:rsidR="00612905" w:rsidRPr="005824FC">
        <w:rPr>
          <w:bCs/>
          <w:color w:val="000000" w:themeColor="text1"/>
        </w:rPr>
        <w:t xml:space="preserve"> on the January 20</w:t>
      </w:r>
      <w:r w:rsidR="009A3152" w:rsidRPr="005824FC">
        <w:rPr>
          <w:bCs/>
          <w:color w:val="000000" w:themeColor="text1"/>
        </w:rPr>
        <w:t>20</w:t>
      </w:r>
      <w:r w:rsidR="00612905" w:rsidRPr="005824FC">
        <w:rPr>
          <w:bCs/>
          <w:color w:val="000000" w:themeColor="text1"/>
        </w:rPr>
        <w:t xml:space="preserve"> and </w:t>
      </w:r>
      <w:r w:rsidR="009632BA" w:rsidRPr="005824FC">
        <w:rPr>
          <w:bCs/>
          <w:color w:val="000000" w:themeColor="text1"/>
        </w:rPr>
        <w:t>3</w:t>
      </w:r>
      <w:r w:rsidR="00612905" w:rsidRPr="005824FC">
        <w:rPr>
          <w:bCs/>
          <w:color w:val="000000" w:themeColor="text1"/>
        </w:rPr>
        <w:t>/12</w:t>
      </w:r>
      <w:r w:rsidR="00612905" w:rsidRPr="005824FC">
        <w:rPr>
          <w:bCs/>
          <w:color w:val="000000" w:themeColor="text1"/>
          <w:vertAlign w:val="superscript"/>
        </w:rPr>
        <w:t>ths</w:t>
      </w:r>
      <w:r w:rsidR="00612905" w:rsidRPr="005824FC">
        <w:rPr>
          <w:bCs/>
          <w:color w:val="000000" w:themeColor="text1"/>
        </w:rPr>
        <w:t xml:space="preserve"> on the January 202</w:t>
      </w:r>
      <w:r w:rsidR="00146529">
        <w:rPr>
          <w:bCs/>
          <w:color w:val="000000" w:themeColor="text1"/>
        </w:rPr>
        <w:t>1</w:t>
      </w:r>
      <w:r w:rsidR="00612905" w:rsidRPr="005824FC">
        <w:rPr>
          <w:bCs/>
          <w:color w:val="000000" w:themeColor="text1"/>
        </w:rPr>
        <w:t xml:space="preserve"> headcounts and censuses</w:t>
      </w:r>
      <w:r w:rsidR="002D7915">
        <w:rPr>
          <w:bCs/>
          <w:color w:val="000000" w:themeColor="text1"/>
        </w:rPr>
        <w:t>. This w</w:t>
      </w:r>
      <w:r w:rsidR="00146529">
        <w:rPr>
          <w:bCs/>
          <w:color w:val="000000" w:themeColor="text1"/>
        </w:rPr>
        <w:t>as previously</w:t>
      </w:r>
      <w:r w:rsidR="002D7915">
        <w:rPr>
          <w:bCs/>
          <w:color w:val="000000" w:themeColor="text1"/>
        </w:rPr>
        <w:t xml:space="preserve"> </w:t>
      </w:r>
      <w:r w:rsidR="00146529">
        <w:rPr>
          <w:bCs/>
          <w:color w:val="000000" w:themeColor="text1"/>
        </w:rPr>
        <w:t>more waited to the January 21 census</w:t>
      </w:r>
      <w:r w:rsidR="00612905" w:rsidRPr="005824FC">
        <w:rPr>
          <w:bCs/>
          <w:color w:val="000000" w:themeColor="text1"/>
        </w:rPr>
        <w:t xml:space="preserve">. </w:t>
      </w:r>
      <w:r w:rsidR="009632BA" w:rsidRPr="005824FC">
        <w:rPr>
          <w:bCs/>
          <w:color w:val="000000" w:themeColor="text1"/>
        </w:rPr>
        <w:t xml:space="preserve"> This</w:t>
      </w:r>
      <w:r w:rsidR="002D7915">
        <w:rPr>
          <w:bCs/>
          <w:color w:val="000000" w:themeColor="text1"/>
        </w:rPr>
        <w:t xml:space="preserve"> change</w:t>
      </w:r>
      <w:r w:rsidR="009632BA" w:rsidRPr="005824FC">
        <w:rPr>
          <w:bCs/>
          <w:color w:val="000000" w:themeColor="text1"/>
        </w:rPr>
        <w:t xml:space="preserve"> gave some level of protection where providers </w:t>
      </w:r>
      <w:r w:rsidR="00D23E62">
        <w:rPr>
          <w:bCs/>
          <w:color w:val="000000" w:themeColor="text1"/>
        </w:rPr>
        <w:t xml:space="preserve">funding levels </w:t>
      </w:r>
      <w:r w:rsidR="009632BA" w:rsidRPr="005824FC">
        <w:rPr>
          <w:bCs/>
          <w:color w:val="000000" w:themeColor="text1"/>
        </w:rPr>
        <w:t xml:space="preserve">were </w:t>
      </w:r>
      <w:r w:rsidR="008C0B93" w:rsidRPr="005824FC">
        <w:rPr>
          <w:bCs/>
          <w:color w:val="000000" w:themeColor="text1"/>
        </w:rPr>
        <w:t>protected for pupils signed up to provision but not attending</w:t>
      </w:r>
      <w:r w:rsidR="00D23E62">
        <w:rPr>
          <w:bCs/>
          <w:color w:val="000000" w:themeColor="text1"/>
        </w:rPr>
        <w:t>.</w:t>
      </w:r>
      <w:r w:rsidR="005824FC" w:rsidRPr="005824FC">
        <w:rPr>
          <w:bCs/>
          <w:color w:val="000000" w:themeColor="text1"/>
        </w:rPr>
        <w:t xml:space="preserve"> </w:t>
      </w:r>
      <w:r w:rsidR="00D23E62">
        <w:rPr>
          <w:bCs/>
          <w:color w:val="000000" w:themeColor="text1"/>
        </w:rPr>
        <w:t>H</w:t>
      </w:r>
      <w:r w:rsidR="005824FC" w:rsidRPr="005824FC">
        <w:rPr>
          <w:bCs/>
          <w:color w:val="000000" w:themeColor="text1"/>
        </w:rPr>
        <w:t>owever there where less new children coming into the system due to parental caution</w:t>
      </w:r>
      <w:r w:rsidR="002D7915">
        <w:rPr>
          <w:bCs/>
          <w:color w:val="000000" w:themeColor="text1"/>
        </w:rPr>
        <w:t xml:space="preserve"> which led to an underspend</w:t>
      </w:r>
      <w:r w:rsidR="005824FC" w:rsidRPr="005824FC">
        <w:rPr>
          <w:bCs/>
          <w:color w:val="000000" w:themeColor="text1"/>
        </w:rPr>
        <w:t>.</w:t>
      </w:r>
    </w:p>
    <w:p w14:paraId="4327CE8E" w14:textId="77777777" w:rsidR="005824FC" w:rsidRPr="005824FC" w:rsidRDefault="005824FC" w:rsidP="005824FC">
      <w:pPr>
        <w:pStyle w:val="ListParagraph"/>
        <w:ind w:left="716"/>
        <w:jc w:val="both"/>
        <w:rPr>
          <w:b/>
          <w:color w:val="000000" w:themeColor="text1"/>
        </w:rPr>
      </w:pPr>
    </w:p>
    <w:p w14:paraId="42E701F0" w14:textId="027449AD" w:rsidR="008E7EB7" w:rsidRDefault="008E7EB7" w:rsidP="008E7EB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Centrally Retained </w:t>
      </w:r>
      <w:r w:rsidR="00700E8D">
        <w:rPr>
          <w:b/>
          <w:color w:val="000000" w:themeColor="text1"/>
        </w:rPr>
        <w:t>Schools Block and Central School Services Block</w:t>
      </w:r>
      <w:r>
        <w:rPr>
          <w:b/>
          <w:color w:val="000000" w:themeColor="text1"/>
        </w:rPr>
        <w:t>.</w:t>
      </w:r>
    </w:p>
    <w:p w14:paraId="33422616" w14:textId="77777777" w:rsidR="008E7EB7" w:rsidRPr="008E7EB7" w:rsidRDefault="008E7EB7" w:rsidP="008E7EB7">
      <w:pPr>
        <w:jc w:val="both"/>
        <w:rPr>
          <w:b/>
          <w:color w:val="000000" w:themeColor="text1"/>
        </w:rPr>
      </w:pPr>
    </w:p>
    <w:p w14:paraId="7099643E" w14:textId="59C26AC3" w:rsidR="000D2210" w:rsidRPr="00844EFC" w:rsidRDefault="00844EFC" w:rsidP="00BB437E">
      <w:pPr>
        <w:pStyle w:val="ListParagraph"/>
        <w:numPr>
          <w:ilvl w:val="1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The Full Value of</w:t>
      </w:r>
      <w:r w:rsidR="00936C71">
        <w:rPr>
          <w:color w:val="000000" w:themeColor="text1"/>
        </w:rPr>
        <w:t xml:space="preserve"> all agreed contributions to delegated services</w:t>
      </w:r>
      <w:r w:rsidR="00042CDD">
        <w:rPr>
          <w:color w:val="000000" w:themeColor="text1"/>
        </w:rPr>
        <w:t xml:space="preserve"> have</w:t>
      </w:r>
      <w:r w:rsidR="00E72191">
        <w:rPr>
          <w:color w:val="000000" w:themeColor="text1"/>
        </w:rPr>
        <w:t xml:space="preserve"> been utilized this year through a </w:t>
      </w:r>
      <w:r w:rsidR="005B488F">
        <w:rPr>
          <w:color w:val="000000" w:themeColor="text1"/>
        </w:rPr>
        <w:t>contribution</w:t>
      </w:r>
      <w:r w:rsidR="00E72191">
        <w:rPr>
          <w:color w:val="000000" w:themeColor="text1"/>
        </w:rPr>
        <w:t xml:space="preserve"> </w:t>
      </w:r>
      <w:r w:rsidR="00042CDD">
        <w:rPr>
          <w:color w:val="000000" w:themeColor="text1"/>
        </w:rPr>
        <w:t xml:space="preserve">to the appropriate </w:t>
      </w:r>
      <w:r w:rsidR="00C0797B">
        <w:rPr>
          <w:color w:val="000000" w:themeColor="text1"/>
        </w:rPr>
        <w:t>budgets in line with the amounts de</w:t>
      </w:r>
      <w:r w:rsidR="0025736A">
        <w:rPr>
          <w:color w:val="000000" w:themeColor="text1"/>
        </w:rPr>
        <w:t>-</w:t>
      </w:r>
      <w:r w:rsidR="00C0797B">
        <w:rPr>
          <w:color w:val="000000" w:themeColor="text1"/>
        </w:rPr>
        <w:t xml:space="preserve">delegated </w:t>
      </w:r>
      <w:r w:rsidR="0025736A">
        <w:rPr>
          <w:color w:val="000000" w:themeColor="text1"/>
        </w:rPr>
        <w:t>and allocations to statutory services provided to maintained schools.</w:t>
      </w:r>
    </w:p>
    <w:p w14:paraId="47A7864D" w14:textId="77777777" w:rsidR="000D2210" w:rsidRPr="000D2210" w:rsidRDefault="000D2210" w:rsidP="000D2210">
      <w:pPr>
        <w:pStyle w:val="ListParagraph"/>
        <w:rPr>
          <w:color w:val="000000" w:themeColor="text1"/>
        </w:rPr>
      </w:pPr>
    </w:p>
    <w:p w14:paraId="63D52725" w14:textId="6CE7E4A1" w:rsidR="00775B48" w:rsidRPr="00936C71" w:rsidRDefault="005B488F" w:rsidP="009C0BA4">
      <w:pPr>
        <w:pStyle w:val="ListParagraph"/>
        <w:numPr>
          <w:ilvl w:val="2"/>
          <w:numId w:val="11"/>
        </w:numPr>
        <w:jc w:val="both"/>
        <w:rPr>
          <w:b/>
          <w:color w:val="000000" w:themeColor="text1"/>
        </w:rPr>
      </w:pPr>
      <w:r w:rsidRPr="00936C71">
        <w:rPr>
          <w:color w:val="000000" w:themeColor="text1"/>
        </w:rPr>
        <w:t>Overall,</w:t>
      </w:r>
      <w:r w:rsidR="005F26CE" w:rsidRPr="00936C71">
        <w:rPr>
          <w:color w:val="000000" w:themeColor="text1"/>
        </w:rPr>
        <w:t xml:space="preserve"> there is an underspend of </w:t>
      </w:r>
      <w:r w:rsidR="00B024C4" w:rsidRPr="00936C71">
        <w:rPr>
          <w:color w:val="000000" w:themeColor="text1"/>
        </w:rPr>
        <w:t>£</w:t>
      </w:r>
      <w:r w:rsidR="00902B91" w:rsidRPr="00936C71">
        <w:rPr>
          <w:color w:val="000000" w:themeColor="text1"/>
        </w:rPr>
        <w:t>0.3</w:t>
      </w:r>
      <w:r w:rsidR="00B024C4" w:rsidRPr="00936C71">
        <w:rPr>
          <w:color w:val="000000" w:themeColor="text1"/>
        </w:rPr>
        <w:t>m</w:t>
      </w:r>
      <w:r w:rsidR="00902B91" w:rsidRPr="00936C71">
        <w:rPr>
          <w:color w:val="000000" w:themeColor="text1"/>
        </w:rPr>
        <w:t xml:space="preserve"> </w:t>
      </w:r>
      <w:r w:rsidR="002D7915">
        <w:rPr>
          <w:color w:val="000000" w:themeColor="text1"/>
        </w:rPr>
        <w:t xml:space="preserve">in the schools </w:t>
      </w:r>
      <w:r w:rsidR="00902B91" w:rsidRPr="00936C71">
        <w:rPr>
          <w:color w:val="000000" w:themeColor="text1"/>
        </w:rPr>
        <w:t xml:space="preserve">which relates to an underspend in the </w:t>
      </w:r>
      <w:r w:rsidR="0025736A">
        <w:rPr>
          <w:color w:val="000000" w:themeColor="text1"/>
        </w:rPr>
        <w:t xml:space="preserve">School </w:t>
      </w:r>
      <w:r w:rsidR="00936C71" w:rsidRPr="00936C71">
        <w:rPr>
          <w:color w:val="000000" w:themeColor="text1"/>
        </w:rPr>
        <w:t>growth fund</w:t>
      </w:r>
      <w:r w:rsidR="006370C7">
        <w:rPr>
          <w:color w:val="000000" w:themeColor="text1"/>
        </w:rPr>
        <w:t xml:space="preserve">, which </w:t>
      </w:r>
      <w:r w:rsidR="002D7915">
        <w:rPr>
          <w:color w:val="000000" w:themeColor="text1"/>
        </w:rPr>
        <w:t>may</w:t>
      </w:r>
      <w:r w:rsidR="006370C7">
        <w:rPr>
          <w:color w:val="000000" w:themeColor="text1"/>
        </w:rPr>
        <w:t xml:space="preserve"> carry forward to support future growth</w:t>
      </w:r>
    </w:p>
    <w:p w14:paraId="7D03E8E9" w14:textId="77777777" w:rsidR="00936C71" w:rsidRPr="00936C71" w:rsidRDefault="00936C71" w:rsidP="00936C71">
      <w:pPr>
        <w:pStyle w:val="ListParagraph"/>
        <w:ind w:left="1224"/>
        <w:jc w:val="both"/>
        <w:rPr>
          <w:b/>
          <w:color w:val="000000" w:themeColor="text1"/>
        </w:rPr>
      </w:pPr>
    </w:p>
    <w:p w14:paraId="6E451D34" w14:textId="77777777" w:rsidR="001479AD" w:rsidRPr="001479AD" w:rsidRDefault="001479AD" w:rsidP="007245AD">
      <w:pPr>
        <w:pStyle w:val="ListParagraph"/>
        <w:numPr>
          <w:ilvl w:val="1"/>
          <w:numId w:val="11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Central School Services Block (CSSB).</w:t>
      </w:r>
    </w:p>
    <w:p w14:paraId="6C7E48A0" w14:textId="77777777" w:rsidR="001479AD" w:rsidRPr="001479AD" w:rsidRDefault="001479AD" w:rsidP="001479AD">
      <w:pPr>
        <w:pStyle w:val="ListParagraph"/>
        <w:ind w:left="792"/>
        <w:jc w:val="both"/>
        <w:rPr>
          <w:b/>
          <w:color w:val="000000" w:themeColor="text1"/>
        </w:rPr>
      </w:pPr>
    </w:p>
    <w:p w14:paraId="4CB8D6BA" w14:textId="54CEA3D8" w:rsidR="004D1C4B" w:rsidRDefault="005F26CE" w:rsidP="004D1C4B">
      <w:pPr>
        <w:pStyle w:val="ListParagraph"/>
        <w:numPr>
          <w:ilvl w:val="2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12B9">
        <w:rPr>
          <w:color w:val="000000" w:themeColor="text1"/>
        </w:rPr>
        <w:t xml:space="preserve">full value of the CSSB was utilized </w:t>
      </w:r>
      <w:r w:rsidR="006370C7">
        <w:rPr>
          <w:color w:val="000000" w:themeColor="text1"/>
        </w:rPr>
        <w:t xml:space="preserve">against </w:t>
      </w:r>
      <w:r w:rsidR="002B4791">
        <w:rPr>
          <w:color w:val="000000" w:themeColor="text1"/>
        </w:rPr>
        <w:t>central and statutory Education services</w:t>
      </w:r>
      <w:r w:rsidR="003512C7">
        <w:rPr>
          <w:color w:val="000000" w:themeColor="text1"/>
        </w:rPr>
        <w:t>, including additional costs incurred by the Co</w:t>
      </w:r>
      <w:r w:rsidR="003B656F">
        <w:rPr>
          <w:color w:val="000000" w:themeColor="text1"/>
        </w:rPr>
        <w:t>u</w:t>
      </w:r>
      <w:r w:rsidR="003512C7">
        <w:rPr>
          <w:color w:val="000000" w:themeColor="text1"/>
        </w:rPr>
        <w:t xml:space="preserve">ncil </w:t>
      </w:r>
      <w:r w:rsidR="003B656F">
        <w:rPr>
          <w:color w:val="000000" w:themeColor="text1"/>
        </w:rPr>
        <w:t xml:space="preserve">in relation to </w:t>
      </w:r>
      <w:r w:rsidR="00DA01FA">
        <w:rPr>
          <w:color w:val="000000" w:themeColor="text1"/>
        </w:rPr>
        <w:t xml:space="preserve">significant </w:t>
      </w:r>
      <w:r w:rsidR="002D7915">
        <w:rPr>
          <w:color w:val="000000" w:themeColor="text1"/>
        </w:rPr>
        <w:t xml:space="preserve">deficit write offs and redundancy costs </w:t>
      </w:r>
      <w:r w:rsidR="00D55991">
        <w:rPr>
          <w:color w:val="000000" w:themeColor="text1"/>
        </w:rPr>
        <w:t>of</w:t>
      </w:r>
      <w:r w:rsidR="003B656F">
        <w:rPr>
          <w:color w:val="000000" w:themeColor="text1"/>
        </w:rPr>
        <w:t xml:space="preserve"> the closure of two schools </w:t>
      </w:r>
      <w:r w:rsidR="00DA01FA">
        <w:rPr>
          <w:color w:val="000000" w:themeColor="text1"/>
        </w:rPr>
        <w:t>in year.</w:t>
      </w:r>
    </w:p>
    <w:p w14:paraId="232D7CA4" w14:textId="77777777" w:rsidR="00DA1EDC" w:rsidRDefault="00DA1EDC" w:rsidP="00DA1EDC">
      <w:pPr>
        <w:jc w:val="both"/>
        <w:rPr>
          <w:color w:val="000000" w:themeColor="text1"/>
        </w:rPr>
      </w:pPr>
    </w:p>
    <w:p w14:paraId="377D10B9" w14:textId="77777777" w:rsidR="00DA1EDC" w:rsidRDefault="00DA1EDC" w:rsidP="00DA1EDC">
      <w:pPr>
        <w:jc w:val="both"/>
        <w:rPr>
          <w:color w:val="000000" w:themeColor="text1"/>
        </w:rPr>
      </w:pPr>
    </w:p>
    <w:p w14:paraId="16F2C244" w14:textId="7D780EA5" w:rsidR="001479AD" w:rsidRDefault="004D79DD" w:rsidP="004D79DD">
      <w:pPr>
        <w:pStyle w:val="ListParagraph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 w:rsidRPr="004D79DD">
        <w:rPr>
          <w:b/>
          <w:bCs/>
          <w:color w:val="000000" w:themeColor="text1"/>
        </w:rPr>
        <w:t>Carry Forward/ Transfer of Balances</w:t>
      </w:r>
      <w:r w:rsidR="004D1C4B" w:rsidRPr="004D79DD">
        <w:rPr>
          <w:b/>
          <w:bCs/>
          <w:color w:val="000000" w:themeColor="text1"/>
        </w:rPr>
        <w:t xml:space="preserve"> </w:t>
      </w:r>
    </w:p>
    <w:p w14:paraId="01D6C642" w14:textId="77777777" w:rsidR="009F23E8" w:rsidRDefault="009F23E8" w:rsidP="009F23E8">
      <w:pPr>
        <w:pStyle w:val="ListParagraph"/>
        <w:ind w:left="360"/>
        <w:jc w:val="both"/>
        <w:rPr>
          <w:b/>
          <w:bCs/>
          <w:color w:val="000000" w:themeColor="text1"/>
        </w:rPr>
      </w:pPr>
    </w:p>
    <w:p w14:paraId="68D022C8" w14:textId="5C9A1109" w:rsidR="00D57CF1" w:rsidRPr="00FC31F0" w:rsidRDefault="000F10FE" w:rsidP="00847AE3">
      <w:pPr>
        <w:pStyle w:val="ListParagraph"/>
        <w:numPr>
          <w:ilvl w:val="1"/>
          <w:numId w:val="11"/>
        </w:numPr>
        <w:ind w:left="480"/>
        <w:jc w:val="both"/>
        <w:rPr>
          <w:rFonts w:cs="Arial"/>
          <w:b/>
          <w:bCs/>
          <w:color w:val="000000"/>
          <w:sz w:val="22"/>
          <w:szCs w:val="22"/>
        </w:rPr>
      </w:pPr>
      <w:r w:rsidRPr="00FC31F0">
        <w:rPr>
          <w:color w:val="000000" w:themeColor="text1"/>
        </w:rPr>
        <w:t xml:space="preserve">It is recommended </w:t>
      </w:r>
      <w:r w:rsidR="002A493D" w:rsidRPr="00FC31F0">
        <w:rPr>
          <w:color w:val="000000" w:themeColor="text1"/>
        </w:rPr>
        <w:t xml:space="preserve">the balances </w:t>
      </w:r>
      <w:r w:rsidR="00EA1C80" w:rsidRPr="00FC31F0">
        <w:rPr>
          <w:color w:val="000000" w:themeColor="text1"/>
        </w:rPr>
        <w:t xml:space="preserve">bought forward from </w:t>
      </w:r>
      <w:r w:rsidR="003301FE" w:rsidRPr="00FC31F0">
        <w:rPr>
          <w:color w:val="000000" w:themeColor="text1"/>
        </w:rPr>
        <w:t xml:space="preserve">previous years </w:t>
      </w:r>
      <w:r w:rsidR="00365E3C" w:rsidRPr="00FC31F0">
        <w:rPr>
          <w:color w:val="000000" w:themeColor="text1"/>
        </w:rPr>
        <w:t xml:space="preserve">offset </w:t>
      </w:r>
      <w:r w:rsidR="002452BF" w:rsidRPr="00FC31F0">
        <w:rPr>
          <w:color w:val="000000" w:themeColor="text1"/>
        </w:rPr>
        <w:t xml:space="preserve">the </w:t>
      </w:r>
      <w:r w:rsidR="009F23E8" w:rsidRPr="00FC31F0">
        <w:rPr>
          <w:color w:val="000000" w:themeColor="text1"/>
        </w:rPr>
        <w:t>overspend in the high needs block</w:t>
      </w:r>
      <w:r w:rsidR="00663B55" w:rsidRPr="00FC31F0">
        <w:rPr>
          <w:color w:val="000000" w:themeColor="text1"/>
        </w:rPr>
        <w:t>, and that only the growth fund surplus from the 2020/21</w:t>
      </w:r>
      <w:r w:rsidR="00044126" w:rsidRPr="00FC31F0">
        <w:rPr>
          <w:color w:val="000000" w:themeColor="text1"/>
        </w:rPr>
        <w:t xml:space="preserve"> of £0.3m</w:t>
      </w:r>
      <w:r w:rsidR="00663B55" w:rsidRPr="00FC31F0">
        <w:rPr>
          <w:color w:val="000000" w:themeColor="text1"/>
        </w:rPr>
        <w:t xml:space="preserve"> is carried forward against the Schools block</w:t>
      </w:r>
      <w:r w:rsidR="00044126" w:rsidRPr="00FC31F0">
        <w:rPr>
          <w:color w:val="000000" w:themeColor="text1"/>
        </w:rPr>
        <w:t xml:space="preserve"> and the net underspend of </w:t>
      </w:r>
      <w:r w:rsidR="00B86D60" w:rsidRPr="00FC31F0">
        <w:rPr>
          <w:color w:val="000000" w:themeColor="text1"/>
        </w:rPr>
        <w:t>0.3m in the early years block</w:t>
      </w:r>
      <w:r w:rsidR="001778B8" w:rsidRPr="00FC31F0">
        <w:rPr>
          <w:color w:val="000000" w:themeColor="text1"/>
        </w:rPr>
        <w:t xml:space="preserve">. This would give a </w:t>
      </w:r>
      <w:r w:rsidR="009378DD" w:rsidRPr="00FC31F0">
        <w:rPr>
          <w:color w:val="000000" w:themeColor="text1"/>
        </w:rPr>
        <w:t>provisional outturn in the high needs block of £11.9m.</w:t>
      </w:r>
    </w:p>
    <w:sectPr w:rsidR="00D57CF1" w:rsidRPr="00FC31F0" w:rsidSect="00FC31F0">
      <w:footerReference w:type="default" r:id="rId11"/>
      <w:footerReference w:type="first" r:id="rId12"/>
      <w:pgSz w:w="11906" w:h="16838" w:code="9"/>
      <w:pgMar w:top="1440" w:right="1080" w:bottom="1440" w:left="1080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543E" w14:textId="77777777" w:rsidR="00A548ED" w:rsidRDefault="00A548ED">
      <w:r>
        <w:separator/>
      </w:r>
    </w:p>
  </w:endnote>
  <w:endnote w:type="continuationSeparator" w:id="0">
    <w:p w14:paraId="00FC778F" w14:textId="77777777" w:rsidR="00A548ED" w:rsidRDefault="00A548ED">
      <w:r>
        <w:continuationSeparator/>
      </w:r>
    </w:p>
  </w:endnote>
  <w:endnote w:type="continuationNotice" w:id="1">
    <w:p w14:paraId="2A49A525" w14:textId="77777777" w:rsidR="001A2014" w:rsidRDefault="001A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869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7BD1" w14:textId="06CE8B49" w:rsidR="0086240E" w:rsidRDefault="00862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F54D3" w14:textId="77777777" w:rsidR="0086240E" w:rsidRDefault="0086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815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52C9" w14:textId="4B810EB7" w:rsidR="0086240E" w:rsidRDefault="00862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4D9B3" w14:textId="77777777" w:rsidR="0086240E" w:rsidRDefault="0086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B46E3" w14:textId="77777777" w:rsidR="00A548ED" w:rsidRDefault="00A548ED">
      <w:r>
        <w:separator/>
      </w:r>
    </w:p>
  </w:footnote>
  <w:footnote w:type="continuationSeparator" w:id="0">
    <w:p w14:paraId="7B696CCE" w14:textId="77777777" w:rsidR="00A548ED" w:rsidRDefault="00A548ED">
      <w:r>
        <w:continuationSeparator/>
      </w:r>
    </w:p>
  </w:footnote>
  <w:footnote w:type="continuationNotice" w:id="1">
    <w:p w14:paraId="58C87A5D" w14:textId="77777777" w:rsidR="001A2014" w:rsidRDefault="001A2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C19CA"/>
    <w:multiLevelType w:val="hybridMultilevel"/>
    <w:tmpl w:val="298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0FC"/>
    <w:multiLevelType w:val="hybridMultilevel"/>
    <w:tmpl w:val="DB4A2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7EA9"/>
    <w:multiLevelType w:val="hybridMultilevel"/>
    <w:tmpl w:val="F8D2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A4EA0"/>
    <w:multiLevelType w:val="hybridMultilevel"/>
    <w:tmpl w:val="2E20E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C0C64"/>
    <w:multiLevelType w:val="hybridMultilevel"/>
    <w:tmpl w:val="07BAC78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31F7A51"/>
    <w:multiLevelType w:val="hybridMultilevel"/>
    <w:tmpl w:val="A68A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040B"/>
    <w:multiLevelType w:val="hybridMultilevel"/>
    <w:tmpl w:val="95F4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B16FA"/>
    <w:multiLevelType w:val="hybridMultilevel"/>
    <w:tmpl w:val="6FD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2D42"/>
    <w:multiLevelType w:val="hybridMultilevel"/>
    <w:tmpl w:val="3F4A7E4E"/>
    <w:lvl w:ilvl="0" w:tplc="51F4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921CC"/>
    <w:multiLevelType w:val="hybridMultilevel"/>
    <w:tmpl w:val="A6FA78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D821B91"/>
    <w:multiLevelType w:val="hybridMultilevel"/>
    <w:tmpl w:val="92E613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16732"/>
    <w:multiLevelType w:val="hybridMultilevel"/>
    <w:tmpl w:val="7D30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580768"/>
    <w:multiLevelType w:val="hybridMultilevel"/>
    <w:tmpl w:val="A5A67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39AD"/>
    <w:rsid w:val="000055C6"/>
    <w:rsid w:val="00005D31"/>
    <w:rsid w:val="00011A38"/>
    <w:rsid w:val="000164EC"/>
    <w:rsid w:val="0002125B"/>
    <w:rsid w:val="0002180D"/>
    <w:rsid w:val="00023434"/>
    <w:rsid w:val="00025F55"/>
    <w:rsid w:val="00026A03"/>
    <w:rsid w:val="000339DC"/>
    <w:rsid w:val="00041E9D"/>
    <w:rsid w:val="00042CDD"/>
    <w:rsid w:val="00044126"/>
    <w:rsid w:val="00046FCB"/>
    <w:rsid w:val="0005284B"/>
    <w:rsid w:val="00060FED"/>
    <w:rsid w:val="0007256E"/>
    <w:rsid w:val="000770D5"/>
    <w:rsid w:val="00077299"/>
    <w:rsid w:val="000813DA"/>
    <w:rsid w:val="00083BBE"/>
    <w:rsid w:val="0008668C"/>
    <w:rsid w:val="000879FB"/>
    <w:rsid w:val="00090CBA"/>
    <w:rsid w:val="000A6EEE"/>
    <w:rsid w:val="000A7872"/>
    <w:rsid w:val="000A78CA"/>
    <w:rsid w:val="000B09D9"/>
    <w:rsid w:val="000B24B2"/>
    <w:rsid w:val="000B62AF"/>
    <w:rsid w:val="000C12F6"/>
    <w:rsid w:val="000C1387"/>
    <w:rsid w:val="000C2B76"/>
    <w:rsid w:val="000C55F2"/>
    <w:rsid w:val="000D2210"/>
    <w:rsid w:val="000D23BD"/>
    <w:rsid w:val="000D3037"/>
    <w:rsid w:val="000D6C01"/>
    <w:rsid w:val="000D6FF5"/>
    <w:rsid w:val="000D7FE8"/>
    <w:rsid w:val="000E153F"/>
    <w:rsid w:val="000E5EAC"/>
    <w:rsid w:val="000E7C2D"/>
    <w:rsid w:val="000F02CD"/>
    <w:rsid w:val="000F0BCB"/>
    <w:rsid w:val="000F10FE"/>
    <w:rsid w:val="000F77A1"/>
    <w:rsid w:val="000F7FF0"/>
    <w:rsid w:val="00101397"/>
    <w:rsid w:val="00102CEB"/>
    <w:rsid w:val="00106EA4"/>
    <w:rsid w:val="00107D64"/>
    <w:rsid w:val="00115CC1"/>
    <w:rsid w:val="00117547"/>
    <w:rsid w:val="00123518"/>
    <w:rsid w:val="00123BD5"/>
    <w:rsid w:val="00124860"/>
    <w:rsid w:val="00124892"/>
    <w:rsid w:val="0013087F"/>
    <w:rsid w:val="001320A2"/>
    <w:rsid w:val="00133AC3"/>
    <w:rsid w:val="0013583F"/>
    <w:rsid w:val="001370C6"/>
    <w:rsid w:val="0013750C"/>
    <w:rsid w:val="00137E81"/>
    <w:rsid w:val="00143114"/>
    <w:rsid w:val="001445AD"/>
    <w:rsid w:val="00146529"/>
    <w:rsid w:val="00146B40"/>
    <w:rsid w:val="001479AD"/>
    <w:rsid w:val="0015158B"/>
    <w:rsid w:val="00151AD1"/>
    <w:rsid w:val="00152F4B"/>
    <w:rsid w:val="001617F7"/>
    <w:rsid w:val="00163648"/>
    <w:rsid w:val="001637DD"/>
    <w:rsid w:val="001638D3"/>
    <w:rsid w:val="001659C6"/>
    <w:rsid w:val="0017032B"/>
    <w:rsid w:val="00171274"/>
    <w:rsid w:val="001761E9"/>
    <w:rsid w:val="0017674E"/>
    <w:rsid w:val="00177800"/>
    <w:rsid w:val="001778B8"/>
    <w:rsid w:val="00180B04"/>
    <w:rsid w:val="001810FE"/>
    <w:rsid w:val="0018448F"/>
    <w:rsid w:val="00184A94"/>
    <w:rsid w:val="001852E5"/>
    <w:rsid w:val="001878D8"/>
    <w:rsid w:val="0019143A"/>
    <w:rsid w:val="001919B1"/>
    <w:rsid w:val="00192D3C"/>
    <w:rsid w:val="00196CF1"/>
    <w:rsid w:val="00197666"/>
    <w:rsid w:val="001A09E1"/>
    <w:rsid w:val="001A2014"/>
    <w:rsid w:val="001A2886"/>
    <w:rsid w:val="001A3845"/>
    <w:rsid w:val="001A61AA"/>
    <w:rsid w:val="001A73BF"/>
    <w:rsid w:val="001A74CC"/>
    <w:rsid w:val="001B1591"/>
    <w:rsid w:val="001B259F"/>
    <w:rsid w:val="001B4E89"/>
    <w:rsid w:val="001B7088"/>
    <w:rsid w:val="001C209A"/>
    <w:rsid w:val="001C48A1"/>
    <w:rsid w:val="001C4EFA"/>
    <w:rsid w:val="001C6F21"/>
    <w:rsid w:val="001D4DD6"/>
    <w:rsid w:val="001D6BA4"/>
    <w:rsid w:val="001E4116"/>
    <w:rsid w:val="001E472B"/>
    <w:rsid w:val="001E7624"/>
    <w:rsid w:val="001F3545"/>
    <w:rsid w:val="001F661F"/>
    <w:rsid w:val="00200347"/>
    <w:rsid w:val="00203198"/>
    <w:rsid w:val="00203EAA"/>
    <w:rsid w:val="002051AB"/>
    <w:rsid w:val="00205496"/>
    <w:rsid w:val="00213744"/>
    <w:rsid w:val="002167D2"/>
    <w:rsid w:val="00221B84"/>
    <w:rsid w:val="00223C9A"/>
    <w:rsid w:val="002246CA"/>
    <w:rsid w:val="002251FE"/>
    <w:rsid w:val="00225E8D"/>
    <w:rsid w:val="0022611B"/>
    <w:rsid w:val="00227C8E"/>
    <w:rsid w:val="0023028E"/>
    <w:rsid w:val="00231641"/>
    <w:rsid w:val="00231AB4"/>
    <w:rsid w:val="002427BF"/>
    <w:rsid w:val="002452BF"/>
    <w:rsid w:val="00246223"/>
    <w:rsid w:val="00250468"/>
    <w:rsid w:val="00253B34"/>
    <w:rsid w:val="00254D79"/>
    <w:rsid w:val="00255AF0"/>
    <w:rsid w:val="00255B22"/>
    <w:rsid w:val="00255B4E"/>
    <w:rsid w:val="0025632D"/>
    <w:rsid w:val="0025736A"/>
    <w:rsid w:val="002640E1"/>
    <w:rsid w:val="00264249"/>
    <w:rsid w:val="00264B6C"/>
    <w:rsid w:val="0026505F"/>
    <w:rsid w:val="00273AC3"/>
    <w:rsid w:val="002843FB"/>
    <w:rsid w:val="00287DBD"/>
    <w:rsid w:val="0029022D"/>
    <w:rsid w:val="00291476"/>
    <w:rsid w:val="0029323C"/>
    <w:rsid w:val="00294E1F"/>
    <w:rsid w:val="002958F1"/>
    <w:rsid w:val="002A0D9E"/>
    <w:rsid w:val="002A1BF1"/>
    <w:rsid w:val="002A1F3F"/>
    <w:rsid w:val="002A493D"/>
    <w:rsid w:val="002A69DC"/>
    <w:rsid w:val="002B32E8"/>
    <w:rsid w:val="002B4713"/>
    <w:rsid w:val="002B4791"/>
    <w:rsid w:val="002B6C1C"/>
    <w:rsid w:val="002D7915"/>
    <w:rsid w:val="002E27CC"/>
    <w:rsid w:val="002E57C7"/>
    <w:rsid w:val="002F55A8"/>
    <w:rsid w:val="00300DF2"/>
    <w:rsid w:val="0030490E"/>
    <w:rsid w:val="00305F74"/>
    <w:rsid w:val="00306179"/>
    <w:rsid w:val="00306353"/>
    <w:rsid w:val="00307098"/>
    <w:rsid w:val="00307B81"/>
    <w:rsid w:val="0031090B"/>
    <w:rsid w:val="003115CD"/>
    <w:rsid w:val="00316412"/>
    <w:rsid w:val="00322E4D"/>
    <w:rsid w:val="00325AE4"/>
    <w:rsid w:val="003301FE"/>
    <w:rsid w:val="003322EA"/>
    <w:rsid w:val="003345A8"/>
    <w:rsid w:val="0034258A"/>
    <w:rsid w:val="0035001D"/>
    <w:rsid w:val="003512C7"/>
    <w:rsid w:val="0035185E"/>
    <w:rsid w:val="00351F12"/>
    <w:rsid w:val="003531BB"/>
    <w:rsid w:val="003536FC"/>
    <w:rsid w:val="003564B6"/>
    <w:rsid w:val="00361F94"/>
    <w:rsid w:val="003629DA"/>
    <w:rsid w:val="00365C22"/>
    <w:rsid w:val="00365E3C"/>
    <w:rsid w:val="00367965"/>
    <w:rsid w:val="00371393"/>
    <w:rsid w:val="003754E3"/>
    <w:rsid w:val="0038332C"/>
    <w:rsid w:val="0039134E"/>
    <w:rsid w:val="003920CB"/>
    <w:rsid w:val="00394DEA"/>
    <w:rsid w:val="00397511"/>
    <w:rsid w:val="003A12A4"/>
    <w:rsid w:val="003A14A2"/>
    <w:rsid w:val="003A7452"/>
    <w:rsid w:val="003B2548"/>
    <w:rsid w:val="003B3AEF"/>
    <w:rsid w:val="003B3B0E"/>
    <w:rsid w:val="003B656F"/>
    <w:rsid w:val="003B700C"/>
    <w:rsid w:val="003B7621"/>
    <w:rsid w:val="003C1879"/>
    <w:rsid w:val="003C1DE3"/>
    <w:rsid w:val="003C4300"/>
    <w:rsid w:val="003D08B1"/>
    <w:rsid w:val="003D3995"/>
    <w:rsid w:val="003D435E"/>
    <w:rsid w:val="003E00BB"/>
    <w:rsid w:val="003E6E46"/>
    <w:rsid w:val="003F5D94"/>
    <w:rsid w:val="003F6281"/>
    <w:rsid w:val="00404DAF"/>
    <w:rsid w:val="004056A4"/>
    <w:rsid w:val="00405741"/>
    <w:rsid w:val="00405B39"/>
    <w:rsid w:val="0041038E"/>
    <w:rsid w:val="00410D37"/>
    <w:rsid w:val="004130DB"/>
    <w:rsid w:val="00414FDB"/>
    <w:rsid w:val="00420766"/>
    <w:rsid w:val="00421266"/>
    <w:rsid w:val="00421504"/>
    <w:rsid w:val="004256EA"/>
    <w:rsid w:val="004277FE"/>
    <w:rsid w:val="00433877"/>
    <w:rsid w:val="004342D6"/>
    <w:rsid w:val="00434EDA"/>
    <w:rsid w:val="004402FA"/>
    <w:rsid w:val="00441930"/>
    <w:rsid w:val="00444C0E"/>
    <w:rsid w:val="00446519"/>
    <w:rsid w:val="004478AE"/>
    <w:rsid w:val="00451CF7"/>
    <w:rsid w:val="004529FF"/>
    <w:rsid w:val="00452FA3"/>
    <w:rsid w:val="00457528"/>
    <w:rsid w:val="00457C65"/>
    <w:rsid w:val="00464D42"/>
    <w:rsid w:val="00465C26"/>
    <w:rsid w:val="00466C73"/>
    <w:rsid w:val="004705A1"/>
    <w:rsid w:val="00472A92"/>
    <w:rsid w:val="0048219E"/>
    <w:rsid w:val="004838C5"/>
    <w:rsid w:val="0048399E"/>
    <w:rsid w:val="004862AC"/>
    <w:rsid w:val="004862E0"/>
    <w:rsid w:val="00486492"/>
    <w:rsid w:val="00491DC6"/>
    <w:rsid w:val="00492604"/>
    <w:rsid w:val="00493052"/>
    <w:rsid w:val="004A0F22"/>
    <w:rsid w:val="004A2E13"/>
    <w:rsid w:val="004A2E94"/>
    <w:rsid w:val="004A64C6"/>
    <w:rsid w:val="004B1220"/>
    <w:rsid w:val="004B347E"/>
    <w:rsid w:val="004B6ED7"/>
    <w:rsid w:val="004B7D19"/>
    <w:rsid w:val="004B7D3B"/>
    <w:rsid w:val="004D03E3"/>
    <w:rsid w:val="004D1C4B"/>
    <w:rsid w:val="004D27CE"/>
    <w:rsid w:val="004D4FF7"/>
    <w:rsid w:val="004D5594"/>
    <w:rsid w:val="004D79DD"/>
    <w:rsid w:val="004D7D73"/>
    <w:rsid w:val="004E357D"/>
    <w:rsid w:val="004F6589"/>
    <w:rsid w:val="004F67E3"/>
    <w:rsid w:val="00500576"/>
    <w:rsid w:val="00501776"/>
    <w:rsid w:val="0050651C"/>
    <w:rsid w:val="0050719C"/>
    <w:rsid w:val="00510168"/>
    <w:rsid w:val="005112CE"/>
    <w:rsid w:val="00512519"/>
    <w:rsid w:val="00517934"/>
    <w:rsid w:val="0053007E"/>
    <w:rsid w:val="005301D7"/>
    <w:rsid w:val="0053384C"/>
    <w:rsid w:val="00534464"/>
    <w:rsid w:val="005400C7"/>
    <w:rsid w:val="0054015A"/>
    <w:rsid w:val="00540291"/>
    <w:rsid w:val="005404BE"/>
    <w:rsid w:val="00545A21"/>
    <w:rsid w:val="005520F5"/>
    <w:rsid w:val="00552A9D"/>
    <w:rsid w:val="005638F5"/>
    <w:rsid w:val="00565F48"/>
    <w:rsid w:val="00571B84"/>
    <w:rsid w:val="005723CA"/>
    <w:rsid w:val="00572E2A"/>
    <w:rsid w:val="00573A52"/>
    <w:rsid w:val="00580113"/>
    <w:rsid w:val="00581CFC"/>
    <w:rsid w:val="005824FC"/>
    <w:rsid w:val="00582A23"/>
    <w:rsid w:val="005840FC"/>
    <w:rsid w:val="005843ED"/>
    <w:rsid w:val="00584A63"/>
    <w:rsid w:val="00587998"/>
    <w:rsid w:val="005923CC"/>
    <w:rsid w:val="005934AD"/>
    <w:rsid w:val="00594723"/>
    <w:rsid w:val="0059662E"/>
    <w:rsid w:val="00597EE4"/>
    <w:rsid w:val="005A152C"/>
    <w:rsid w:val="005A1E97"/>
    <w:rsid w:val="005A2910"/>
    <w:rsid w:val="005A29F4"/>
    <w:rsid w:val="005A2D18"/>
    <w:rsid w:val="005A3C4D"/>
    <w:rsid w:val="005A3F24"/>
    <w:rsid w:val="005A4229"/>
    <w:rsid w:val="005B36F3"/>
    <w:rsid w:val="005B488F"/>
    <w:rsid w:val="005B71A8"/>
    <w:rsid w:val="005C1322"/>
    <w:rsid w:val="005C2C39"/>
    <w:rsid w:val="005C6C38"/>
    <w:rsid w:val="005D0E2D"/>
    <w:rsid w:val="005D57DA"/>
    <w:rsid w:val="005D61F5"/>
    <w:rsid w:val="005D6A71"/>
    <w:rsid w:val="005E090C"/>
    <w:rsid w:val="005E18A0"/>
    <w:rsid w:val="005E6861"/>
    <w:rsid w:val="005E73D8"/>
    <w:rsid w:val="005E7F7D"/>
    <w:rsid w:val="005F14CE"/>
    <w:rsid w:val="005F1CE0"/>
    <w:rsid w:val="005F26CE"/>
    <w:rsid w:val="005F399C"/>
    <w:rsid w:val="005F5DFA"/>
    <w:rsid w:val="005F7ECB"/>
    <w:rsid w:val="006016D4"/>
    <w:rsid w:val="00605CDF"/>
    <w:rsid w:val="0060737E"/>
    <w:rsid w:val="006077E0"/>
    <w:rsid w:val="00611F9B"/>
    <w:rsid w:val="00612905"/>
    <w:rsid w:val="006134FA"/>
    <w:rsid w:val="00613717"/>
    <w:rsid w:val="00614512"/>
    <w:rsid w:val="0061485C"/>
    <w:rsid w:val="00626E54"/>
    <w:rsid w:val="00627670"/>
    <w:rsid w:val="0063063F"/>
    <w:rsid w:val="006370C7"/>
    <w:rsid w:val="00640535"/>
    <w:rsid w:val="006413E6"/>
    <w:rsid w:val="00645430"/>
    <w:rsid w:val="0064560E"/>
    <w:rsid w:val="00646554"/>
    <w:rsid w:val="00646D3B"/>
    <w:rsid w:val="00650C89"/>
    <w:rsid w:val="00651DAF"/>
    <w:rsid w:val="0065202F"/>
    <w:rsid w:val="00653479"/>
    <w:rsid w:val="00661156"/>
    <w:rsid w:val="00663B55"/>
    <w:rsid w:val="00666073"/>
    <w:rsid w:val="00666C61"/>
    <w:rsid w:val="006706BB"/>
    <w:rsid w:val="006706D9"/>
    <w:rsid w:val="00671CCB"/>
    <w:rsid w:val="0067369D"/>
    <w:rsid w:val="00674AD4"/>
    <w:rsid w:val="0068212D"/>
    <w:rsid w:val="00690411"/>
    <w:rsid w:val="00690471"/>
    <w:rsid w:val="00690BB3"/>
    <w:rsid w:val="00692D59"/>
    <w:rsid w:val="00695F0A"/>
    <w:rsid w:val="00697436"/>
    <w:rsid w:val="0069748F"/>
    <w:rsid w:val="006A078D"/>
    <w:rsid w:val="006A1261"/>
    <w:rsid w:val="006A32EB"/>
    <w:rsid w:val="006A34F9"/>
    <w:rsid w:val="006A62CE"/>
    <w:rsid w:val="006B68FA"/>
    <w:rsid w:val="006B69E8"/>
    <w:rsid w:val="006C1E39"/>
    <w:rsid w:val="006C3E43"/>
    <w:rsid w:val="006C5A10"/>
    <w:rsid w:val="006C63CE"/>
    <w:rsid w:val="006C6470"/>
    <w:rsid w:val="006C75C1"/>
    <w:rsid w:val="006C7A55"/>
    <w:rsid w:val="006D478E"/>
    <w:rsid w:val="006D64E4"/>
    <w:rsid w:val="006E32DC"/>
    <w:rsid w:val="006E4D4F"/>
    <w:rsid w:val="006E6773"/>
    <w:rsid w:val="006E6E13"/>
    <w:rsid w:val="006F119E"/>
    <w:rsid w:val="006F1734"/>
    <w:rsid w:val="006F2AAB"/>
    <w:rsid w:val="006F2E0C"/>
    <w:rsid w:val="006F44CE"/>
    <w:rsid w:val="006F4CE3"/>
    <w:rsid w:val="00700E8D"/>
    <w:rsid w:val="007032A6"/>
    <w:rsid w:val="0071067E"/>
    <w:rsid w:val="0071199C"/>
    <w:rsid w:val="00713A80"/>
    <w:rsid w:val="00715428"/>
    <w:rsid w:val="00715E7F"/>
    <w:rsid w:val="0072267D"/>
    <w:rsid w:val="007245AD"/>
    <w:rsid w:val="00724C59"/>
    <w:rsid w:val="00725004"/>
    <w:rsid w:val="00727022"/>
    <w:rsid w:val="00727E6B"/>
    <w:rsid w:val="0073156E"/>
    <w:rsid w:val="00734345"/>
    <w:rsid w:val="0073475B"/>
    <w:rsid w:val="0073697C"/>
    <w:rsid w:val="007420EE"/>
    <w:rsid w:val="007443D5"/>
    <w:rsid w:val="00744C03"/>
    <w:rsid w:val="0074574C"/>
    <w:rsid w:val="0075189C"/>
    <w:rsid w:val="007536BC"/>
    <w:rsid w:val="00753F5C"/>
    <w:rsid w:val="00754A70"/>
    <w:rsid w:val="00756E82"/>
    <w:rsid w:val="00764D51"/>
    <w:rsid w:val="007654C8"/>
    <w:rsid w:val="007731C8"/>
    <w:rsid w:val="00775B48"/>
    <w:rsid w:val="007766FD"/>
    <w:rsid w:val="00776CAA"/>
    <w:rsid w:val="00777C75"/>
    <w:rsid w:val="007830A0"/>
    <w:rsid w:val="007835A7"/>
    <w:rsid w:val="00785635"/>
    <w:rsid w:val="007868EC"/>
    <w:rsid w:val="00787C74"/>
    <w:rsid w:val="00793F85"/>
    <w:rsid w:val="007976AC"/>
    <w:rsid w:val="00797C2F"/>
    <w:rsid w:val="007A0400"/>
    <w:rsid w:val="007A417B"/>
    <w:rsid w:val="007B0E4D"/>
    <w:rsid w:val="007B1595"/>
    <w:rsid w:val="007B267B"/>
    <w:rsid w:val="007C0808"/>
    <w:rsid w:val="007C3603"/>
    <w:rsid w:val="007C5374"/>
    <w:rsid w:val="007C5969"/>
    <w:rsid w:val="007D15CC"/>
    <w:rsid w:val="007D183D"/>
    <w:rsid w:val="007D3E13"/>
    <w:rsid w:val="007D695C"/>
    <w:rsid w:val="007F1F70"/>
    <w:rsid w:val="007F25A5"/>
    <w:rsid w:val="007F442C"/>
    <w:rsid w:val="007F598E"/>
    <w:rsid w:val="007F68E4"/>
    <w:rsid w:val="00800A7E"/>
    <w:rsid w:val="00800D22"/>
    <w:rsid w:val="008016EC"/>
    <w:rsid w:val="0080587B"/>
    <w:rsid w:val="008059CF"/>
    <w:rsid w:val="00811614"/>
    <w:rsid w:val="00816807"/>
    <w:rsid w:val="00816C93"/>
    <w:rsid w:val="00816F02"/>
    <w:rsid w:val="0082163E"/>
    <w:rsid w:val="00821A96"/>
    <w:rsid w:val="0082686D"/>
    <w:rsid w:val="00830781"/>
    <w:rsid w:val="008311F6"/>
    <w:rsid w:val="00832669"/>
    <w:rsid w:val="008337A8"/>
    <w:rsid w:val="00833A23"/>
    <w:rsid w:val="00833F71"/>
    <w:rsid w:val="0083401A"/>
    <w:rsid w:val="00837A60"/>
    <w:rsid w:val="008412AF"/>
    <w:rsid w:val="008415CA"/>
    <w:rsid w:val="00842A36"/>
    <w:rsid w:val="00843696"/>
    <w:rsid w:val="00843CA0"/>
    <w:rsid w:val="0084419D"/>
    <w:rsid w:val="00844EFC"/>
    <w:rsid w:val="00851B78"/>
    <w:rsid w:val="00851E63"/>
    <w:rsid w:val="0085360B"/>
    <w:rsid w:val="00853979"/>
    <w:rsid w:val="00853D65"/>
    <w:rsid w:val="008551AC"/>
    <w:rsid w:val="0086103F"/>
    <w:rsid w:val="008612D5"/>
    <w:rsid w:val="0086240E"/>
    <w:rsid w:val="00862649"/>
    <w:rsid w:val="0086287B"/>
    <w:rsid w:val="00864A20"/>
    <w:rsid w:val="00865EB7"/>
    <w:rsid w:val="0086682F"/>
    <w:rsid w:val="0087027F"/>
    <w:rsid w:val="00870AB5"/>
    <w:rsid w:val="00871172"/>
    <w:rsid w:val="00875173"/>
    <w:rsid w:val="00876D9E"/>
    <w:rsid w:val="00884588"/>
    <w:rsid w:val="00884B12"/>
    <w:rsid w:val="00884F15"/>
    <w:rsid w:val="008859CF"/>
    <w:rsid w:val="00887A6A"/>
    <w:rsid w:val="008918D0"/>
    <w:rsid w:val="00893CD7"/>
    <w:rsid w:val="0089520D"/>
    <w:rsid w:val="0089533B"/>
    <w:rsid w:val="00895ACF"/>
    <w:rsid w:val="00896233"/>
    <w:rsid w:val="00897094"/>
    <w:rsid w:val="008A0721"/>
    <w:rsid w:val="008B7AEB"/>
    <w:rsid w:val="008C0499"/>
    <w:rsid w:val="008C0B93"/>
    <w:rsid w:val="008C10D0"/>
    <w:rsid w:val="008C1863"/>
    <w:rsid w:val="008C2594"/>
    <w:rsid w:val="008D158A"/>
    <w:rsid w:val="008D17E2"/>
    <w:rsid w:val="008D29B6"/>
    <w:rsid w:val="008D3826"/>
    <w:rsid w:val="008D56F3"/>
    <w:rsid w:val="008D5F8E"/>
    <w:rsid w:val="008D634E"/>
    <w:rsid w:val="008D651A"/>
    <w:rsid w:val="008E3BB6"/>
    <w:rsid w:val="008E3D68"/>
    <w:rsid w:val="008E4D27"/>
    <w:rsid w:val="008E5951"/>
    <w:rsid w:val="008E620B"/>
    <w:rsid w:val="008E7125"/>
    <w:rsid w:val="008E7EB7"/>
    <w:rsid w:val="008F2F2A"/>
    <w:rsid w:val="008F308F"/>
    <w:rsid w:val="008F4037"/>
    <w:rsid w:val="008F58AA"/>
    <w:rsid w:val="00901921"/>
    <w:rsid w:val="0090215F"/>
    <w:rsid w:val="00902B91"/>
    <w:rsid w:val="00905AA3"/>
    <w:rsid w:val="0091068B"/>
    <w:rsid w:val="00910C13"/>
    <w:rsid w:val="00922F7A"/>
    <w:rsid w:val="009307DD"/>
    <w:rsid w:val="009324CE"/>
    <w:rsid w:val="009333EF"/>
    <w:rsid w:val="00936C71"/>
    <w:rsid w:val="00937126"/>
    <w:rsid w:val="009376B7"/>
    <w:rsid w:val="009378DD"/>
    <w:rsid w:val="00940B24"/>
    <w:rsid w:val="0095646E"/>
    <w:rsid w:val="009632BA"/>
    <w:rsid w:val="009633C9"/>
    <w:rsid w:val="00971B06"/>
    <w:rsid w:val="00974443"/>
    <w:rsid w:val="00977FE3"/>
    <w:rsid w:val="009824F0"/>
    <w:rsid w:val="00982C1A"/>
    <w:rsid w:val="009854D7"/>
    <w:rsid w:val="00985875"/>
    <w:rsid w:val="009871CA"/>
    <w:rsid w:val="0099412A"/>
    <w:rsid w:val="009942D7"/>
    <w:rsid w:val="00994461"/>
    <w:rsid w:val="00995DF8"/>
    <w:rsid w:val="009A3152"/>
    <w:rsid w:val="009A6B26"/>
    <w:rsid w:val="009B0E9E"/>
    <w:rsid w:val="009B5F87"/>
    <w:rsid w:val="009C195B"/>
    <w:rsid w:val="009C6A63"/>
    <w:rsid w:val="009D02BA"/>
    <w:rsid w:val="009D102D"/>
    <w:rsid w:val="009D16E8"/>
    <w:rsid w:val="009D22C3"/>
    <w:rsid w:val="009E2CE1"/>
    <w:rsid w:val="009E38B3"/>
    <w:rsid w:val="009E422F"/>
    <w:rsid w:val="009E5D5A"/>
    <w:rsid w:val="009E5E0D"/>
    <w:rsid w:val="009F09E1"/>
    <w:rsid w:val="009F13F7"/>
    <w:rsid w:val="009F2321"/>
    <w:rsid w:val="009F23E8"/>
    <w:rsid w:val="009F7730"/>
    <w:rsid w:val="00A021D0"/>
    <w:rsid w:val="00A0264B"/>
    <w:rsid w:val="00A05C82"/>
    <w:rsid w:val="00A0631F"/>
    <w:rsid w:val="00A119C4"/>
    <w:rsid w:val="00A11C8C"/>
    <w:rsid w:val="00A136A7"/>
    <w:rsid w:val="00A14445"/>
    <w:rsid w:val="00A21A67"/>
    <w:rsid w:val="00A26126"/>
    <w:rsid w:val="00A270FB"/>
    <w:rsid w:val="00A32FB7"/>
    <w:rsid w:val="00A34330"/>
    <w:rsid w:val="00A3450A"/>
    <w:rsid w:val="00A36065"/>
    <w:rsid w:val="00A3612E"/>
    <w:rsid w:val="00A3769A"/>
    <w:rsid w:val="00A4191B"/>
    <w:rsid w:val="00A41FDD"/>
    <w:rsid w:val="00A4204B"/>
    <w:rsid w:val="00A46BC0"/>
    <w:rsid w:val="00A506EF"/>
    <w:rsid w:val="00A50D2C"/>
    <w:rsid w:val="00A548ED"/>
    <w:rsid w:val="00A5513D"/>
    <w:rsid w:val="00A60DE3"/>
    <w:rsid w:val="00A6624F"/>
    <w:rsid w:val="00A67F16"/>
    <w:rsid w:val="00A70D06"/>
    <w:rsid w:val="00A718FC"/>
    <w:rsid w:val="00A7607A"/>
    <w:rsid w:val="00A76AC6"/>
    <w:rsid w:val="00A7781C"/>
    <w:rsid w:val="00A833FE"/>
    <w:rsid w:val="00A8661F"/>
    <w:rsid w:val="00A8672B"/>
    <w:rsid w:val="00A86869"/>
    <w:rsid w:val="00A869BA"/>
    <w:rsid w:val="00A9242E"/>
    <w:rsid w:val="00A92C66"/>
    <w:rsid w:val="00A96630"/>
    <w:rsid w:val="00AA1EDE"/>
    <w:rsid w:val="00AA2398"/>
    <w:rsid w:val="00AB4D79"/>
    <w:rsid w:val="00AB5A44"/>
    <w:rsid w:val="00AB7124"/>
    <w:rsid w:val="00AC15D3"/>
    <w:rsid w:val="00AC36C7"/>
    <w:rsid w:val="00AC481F"/>
    <w:rsid w:val="00AC5485"/>
    <w:rsid w:val="00AC74F5"/>
    <w:rsid w:val="00AC7E50"/>
    <w:rsid w:val="00AD34DC"/>
    <w:rsid w:val="00AD3B31"/>
    <w:rsid w:val="00AD467E"/>
    <w:rsid w:val="00AD63CE"/>
    <w:rsid w:val="00AD6A4F"/>
    <w:rsid w:val="00AE2D02"/>
    <w:rsid w:val="00AE3F0D"/>
    <w:rsid w:val="00AF29ED"/>
    <w:rsid w:val="00AF4619"/>
    <w:rsid w:val="00AF5725"/>
    <w:rsid w:val="00AF72A6"/>
    <w:rsid w:val="00B006AA"/>
    <w:rsid w:val="00B00BFF"/>
    <w:rsid w:val="00B024C4"/>
    <w:rsid w:val="00B05C9E"/>
    <w:rsid w:val="00B13C22"/>
    <w:rsid w:val="00B13EFC"/>
    <w:rsid w:val="00B1514D"/>
    <w:rsid w:val="00B156F5"/>
    <w:rsid w:val="00B1657C"/>
    <w:rsid w:val="00B17350"/>
    <w:rsid w:val="00B221F9"/>
    <w:rsid w:val="00B23D6A"/>
    <w:rsid w:val="00B265D3"/>
    <w:rsid w:val="00B341E8"/>
    <w:rsid w:val="00B35C52"/>
    <w:rsid w:val="00B363EA"/>
    <w:rsid w:val="00B3658A"/>
    <w:rsid w:val="00B42738"/>
    <w:rsid w:val="00B42912"/>
    <w:rsid w:val="00B432E2"/>
    <w:rsid w:val="00B44484"/>
    <w:rsid w:val="00B477AA"/>
    <w:rsid w:val="00B51BA6"/>
    <w:rsid w:val="00B52078"/>
    <w:rsid w:val="00B57F41"/>
    <w:rsid w:val="00B57FF0"/>
    <w:rsid w:val="00B60546"/>
    <w:rsid w:val="00B61F72"/>
    <w:rsid w:val="00B62473"/>
    <w:rsid w:val="00B629AF"/>
    <w:rsid w:val="00B65728"/>
    <w:rsid w:val="00B676D3"/>
    <w:rsid w:val="00B7111E"/>
    <w:rsid w:val="00B71EEA"/>
    <w:rsid w:val="00B72BE2"/>
    <w:rsid w:val="00B74988"/>
    <w:rsid w:val="00B77246"/>
    <w:rsid w:val="00B83052"/>
    <w:rsid w:val="00B8485C"/>
    <w:rsid w:val="00B84A17"/>
    <w:rsid w:val="00B86D60"/>
    <w:rsid w:val="00B87DE5"/>
    <w:rsid w:val="00B91F4A"/>
    <w:rsid w:val="00B92B3E"/>
    <w:rsid w:val="00BA47E9"/>
    <w:rsid w:val="00BA7A33"/>
    <w:rsid w:val="00BA7C70"/>
    <w:rsid w:val="00BB00C3"/>
    <w:rsid w:val="00BB0A45"/>
    <w:rsid w:val="00BB2F65"/>
    <w:rsid w:val="00BB3AE3"/>
    <w:rsid w:val="00BB44BA"/>
    <w:rsid w:val="00BB4758"/>
    <w:rsid w:val="00BC23C9"/>
    <w:rsid w:val="00BC25DB"/>
    <w:rsid w:val="00BC3C8E"/>
    <w:rsid w:val="00BC4AE2"/>
    <w:rsid w:val="00BC510D"/>
    <w:rsid w:val="00BD085B"/>
    <w:rsid w:val="00BD1077"/>
    <w:rsid w:val="00BD13D2"/>
    <w:rsid w:val="00BD2D22"/>
    <w:rsid w:val="00BD2F97"/>
    <w:rsid w:val="00BD64A1"/>
    <w:rsid w:val="00BE1FCE"/>
    <w:rsid w:val="00BE6962"/>
    <w:rsid w:val="00BE7B39"/>
    <w:rsid w:val="00BF12DE"/>
    <w:rsid w:val="00BF1DDF"/>
    <w:rsid w:val="00BF3D67"/>
    <w:rsid w:val="00BF4A85"/>
    <w:rsid w:val="00BF6E7C"/>
    <w:rsid w:val="00BF73B5"/>
    <w:rsid w:val="00C025E6"/>
    <w:rsid w:val="00C040F5"/>
    <w:rsid w:val="00C04763"/>
    <w:rsid w:val="00C0797B"/>
    <w:rsid w:val="00C12ABE"/>
    <w:rsid w:val="00C14546"/>
    <w:rsid w:val="00C15F7A"/>
    <w:rsid w:val="00C2337A"/>
    <w:rsid w:val="00C23743"/>
    <w:rsid w:val="00C26020"/>
    <w:rsid w:val="00C32ED2"/>
    <w:rsid w:val="00C33269"/>
    <w:rsid w:val="00C338CE"/>
    <w:rsid w:val="00C33AB2"/>
    <w:rsid w:val="00C34BB6"/>
    <w:rsid w:val="00C34E3E"/>
    <w:rsid w:val="00C36824"/>
    <w:rsid w:val="00C37D1C"/>
    <w:rsid w:val="00C4577C"/>
    <w:rsid w:val="00C51271"/>
    <w:rsid w:val="00C53C3E"/>
    <w:rsid w:val="00C55838"/>
    <w:rsid w:val="00C56941"/>
    <w:rsid w:val="00C60DF6"/>
    <w:rsid w:val="00C617F8"/>
    <w:rsid w:val="00C67665"/>
    <w:rsid w:val="00C679E6"/>
    <w:rsid w:val="00C67FDD"/>
    <w:rsid w:val="00C74493"/>
    <w:rsid w:val="00C80C88"/>
    <w:rsid w:val="00C81B0D"/>
    <w:rsid w:val="00C82252"/>
    <w:rsid w:val="00C830C5"/>
    <w:rsid w:val="00C868C2"/>
    <w:rsid w:val="00C906C2"/>
    <w:rsid w:val="00C90FFA"/>
    <w:rsid w:val="00C95133"/>
    <w:rsid w:val="00CA009F"/>
    <w:rsid w:val="00CA4964"/>
    <w:rsid w:val="00CB3111"/>
    <w:rsid w:val="00CB458A"/>
    <w:rsid w:val="00CB5A97"/>
    <w:rsid w:val="00CC3237"/>
    <w:rsid w:val="00CC5FBC"/>
    <w:rsid w:val="00CD0D8A"/>
    <w:rsid w:val="00CD412C"/>
    <w:rsid w:val="00CD560C"/>
    <w:rsid w:val="00CE25C5"/>
    <w:rsid w:val="00CE29FC"/>
    <w:rsid w:val="00CE4522"/>
    <w:rsid w:val="00CF11EF"/>
    <w:rsid w:val="00CF121E"/>
    <w:rsid w:val="00CF1CF1"/>
    <w:rsid w:val="00CF341E"/>
    <w:rsid w:val="00CF3636"/>
    <w:rsid w:val="00CF36A1"/>
    <w:rsid w:val="00CF55B1"/>
    <w:rsid w:val="00D01B8B"/>
    <w:rsid w:val="00D059BD"/>
    <w:rsid w:val="00D215A1"/>
    <w:rsid w:val="00D2305A"/>
    <w:rsid w:val="00D23DF4"/>
    <w:rsid w:val="00D23E62"/>
    <w:rsid w:val="00D25A3A"/>
    <w:rsid w:val="00D270A0"/>
    <w:rsid w:val="00D2769E"/>
    <w:rsid w:val="00D37CAC"/>
    <w:rsid w:val="00D41132"/>
    <w:rsid w:val="00D4220A"/>
    <w:rsid w:val="00D42643"/>
    <w:rsid w:val="00D45A83"/>
    <w:rsid w:val="00D46204"/>
    <w:rsid w:val="00D52052"/>
    <w:rsid w:val="00D54712"/>
    <w:rsid w:val="00D55991"/>
    <w:rsid w:val="00D57CF1"/>
    <w:rsid w:val="00D60070"/>
    <w:rsid w:val="00D62A1F"/>
    <w:rsid w:val="00D67797"/>
    <w:rsid w:val="00D67851"/>
    <w:rsid w:val="00D702AB"/>
    <w:rsid w:val="00D76549"/>
    <w:rsid w:val="00D76C27"/>
    <w:rsid w:val="00D80A0A"/>
    <w:rsid w:val="00D81BF6"/>
    <w:rsid w:val="00D86424"/>
    <w:rsid w:val="00D957DD"/>
    <w:rsid w:val="00D97200"/>
    <w:rsid w:val="00DA01FA"/>
    <w:rsid w:val="00DA1EDC"/>
    <w:rsid w:val="00DA22DF"/>
    <w:rsid w:val="00DA33CB"/>
    <w:rsid w:val="00DA3BAF"/>
    <w:rsid w:val="00DA6401"/>
    <w:rsid w:val="00DA6AB3"/>
    <w:rsid w:val="00DB3C20"/>
    <w:rsid w:val="00DB5723"/>
    <w:rsid w:val="00DC08F4"/>
    <w:rsid w:val="00DC3112"/>
    <w:rsid w:val="00DC5FA6"/>
    <w:rsid w:val="00DD0408"/>
    <w:rsid w:val="00DD39B8"/>
    <w:rsid w:val="00DE4592"/>
    <w:rsid w:val="00DE630D"/>
    <w:rsid w:val="00DF5B28"/>
    <w:rsid w:val="00E02ADF"/>
    <w:rsid w:val="00E077A1"/>
    <w:rsid w:val="00E14102"/>
    <w:rsid w:val="00E164F0"/>
    <w:rsid w:val="00E21E4C"/>
    <w:rsid w:val="00E221C2"/>
    <w:rsid w:val="00E22596"/>
    <w:rsid w:val="00E267F3"/>
    <w:rsid w:val="00E332A9"/>
    <w:rsid w:val="00E3342C"/>
    <w:rsid w:val="00E337C3"/>
    <w:rsid w:val="00E34CAB"/>
    <w:rsid w:val="00E36F58"/>
    <w:rsid w:val="00E37E7D"/>
    <w:rsid w:val="00E4575A"/>
    <w:rsid w:val="00E47329"/>
    <w:rsid w:val="00E51019"/>
    <w:rsid w:val="00E534E8"/>
    <w:rsid w:val="00E56071"/>
    <w:rsid w:val="00E56D6F"/>
    <w:rsid w:val="00E6124D"/>
    <w:rsid w:val="00E65EAE"/>
    <w:rsid w:val="00E679E5"/>
    <w:rsid w:val="00E7152D"/>
    <w:rsid w:val="00E72058"/>
    <w:rsid w:val="00E72191"/>
    <w:rsid w:val="00E86163"/>
    <w:rsid w:val="00E90A54"/>
    <w:rsid w:val="00E95D67"/>
    <w:rsid w:val="00E968CD"/>
    <w:rsid w:val="00E96B93"/>
    <w:rsid w:val="00EA1C80"/>
    <w:rsid w:val="00EA3863"/>
    <w:rsid w:val="00EA4B82"/>
    <w:rsid w:val="00EA785E"/>
    <w:rsid w:val="00EB43AA"/>
    <w:rsid w:val="00EB5DCB"/>
    <w:rsid w:val="00EB7424"/>
    <w:rsid w:val="00EC10FC"/>
    <w:rsid w:val="00EC21D9"/>
    <w:rsid w:val="00ED15AD"/>
    <w:rsid w:val="00EE08DD"/>
    <w:rsid w:val="00EE5A0F"/>
    <w:rsid w:val="00EF05F1"/>
    <w:rsid w:val="00EF2266"/>
    <w:rsid w:val="00EF318C"/>
    <w:rsid w:val="00EF4132"/>
    <w:rsid w:val="00EF7AE5"/>
    <w:rsid w:val="00F013C6"/>
    <w:rsid w:val="00F05E02"/>
    <w:rsid w:val="00F10788"/>
    <w:rsid w:val="00F1406B"/>
    <w:rsid w:val="00F1431A"/>
    <w:rsid w:val="00F15BA1"/>
    <w:rsid w:val="00F178E9"/>
    <w:rsid w:val="00F22F45"/>
    <w:rsid w:val="00F2331E"/>
    <w:rsid w:val="00F23D39"/>
    <w:rsid w:val="00F2462F"/>
    <w:rsid w:val="00F254D7"/>
    <w:rsid w:val="00F254E2"/>
    <w:rsid w:val="00F25E81"/>
    <w:rsid w:val="00F30356"/>
    <w:rsid w:val="00F33DE2"/>
    <w:rsid w:val="00F367CD"/>
    <w:rsid w:val="00F36F74"/>
    <w:rsid w:val="00F419DC"/>
    <w:rsid w:val="00F44713"/>
    <w:rsid w:val="00F467A3"/>
    <w:rsid w:val="00F474E9"/>
    <w:rsid w:val="00F503A4"/>
    <w:rsid w:val="00F503E7"/>
    <w:rsid w:val="00F50B6B"/>
    <w:rsid w:val="00F51BA2"/>
    <w:rsid w:val="00F528E3"/>
    <w:rsid w:val="00F529D7"/>
    <w:rsid w:val="00F530A2"/>
    <w:rsid w:val="00F55D03"/>
    <w:rsid w:val="00F601D7"/>
    <w:rsid w:val="00F612B9"/>
    <w:rsid w:val="00F61A33"/>
    <w:rsid w:val="00F61F89"/>
    <w:rsid w:val="00F62AA0"/>
    <w:rsid w:val="00F63519"/>
    <w:rsid w:val="00F64D39"/>
    <w:rsid w:val="00F65CD2"/>
    <w:rsid w:val="00F6765F"/>
    <w:rsid w:val="00F67EAC"/>
    <w:rsid w:val="00F726C6"/>
    <w:rsid w:val="00F75550"/>
    <w:rsid w:val="00F814E5"/>
    <w:rsid w:val="00F81AE5"/>
    <w:rsid w:val="00F8304B"/>
    <w:rsid w:val="00F83532"/>
    <w:rsid w:val="00F85969"/>
    <w:rsid w:val="00F91A57"/>
    <w:rsid w:val="00F91B58"/>
    <w:rsid w:val="00F95619"/>
    <w:rsid w:val="00FA42BB"/>
    <w:rsid w:val="00FB06D3"/>
    <w:rsid w:val="00FB21CD"/>
    <w:rsid w:val="00FC17C0"/>
    <w:rsid w:val="00FC1F05"/>
    <w:rsid w:val="00FC31F0"/>
    <w:rsid w:val="00FC333A"/>
    <w:rsid w:val="00FD5864"/>
    <w:rsid w:val="00FD709A"/>
    <w:rsid w:val="00FE0176"/>
    <w:rsid w:val="00FE2F22"/>
    <w:rsid w:val="00FE323D"/>
    <w:rsid w:val="00FE3979"/>
    <w:rsid w:val="00FF0E42"/>
    <w:rsid w:val="0190F80D"/>
    <w:rsid w:val="0F26D96F"/>
    <w:rsid w:val="15E69286"/>
    <w:rsid w:val="1B792ABC"/>
    <w:rsid w:val="1C23C685"/>
    <w:rsid w:val="1DEA92A0"/>
    <w:rsid w:val="22086057"/>
    <w:rsid w:val="34D5DD47"/>
    <w:rsid w:val="36239875"/>
    <w:rsid w:val="3D378B28"/>
    <w:rsid w:val="42313CE2"/>
    <w:rsid w:val="465E9585"/>
    <w:rsid w:val="5DEB1779"/>
    <w:rsid w:val="607588E2"/>
    <w:rsid w:val="67E50457"/>
    <w:rsid w:val="72B0A672"/>
    <w:rsid w:val="7369B435"/>
    <w:rsid w:val="7D0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2436"/>
  <w15:docId w15:val="{4C02BE47-C0A7-40B5-A3E8-719D4860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E8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437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3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FF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3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E"/>
    <w:rPr>
      <w:sz w:val="0"/>
      <w:szCs w:val="0"/>
    </w:rPr>
  </w:style>
  <w:style w:type="paragraph" w:customStyle="1" w:styleId="StyleArial">
    <w:name w:val="Style Arial"/>
    <w:basedOn w:val="Normal"/>
    <w:uiPriority w:val="99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uiPriority w:val="99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uiPriority w:val="99"/>
    <w:rsid w:val="00FE323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3AE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D4620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3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AE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4838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E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3" ma:contentTypeDescription="Create a new document." ma:contentTypeScope="" ma:versionID="9118ff0302d327eeb688e13463c13652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71e2a41013a9c9af0f282b6f8de98c2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E6F4B-E6AC-4916-B7C0-F05BBEA28AA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30d79745-92fc-4b4e-a213-f975f2a6d945"/>
    <ds:schemaRef ds:uri="deec781b-51b2-41f5-8977-d833afa0cd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1FE425-D26A-4774-8DBB-474784AC8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51D67-1DF6-46BA-A546-3630BF22C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EE646-C181-4757-9189-91FCCACF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Schools Grant Provisional Outturn 2020/21</dc:title>
  <dc:creator>David Tully</dc:creator>
  <cp:lastModifiedBy>Phillip</cp:lastModifiedBy>
  <cp:revision>93</cp:revision>
  <cp:lastPrinted>2019-06-12T14:32:00Z</cp:lastPrinted>
  <dcterms:created xsi:type="dcterms:W3CDTF">2021-06-17T12:20:00Z</dcterms:created>
  <dcterms:modified xsi:type="dcterms:W3CDTF">2021-06-24T07:36:00Z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6048200</vt:r8>
  </property>
</Properties>
</file>