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CD506" w14:textId="77777777" w:rsidR="00301295" w:rsidRDefault="00301295" w:rsidP="00301295"/>
    <w:tbl>
      <w:tblPr>
        <w:tblStyle w:val="TableGrid"/>
        <w:tblpPr w:leftFromText="180" w:rightFromText="180" w:vertAnchor="text" w:horzAnchor="margin" w:tblpX="-39" w:tblpY="34"/>
        <w:tblW w:w="8443" w:type="dxa"/>
        <w:tblLook w:val="01E0" w:firstRow="1" w:lastRow="1" w:firstColumn="1" w:lastColumn="1" w:noHBand="0" w:noVBand="0"/>
      </w:tblPr>
      <w:tblGrid>
        <w:gridCol w:w="8443"/>
      </w:tblGrid>
      <w:tr w:rsidR="00301295" w:rsidRPr="002374A3" w14:paraId="3EACD508" w14:textId="77777777" w:rsidTr="00CF28FF">
        <w:tc>
          <w:tcPr>
            <w:tcW w:w="8443" w:type="dxa"/>
          </w:tcPr>
          <w:p w14:paraId="3EACD507" w14:textId="77777777" w:rsidR="00301295" w:rsidRPr="0070019E" w:rsidRDefault="00301295" w:rsidP="0070019E">
            <w:pPr>
              <w:pStyle w:val="Heading1"/>
              <w:framePr w:hSpace="0" w:wrap="auto" w:vAnchor="margin" w:hAnchor="text" w:xAlign="left" w:yAlign="inline"/>
            </w:pPr>
            <w:r w:rsidRPr="0070019E">
              <w:t xml:space="preserve">AGENDA ITEM </w:t>
            </w:r>
            <w:r w:rsidR="005933C9" w:rsidRPr="0070019E">
              <w:t>5</w:t>
            </w:r>
          </w:p>
        </w:tc>
      </w:tr>
    </w:tbl>
    <w:p w14:paraId="3EACD509" w14:textId="77777777" w:rsidR="00301295" w:rsidRPr="004C11CF" w:rsidRDefault="00301295" w:rsidP="00301295"/>
    <w:p w14:paraId="3EACD50A" w14:textId="77777777" w:rsidR="00301295" w:rsidRDefault="00301295" w:rsidP="00301295">
      <w:pPr>
        <w:rPr>
          <w:b/>
        </w:rPr>
      </w:pPr>
    </w:p>
    <w:p w14:paraId="3EACD50B" w14:textId="77777777" w:rsidR="00301295" w:rsidRPr="003D08B1" w:rsidRDefault="00301295" w:rsidP="00301295">
      <w:pPr>
        <w:pStyle w:val="BodyTextIndent"/>
        <w:pBdr>
          <w:top w:val="single" w:sz="4" w:space="1" w:color="auto"/>
          <w:left w:val="single" w:sz="4" w:space="1" w:color="auto"/>
          <w:bottom w:val="single" w:sz="4" w:space="1" w:color="auto"/>
          <w:right w:val="single" w:sz="4" w:space="4" w:color="auto"/>
        </w:pBdr>
        <w:tabs>
          <w:tab w:val="clear" w:pos="360"/>
        </w:tabs>
        <w:ind w:left="0" w:firstLine="0"/>
        <w:jc w:val="both"/>
        <w:rPr>
          <w:b/>
          <w:sz w:val="32"/>
          <w:szCs w:val="32"/>
        </w:rPr>
      </w:pPr>
      <w:r>
        <w:rPr>
          <w:b/>
          <w:sz w:val="32"/>
          <w:szCs w:val="32"/>
        </w:rPr>
        <w:t xml:space="preserve">Title of report: </w:t>
      </w:r>
      <w:r w:rsidR="00AA42C5">
        <w:rPr>
          <w:b/>
          <w:sz w:val="32"/>
          <w:szCs w:val="32"/>
        </w:rPr>
        <w:t>SEMH Schooling Review</w:t>
      </w:r>
    </w:p>
    <w:p w14:paraId="3EACD50C" w14:textId="77777777" w:rsidR="00301295" w:rsidRDefault="00301295" w:rsidP="00301295">
      <w:pPr>
        <w:rPr>
          <w:b/>
          <w:u w:val="single"/>
        </w:rPr>
      </w:pPr>
    </w:p>
    <w:p w14:paraId="3EACD50D" w14:textId="77777777" w:rsidR="00301295" w:rsidRDefault="00301295" w:rsidP="00301295">
      <w:pPr>
        <w:pBdr>
          <w:top w:val="single" w:sz="4" w:space="1" w:color="auto"/>
          <w:left w:val="single" w:sz="4" w:space="4" w:color="auto"/>
          <w:bottom w:val="single" w:sz="4" w:space="1" w:color="auto"/>
          <w:right w:val="single" w:sz="4" w:space="4" w:color="auto"/>
        </w:pBdr>
        <w:rPr>
          <w:b/>
        </w:rPr>
      </w:pPr>
      <w:r>
        <w:rPr>
          <w:b/>
        </w:rPr>
        <w:t>Author of the paper:   John O’Shea</w:t>
      </w:r>
    </w:p>
    <w:p w14:paraId="3EACD50E" w14:textId="77777777" w:rsidR="00301295" w:rsidRPr="007F598E" w:rsidRDefault="00301295" w:rsidP="00301295">
      <w:pPr>
        <w:pBdr>
          <w:top w:val="single" w:sz="4" w:space="1" w:color="auto"/>
          <w:left w:val="single" w:sz="4" w:space="4" w:color="auto"/>
          <w:bottom w:val="single" w:sz="4" w:space="1" w:color="auto"/>
          <w:right w:val="single" w:sz="4" w:space="4" w:color="auto"/>
        </w:pBdr>
      </w:pPr>
    </w:p>
    <w:p w14:paraId="3EACD50F" w14:textId="77777777" w:rsidR="00301295" w:rsidRDefault="00301295" w:rsidP="00301295"/>
    <w:p w14:paraId="3EACD510" w14:textId="77777777" w:rsidR="00301295" w:rsidRDefault="00301295" w:rsidP="00301295">
      <w:pPr>
        <w:pBdr>
          <w:top w:val="single" w:sz="4" w:space="1" w:color="auto"/>
          <w:left w:val="single" w:sz="4" w:space="4" w:color="auto"/>
          <w:bottom w:val="single" w:sz="4" w:space="1" w:color="auto"/>
          <w:right w:val="single" w:sz="4" w:space="4" w:color="auto"/>
        </w:pBdr>
        <w:rPr>
          <w:b/>
        </w:rPr>
      </w:pPr>
      <w:r>
        <w:rPr>
          <w:b/>
        </w:rPr>
        <w:t>Officer to present the paper to Schools Forum: John O’Shea</w:t>
      </w:r>
    </w:p>
    <w:p w14:paraId="3EACD511" w14:textId="77777777" w:rsidR="00301295" w:rsidRPr="007F598E" w:rsidRDefault="00301295" w:rsidP="00301295">
      <w:pPr>
        <w:pBdr>
          <w:top w:val="single" w:sz="4" w:space="1" w:color="auto"/>
          <w:left w:val="single" w:sz="4" w:space="4" w:color="auto"/>
          <w:bottom w:val="single" w:sz="4" w:space="1" w:color="auto"/>
          <w:right w:val="single" w:sz="4" w:space="4" w:color="auto"/>
        </w:pBdr>
      </w:pPr>
    </w:p>
    <w:p w14:paraId="3EACD512" w14:textId="77777777" w:rsidR="00301295" w:rsidRDefault="00301295" w:rsidP="00301295"/>
    <w:p w14:paraId="3EACD513" w14:textId="77777777" w:rsidR="00301295" w:rsidRDefault="00301295" w:rsidP="00301295">
      <w:pPr>
        <w:pBdr>
          <w:top w:val="single" w:sz="4" w:space="1" w:color="auto"/>
          <w:left w:val="single" w:sz="4" w:space="4" w:color="auto"/>
          <w:bottom w:val="single" w:sz="4" w:space="1" w:color="auto"/>
          <w:right w:val="single" w:sz="4" w:space="4" w:color="auto"/>
        </w:pBdr>
        <w:rPr>
          <w:b/>
        </w:rPr>
      </w:pPr>
      <w:r>
        <w:rPr>
          <w:b/>
        </w:rPr>
        <w:t xml:space="preserve">Details on who has been consulted with on this paper to date: </w:t>
      </w:r>
    </w:p>
    <w:p w14:paraId="3EACD514" w14:textId="77777777" w:rsidR="00301295" w:rsidRDefault="00301295" w:rsidP="00301295">
      <w:pPr>
        <w:pBdr>
          <w:top w:val="single" w:sz="4" w:space="1" w:color="auto"/>
          <w:left w:val="single" w:sz="4" w:space="4" w:color="auto"/>
          <w:bottom w:val="single" w:sz="4" w:space="1" w:color="auto"/>
          <w:right w:val="single" w:sz="4" w:space="4" w:color="auto"/>
        </w:pBdr>
        <w:rPr>
          <w:b/>
        </w:rPr>
      </w:pPr>
    </w:p>
    <w:p w14:paraId="3EACD515" w14:textId="77777777" w:rsidR="00301295" w:rsidRDefault="00301295" w:rsidP="00301295">
      <w:pPr>
        <w:pBdr>
          <w:top w:val="single" w:sz="4" w:space="1" w:color="auto"/>
          <w:left w:val="single" w:sz="4" w:space="4" w:color="auto"/>
          <w:bottom w:val="single" w:sz="4" w:space="1" w:color="auto"/>
          <w:right w:val="single" w:sz="4" w:space="4" w:color="auto"/>
        </w:pBdr>
        <w:rPr>
          <w:b/>
        </w:rPr>
      </w:pPr>
      <w:r>
        <w:rPr>
          <w:b/>
        </w:rPr>
        <w:t>SEND Progress Group, members of the SEMH Review Group</w:t>
      </w:r>
    </w:p>
    <w:p w14:paraId="3EACD516" w14:textId="77777777" w:rsidR="00301295" w:rsidRDefault="00301295" w:rsidP="00301295">
      <w:pPr>
        <w:spacing w:after="120"/>
        <w:rPr>
          <w:b/>
        </w:rPr>
      </w:pPr>
    </w:p>
    <w:p w14:paraId="3EACD517" w14:textId="7EAEA9D9" w:rsidR="00301295" w:rsidRPr="009D7EC9" w:rsidRDefault="00301295" w:rsidP="009D7EC9">
      <w:pPr>
        <w:pStyle w:val="Heading2"/>
      </w:pPr>
      <w:r w:rsidRPr="009D7EC9">
        <w:t>Executive Summary</w:t>
      </w:r>
    </w:p>
    <w:p w14:paraId="3EACD518" w14:textId="77777777" w:rsidR="00301295" w:rsidRDefault="00301295" w:rsidP="00301295">
      <w:pPr>
        <w:pBdr>
          <w:top w:val="single" w:sz="4" w:space="1" w:color="auto"/>
          <w:left w:val="single" w:sz="4" w:space="1" w:color="auto"/>
          <w:bottom w:val="single" w:sz="4" w:space="1" w:color="auto"/>
          <w:right w:val="single" w:sz="4" w:space="1" w:color="auto"/>
        </w:pBdr>
        <w:spacing w:after="120"/>
        <w:rPr>
          <w:b/>
        </w:rPr>
      </w:pPr>
      <w:r>
        <w:rPr>
          <w:b/>
        </w:rPr>
        <w:t>The report sets out:</w:t>
      </w:r>
    </w:p>
    <w:p w14:paraId="3EACD519" w14:textId="77777777" w:rsidR="00301295" w:rsidRPr="000E6D98" w:rsidRDefault="00301295" w:rsidP="00301295">
      <w:pPr>
        <w:pBdr>
          <w:top w:val="single" w:sz="4" w:space="1" w:color="auto"/>
          <w:left w:val="single" w:sz="4" w:space="1" w:color="auto"/>
          <w:bottom w:val="single" w:sz="4" w:space="1" w:color="auto"/>
          <w:right w:val="single" w:sz="4" w:space="1" w:color="auto"/>
        </w:pBdr>
        <w:spacing w:after="120"/>
      </w:pPr>
      <w:r>
        <w:t>The SEMH schooling review was commissioned by LBTH following the recommendations of the High Needs Funding block Review in January 2018. The review was completed over Autumn 2018 and provides information on the current arrangements for children and young people with special Educational Needs and Disabilities (SEND) with a high level of SEMH need.</w:t>
      </w:r>
    </w:p>
    <w:p w14:paraId="3EACD51A" w14:textId="77777777" w:rsidR="00301295" w:rsidRDefault="00301295" w:rsidP="00301295">
      <w:pPr>
        <w:pBdr>
          <w:top w:val="single" w:sz="4" w:space="1" w:color="auto"/>
          <w:left w:val="single" w:sz="4" w:space="1" w:color="auto"/>
          <w:bottom w:val="single" w:sz="4" w:space="1" w:color="auto"/>
          <w:right w:val="single" w:sz="4" w:space="1" w:color="auto"/>
        </w:pBdr>
        <w:spacing w:after="120"/>
        <w:rPr>
          <w:b/>
        </w:rPr>
      </w:pPr>
    </w:p>
    <w:p w14:paraId="3EACD51B" w14:textId="77777777" w:rsidR="00301295" w:rsidRDefault="00301295" w:rsidP="00301295"/>
    <w:p w14:paraId="3EACD51C" w14:textId="77777777" w:rsidR="00301295" w:rsidRPr="00F6086C" w:rsidRDefault="00301295" w:rsidP="009D7EC9">
      <w:pPr>
        <w:pStyle w:val="Heading2"/>
      </w:pPr>
      <w:r>
        <w:t xml:space="preserve">Details of recommendations and timescales for decisions: </w:t>
      </w:r>
    </w:p>
    <w:p w14:paraId="3EACD51D" w14:textId="77777777" w:rsidR="00301295" w:rsidRDefault="00301295" w:rsidP="00301295">
      <w:pPr>
        <w:pBdr>
          <w:top w:val="single" w:sz="4" w:space="1" w:color="auto"/>
          <w:left w:val="single" w:sz="4" w:space="1" w:color="auto"/>
          <w:bottom w:val="single" w:sz="4" w:space="1" w:color="auto"/>
          <w:right w:val="single" w:sz="4" w:space="1" w:color="auto"/>
        </w:pBdr>
        <w:spacing w:after="120"/>
      </w:pPr>
      <w:r w:rsidRPr="00B51BA6">
        <w:t>Schools Forum is asked to:</w:t>
      </w:r>
    </w:p>
    <w:p w14:paraId="3EACD51E" w14:textId="77777777" w:rsidR="00301295" w:rsidRDefault="00301295" w:rsidP="00301295">
      <w:pPr>
        <w:pBdr>
          <w:top w:val="single" w:sz="4" w:space="1" w:color="auto"/>
          <w:left w:val="single" w:sz="4" w:space="1" w:color="auto"/>
          <w:bottom w:val="single" w:sz="4" w:space="1" w:color="auto"/>
          <w:right w:val="single" w:sz="4" w:space="1" w:color="auto"/>
        </w:pBdr>
        <w:spacing w:after="120"/>
      </w:pPr>
      <w:r>
        <w:t xml:space="preserve">Feedback on the </w:t>
      </w:r>
      <w:r w:rsidR="003316AD">
        <w:t>recommendations of the review</w:t>
      </w:r>
    </w:p>
    <w:p w14:paraId="3EACD51F" w14:textId="77777777" w:rsidR="00BB7A6B" w:rsidRDefault="003316AD" w:rsidP="00301295">
      <w:pPr>
        <w:pBdr>
          <w:top w:val="single" w:sz="4" w:space="1" w:color="auto"/>
          <w:left w:val="single" w:sz="4" w:space="1" w:color="auto"/>
          <w:bottom w:val="single" w:sz="4" w:space="1" w:color="auto"/>
          <w:right w:val="single" w:sz="4" w:space="1" w:color="auto"/>
        </w:pBdr>
        <w:spacing w:after="120"/>
      </w:pPr>
      <w:r>
        <w:t>Support the next steps, including the plans to implement the recommendations</w:t>
      </w:r>
      <w:r w:rsidR="00F144EF">
        <w:t xml:space="preserve"> as part of an overarching approach to supporting children and young people with social, emotional and mental health needs.</w:t>
      </w:r>
    </w:p>
    <w:p w14:paraId="3EACD520" w14:textId="77777777" w:rsidR="00301295" w:rsidRDefault="00BB7A6B" w:rsidP="00301295">
      <w:pPr>
        <w:pBdr>
          <w:top w:val="single" w:sz="4" w:space="1" w:color="auto"/>
          <w:left w:val="single" w:sz="4" w:space="1" w:color="auto"/>
          <w:bottom w:val="single" w:sz="4" w:space="1" w:color="auto"/>
          <w:right w:val="single" w:sz="4" w:space="1" w:color="auto"/>
        </w:pBdr>
        <w:spacing w:after="120"/>
      </w:pPr>
      <w:r>
        <w:t>Support colleagues to participate in the working group and in the SEMH Summit</w:t>
      </w:r>
      <w:r w:rsidR="009F2804">
        <w:t xml:space="preserve"> </w:t>
      </w:r>
      <w:r>
        <w:t>planned for the second half of the Summer term.</w:t>
      </w:r>
    </w:p>
    <w:p w14:paraId="3EACD521" w14:textId="77777777" w:rsidR="003316AD" w:rsidRDefault="003316AD">
      <w:r>
        <w:br w:type="page"/>
      </w:r>
    </w:p>
    <w:p w14:paraId="3EACD522" w14:textId="77777777" w:rsidR="003316AD" w:rsidRPr="009D7EC9" w:rsidRDefault="003316AD" w:rsidP="009D7EC9">
      <w:pPr>
        <w:pStyle w:val="Heading3"/>
      </w:pPr>
      <w:r w:rsidRPr="009D7EC9">
        <w:lastRenderedPageBreak/>
        <w:t xml:space="preserve">Background </w:t>
      </w:r>
    </w:p>
    <w:p w14:paraId="3EACD523" w14:textId="77777777" w:rsidR="003316AD" w:rsidRPr="003316AD" w:rsidRDefault="003316AD" w:rsidP="003316AD">
      <w:pPr>
        <w:pStyle w:val="ListParagraph"/>
        <w:ind w:left="360"/>
      </w:pPr>
    </w:p>
    <w:p w14:paraId="3EACD524" w14:textId="77777777" w:rsidR="003316AD" w:rsidRPr="00AA24A9" w:rsidRDefault="003316AD" w:rsidP="003316AD">
      <w:pPr>
        <w:pStyle w:val="DfESOutNumbered1"/>
        <w:numPr>
          <w:ilvl w:val="1"/>
          <w:numId w:val="3"/>
        </w:numPr>
        <w:suppressAutoHyphens/>
        <w:autoSpaceDN w:val="0"/>
        <w:textAlignment w:val="baseline"/>
        <w:rPr>
          <w:color w:val="0D0D0D"/>
        </w:rPr>
      </w:pPr>
      <w:r w:rsidRPr="00AA24A9">
        <w:rPr>
          <w:color w:val="0D0D0D"/>
        </w:rPr>
        <w:t xml:space="preserve">In 2017-18 the LA working with HT undertook a review of the use of the HNFB and a number of actions were agreed with Schools Forum (report attached as an appendix) which are being implemented between </w:t>
      </w:r>
      <w:r>
        <w:t>2018-2020. The actions agreed are:</w:t>
      </w:r>
    </w:p>
    <w:p w14:paraId="3EACD525" w14:textId="77777777" w:rsidR="003316AD" w:rsidRDefault="003316AD" w:rsidP="003316AD">
      <w:pPr>
        <w:pStyle w:val="ListParagraph"/>
        <w:numPr>
          <w:ilvl w:val="1"/>
          <w:numId w:val="4"/>
        </w:numPr>
        <w:spacing w:before="60" w:after="60" w:line="276" w:lineRule="auto"/>
      </w:pPr>
      <w:r>
        <w:t>To reduce the size of the budget retained by the LBTH (through a review of the Support for Learning Service including the Behaviour Support Team).</w:t>
      </w:r>
    </w:p>
    <w:p w14:paraId="3EACD526" w14:textId="77777777" w:rsidR="003316AD" w:rsidRDefault="003316AD" w:rsidP="003316AD">
      <w:pPr>
        <w:pStyle w:val="ListParagraph"/>
        <w:numPr>
          <w:ilvl w:val="1"/>
          <w:numId w:val="4"/>
        </w:numPr>
        <w:spacing w:before="60" w:after="60" w:line="276" w:lineRule="auto"/>
      </w:pPr>
      <w:r>
        <w:t xml:space="preserve">To expand the number of special school places to accommodate an additional 120 students by 2021 in areas of identified special need (through specialist pupil place planning) </w:t>
      </w:r>
    </w:p>
    <w:p w14:paraId="3EACD527" w14:textId="77777777" w:rsidR="003316AD" w:rsidRDefault="003316AD" w:rsidP="003316AD">
      <w:pPr>
        <w:pStyle w:val="ListParagraph"/>
        <w:numPr>
          <w:ilvl w:val="1"/>
          <w:numId w:val="4"/>
        </w:numPr>
        <w:spacing w:before="60" w:after="60" w:line="276" w:lineRule="auto"/>
      </w:pPr>
      <w:r>
        <w:t>To undertake a review of the specialist SEMH schools and places in order to establish a sustainable provision.</w:t>
      </w:r>
    </w:p>
    <w:p w14:paraId="3EACD528" w14:textId="77777777" w:rsidR="003316AD" w:rsidRDefault="003316AD" w:rsidP="003316AD">
      <w:pPr>
        <w:pStyle w:val="ListParagraph"/>
        <w:numPr>
          <w:ilvl w:val="1"/>
          <w:numId w:val="4"/>
        </w:numPr>
        <w:spacing w:before="60" w:after="60" w:line="276" w:lineRule="auto"/>
      </w:pPr>
      <w:r>
        <w:t>To review the resource bases in school and ensure more equitable top-up funding and a greater responsiveness to future SEND need.</w:t>
      </w:r>
    </w:p>
    <w:p w14:paraId="3EACD529" w14:textId="77777777" w:rsidR="003316AD" w:rsidRDefault="003316AD" w:rsidP="003316AD">
      <w:pPr>
        <w:pStyle w:val="ListParagraph"/>
        <w:numPr>
          <w:ilvl w:val="1"/>
          <w:numId w:val="4"/>
        </w:numPr>
        <w:spacing w:before="60" w:after="60" w:line="276" w:lineRule="auto"/>
      </w:pPr>
      <w:r>
        <w:t>For the FAP Review to report on ways to reduce the proportion of pupils and their length of stay in AP as well as  the size of the allocation for AP from the HNFB.</w:t>
      </w:r>
    </w:p>
    <w:p w14:paraId="3EACD52A" w14:textId="77777777" w:rsidR="00EF7ECE" w:rsidRDefault="00EF7ECE" w:rsidP="00EF7ECE">
      <w:pPr>
        <w:pStyle w:val="ListParagraph"/>
        <w:spacing w:before="60" w:after="60" w:line="276" w:lineRule="auto"/>
        <w:ind w:left="1440"/>
      </w:pPr>
    </w:p>
    <w:p w14:paraId="3EACD52B" w14:textId="77777777" w:rsidR="00EF7ECE" w:rsidRDefault="00EF7ECE" w:rsidP="00F144EF">
      <w:pPr>
        <w:pStyle w:val="ListParagraph"/>
        <w:numPr>
          <w:ilvl w:val="1"/>
          <w:numId w:val="3"/>
        </w:numPr>
        <w:spacing w:after="120"/>
        <w:ind w:left="709" w:hanging="425"/>
      </w:pPr>
      <w:r>
        <w:t xml:space="preserve">In line with recommendation (c.) above, the schooling review was commissioned by LBTH </w:t>
      </w:r>
      <w:r w:rsidR="00E0288A">
        <w:t xml:space="preserve">and carried out in the 2018 </w:t>
      </w:r>
      <w:r>
        <w:t xml:space="preserve">Autumn </w:t>
      </w:r>
      <w:r w:rsidR="00E0288A">
        <w:t xml:space="preserve">term. </w:t>
      </w:r>
      <w:r w:rsidR="00E0288A">
        <w:rPr>
          <w:rFonts w:cs="Arial"/>
          <w:lang w:eastAsia="en-US"/>
        </w:rPr>
        <w:t>A</w:t>
      </w:r>
      <w:r w:rsidR="00E0288A" w:rsidRPr="00EF7ECE">
        <w:rPr>
          <w:rFonts w:cs="Arial"/>
          <w:lang w:eastAsia="en-US"/>
        </w:rPr>
        <w:t xml:space="preserve"> review </w:t>
      </w:r>
      <w:r w:rsidR="00E0288A">
        <w:rPr>
          <w:rFonts w:cs="Arial"/>
          <w:lang w:eastAsia="en-US"/>
        </w:rPr>
        <w:t xml:space="preserve">group including senior leaders from a range of school settings, officers of the council and health providers, chaired by an independent consultant with experience in both SEMH and Alternative Provision carried out the review. Local SEMH providers and AP providers were asked to make a presentation to the panel, and to provide </w:t>
      </w:r>
      <w:proofErr w:type="gramStart"/>
      <w:r w:rsidR="00E0288A">
        <w:rPr>
          <w:rFonts w:cs="Arial"/>
          <w:lang w:eastAsia="en-US"/>
        </w:rPr>
        <w:t xml:space="preserve">information </w:t>
      </w:r>
      <w:r>
        <w:t xml:space="preserve"> on</w:t>
      </w:r>
      <w:proofErr w:type="gramEnd"/>
      <w:r>
        <w:t xml:space="preserve"> the current arrangements for children and young people with special Educational Needs and Disabilities (SEND) with a high level of SEMH need</w:t>
      </w:r>
      <w:r w:rsidR="00E0288A">
        <w:t xml:space="preserve"> in Tower Hamlets</w:t>
      </w:r>
      <w:r>
        <w:t xml:space="preserve">. </w:t>
      </w:r>
    </w:p>
    <w:p w14:paraId="3EACD52C" w14:textId="77777777" w:rsidR="00EF7ECE" w:rsidRDefault="00EF7ECE" w:rsidP="00EF7ECE">
      <w:pPr>
        <w:pStyle w:val="ListParagraph"/>
        <w:spacing w:after="120"/>
        <w:ind w:left="644"/>
      </w:pPr>
    </w:p>
    <w:p w14:paraId="3EACD52D" w14:textId="77777777" w:rsidR="00EF7ECE" w:rsidRPr="00E0288A" w:rsidRDefault="00714A0C" w:rsidP="00F144EF">
      <w:pPr>
        <w:pStyle w:val="ListParagraph"/>
        <w:numPr>
          <w:ilvl w:val="1"/>
          <w:numId w:val="3"/>
        </w:numPr>
        <w:spacing w:after="120"/>
        <w:ind w:left="709" w:hanging="425"/>
      </w:pPr>
      <w:r>
        <w:rPr>
          <w:rFonts w:cs="Arial"/>
          <w:lang w:eastAsia="en-US"/>
        </w:rPr>
        <w:t>The review group</w:t>
      </w:r>
      <w:r w:rsidR="00EF7ECE">
        <w:rPr>
          <w:rFonts w:cs="Arial"/>
          <w:lang w:eastAsia="en-US"/>
        </w:rPr>
        <w:t xml:space="preserve"> </w:t>
      </w:r>
      <w:r w:rsidR="00EF7ECE" w:rsidRPr="00EF7ECE">
        <w:rPr>
          <w:rFonts w:cs="Arial"/>
          <w:lang w:eastAsia="en-US"/>
        </w:rPr>
        <w:t>had the following scope:</w:t>
      </w:r>
    </w:p>
    <w:p w14:paraId="3EACD52E" w14:textId="77777777" w:rsidR="00EF7ECE" w:rsidRPr="00EF7ECE" w:rsidRDefault="00EF7ECE" w:rsidP="00EF7ECE">
      <w:pPr>
        <w:numPr>
          <w:ilvl w:val="0"/>
          <w:numId w:val="6"/>
        </w:numPr>
        <w:ind w:left="1418"/>
        <w:contextualSpacing/>
        <w:rPr>
          <w:rFonts w:cs="Arial"/>
          <w:lang w:eastAsia="en-US"/>
        </w:rPr>
      </w:pPr>
      <w:r w:rsidRPr="00EF7ECE">
        <w:rPr>
          <w:rFonts w:cs="Arial"/>
          <w:lang w:eastAsia="en-US"/>
        </w:rPr>
        <w:t>To review the outcomes currently being sought for children and young people with significant SEMH needs up to age 19 and to age 25; to consider how these are reported and monitored and to make recommendations.</w:t>
      </w:r>
    </w:p>
    <w:p w14:paraId="3EACD52F" w14:textId="77777777" w:rsidR="00EF7ECE" w:rsidRPr="00EF7ECE" w:rsidRDefault="00EF7ECE" w:rsidP="00EF7ECE">
      <w:pPr>
        <w:numPr>
          <w:ilvl w:val="0"/>
          <w:numId w:val="6"/>
        </w:numPr>
        <w:ind w:left="1418"/>
        <w:contextualSpacing/>
        <w:rPr>
          <w:rFonts w:cs="Arial"/>
          <w:lang w:eastAsia="en-US"/>
        </w:rPr>
      </w:pPr>
      <w:r w:rsidRPr="00EF7ECE">
        <w:rPr>
          <w:rFonts w:cs="Arial"/>
          <w:lang w:eastAsia="en-US"/>
        </w:rPr>
        <w:t>To identify where students with significant SEMH needs are at school or college, the progress they are making, and partnership work that is supporting them.</w:t>
      </w:r>
    </w:p>
    <w:p w14:paraId="3EACD530" w14:textId="77777777" w:rsidR="00EF7ECE" w:rsidRPr="00EF7ECE" w:rsidRDefault="00EF7ECE" w:rsidP="00EF7ECE">
      <w:pPr>
        <w:numPr>
          <w:ilvl w:val="0"/>
          <w:numId w:val="6"/>
        </w:numPr>
        <w:ind w:left="1418"/>
        <w:contextualSpacing/>
        <w:rPr>
          <w:rFonts w:cs="Arial"/>
          <w:lang w:eastAsia="en-US"/>
        </w:rPr>
      </w:pPr>
      <w:r w:rsidRPr="00EF7ECE">
        <w:rPr>
          <w:rFonts w:cs="Arial"/>
          <w:lang w:eastAsia="en-US"/>
        </w:rPr>
        <w:t>To better understand the routes into requiring an EHC needs assessment and alternative provision as a result of SEMH need.</w:t>
      </w:r>
    </w:p>
    <w:p w14:paraId="3EACD531" w14:textId="77777777" w:rsidR="00714A0C" w:rsidRDefault="00EF7ECE" w:rsidP="00714A0C">
      <w:pPr>
        <w:numPr>
          <w:ilvl w:val="0"/>
          <w:numId w:val="6"/>
        </w:numPr>
        <w:ind w:left="1418"/>
        <w:contextualSpacing/>
        <w:rPr>
          <w:rFonts w:cs="Arial"/>
          <w:lang w:eastAsia="en-US"/>
        </w:rPr>
      </w:pPr>
      <w:r w:rsidRPr="00EF7ECE">
        <w:rPr>
          <w:rFonts w:cs="Arial"/>
          <w:lang w:eastAsia="en-US"/>
        </w:rPr>
        <w:t>To consider the financial sustainability of current education provision for children and young people with significant SEMH needs, and make recommendations.</w:t>
      </w:r>
    </w:p>
    <w:p w14:paraId="3EACD532" w14:textId="77777777" w:rsidR="00714A0C" w:rsidRPr="00714A0C" w:rsidRDefault="00714A0C" w:rsidP="00F144EF">
      <w:pPr>
        <w:pStyle w:val="ListParagraph"/>
        <w:numPr>
          <w:ilvl w:val="1"/>
          <w:numId w:val="3"/>
        </w:numPr>
        <w:ind w:left="709" w:hanging="425"/>
        <w:rPr>
          <w:rFonts w:cs="Arial"/>
          <w:lang w:eastAsia="en-US"/>
        </w:rPr>
      </w:pPr>
      <w:r>
        <w:lastRenderedPageBreak/>
        <w:t>The group met three times during the Autumn term</w:t>
      </w:r>
      <w:r w:rsidR="00E0288A">
        <w:t>, focusing on:</w:t>
      </w:r>
      <w:r w:rsidRPr="00714A0C">
        <w:t xml:space="preserve"> </w:t>
      </w:r>
    </w:p>
    <w:p w14:paraId="3EACD533" w14:textId="77777777" w:rsidR="00714A0C" w:rsidRPr="00714A0C" w:rsidRDefault="00714A0C" w:rsidP="008A2773">
      <w:pPr>
        <w:pStyle w:val="ListParagraph"/>
        <w:numPr>
          <w:ilvl w:val="0"/>
          <w:numId w:val="11"/>
        </w:numPr>
      </w:pPr>
      <w:r w:rsidRPr="00714A0C">
        <w:t xml:space="preserve">the Review’s challenges and enquiry hypotheses, </w:t>
      </w:r>
    </w:p>
    <w:p w14:paraId="3EACD534" w14:textId="77777777" w:rsidR="00714A0C" w:rsidRPr="00714A0C" w:rsidRDefault="00714A0C" w:rsidP="008A2773">
      <w:pPr>
        <w:pStyle w:val="Default"/>
        <w:numPr>
          <w:ilvl w:val="0"/>
          <w:numId w:val="11"/>
        </w:numPr>
        <w:spacing w:after="33"/>
      </w:pPr>
      <w:r w:rsidRPr="00714A0C">
        <w:t xml:space="preserve">presentations from special schools and an </w:t>
      </w:r>
      <w:r>
        <w:t>alternative provider</w:t>
      </w:r>
      <w:r w:rsidRPr="00714A0C">
        <w:t xml:space="preserve">, and, </w:t>
      </w:r>
    </w:p>
    <w:p w14:paraId="3EACD535" w14:textId="77777777" w:rsidR="00714A0C" w:rsidRDefault="00714A0C" w:rsidP="008A2773">
      <w:pPr>
        <w:pStyle w:val="Default"/>
        <w:numPr>
          <w:ilvl w:val="0"/>
          <w:numId w:val="11"/>
        </w:numPr>
      </w:pPr>
      <w:r w:rsidRPr="00714A0C">
        <w:t xml:space="preserve">the themes emerging from the evidence. </w:t>
      </w:r>
    </w:p>
    <w:p w14:paraId="3EACD536" w14:textId="77777777" w:rsidR="003316AD" w:rsidRDefault="003316AD" w:rsidP="003D6EFC">
      <w:pPr>
        <w:spacing w:before="60" w:after="60" w:line="276" w:lineRule="auto"/>
      </w:pPr>
    </w:p>
    <w:p w14:paraId="3EACD537" w14:textId="77777777" w:rsidR="003316AD" w:rsidRDefault="003316AD" w:rsidP="004F4AD8">
      <w:pPr>
        <w:pStyle w:val="Heading3"/>
      </w:pPr>
      <w:r w:rsidRPr="00AA24A9">
        <w:t xml:space="preserve">The </w:t>
      </w:r>
      <w:r w:rsidR="008A2773">
        <w:t>key findings</w:t>
      </w:r>
    </w:p>
    <w:p w14:paraId="3EACD538" w14:textId="77777777" w:rsidR="00085155" w:rsidRPr="002F776E" w:rsidRDefault="003316AD" w:rsidP="00F144EF">
      <w:pPr>
        <w:pStyle w:val="Default"/>
        <w:ind w:left="709" w:hanging="425"/>
      </w:pPr>
      <w:r w:rsidRPr="002F776E">
        <w:rPr>
          <w:color w:val="0D0D0D"/>
        </w:rPr>
        <w:t xml:space="preserve">2.1 </w:t>
      </w:r>
      <w:r w:rsidR="002F776E" w:rsidRPr="002F776E">
        <w:t>In planning the review, three initial hypotheses about arrangements for those with SEMH needs were considered, to guide enquiries and the analysis of information. These were informed by current knowledge of provision for pupils in LBTH and from experience</w:t>
      </w:r>
      <w:r w:rsidR="00085155">
        <w:t xml:space="preserve"> in other parts of the country.</w:t>
      </w:r>
    </w:p>
    <w:p w14:paraId="3EACD539" w14:textId="77777777" w:rsidR="00085155" w:rsidRDefault="00085155" w:rsidP="002F776E">
      <w:pPr>
        <w:pStyle w:val="Default"/>
        <w:ind w:left="284"/>
      </w:pPr>
    </w:p>
    <w:p w14:paraId="3EACD53A" w14:textId="77777777" w:rsidR="002F776E" w:rsidRPr="002F776E" w:rsidRDefault="00085155" w:rsidP="002F776E">
      <w:pPr>
        <w:pStyle w:val="Default"/>
        <w:ind w:left="284"/>
      </w:pPr>
      <w:r>
        <w:t xml:space="preserve">2.2 </w:t>
      </w:r>
      <w:r w:rsidR="002F776E" w:rsidRPr="002F776E">
        <w:t xml:space="preserve">The three hypotheses were: </w:t>
      </w:r>
    </w:p>
    <w:p w14:paraId="3EACD53B" w14:textId="77777777" w:rsidR="002F776E" w:rsidRPr="002F776E" w:rsidRDefault="002F776E" w:rsidP="00085155">
      <w:pPr>
        <w:pStyle w:val="Default"/>
        <w:numPr>
          <w:ilvl w:val="0"/>
          <w:numId w:val="15"/>
        </w:numPr>
        <w:ind w:left="1134"/>
      </w:pPr>
      <w:r w:rsidRPr="002F776E">
        <w:t xml:space="preserve">there may be limited agreed, comparative approach in Tower Hamlets to measuring outcomes and costs, hence cost-effectiveness, for children and young people with substantial SEMH needs; </w:t>
      </w:r>
    </w:p>
    <w:p w14:paraId="3EACD53C" w14:textId="77777777" w:rsidR="002F776E" w:rsidRPr="002F776E" w:rsidRDefault="002F776E" w:rsidP="00085155">
      <w:pPr>
        <w:pStyle w:val="Default"/>
        <w:numPr>
          <w:ilvl w:val="0"/>
          <w:numId w:val="15"/>
        </w:numPr>
        <w:ind w:left="1134"/>
      </w:pPr>
      <w:r w:rsidRPr="002F776E">
        <w:t xml:space="preserve">there may be limited comprehensive profiles of children and young people with substantial SEMH needs and their schooling, achievements and future lives; </w:t>
      </w:r>
    </w:p>
    <w:p w14:paraId="3EACD53D" w14:textId="77777777" w:rsidR="002F776E" w:rsidRDefault="002F776E" w:rsidP="00085155">
      <w:pPr>
        <w:pStyle w:val="Default"/>
        <w:numPr>
          <w:ilvl w:val="0"/>
          <w:numId w:val="15"/>
        </w:numPr>
        <w:ind w:left="1134"/>
        <w:rPr>
          <w:sz w:val="23"/>
          <w:szCs w:val="23"/>
        </w:rPr>
      </w:pPr>
      <w:r w:rsidRPr="002F776E">
        <w:t>the offer, organisational relationships and accountabilities may be unclear and based on what has been available historically, rather than SEMH need.</w:t>
      </w:r>
      <w:r>
        <w:rPr>
          <w:sz w:val="23"/>
          <w:szCs w:val="23"/>
        </w:rPr>
        <w:t xml:space="preserve"> </w:t>
      </w:r>
    </w:p>
    <w:p w14:paraId="3EACD53E" w14:textId="77777777" w:rsidR="00085155" w:rsidRPr="00085155" w:rsidRDefault="00085155" w:rsidP="00085155">
      <w:pPr>
        <w:pStyle w:val="Default"/>
        <w:ind w:left="1134"/>
        <w:rPr>
          <w:sz w:val="23"/>
          <w:szCs w:val="23"/>
        </w:rPr>
      </w:pPr>
    </w:p>
    <w:p w14:paraId="3EACD53F" w14:textId="77777777" w:rsidR="008A2773" w:rsidRDefault="00085155" w:rsidP="008A2773">
      <w:pPr>
        <w:pStyle w:val="DfESOutNumbered1"/>
        <w:numPr>
          <w:ilvl w:val="0"/>
          <w:numId w:val="0"/>
        </w:numPr>
        <w:suppressAutoHyphens/>
        <w:autoSpaceDN w:val="0"/>
        <w:ind w:left="284"/>
        <w:textAlignment w:val="baseline"/>
        <w:rPr>
          <w:color w:val="0D0D0D"/>
        </w:rPr>
      </w:pPr>
      <w:r>
        <w:rPr>
          <w:color w:val="0D0D0D"/>
        </w:rPr>
        <w:t>2.3</w:t>
      </w:r>
      <w:r w:rsidR="002F776E">
        <w:rPr>
          <w:color w:val="0D0D0D"/>
        </w:rPr>
        <w:t xml:space="preserve"> </w:t>
      </w:r>
      <w:r w:rsidR="008A2773">
        <w:rPr>
          <w:color w:val="0D0D0D"/>
        </w:rPr>
        <w:t>The key conclusions of the review were;</w:t>
      </w:r>
    </w:p>
    <w:p w14:paraId="3EACD540" w14:textId="77777777" w:rsidR="008A2773" w:rsidRPr="008A2773" w:rsidRDefault="008A2773" w:rsidP="008A2773">
      <w:pPr>
        <w:pStyle w:val="ListParagraph"/>
        <w:numPr>
          <w:ilvl w:val="0"/>
          <w:numId w:val="14"/>
        </w:numPr>
        <w:spacing w:before="240" w:after="240"/>
        <w:ind w:left="1134" w:hanging="425"/>
        <w:rPr>
          <w:rFonts w:cs="Arial"/>
        </w:rPr>
      </w:pPr>
      <w:r w:rsidRPr="008A2773">
        <w:rPr>
          <w:rFonts w:cs="Arial"/>
        </w:rPr>
        <w:t>There is a limited overarching vision for children and young people with SEMH needs or articulation of Tower Hamlets’ ambitions and model of support.</w:t>
      </w:r>
    </w:p>
    <w:p w14:paraId="3EACD541" w14:textId="77777777" w:rsidR="008A2773" w:rsidRPr="008A2773" w:rsidRDefault="008A2773" w:rsidP="008A2773">
      <w:pPr>
        <w:pStyle w:val="ListParagraph"/>
        <w:numPr>
          <w:ilvl w:val="0"/>
          <w:numId w:val="13"/>
        </w:numPr>
        <w:spacing w:before="240" w:after="240"/>
        <w:ind w:left="1134" w:hanging="425"/>
        <w:rPr>
          <w:rFonts w:cs="Arial"/>
        </w:rPr>
      </w:pPr>
      <w:r w:rsidRPr="008A2773">
        <w:rPr>
          <w:rFonts w:cs="Arial"/>
        </w:rPr>
        <w:t>L</w:t>
      </w:r>
      <w:r>
        <w:rPr>
          <w:rFonts w:cs="Arial"/>
        </w:rPr>
        <w:t xml:space="preserve">ocal provision and support </w:t>
      </w:r>
      <w:r w:rsidRPr="008A2773">
        <w:rPr>
          <w:rFonts w:cs="Arial"/>
        </w:rPr>
        <w:t>is historic: largely driven by a behaviour management approach, rather than by SEMH need, and with little focus beyond compulsory school age.</w:t>
      </w:r>
    </w:p>
    <w:p w14:paraId="3EACD542" w14:textId="77777777" w:rsidR="008A2773" w:rsidRPr="008A2773" w:rsidRDefault="008A2773" w:rsidP="008A2773">
      <w:pPr>
        <w:pStyle w:val="ListParagraph"/>
        <w:numPr>
          <w:ilvl w:val="0"/>
          <w:numId w:val="13"/>
        </w:numPr>
        <w:ind w:left="1134" w:hanging="425"/>
        <w:rPr>
          <w:rFonts w:cs="Arial"/>
        </w:rPr>
      </w:pPr>
      <w:r w:rsidRPr="008A2773">
        <w:rPr>
          <w:rFonts w:cs="Arial"/>
        </w:rPr>
        <w:t>Arrangements are driven by a limited number of outcomes, particularly place availability and prevention of exclusion. There are not systems in place to monitor progress and cost-effectiveness.</w:t>
      </w:r>
    </w:p>
    <w:p w14:paraId="3EACD543" w14:textId="77777777" w:rsidR="008A2773" w:rsidRPr="00085155" w:rsidRDefault="008A2773" w:rsidP="008A2773">
      <w:pPr>
        <w:pStyle w:val="Header"/>
        <w:numPr>
          <w:ilvl w:val="0"/>
          <w:numId w:val="13"/>
        </w:numPr>
        <w:tabs>
          <w:tab w:val="clear" w:pos="4153"/>
          <w:tab w:val="clear" w:pos="8306"/>
        </w:tabs>
        <w:ind w:left="1134" w:hanging="425"/>
        <w:rPr>
          <w:rFonts w:cs="Arial"/>
          <w:bCs/>
          <w:iCs/>
          <w:szCs w:val="24"/>
        </w:rPr>
      </w:pPr>
      <w:r w:rsidRPr="008A2773">
        <w:rPr>
          <w:rFonts w:cs="Arial"/>
          <w:szCs w:val="24"/>
        </w:rPr>
        <w:t>There is an absence of consistent shared descriptors of SEMH and types of need, informing consistent baseline assessment.</w:t>
      </w:r>
    </w:p>
    <w:p w14:paraId="3EACD544" w14:textId="77777777" w:rsidR="00085155" w:rsidRPr="008A2773" w:rsidRDefault="00085155" w:rsidP="00085155">
      <w:pPr>
        <w:pStyle w:val="Header"/>
        <w:tabs>
          <w:tab w:val="clear" w:pos="4153"/>
          <w:tab w:val="clear" w:pos="8306"/>
        </w:tabs>
        <w:ind w:left="1134"/>
        <w:rPr>
          <w:rFonts w:cs="Arial"/>
          <w:bCs/>
          <w:iCs/>
          <w:szCs w:val="24"/>
        </w:rPr>
      </w:pPr>
    </w:p>
    <w:p w14:paraId="3EACD545" w14:textId="77777777" w:rsidR="003D6EFC" w:rsidRDefault="00085155" w:rsidP="003D6EFC">
      <w:pPr>
        <w:pStyle w:val="DfESOutNumbered1"/>
        <w:numPr>
          <w:ilvl w:val="0"/>
          <w:numId w:val="0"/>
        </w:numPr>
        <w:suppressAutoHyphens/>
        <w:autoSpaceDN w:val="0"/>
        <w:ind w:left="709" w:hanging="425"/>
        <w:textAlignment w:val="baseline"/>
        <w:rPr>
          <w:color w:val="0D0D0D"/>
        </w:rPr>
      </w:pPr>
      <w:r>
        <w:rPr>
          <w:color w:val="0D0D0D"/>
        </w:rPr>
        <w:t xml:space="preserve">2.4 </w:t>
      </w:r>
      <w:r w:rsidR="00E0288A">
        <w:rPr>
          <w:color w:val="0D0D0D"/>
        </w:rPr>
        <w:t>Over the course of the review it also became apparent that any recommendations made would need to be considered in the light of two other key pieces of work; the second phase of the Fair Access Protocol Review and the successful bid for Tower Hamlets to be a part of the NHS Mental Health Trailblazer pilot scheme</w:t>
      </w:r>
      <w:r>
        <w:rPr>
          <w:color w:val="0D0D0D"/>
        </w:rPr>
        <w:t xml:space="preserve"> </w:t>
      </w:r>
      <w:r w:rsidR="00E0288A">
        <w:rPr>
          <w:color w:val="0D0D0D"/>
        </w:rPr>
        <w:t>looking at mental health awareness and support in schools.</w:t>
      </w:r>
    </w:p>
    <w:p w14:paraId="3EACD546" w14:textId="77777777" w:rsidR="009F2804" w:rsidRDefault="009F2804">
      <w:pPr>
        <w:rPr>
          <w:b/>
          <w:color w:val="0D0D0D"/>
        </w:rPr>
      </w:pPr>
      <w:r>
        <w:rPr>
          <w:b/>
          <w:color w:val="0D0D0D"/>
        </w:rPr>
        <w:br w:type="page"/>
      </w:r>
    </w:p>
    <w:p w14:paraId="3EACD547" w14:textId="77777777" w:rsidR="003316AD" w:rsidRDefault="003D6EFC" w:rsidP="003D6EFC">
      <w:pPr>
        <w:pStyle w:val="DfESOutNumbered1"/>
        <w:numPr>
          <w:ilvl w:val="0"/>
          <w:numId w:val="0"/>
        </w:numPr>
        <w:suppressAutoHyphens/>
        <w:autoSpaceDN w:val="0"/>
        <w:ind w:left="709" w:hanging="425"/>
        <w:textAlignment w:val="baseline"/>
        <w:rPr>
          <w:b/>
        </w:rPr>
      </w:pPr>
      <w:r w:rsidRPr="003D6EFC">
        <w:rPr>
          <w:b/>
          <w:color w:val="0D0D0D"/>
        </w:rPr>
        <w:lastRenderedPageBreak/>
        <w:t xml:space="preserve">3. </w:t>
      </w:r>
      <w:r w:rsidRPr="004F4AD8">
        <w:rPr>
          <w:rStyle w:val="Heading3Char"/>
        </w:rPr>
        <w:t>The recommendations</w:t>
      </w:r>
    </w:p>
    <w:p w14:paraId="3EACD548" w14:textId="77777777" w:rsidR="003D6EFC" w:rsidRPr="003D6EFC" w:rsidRDefault="003D6EFC" w:rsidP="003D6EFC">
      <w:pPr>
        <w:pStyle w:val="Header"/>
        <w:tabs>
          <w:tab w:val="clear" w:pos="4153"/>
          <w:tab w:val="clear" w:pos="8306"/>
        </w:tabs>
        <w:rPr>
          <w:rFonts w:cs="Arial"/>
          <w:bCs/>
          <w:iCs/>
          <w:szCs w:val="24"/>
        </w:rPr>
      </w:pPr>
      <w:r w:rsidRPr="003D6EFC">
        <w:rPr>
          <w:rFonts w:cs="Arial"/>
          <w:bCs/>
          <w:iCs/>
          <w:szCs w:val="24"/>
        </w:rPr>
        <w:t xml:space="preserve">3.1 The review included the following recommendations: </w:t>
      </w:r>
    </w:p>
    <w:p w14:paraId="3EACD549" w14:textId="77777777" w:rsidR="003D6EFC" w:rsidRPr="003D6EFC" w:rsidRDefault="003D6EFC" w:rsidP="003D6EFC">
      <w:pPr>
        <w:pStyle w:val="Header"/>
        <w:tabs>
          <w:tab w:val="clear" w:pos="4153"/>
          <w:tab w:val="clear" w:pos="8306"/>
        </w:tabs>
        <w:rPr>
          <w:rFonts w:cs="Arial"/>
          <w:bCs/>
          <w:iCs/>
          <w:szCs w:val="24"/>
        </w:rPr>
      </w:pPr>
    </w:p>
    <w:p w14:paraId="3EACD54A" w14:textId="77777777" w:rsidR="003D6EFC" w:rsidRPr="003D6EFC" w:rsidRDefault="003D6EFC" w:rsidP="003D6EFC">
      <w:pPr>
        <w:pStyle w:val="Header"/>
        <w:tabs>
          <w:tab w:val="clear" w:pos="720"/>
          <w:tab w:val="clear" w:pos="4153"/>
          <w:tab w:val="clear" w:pos="8306"/>
          <w:tab w:val="left" w:pos="851"/>
        </w:tabs>
        <w:ind w:left="709"/>
        <w:rPr>
          <w:rFonts w:cs="Arial"/>
          <w:b/>
          <w:bCs/>
          <w:iCs/>
          <w:szCs w:val="24"/>
        </w:rPr>
      </w:pPr>
      <w:r w:rsidRPr="003D6EFC">
        <w:rPr>
          <w:rFonts w:cs="Arial"/>
          <w:b/>
          <w:bCs/>
          <w:iCs/>
          <w:szCs w:val="24"/>
        </w:rPr>
        <w:t>a. A TH vision for SEMH agreed across all stakeholders</w:t>
      </w:r>
    </w:p>
    <w:p w14:paraId="3EACD54B" w14:textId="77777777" w:rsidR="003D6EFC" w:rsidRPr="003D6EFC" w:rsidRDefault="003D6EFC" w:rsidP="003D6EFC">
      <w:pPr>
        <w:pStyle w:val="Header"/>
        <w:numPr>
          <w:ilvl w:val="0"/>
          <w:numId w:val="16"/>
        </w:numPr>
        <w:tabs>
          <w:tab w:val="clear" w:pos="720"/>
          <w:tab w:val="clear" w:pos="4153"/>
          <w:tab w:val="clear" w:pos="8306"/>
          <w:tab w:val="left" w:pos="851"/>
        </w:tabs>
        <w:ind w:left="709"/>
        <w:rPr>
          <w:rFonts w:cs="Arial"/>
          <w:bCs/>
          <w:iCs/>
          <w:szCs w:val="24"/>
        </w:rPr>
      </w:pPr>
      <w:r w:rsidRPr="003D6EFC">
        <w:rPr>
          <w:rFonts w:cs="Arial"/>
          <w:bCs/>
          <w:iCs/>
          <w:szCs w:val="24"/>
        </w:rPr>
        <w:t>Develop a dedicated SEMH vision and principles</w:t>
      </w:r>
    </w:p>
    <w:p w14:paraId="3EACD54C" w14:textId="77777777" w:rsidR="003D6EFC" w:rsidRPr="003D6EFC" w:rsidRDefault="003D6EFC" w:rsidP="003D6EFC">
      <w:pPr>
        <w:pStyle w:val="Header"/>
        <w:numPr>
          <w:ilvl w:val="0"/>
          <w:numId w:val="16"/>
        </w:numPr>
        <w:tabs>
          <w:tab w:val="clear" w:pos="720"/>
          <w:tab w:val="clear" w:pos="4153"/>
          <w:tab w:val="clear" w:pos="8306"/>
          <w:tab w:val="left" w:pos="851"/>
        </w:tabs>
        <w:ind w:left="709"/>
        <w:rPr>
          <w:rFonts w:cs="Arial"/>
          <w:bCs/>
          <w:iCs/>
          <w:szCs w:val="24"/>
        </w:rPr>
      </w:pPr>
      <w:r w:rsidRPr="003D6EFC">
        <w:rPr>
          <w:rFonts w:cs="Arial"/>
          <w:bCs/>
          <w:iCs/>
          <w:szCs w:val="24"/>
        </w:rPr>
        <w:t>Describe and implement more flexible pathways for children and young people with SEMH needs</w:t>
      </w:r>
    </w:p>
    <w:p w14:paraId="3EACD54D" w14:textId="77777777" w:rsidR="003D6EFC" w:rsidRPr="003D6EFC" w:rsidRDefault="003D6EFC" w:rsidP="003D6EFC">
      <w:pPr>
        <w:pStyle w:val="Header"/>
        <w:numPr>
          <w:ilvl w:val="0"/>
          <w:numId w:val="16"/>
        </w:numPr>
        <w:tabs>
          <w:tab w:val="clear" w:pos="720"/>
          <w:tab w:val="clear" w:pos="4153"/>
          <w:tab w:val="clear" w:pos="8306"/>
          <w:tab w:val="left" w:pos="851"/>
        </w:tabs>
        <w:ind w:left="709"/>
        <w:rPr>
          <w:rFonts w:cs="Arial"/>
          <w:bCs/>
          <w:iCs/>
          <w:szCs w:val="24"/>
        </w:rPr>
      </w:pPr>
      <w:r w:rsidRPr="003D6EFC">
        <w:rPr>
          <w:rFonts w:cs="Arial"/>
          <w:bCs/>
          <w:iCs/>
          <w:szCs w:val="24"/>
        </w:rPr>
        <w:t>Establish a stronger focus on harnessing the parent and carer voice.</w:t>
      </w:r>
    </w:p>
    <w:p w14:paraId="3EACD54E" w14:textId="77777777" w:rsidR="003D6EFC" w:rsidRPr="003D6EFC" w:rsidRDefault="003D6EFC" w:rsidP="003D6EFC">
      <w:pPr>
        <w:pStyle w:val="Header"/>
        <w:tabs>
          <w:tab w:val="clear" w:pos="720"/>
          <w:tab w:val="clear" w:pos="4153"/>
          <w:tab w:val="clear" w:pos="8306"/>
          <w:tab w:val="left" w:pos="851"/>
        </w:tabs>
        <w:ind w:left="709"/>
        <w:rPr>
          <w:rFonts w:cs="Arial"/>
          <w:bCs/>
          <w:iCs/>
          <w:szCs w:val="24"/>
        </w:rPr>
      </w:pPr>
    </w:p>
    <w:p w14:paraId="3EACD54F" w14:textId="77777777" w:rsidR="003D6EFC" w:rsidRPr="003D6EFC" w:rsidRDefault="003D6EFC" w:rsidP="003D6EFC">
      <w:pPr>
        <w:pStyle w:val="Header"/>
        <w:tabs>
          <w:tab w:val="clear" w:pos="720"/>
          <w:tab w:val="clear" w:pos="4153"/>
          <w:tab w:val="clear" w:pos="8306"/>
          <w:tab w:val="left" w:pos="851"/>
        </w:tabs>
        <w:ind w:left="709"/>
        <w:rPr>
          <w:rFonts w:cs="Arial"/>
          <w:b/>
          <w:bCs/>
          <w:iCs/>
          <w:szCs w:val="24"/>
        </w:rPr>
      </w:pPr>
      <w:r w:rsidRPr="003D6EFC">
        <w:rPr>
          <w:rFonts w:cs="Arial"/>
          <w:b/>
          <w:bCs/>
          <w:iCs/>
          <w:szCs w:val="24"/>
        </w:rPr>
        <w:t>b. Develop a TH system to meet SEMH needs that effectively reflects the SEND Code of Practice</w:t>
      </w:r>
    </w:p>
    <w:p w14:paraId="3EACD550" w14:textId="77777777" w:rsidR="003D6EFC" w:rsidRPr="003D6EFC" w:rsidRDefault="003D6EFC" w:rsidP="003D6EFC">
      <w:pPr>
        <w:pStyle w:val="Header"/>
        <w:numPr>
          <w:ilvl w:val="0"/>
          <w:numId w:val="17"/>
        </w:numPr>
        <w:tabs>
          <w:tab w:val="clear" w:pos="720"/>
          <w:tab w:val="clear" w:pos="4153"/>
          <w:tab w:val="clear" w:pos="8306"/>
          <w:tab w:val="left" w:pos="851"/>
        </w:tabs>
        <w:ind w:left="709"/>
        <w:rPr>
          <w:rFonts w:cs="Arial"/>
          <w:bCs/>
          <w:iCs/>
          <w:szCs w:val="24"/>
        </w:rPr>
      </w:pPr>
      <w:r w:rsidRPr="003D6EFC">
        <w:rPr>
          <w:rFonts w:cs="Arial"/>
          <w:bCs/>
          <w:iCs/>
          <w:szCs w:val="24"/>
        </w:rPr>
        <w:t>Map local provision against a TH continuum of SEMH provision</w:t>
      </w:r>
    </w:p>
    <w:p w14:paraId="3EACD551" w14:textId="77777777" w:rsidR="003D6EFC" w:rsidRPr="003D6EFC" w:rsidRDefault="003D6EFC" w:rsidP="003D6EFC">
      <w:pPr>
        <w:pStyle w:val="Header"/>
        <w:numPr>
          <w:ilvl w:val="0"/>
          <w:numId w:val="17"/>
        </w:numPr>
        <w:tabs>
          <w:tab w:val="clear" w:pos="720"/>
          <w:tab w:val="clear" w:pos="4153"/>
          <w:tab w:val="clear" w:pos="8306"/>
          <w:tab w:val="left" w:pos="851"/>
        </w:tabs>
        <w:ind w:left="709"/>
        <w:rPr>
          <w:rFonts w:cs="Arial"/>
          <w:bCs/>
          <w:iCs/>
          <w:szCs w:val="24"/>
        </w:rPr>
      </w:pPr>
      <w:r w:rsidRPr="003D6EFC">
        <w:rPr>
          <w:rFonts w:cs="Arial"/>
          <w:bCs/>
          <w:iCs/>
          <w:szCs w:val="24"/>
        </w:rPr>
        <w:t>Commission special schools and alternative provision, together with support services, through service level agreements, led by LBTH.</w:t>
      </w:r>
    </w:p>
    <w:p w14:paraId="3EACD552" w14:textId="77777777" w:rsidR="003D6EFC" w:rsidRPr="003D6EFC" w:rsidRDefault="003D6EFC" w:rsidP="003D6EFC">
      <w:pPr>
        <w:pStyle w:val="Header"/>
        <w:numPr>
          <w:ilvl w:val="0"/>
          <w:numId w:val="17"/>
        </w:numPr>
        <w:tabs>
          <w:tab w:val="clear" w:pos="720"/>
          <w:tab w:val="clear" w:pos="4153"/>
          <w:tab w:val="clear" w:pos="8306"/>
          <w:tab w:val="left" w:pos="851"/>
        </w:tabs>
        <w:ind w:left="709"/>
        <w:rPr>
          <w:rFonts w:cs="Arial"/>
          <w:bCs/>
          <w:iCs/>
          <w:szCs w:val="24"/>
        </w:rPr>
      </w:pPr>
      <w:r w:rsidRPr="003D6EFC">
        <w:rPr>
          <w:rFonts w:cs="Arial"/>
          <w:bCs/>
          <w:iCs/>
          <w:szCs w:val="24"/>
        </w:rPr>
        <w:t>A project to develop best practice in supporting students with SEMH needs into employment</w:t>
      </w:r>
    </w:p>
    <w:p w14:paraId="3EACD553" w14:textId="77777777" w:rsidR="003D6EFC" w:rsidRPr="003D6EFC" w:rsidRDefault="003D6EFC" w:rsidP="003D6EFC">
      <w:pPr>
        <w:pStyle w:val="Header"/>
        <w:numPr>
          <w:ilvl w:val="0"/>
          <w:numId w:val="17"/>
        </w:numPr>
        <w:tabs>
          <w:tab w:val="clear" w:pos="720"/>
          <w:tab w:val="clear" w:pos="4153"/>
          <w:tab w:val="clear" w:pos="8306"/>
          <w:tab w:val="left" w:pos="851"/>
        </w:tabs>
        <w:ind w:left="709"/>
        <w:rPr>
          <w:rFonts w:cs="Arial"/>
          <w:bCs/>
          <w:iCs/>
          <w:szCs w:val="24"/>
        </w:rPr>
      </w:pPr>
      <w:r w:rsidRPr="003D6EFC">
        <w:rPr>
          <w:rFonts w:cs="Arial"/>
          <w:bCs/>
          <w:iCs/>
          <w:szCs w:val="24"/>
        </w:rPr>
        <w:t>Clearer, better coordinated planning of multi-agency decisions and responses to SEMH needs</w:t>
      </w:r>
    </w:p>
    <w:p w14:paraId="3EACD554" w14:textId="77777777" w:rsidR="003D6EFC" w:rsidRPr="003D6EFC" w:rsidRDefault="003D6EFC" w:rsidP="003D6EFC">
      <w:pPr>
        <w:pStyle w:val="Header"/>
        <w:numPr>
          <w:ilvl w:val="0"/>
          <w:numId w:val="17"/>
        </w:numPr>
        <w:tabs>
          <w:tab w:val="clear" w:pos="720"/>
          <w:tab w:val="clear" w:pos="4153"/>
          <w:tab w:val="clear" w:pos="8306"/>
          <w:tab w:val="left" w:pos="851"/>
        </w:tabs>
        <w:ind w:left="709"/>
        <w:rPr>
          <w:rFonts w:cs="Arial"/>
          <w:bCs/>
          <w:iCs/>
          <w:szCs w:val="24"/>
        </w:rPr>
      </w:pPr>
      <w:r w:rsidRPr="003D6EFC">
        <w:rPr>
          <w:rFonts w:cs="Arial"/>
          <w:bCs/>
          <w:iCs/>
          <w:szCs w:val="24"/>
        </w:rPr>
        <w:t>An in-depth appraisal of individual tuition, to improve the education offer and opportunities for CYP with SEMH needs</w:t>
      </w:r>
    </w:p>
    <w:p w14:paraId="3EACD555" w14:textId="77777777" w:rsidR="003D6EFC" w:rsidRPr="003D6EFC" w:rsidRDefault="003D6EFC" w:rsidP="003D6EFC">
      <w:pPr>
        <w:pStyle w:val="Header"/>
        <w:tabs>
          <w:tab w:val="clear" w:pos="720"/>
          <w:tab w:val="clear" w:pos="4153"/>
          <w:tab w:val="clear" w:pos="8306"/>
          <w:tab w:val="left" w:pos="851"/>
        </w:tabs>
        <w:ind w:left="709"/>
        <w:rPr>
          <w:rFonts w:cs="Arial"/>
          <w:bCs/>
          <w:iCs/>
          <w:szCs w:val="24"/>
        </w:rPr>
      </w:pPr>
    </w:p>
    <w:p w14:paraId="3EACD556" w14:textId="77777777" w:rsidR="003D6EFC" w:rsidRPr="003D6EFC" w:rsidRDefault="003D6EFC" w:rsidP="003D6EFC">
      <w:pPr>
        <w:pStyle w:val="Header"/>
        <w:tabs>
          <w:tab w:val="clear" w:pos="720"/>
          <w:tab w:val="clear" w:pos="4153"/>
          <w:tab w:val="clear" w:pos="8306"/>
          <w:tab w:val="left" w:pos="851"/>
        </w:tabs>
        <w:ind w:left="709"/>
        <w:rPr>
          <w:rFonts w:cs="Arial"/>
          <w:b/>
          <w:bCs/>
          <w:iCs/>
          <w:szCs w:val="24"/>
        </w:rPr>
      </w:pPr>
      <w:r w:rsidRPr="003D6EFC">
        <w:rPr>
          <w:rFonts w:cs="Arial"/>
          <w:b/>
          <w:bCs/>
          <w:iCs/>
          <w:szCs w:val="24"/>
        </w:rPr>
        <w:t>c. Agree TH criteria for SEMH needs and an approach to baseline assessment</w:t>
      </w:r>
    </w:p>
    <w:p w14:paraId="3EACD557" w14:textId="77777777" w:rsidR="003D6EFC" w:rsidRPr="003D6EFC" w:rsidRDefault="003D6EFC" w:rsidP="003D6EFC">
      <w:pPr>
        <w:pStyle w:val="Header"/>
        <w:numPr>
          <w:ilvl w:val="0"/>
          <w:numId w:val="18"/>
        </w:numPr>
        <w:tabs>
          <w:tab w:val="clear" w:pos="720"/>
          <w:tab w:val="clear" w:pos="4153"/>
          <w:tab w:val="clear" w:pos="8306"/>
          <w:tab w:val="left" w:pos="851"/>
        </w:tabs>
        <w:ind w:left="709"/>
        <w:rPr>
          <w:rFonts w:cs="Arial"/>
          <w:bCs/>
          <w:iCs/>
          <w:szCs w:val="24"/>
        </w:rPr>
      </w:pPr>
      <w:r w:rsidRPr="003D6EFC">
        <w:rPr>
          <w:rFonts w:cs="Arial"/>
          <w:bCs/>
          <w:iCs/>
          <w:szCs w:val="24"/>
        </w:rPr>
        <w:t>Develop local criteria and descriptors of SEMH need across children’s services, schools, and the NHS</w:t>
      </w:r>
    </w:p>
    <w:p w14:paraId="3EACD558" w14:textId="77777777" w:rsidR="003D6EFC" w:rsidRPr="003D6EFC" w:rsidRDefault="003D6EFC" w:rsidP="003D6EFC">
      <w:pPr>
        <w:pStyle w:val="Header"/>
        <w:numPr>
          <w:ilvl w:val="0"/>
          <w:numId w:val="18"/>
        </w:numPr>
        <w:tabs>
          <w:tab w:val="clear" w:pos="720"/>
          <w:tab w:val="clear" w:pos="4153"/>
          <w:tab w:val="clear" w:pos="8306"/>
          <w:tab w:val="left" w:pos="851"/>
        </w:tabs>
        <w:ind w:left="709"/>
        <w:rPr>
          <w:rFonts w:cs="Arial"/>
          <w:bCs/>
          <w:iCs/>
          <w:szCs w:val="24"/>
        </w:rPr>
      </w:pPr>
      <w:r w:rsidRPr="003D6EFC">
        <w:rPr>
          <w:rFonts w:cs="Arial"/>
          <w:bCs/>
          <w:iCs/>
          <w:szCs w:val="24"/>
        </w:rPr>
        <w:t xml:space="preserve">Agree a core suite of tools across special schools, AP, and mainstream schools in order to baseline SEMH and learning needs. </w:t>
      </w:r>
    </w:p>
    <w:p w14:paraId="3EACD559" w14:textId="77777777" w:rsidR="003D6EFC" w:rsidRPr="003D6EFC" w:rsidRDefault="003D6EFC" w:rsidP="003D6EFC">
      <w:pPr>
        <w:pStyle w:val="Header"/>
        <w:tabs>
          <w:tab w:val="clear" w:pos="720"/>
          <w:tab w:val="clear" w:pos="4153"/>
          <w:tab w:val="clear" w:pos="8306"/>
          <w:tab w:val="left" w:pos="851"/>
        </w:tabs>
        <w:ind w:left="709"/>
        <w:rPr>
          <w:rFonts w:cs="Arial"/>
          <w:bCs/>
          <w:iCs/>
          <w:szCs w:val="24"/>
        </w:rPr>
      </w:pPr>
    </w:p>
    <w:p w14:paraId="3EACD55A" w14:textId="77777777" w:rsidR="003D6EFC" w:rsidRPr="003D6EFC" w:rsidRDefault="003D6EFC" w:rsidP="003D6EFC">
      <w:pPr>
        <w:pStyle w:val="Header"/>
        <w:tabs>
          <w:tab w:val="clear" w:pos="720"/>
          <w:tab w:val="clear" w:pos="4153"/>
          <w:tab w:val="clear" w:pos="8306"/>
          <w:tab w:val="left" w:pos="851"/>
        </w:tabs>
        <w:ind w:left="709"/>
        <w:rPr>
          <w:rFonts w:cs="Arial"/>
          <w:b/>
          <w:bCs/>
          <w:iCs/>
          <w:szCs w:val="24"/>
        </w:rPr>
      </w:pPr>
      <w:r w:rsidRPr="003D6EFC">
        <w:rPr>
          <w:rFonts w:cs="Arial"/>
          <w:b/>
          <w:bCs/>
          <w:iCs/>
          <w:szCs w:val="24"/>
        </w:rPr>
        <w:t>d. Develop a comparative outcomes framework for SEMH, which focuses on cost-effectiveness and mainstream education and employability.</w:t>
      </w:r>
    </w:p>
    <w:p w14:paraId="3EACD55B" w14:textId="77777777" w:rsidR="003D6EFC" w:rsidRPr="003D6EFC" w:rsidRDefault="003D6EFC" w:rsidP="003D6EFC">
      <w:pPr>
        <w:pStyle w:val="Header"/>
        <w:numPr>
          <w:ilvl w:val="0"/>
          <w:numId w:val="19"/>
        </w:numPr>
        <w:tabs>
          <w:tab w:val="clear" w:pos="720"/>
          <w:tab w:val="clear" w:pos="4153"/>
          <w:tab w:val="clear" w:pos="8306"/>
          <w:tab w:val="left" w:pos="851"/>
        </w:tabs>
        <w:ind w:left="709"/>
        <w:rPr>
          <w:rFonts w:cs="Arial"/>
          <w:bCs/>
          <w:iCs/>
          <w:szCs w:val="24"/>
        </w:rPr>
      </w:pPr>
      <w:r w:rsidRPr="003D6EFC">
        <w:rPr>
          <w:rFonts w:cs="Arial"/>
          <w:bCs/>
          <w:iCs/>
          <w:szCs w:val="24"/>
        </w:rPr>
        <w:t>Develop a progress and outcomes framework for SEMH</w:t>
      </w:r>
    </w:p>
    <w:p w14:paraId="3EACD55C" w14:textId="77777777" w:rsidR="003D6EFC" w:rsidRPr="003D6EFC" w:rsidRDefault="003D6EFC" w:rsidP="003D6EFC">
      <w:pPr>
        <w:pStyle w:val="Header"/>
        <w:numPr>
          <w:ilvl w:val="0"/>
          <w:numId w:val="19"/>
        </w:numPr>
        <w:tabs>
          <w:tab w:val="clear" w:pos="720"/>
          <w:tab w:val="clear" w:pos="4153"/>
          <w:tab w:val="clear" w:pos="8306"/>
          <w:tab w:val="left" w:pos="851"/>
        </w:tabs>
        <w:ind w:left="709"/>
        <w:rPr>
          <w:rFonts w:cs="Arial"/>
          <w:bCs/>
          <w:iCs/>
          <w:szCs w:val="24"/>
        </w:rPr>
      </w:pPr>
      <w:r w:rsidRPr="003D6EFC">
        <w:rPr>
          <w:rFonts w:cs="Arial"/>
          <w:bCs/>
          <w:iCs/>
          <w:szCs w:val="24"/>
        </w:rPr>
        <w:t>Continue to report to Schools Forum about progress to implement recommendations and to improve cost effectiveness</w:t>
      </w:r>
    </w:p>
    <w:p w14:paraId="3EACD55D" w14:textId="77777777" w:rsidR="003D6EFC" w:rsidRPr="003D6EFC" w:rsidRDefault="003D6EFC" w:rsidP="003D6EFC">
      <w:pPr>
        <w:pStyle w:val="Header"/>
        <w:numPr>
          <w:ilvl w:val="0"/>
          <w:numId w:val="19"/>
        </w:numPr>
        <w:tabs>
          <w:tab w:val="clear" w:pos="720"/>
          <w:tab w:val="clear" w:pos="4153"/>
          <w:tab w:val="clear" w:pos="8306"/>
          <w:tab w:val="left" w:pos="851"/>
        </w:tabs>
        <w:ind w:left="709"/>
        <w:rPr>
          <w:rFonts w:cs="Arial"/>
          <w:bCs/>
          <w:iCs/>
          <w:szCs w:val="24"/>
        </w:rPr>
      </w:pPr>
      <w:r w:rsidRPr="003D6EFC">
        <w:rPr>
          <w:rFonts w:cs="Arial"/>
          <w:bCs/>
          <w:iCs/>
          <w:szCs w:val="24"/>
        </w:rPr>
        <w:t>Coordinate the discussion of the SEMH review recommendations, and their implementation, with discussion of the recommendations of the FAP Panel review.</w:t>
      </w:r>
    </w:p>
    <w:p w14:paraId="3EACD55E" w14:textId="77777777" w:rsidR="003D6EFC" w:rsidRDefault="003D6EFC" w:rsidP="003D6EFC">
      <w:pPr>
        <w:pStyle w:val="Default"/>
        <w:rPr>
          <w:rFonts w:cs="Times New Roman"/>
          <w:color w:val="auto"/>
        </w:rPr>
      </w:pPr>
      <w:bookmarkStart w:id="0" w:name="_GoBack"/>
      <w:bookmarkEnd w:id="0"/>
    </w:p>
    <w:p w14:paraId="3EACD55F" w14:textId="77777777" w:rsidR="00BB7A6B" w:rsidRDefault="00BB7A6B" w:rsidP="004F4AD8">
      <w:pPr>
        <w:pStyle w:val="Heading3"/>
      </w:pPr>
      <w:r w:rsidRPr="00BB7A6B">
        <w:t>Next Steps</w:t>
      </w:r>
    </w:p>
    <w:p w14:paraId="3EACD560" w14:textId="77777777" w:rsidR="00BB7A6B" w:rsidRPr="00BB7A6B" w:rsidRDefault="00BB7A6B" w:rsidP="00BB7A6B">
      <w:pPr>
        <w:pStyle w:val="Default"/>
        <w:ind w:left="720"/>
        <w:rPr>
          <w:rFonts w:cs="Times New Roman"/>
          <w:b/>
          <w:color w:val="auto"/>
        </w:rPr>
      </w:pPr>
    </w:p>
    <w:p w14:paraId="3EACD561" w14:textId="77777777" w:rsidR="009F2804" w:rsidRDefault="00BB7A6B" w:rsidP="003D6EFC">
      <w:pPr>
        <w:pStyle w:val="Default"/>
        <w:ind w:left="426" w:hanging="426"/>
      </w:pPr>
      <w:r>
        <w:rPr>
          <w:rFonts w:cs="Times New Roman"/>
          <w:color w:val="auto"/>
        </w:rPr>
        <w:t xml:space="preserve">4.1 </w:t>
      </w:r>
      <w:r w:rsidR="003D6EFC">
        <w:t>The final report was delivered in January 2019</w:t>
      </w:r>
      <w:r w:rsidR="009F2804">
        <w:t xml:space="preserve">. </w:t>
      </w:r>
      <w:r w:rsidR="00F144EF">
        <w:t>With the</w:t>
      </w:r>
      <w:r w:rsidR="009F2804">
        <w:t xml:space="preserve"> </w:t>
      </w:r>
      <w:r w:rsidR="00F144EF">
        <w:t xml:space="preserve">second phase of the </w:t>
      </w:r>
      <w:r w:rsidR="003D6EFC">
        <w:t>Fair Access Protocol Review</w:t>
      </w:r>
      <w:r w:rsidR="00F144EF">
        <w:t xml:space="preserve"> due to report</w:t>
      </w:r>
      <w:r w:rsidR="003D6EFC">
        <w:t xml:space="preserve"> and the </w:t>
      </w:r>
      <w:r w:rsidR="009F2804">
        <w:t xml:space="preserve">start of the </w:t>
      </w:r>
      <w:r w:rsidR="003D6EFC">
        <w:t>Mental Health Trailblazer project plan</w:t>
      </w:r>
      <w:r w:rsidR="009F2804">
        <w:t>, Tower Hamlets has seconded, John Bradshaw, the Headteacher of London East AP, to work with colleagues in schools, professionals across all services, parents and young people</w:t>
      </w:r>
      <w:r w:rsidR="00F144EF">
        <w:t xml:space="preserve"> </w:t>
      </w:r>
      <w:r w:rsidR="009F2804">
        <w:t>officers from the Support for Learning Service, Educational Psychology and Special Educational Needs to support the work in delivering a clear SEMH strategy for all pupils in Tower Hamlets</w:t>
      </w:r>
      <w:r w:rsidR="003D6EFC">
        <w:t>.</w:t>
      </w:r>
    </w:p>
    <w:p w14:paraId="3EACD562" w14:textId="77777777" w:rsidR="00BB7A6B" w:rsidRDefault="00BB7A6B" w:rsidP="00BB7A6B">
      <w:pPr>
        <w:pStyle w:val="Default"/>
        <w:ind w:left="426" w:hanging="426"/>
      </w:pPr>
    </w:p>
    <w:p w14:paraId="3EACD563" w14:textId="77777777" w:rsidR="009F2804" w:rsidRDefault="00BB7A6B" w:rsidP="00BB7A6B">
      <w:pPr>
        <w:pStyle w:val="Default"/>
        <w:ind w:left="426" w:hanging="426"/>
      </w:pPr>
      <w:r>
        <w:t xml:space="preserve">4.2 The development of an </w:t>
      </w:r>
      <w:r w:rsidR="009F2804">
        <w:t xml:space="preserve">overarching vision for meeting SEMH </w:t>
      </w:r>
      <w:r w:rsidR="0090718B">
        <w:t>need in T</w:t>
      </w:r>
      <w:r w:rsidR="009F2804">
        <w:t>ower Hamlets</w:t>
      </w:r>
      <w:r w:rsidR="0090718B">
        <w:t xml:space="preserve"> and advise on the implementation of recommendations and actions from both reviews and the trailblazer.</w:t>
      </w:r>
      <w:r w:rsidR="00F144EF">
        <w:t xml:space="preserve"> The </w:t>
      </w:r>
      <w:r>
        <w:t>vision</w:t>
      </w:r>
      <w:r w:rsidR="00F144EF">
        <w:t xml:space="preserve"> will c</w:t>
      </w:r>
      <w:r>
        <w:t xml:space="preserve">over the full range of SEMH need, supporting all children and young people in a setting, including, though not exclusively those at SEND Support and with an EHCP. </w:t>
      </w:r>
      <w:r w:rsidR="0090718B">
        <w:t xml:space="preserve"> An SEMH summit is planned to take place in the sec</w:t>
      </w:r>
      <w:r>
        <w:t>ond half of the Summer term.</w:t>
      </w:r>
    </w:p>
    <w:p w14:paraId="3EACD564" w14:textId="77777777" w:rsidR="003D6EFC" w:rsidRDefault="003D6EFC" w:rsidP="003D6EFC">
      <w:pPr>
        <w:pStyle w:val="Default"/>
      </w:pPr>
    </w:p>
    <w:p w14:paraId="3EACD565" w14:textId="77777777" w:rsidR="00BB7A6B" w:rsidRDefault="00BB7A6B" w:rsidP="00BB7A6B">
      <w:pPr>
        <w:pStyle w:val="Default"/>
        <w:ind w:left="426" w:hanging="426"/>
      </w:pPr>
      <w:r>
        <w:t xml:space="preserve">4.3 This group will develop an action plan to drive all recommendations forward </w:t>
      </w:r>
      <w:r w:rsidR="00A12BE5">
        <w:t xml:space="preserve">in a timely way </w:t>
      </w:r>
      <w:r>
        <w:t xml:space="preserve">and to work with all settings to re-affirm the commitment of Tower Hamlets’ </w:t>
      </w:r>
      <w:r w:rsidR="00A12BE5">
        <w:t xml:space="preserve">settings </w:t>
      </w:r>
      <w:r>
        <w:t xml:space="preserve">to inclusive </w:t>
      </w:r>
      <w:r w:rsidR="00AF7DF6">
        <w:t>education.</w:t>
      </w:r>
    </w:p>
    <w:p w14:paraId="3EACD566" w14:textId="77777777" w:rsidR="003316AD" w:rsidRDefault="003316AD" w:rsidP="003D6EFC"/>
    <w:p w14:paraId="3EACD567" w14:textId="77777777" w:rsidR="00A12BE5" w:rsidRDefault="00A12BE5"/>
    <w:p w14:paraId="3EACD568" w14:textId="77777777" w:rsidR="00140DE9" w:rsidRDefault="00A12BE5">
      <w:r>
        <w:t>Appendix A – SEMH Schooling Review</w:t>
      </w:r>
    </w:p>
    <w:p w14:paraId="3EACD569" w14:textId="77777777" w:rsidR="00A12BE5" w:rsidRDefault="00A12BE5">
      <w:r>
        <w:t>Appendix B – SEMH Review Summary Recommendations</w:t>
      </w:r>
    </w:p>
    <w:sectPr w:rsidR="00A12BE5">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4C902" w14:textId="77777777" w:rsidR="00791D6F" w:rsidRDefault="00791D6F" w:rsidP="00791D6F">
      <w:r>
        <w:separator/>
      </w:r>
    </w:p>
  </w:endnote>
  <w:endnote w:type="continuationSeparator" w:id="0">
    <w:p w14:paraId="77F9F19D" w14:textId="77777777" w:rsidR="00791D6F" w:rsidRDefault="00791D6F" w:rsidP="00791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4501826"/>
      <w:docPartObj>
        <w:docPartGallery w:val="Page Numbers (Bottom of Page)"/>
        <w:docPartUnique/>
      </w:docPartObj>
    </w:sdtPr>
    <w:sdtContent>
      <w:sdt>
        <w:sdtPr>
          <w:id w:val="-1769616900"/>
          <w:docPartObj>
            <w:docPartGallery w:val="Page Numbers (Top of Page)"/>
            <w:docPartUnique/>
          </w:docPartObj>
        </w:sdtPr>
        <w:sdtContent>
          <w:p w14:paraId="2F86A516" w14:textId="251728D6" w:rsidR="00791D6F" w:rsidRDefault="00791D6F">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D81E03C" w14:textId="77777777" w:rsidR="00791D6F" w:rsidRDefault="00791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47A04" w14:textId="77777777" w:rsidR="00791D6F" w:rsidRDefault="00791D6F" w:rsidP="00791D6F">
      <w:r>
        <w:separator/>
      </w:r>
    </w:p>
  </w:footnote>
  <w:footnote w:type="continuationSeparator" w:id="0">
    <w:p w14:paraId="195190CC" w14:textId="77777777" w:rsidR="00791D6F" w:rsidRDefault="00791D6F" w:rsidP="00791D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B7F04"/>
    <w:multiLevelType w:val="hybridMultilevel"/>
    <w:tmpl w:val="0A92DB9E"/>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 w15:restartNumberingAfterBreak="0">
    <w:nsid w:val="0EEB0D5F"/>
    <w:multiLevelType w:val="multilevel"/>
    <w:tmpl w:val="A754EE48"/>
    <w:lvl w:ilvl="0">
      <w:start w:val="1"/>
      <w:numFmt w:val="decimal"/>
      <w:lvlRestart w:val="0"/>
      <w:pStyle w:val="DfESOutNumbered1"/>
      <w:lvlText w:val="%1."/>
      <w:lvlJc w:val="left"/>
      <w:pPr>
        <w:tabs>
          <w:tab w:val="num" w:pos="720"/>
        </w:tabs>
        <w:ind w:left="0" w:firstLine="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720"/>
      </w:pPr>
      <w:rPr>
        <w:rFonts w:hint="default"/>
        <w:i w:val="0"/>
        <w:sz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F444D51"/>
    <w:multiLevelType w:val="hybridMultilevel"/>
    <w:tmpl w:val="AEC2CE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8E734F"/>
    <w:multiLevelType w:val="multilevel"/>
    <w:tmpl w:val="D3028A66"/>
    <w:lvl w:ilvl="0">
      <w:start w:val="3"/>
      <w:numFmt w:val="decimal"/>
      <w:lvlText w:val="%1"/>
      <w:lvlJc w:val="left"/>
      <w:pPr>
        <w:ind w:left="360" w:hanging="360"/>
      </w:pPr>
      <w:rPr>
        <w:rFonts w:hint="default"/>
      </w:rPr>
    </w:lvl>
    <w:lvl w:ilvl="1">
      <w:start w:val="2"/>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4" w15:restartNumberingAfterBreak="0">
    <w:nsid w:val="11897781"/>
    <w:multiLevelType w:val="hybridMultilevel"/>
    <w:tmpl w:val="C91A86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191124"/>
    <w:multiLevelType w:val="hybridMultilevel"/>
    <w:tmpl w:val="79ECC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65520E"/>
    <w:multiLevelType w:val="hybridMultilevel"/>
    <w:tmpl w:val="0074C59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323B71"/>
    <w:multiLevelType w:val="hybridMultilevel"/>
    <w:tmpl w:val="53D443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13E4AF5"/>
    <w:multiLevelType w:val="hybridMultilevel"/>
    <w:tmpl w:val="D7F6AF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1000FD"/>
    <w:multiLevelType w:val="multilevel"/>
    <w:tmpl w:val="3D5C8144"/>
    <w:lvl w:ilvl="0">
      <w:start w:val="3"/>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10" w15:restartNumberingAfterBreak="0">
    <w:nsid w:val="3FF6706A"/>
    <w:multiLevelType w:val="multilevel"/>
    <w:tmpl w:val="B700F01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B174A9E"/>
    <w:multiLevelType w:val="hybridMultilevel"/>
    <w:tmpl w:val="C7967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256C33"/>
    <w:multiLevelType w:val="hybridMultilevel"/>
    <w:tmpl w:val="3A10F7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F0919B7"/>
    <w:multiLevelType w:val="hybridMultilevel"/>
    <w:tmpl w:val="8E7E11C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5F4106DF"/>
    <w:multiLevelType w:val="multilevel"/>
    <w:tmpl w:val="4F0C0DCA"/>
    <w:lvl w:ilvl="0">
      <w:start w:val="1"/>
      <w:numFmt w:val="decimal"/>
      <w:lvlText w:val="%1."/>
      <w:lvlJc w:val="left"/>
      <w:pPr>
        <w:ind w:left="1080" w:hanging="720"/>
      </w:pPr>
      <w:rPr>
        <w:rFonts w:hint="default"/>
      </w:rPr>
    </w:lvl>
    <w:lvl w:ilvl="1">
      <w:start w:val="1"/>
      <w:numFmt w:val="decimal"/>
      <w:isLgl/>
      <w:lvlText w:val="%1.%2"/>
      <w:lvlJc w:val="left"/>
      <w:pPr>
        <w:ind w:left="644"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5" w15:restartNumberingAfterBreak="0">
    <w:nsid w:val="606A0712"/>
    <w:multiLevelType w:val="hybridMultilevel"/>
    <w:tmpl w:val="C1B82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32B3EE8"/>
    <w:multiLevelType w:val="hybridMultilevel"/>
    <w:tmpl w:val="158E6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5D859F0"/>
    <w:multiLevelType w:val="hybridMultilevel"/>
    <w:tmpl w:val="1F8A78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67E636DA"/>
    <w:multiLevelType w:val="hybridMultilevel"/>
    <w:tmpl w:val="33D277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5034FD8"/>
    <w:multiLevelType w:val="hybridMultilevel"/>
    <w:tmpl w:val="EA567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AD2CFC"/>
    <w:multiLevelType w:val="multilevel"/>
    <w:tmpl w:val="24C2A6E8"/>
    <w:lvl w:ilvl="0">
      <w:start w:val="1"/>
      <w:numFmt w:val="decimal"/>
      <w:pStyle w:val="Heading3"/>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DF43B97"/>
    <w:multiLevelType w:val="hybridMultilevel"/>
    <w:tmpl w:val="A2701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1"/>
  </w:num>
  <w:num w:numId="3">
    <w:abstractNumId w:val="14"/>
  </w:num>
  <w:num w:numId="4">
    <w:abstractNumId w:val="8"/>
  </w:num>
  <w:num w:numId="5">
    <w:abstractNumId w:val="9"/>
  </w:num>
  <w:num w:numId="6">
    <w:abstractNumId w:val="12"/>
  </w:num>
  <w:num w:numId="7">
    <w:abstractNumId w:val="17"/>
  </w:num>
  <w:num w:numId="8">
    <w:abstractNumId w:val="4"/>
  </w:num>
  <w:num w:numId="9">
    <w:abstractNumId w:val="0"/>
  </w:num>
  <w:num w:numId="10">
    <w:abstractNumId w:val="5"/>
  </w:num>
  <w:num w:numId="11">
    <w:abstractNumId w:val="7"/>
  </w:num>
  <w:num w:numId="12">
    <w:abstractNumId w:val="19"/>
  </w:num>
  <w:num w:numId="13">
    <w:abstractNumId w:val="16"/>
  </w:num>
  <w:num w:numId="14">
    <w:abstractNumId w:val="18"/>
  </w:num>
  <w:num w:numId="15">
    <w:abstractNumId w:val="13"/>
  </w:num>
  <w:num w:numId="16">
    <w:abstractNumId w:val="2"/>
  </w:num>
  <w:num w:numId="17">
    <w:abstractNumId w:val="21"/>
  </w:num>
  <w:num w:numId="18">
    <w:abstractNumId w:val="11"/>
  </w:num>
  <w:num w:numId="19">
    <w:abstractNumId w:val="15"/>
  </w:num>
  <w:num w:numId="20">
    <w:abstractNumId w:val="3"/>
  </w:num>
  <w:num w:numId="21">
    <w:abstractNumId w:val="1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295"/>
    <w:rsid w:val="00085155"/>
    <w:rsid w:val="00140DE9"/>
    <w:rsid w:val="002F776E"/>
    <w:rsid w:val="00301295"/>
    <w:rsid w:val="003316AD"/>
    <w:rsid w:val="0038714C"/>
    <w:rsid w:val="003D6EFC"/>
    <w:rsid w:val="004F4AD8"/>
    <w:rsid w:val="005933C9"/>
    <w:rsid w:val="006E4CCC"/>
    <w:rsid w:val="0070019E"/>
    <w:rsid w:val="00714A0C"/>
    <w:rsid w:val="00791D6F"/>
    <w:rsid w:val="007B0B9F"/>
    <w:rsid w:val="00820757"/>
    <w:rsid w:val="008A2773"/>
    <w:rsid w:val="0090718B"/>
    <w:rsid w:val="009D7EC9"/>
    <w:rsid w:val="009F2804"/>
    <w:rsid w:val="00A12BE5"/>
    <w:rsid w:val="00AA42C5"/>
    <w:rsid w:val="00AF7DF6"/>
    <w:rsid w:val="00BB7A6B"/>
    <w:rsid w:val="00CF28FF"/>
    <w:rsid w:val="00E0288A"/>
    <w:rsid w:val="00EF7ECE"/>
    <w:rsid w:val="00F14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ACD506"/>
  <w15:docId w15:val="{ACEB68E9-99C6-4095-B5BE-029A72FC5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7EC9"/>
    <w:rPr>
      <w:rFonts w:ascii="Arial" w:hAnsi="Arial"/>
      <w:sz w:val="24"/>
      <w:szCs w:val="24"/>
    </w:rPr>
  </w:style>
  <w:style w:type="paragraph" w:styleId="Heading1">
    <w:name w:val="heading 1"/>
    <w:basedOn w:val="BodyTextIndent"/>
    <w:next w:val="Normal"/>
    <w:link w:val="Heading1Char"/>
    <w:qFormat/>
    <w:rsid w:val="0070019E"/>
    <w:pPr>
      <w:framePr w:hSpace="180" w:wrap="around" w:vAnchor="text" w:hAnchor="margin" w:x="-39" w:y="34"/>
      <w:outlineLvl w:val="0"/>
    </w:pPr>
    <w:rPr>
      <w:b/>
      <w:sz w:val="32"/>
      <w:szCs w:val="32"/>
    </w:rPr>
  </w:style>
  <w:style w:type="paragraph" w:styleId="Heading2">
    <w:name w:val="heading 2"/>
    <w:basedOn w:val="Normal"/>
    <w:next w:val="Normal"/>
    <w:link w:val="Heading2Char"/>
    <w:unhideWhenUsed/>
    <w:qFormat/>
    <w:rsid w:val="009D7EC9"/>
    <w:pPr>
      <w:pBdr>
        <w:top w:val="single" w:sz="4" w:space="1" w:color="auto"/>
        <w:left w:val="single" w:sz="4" w:space="1" w:color="auto"/>
        <w:bottom w:val="single" w:sz="4" w:space="1" w:color="auto"/>
        <w:right w:val="single" w:sz="4" w:space="1" w:color="auto"/>
      </w:pBdr>
      <w:spacing w:after="120"/>
      <w:outlineLvl w:val="1"/>
    </w:pPr>
    <w:rPr>
      <w:b/>
    </w:rPr>
  </w:style>
  <w:style w:type="paragraph" w:styleId="Heading3">
    <w:name w:val="heading 3"/>
    <w:basedOn w:val="ListParagraph"/>
    <w:next w:val="Normal"/>
    <w:link w:val="Heading3Char"/>
    <w:unhideWhenUsed/>
    <w:qFormat/>
    <w:rsid w:val="009D7EC9"/>
    <w:pPr>
      <w:numPr>
        <w:numId w:val="1"/>
      </w:num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01295"/>
    <w:pPr>
      <w:tabs>
        <w:tab w:val="left" w:pos="360"/>
      </w:tabs>
      <w:spacing w:after="120"/>
      <w:ind w:left="360" w:hanging="360"/>
    </w:pPr>
    <w:rPr>
      <w:sz w:val="22"/>
      <w:szCs w:val="20"/>
      <w:lang w:val="en-US" w:eastAsia="en-US"/>
    </w:rPr>
  </w:style>
  <w:style w:type="character" w:customStyle="1" w:styleId="BodyTextIndentChar">
    <w:name w:val="Body Text Indent Char"/>
    <w:basedOn w:val="DefaultParagraphFont"/>
    <w:link w:val="BodyTextIndent"/>
    <w:rsid w:val="00301295"/>
    <w:rPr>
      <w:rFonts w:ascii="Arial" w:hAnsi="Arial"/>
      <w:sz w:val="22"/>
      <w:lang w:val="en-US" w:eastAsia="en-US"/>
    </w:r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uiPriority w:val="34"/>
    <w:qFormat/>
    <w:rsid w:val="003316AD"/>
    <w:pPr>
      <w:ind w:left="720"/>
      <w:contextualSpacing/>
    </w:pPr>
  </w:style>
  <w:style w:type="paragraph" w:customStyle="1" w:styleId="DfESOutNumbered1">
    <w:name w:val="DfESOutNumbered1"/>
    <w:basedOn w:val="Normal"/>
    <w:qFormat/>
    <w:rsid w:val="003316AD"/>
    <w:pPr>
      <w:numPr>
        <w:numId w:val="2"/>
      </w:numPr>
      <w:spacing w:after="240" w:line="288" w:lineRule="auto"/>
    </w:pPr>
    <w:rPr>
      <w:color w:val="0D0D0D" w:themeColor="text1" w:themeTint="F2"/>
    </w:rPr>
  </w:style>
  <w:style w:type="paragraph" w:customStyle="1" w:styleId="Default">
    <w:name w:val="Default"/>
    <w:rsid w:val="00714A0C"/>
    <w:pPr>
      <w:autoSpaceDE w:val="0"/>
      <w:autoSpaceDN w:val="0"/>
      <w:adjustRightInd w:val="0"/>
    </w:pPr>
    <w:rPr>
      <w:rFonts w:ascii="Arial" w:hAnsi="Arial" w:cs="Arial"/>
      <w:color w:val="000000"/>
      <w:sz w:val="24"/>
      <w:szCs w:val="24"/>
    </w:rPr>
  </w:style>
  <w:style w:type="paragraph" w:styleId="Header">
    <w:name w:val="header"/>
    <w:basedOn w:val="Normal"/>
    <w:link w:val="HeaderChar"/>
    <w:rsid w:val="008A2773"/>
    <w:pPr>
      <w:tabs>
        <w:tab w:val="left" w:pos="720"/>
        <w:tab w:val="center" w:pos="4153"/>
        <w:tab w:val="right" w:pos="8306"/>
      </w:tabs>
    </w:pPr>
    <w:rPr>
      <w:szCs w:val="20"/>
      <w:lang w:eastAsia="en-US"/>
    </w:rPr>
  </w:style>
  <w:style w:type="character" w:customStyle="1" w:styleId="HeaderChar">
    <w:name w:val="Header Char"/>
    <w:basedOn w:val="DefaultParagraphFont"/>
    <w:link w:val="Header"/>
    <w:rsid w:val="008A2773"/>
    <w:rPr>
      <w:rFonts w:ascii="Arial" w:hAnsi="Arial"/>
      <w:sz w:val="24"/>
      <w:lang w:eastAsia="en-US"/>
    </w:rPr>
  </w:style>
  <w:style w:type="character" w:customStyle="1" w:styleId="Heading1Char">
    <w:name w:val="Heading 1 Char"/>
    <w:basedOn w:val="DefaultParagraphFont"/>
    <w:link w:val="Heading1"/>
    <w:rsid w:val="0070019E"/>
    <w:rPr>
      <w:rFonts w:ascii="Arial" w:hAnsi="Arial"/>
      <w:b/>
      <w:sz w:val="32"/>
      <w:szCs w:val="32"/>
      <w:lang w:val="en-US" w:eastAsia="en-US"/>
    </w:rPr>
  </w:style>
  <w:style w:type="table" w:styleId="TableGrid">
    <w:name w:val="Table Grid"/>
    <w:basedOn w:val="TableNormal"/>
    <w:rsid w:val="00CF2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D7EC9"/>
    <w:rPr>
      <w:rFonts w:ascii="Arial" w:hAnsi="Arial"/>
      <w:b/>
      <w:sz w:val="24"/>
      <w:szCs w:val="24"/>
    </w:rPr>
  </w:style>
  <w:style w:type="character" w:customStyle="1" w:styleId="Heading3Char">
    <w:name w:val="Heading 3 Char"/>
    <w:basedOn w:val="DefaultParagraphFont"/>
    <w:link w:val="Heading3"/>
    <w:rsid w:val="009D7EC9"/>
    <w:rPr>
      <w:rFonts w:ascii="Arial" w:hAnsi="Arial"/>
      <w:b/>
      <w:sz w:val="24"/>
      <w:szCs w:val="24"/>
    </w:rPr>
  </w:style>
  <w:style w:type="paragraph" w:styleId="Footer">
    <w:name w:val="footer"/>
    <w:basedOn w:val="Normal"/>
    <w:link w:val="FooterChar"/>
    <w:uiPriority w:val="99"/>
    <w:unhideWhenUsed/>
    <w:rsid w:val="00791D6F"/>
    <w:pPr>
      <w:tabs>
        <w:tab w:val="center" w:pos="4513"/>
        <w:tab w:val="right" w:pos="9026"/>
      </w:tabs>
    </w:pPr>
  </w:style>
  <w:style w:type="character" w:customStyle="1" w:styleId="FooterChar">
    <w:name w:val="Footer Char"/>
    <w:basedOn w:val="DefaultParagraphFont"/>
    <w:link w:val="Footer"/>
    <w:uiPriority w:val="99"/>
    <w:rsid w:val="00791D6F"/>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531B9F55F05945B6D968FD4BC9ACD5" ma:contentTypeVersion="12" ma:contentTypeDescription="Create a new document." ma:contentTypeScope="" ma:versionID="bd5db4dbdfde445457052d6b59a563fe">
  <xsd:schema xmlns:xsd="http://www.w3.org/2001/XMLSchema" xmlns:xs="http://www.w3.org/2001/XMLSchema" xmlns:p="http://schemas.microsoft.com/office/2006/metadata/properties" xmlns:ns3="c4edee70-41b7-47c9-a9c7-9572a3033cc2" xmlns:ns4="f7f4c4af-e490-4de3-a03e-e7997573cddb" targetNamespace="http://schemas.microsoft.com/office/2006/metadata/properties" ma:root="true" ma:fieldsID="1be98e5b23f311ad190167fdedad616b" ns3:_="" ns4:_="">
    <xsd:import namespace="c4edee70-41b7-47c9-a9c7-9572a3033cc2"/>
    <xsd:import namespace="f7f4c4af-e490-4de3-a03e-e7997573cdd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edee70-41b7-47c9-a9c7-9572a3033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f4c4af-e490-4de3-a03e-e7997573cd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C5ECD2-ACE5-4EF2-BF82-53B154A26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edee70-41b7-47c9-a9c7-9572a3033cc2"/>
    <ds:schemaRef ds:uri="f7f4c4af-e490-4de3-a03e-e7997573c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CE6C74-7B82-4F77-A195-549AB39448CC}">
  <ds:schemaRefs>
    <ds:schemaRef ds:uri="http://schemas.microsoft.com/sharepoint/v3/contenttype/forms"/>
  </ds:schemaRefs>
</ds:datastoreItem>
</file>

<file path=customXml/itemProps3.xml><?xml version="1.0" encoding="utf-8"?>
<ds:datastoreItem xmlns:ds="http://schemas.openxmlformats.org/officeDocument/2006/customXml" ds:itemID="{5498669B-7086-446D-AFC8-5D2A162F2045}">
  <ds:schemaRef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f7f4c4af-e490-4de3-a03e-e7997573cddb"/>
    <ds:schemaRef ds:uri="http://purl.org/dc/terms/"/>
    <ds:schemaRef ds:uri="http://purl.org/dc/dcmitype/"/>
    <ds:schemaRef ds:uri="http://schemas.microsoft.com/office/infopath/2007/PartnerControls"/>
    <ds:schemaRef ds:uri="c4edee70-41b7-47c9-a9c7-9572a3033cc2"/>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1353</Words>
  <Characters>7179</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
    </vt:vector>
  </TitlesOfParts>
  <Company>London Borough of Tower Hamlets</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paper for schools forum</dc:title>
  <dc:creator>John O'Shea</dc:creator>
  <cp:lastModifiedBy>Phillip Nduoyo</cp:lastModifiedBy>
  <cp:revision>8</cp:revision>
  <cp:lastPrinted>2019-04-15T15:55:00Z</cp:lastPrinted>
  <dcterms:created xsi:type="dcterms:W3CDTF">2020-12-16T17:40:00Z</dcterms:created>
  <dcterms:modified xsi:type="dcterms:W3CDTF">2021-01-04T20:46:00Z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0x0101004C531B9F55F05945B6D968FD4BC9ACD5</vt:lpwstr>
  </property>
  <property fmtid="{D5CDD505-2E9C-101B-9397-08002B2CF9AE}" pid="3" name="Order">
    <vt:r8>3163600</vt:r8>
  </property>
</Properties>
</file>