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CD15" w14:textId="77777777" w:rsidR="00933FF4" w:rsidRPr="00933FF4" w:rsidRDefault="00933FF4" w:rsidP="00933FF4">
      <w:pPr>
        <w:jc w:val="center"/>
        <w:rPr>
          <w:b/>
          <w:sz w:val="32"/>
          <w:szCs w:val="32"/>
        </w:rPr>
      </w:pPr>
    </w:p>
    <w:p w14:paraId="6F6A2797" w14:textId="77777777" w:rsidR="00F22D96" w:rsidRDefault="00F22D96" w:rsidP="0004045E">
      <w:pPr>
        <w:pStyle w:val="BodyTextIndent"/>
        <w:tabs>
          <w:tab w:val="clear" w:pos="360"/>
        </w:tabs>
        <w:ind w:left="0" w:firstLine="0"/>
        <w:jc w:val="both"/>
        <w:rPr>
          <w:b/>
          <w:bCs/>
          <w:sz w:val="32"/>
          <w:szCs w:val="32"/>
        </w:rPr>
      </w:pPr>
    </w:p>
    <w:p w14:paraId="31861E95" w14:textId="707DCB7F" w:rsidR="00F22D96" w:rsidRDefault="00F23501" w:rsidP="00BD0225">
      <w:pPr>
        <w:pStyle w:val="Heading2"/>
        <w:jc w:val="center"/>
        <w:rPr>
          <w:b/>
          <w:bCs/>
          <w:sz w:val="36"/>
          <w:szCs w:val="36"/>
        </w:rPr>
      </w:pPr>
      <w:r w:rsidRPr="00F23501">
        <w:rPr>
          <w:b/>
          <w:bCs/>
          <w:sz w:val="36"/>
          <w:szCs w:val="36"/>
        </w:rPr>
        <w:t xml:space="preserve">AGENDA ITEM </w:t>
      </w:r>
      <w:r w:rsidR="000202DF">
        <w:rPr>
          <w:b/>
          <w:bCs/>
          <w:sz w:val="36"/>
          <w:szCs w:val="36"/>
        </w:rPr>
        <w:t>4</w:t>
      </w:r>
    </w:p>
    <w:p w14:paraId="4CF61939" w14:textId="77777777" w:rsidR="00F23501" w:rsidRPr="00F23501" w:rsidRDefault="00F23501" w:rsidP="00F23501"/>
    <w:p w14:paraId="09196C8F" w14:textId="353D183E" w:rsidR="003B3AEF" w:rsidRPr="00BD0225" w:rsidRDefault="004B7D19" w:rsidP="00F23501">
      <w:pPr>
        <w:pStyle w:val="Title"/>
        <w:rPr>
          <w:rFonts w:ascii="Arial" w:hAnsi="Arial" w:cs="Arial"/>
          <w:b/>
          <w:sz w:val="32"/>
          <w:szCs w:val="32"/>
        </w:rPr>
      </w:pPr>
      <w:r w:rsidRPr="00BD0225">
        <w:rPr>
          <w:rFonts w:ascii="Arial" w:hAnsi="Arial" w:cs="Arial"/>
          <w:b/>
          <w:sz w:val="32"/>
          <w:szCs w:val="32"/>
        </w:rPr>
        <w:t xml:space="preserve">Title of report: </w:t>
      </w:r>
      <w:r w:rsidR="00607D34" w:rsidRPr="00BD0225">
        <w:rPr>
          <w:rFonts w:ascii="Arial" w:hAnsi="Arial" w:cs="Arial"/>
          <w:b/>
          <w:sz w:val="32"/>
          <w:szCs w:val="32"/>
        </w:rPr>
        <w:t xml:space="preserve">DSG </w:t>
      </w:r>
      <w:r w:rsidR="009C7AE7" w:rsidRPr="00BD0225">
        <w:rPr>
          <w:rFonts w:ascii="Arial" w:hAnsi="Arial" w:cs="Arial"/>
          <w:b/>
          <w:sz w:val="32"/>
          <w:szCs w:val="32"/>
        </w:rPr>
        <w:t>Monitoring</w:t>
      </w:r>
      <w:r w:rsidR="00330D51" w:rsidRPr="00BD0225">
        <w:rPr>
          <w:rFonts w:ascii="Arial" w:hAnsi="Arial" w:cs="Arial"/>
          <w:b/>
          <w:sz w:val="32"/>
          <w:szCs w:val="32"/>
        </w:rPr>
        <w:t xml:space="preserve"> Quarter 2 2025</w:t>
      </w:r>
      <w:r w:rsidR="00166921" w:rsidRPr="00BD0225">
        <w:rPr>
          <w:rFonts w:ascii="Arial" w:hAnsi="Arial" w:cs="Arial"/>
          <w:b/>
          <w:sz w:val="32"/>
          <w:szCs w:val="32"/>
        </w:rPr>
        <w:t>-</w:t>
      </w:r>
      <w:r w:rsidR="00330D51" w:rsidRPr="00BD0225">
        <w:rPr>
          <w:rFonts w:ascii="Arial" w:hAnsi="Arial" w:cs="Arial"/>
          <w:b/>
          <w:sz w:val="32"/>
          <w:szCs w:val="32"/>
        </w:rPr>
        <w:t>26</w:t>
      </w:r>
    </w:p>
    <w:p w14:paraId="28DD7FB3" w14:textId="77777777" w:rsidR="002968A5" w:rsidRDefault="002968A5" w:rsidP="00933FF4">
      <w:pPr>
        <w:rPr>
          <w:b/>
          <w:bCs/>
        </w:rPr>
      </w:pPr>
    </w:p>
    <w:p w14:paraId="1770CEB4" w14:textId="6FEEE8FC" w:rsidR="009C7AE7" w:rsidRDefault="005408C7" w:rsidP="00933FF4">
      <w:pPr>
        <w:rPr>
          <w:b/>
          <w:bCs/>
        </w:rPr>
      </w:pPr>
      <w:r>
        <w:rPr>
          <w:b/>
          <w:bCs/>
        </w:rPr>
        <w:t xml:space="preserve">Date Prepared: </w:t>
      </w:r>
      <w:r w:rsidR="00E57D6B">
        <w:rPr>
          <w:b/>
          <w:bCs/>
        </w:rPr>
        <w:t>7 November 2026</w:t>
      </w:r>
    </w:p>
    <w:p w14:paraId="1D3A9BA5" w14:textId="77777777" w:rsidR="005408C7" w:rsidRDefault="005408C7" w:rsidP="00933FF4">
      <w:pPr>
        <w:rPr>
          <w:b/>
          <w:bCs/>
        </w:rPr>
      </w:pPr>
    </w:p>
    <w:p w14:paraId="63FF9367" w14:textId="7CF1764F" w:rsidR="005408C7" w:rsidRDefault="005408C7" w:rsidP="00933FF4">
      <w:pPr>
        <w:rPr>
          <w:b/>
          <w:bCs/>
        </w:rPr>
      </w:pPr>
      <w:r>
        <w:rPr>
          <w:b/>
          <w:bCs/>
        </w:rPr>
        <w:t xml:space="preserve">Date to present </w:t>
      </w:r>
      <w:r w:rsidR="003F3433">
        <w:rPr>
          <w:b/>
          <w:bCs/>
        </w:rPr>
        <w:t xml:space="preserve">paper to Schools Forum: </w:t>
      </w:r>
      <w:r w:rsidR="00F65BBA">
        <w:rPr>
          <w:b/>
          <w:bCs/>
        </w:rPr>
        <w:t>26</w:t>
      </w:r>
      <w:r w:rsidR="003F3433">
        <w:rPr>
          <w:b/>
          <w:bCs/>
        </w:rPr>
        <w:t xml:space="preserve"> </w:t>
      </w:r>
      <w:r w:rsidR="00F65BBA">
        <w:rPr>
          <w:b/>
          <w:bCs/>
        </w:rPr>
        <w:t>November</w:t>
      </w:r>
      <w:r w:rsidR="003F3433">
        <w:rPr>
          <w:b/>
          <w:bCs/>
        </w:rPr>
        <w:t xml:space="preserve"> 2025</w:t>
      </w:r>
    </w:p>
    <w:p w14:paraId="41568753" w14:textId="77777777" w:rsidR="009C7AE7" w:rsidRDefault="009C7AE7" w:rsidP="00933FF4">
      <w:pPr>
        <w:rPr>
          <w:b/>
          <w:bCs/>
        </w:rPr>
      </w:pPr>
    </w:p>
    <w:p w14:paraId="05C488A5" w14:textId="0273D603" w:rsidR="003B3AEF" w:rsidRPr="00C353A6" w:rsidRDefault="002511E5" w:rsidP="00933FF4">
      <w:pPr>
        <w:rPr>
          <w:b/>
          <w:bCs/>
        </w:rPr>
      </w:pPr>
      <w:r w:rsidRPr="00C353A6">
        <w:rPr>
          <w:b/>
          <w:bCs/>
        </w:rPr>
        <w:t xml:space="preserve">Author of the </w:t>
      </w:r>
      <w:r w:rsidR="00295350" w:rsidRPr="00C353A6">
        <w:rPr>
          <w:b/>
          <w:bCs/>
        </w:rPr>
        <w:t>paper:</w:t>
      </w:r>
      <w:r w:rsidR="00822694">
        <w:rPr>
          <w:b/>
          <w:bCs/>
        </w:rPr>
        <w:t xml:space="preserve"> </w:t>
      </w:r>
      <w:r w:rsidR="00C819A1" w:rsidRPr="00C819A1">
        <w:rPr>
          <w:b/>
          <w:bCs/>
        </w:rPr>
        <w:t>Kudzi Mambara</w:t>
      </w:r>
    </w:p>
    <w:p w14:paraId="19EFC765" w14:textId="623DD80E" w:rsidR="002511E5" w:rsidRDefault="00822694" w:rsidP="00933FF4">
      <w:pPr>
        <w:rPr>
          <w:b/>
          <w:bCs/>
        </w:rPr>
      </w:pPr>
      <w:r>
        <w:rPr>
          <w:b/>
          <w:bCs/>
        </w:rPr>
        <w:t xml:space="preserve"> </w:t>
      </w:r>
    </w:p>
    <w:p w14:paraId="5FBAC801" w14:textId="08D91434" w:rsidR="003B3AEF" w:rsidRDefault="003B3AEF" w:rsidP="00933FF4">
      <w:pPr>
        <w:rPr>
          <w:b/>
          <w:bCs/>
        </w:rPr>
      </w:pPr>
      <w:r w:rsidRPr="5DEB1779">
        <w:rPr>
          <w:b/>
          <w:bCs/>
        </w:rPr>
        <w:t xml:space="preserve">Officer to present the paper to Schools Forum: </w:t>
      </w:r>
      <w:r w:rsidR="00C819A1">
        <w:rPr>
          <w:b/>
          <w:bCs/>
        </w:rPr>
        <w:t>Kudzi Mambara</w:t>
      </w:r>
    </w:p>
    <w:p w14:paraId="397BAA48" w14:textId="77777777" w:rsidR="00C819A1" w:rsidRDefault="00C819A1" w:rsidP="00933FF4">
      <w:pPr>
        <w:rPr>
          <w:b/>
          <w:bCs/>
        </w:rPr>
      </w:pPr>
    </w:p>
    <w:p w14:paraId="1B97B2B2" w14:textId="77777777" w:rsidR="00F91A57" w:rsidRPr="00CB5A97" w:rsidRDefault="00F91A57" w:rsidP="00933FF4"/>
    <w:p w14:paraId="642FCB09" w14:textId="3EA9D565" w:rsidR="00346D9A" w:rsidRPr="004C13B7" w:rsidRDefault="00346D9A" w:rsidP="00346D9A">
      <w:pPr>
        <w:rPr>
          <w:rFonts w:cs="Arial"/>
          <w:b/>
        </w:rPr>
      </w:pPr>
      <w:r w:rsidRPr="004C13B7">
        <w:rPr>
          <w:rFonts w:cs="Arial"/>
          <w:b/>
        </w:rPr>
        <w:t>Details on who has been consulted with on this paper to date:</w:t>
      </w:r>
      <w:r w:rsidR="0068060C">
        <w:rPr>
          <w:rFonts w:cs="Arial"/>
          <w:b/>
        </w:rPr>
        <w:t xml:space="preserve"> </w:t>
      </w:r>
      <w:r w:rsidR="00053127" w:rsidRPr="00053127">
        <w:rPr>
          <w:rFonts w:cs="Arial"/>
          <w:b/>
        </w:rPr>
        <w:t>Relevant local authority officers</w:t>
      </w:r>
      <w:r w:rsidR="00487F7A">
        <w:rPr>
          <w:rFonts w:cs="Arial"/>
          <w:b/>
        </w:rPr>
        <w:t>.</w:t>
      </w:r>
    </w:p>
    <w:p w14:paraId="25AF1275" w14:textId="77777777" w:rsidR="003B3AEF" w:rsidRPr="00CB5A97" w:rsidRDefault="003B3AEF" w:rsidP="00933FF4">
      <w:pPr>
        <w:rPr>
          <w:highlight w:val="yellow"/>
        </w:rPr>
      </w:pPr>
    </w:p>
    <w:p w14:paraId="5DE10299" w14:textId="47B76D42" w:rsidR="002D55C3" w:rsidRDefault="003B3AEF" w:rsidP="0004045E">
      <w:pPr>
        <w:spacing w:after="120"/>
        <w:rPr>
          <w:b/>
        </w:rPr>
      </w:pPr>
      <w:r w:rsidRPr="00CC3A17">
        <w:rPr>
          <w:b/>
        </w:rPr>
        <w:t>Executive Summary</w:t>
      </w:r>
      <w:r w:rsidR="000261CC">
        <w:rPr>
          <w:b/>
        </w:rPr>
        <w:t>:</w:t>
      </w:r>
    </w:p>
    <w:p w14:paraId="1BD2FAFE" w14:textId="1E458097" w:rsidR="002D55C3" w:rsidRPr="00B16B60" w:rsidRDefault="00807FD7" w:rsidP="00B16B60">
      <w:pPr>
        <w:jc w:val="both"/>
        <w:rPr>
          <w:rFonts w:cs="Arial"/>
          <w:sz w:val="22"/>
          <w:szCs w:val="22"/>
        </w:rPr>
      </w:pPr>
      <w:r w:rsidRPr="00807FD7">
        <w:rPr>
          <w:rFonts w:cs="Arial"/>
          <w:sz w:val="22"/>
          <w:szCs w:val="22"/>
        </w:rPr>
        <w:t>This report outlines the Quarter 2 forecast for the Dedicated Schools Grant (DSG) for the 2025–2026 financial year</w:t>
      </w:r>
      <w:r w:rsidR="00487F7A">
        <w:rPr>
          <w:rFonts w:cs="Arial"/>
          <w:sz w:val="22"/>
          <w:szCs w:val="22"/>
        </w:rPr>
        <w:t>.</w:t>
      </w:r>
    </w:p>
    <w:p w14:paraId="1D755107" w14:textId="77777777" w:rsidR="003B3AEF" w:rsidRPr="00CC3A17" w:rsidRDefault="003B3AEF" w:rsidP="00933FF4"/>
    <w:p w14:paraId="50CCF87C" w14:textId="0D5C1434" w:rsidR="00D65370" w:rsidRPr="00B16B60" w:rsidRDefault="003B3AEF" w:rsidP="00933FF4">
      <w:pPr>
        <w:spacing w:after="120"/>
        <w:rPr>
          <w:b/>
        </w:rPr>
      </w:pPr>
      <w:r w:rsidRPr="001F05B8">
        <w:rPr>
          <w:b/>
        </w:rPr>
        <w:t xml:space="preserve">Details of recommendations and timescales for decisions: </w:t>
      </w:r>
    </w:p>
    <w:p w14:paraId="72EC86D3" w14:textId="77777777" w:rsidR="001170E4" w:rsidRDefault="001170E4" w:rsidP="00B16B60">
      <w:pPr>
        <w:spacing w:after="120"/>
        <w:rPr>
          <w:rFonts w:cs="Arial"/>
        </w:rPr>
      </w:pPr>
      <w:r w:rsidRPr="001170E4">
        <w:rPr>
          <w:rFonts w:cs="Arial"/>
        </w:rPr>
        <w:t xml:space="preserve">At the Schools Forum meeting held on 18 June 2025, members were asked to note the outturn position for the 2024–2025 financial year. This position has since been reported to the Department for Education (DfE) and incorporated into the year-end Note to the Accounts. </w:t>
      </w:r>
    </w:p>
    <w:p w14:paraId="0A3D67D5" w14:textId="5BFE8E60" w:rsidR="00DF798C" w:rsidRPr="00B16B60" w:rsidRDefault="001170E4" w:rsidP="00B16B60">
      <w:pPr>
        <w:spacing w:after="120"/>
        <w:rPr>
          <w:rFonts w:cs="Arial"/>
        </w:rPr>
      </w:pPr>
      <w:r w:rsidRPr="001170E4">
        <w:rPr>
          <w:rFonts w:cs="Arial"/>
        </w:rPr>
        <w:t>Members are now asked to note the Quarter 2 budget position for the 2025–2026 Dedicated Schools Grant (DSG), along with the projected forecast to year-end.</w:t>
      </w:r>
    </w:p>
    <w:p w14:paraId="4FB3A3C7" w14:textId="77777777" w:rsidR="00DF798C" w:rsidRDefault="00DF798C" w:rsidP="0073208F">
      <w:pPr>
        <w:pStyle w:val="ListParagraph"/>
        <w:ind w:left="567"/>
        <w:jc w:val="both"/>
      </w:pPr>
    </w:p>
    <w:p w14:paraId="1FF065DD" w14:textId="77777777" w:rsidR="0070580B" w:rsidRDefault="0070580B" w:rsidP="0073208F">
      <w:pPr>
        <w:pStyle w:val="ListParagraph"/>
        <w:ind w:left="567"/>
        <w:jc w:val="both"/>
      </w:pPr>
    </w:p>
    <w:p w14:paraId="6209B01F" w14:textId="0E4DC1A6" w:rsidR="0070580B" w:rsidRPr="00DF798C" w:rsidRDefault="00B16B60" w:rsidP="00D34E4C">
      <w:pPr>
        <w:pStyle w:val="Heading2"/>
        <w:numPr>
          <w:ilvl w:val="0"/>
          <w:numId w:val="17"/>
        </w:numPr>
        <w:ind w:left="851" w:hanging="851"/>
        <w:rPr>
          <w:rFonts w:ascii="Arial" w:hAnsi="Arial" w:cs="Arial"/>
          <w:b/>
          <w:bCs/>
          <w:color w:val="000000" w:themeColor="text1"/>
          <w:sz w:val="24"/>
          <w:szCs w:val="24"/>
        </w:rPr>
      </w:pPr>
      <w:r>
        <w:rPr>
          <w:rFonts w:ascii="Arial" w:hAnsi="Arial" w:cs="Arial"/>
          <w:b/>
          <w:bCs/>
          <w:color w:val="000000" w:themeColor="text1"/>
          <w:sz w:val="24"/>
          <w:szCs w:val="24"/>
        </w:rPr>
        <w:t>INTRODUCTION</w:t>
      </w:r>
    </w:p>
    <w:p w14:paraId="28B681D6" w14:textId="77777777" w:rsidR="0070580B" w:rsidRPr="00161D57" w:rsidRDefault="0070580B" w:rsidP="0070580B">
      <w:pPr>
        <w:pStyle w:val="ListParagraph"/>
        <w:ind w:left="360"/>
        <w:rPr>
          <w:rFonts w:cs="Arial"/>
          <w:b/>
          <w:bCs/>
        </w:rPr>
      </w:pPr>
    </w:p>
    <w:p w14:paraId="7C9FA9C8" w14:textId="1BFE3216" w:rsidR="0070580B" w:rsidRPr="00161D57" w:rsidRDefault="00794BA9" w:rsidP="0070580B">
      <w:pPr>
        <w:pStyle w:val="ListParagraph"/>
        <w:numPr>
          <w:ilvl w:val="1"/>
          <w:numId w:val="26"/>
        </w:numPr>
        <w:spacing w:after="120"/>
        <w:ind w:left="709"/>
        <w:jc w:val="both"/>
        <w:rPr>
          <w:rFonts w:cs="Arial"/>
        </w:rPr>
      </w:pPr>
      <w:r w:rsidRPr="00161D57">
        <w:rPr>
          <w:rFonts w:cs="Arial"/>
        </w:rPr>
        <w:t>The</w:t>
      </w:r>
      <w:r w:rsidR="00203BF6">
        <w:rPr>
          <w:rFonts w:cs="Arial"/>
        </w:rPr>
        <w:t xml:space="preserve"> </w:t>
      </w:r>
      <w:r w:rsidR="00203BF6" w:rsidRPr="00203BF6">
        <w:rPr>
          <w:rFonts w:cs="Arial"/>
        </w:rPr>
        <w:t>Dedicated Schools Grant (DSG) is distributed by the Department for Education (DfE) using a national funding formula. This specific grant is allocated to local authorities across four blocks: Schools Block (SB),</w:t>
      </w:r>
      <w:r w:rsidR="000E1671" w:rsidRPr="000E1671">
        <w:rPr>
          <w:rFonts w:cs="Arial"/>
        </w:rPr>
        <w:t xml:space="preserve"> </w:t>
      </w:r>
      <w:r w:rsidR="000E1671" w:rsidRPr="00203BF6">
        <w:rPr>
          <w:rFonts w:cs="Arial"/>
        </w:rPr>
        <w:t>Central Schools Services Block (CSSB)</w:t>
      </w:r>
      <w:r w:rsidR="000E1671">
        <w:rPr>
          <w:rFonts w:cs="Arial"/>
        </w:rPr>
        <w:t xml:space="preserve">, </w:t>
      </w:r>
      <w:r w:rsidR="00203BF6" w:rsidRPr="00203BF6">
        <w:rPr>
          <w:rFonts w:cs="Arial"/>
        </w:rPr>
        <w:t>High Needs Block (HNB), and the</w:t>
      </w:r>
      <w:r w:rsidR="000E1671">
        <w:rPr>
          <w:rFonts w:cs="Arial"/>
        </w:rPr>
        <w:t xml:space="preserve"> </w:t>
      </w:r>
      <w:r w:rsidR="000E1671" w:rsidRPr="00203BF6">
        <w:rPr>
          <w:rFonts w:cs="Arial"/>
        </w:rPr>
        <w:t>Early Years Block (EYB)</w:t>
      </w:r>
      <w:r w:rsidR="00AC6C51" w:rsidRPr="00161D57">
        <w:rPr>
          <w:rFonts w:cs="Arial"/>
        </w:rPr>
        <w:t>.</w:t>
      </w:r>
    </w:p>
    <w:p w14:paraId="144162F5" w14:textId="77777777" w:rsidR="0070580B" w:rsidRPr="00161D57" w:rsidRDefault="0070580B" w:rsidP="0070580B">
      <w:pPr>
        <w:pStyle w:val="ListParagraph"/>
        <w:spacing w:after="120"/>
        <w:ind w:left="709"/>
        <w:jc w:val="both"/>
        <w:rPr>
          <w:rFonts w:cs="Arial"/>
        </w:rPr>
      </w:pPr>
    </w:p>
    <w:p w14:paraId="190E4499" w14:textId="20D2EDCF" w:rsidR="00C637FC" w:rsidRDefault="005142A9" w:rsidP="00410D00">
      <w:pPr>
        <w:pStyle w:val="ListParagraph"/>
        <w:numPr>
          <w:ilvl w:val="1"/>
          <w:numId w:val="26"/>
        </w:numPr>
        <w:jc w:val="both"/>
        <w:rPr>
          <w:rFonts w:cs="Arial"/>
        </w:rPr>
      </w:pPr>
      <w:r w:rsidRPr="005142A9">
        <w:rPr>
          <w:rFonts w:cs="Arial"/>
        </w:rPr>
        <w:t>The Dedicated Schools Grant (DSG) reserve carried forward from the 2024–2025 financial year was a deficit balance of £</w:t>
      </w:r>
      <w:r w:rsidR="003666B6">
        <w:rPr>
          <w:rFonts w:cs="Arial"/>
        </w:rPr>
        <w:t>20</w:t>
      </w:r>
      <w:r w:rsidRPr="005142A9">
        <w:rPr>
          <w:rFonts w:cs="Arial"/>
        </w:rPr>
        <w:t>.</w:t>
      </w:r>
      <w:r w:rsidR="003666B6">
        <w:rPr>
          <w:rFonts w:cs="Arial"/>
        </w:rPr>
        <w:t>1</w:t>
      </w:r>
      <w:r w:rsidRPr="005142A9">
        <w:rPr>
          <w:rFonts w:cs="Arial"/>
        </w:rPr>
        <w:t xml:space="preserve"> million. The current forecast for 2025–2026 projects an in-year overspend of £9.4 million, resulting in a projected cumulative deficit of £2</w:t>
      </w:r>
      <w:r w:rsidR="003666B6">
        <w:rPr>
          <w:rFonts w:cs="Arial"/>
        </w:rPr>
        <w:t>9</w:t>
      </w:r>
      <w:r w:rsidRPr="005142A9">
        <w:rPr>
          <w:rFonts w:cs="Arial"/>
        </w:rPr>
        <w:t>.</w:t>
      </w:r>
      <w:r w:rsidR="003666B6">
        <w:rPr>
          <w:rFonts w:cs="Arial"/>
        </w:rPr>
        <w:t>5</w:t>
      </w:r>
      <w:r w:rsidRPr="005142A9">
        <w:rPr>
          <w:rFonts w:cs="Arial"/>
        </w:rPr>
        <w:t xml:space="preserve"> million to be carried forward.</w:t>
      </w:r>
    </w:p>
    <w:p w14:paraId="1EAF6304" w14:textId="77777777" w:rsidR="00A67F5C" w:rsidRDefault="00A67F5C" w:rsidP="00A67F5C">
      <w:pPr>
        <w:pStyle w:val="ListParagraph"/>
        <w:rPr>
          <w:rFonts w:cs="Arial"/>
        </w:rPr>
      </w:pPr>
    </w:p>
    <w:p w14:paraId="6DC74FEB" w14:textId="77777777" w:rsidR="00187A7C" w:rsidRDefault="00187A7C" w:rsidP="00187A7C">
      <w:pPr>
        <w:pStyle w:val="ListParagraph"/>
        <w:spacing w:after="120"/>
        <w:ind w:left="709"/>
        <w:jc w:val="both"/>
        <w:rPr>
          <w:rFonts w:cs="Arial"/>
          <w:b/>
          <w:bCs/>
        </w:rPr>
      </w:pPr>
    </w:p>
    <w:p w14:paraId="6B395FCD" w14:textId="77777777" w:rsidR="00187A7C" w:rsidRDefault="00187A7C" w:rsidP="00187A7C">
      <w:pPr>
        <w:pStyle w:val="ListParagraph"/>
        <w:spacing w:after="120"/>
        <w:ind w:left="709"/>
        <w:jc w:val="both"/>
        <w:rPr>
          <w:rFonts w:cs="Arial"/>
          <w:b/>
          <w:bCs/>
        </w:rPr>
      </w:pPr>
    </w:p>
    <w:p w14:paraId="63BDCB36" w14:textId="77777777" w:rsidR="00187A7C" w:rsidRDefault="00187A7C" w:rsidP="00187A7C">
      <w:pPr>
        <w:pStyle w:val="ListParagraph"/>
        <w:spacing w:after="120"/>
        <w:ind w:left="709"/>
        <w:jc w:val="both"/>
        <w:rPr>
          <w:rFonts w:cs="Arial"/>
          <w:b/>
          <w:bCs/>
        </w:rPr>
      </w:pPr>
    </w:p>
    <w:p w14:paraId="288573D1" w14:textId="430995E4" w:rsidR="00187A7C" w:rsidRPr="00C637FC" w:rsidRDefault="00187A7C" w:rsidP="0077274C">
      <w:pPr>
        <w:pStyle w:val="ListParagraph"/>
        <w:spacing w:after="120"/>
        <w:ind w:left="709" w:hanging="709"/>
        <w:jc w:val="both"/>
        <w:rPr>
          <w:rFonts w:cs="Arial"/>
          <w:b/>
          <w:bCs/>
        </w:rPr>
      </w:pPr>
      <w:r w:rsidRPr="00C637FC">
        <w:rPr>
          <w:rFonts w:cs="Arial"/>
          <w:b/>
          <w:bCs/>
        </w:rPr>
        <w:t>Table 1: DSG Reserve FY 2019-20 to FY 202</w:t>
      </w:r>
      <w:r w:rsidR="000E1671">
        <w:rPr>
          <w:rFonts w:cs="Arial"/>
          <w:b/>
          <w:bCs/>
        </w:rPr>
        <w:t>5</w:t>
      </w:r>
      <w:r w:rsidRPr="00C637FC">
        <w:rPr>
          <w:rFonts w:cs="Arial"/>
          <w:b/>
          <w:bCs/>
        </w:rPr>
        <w:t>-2</w:t>
      </w:r>
      <w:r w:rsidR="000E1671">
        <w:rPr>
          <w:rFonts w:cs="Arial"/>
          <w:b/>
          <w:bCs/>
        </w:rPr>
        <w:t>6</w:t>
      </w:r>
    </w:p>
    <w:tbl>
      <w:tblPr>
        <w:tblW w:w="7900" w:type="dxa"/>
        <w:tblLook w:val="04A0" w:firstRow="1" w:lastRow="0" w:firstColumn="1" w:lastColumn="0" w:noHBand="0" w:noVBand="1"/>
      </w:tblPr>
      <w:tblGrid>
        <w:gridCol w:w="3108"/>
        <w:gridCol w:w="959"/>
        <w:gridCol w:w="959"/>
        <w:gridCol w:w="958"/>
        <w:gridCol w:w="958"/>
        <w:gridCol w:w="958"/>
      </w:tblGrid>
      <w:tr w:rsidR="00187A7C" w:rsidRPr="003C1F2E" w14:paraId="0756FA73" w14:textId="77777777" w:rsidTr="0015180D">
        <w:trPr>
          <w:trHeight w:val="1200"/>
        </w:trPr>
        <w:tc>
          <w:tcPr>
            <w:tcW w:w="3108" w:type="dxa"/>
            <w:tcBorders>
              <w:top w:val="nil"/>
              <w:left w:val="nil"/>
              <w:bottom w:val="single" w:sz="4" w:space="0" w:color="auto"/>
              <w:right w:val="single" w:sz="4" w:space="0" w:color="auto"/>
            </w:tcBorders>
            <w:noWrap/>
            <w:vAlign w:val="bottom"/>
            <w:hideMark/>
          </w:tcPr>
          <w:p w14:paraId="22B8F145" w14:textId="77777777" w:rsidR="00187A7C" w:rsidRPr="003C1F2E" w:rsidRDefault="00187A7C" w:rsidP="0015180D">
            <w:pPr>
              <w:rPr>
                <w:rFonts w:ascii="Calibri" w:hAnsi="Calibri" w:cs="Calibri"/>
                <w:b/>
                <w:bCs/>
                <w:color w:val="000000"/>
                <w:sz w:val="22"/>
                <w:szCs w:val="22"/>
              </w:rPr>
            </w:pPr>
            <w:r w:rsidRPr="003C1F2E">
              <w:rPr>
                <w:rFonts w:ascii="Calibri" w:hAnsi="Calibri" w:cs="Calibri"/>
                <w:b/>
                <w:bCs/>
                <w:color w:val="000000"/>
                <w:sz w:val="22"/>
                <w:szCs w:val="22"/>
              </w:rPr>
              <w:t> </w:t>
            </w:r>
          </w:p>
        </w:tc>
        <w:tc>
          <w:tcPr>
            <w:tcW w:w="959" w:type="dxa"/>
            <w:tcBorders>
              <w:top w:val="single" w:sz="4" w:space="0" w:color="auto"/>
              <w:left w:val="nil"/>
              <w:bottom w:val="single" w:sz="4" w:space="0" w:color="auto"/>
              <w:right w:val="single" w:sz="4" w:space="0" w:color="auto"/>
            </w:tcBorders>
            <w:shd w:val="clear" w:color="000000" w:fill="D9E1F2"/>
            <w:vAlign w:val="center"/>
            <w:hideMark/>
          </w:tcPr>
          <w:p w14:paraId="2C0C9D77"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 xml:space="preserve">Schools Block </w:t>
            </w:r>
            <w:r w:rsidRPr="003C1F2E">
              <w:rPr>
                <w:rFonts w:ascii="Calibri" w:hAnsi="Calibri" w:cs="Calibri"/>
                <w:b/>
                <w:bCs/>
                <w:color w:val="000000"/>
                <w:sz w:val="22"/>
                <w:szCs w:val="22"/>
              </w:rPr>
              <w:br/>
              <w:t>£m)</w:t>
            </w:r>
          </w:p>
        </w:tc>
        <w:tc>
          <w:tcPr>
            <w:tcW w:w="959" w:type="dxa"/>
            <w:tcBorders>
              <w:top w:val="single" w:sz="4" w:space="0" w:color="auto"/>
              <w:left w:val="nil"/>
              <w:bottom w:val="single" w:sz="4" w:space="0" w:color="auto"/>
              <w:right w:val="single" w:sz="4" w:space="0" w:color="auto"/>
            </w:tcBorders>
            <w:shd w:val="clear" w:color="000000" w:fill="D9E1F2"/>
            <w:vAlign w:val="center"/>
            <w:hideMark/>
          </w:tcPr>
          <w:p w14:paraId="7B0196F3"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 xml:space="preserve">Central Block </w:t>
            </w:r>
            <w:r w:rsidRPr="003C1F2E">
              <w:rPr>
                <w:rFonts w:ascii="Calibri" w:hAnsi="Calibri" w:cs="Calibri"/>
                <w:b/>
                <w:bCs/>
                <w:color w:val="000000"/>
                <w:sz w:val="22"/>
                <w:szCs w:val="22"/>
              </w:rPr>
              <w:br/>
              <w:t>£m)</w:t>
            </w:r>
          </w:p>
        </w:tc>
        <w:tc>
          <w:tcPr>
            <w:tcW w:w="958" w:type="dxa"/>
            <w:tcBorders>
              <w:top w:val="single" w:sz="4" w:space="0" w:color="auto"/>
              <w:left w:val="nil"/>
              <w:bottom w:val="single" w:sz="4" w:space="0" w:color="auto"/>
              <w:right w:val="single" w:sz="4" w:space="0" w:color="auto"/>
            </w:tcBorders>
            <w:shd w:val="clear" w:color="000000" w:fill="D9E1F2"/>
            <w:vAlign w:val="center"/>
            <w:hideMark/>
          </w:tcPr>
          <w:p w14:paraId="0708D560"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 xml:space="preserve">Early Years Block </w:t>
            </w:r>
            <w:r w:rsidRPr="003C1F2E">
              <w:rPr>
                <w:rFonts w:ascii="Calibri" w:hAnsi="Calibri" w:cs="Calibri"/>
                <w:b/>
                <w:bCs/>
                <w:color w:val="000000"/>
                <w:sz w:val="22"/>
                <w:szCs w:val="22"/>
              </w:rPr>
              <w:br/>
              <w:t>£m)</w:t>
            </w:r>
          </w:p>
        </w:tc>
        <w:tc>
          <w:tcPr>
            <w:tcW w:w="958" w:type="dxa"/>
            <w:tcBorders>
              <w:top w:val="single" w:sz="4" w:space="0" w:color="auto"/>
              <w:left w:val="nil"/>
              <w:bottom w:val="single" w:sz="4" w:space="0" w:color="auto"/>
              <w:right w:val="single" w:sz="4" w:space="0" w:color="auto"/>
            </w:tcBorders>
            <w:shd w:val="clear" w:color="000000" w:fill="D9E1F2"/>
            <w:vAlign w:val="center"/>
            <w:hideMark/>
          </w:tcPr>
          <w:p w14:paraId="78EE8955"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 xml:space="preserve">High Needs Block </w:t>
            </w:r>
            <w:r w:rsidRPr="003C1F2E">
              <w:rPr>
                <w:rFonts w:ascii="Calibri" w:hAnsi="Calibri" w:cs="Calibri"/>
                <w:b/>
                <w:bCs/>
                <w:color w:val="000000"/>
                <w:sz w:val="22"/>
                <w:szCs w:val="22"/>
              </w:rPr>
              <w:br/>
              <w:t>£m)</w:t>
            </w:r>
          </w:p>
        </w:tc>
        <w:tc>
          <w:tcPr>
            <w:tcW w:w="958" w:type="dxa"/>
            <w:tcBorders>
              <w:top w:val="single" w:sz="4" w:space="0" w:color="auto"/>
              <w:left w:val="nil"/>
              <w:bottom w:val="single" w:sz="4" w:space="0" w:color="auto"/>
              <w:right w:val="single" w:sz="4" w:space="0" w:color="auto"/>
            </w:tcBorders>
            <w:shd w:val="clear" w:color="000000" w:fill="D9E1F2"/>
            <w:vAlign w:val="center"/>
            <w:hideMark/>
          </w:tcPr>
          <w:p w14:paraId="72176A54"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Total</w:t>
            </w:r>
            <w:r w:rsidRPr="003C1F2E">
              <w:rPr>
                <w:rFonts w:ascii="Calibri" w:hAnsi="Calibri" w:cs="Calibri"/>
                <w:b/>
                <w:bCs/>
                <w:color w:val="000000"/>
                <w:sz w:val="22"/>
                <w:szCs w:val="22"/>
              </w:rPr>
              <w:br/>
              <w:t>£m)</w:t>
            </w:r>
          </w:p>
        </w:tc>
      </w:tr>
      <w:tr w:rsidR="00187A7C" w:rsidRPr="003C1F2E" w14:paraId="2F0DD7B9" w14:textId="77777777" w:rsidTr="0015180D">
        <w:trPr>
          <w:trHeight w:val="300"/>
        </w:trPr>
        <w:tc>
          <w:tcPr>
            <w:tcW w:w="3108" w:type="dxa"/>
            <w:tcBorders>
              <w:top w:val="nil"/>
              <w:left w:val="single" w:sz="4" w:space="0" w:color="auto"/>
              <w:bottom w:val="single" w:sz="4" w:space="0" w:color="auto"/>
              <w:right w:val="single" w:sz="4" w:space="0" w:color="auto"/>
            </w:tcBorders>
            <w:noWrap/>
            <w:vAlign w:val="bottom"/>
            <w:hideMark/>
          </w:tcPr>
          <w:p w14:paraId="2ED2D0D7" w14:textId="77777777" w:rsidR="00187A7C" w:rsidRPr="003C1F2E" w:rsidRDefault="00187A7C" w:rsidP="0015180D">
            <w:pPr>
              <w:rPr>
                <w:rFonts w:ascii="Calibri" w:hAnsi="Calibri" w:cs="Calibri"/>
                <w:color w:val="000000"/>
                <w:sz w:val="22"/>
                <w:szCs w:val="22"/>
              </w:rPr>
            </w:pPr>
            <w:r w:rsidRPr="003C1F2E">
              <w:rPr>
                <w:rFonts w:ascii="Calibri" w:hAnsi="Calibri" w:cs="Calibri"/>
                <w:color w:val="000000"/>
                <w:sz w:val="22"/>
                <w:szCs w:val="22"/>
              </w:rPr>
              <w:t xml:space="preserve">Opening deficit balance </w:t>
            </w:r>
          </w:p>
        </w:tc>
        <w:tc>
          <w:tcPr>
            <w:tcW w:w="959" w:type="dxa"/>
            <w:tcBorders>
              <w:top w:val="nil"/>
              <w:left w:val="nil"/>
              <w:bottom w:val="single" w:sz="4" w:space="0" w:color="auto"/>
              <w:right w:val="single" w:sz="4" w:space="0" w:color="auto"/>
            </w:tcBorders>
            <w:noWrap/>
            <w:vAlign w:val="center"/>
            <w:hideMark/>
          </w:tcPr>
          <w:p w14:paraId="68A29162" w14:textId="77777777" w:rsidR="00187A7C" w:rsidRPr="003C1F2E" w:rsidRDefault="00187A7C" w:rsidP="0015180D">
            <w:pPr>
              <w:jc w:val="center"/>
              <w:rPr>
                <w:rFonts w:ascii="Calibri" w:hAnsi="Calibri" w:cs="Calibri"/>
                <w:color w:val="000000"/>
                <w:sz w:val="22"/>
                <w:szCs w:val="22"/>
              </w:rPr>
            </w:pPr>
            <w:r w:rsidRPr="003C1F2E">
              <w:rPr>
                <w:rFonts w:ascii="Calibri" w:hAnsi="Calibri" w:cs="Calibri"/>
                <w:color w:val="000000"/>
                <w:sz w:val="22"/>
                <w:szCs w:val="22"/>
              </w:rPr>
              <w:t>0.0</w:t>
            </w:r>
          </w:p>
        </w:tc>
        <w:tc>
          <w:tcPr>
            <w:tcW w:w="959" w:type="dxa"/>
            <w:tcBorders>
              <w:top w:val="nil"/>
              <w:left w:val="nil"/>
              <w:bottom w:val="single" w:sz="4" w:space="0" w:color="auto"/>
              <w:right w:val="single" w:sz="4" w:space="0" w:color="auto"/>
            </w:tcBorders>
            <w:noWrap/>
            <w:vAlign w:val="center"/>
            <w:hideMark/>
          </w:tcPr>
          <w:p w14:paraId="3FB04F2B" w14:textId="77777777" w:rsidR="00187A7C" w:rsidRPr="003C1F2E" w:rsidRDefault="00187A7C" w:rsidP="0015180D">
            <w:pPr>
              <w:jc w:val="center"/>
              <w:rPr>
                <w:rFonts w:ascii="Calibri" w:hAnsi="Calibri" w:cs="Calibri"/>
                <w:color w:val="000000"/>
                <w:sz w:val="22"/>
                <w:szCs w:val="22"/>
              </w:rPr>
            </w:pPr>
            <w:r w:rsidRPr="003C1F2E">
              <w:rPr>
                <w:rFonts w:ascii="Calibri" w:hAnsi="Calibri" w:cs="Calibri"/>
                <w:color w:val="000000"/>
                <w:sz w:val="22"/>
                <w:szCs w:val="22"/>
              </w:rPr>
              <w:t>0.0</w:t>
            </w:r>
          </w:p>
        </w:tc>
        <w:tc>
          <w:tcPr>
            <w:tcW w:w="958" w:type="dxa"/>
            <w:tcBorders>
              <w:top w:val="nil"/>
              <w:left w:val="nil"/>
              <w:bottom w:val="single" w:sz="4" w:space="0" w:color="auto"/>
              <w:right w:val="single" w:sz="4" w:space="0" w:color="auto"/>
            </w:tcBorders>
            <w:noWrap/>
            <w:vAlign w:val="center"/>
            <w:hideMark/>
          </w:tcPr>
          <w:p w14:paraId="69D9F40B" w14:textId="77777777" w:rsidR="00187A7C" w:rsidRPr="003C1F2E" w:rsidRDefault="00187A7C" w:rsidP="0015180D">
            <w:pPr>
              <w:jc w:val="center"/>
              <w:rPr>
                <w:rFonts w:ascii="Calibri" w:hAnsi="Calibri" w:cs="Calibri"/>
                <w:color w:val="000000"/>
                <w:sz w:val="22"/>
                <w:szCs w:val="22"/>
              </w:rPr>
            </w:pPr>
            <w:r w:rsidRPr="003C1F2E">
              <w:rPr>
                <w:rFonts w:ascii="Calibri" w:hAnsi="Calibri" w:cs="Calibri"/>
                <w:color w:val="000000"/>
                <w:sz w:val="22"/>
                <w:szCs w:val="22"/>
              </w:rPr>
              <w:t>0.0</w:t>
            </w:r>
          </w:p>
        </w:tc>
        <w:tc>
          <w:tcPr>
            <w:tcW w:w="958" w:type="dxa"/>
            <w:tcBorders>
              <w:top w:val="nil"/>
              <w:left w:val="nil"/>
              <w:bottom w:val="single" w:sz="4" w:space="0" w:color="auto"/>
              <w:right w:val="single" w:sz="4" w:space="0" w:color="auto"/>
            </w:tcBorders>
            <w:noWrap/>
            <w:vAlign w:val="center"/>
            <w:hideMark/>
          </w:tcPr>
          <w:p w14:paraId="69743883" w14:textId="23220A24" w:rsidR="00187A7C" w:rsidRPr="003C1F2E" w:rsidRDefault="00FB28B4" w:rsidP="0015180D">
            <w:pPr>
              <w:jc w:val="center"/>
              <w:rPr>
                <w:rFonts w:ascii="Calibri" w:hAnsi="Calibri" w:cs="Calibri"/>
                <w:color w:val="000000"/>
                <w:sz w:val="22"/>
                <w:szCs w:val="22"/>
              </w:rPr>
            </w:pPr>
            <w:r>
              <w:rPr>
                <w:rFonts w:ascii="Calibri" w:hAnsi="Calibri" w:cs="Calibri"/>
                <w:color w:val="000000"/>
                <w:sz w:val="22"/>
                <w:szCs w:val="22"/>
              </w:rPr>
              <w:t>20</w:t>
            </w:r>
            <w:r w:rsidR="00187A7C" w:rsidRPr="003C1F2E">
              <w:rPr>
                <w:rFonts w:ascii="Calibri" w:hAnsi="Calibri" w:cs="Calibri"/>
                <w:color w:val="000000"/>
                <w:sz w:val="22"/>
                <w:szCs w:val="22"/>
              </w:rPr>
              <w:t>.</w:t>
            </w:r>
            <w:r>
              <w:rPr>
                <w:rFonts w:ascii="Calibri" w:hAnsi="Calibri" w:cs="Calibri"/>
                <w:color w:val="000000"/>
                <w:sz w:val="22"/>
                <w:szCs w:val="22"/>
              </w:rPr>
              <w:t>1</w:t>
            </w:r>
          </w:p>
        </w:tc>
        <w:tc>
          <w:tcPr>
            <w:tcW w:w="958" w:type="dxa"/>
            <w:tcBorders>
              <w:top w:val="nil"/>
              <w:left w:val="nil"/>
              <w:bottom w:val="single" w:sz="4" w:space="0" w:color="auto"/>
              <w:right w:val="single" w:sz="4" w:space="0" w:color="auto"/>
            </w:tcBorders>
            <w:noWrap/>
            <w:vAlign w:val="center"/>
            <w:hideMark/>
          </w:tcPr>
          <w:p w14:paraId="2AA8F6B9" w14:textId="4A5A02AA" w:rsidR="00187A7C" w:rsidRPr="003C1F2E" w:rsidRDefault="00331251" w:rsidP="0015180D">
            <w:pPr>
              <w:jc w:val="center"/>
              <w:rPr>
                <w:rFonts w:ascii="Calibri" w:hAnsi="Calibri" w:cs="Calibri"/>
                <w:b/>
                <w:bCs/>
                <w:color w:val="000000"/>
                <w:sz w:val="22"/>
                <w:szCs w:val="22"/>
              </w:rPr>
            </w:pPr>
            <w:r>
              <w:rPr>
                <w:rFonts w:ascii="Calibri" w:hAnsi="Calibri" w:cs="Calibri"/>
                <w:b/>
                <w:bCs/>
                <w:color w:val="000000"/>
                <w:sz w:val="22"/>
                <w:szCs w:val="22"/>
              </w:rPr>
              <w:t>20</w:t>
            </w:r>
            <w:r w:rsidR="00187A7C" w:rsidRPr="003C1F2E">
              <w:rPr>
                <w:rFonts w:ascii="Calibri" w:hAnsi="Calibri" w:cs="Calibri"/>
                <w:b/>
                <w:bCs/>
                <w:color w:val="000000"/>
                <w:sz w:val="22"/>
                <w:szCs w:val="22"/>
              </w:rPr>
              <w:t>.</w:t>
            </w:r>
            <w:r>
              <w:rPr>
                <w:rFonts w:ascii="Calibri" w:hAnsi="Calibri" w:cs="Calibri"/>
                <w:b/>
                <w:bCs/>
                <w:color w:val="000000"/>
                <w:sz w:val="22"/>
                <w:szCs w:val="22"/>
              </w:rPr>
              <w:t>1</w:t>
            </w:r>
          </w:p>
        </w:tc>
      </w:tr>
      <w:tr w:rsidR="00187A7C" w:rsidRPr="003C1F2E" w14:paraId="5AC55774" w14:textId="77777777" w:rsidTr="0015180D">
        <w:trPr>
          <w:trHeight w:val="300"/>
        </w:trPr>
        <w:tc>
          <w:tcPr>
            <w:tcW w:w="3108" w:type="dxa"/>
            <w:tcBorders>
              <w:top w:val="nil"/>
              <w:left w:val="single" w:sz="4" w:space="0" w:color="auto"/>
              <w:bottom w:val="single" w:sz="4" w:space="0" w:color="auto"/>
              <w:right w:val="single" w:sz="4" w:space="0" w:color="auto"/>
            </w:tcBorders>
            <w:noWrap/>
            <w:vAlign w:val="bottom"/>
            <w:hideMark/>
          </w:tcPr>
          <w:p w14:paraId="411996BE" w14:textId="77777777" w:rsidR="00187A7C" w:rsidRPr="003C1F2E" w:rsidRDefault="00187A7C" w:rsidP="0015180D">
            <w:pPr>
              <w:rPr>
                <w:rFonts w:ascii="Calibri" w:hAnsi="Calibri" w:cs="Calibri"/>
                <w:color w:val="000000"/>
                <w:sz w:val="22"/>
                <w:szCs w:val="22"/>
              </w:rPr>
            </w:pPr>
            <w:r w:rsidRPr="003C1F2E">
              <w:rPr>
                <w:rFonts w:ascii="Calibri" w:hAnsi="Calibri" w:cs="Calibri"/>
                <w:color w:val="000000"/>
                <w:sz w:val="22"/>
                <w:szCs w:val="22"/>
              </w:rPr>
              <w:t>In-year DSG (surplus) / deficit</w:t>
            </w:r>
          </w:p>
        </w:tc>
        <w:tc>
          <w:tcPr>
            <w:tcW w:w="959" w:type="dxa"/>
            <w:tcBorders>
              <w:top w:val="nil"/>
              <w:left w:val="nil"/>
              <w:bottom w:val="single" w:sz="4" w:space="0" w:color="auto"/>
              <w:right w:val="single" w:sz="4" w:space="0" w:color="auto"/>
            </w:tcBorders>
            <w:noWrap/>
            <w:vAlign w:val="center"/>
            <w:hideMark/>
          </w:tcPr>
          <w:p w14:paraId="0DB8DC41" w14:textId="77777777" w:rsidR="00187A7C" w:rsidRPr="003C1F2E" w:rsidRDefault="00187A7C" w:rsidP="0015180D">
            <w:pPr>
              <w:jc w:val="center"/>
              <w:rPr>
                <w:rFonts w:ascii="Calibri" w:hAnsi="Calibri" w:cs="Calibri"/>
                <w:color w:val="000000"/>
                <w:sz w:val="22"/>
                <w:szCs w:val="22"/>
              </w:rPr>
            </w:pPr>
            <w:r w:rsidRPr="00047600">
              <w:rPr>
                <w:rFonts w:ascii="Calibri" w:hAnsi="Calibri" w:cs="Calibri"/>
                <w:sz w:val="22"/>
                <w:szCs w:val="22"/>
              </w:rPr>
              <w:t xml:space="preserve"> (2.1)</w:t>
            </w:r>
          </w:p>
        </w:tc>
        <w:tc>
          <w:tcPr>
            <w:tcW w:w="959" w:type="dxa"/>
            <w:tcBorders>
              <w:top w:val="nil"/>
              <w:left w:val="nil"/>
              <w:bottom w:val="single" w:sz="4" w:space="0" w:color="auto"/>
              <w:right w:val="single" w:sz="4" w:space="0" w:color="auto"/>
            </w:tcBorders>
            <w:noWrap/>
            <w:vAlign w:val="center"/>
            <w:hideMark/>
          </w:tcPr>
          <w:p w14:paraId="07E66C4E" w14:textId="77777777" w:rsidR="00187A7C" w:rsidRPr="003C1F2E" w:rsidRDefault="00187A7C" w:rsidP="0015180D">
            <w:pPr>
              <w:jc w:val="center"/>
              <w:rPr>
                <w:rFonts w:ascii="Calibri" w:hAnsi="Calibri" w:cs="Calibri"/>
                <w:color w:val="000000"/>
                <w:sz w:val="22"/>
                <w:szCs w:val="22"/>
              </w:rPr>
            </w:pPr>
            <w:r w:rsidRPr="003C1F2E">
              <w:rPr>
                <w:rFonts w:ascii="Calibri" w:hAnsi="Calibri" w:cs="Calibri"/>
                <w:color w:val="000000"/>
                <w:sz w:val="22"/>
                <w:szCs w:val="22"/>
              </w:rPr>
              <w:t xml:space="preserve">0.0 </w:t>
            </w:r>
          </w:p>
        </w:tc>
        <w:tc>
          <w:tcPr>
            <w:tcW w:w="958" w:type="dxa"/>
            <w:tcBorders>
              <w:top w:val="nil"/>
              <w:left w:val="nil"/>
              <w:bottom w:val="single" w:sz="4" w:space="0" w:color="auto"/>
              <w:right w:val="single" w:sz="4" w:space="0" w:color="auto"/>
            </w:tcBorders>
            <w:noWrap/>
            <w:vAlign w:val="center"/>
            <w:hideMark/>
          </w:tcPr>
          <w:p w14:paraId="2DD592C7" w14:textId="77777777" w:rsidR="00187A7C" w:rsidRPr="003C1F2E" w:rsidRDefault="00187A7C" w:rsidP="0015180D">
            <w:pPr>
              <w:jc w:val="center"/>
              <w:rPr>
                <w:rFonts w:ascii="Calibri" w:hAnsi="Calibri" w:cs="Calibri"/>
                <w:color w:val="000000"/>
                <w:sz w:val="22"/>
                <w:szCs w:val="22"/>
              </w:rPr>
            </w:pPr>
            <w:r w:rsidRPr="003C1F2E">
              <w:rPr>
                <w:rFonts w:ascii="Calibri" w:hAnsi="Calibri" w:cs="Calibri"/>
                <w:color w:val="000000"/>
                <w:sz w:val="22"/>
                <w:szCs w:val="22"/>
              </w:rPr>
              <w:t xml:space="preserve">0.0 </w:t>
            </w:r>
          </w:p>
        </w:tc>
        <w:tc>
          <w:tcPr>
            <w:tcW w:w="958" w:type="dxa"/>
            <w:tcBorders>
              <w:top w:val="nil"/>
              <w:left w:val="nil"/>
              <w:bottom w:val="single" w:sz="4" w:space="0" w:color="auto"/>
              <w:right w:val="single" w:sz="4" w:space="0" w:color="auto"/>
            </w:tcBorders>
            <w:noWrap/>
            <w:vAlign w:val="center"/>
            <w:hideMark/>
          </w:tcPr>
          <w:p w14:paraId="756C96BC" w14:textId="77777777" w:rsidR="00187A7C" w:rsidRPr="003C1F2E" w:rsidRDefault="00187A7C" w:rsidP="0015180D">
            <w:pPr>
              <w:jc w:val="center"/>
              <w:rPr>
                <w:rFonts w:ascii="Calibri" w:hAnsi="Calibri" w:cs="Calibri"/>
                <w:color w:val="000000"/>
                <w:sz w:val="22"/>
                <w:szCs w:val="22"/>
              </w:rPr>
            </w:pPr>
            <w:r w:rsidRPr="003C1F2E">
              <w:rPr>
                <w:rFonts w:ascii="Calibri" w:hAnsi="Calibri" w:cs="Calibri"/>
                <w:color w:val="000000"/>
                <w:sz w:val="22"/>
                <w:szCs w:val="22"/>
              </w:rPr>
              <w:t xml:space="preserve">11.4 </w:t>
            </w:r>
          </w:p>
        </w:tc>
        <w:tc>
          <w:tcPr>
            <w:tcW w:w="958" w:type="dxa"/>
            <w:tcBorders>
              <w:top w:val="nil"/>
              <w:left w:val="nil"/>
              <w:bottom w:val="single" w:sz="4" w:space="0" w:color="auto"/>
              <w:right w:val="single" w:sz="4" w:space="0" w:color="auto"/>
            </w:tcBorders>
            <w:noWrap/>
            <w:vAlign w:val="center"/>
            <w:hideMark/>
          </w:tcPr>
          <w:p w14:paraId="61DF9E36"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9.4</w:t>
            </w:r>
          </w:p>
        </w:tc>
      </w:tr>
      <w:tr w:rsidR="00187A7C" w:rsidRPr="003C1F2E" w14:paraId="299D7515" w14:textId="77777777" w:rsidTr="0015180D">
        <w:trPr>
          <w:trHeight w:val="300"/>
        </w:trPr>
        <w:tc>
          <w:tcPr>
            <w:tcW w:w="3108" w:type="dxa"/>
            <w:tcBorders>
              <w:top w:val="nil"/>
              <w:left w:val="single" w:sz="4" w:space="0" w:color="auto"/>
              <w:bottom w:val="single" w:sz="4" w:space="0" w:color="auto"/>
              <w:right w:val="single" w:sz="4" w:space="0" w:color="auto"/>
            </w:tcBorders>
            <w:shd w:val="clear" w:color="000000" w:fill="D9D9D9"/>
            <w:noWrap/>
            <w:vAlign w:val="bottom"/>
            <w:hideMark/>
          </w:tcPr>
          <w:p w14:paraId="5FB8F52D" w14:textId="77777777" w:rsidR="00187A7C" w:rsidRPr="003C1F2E" w:rsidRDefault="00187A7C" w:rsidP="0015180D">
            <w:pPr>
              <w:rPr>
                <w:rFonts w:ascii="Calibri" w:hAnsi="Calibri" w:cs="Calibri"/>
                <w:b/>
                <w:bCs/>
                <w:color w:val="000000"/>
                <w:sz w:val="22"/>
                <w:szCs w:val="22"/>
              </w:rPr>
            </w:pPr>
            <w:r w:rsidRPr="003C1F2E">
              <w:rPr>
                <w:rFonts w:ascii="Calibri" w:hAnsi="Calibri" w:cs="Calibri"/>
                <w:b/>
                <w:bCs/>
                <w:color w:val="000000"/>
                <w:sz w:val="22"/>
                <w:szCs w:val="22"/>
              </w:rPr>
              <w:t xml:space="preserve">Brought forward deficit balance </w:t>
            </w:r>
          </w:p>
        </w:tc>
        <w:tc>
          <w:tcPr>
            <w:tcW w:w="959" w:type="dxa"/>
            <w:tcBorders>
              <w:top w:val="nil"/>
              <w:left w:val="nil"/>
              <w:bottom w:val="single" w:sz="4" w:space="0" w:color="auto"/>
              <w:right w:val="single" w:sz="4" w:space="0" w:color="auto"/>
            </w:tcBorders>
            <w:shd w:val="clear" w:color="000000" w:fill="D9D9D9"/>
            <w:noWrap/>
            <w:vAlign w:val="center"/>
            <w:hideMark/>
          </w:tcPr>
          <w:p w14:paraId="55A298BC" w14:textId="77777777" w:rsidR="00187A7C" w:rsidRPr="003C1F2E" w:rsidRDefault="00187A7C" w:rsidP="0015180D">
            <w:pPr>
              <w:jc w:val="center"/>
              <w:rPr>
                <w:rFonts w:ascii="Calibri" w:hAnsi="Calibri" w:cs="Calibri"/>
                <w:b/>
                <w:bCs/>
                <w:color w:val="000000"/>
                <w:sz w:val="22"/>
                <w:szCs w:val="22"/>
              </w:rPr>
            </w:pPr>
            <w:r w:rsidRPr="00047600">
              <w:rPr>
                <w:rFonts w:ascii="Calibri" w:hAnsi="Calibri" w:cs="Calibri"/>
                <w:b/>
                <w:bCs/>
                <w:sz w:val="22"/>
                <w:szCs w:val="22"/>
              </w:rPr>
              <w:t xml:space="preserve"> (2.1)</w:t>
            </w:r>
          </w:p>
        </w:tc>
        <w:tc>
          <w:tcPr>
            <w:tcW w:w="959" w:type="dxa"/>
            <w:tcBorders>
              <w:top w:val="nil"/>
              <w:left w:val="nil"/>
              <w:bottom w:val="single" w:sz="4" w:space="0" w:color="auto"/>
              <w:right w:val="single" w:sz="4" w:space="0" w:color="auto"/>
            </w:tcBorders>
            <w:shd w:val="clear" w:color="000000" w:fill="D9D9D9"/>
            <w:noWrap/>
            <w:vAlign w:val="center"/>
            <w:hideMark/>
          </w:tcPr>
          <w:p w14:paraId="59CA58E2"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 xml:space="preserve">0.0 </w:t>
            </w:r>
          </w:p>
        </w:tc>
        <w:tc>
          <w:tcPr>
            <w:tcW w:w="958" w:type="dxa"/>
            <w:tcBorders>
              <w:top w:val="nil"/>
              <w:left w:val="nil"/>
              <w:bottom w:val="single" w:sz="4" w:space="0" w:color="auto"/>
              <w:right w:val="single" w:sz="4" w:space="0" w:color="auto"/>
            </w:tcBorders>
            <w:shd w:val="clear" w:color="000000" w:fill="D9D9D9"/>
            <w:noWrap/>
            <w:vAlign w:val="center"/>
            <w:hideMark/>
          </w:tcPr>
          <w:p w14:paraId="42C0C838" w14:textId="77777777"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 xml:space="preserve">0.0 </w:t>
            </w:r>
          </w:p>
        </w:tc>
        <w:tc>
          <w:tcPr>
            <w:tcW w:w="958" w:type="dxa"/>
            <w:tcBorders>
              <w:top w:val="nil"/>
              <w:left w:val="nil"/>
              <w:bottom w:val="single" w:sz="4" w:space="0" w:color="auto"/>
              <w:right w:val="single" w:sz="4" w:space="0" w:color="auto"/>
            </w:tcBorders>
            <w:shd w:val="clear" w:color="000000" w:fill="D9D9D9"/>
            <w:noWrap/>
            <w:vAlign w:val="center"/>
            <w:hideMark/>
          </w:tcPr>
          <w:p w14:paraId="78CDD851" w14:textId="672BD6CD" w:rsidR="00187A7C" w:rsidRPr="003C1F2E" w:rsidRDefault="00331251" w:rsidP="0015180D">
            <w:pPr>
              <w:jc w:val="center"/>
              <w:rPr>
                <w:rFonts w:ascii="Calibri" w:hAnsi="Calibri" w:cs="Calibri"/>
                <w:b/>
                <w:bCs/>
                <w:color w:val="000000"/>
                <w:sz w:val="22"/>
                <w:szCs w:val="22"/>
              </w:rPr>
            </w:pPr>
            <w:r>
              <w:rPr>
                <w:rFonts w:ascii="Calibri" w:hAnsi="Calibri" w:cs="Calibri"/>
                <w:b/>
                <w:bCs/>
                <w:color w:val="000000"/>
                <w:sz w:val="22"/>
                <w:szCs w:val="22"/>
              </w:rPr>
              <w:t>31</w:t>
            </w:r>
            <w:r w:rsidR="00187A7C" w:rsidRPr="003C1F2E">
              <w:rPr>
                <w:rFonts w:ascii="Calibri" w:hAnsi="Calibri" w:cs="Calibri"/>
                <w:b/>
                <w:bCs/>
                <w:color w:val="000000"/>
                <w:sz w:val="22"/>
                <w:szCs w:val="22"/>
              </w:rPr>
              <w:t>.</w:t>
            </w:r>
            <w:r>
              <w:rPr>
                <w:rFonts w:ascii="Calibri" w:hAnsi="Calibri" w:cs="Calibri"/>
                <w:b/>
                <w:bCs/>
                <w:color w:val="000000"/>
                <w:sz w:val="22"/>
                <w:szCs w:val="22"/>
              </w:rPr>
              <w:t>5</w:t>
            </w:r>
          </w:p>
        </w:tc>
        <w:tc>
          <w:tcPr>
            <w:tcW w:w="958" w:type="dxa"/>
            <w:tcBorders>
              <w:top w:val="nil"/>
              <w:left w:val="nil"/>
              <w:bottom w:val="single" w:sz="4" w:space="0" w:color="auto"/>
              <w:right w:val="single" w:sz="4" w:space="0" w:color="auto"/>
            </w:tcBorders>
            <w:shd w:val="clear" w:color="000000" w:fill="D9D9D9"/>
            <w:noWrap/>
            <w:vAlign w:val="center"/>
            <w:hideMark/>
          </w:tcPr>
          <w:p w14:paraId="0BF0A2AD" w14:textId="79A10602" w:rsidR="00187A7C" w:rsidRPr="003C1F2E" w:rsidRDefault="00187A7C" w:rsidP="0015180D">
            <w:pPr>
              <w:jc w:val="center"/>
              <w:rPr>
                <w:rFonts w:ascii="Calibri" w:hAnsi="Calibri" w:cs="Calibri"/>
                <w:b/>
                <w:bCs/>
                <w:color w:val="000000"/>
                <w:sz w:val="22"/>
                <w:szCs w:val="22"/>
              </w:rPr>
            </w:pPr>
            <w:r w:rsidRPr="003C1F2E">
              <w:rPr>
                <w:rFonts w:ascii="Calibri" w:hAnsi="Calibri" w:cs="Calibri"/>
                <w:b/>
                <w:bCs/>
                <w:color w:val="000000"/>
                <w:sz w:val="22"/>
                <w:szCs w:val="22"/>
              </w:rPr>
              <w:t>2</w:t>
            </w:r>
            <w:r w:rsidR="00331251">
              <w:rPr>
                <w:rFonts w:ascii="Calibri" w:hAnsi="Calibri" w:cs="Calibri"/>
                <w:b/>
                <w:bCs/>
                <w:color w:val="000000"/>
                <w:sz w:val="22"/>
                <w:szCs w:val="22"/>
              </w:rPr>
              <w:t>9</w:t>
            </w:r>
            <w:r w:rsidRPr="003C1F2E">
              <w:rPr>
                <w:rFonts w:ascii="Calibri" w:hAnsi="Calibri" w:cs="Calibri"/>
                <w:b/>
                <w:bCs/>
                <w:color w:val="000000"/>
                <w:sz w:val="22"/>
                <w:szCs w:val="22"/>
              </w:rPr>
              <w:t>.</w:t>
            </w:r>
            <w:r w:rsidR="00331251">
              <w:rPr>
                <w:rFonts w:ascii="Calibri" w:hAnsi="Calibri" w:cs="Calibri"/>
                <w:b/>
                <w:bCs/>
                <w:color w:val="000000"/>
                <w:sz w:val="22"/>
                <w:szCs w:val="22"/>
              </w:rPr>
              <w:t>5</w:t>
            </w:r>
            <w:r w:rsidRPr="003C1F2E">
              <w:rPr>
                <w:rFonts w:ascii="Calibri" w:hAnsi="Calibri" w:cs="Calibri"/>
                <w:b/>
                <w:bCs/>
                <w:color w:val="000000"/>
                <w:sz w:val="22"/>
                <w:szCs w:val="22"/>
              </w:rPr>
              <w:t xml:space="preserve"> </w:t>
            </w:r>
          </w:p>
        </w:tc>
      </w:tr>
    </w:tbl>
    <w:p w14:paraId="0DA8CBBA" w14:textId="77777777" w:rsidR="00DA5793" w:rsidRPr="00A67F5C" w:rsidRDefault="00DA5793" w:rsidP="00A67F5C">
      <w:pPr>
        <w:pStyle w:val="ListParagraph"/>
        <w:rPr>
          <w:rFonts w:cs="Arial"/>
        </w:rPr>
      </w:pPr>
    </w:p>
    <w:p w14:paraId="321304E4" w14:textId="60114D8A" w:rsidR="00A67F5C" w:rsidRDefault="00DA5793" w:rsidP="00410D00">
      <w:pPr>
        <w:pStyle w:val="ListParagraph"/>
        <w:numPr>
          <w:ilvl w:val="1"/>
          <w:numId w:val="26"/>
        </w:numPr>
        <w:jc w:val="both"/>
        <w:rPr>
          <w:rFonts w:cs="Arial"/>
        </w:rPr>
      </w:pPr>
      <w:r w:rsidRPr="00DA5793">
        <w:rPr>
          <w:rFonts w:cs="Arial"/>
        </w:rPr>
        <w:t xml:space="preserve">Examining the DSG by block, </w:t>
      </w:r>
      <w:proofErr w:type="gramStart"/>
      <w:r w:rsidRPr="00DA5793">
        <w:rPr>
          <w:rFonts w:cs="Arial"/>
        </w:rPr>
        <w:t>all of</w:t>
      </w:r>
      <w:proofErr w:type="gramEnd"/>
      <w:r w:rsidRPr="00DA5793">
        <w:rPr>
          <w:rFonts w:cs="Arial"/>
        </w:rPr>
        <w:t xml:space="preserve"> the overspends occur in the High Needs Block (HNB), with the key driving factor being linked to statutory duties for special educational needs and disabilities</w:t>
      </w:r>
    </w:p>
    <w:p w14:paraId="7489DD28" w14:textId="77777777" w:rsidR="00831E66" w:rsidRPr="00831E66" w:rsidRDefault="00831E66" w:rsidP="00831E66">
      <w:pPr>
        <w:jc w:val="both"/>
        <w:rPr>
          <w:rFonts w:cs="Arial"/>
        </w:rPr>
      </w:pPr>
    </w:p>
    <w:p w14:paraId="732C559C" w14:textId="0EE01C43" w:rsidR="00187A7C" w:rsidRDefault="006D7950" w:rsidP="00410D00">
      <w:pPr>
        <w:pStyle w:val="ListParagraph"/>
        <w:numPr>
          <w:ilvl w:val="1"/>
          <w:numId w:val="26"/>
        </w:numPr>
        <w:jc w:val="both"/>
        <w:rPr>
          <w:rFonts w:cs="Arial"/>
        </w:rPr>
      </w:pPr>
      <w:r w:rsidRPr="006D7950">
        <w:rPr>
          <w:rFonts w:cs="Arial"/>
        </w:rPr>
        <w:t xml:space="preserve">Table 2 provides a summary of the Dedicated Schools Grant (DSG) by funding block, showing an overall projected overspend of £9.4 million for the 2025–2026 financial year. This comprises a forecasted overspend of £11.4 million within the High Needs Block (HNB), partially offset by a projected underspend of £2.1 million in the Schools Block. All figures are presented net of Education and Skills Funding Agency (ESFA) recoupment </w:t>
      </w:r>
      <w:r w:rsidR="00317F34" w:rsidRPr="006D7950">
        <w:rPr>
          <w:rFonts w:cs="Arial"/>
        </w:rPr>
        <w:t>adjustments.</w:t>
      </w:r>
    </w:p>
    <w:p w14:paraId="536A6DB5" w14:textId="77777777" w:rsidR="00C637FC" w:rsidRPr="00C637FC" w:rsidRDefault="00C637FC" w:rsidP="00C637FC">
      <w:pPr>
        <w:pStyle w:val="ListParagraph"/>
        <w:rPr>
          <w:rFonts w:cs="Arial"/>
        </w:rPr>
      </w:pPr>
    </w:p>
    <w:p w14:paraId="2B7E09E0" w14:textId="0CF9E7DC" w:rsidR="0070580B" w:rsidRPr="00CC3AD9" w:rsidRDefault="00CC3AD9" w:rsidP="00C637FC">
      <w:pPr>
        <w:jc w:val="both"/>
        <w:rPr>
          <w:rFonts w:cs="Arial"/>
          <w:b/>
          <w:bCs/>
        </w:rPr>
      </w:pPr>
      <w:r w:rsidRPr="00CC3AD9">
        <w:rPr>
          <w:rFonts w:cs="Arial"/>
          <w:b/>
          <w:bCs/>
        </w:rPr>
        <w:t>Table 2: DSG Forecast by Block 2025-26</w:t>
      </w:r>
      <w:r w:rsidR="0070580B" w:rsidRPr="00C637FC">
        <w:rPr>
          <w:rFonts w:cs="Arial"/>
        </w:rPr>
        <w:t xml:space="preserve"> </w:t>
      </w:r>
    </w:p>
    <w:p w14:paraId="5BA4574F" w14:textId="77777777" w:rsidR="00F60EA7" w:rsidRPr="00161D57" w:rsidRDefault="00F60EA7" w:rsidP="0070580B">
      <w:pPr>
        <w:pStyle w:val="ListParagraph"/>
        <w:spacing w:after="120"/>
        <w:ind w:left="709"/>
        <w:jc w:val="both"/>
        <w:rPr>
          <w:rFonts w:cs="Arial"/>
        </w:rPr>
      </w:pPr>
    </w:p>
    <w:tbl>
      <w:tblPr>
        <w:tblStyle w:val="TableGrid"/>
        <w:tblW w:w="9781"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81"/>
        <w:gridCol w:w="1190"/>
        <w:gridCol w:w="1083"/>
        <w:gridCol w:w="1370"/>
        <w:gridCol w:w="1857"/>
      </w:tblGrid>
      <w:tr w:rsidR="003919B9" w:rsidRPr="00161D57" w14:paraId="730707F9" w14:textId="77777777" w:rsidTr="0015180D">
        <w:tc>
          <w:tcPr>
            <w:tcW w:w="4281" w:type="dxa"/>
            <w:tcBorders>
              <w:top w:val="single" w:sz="8" w:space="0" w:color="auto"/>
              <w:bottom w:val="single" w:sz="4" w:space="0" w:color="auto"/>
            </w:tcBorders>
            <w:shd w:val="clear" w:color="auto" w:fill="DBE5F1" w:themeFill="accent1" w:themeFillTint="33"/>
            <w:vAlign w:val="bottom"/>
          </w:tcPr>
          <w:p w14:paraId="45F45C8D" w14:textId="77777777" w:rsidR="003919B9" w:rsidRPr="00161D57" w:rsidRDefault="003919B9" w:rsidP="0015180D">
            <w:pPr>
              <w:pStyle w:val="NoSpacing"/>
              <w:rPr>
                <w:rFonts w:cs="Arial"/>
                <w:b/>
                <w:bCs/>
              </w:rPr>
            </w:pPr>
            <w:r w:rsidRPr="00161D57">
              <w:rPr>
                <w:rFonts w:cs="Arial"/>
                <w:b/>
                <w:bCs/>
              </w:rPr>
              <w:t>DSG Block</w:t>
            </w:r>
          </w:p>
        </w:tc>
        <w:tc>
          <w:tcPr>
            <w:tcW w:w="1190" w:type="dxa"/>
            <w:tcBorders>
              <w:top w:val="single" w:sz="8" w:space="0" w:color="auto"/>
              <w:bottom w:val="single" w:sz="4" w:space="0" w:color="auto"/>
            </w:tcBorders>
            <w:shd w:val="clear" w:color="auto" w:fill="DBE5F1" w:themeFill="accent1" w:themeFillTint="33"/>
            <w:vAlign w:val="bottom"/>
          </w:tcPr>
          <w:p w14:paraId="4A8F78AB" w14:textId="77777777" w:rsidR="003919B9" w:rsidRPr="00161D57" w:rsidRDefault="003919B9" w:rsidP="0015180D">
            <w:pPr>
              <w:pStyle w:val="NoSpacing"/>
              <w:jc w:val="center"/>
              <w:rPr>
                <w:rFonts w:cs="Arial"/>
                <w:b/>
                <w:bCs/>
              </w:rPr>
            </w:pPr>
            <w:r w:rsidRPr="00161D57">
              <w:rPr>
                <w:rFonts w:cs="Arial"/>
                <w:b/>
                <w:bCs/>
              </w:rPr>
              <w:t>Budget</w:t>
            </w:r>
          </w:p>
          <w:p w14:paraId="7D152417" w14:textId="77777777" w:rsidR="003919B9" w:rsidRPr="00161D57" w:rsidRDefault="003919B9" w:rsidP="0015180D">
            <w:pPr>
              <w:pStyle w:val="NoSpacing"/>
              <w:jc w:val="center"/>
              <w:rPr>
                <w:rFonts w:cs="Arial"/>
                <w:b/>
                <w:bCs/>
              </w:rPr>
            </w:pPr>
            <w:r w:rsidRPr="00161D57">
              <w:rPr>
                <w:rFonts w:cs="Arial"/>
                <w:b/>
                <w:bCs/>
              </w:rPr>
              <w:t>£m</w:t>
            </w:r>
          </w:p>
        </w:tc>
        <w:tc>
          <w:tcPr>
            <w:tcW w:w="1083" w:type="dxa"/>
            <w:tcBorders>
              <w:top w:val="single" w:sz="8" w:space="0" w:color="auto"/>
              <w:bottom w:val="single" w:sz="4" w:space="0" w:color="auto"/>
            </w:tcBorders>
            <w:shd w:val="clear" w:color="auto" w:fill="DBE5F1" w:themeFill="accent1" w:themeFillTint="33"/>
            <w:vAlign w:val="bottom"/>
          </w:tcPr>
          <w:p w14:paraId="2F167CBE" w14:textId="77777777" w:rsidR="003919B9" w:rsidRPr="00161D57" w:rsidRDefault="003919B9" w:rsidP="0015180D">
            <w:pPr>
              <w:pStyle w:val="NoSpacing"/>
              <w:jc w:val="center"/>
              <w:rPr>
                <w:rFonts w:cs="Arial"/>
                <w:b/>
                <w:bCs/>
              </w:rPr>
            </w:pPr>
            <w:r w:rsidRPr="00161D57">
              <w:rPr>
                <w:rFonts w:cs="Arial"/>
                <w:b/>
                <w:bCs/>
              </w:rPr>
              <w:t>Actuals to Date</w:t>
            </w:r>
          </w:p>
          <w:p w14:paraId="0CBC5E91" w14:textId="77777777" w:rsidR="003919B9" w:rsidRPr="00161D57" w:rsidRDefault="003919B9" w:rsidP="0015180D">
            <w:pPr>
              <w:pStyle w:val="NoSpacing"/>
              <w:jc w:val="center"/>
              <w:rPr>
                <w:rFonts w:cs="Arial"/>
                <w:b/>
                <w:bCs/>
              </w:rPr>
            </w:pPr>
            <w:r w:rsidRPr="00161D57">
              <w:rPr>
                <w:rFonts w:cs="Arial"/>
                <w:b/>
                <w:bCs/>
              </w:rPr>
              <w:t>£m</w:t>
            </w:r>
          </w:p>
        </w:tc>
        <w:tc>
          <w:tcPr>
            <w:tcW w:w="1370" w:type="dxa"/>
            <w:tcBorders>
              <w:top w:val="single" w:sz="8" w:space="0" w:color="auto"/>
              <w:bottom w:val="single" w:sz="4" w:space="0" w:color="auto"/>
            </w:tcBorders>
            <w:shd w:val="clear" w:color="auto" w:fill="DBE5F1" w:themeFill="accent1" w:themeFillTint="33"/>
            <w:vAlign w:val="bottom"/>
          </w:tcPr>
          <w:p w14:paraId="3184967A" w14:textId="77777777" w:rsidR="003919B9" w:rsidRPr="00161D57" w:rsidRDefault="003919B9" w:rsidP="0015180D">
            <w:pPr>
              <w:pStyle w:val="NoSpacing"/>
              <w:jc w:val="center"/>
              <w:rPr>
                <w:rFonts w:cs="Arial"/>
                <w:b/>
                <w:bCs/>
              </w:rPr>
            </w:pPr>
            <w:r w:rsidRPr="00161D57">
              <w:rPr>
                <w:rFonts w:cs="Arial"/>
                <w:b/>
                <w:bCs/>
              </w:rPr>
              <w:t>Projected Forecast to Year End</w:t>
            </w:r>
          </w:p>
          <w:p w14:paraId="468D89D5" w14:textId="77777777" w:rsidR="003919B9" w:rsidRPr="00161D57" w:rsidRDefault="003919B9" w:rsidP="0015180D">
            <w:pPr>
              <w:pStyle w:val="NoSpacing"/>
              <w:jc w:val="center"/>
              <w:rPr>
                <w:rFonts w:cs="Arial"/>
                <w:b/>
                <w:bCs/>
              </w:rPr>
            </w:pPr>
            <w:r w:rsidRPr="00161D57">
              <w:rPr>
                <w:rFonts w:cs="Arial"/>
                <w:b/>
                <w:bCs/>
              </w:rPr>
              <w:t>£m</w:t>
            </w:r>
          </w:p>
        </w:tc>
        <w:tc>
          <w:tcPr>
            <w:tcW w:w="1857" w:type="dxa"/>
            <w:tcBorders>
              <w:top w:val="single" w:sz="8" w:space="0" w:color="auto"/>
              <w:bottom w:val="single" w:sz="4" w:space="0" w:color="auto"/>
            </w:tcBorders>
            <w:shd w:val="clear" w:color="auto" w:fill="DBE5F1" w:themeFill="accent1" w:themeFillTint="33"/>
            <w:vAlign w:val="bottom"/>
          </w:tcPr>
          <w:p w14:paraId="3EED7D1B" w14:textId="47D4E694" w:rsidR="003919B9" w:rsidRPr="00161D57" w:rsidRDefault="003919B9" w:rsidP="0015180D">
            <w:pPr>
              <w:pStyle w:val="NoSpacing"/>
              <w:jc w:val="center"/>
              <w:rPr>
                <w:rFonts w:cs="Arial"/>
                <w:b/>
                <w:bCs/>
              </w:rPr>
            </w:pPr>
            <w:r w:rsidRPr="00161D57">
              <w:rPr>
                <w:rFonts w:cs="Arial"/>
                <w:b/>
                <w:bCs/>
              </w:rPr>
              <w:t xml:space="preserve">Projected </w:t>
            </w:r>
            <w:r w:rsidR="00F20807">
              <w:rPr>
                <w:rFonts w:cs="Arial"/>
                <w:b/>
                <w:bCs/>
              </w:rPr>
              <w:t>(</w:t>
            </w:r>
            <w:r w:rsidRPr="00161D57">
              <w:rPr>
                <w:rFonts w:cs="Arial"/>
                <w:b/>
                <w:bCs/>
              </w:rPr>
              <w:t>Underspend</w:t>
            </w:r>
            <w:r w:rsidR="00F20807">
              <w:rPr>
                <w:rFonts w:cs="Arial"/>
                <w:b/>
                <w:bCs/>
              </w:rPr>
              <w:t>)</w:t>
            </w:r>
            <w:r w:rsidRPr="00161D57">
              <w:rPr>
                <w:rFonts w:cs="Arial"/>
                <w:b/>
                <w:bCs/>
              </w:rPr>
              <w:t xml:space="preserve"> / </w:t>
            </w:r>
            <w:proofErr w:type="gramStart"/>
            <w:r w:rsidRPr="00161D57">
              <w:rPr>
                <w:rFonts w:cs="Arial"/>
                <w:b/>
                <w:bCs/>
              </w:rPr>
              <w:t>Overspend  at</w:t>
            </w:r>
            <w:proofErr w:type="gramEnd"/>
            <w:r w:rsidRPr="00161D57">
              <w:rPr>
                <w:rFonts w:cs="Arial"/>
                <w:b/>
                <w:bCs/>
              </w:rPr>
              <w:t xml:space="preserve"> Year End</w:t>
            </w:r>
          </w:p>
          <w:p w14:paraId="37E54EA6" w14:textId="77777777" w:rsidR="003919B9" w:rsidRPr="00161D57" w:rsidRDefault="003919B9" w:rsidP="0015180D">
            <w:pPr>
              <w:pStyle w:val="NoSpacing"/>
              <w:jc w:val="center"/>
              <w:rPr>
                <w:rFonts w:cs="Arial"/>
                <w:b/>
                <w:bCs/>
              </w:rPr>
            </w:pPr>
            <w:r w:rsidRPr="00161D57">
              <w:rPr>
                <w:rFonts w:cs="Arial"/>
                <w:b/>
                <w:bCs/>
              </w:rPr>
              <w:t>£m</w:t>
            </w:r>
          </w:p>
        </w:tc>
      </w:tr>
      <w:tr w:rsidR="003919B9" w:rsidRPr="00161D57" w14:paraId="25F20299" w14:textId="77777777" w:rsidTr="0015180D">
        <w:tc>
          <w:tcPr>
            <w:tcW w:w="4281" w:type="dxa"/>
            <w:tcBorders>
              <w:top w:val="single" w:sz="4" w:space="0" w:color="auto"/>
            </w:tcBorders>
          </w:tcPr>
          <w:p w14:paraId="6FC9DB35" w14:textId="77777777" w:rsidR="003919B9" w:rsidRPr="00161D57" w:rsidRDefault="003919B9" w:rsidP="0015180D">
            <w:pPr>
              <w:pStyle w:val="NoSpacing"/>
              <w:rPr>
                <w:rFonts w:cs="Arial"/>
              </w:rPr>
            </w:pPr>
            <w:r w:rsidRPr="00161D57">
              <w:rPr>
                <w:rFonts w:cs="Arial"/>
              </w:rPr>
              <w:t>Schools Block</w:t>
            </w:r>
          </w:p>
        </w:tc>
        <w:tc>
          <w:tcPr>
            <w:tcW w:w="1190" w:type="dxa"/>
            <w:tcBorders>
              <w:top w:val="single" w:sz="4" w:space="0" w:color="auto"/>
            </w:tcBorders>
          </w:tcPr>
          <w:p w14:paraId="2DEB74EB" w14:textId="3789DED7" w:rsidR="003919B9" w:rsidRPr="00B45E7F" w:rsidRDefault="00605A55" w:rsidP="0015180D">
            <w:pPr>
              <w:pStyle w:val="NoSpacing"/>
              <w:jc w:val="center"/>
              <w:rPr>
                <w:rFonts w:cs="Arial"/>
                <w:highlight w:val="yellow"/>
              </w:rPr>
            </w:pPr>
            <w:r>
              <w:rPr>
                <w:rFonts w:cs="Arial"/>
              </w:rPr>
              <w:t>206</w:t>
            </w:r>
            <w:r w:rsidR="008D5189">
              <w:rPr>
                <w:rFonts w:cs="Arial"/>
              </w:rPr>
              <w:t>.</w:t>
            </w:r>
            <w:r w:rsidR="004D4E03">
              <w:rPr>
                <w:rFonts w:cs="Arial"/>
              </w:rPr>
              <w:t>6</w:t>
            </w:r>
          </w:p>
        </w:tc>
        <w:tc>
          <w:tcPr>
            <w:tcW w:w="1083" w:type="dxa"/>
            <w:tcBorders>
              <w:top w:val="single" w:sz="4" w:space="0" w:color="auto"/>
            </w:tcBorders>
          </w:tcPr>
          <w:p w14:paraId="3CF12E2B" w14:textId="4F399CC8" w:rsidR="003919B9" w:rsidRPr="00B45E7F" w:rsidRDefault="004D4E03" w:rsidP="0015180D">
            <w:pPr>
              <w:pStyle w:val="NoSpacing"/>
              <w:jc w:val="center"/>
              <w:rPr>
                <w:rFonts w:cs="Arial"/>
                <w:highlight w:val="yellow"/>
              </w:rPr>
            </w:pPr>
            <w:r>
              <w:rPr>
                <w:rFonts w:cs="Arial"/>
              </w:rPr>
              <w:t>5</w:t>
            </w:r>
            <w:r w:rsidR="008D5189">
              <w:rPr>
                <w:rFonts w:cs="Arial"/>
              </w:rPr>
              <w:t>3.</w:t>
            </w:r>
            <w:r>
              <w:rPr>
                <w:rFonts w:cs="Arial"/>
              </w:rPr>
              <w:t>4</w:t>
            </w:r>
          </w:p>
        </w:tc>
        <w:tc>
          <w:tcPr>
            <w:tcW w:w="1370" w:type="dxa"/>
            <w:tcBorders>
              <w:top w:val="single" w:sz="4" w:space="0" w:color="auto"/>
            </w:tcBorders>
          </w:tcPr>
          <w:p w14:paraId="0B84F673" w14:textId="0C7DD224" w:rsidR="003919B9" w:rsidRPr="00B45E7F" w:rsidRDefault="004D4E03" w:rsidP="0015180D">
            <w:pPr>
              <w:pStyle w:val="NoSpacing"/>
              <w:jc w:val="center"/>
              <w:rPr>
                <w:rFonts w:cs="Arial"/>
                <w:highlight w:val="yellow"/>
              </w:rPr>
            </w:pPr>
            <w:r>
              <w:rPr>
                <w:rFonts w:cs="Arial"/>
              </w:rPr>
              <w:t>20</w:t>
            </w:r>
            <w:r w:rsidR="009B5BD3">
              <w:rPr>
                <w:rFonts w:cs="Arial"/>
              </w:rPr>
              <w:t>4</w:t>
            </w:r>
            <w:r w:rsidR="00766501">
              <w:rPr>
                <w:rFonts w:cs="Arial"/>
              </w:rPr>
              <w:t>.</w:t>
            </w:r>
            <w:r w:rsidR="00F66767">
              <w:rPr>
                <w:rFonts w:cs="Arial"/>
              </w:rPr>
              <w:t>5</w:t>
            </w:r>
          </w:p>
        </w:tc>
        <w:tc>
          <w:tcPr>
            <w:tcW w:w="1857" w:type="dxa"/>
            <w:tcBorders>
              <w:top w:val="single" w:sz="4" w:space="0" w:color="auto"/>
            </w:tcBorders>
          </w:tcPr>
          <w:p w14:paraId="06EF508E" w14:textId="00F4BFE7" w:rsidR="003919B9" w:rsidRPr="00B45E7F" w:rsidRDefault="009E55BE" w:rsidP="0015180D">
            <w:pPr>
              <w:pStyle w:val="NoSpacing"/>
              <w:jc w:val="center"/>
              <w:rPr>
                <w:rFonts w:cs="Arial"/>
                <w:highlight w:val="yellow"/>
              </w:rPr>
            </w:pPr>
            <w:r>
              <w:rPr>
                <w:rFonts w:cs="Arial"/>
              </w:rPr>
              <w:t>(</w:t>
            </w:r>
            <w:r w:rsidR="003919B9" w:rsidRPr="003E1627">
              <w:rPr>
                <w:rFonts w:cs="Arial"/>
              </w:rPr>
              <w:t>2.</w:t>
            </w:r>
            <w:r w:rsidR="009B5BD3">
              <w:rPr>
                <w:rFonts w:cs="Arial"/>
              </w:rPr>
              <w:t>1</w:t>
            </w:r>
            <w:r>
              <w:rPr>
                <w:rFonts w:cs="Arial"/>
              </w:rPr>
              <w:t>)</w:t>
            </w:r>
          </w:p>
        </w:tc>
      </w:tr>
      <w:tr w:rsidR="003919B9" w:rsidRPr="00161D57" w14:paraId="349A4B6E" w14:textId="77777777" w:rsidTr="0015180D">
        <w:tc>
          <w:tcPr>
            <w:tcW w:w="4281" w:type="dxa"/>
          </w:tcPr>
          <w:p w14:paraId="505A6519" w14:textId="77777777" w:rsidR="003919B9" w:rsidRPr="00161D57" w:rsidRDefault="003919B9" w:rsidP="0015180D">
            <w:pPr>
              <w:pStyle w:val="NoSpacing"/>
              <w:rPr>
                <w:rFonts w:cs="Arial"/>
              </w:rPr>
            </w:pPr>
            <w:r w:rsidRPr="00161D57">
              <w:rPr>
                <w:rFonts w:cs="Arial"/>
              </w:rPr>
              <w:t>Central Schools and Services Block</w:t>
            </w:r>
          </w:p>
        </w:tc>
        <w:tc>
          <w:tcPr>
            <w:tcW w:w="1190" w:type="dxa"/>
          </w:tcPr>
          <w:p w14:paraId="36E54ECB" w14:textId="26A7B536" w:rsidR="003919B9" w:rsidRPr="00494313" w:rsidRDefault="00F20807" w:rsidP="0015180D">
            <w:pPr>
              <w:pStyle w:val="NoSpacing"/>
              <w:jc w:val="center"/>
              <w:rPr>
                <w:rFonts w:cs="Arial"/>
              </w:rPr>
            </w:pPr>
            <w:r>
              <w:rPr>
                <w:rFonts w:cs="Arial"/>
              </w:rPr>
              <w:t>2</w:t>
            </w:r>
            <w:r w:rsidR="008D5189">
              <w:rPr>
                <w:rFonts w:cs="Arial"/>
              </w:rPr>
              <w:t>.</w:t>
            </w:r>
            <w:r w:rsidR="00605A55">
              <w:rPr>
                <w:rFonts w:cs="Arial"/>
              </w:rPr>
              <w:t>9</w:t>
            </w:r>
          </w:p>
        </w:tc>
        <w:tc>
          <w:tcPr>
            <w:tcW w:w="1083" w:type="dxa"/>
          </w:tcPr>
          <w:p w14:paraId="160C8C01" w14:textId="77777777" w:rsidR="003919B9" w:rsidRPr="00494313" w:rsidRDefault="003919B9" w:rsidP="0015180D">
            <w:pPr>
              <w:pStyle w:val="NoSpacing"/>
              <w:jc w:val="center"/>
              <w:rPr>
                <w:rFonts w:cs="Arial"/>
              </w:rPr>
            </w:pPr>
            <w:r w:rsidRPr="00494313">
              <w:rPr>
                <w:rFonts w:cs="Arial"/>
              </w:rPr>
              <w:t>1.2</w:t>
            </w:r>
          </w:p>
        </w:tc>
        <w:tc>
          <w:tcPr>
            <w:tcW w:w="1370" w:type="dxa"/>
          </w:tcPr>
          <w:p w14:paraId="7A63B610" w14:textId="77777777" w:rsidR="003919B9" w:rsidRPr="00494313" w:rsidRDefault="003919B9" w:rsidP="0015180D">
            <w:pPr>
              <w:pStyle w:val="NoSpacing"/>
              <w:jc w:val="center"/>
              <w:rPr>
                <w:rFonts w:cs="Arial"/>
              </w:rPr>
            </w:pPr>
            <w:r w:rsidRPr="00494313">
              <w:rPr>
                <w:rFonts w:cs="Arial"/>
              </w:rPr>
              <w:t>2.9</w:t>
            </w:r>
          </w:p>
        </w:tc>
        <w:tc>
          <w:tcPr>
            <w:tcW w:w="1857" w:type="dxa"/>
          </w:tcPr>
          <w:p w14:paraId="5E4C6A63" w14:textId="77777777" w:rsidR="003919B9" w:rsidRPr="00494313" w:rsidRDefault="003919B9" w:rsidP="0015180D">
            <w:pPr>
              <w:pStyle w:val="NoSpacing"/>
              <w:jc w:val="center"/>
              <w:rPr>
                <w:rFonts w:cs="Arial"/>
              </w:rPr>
            </w:pPr>
            <w:r w:rsidRPr="00494313">
              <w:rPr>
                <w:rFonts w:cs="Arial"/>
              </w:rPr>
              <w:t>0.0</w:t>
            </w:r>
          </w:p>
        </w:tc>
      </w:tr>
      <w:tr w:rsidR="003919B9" w:rsidRPr="00161D57" w14:paraId="69A7ADD6" w14:textId="77777777" w:rsidTr="0015180D">
        <w:tc>
          <w:tcPr>
            <w:tcW w:w="4281" w:type="dxa"/>
          </w:tcPr>
          <w:p w14:paraId="1E4C9148" w14:textId="77777777" w:rsidR="003919B9" w:rsidRPr="00161D57" w:rsidRDefault="003919B9" w:rsidP="0015180D">
            <w:pPr>
              <w:pStyle w:val="NoSpacing"/>
              <w:rPr>
                <w:rFonts w:cs="Arial"/>
              </w:rPr>
            </w:pPr>
            <w:r w:rsidRPr="00161D57">
              <w:rPr>
                <w:rFonts w:cs="Arial"/>
              </w:rPr>
              <w:t>High Needs Block</w:t>
            </w:r>
          </w:p>
        </w:tc>
        <w:tc>
          <w:tcPr>
            <w:tcW w:w="1190" w:type="dxa"/>
          </w:tcPr>
          <w:p w14:paraId="7A6E3438" w14:textId="110FECD1" w:rsidR="003919B9" w:rsidRPr="00494313" w:rsidRDefault="004B5050" w:rsidP="0015180D">
            <w:pPr>
              <w:pStyle w:val="NoSpacing"/>
              <w:jc w:val="center"/>
              <w:rPr>
                <w:rFonts w:cs="Arial"/>
              </w:rPr>
            </w:pPr>
            <w:r w:rsidRPr="004B5050">
              <w:rPr>
                <w:rFonts w:cs="Arial"/>
              </w:rPr>
              <w:t>85.4</w:t>
            </w:r>
          </w:p>
        </w:tc>
        <w:tc>
          <w:tcPr>
            <w:tcW w:w="1083" w:type="dxa"/>
          </w:tcPr>
          <w:p w14:paraId="70D649F8" w14:textId="652C2AA5" w:rsidR="003919B9" w:rsidRPr="00494313" w:rsidRDefault="004B5050" w:rsidP="0015180D">
            <w:pPr>
              <w:pStyle w:val="NoSpacing"/>
              <w:jc w:val="center"/>
              <w:rPr>
                <w:rFonts w:cs="Arial"/>
              </w:rPr>
            </w:pPr>
            <w:r w:rsidRPr="004B5050">
              <w:rPr>
                <w:rFonts w:cs="Arial"/>
              </w:rPr>
              <w:t>33.3</w:t>
            </w:r>
          </w:p>
        </w:tc>
        <w:tc>
          <w:tcPr>
            <w:tcW w:w="1370" w:type="dxa"/>
          </w:tcPr>
          <w:p w14:paraId="67E09239" w14:textId="30056696" w:rsidR="003919B9" w:rsidRPr="00494313" w:rsidRDefault="004B5050" w:rsidP="0015180D">
            <w:pPr>
              <w:pStyle w:val="NoSpacing"/>
              <w:jc w:val="center"/>
              <w:rPr>
                <w:rFonts w:cs="Arial"/>
              </w:rPr>
            </w:pPr>
            <w:r w:rsidRPr="004B5050">
              <w:rPr>
                <w:rFonts w:cs="Arial"/>
              </w:rPr>
              <w:t>96.8</w:t>
            </w:r>
          </w:p>
        </w:tc>
        <w:tc>
          <w:tcPr>
            <w:tcW w:w="1857" w:type="dxa"/>
          </w:tcPr>
          <w:p w14:paraId="2D567A89" w14:textId="793950C8" w:rsidR="003919B9" w:rsidRPr="00494313" w:rsidRDefault="003919B9" w:rsidP="0015180D">
            <w:pPr>
              <w:pStyle w:val="NoSpacing"/>
              <w:jc w:val="center"/>
              <w:rPr>
                <w:rFonts w:cs="Arial"/>
              </w:rPr>
            </w:pPr>
            <w:r w:rsidRPr="00494313">
              <w:rPr>
                <w:rFonts w:cs="Arial"/>
              </w:rPr>
              <w:t>11.</w:t>
            </w:r>
            <w:r w:rsidR="00F20807">
              <w:rPr>
                <w:rFonts w:cs="Arial"/>
              </w:rPr>
              <w:t>4</w:t>
            </w:r>
          </w:p>
        </w:tc>
      </w:tr>
      <w:tr w:rsidR="003919B9" w:rsidRPr="00161D57" w14:paraId="4836F07A" w14:textId="77777777" w:rsidTr="0015180D">
        <w:tc>
          <w:tcPr>
            <w:tcW w:w="4281" w:type="dxa"/>
          </w:tcPr>
          <w:p w14:paraId="60C4E34D" w14:textId="77777777" w:rsidR="003919B9" w:rsidRPr="00161D57" w:rsidRDefault="003919B9" w:rsidP="0015180D">
            <w:pPr>
              <w:pStyle w:val="NoSpacing"/>
              <w:rPr>
                <w:rFonts w:cs="Arial"/>
              </w:rPr>
            </w:pPr>
            <w:r w:rsidRPr="00161D57">
              <w:rPr>
                <w:rFonts w:cs="Arial"/>
              </w:rPr>
              <w:t>Early Years Block</w:t>
            </w:r>
          </w:p>
        </w:tc>
        <w:tc>
          <w:tcPr>
            <w:tcW w:w="1190" w:type="dxa"/>
          </w:tcPr>
          <w:p w14:paraId="7C50E4C6" w14:textId="77777777" w:rsidR="003919B9" w:rsidRPr="00494313" w:rsidRDefault="003919B9" w:rsidP="0015180D">
            <w:pPr>
              <w:pStyle w:val="NoSpacing"/>
              <w:jc w:val="center"/>
              <w:rPr>
                <w:rFonts w:cs="Arial"/>
              </w:rPr>
            </w:pPr>
            <w:r w:rsidRPr="00494313">
              <w:rPr>
                <w:rFonts w:cs="Arial"/>
              </w:rPr>
              <w:t>44.7</w:t>
            </w:r>
          </w:p>
        </w:tc>
        <w:tc>
          <w:tcPr>
            <w:tcW w:w="1083" w:type="dxa"/>
          </w:tcPr>
          <w:p w14:paraId="46657E09" w14:textId="0C52984C" w:rsidR="003919B9" w:rsidRPr="00494313" w:rsidRDefault="009B5BD3" w:rsidP="0015180D">
            <w:pPr>
              <w:pStyle w:val="NoSpacing"/>
              <w:jc w:val="center"/>
              <w:rPr>
                <w:rFonts w:cs="Arial"/>
              </w:rPr>
            </w:pPr>
            <w:r>
              <w:rPr>
                <w:rFonts w:cs="Arial"/>
              </w:rPr>
              <w:t>1</w:t>
            </w:r>
            <w:r w:rsidR="003919B9" w:rsidRPr="00494313">
              <w:rPr>
                <w:rFonts w:cs="Arial"/>
              </w:rPr>
              <w:t>4.</w:t>
            </w:r>
            <w:r>
              <w:rPr>
                <w:rFonts w:cs="Arial"/>
              </w:rPr>
              <w:t>9</w:t>
            </w:r>
          </w:p>
        </w:tc>
        <w:tc>
          <w:tcPr>
            <w:tcW w:w="1370" w:type="dxa"/>
          </w:tcPr>
          <w:p w14:paraId="3EA0EDB8" w14:textId="77777777" w:rsidR="003919B9" w:rsidRPr="00494313" w:rsidRDefault="003919B9" w:rsidP="0015180D">
            <w:pPr>
              <w:pStyle w:val="NoSpacing"/>
              <w:jc w:val="center"/>
              <w:rPr>
                <w:rFonts w:cs="Arial"/>
              </w:rPr>
            </w:pPr>
            <w:r w:rsidRPr="00494313">
              <w:rPr>
                <w:rFonts w:cs="Arial"/>
              </w:rPr>
              <w:t>44.7</w:t>
            </w:r>
          </w:p>
        </w:tc>
        <w:tc>
          <w:tcPr>
            <w:tcW w:w="1857" w:type="dxa"/>
          </w:tcPr>
          <w:p w14:paraId="3ECC8C80" w14:textId="77777777" w:rsidR="003919B9" w:rsidRPr="00494313" w:rsidRDefault="003919B9" w:rsidP="0015180D">
            <w:pPr>
              <w:pStyle w:val="NoSpacing"/>
              <w:jc w:val="center"/>
              <w:rPr>
                <w:rFonts w:cs="Arial"/>
              </w:rPr>
            </w:pPr>
            <w:r w:rsidRPr="00494313">
              <w:rPr>
                <w:rFonts w:cs="Arial"/>
              </w:rPr>
              <w:t>0.0</w:t>
            </w:r>
          </w:p>
        </w:tc>
      </w:tr>
      <w:tr w:rsidR="003919B9" w:rsidRPr="00161D57" w14:paraId="2E5CADB6" w14:textId="77777777" w:rsidTr="0015180D">
        <w:tc>
          <w:tcPr>
            <w:tcW w:w="4281" w:type="dxa"/>
            <w:shd w:val="clear" w:color="auto" w:fill="D9D9D9" w:themeFill="background1" w:themeFillShade="D9"/>
          </w:tcPr>
          <w:p w14:paraId="7EB45A53" w14:textId="77777777" w:rsidR="003919B9" w:rsidRPr="00161D57" w:rsidRDefault="003919B9" w:rsidP="0015180D">
            <w:pPr>
              <w:pStyle w:val="NoSpacing"/>
              <w:rPr>
                <w:rFonts w:cs="Arial"/>
                <w:b/>
                <w:bCs/>
              </w:rPr>
            </w:pPr>
            <w:r w:rsidRPr="00161D57">
              <w:rPr>
                <w:rFonts w:cs="Arial"/>
                <w:b/>
                <w:bCs/>
              </w:rPr>
              <w:t>Total DSG</w:t>
            </w:r>
          </w:p>
        </w:tc>
        <w:tc>
          <w:tcPr>
            <w:tcW w:w="1190" w:type="dxa"/>
            <w:shd w:val="clear" w:color="auto" w:fill="D9D9D9" w:themeFill="background1" w:themeFillShade="D9"/>
          </w:tcPr>
          <w:p w14:paraId="67FA1278" w14:textId="4467D34A" w:rsidR="003919B9" w:rsidRPr="00161D57" w:rsidRDefault="003919B9" w:rsidP="0015180D">
            <w:pPr>
              <w:pStyle w:val="NoSpacing"/>
              <w:jc w:val="center"/>
              <w:rPr>
                <w:rFonts w:cs="Arial"/>
                <w:b/>
                <w:bCs/>
              </w:rPr>
            </w:pPr>
            <w:r w:rsidRPr="00161D57">
              <w:rPr>
                <w:rFonts w:cs="Arial"/>
                <w:b/>
                <w:bCs/>
              </w:rPr>
              <w:t>33</w:t>
            </w:r>
            <w:r w:rsidR="009E55BE">
              <w:rPr>
                <w:rFonts w:cs="Arial"/>
                <w:b/>
                <w:bCs/>
              </w:rPr>
              <w:t>9</w:t>
            </w:r>
            <w:r w:rsidRPr="00161D57">
              <w:rPr>
                <w:rFonts w:cs="Arial"/>
                <w:b/>
                <w:bCs/>
              </w:rPr>
              <w:t>.</w:t>
            </w:r>
            <w:r w:rsidR="009E55BE">
              <w:rPr>
                <w:rFonts w:cs="Arial"/>
                <w:b/>
                <w:bCs/>
              </w:rPr>
              <w:t>7</w:t>
            </w:r>
          </w:p>
        </w:tc>
        <w:tc>
          <w:tcPr>
            <w:tcW w:w="1083" w:type="dxa"/>
            <w:shd w:val="clear" w:color="auto" w:fill="D9D9D9" w:themeFill="background1" w:themeFillShade="D9"/>
          </w:tcPr>
          <w:p w14:paraId="7FA36A38" w14:textId="2864D2F3" w:rsidR="003919B9" w:rsidRPr="00161D57" w:rsidRDefault="003919B9" w:rsidP="0015180D">
            <w:pPr>
              <w:pStyle w:val="NoSpacing"/>
              <w:jc w:val="center"/>
              <w:rPr>
                <w:rFonts w:cs="Arial"/>
                <w:b/>
                <w:bCs/>
              </w:rPr>
            </w:pPr>
            <w:r>
              <w:rPr>
                <w:rFonts w:cs="Arial"/>
                <w:b/>
                <w:bCs/>
              </w:rPr>
              <w:t>1</w:t>
            </w:r>
            <w:r w:rsidR="009E55BE">
              <w:rPr>
                <w:rFonts w:cs="Arial"/>
                <w:b/>
                <w:bCs/>
              </w:rPr>
              <w:t>02</w:t>
            </w:r>
            <w:r>
              <w:rPr>
                <w:rFonts w:cs="Arial"/>
                <w:b/>
                <w:bCs/>
              </w:rPr>
              <w:t>.</w:t>
            </w:r>
            <w:r w:rsidR="009E55BE">
              <w:rPr>
                <w:rFonts w:cs="Arial"/>
                <w:b/>
                <w:bCs/>
              </w:rPr>
              <w:t>9</w:t>
            </w:r>
          </w:p>
        </w:tc>
        <w:tc>
          <w:tcPr>
            <w:tcW w:w="1370" w:type="dxa"/>
            <w:shd w:val="clear" w:color="auto" w:fill="D9D9D9" w:themeFill="background1" w:themeFillShade="D9"/>
          </w:tcPr>
          <w:p w14:paraId="3B2EE460" w14:textId="20D2890B" w:rsidR="003919B9" w:rsidRPr="00161D57" w:rsidRDefault="003919B9" w:rsidP="0015180D">
            <w:pPr>
              <w:pStyle w:val="NoSpacing"/>
              <w:jc w:val="center"/>
              <w:rPr>
                <w:rFonts w:cs="Arial"/>
                <w:b/>
                <w:bCs/>
              </w:rPr>
            </w:pPr>
            <w:r w:rsidRPr="00161D57">
              <w:rPr>
                <w:rFonts w:cs="Arial"/>
                <w:b/>
                <w:bCs/>
              </w:rPr>
              <w:t>34</w:t>
            </w:r>
            <w:r w:rsidR="009E55BE">
              <w:rPr>
                <w:rFonts w:cs="Arial"/>
                <w:b/>
                <w:bCs/>
              </w:rPr>
              <w:t>9</w:t>
            </w:r>
            <w:r w:rsidRPr="00161D57">
              <w:rPr>
                <w:rFonts w:cs="Arial"/>
                <w:b/>
                <w:bCs/>
              </w:rPr>
              <w:t>.</w:t>
            </w:r>
            <w:r w:rsidR="00DB5736">
              <w:rPr>
                <w:rFonts w:cs="Arial"/>
                <w:b/>
                <w:bCs/>
              </w:rPr>
              <w:t>1</w:t>
            </w:r>
          </w:p>
        </w:tc>
        <w:tc>
          <w:tcPr>
            <w:tcW w:w="1857" w:type="dxa"/>
            <w:shd w:val="clear" w:color="auto" w:fill="D9D9D9" w:themeFill="background1" w:themeFillShade="D9"/>
          </w:tcPr>
          <w:p w14:paraId="10FBFE6F" w14:textId="42E281DF" w:rsidR="003919B9" w:rsidRPr="00161D57" w:rsidRDefault="0097779E" w:rsidP="0015180D">
            <w:pPr>
              <w:pStyle w:val="NoSpacing"/>
              <w:jc w:val="center"/>
              <w:rPr>
                <w:rFonts w:cs="Arial"/>
                <w:b/>
                <w:bCs/>
              </w:rPr>
            </w:pPr>
            <w:r>
              <w:rPr>
                <w:rFonts w:cs="Arial"/>
                <w:b/>
                <w:bCs/>
              </w:rPr>
              <w:t>9.4</w:t>
            </w:r>
          </w:p>
        </w:tc>
      </w:tr>
    </w:tbl>
    <w:p w14:paraId="5B9122F5" w14:textId="77777777" w:rsidR="0070580B" w:rsidRPr="003919B9" w:rsidRDefault="0070580B" w:rsidP="003919B9">
      <w:pPr>
        <w:autoSpaceDE w:val="0"/>
        <w:autoSpaceDN w:val="0"/>
        <w:adjustRightInd w:val="0"/>
        <w:rPr>
          <w:rFonts w:cs="Arial"/>
          <w:color w:val="000000"/>
        </w:rPr>
      </w:pPr>
    </w:p>
    <w:p w14:paraId="2642DB77" w14:textId="77777777" w:rsidR="005C3ACF" w:rsidRPr="00161D57" w:rsidRDefault="005C3ACF" w:rsidP="0070580B">
      <w:pPr>
        <w:pStyle w:val="ListParagraph"/>
        <w:autoSpaceDE w:val="0"/>
        <w:autoSpaceDN w:val="0"/>
        <w:adjustRightInd w:val="0"/>
        <w:ind w:left="426"/>
        <w:rPr>
          <w:rFonts w:cs="Arial"/>
          <w:color w:val="000000"/>
        </w:rPr>
      </w:pPr>
    </w:p>
    <w:p w14:paraId="7AE89311" w14:textId="77777777" w:rsidR="00C97075" w:rsidRDefault="006C2A4E" w:rsidP="00C97075">
      <w:pPr>
        <w:pStyle w:val="ListParagraph"/>
        <w:numPr>
          <w:ilvl w:val="0"/>
          <w:numId w:val="26"/>
        </w:numPr>
        <w:spacing w:after="120"/>
        <w:ind w:left="709" w:hanging="709"/>
        <w:jc w:val="both"/>
        <w:rPr>
          <w:rFonts w:cs="Arial"/>
          <w:b/>
          <w:bCs/>
          <w:color w:val="000000"/>
        </w:rPr>
      </w:pPr>
      <w:bookmarkStart w:id="0" w:name="_Hlk48735191"/>
      <w:r w:rsidRPr="00161D57">
        <w:rPr>
          <w:rFonts w:cs="Arial"/>
          <w:b/>
          <w:bCs/>
          <w:color w:val="000000"/>
        </w:rPr>
        <w:t xml:space="preserve">DSG </w:t>
      </w:r>
      <w:r w:rsidR="00B02F7D" w:rsidRPr="00161D57">
        <w:rPr>
          <w:rFonts w:cs="Arial"/>
          <w:b/>
          <w:bCs/>
          <w:color w:val="000000"/>
        </w:rPr>
        <w:t>Forecast for 2025-26</w:t>
      </w:r>
    </w:p>
    <w:p w14:paraId="3C1142AF" w14:textId="77777777" w:rsidR="00F93EA6" w:rsidRPr="00602021" w:rsidRDefault="00F93EA6" w:rsidP="00602021">
      <w:pPr>
        <w:jc w:val="both"/>
        <w:rPr>
          <w:rFonts w:cs="Arial"/>
        </w:rPr>
      </w:pPr>
    </w:p>
    <w:p w14:paraId="492DCFB7" w14:textId="2154DCFA" w:rsidR="005C28AD" w:rsidRPr="00A1435E" w:rsidRDefault="003F6D13" w:rsidP="00A1435E">
      <w:pPr>
        <w:pStyle w:val="ListParagraph"/>
        <w:numPr>
          <w:ilvl w:val="1"/>
          <w:numId w:val="26"/>
        </w:numPr>
        <w:ind w:left="709" w:hanging="709"/>
        <w:jc w:val="both"/>
        <w:rPr>
          <w:rFonts w:cs="Arial"/>
        </w:rPr>
      </w:pPr>
      <w:r w:rsidRPr="0026731E">
        <w:rPr>
          <w:rFonts w:cs="Arial"/>
          <w:b/>
          <w:bCs/>
        </w:rPr>
        <w:t>Schools Block</w:t>
      </w:r>
    </w:p>
    <w:p w14:paraId="39221BDC" w14:textId="39E7F868" w:rsidR="0026731E" w:rsidRDefault="00E6138A" w:rsidP="005C28AD">
      <w:pPr>
        <w:pStyle w:val="ListParagraph"/>
        <w:ind w:left="709"/>
        <w:jc w:val="both"/>
        <w:rPr>
          <w:rFonts w:cs="Arial"/>
        </w:rPr>
      </w:pPr>
      <w:r w:rsidRPr="00E6138A">
        <w:rPr>
          <w:rFonts w:cs="Arial"/>
        </w:rPr>
        <w:t>A projected underspend of £2.</w:t>
      </w:r>
      <w:r>
        <w:rPr>
          <w:rFonts w:cs="Arial"/>
        </w:rPr>
        <w:t>1</w:t>
      </w:r>
      <w:r w:rsidRPr="00E6138A">
        <w:rPr>
          <w:rFonts w:cs="Arial"/>
        </w:rPr>
        <w:t xml:space="preserve"> million is expected within the Schools Block, entirely due to reduced expenditure in the Growth Fund</w:t>
      </w:r>
      <w:r w:rsidR="00A73CD8">
        <w:rPr>
          <w:rFonts w:cs="Arial"/>
        </w:rPr>
        <w:t>.</w:t>
      </w:r>
      <w:r w:rsidR="00AE7C03">
        <w:rPr>
          <w:rFonts w:cs="Arial"/>
        </w:rPr>
        <w:t xml:space="preserve"> </w:t>
      </w:r>
      <w:r w:rsidR="00AE7C03" w:rsidRPr="00E66C74">
        <w:rPr>
          <w:rFonts w:cs="Arial"/>
        </w:rPr>
        <w:t xml:space="preserve">The growth fund has </w:t>
      </w:r>
      <w:r w:rsidR="00A67AE1" w:rsidRPr="00E66C74">
        <w:rPr>
          <w:rFonts w:cs="Arial"/>
        </w:rPr>
        <w:t xml:space="preserve">restricted defined uses any year-end underspend will be combined with the wider DSG position and carried forward into </w:t>
      </w:r>
      <w:r w:rsidR="00820537" w:rsidRPr="00E66C74">
        <w:rPr>
          <w:rFonts w:cs="Arial"/>
        </w:rPr>
        <w:t>the n</w:t>
      </w:r>
      <w:r w:rsidR="00841C95" w:rsidRPr="00E66C74">
        <w:rPr>
          <w:rFonts w:cs="Arial"/>
        </w:rPr>
        <w:t xml:space="preserve">ext financial year in line with DfE </w:t>
      </w:r>
      <w:r w:rsidR="002C3DA9" w:rsidRPr="00E66C74">
        <w:rPr>
          <w:rFonts w:cs="Arial"/>
        </w:rPr>
        <w:t>guidance.</w:t>
      </w:r>
    </w:p>
    <w:p w14:paraId="752F5A28" w14:textId="77777777" w:rsidR="0026731E" w:rsidRDefault="0026731E" w:rsidP="0026731E">
      <w:pPr>
        <w:pStyle w:val="ListParagraph"/>
        <w:ind w:left="709"/>
        <w:jc w:val="both"/>
        <w:rPr>
          <w:rFonts w:cs="Arial"/>
        </w:rPr>
      </w:pPr>
    </w:p>
    <w:p w14:paraId="16126529" w14:textId="3F165B44" w:rsidR="005B3B08" w:rsidRPr="00A1435E" w:rsidRDefault="0026731E" w:rsidP="00A1435E">
      <w:pPr>
        <w:pStyle w:val="ListParagraph"/>
        <w:numPr>
          <w:ilvl w:val="1"/>
          <w:numId w:val="26"/>
        </w:numPr>
        <w:ind w:left="709" w:hanging="709"/>
        <w:jc w:val="both"/>
        <w:rPr>
          <w:rFonts w:cs="Arial"/>
        </w:rPr>
      </w:pPr>
      <w:r w:rsidRPr="005E04D9">
        <w:rPr>
          <w:rFonts w:cs="Arial"/>
          <w:b/>
          <w:bCs/>
        </w:rPr>
        <w:t>Central Schools and Services Block</w:t>
      </w:r>
    </w:p>
    <w:p w14:paraId="118B2D54" w14:textId="2DC6D9CC" w:rsidR="005E04D9" w:rsidRDefault="005E04D9" w:rsidP="005B3B08">
      <w:pPr>
        <w:pStyle w:val="ListParagraph"/>
        <w:ind w:left="709"/>
        <w:jc w:val="both"/>
        <w:rPr>
          <w:rFonts w:cs="Arial"/>
        </w:rPr>
      </w:pPr>
      <w:r>
        <w:rPr>
          <w:rFonts w:cs="Arial"/>
        </w:rPr>
        <w:t xml:space="preserve">The </w:t>
      </w:r>
      <w:r w:rsidR="00396780" w:rsidRPr="00396780">
        <w:rPr>
          <w:rFonts w:cs="Arial"/>
        </w:rPr>
        <w:t xml:space="preserve">Central Schools Services Block provides funding to local authorities to deliver core central functions for pupils in state-funded maintained schools and academies </w:t>
      </w:r>
      <w:r w:rsidR="00396780" w:rsidRPr="00396780">
        <w:rPr>
          <w:rFonts w:cs="Arial"/>
        </w:rPr>
        <w:lastRenderedPageBreak/>
        <w:t>across England. For 2025–2026, CSSB expenditure is projected to remain within budget.</w:t>
      </w:r>
    </w:p>
    <w:p w14:paraId="2356B234" w14:textId="77777777" w:rsidR="005E04D9" w:rsidRPr="005E04D9" w:rsidRDefault="005E04D9" w:rsidP="005E04D9">
      <w:pPr>
        <w:pStyle w:val="ListParagraph"/>
        <w:rPr>
          <w:rFonts w:cs="Arial"/>
        </w:rPr>
      </w:pPr>
    </w:p>
    <w:p w14:paraId="6EA1FE82" w14:textId="7879F887" w:rsidR="00A1435E" w:rsidRPr="00427BAC" w:rsidRDefault="009E47C3" w:rsidP="00A1435E">
      <w:pPr>
        <w:pStyle w:val="ListParagraph"/>
        <w:numPr>
          <w:ilvl w:val="1"/>
          <w:numId w:val="26"/>
        </w:numPr>
        <w:ind w:left="709" w:hanging="709"/>
        <w:jc w:val="both"/>
        <w:rPr>
          <w:rFonts w:cs="Arial"/>
        </w:rPr>
      </w:pPr>
      <w:r w:rsidRPr="0053063A">
        <w:rPr>
          <w:rFonts w:cs="Arial"/>
          <w:b/>
          <w:bCs/>
        </w:rPr>
        <w:t>High N</w:t>
      </w:r>
      <w:r w:rsidR="009D2D1C" w:rsidRPr="0053063A">
        <w:rPr>
          <w:rFonts w:cs="Arial"/>
          <w:b/>
          <w:bCs/>
        </w:rPr>
        <w:t>eeds Block</w:t>
      </w:r>
    </w:p>
    <w:p w14:paraId="6F0DF812" w14:textId="49D51D80" w:rsidR="00A1435E" w:rsidRDefault="00A1435E" w:rsidP="005B3B08">
      <w:pPr>
        <w:pStyle w:val="ListParagraph"/>
        <w:ind w:left="709"/>
        <w:jc w:val="both"/>
      </w:pPr>
      <w:r>
        <w:t>The</w:t>
      </w:r>
      <w:r w:rsidR="006C5255">
        <w:t xml:space="preserve"> </w:t>
      </w:r>
      <w:r w:rsidR="006C5255" w:rsidRPr="006C5255">
        <w:t>High Needs Block supports provision for children and young people with special educational needs and disabilities (SEND) from their early years to age 25, enabling both councils and institutions to meet their statutory duties under the Children and Families Act 2014</w:t>
      </w:r>
      <w:r w:rsidR="001E789C">
        <w:t>.</w:t>
      </w:r>
    </w:p>
    <w:p w14:paraId="11C420BD" w14:textId="77777777" w:rsidR="00396780" w:rsidRDefault="00396780" w:rsidP="005B3B08">
      <w:pPr>
        <w:pStyle w:val="ListParagraph"/>
        <w:ind w:left="709"/>
        <w:jc w:val="both"/>
      </w:pPr>
    </w:p>
    <w:p w14:paraId="6E8D71AD" w14:textId="457F18FC" w:rsidR="00D86592" w:rsidRDefault="00C660CF" w:rsidP="005B3B08">
      <w:pPr>
        <w:pStyle w:val="ListParagraph"/>
        <w:ind w:left="709"/>
        <w:jc w:val="both"/>
      </w:pPr>
      <w:r w:rsidRPr="00C660CF">
        <w:t>Pressure on the Dedicated Schools Grant (DSG) is concentrated within the High Needs Block (HNB), primarily driven by the rising demand for Education, Health and Care Plans (EHCPs). The growth in EHCP numbers has significantly increased expenditure, further compounded by inflationary cost pressures, greater complexity of pupil needs, and above-inflation pay increases for support staff</w:t>
      </w:r>
      <w:r>
        <w:t>.</w:t>
      </w:r>
    </w:p>
    <w:p w14:paraId="4BC4BA5B" w14:textId="77777777" w:rsidR="00C660CF" w:rsidRDefault="00C660CF" w:rsidP="005B3B08">
      <w:pPr>
        <w:pStyle w:val="ListParagraph"/>
        <w:ind w:left="709"/>
        <w:jc w:val="both"/>
      </w:pPr>
    </w:p>
    <w:p w14:paraId="00F8E19A" w14:textId="3E55FE51" w:rsidR="00D65D0B" w:rsidRDefault="004A1926" w:rsidP="00A76D4C">
      <w:pPr>
        <w:pStyle w:val="ListParagraph"/>
        <w:ind w:left="709"/>
        <w:jc w:val="both"/>
      </w:pPr>
      <w:r w:rsidRPr="004A1926">
        <w:t xml:space="preserve">As of Quarter 2 (September), the High Needs Block (HNB) is forecast to overspend by £11.4 million. </w:t>
      </w:r>
      <w:r w:rsidR="005A3BE1" w:rsidRPr="005A3BE1">
        <w:t>This projection includes a provision to accommodate anticipated growth over the remainder of the financial year.</w:t>
      </w:r>
    </w:p>
    <w:p w14:paraId="773D284F" w14:textId="77777777" w:rsidR="00AC238F" w:rsidRDefault="00AC238F" w:rsidP="00A76D4C">
      <w:pPr>
        <w:pStyle w:val="ListParagraph"/>
        <w:ind w:left="709"/>
        <w:jc w:val="both"/>
      </w:pPr>
    </w:p>
    <w:p w14:paraId="04F4A655" w14:textId="6A8CF0F9" w:rsidR="001F6B13" w:rsidRDefault="001F6B13" w:rsidP="00A76D4C">
      <w:pPr>
        <w:pStyle w:val="ListParagraph"/>
        <w:ind w:left="709"/>
        <w:jc w:val="both"/>
      </w:pPr>
      <w:r>
        <w:rPr>
          <w:noProof/>
        </w:rPr>
        <mc:AlternateContent>
          <mc:Choice Requires="cx2">
            <w:drawing>
              <wp:inline distT="0" distB="0" distL="0" distR="0" wp14:anchorId="3C056E87" wp14:editId="28BE4606">
                <wp:extent cx="6129629" cy="2852928"/>
                <wp:effectExtent l="0" t="0" r="5080" b="5080"/>
                <wp:docPr id="620270055" name="Chart 1" descr="Forecast Spend on the DSG High Needs Block">
                  <a:extLst xmlns:a="http://schemas.openxmlformats.org/drawingml/2006/main">
                    <a:ext uri="{FF2B5EF4-FFF2-40B4-BE49-F238E27FC236}">
                      <a16:creationId xmlns:a16="http://schemas.microsoft.com/office/drawing/2014/main" id="{9285AC10-9AAB-F258-E9E5-1E4EDCC156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3C056E87" wp14:editId="28BE4606">
                <wp:extent cx="6129629" cy="2852928"/>
                <wp:effectExtent l="0" t="0" r="5080" b="5080"/>
                <wp:docPr id="620270055" name="Chart 1" descr="Forecast Spend on the DSG High Needs Block">
                  <a:extLst xmlns:a="http://schemas.openxmlformats.org/drawingml/2006/main">
                    <a:ext uri="{FF2B5EF4-FFF2-40B4-BE49-F238E27FC236}">
                      <a16:creationId xmlns:a16="http://schemas.microsoft.com/office/drawing/2014/main" id="{9285AC10-9AAB-F258-E9E5-1E4EDCC156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20270055" name="Chart 1" descr="Forecast Spend on the DSG High Needs Block">
                          <a:extLst>
                            <a:ext uri="{FF2B5EF4-FFF2-40B4-BE49-F238E27FC236}">
                              <a16:creationId xmlns:a16="http://schemas.microsoft.com/office/drawing/2014/main" id="{9285AC10-9AAB-F258-E9E5-1E4EDCC15671}"/>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6129020" cy="2852420"/>
                        </a:xfrm>
                        <a:prstGeom prst="rect">
                          <a:avLst/>
                        </a:prstGeom>
                      </pic:spPr>
                    </pic:pic>
                  </a:graphicData>
                </a:graphic>
              </wp:inline>
            </w:drawing>
          </mc:Fallback>
        </mc:AlternateContent>
      </w:r>
    </w:p>
    <w:p w14:paraId="7574E01A" w14:textId="1B7DA059" w:rsidR="00AC238F" w:rsidRPr="00A76D4C" w:rsidRDefault="00AC238F" w:rsidP="00D15B5C">
      <w:pPr>
        <w:jc w:val="both"/>
      </w:pPr>
    </w:p>
    <w:p w14:paraId="6E3EB869" w14:textId="3F6F4648" w:rsidR="00EF2E55" w:rsidRPr="00EF2E55" w:rsidRDefault="00EF2E55" w:rsidP="00EF2E55">
      <w:pPr>
        <w:jc w:val="both"/>
        <w:rPr>
          <w:rFonts w:cs="Arial"/>
        </w:rPr>
      </w:pPr>
    </w:p>
    <w:p w14:paraId="4A8854E1" w14:textId="69B9B698" w:rsidR="007D6F8C" w:rsidRPr="00A8275A" w:rsidRDefault="007D6F8C" w:rsidP="00EF2E55">
      <w:pPr>
        <w:pStyle w:val="ListParagraph"/>
        <w:ind w:left="709"/>
        <w:jc w:val="both"/>
        <w:rPr>
          <w:rFonts w:cs="Arial"/>
        </w:rPr>
      </w:pPr>
      <w:r w:rsidRPr="00A8275A">
        <w:t>There are steps are in place to reduce the steep trajectory of requests for statutory assessment and resulting EHCPs including:</w:t>
      </w:r>
    </w:p>
    <w:p w14:paraId="6B2D2922" w14:textId="77777777" w:rsidR="007D6F8C" w:rsidRPr="0046598D" w:rsidRDefault="007D6F8C" w:rsidP="007D6F8C">
      <w:pPr>
        <w:pStyle w:val="NoSpacing"/>
        <w:ind w:left="567"/>
        <w:rPr>
          <w:highlight w:val="yellow"/>
        </w:rPr>
      </w:pPr>
    </w:p>
    <w:p w14:paraId="5366028F" w14:textId="77777777" w:rsid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t>Developing early intervention programmes in speech and language in early years and Key Stage 1 to reduce the triggering of the statutory assessment process</w:t>
      </w:r>
    </w:p>
    <w:p w14:paraId="0B7CFA00" w14:textId="77777777" w:rsid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t>Introducing a Tower Hamlets Inclusion Framework to guide all schools on what is expected as ordinarily available provision and SEN Support to be provided before triggering the statutory assessment process</w:t>
      </w:r>
    </w:p>
    <w:p w14:paraId="548F8181" w14:textId="77777777" w:rsid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t xml:space="preserve">Supporting parents in understanding what provision is already available through the Local Offer and at </w:t>
      </w:r>
      <w:proofErr w:type="spellStart"/>
      <w:proofErr w:type="gramStart"/>
      <w:r>
        <w:rPr>
          <w:rFonts w:ascii="Arial" w:hAnsi="Arial" w:cs="Arial"/>
          <w:color w:val="242424"/>
          <w:bdr w:val="none" w:sz="0" w:space="0" w:color="auto" w:frame="1"/>
        </w:rPr>
        <w:t>Lets</w:t>
      </w:r>
      <w:proofErr w:type="spellEnd"/>
      <w:proofErr w:type="gramEnd"/>
      <w:r>
        <w:rPr>
          <w:rFonts w:ascii="Arial" w:hAnsi="Arial" w:cs="Arial"/>
          <w:color w:val="242424"/>
          <w:bdr w:val="none" w:sz="0" w:space="0" w:color="auto" w:frame="1"/>
        </w:rPr>
        <w:t xml:space="preserve"> Talk SEND events to reduce parental anxiety and gain confidence where possible in local provision</w:t>
      </w:r>
    </w:p>
    <w:p w14:paraId="0823D02C" w14:textId="561FE71A" w:rsidR="004F409A" w:rsidRPr="00A8275A" w:rsidRDefault="00A8275A" w:rsidP="00A8275A">
      <w:pPr>
        <w:pStyle w:val="xmsolistparagraph"/>
        <w:numPr>
          <w:ilvl w:val="0"/>
          <w:numId w:val="30"/>
        </w:numPr>
        <w:shd w:val="clear" w:color="auto" w:fill="FFFFFF"/>
        <w:spacing w:before="0" w:beforeAutospacing="0" w:after="0" w:afterAutospacing="0"/>
        <w:rPr>
          <w:rFonts w:ascii="Aptos" w:hAnsi="Aptos" w:cs="Segoe UI"/>
          <w:color w:val="242424"/>
        </w:rPr>
      </w:pPr>
      <w:r>
        <w:rPr>
          <w:rFonts w:ascii="Arial" w:hAnsi="Arial" w:cs="Arial"/>
          <w:color w:val="242424"/>
          <w:bdr w:val="none" w:sz="0" w:space="0" w:color="auto" w:frame="1"/>
        </w:rPr>
        <w:lastRenderedPageBreak/>
        <w:t>Improving annual review processes and cease to maintain EHCPs where appropriate</w:t>
      </w:r>
      <w:r w:rsidR="007D6F8C" w:rsidRPr="00973128">
        <w:br/>
      </w:r>
    </w:p>
    <w:p w14:paraId="6DF5E0A1" w14:textId="5B40F73D" w:rsidR="00B45E7F" w:rsidRPr="00427BAC" w:rsidRDefault="005D6BF4" w:rsidP="00427BAC">
      <w:pPr>
        <w:pStyle w:val="ListParagraph"/>
        <w:numPr>
          <w:ilvl w:val="1"/>
          <w:numId w:val="26"/>
        </w:numPr>
        <w:ind w:left="709" w:hanging="709"/>
        <w:jc w:val="both"/>
        <w:rPr>
          <w:rFonts w:cs="Arial"/>
        </w:rPr>
      </w:pPr>
      <w:r w:rsidRPr="00DA3A4D">
        <w:rPr>
          <w:rFonts w:cs="Arial"/>
          <w:b/>
          <w:bCs/>
        </w:rPr>
        <w:t>Early Years Block</w:t>
      </w:r>
    </w:p>
    <w:p w14:paraId="4D6D7C07" w14:textId="17C3FF1A" w:rsidR="005E0B4A" w:rsidRPr="00E66C74" w:rsidRDefault="00785420" w:rsidP="00E66C74">
      <w:pPr>
        <w:pStyle w:val="ListParagraph"/>
        <w:ind w:left="709"/>
        <w:jc w:val="both"/>
        <w:rPr>
          <w:rFonts w:cs="Arial"/>
        </w:rPr>
      </w:pPr>
      <w:r>
        <w:rPr>
          <w:rFonts w:cs="Arial"/>
        </w:rPr>
        <w:t>The Early Years Block is projected to spend to budget.</w:t>
      </w:r>
      <w:bookmarkEnd w:id="0"/>
    </w:p>
    <w:sectPr w:rsidR="005E0B4A" w:rsidRPr="00E66C74" w:rsidSect="00F32C7A">
      <w:footerReference w:type="default" r:id="rId13"/>
      <w:headerReference w:type="first" r:id="rId14"/>
      <w:footerReference w:type="first" r:id="rId15"/>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6DE2" w14:textId="77777777" w:rsidR="00800A1F" w:rsidRDefault="00800A1F">
      <w:r>
        <w:separator/>
      </w:r>
    </w:p>
  </w:endnote>
  <w:endnote w:type="continuationSeparator" w:id="0">
    <w:p w14:paraId="0CDA8731" w14:textId="77777777" w:rsidR="00800A1F" w:rsidRDefault="00800A1F">
      <w:r>
        <w:continuationSeparator/>
      </w:r>
    </w:p>
  </w:endnote>
  <w:endnote w:type="continuationNotice" w:id="1">
    <w:p w14:paraId="12C48202" w14:textId="77777777" w:rsidR="00800A1F" w:rsidRDefault="0080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24CC" w14:textId="77777777" w:rsidR="00800A1F" w:rsidRDefault="00800A1F">
      <w:r>
        <w:separator/>
      </w:r>
    </w:p>
  </w:footnote>
  <w:footnote w:type="continuationSeparator" w:id="0">
    <w:p w14:paraId="66903FFC" w14:textId="77777777" w:rsidR="00800A1F" w:rsidRDefault="00800A1F">
      <w:r>
        <w:continuationSeparator/>
      </w:r>
    </w:p>
  </w:footnote>
  <w:footnote w:type="continuationNotice" w:id="1">
    <w:p w14:paraId="08CD2DE8" w14:textId="77777777" w:rsidR="00800A1F" w:rsidRDefault="0080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8240"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137587"/>
    <w:multiLevelType w:val="multilevel"/>
    <w:tmpl w:val="F55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1A1399"/>
    <w:multiLevelType w:val="multilevel"/>
    <w:tmpl w:val="1A6CF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1172AF"/>
    <w:multiLevelType w:val="hybridMultilevel"/>
    <w:tmpl w:val="EF0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4F2E5586"/>
    <w:multiLevelType w:val="hybridMultilevel"/>
    <w:tmpl w:val="94366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A275A47"/>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A7D3358"/>
    <w:multiLevelType w:val="hybridMultilevel"/>
    <w:tmpl w:val="D8DE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E691A69"/>
    <w:multiLevelType w:val="multilevel"/>
    <w:tmpl w:val="311EB9AC"/>
    <w:lvl w:ilvl="0">
      <w:start w:val="1"/>
      <w:numFmt w:val="decimal"/>
      <w:lvlText w:val="%1."/>
      <w:lvlJc w:val="left"/>
      <w:pPr>
        <w:ind w:left="720" w:hanging="720"/>
      </w:pPr>
      <w:rPr>
        <w:rFonts w:hint="default"/>
        <w:b/>
        <w:bCs/>
        <w:i w:val="0"/>
        <w:iCs w:val="0"/>
      </w:rPr>
    </w:lvl>
    <w:lvl w:ilvl="1">
      <w:start w:val="1"/>
      <w:numFmt w:val="decimal"/>
      <w:isLgl/>
      <w:lvlText w:val="%1.%2"/>
      <w:lvlJc w:val="left"/>
      <w:pPr>
        <w:ind w:left="720" w:hanging="720"/>
      </w:pPr>
      <w:rPr>
        <w:rFonts w:hint="default"/>
        <w:b w:val="0"/>
        <w:bCs w:val="0"/>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46A7F02"/>
    <w:multiLevelType w:val="hybridMultilevel"/>
    <w:tmpl w:val="C09A4C6A"/>
    <w:lvl w:ilvl="0" w:tplc="49A6DBB8">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37609"/>
    <w:multiLevelType w:val="multilevel"/>
    <w:tmpl w:val="311EB9AC"/>
    <w:lvl w:ilvl="0">
      <w:start w:val="1"/>
      <w:numFmt w:val="decimal"/>
      <w:lvlText w:val="%1."/>
      <w:lvlJc w:val="left"/>
      <w:pPr>
        <w:ind w:left="1080" w:hanging="720"/>
      </w:pPr>
      <w:rPr>
        <w:rFonts w:hint="default"/>
        <w:b/>
        <w:bCs/>
        <w:i w:val="0"/>
        <w:iCs w:val="0"/>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8"/>
  </w:num>
  <w:num w:numId="2" w16cid:durableId="859008117">
    <w:abstractNumId w:val="4"/>
  </w:num>
  <w:num w:numId="3" w16cid:durableId="1128940347">
    <w:abstractNumId w:val="3"/>
  </w:num>
  <w:num w:numId="4" w16cid:durableId="961350845">
    <w:abstractNumId w:val="26"/>
  </w:num>
  <w:num w:numId="5" w16cid:durableId="2112582821">
    <w:abstractNumId w:val="0"/>
  </w:num>
  <w:num w:numId="6" w16cid:durableId="826749769">
    <w:abstractNumId w:val="29"/>
  </w:num>
  <w:num w:numId="7" w16cid:durableId="711808934">
    <w:abstractNumId w:val="22"/>
  </w:num>
  <w:num w:numId="8" w16cid:durableId="1755011723">
    <w:abstractNumId w:val="15"/>
  </w:num>
  <w:num w:numId="9" w16cid:durableId="168646490">
    <w:abstractNumId w:val="6"/>
  </w:num>
  <w:num w:numId="10" w16cid:durableId="584847387">
    <w:abstractNumId w:val="12"/>
  </w:num>
  <w:num w:numId="11" w16cid:durableId="269240368">
    <w:abstractNumId w:val="5"/>
  </w:num>
  <w:num w:numId="12" w16cid:durableId="688799310">
    <w:abstractNumId w:val="7"/>
  </w:num>
  <w:num w:numId="13" w16cid:durableId="433979666">
    <w:abstractNumId w:val="1"/>
  </w:num>
  <w:num w:numId="14" w16cid:durableId="1935017388">
    <w:abstractNumId w:val="18"/>
  </w:num>
  <w:num w:numId="15" w16cid:durableId="1560676493">
    <w:abstractNumId w:val="11"/>
  </w:num>
  <w:num w:numId="16" w16cid:durableId="833644862">
    <w:abstractNumId w:val="17"/>
  </w:num>
  <w:num w:numId="17" w16cid:durableId="1679307371">
    <w:abstractNumId w:val="30"/>
  </w:num>
  <w:num w:numId="18" w16cid:durableId="1709406665">
    <w:abstractNumId w:val="14"/>
  </w:num>
  <w:num w:numId="19" w16cid:durableId="47539915">
    <w:abstractNumId w:val="10"/>
  </w:num>
  <w:num w:numId="20" w16cid:durableId="813182328">
    <w:abstractNumId w:val="25"/>
  </w:num>
  <w:num w:numId="21" w16cid:durableId="1776166047">
    <w:abstractNumId w:val="13"/>
  </w:num>
  <w:num w:numId="22" w16cid:durableId="525096245">
    <w:abstractNumId w:val="16"/>
  </w:num>
  <w:num w:numId="23" w16cid:durableId="593055344">
    <w:abstractNumId w:val="21"/>
  </w:num>
  <w:num w:numId="24" w16cid:durableId="1753429963">
    <w:abstractNumId w:val="9"/>
  </w:num>
  <w:num w:numId="25" w16cid:durableId="514343126">
    <w:abstractNumId w:val="24"/>
  </w:num>
  <w:num w:numId="26" w16cid:durableId="1419016064">
    <w:abstractNumId w:val="23"/>
  </w:num>
  <w:num w:numId="27" w16cid:durableId="460614143">
    <w:abstractNumId w:val="27"/>
  </w:num>
  <w:num w:numId="28" w16cid:durableId="722994316">
    <w:abstractNumId w:val="20"/>
  </w:num>
  <w:num w:numId="29" w16cid:durableId="498346932">
    <w:abstractNumId w:val="8"/>
  </w:num>
  <w:num w:numId="30" w16cid:durableId="1205171973">
    <w:abstractNumId w:val="19"/>
  </w:num>
  <w:num w:numId="31" w16cid:durableId="97657198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1CE"/>
    <w:rsid w:val="000039AD"/>
    <w:rsid w:val="000055C6"/>
    <w:rsid w:val="00005D31"/>
    <w:rsid w:val="00011A38"/>
    <w:rsid w:val="000164EC"/>
    <w:rsid w:val="000202DF"/>
    <w:rsid w:val="0002125B"/>
    <w:rsid w:val="0002180D"/>
    <w:rsid w:val="00023434"/>
    <w:rsid w:val="00025F55"/>
    <w:rsid w:val="000261CC"/>
    <w:rsid w:val="00026A03"/>
    <w:rsid w:val="00031DF4"/>
    <w:rsid w:val="000339DC"/>
    <w:rsid w:val="000363F8"/>
    <w:rsid w:val="0004045E"/>
    <w:rsid w:val="00041E9D"/>
    <w:rsid w:val="00042CDD"/>
    <w:rsid w:val="0004371F"/>
    <w:rsid w:val="00044126"/>
    <w:rsid w:val="00046FCB"/>
    <w:rsid w:val="00047600"/>
    <w:rsid w:val="00050213"/>
    <w:rsid w:val="0005284B"/>
    <w:rsid w:val="00053127"/>
    <w:rsid w:val="00054F48"/>
    <w:rsid w:val="00060FED"/>
    <w:rsid w:val="000649F8"/>
    <w:rsid w:val="0007195F"/>
    <w:rsid w:val="0007256E"/>
    <w:rsid w:val="00072ECE"/>
    <w:rsid w:val="000765FA"/>
    <w:rsid w:val="000770D5"/>
    <w:rsid w:val="00077299"/>
    <w:rsid w:val="000813DA"/>
    <w:rsid w:val="00083BBE"/>
    <w:rsid w:val="0008668C"/>
    <w:rsid w:val="000879FB"/>
    <w:rsid w:val="00090CBA"/>
    <w:rsid w:val="00092F33"/>
    <w:rsid w:val="000931A2"/>
    <w:rsid w:val="00095CEF"/>
    <w:rsid w:val="0009707E"/>
    <w:rsid w:val="000A1CF7"/>
    <w:rsid w:val="000A6EEE"/>
    <w:rsid w:val="000A7872"/>
    <w:rsid w:val="000A78CA"/>
    <w:rsid w:val="000B09D9"/>
    <w:rsid w:val="000B24B2"/>
    <w:rsid w:val="000B62AF"/>
    <w:rsid w:val="000C12F6"/>
    <w:rsid w:val="000C1387"/>
    <w:rsid w:val="000C2B76"/>
    <w:rsid w:val="000C494D"/>
    <w:rsid w:val="000C55F2"/>
    <w:rsid w:val="000D2210"/>
    <w:rsid w:val="000D23BD"/>
    <w:rsid w:val="000D3037"/>
    <w:rsid w:val="000D529C"/>
    <w:rsid w:val="000D6C01"/>
    <w:rsid w:val="000D6FF5"/>
    <w:rsid w:val="000D7FE8"/>
    <w:rsid w:val="000E153F"/>
    <w:rsid w:val="000E1671"/>
    <w:rsid w:val="000E5EAC"/>
    <w:rsid w:val="000E6B40"/>
    <w:rsid w:val="000E7C2D"/>
    <w:rsid w:val="000F02CD"/>
    <w:rsid w:val="000F0BCB"/>
    <w:rsid w:val="000F10FE"/>
    <w:rsid w:val="000F6CE8"/>
    <w:rsid w:val="000F6DEB"/>
    <w:rsid w:val="000F77A1"/>
    <w:rsid w:val="000F7FF0"/>
    <w:rsid w:val="00101397"/>
    <w:rsid w:val="00102CEB"/>
    <w:rsid w:val="00106EA4"/>
    <w:rsid w:val="00107D64"/>
    <w:rsid w:val="00107E40"/>
    <w:rsid w:val="0011276D"/>
    <w:rsid w:val="00115BAD"/>
    <w:rsid w:val="00115CC1"/>
    <w:rsid w:val="001170E4"/>
    <w:rsid w:val="00117547"/>
    <w:rsid w:val="00123518"/>
    <w:rsid w:val="00123BD5"/>
    <w:rsid w:val="00124860"/>
    <w:rsid w:val="00124892"/>
    <w:rsid w:val="00126B99"/>
    <w:rsid w:val="00126BF1"/>
    <w:rsid w:val="0013087F"/>
    <w:rsid w:val="001320A2"/>
    <w:rsid w:val="00133AC3"/>
    <w:rsid w:val="0013583F"/>
    <w:rsid w:val="001370C6"/>
    <w:rsid w:val="0013750C"/>
    <w:rsid w:val="00137E81"/>
    <w:rsid w:val="00143114"/>
    <w:rsid w:val="001445AD"/>
    <w:rsid w:val="00146529"/>
    <w:rsid w:val="00146B40"/>
    <w:rsid w:val="001479AD"/>
    <w:rsid w:val="0015158B"/>
    <w:rsid w:val="001519F6"/>
    <w:rsid w:val="00151AD1"/>
    <w:rsid w:val="00152F4B"/>
    <w:rsid w:val="0015671B"/>
    <w:rsid w:val="001617F7"/>
    <w:rsid w:val="00161D57"/>
    <w:rsid w:val="00163648"/>
    <w:rsid w:val="001637DD"/>
    <w:rsid w:val="001638D3"/>
    <w:rsid w:val="001659C6"/>
    <w:rsid w:val="00166921"/>
    <w:rsid w:val="0017032B"/>
    <w:rsid w:val="00171274"/>
    <w:rsid w:val="001761E9"/>
    <w:rsid w:val="0017674E"/>
    <w:rsid w:val="00177800"/>
    <w:rsid w:val="001778B8"/>
    <w:rsid w:val="00180B04"/>
    <w:rsid w:val="001810FE"/>
    <w:rsid w:val="0018448F"/>
    <w:rsid w:val="00184A94"/>
    <w:rsid w:val="001852E5"/>
    <w:rsid w:val="00185620"/>
    <w:rsid w:val="0018653B"/>
    <w:rsid w:val="001878D8"/>
    <w:rsid w:val="00187A7C"/>
    <w:rsid w:val="0019143A"/>
    <w:rsid w:val="001919B1"/>
    <w:rsid w:val="00192D3C"/>
    <w:rsid w:val="001938B0"/>
    <w:rsid w:val="00196CF1"/>
    <w:rsid w:val="00197666"/>
    <w:rsid w:val="001A09E1"/>
    <w:rsid w:val="001A2014"/>
    <w:rsid w:val="001A2886"/>
    <w:rsid w:val="001A3845"/>
    <w:rsid w:val="001A61AA"/>
    <w:rsid w:val="001A6830"/>
    <w:rsid w:val="001A73BF"/>
    <w:rsid w:val="001A74CC"/>
    <w:rsid w:val="001B1591"/>
    <w:rsid w:val="001B259F"/>
    <w:rsid w:val="001B4E89"/>
    <w:rsid w:val="001B5D5A"/>
    <w:rsid w:val="001B7088"/>
    <w:rsid w:val="001C209A"/>
    <w:rsid w:val="001C3659"/>
    <w:rsid w:val="001C48A1"/>
    <w:rsid w:val="001C4EFA"/>
    <w:rsid w:val="001C6F21"/>
    <w:rsid w:val="001D4DD6"/>
    <w:rsid w:val="001D6BA4"/>
    <w:rsid w:val="001E1422"/>
    <w:rsid w:val="001E4116"/>
    <w:rsid w:val="001E472B"/>
    <w:rsid w:val="001E5B90"/>
    <w:rsid w:val="001E7624"/>
    <w:rsid w:val="001E789C"/>
    <w:rsid w:val="001F05B8"/>
    <w:rsid w:val="001F2908"/>
    <w:rsid w:val="001F3545"/>
    <w:rsid w:val="001F661F"/>
    <w:rsid w:val="001F6B13"/>
    <w:rsid w:val="00200347"/>
    <w:rsid w:val="00203198"/>
    <w:rsid w:val="00203597"/>
    <w:rsid w:val="00203BF6"/>
    <w:rsid w:val="00203EAA"/>
    <w:rsid w:val="002051AB"/>
    <w:rsid w:val="00205496"/>
    <w:rsid w:val="002078E3"/>
    <w:rsid w:val="00213744"/>
    <w:rsid w:val="00213976"/>
    <w:rsid w:val="002167D2"/>
    <w:rsid w:val="00216D68"/>
    <w:rsid w:val="002204ED"/>
    <w:rsid w:val="00221150"/>
    <w:rsid w:val="00221B84"/>
    <w:rsid w:val="00221FB0"/>
    <w:rsid w:val="0022295B"/>
    <w:rsid w:val="00223C9A"/>
    <w:rsid w:val="002246CA"/>
    <w:rsid w:val="002251FE"/>
    <w:rsid w:val="0022573B"/>
    <w:rsid w:val="00225E8D"/>
    <w:rsid w:val="0022611B"/>
    <w:rsid w:val="0022632C"/>
    <w:rsid w:val="00227C8E"/>
    <w:rsid w:val="0023028E"/>
    <w:rsid w:val="00231641"/>
    <w:rsid w:val="00231AB4"/>
    <w:rsid w:val="00241252"/>
    <w:rsid w:val="002427BF"/>
    <w:rsid w:val="00244303"/>
    <w:rsid w:val="002452BF"/>
    <w:rsid w:val="00246223"/>
    <w:rsid w:val="0024629A"/>
    <w:rsid w:val="00246829"/>
    <w:rsid w:val="00250468"/>
    <w:rsid w:val="002511E5"/>
    <w:rsid w:val="00253B34"/>
    <w:rsid w:val="00254D42"/>
    <w:rsid w:val="00254D79"/>
    <w:rsid w:val="00255AF0"/>
    <w:rsid w:val="00255B22"/>
    <w:rsid w:val="00255B4E"/>
    <w:rsid w:val="0025632D"/>
    <w:rsid w:val="0025736A"/>
    <w:rsid w:val="00261F6B"/>
    <w:rsid w:val="002623C7"/>
    <w:rsid w:val="002636ED"/>
    <w:rsid w:val="002640E1"/>
    <w:rsid w:val="00264249"/>
    <w:rsid w:val="00264B6C"/>
    <w:rsid w:val="0026505F"/>
    <w:rsid w:val="0026731E"/>
    <w:rsid w:val="002703A6"/>
    <w:rsid w:val="00273AC3"/>
    <w:rsid w:val="00274783"/>
    <w:rsid w:val="002779F6"/>
    <w:rsid w:val="002843FB"/>
    <w:rsid w:val="00286B72"/>
    <w:rsid w:val="002870DA"/>
    <w:rsid w:val="00287DBD"/>
    <w:rsid w:val="0029022D"/>
    <w:rsid w:val="00291476"/>
    <w:rsid w:val="0029323C"/>
    <w:rsid w:val="002942EC"/>
    <w:rsid w:val="00294E1F"/>
    <w:rsid w:val="00295350"/>
    <w:rsid w:val="002958F1"/>
    <w:rsid w:val="00295A55"/>
    <w:rsid w:val="002968A5"/>
    <w:rsid w:val="002A0D9E"/>
    <w:rsid w:val="002A1BF1"/>
    <w:rsid w:val="002A1F3F"/>
    <w:rsid w:val="002A493D"/>
    <w:rsid w:val="002A5FBF"/>
    <w:rsid w:val="002A6112"/>
    <w:rsid w:val="002A69DC"/>
    <w:rsid w:val="002A69FE"/>
    <w:rsid w:val="002B32E8"/>
    <w:rsid w:val="002B4713"/>
    <w:rsid w:val="002B4791"/>
    <w:rsid w:val="002B56CF"/>
    <w:rsid w:val="002B6C1C"/>
    <w:rsid w:val="002C3DA9"/>
    <w:rsid w:val="002C4F13"/>
    <w:rsid w:val="002D55C3"/>
    <w:rsid w:val="002D7915"/>
    <w:rsid w:val="002E27CC"/>
    <w:rsid w:val="002E57C7"/>
    <w:rsid w:val="002F55A8"/>
    <w:rsid w:val="002F6FBC"/>
    <w:rsid w:val="00300DF2"/>
    <w:rsid w:val="0030490E"/>
    <w:rsid w:val="00305F74"/>
    <w:rsid w:val="00306179"/>
    <w:rsid w:val="003061B1"/>
    <w:rsid w:val="00306353"/>
    <w:rsid w:val="00307098"/>
    <w:rsid w:val="00307B81"/>
    <w:rsid w:val="0031090B"/>
    <w:rsid w:val="003115CD"/>
    <w:rsid w:val="0031268C"/>
    <w:rsid w:val="00315286"/>
    <w:rsid w:val="00316412"/>
    <w:rsid w:val="00317F34"/>
    <w:rsid w:val="00322767"/>
    <w:rsid w:val="00322E4D"/>
    <w:rsid w:val="00325AE4"/>
    <w:rsid w:val="00326E03"/>
    <w:rsid w:val="003301FE"/>
    <w:rsid w:val="00330D51"/>
    <w:rsid w:val="00331251"/>
    <w:rsid w:val="003322EA"/>
    <w:rsid w:val="003345A8"/>
    <w:rsid w:val="0034258A"/>
    <w:rsid w:val="00346D9A"/>
    <w:rsid w:val="0035001D"/>
    <w:rsid w:val="003512C7"/>
    <w:rsid w:val="0035185E"/>
    <w:rsid w:val="00351F12"/>
    <w:rsid w:val="00352768"/>
    <w:rsid w:val="003531BB"/>
    <w:rsid w:val="003536FC"/>
    <w:rsid w:val="003564B6"/>
    <w:rsid w:val="00361F94"/>
    <w:rsid w:val="003629DA"/>
    <w:rsid w:val="00364BE2"/>
    <w:rsid w:val="00365C22"/>
    <w:rsid w:val="00365E3C"/>
    <w:rsid w:val="003666B6"/>
    <w:rsid w:val="00367965"/>
    <w:rsid w:val="00371393"/>
    <w:rsid w:val="003754E3"/>
    <w:rsid w:val="00381684"/>
    <w:rsid w:val="00382B3F"/>
    <w:rsid w:val="0038332C"/>
    <w:rsid w:val="0039134E"/>
    <w:rsid w:val="003919B9"/>
    <w:rsid w:val="003920CB"/>
    <w:rsid w:val="00394DEA"/>
    <w:rsid w:val="0039626F"/>
    <w:rsid w:val="00396780"/>
    <w:rsid w:val="00397511"/>
    <w:rsid w:val="00397FA5"/>
    <w:rsid w:val="003A12A4"/>
    <w:rsid w:val="003A14A2"/>
    <w:rsid w:val="003A7452"/>
    <w:rsid w:val="003B16A3"/>
    <w:rsid w:val="003B2548"/>
    <w:rsid w:val="003B3AEF"/>
    <w:rsid w:val="003B3B0E"/>
    <w:rsid w:val="003B450D"/>
    <w:rsid w:val="003B656F"/>
    <w:rsid w:val="003B700C"/>
    <w:rsid w:val="003B7621"/>
    <w:rsid w:val="003C1879"/>
    <w:rsid w:val="003C1DE3"/>
    <w:rsid w:val="003C1F2E"/>
    <w:rsid w:val="003C4300"/>
    <w:rsid w:val="003C622E"/>
    <w:rsid w:val="003D08B1"/>
    <w:rsid w:val="003D0EBB"/>
    <w:rsid w:val="003D3995"/>
    <w:rsid w:val="003D435E"/>
    <w:rsid w:val="003D731D"/>
    <w:rsid w:val="003E00BB"/>
    <w:rsid w:val="003E1627"/>
    <w:rsid w:val="003E1CA1"/>
    <w:rsid w:val="003E61A9"/>
    <w:rsid w:val="003E6E46"/>
    <w:rsid w:val="003F3433"/>
    <w:rsid w:val="003F5D94"/>
    <w:rsid w:val="003F6281"/>
    <w:rsid w:val="003F6D13"/>
    <w:rsid w:val="00404DAF"/>
    <w:rsid w:val="004056A4"/>
    <w:rsid w:val="00405741"/>
    <w:rsid w:val="00405B39"/>
    <w:rsid w:val="0041038E"/>
    <w:rsid w:val="00410D00"/>
    <w:rsid w:val="00410D37"/>
    <w:rsid w:val="00411AA9"/>
    <w:rsid w:val="004130DB"/>
    <w:rsid w:val="00413BDA"/>
    <w:rsid w:val="00414466"/>
    <w:rsid w:val="00414FDB"/>
    <w:rsid w:val="00420766"/>
    <w:rsid w:val="00421266"/>
    <w:rsid w:val="00421504"/>
    <w:rsid w:val="004256EA"/>
    <w:rsid w:val="004277FE"/>
    <w:rsid w:val="00427BAC"/>
    <w:rsid w:val="00432144"/>
    <w:rsid w:val="004323CB"/>
    <w:rsid w:val="0043348C"/>
    <w:rsid w:val="00433877"/>
    <w:rsid w:val="004342D6"/>
    <w:rsid w:val="00434EDA"/>
    <w:rsid w:val="004402FA"/>
    <w:rsid w:val="00441930"/>
    <w:rsid w:val="00444C0E"/>
    <w:rsid w:val="00445236"/>
    <w:rsid w:val="00446519"/>
    <w:rsid w:val="004478AE"/>
    <w:rsid w:val="00451CF7"/>
    <w:rsid w:val="004529FF"/>
    <w:rsid w:val="00452FA3"/>
    <w:rsid w:val="00457528"/>
    <w:rsid w:val="00457C65"/>
    <w:rsid w:val="00463EB4"/>
    <w:rsid w:val="00464D42"/>
    <w:rsid w:val="0046598D"/>
    <w:rsid w:val="00465C26"/>
    <w:rsid w:val="00466C73"/>
    <w:rsid w:val="004705A1"/>
    <w:rsid w:val="00472A92"/>
    <w:rsid w:val="00476A3C"/>
    <w:rsid w:val="0048219E"/>
    <w:rsid w:val="004838C5"/>
    <w:rsid w:val="0048399E"/>
    <w:rsid w:val="004862AC"/>
    <w:rsid w:val="004862E0"/>
    <w:rsid w:val="00486492"/>
    <w:rsid w:val="00487F7A"/>
    <w:rsid w:val="00490FA7"/>
    <w:rsid w:val="004911C8"/>
    <w:rsid w:val="00491DC6"/>
    <w:rsid w:val="00492604"/>
    <w:rsid w:val="00493052"/>
    <w:rsid w:val="00494313"/>
    <w:rsid w:val="00496F1C"/>
    <w:rsid w:val="004A0F22"/>
    <w:rsid w:val="004A11B0"/>
    <w:rsid w:val="004A1926"/>
    <w:rsid w:val="004A1E4C"/>
    <w:rsid w:val="004A2E13"/>
    <w:rsid w:val="004A2E94"/>
    <w:rsid w:val="004A4B6E"/>
    <w:rsid w:val="004A64C6"/>
    <w:rsid w:val="004B1220"/>
    <w:rsid w:val="004B2762"/>
    <w:rsid w:val="004B347E"/>
    <w:rsid w:val="004B3FC5"/>
    <w:rsid w:val="004B5050"/>
    <w:rsid w:val="004B6ED7"/>
    <w:rsid w:val="004B7D19"/>
    <w:rsid w:val="004B7D3B"/>
    <w:rsid w:val="004C10C9"/>
    <w:rsid w:val="004C3B01"/>
    <w:rsid w:val="004C66F0"/>
    <w:rsid w:val="004C7C67"/>
    <w:rsid w:val="004D03E3"/>
    <w:rsid w:val="004D1C4B"/>
    <w:rsid w:val="004D27CE"/>
    <w:rsid w:val="004D4AA6"/>
    <w:rsid w:val="004D4E03"/>
    <w:rsid w:val="004D4FF7"/>
    <w:rsid w:val="004D5594"/>
    <w:rsid w:val="004D7527"/>
    <w:rsid w:val="004D79DD"/>
    <w:rsid w:val="004D7D73"/>
    <w:rsid w:val="004E357D"/>
    <w:rsid w:val="004E5F19"/>
    <w:rsid w:val="004E7170"/>
    <w:rsid w:val="004F409A"/>
    <w:rsid w:val="004F6589"/>
    <w:rsid w:val="004F67E3"/>
    <w:rsid w:val="00500576"/>
    <w:rsid w:val="00501776"/>
    <w:rsid w:val="00504A1F"/>
    <w:rsid w:val="0050651C"/>
    <w:rsid w:val="0050671F"/>
    <w:rsid w:val="0050719C"/>
    <w:rsid w:val="00510168"/>
    <w:rsid w:val="005112CE"/>
    <w:rsid w:val="00512519"/>
    <w:rsid w:val="00513EBD"/>
    <w:rsid w:val="005142A9"/>
    <w:rsid w:val="00514669"/>
    <w:rsid w:val="00517934"/>
    <w:rsid w:val="0052127C"/>
    <w:rsid w:val="0053007E"/>
    <w:rsid w:val="005301D7"/>
    <w:rsid w:val="0053063A"/>
    <w:rsid w:val="0053384C"/>
    <w:rsid w:val="00534464"/>
    <w:rsid w:val="00537774"/>
    <w:rsid w:val="005400C7"/>
    <w:rsid w:val="0054015A"/>
    <w:rsid w:val="00540291"/>
    <w:rsid w:val="005404BE"/>
    <w:rsid w:val="005408C7"/>
    <w:rsid w:val="00542B00"/>
    <w:rsid w:val="00545A21"/>
    <w:rsid w:val="005520F5"/>
    <w:rsid w:val="00552A9D"/>
    <w:rsid w:val="00557BAC"/>
    <w:rsid w:val="005638F5"/>
    <w:rsid w:val="00565F48"/>
    <w:rsid w:val="005673C2"/>
    <w:rsid w:val="00567913"/>
    <w:rsid w:val="00571B84"/>
    <w:rsid w:val="005723CA"/>
    <w:rsid w:val="00572E2A"/>
    <w:rsid w:val="00573A52"/>
    <w:rsid w:val="00580113"/>
    <w:rsid w:val="00581CFC"/>
    <w:rsid w:val="005824FC"/>
    <w:rsid w:val="00582A23"/>
    <w:rsid w:val="005840FC"/>
    <w:rsid w:val="005843ED"/>
    <w:rsid w:val="00584A63"/>
    <w:rsid w:val="00587998"/>
    <w:rsid w:val="00587FAC"/>
    <w:rsid w:val="005909E9"/>
    <w:rsid w:val="005923CC"/>
    <w:rsid w:val="005934AD"/>
    <w:rsid w:val="005937F4"/>
    <w:rsid w:val="00594723"/>
    <w:rsid w:val="00596421"/>
    <w:rsid w:val="0059662E"/>
    <w:rsid w:val="00597EE4"/>
    <w:rsid w:val="005A04AF"/>
    <w:rsid w:val="005A152C"/>
    <w:rsid w:val="005A15B4"/>
    <w:rsid w:val="005A1E97"/>
    <w:rsid w:val="005A2910"/>
    <w:rsid w:val="005A29F4"/>
    <w:rsid w:val="005A2D18"/>
    <w:rsid w:val="005A3BE1"/>
    <w:rsid w:val="005A3C4D"/>
    <w:rsid w:val="005A3F24"/>
    <w:rsid w:val="005A4229"/>
    <w:rsid w:val="005A4B24"/>
    <w:rsid w:val="005B36F3"/>
    <w:rsid w:val="005B3B08"/>
    <w:rsid w:val="005B488F"/>
    <w:rsid w:val="005B71A8"/>
    <w:rsid w:val="005C0D40"/>
    <w:rsid w:val="005C1322"/>
    <w:rsid w:val="005C28AD"/>
    <w:rsid w:val="005C2C39"/>
    <w:rsid w:val="005C3ACF"/>
    <w:rsid w:val="005C6C38"/>
    <w:rsid w:val="005D0E2D"/>
    <w:rsid w:val="005D57DA"/>
    <w:rsid w:val="005D61F5"/>
    <w:rsid w:val="005D6A71"/>
    <w:rsid w:val="005D6BF4"/>
    <w:rsid w:val="005E04D9"/>
    <w:rsid w:val="005E090C"/>
    <w:rsid w:val="005E0B4A"/>
    <w:rsid w:val="005E18A0"/>
    <w:rsid w:val="005E6861"/>
    <w:rsid w:val="005E73D8"/>
    <w:rsid w:val="005E7F7D"/>
    <w:rsid w:val="005F14CE"/>
    <w:rsid w:val="005F1CE0"/>
    <w:rsid w:val="005F26CE"/>
    <w:rsid w:val="005F399C"/>
    <w:rsid w:val="005F5DFA"/>
    <w:rsid w:val="005F7ECB"/>
    <w:rsid w:val="006016D4"/>
    <w:rsid w:val="00602021"/>
    <w:rsid w:val="00605A55"/>
    <w:rsid w:val="00605CDF"/>
    <w:rsid w:val="0060737E"/>
    <w:rsid w:val="006077E0"/>
    <w:rsid w:val="00607D34"/>
    <w:rsid w:val="006100DA"/>
    <w:rsid w:val="00611F9B"/>
    <w:rsid w:val="00612905"/>
    <w:rsid w:val="006134FA"/>
    <w:rsid w:val="00613717"/>
    <w:rsid w:val="00614512"/>
    <w:rsid w:val="0061485C"/>
    <w:rsid w:val="00615E88"/>
    <w:rsid w:val="006215AA"/>
    <w:rsid w:val="00626E54"/>
    <w:rsid w:val="00627670"/>
    <w:rsid w:val="0063063F"/>
    <w:rsid w:val="006331F0"/>
    <w:rsid w:val="00633EE7"/>
    <w:rsid w:val="00635364"/>
    <w:rsid w:val="006370C7"/>
    <w:rsid w:val="00640535"/>
    <w:rsid w:val="006413E6"/>
    <w:rsid w:val="00645430"/>
    <w:rsid w:val="0064560E"/>
    <w:rsid w:val="00646554"/>
    <w:rsid w:val="00646D3B"/>
    <w:rsid w:val="00650C89"/>
    <w:rsid w:val="00651DAF"/>
    <w:rsid w:val="0065202F"/>
    <w:rsid w:val="00652E8A"/>
    <w:rsid w:val="00653479"/>
    <w:rsid w:val="00661156"/>
    <w:rsid w:val="00663B55"/>
    <w:rsid w:val="00666073"/>
    <w:rsid w:val="00666C61"/>
    <w:rsid w:val="006706BB"/>
    <w:rsid w:val="006706D9"/>
    <w:rsid w:val="00671CCB"/>
    <w:rsid w:val="0067369D"/>
    <w:rsid w:val="00674AD4"/>
    <w:rsid w:val="006802FE"/>
    <w:rsid w:val="0068060C"/>
    <w:rsid w:val="0068212D"/>
    <w:rsid w:val="00686C23"/>
    <w:rsid w:val="00690411"/>
    <w:rsid w:val="00690471"/>
    <w:rsid w:val="00690BB3"/>
    <w:rsid w:val="00691AAE"/>
    <w:rsid w:val="00692D59"/>
    <w:rsid w:val="00693E7A"/>
    <w:rsid w:val="00695F0A"/>
    <w:rsid w:val="00697436"/>
    <w:rsid w:val="0069748F"/>
    <w:rsid w:val="006A078D"/>
    <w:rsid w:val="006A1261"/>
    <w:rsid w:val="006A32EB"/>
    <w:rsid w:val="006A34F9"/>
    <w:rsid w:val="006A48F8"/>
    <w:rsid w:val="006A62CE"/>
    <w:rsid w:val="006B553D"/>
    <w:rsid w:val="006B68FA"/>
    <w:rsid w:val="006B69E8"/>
    <w:rsid w:val="006C1E39"/>
    <w:rsid w:val="006C2A4E"/>
    <w:rsid w:val="006C30D5"/>
    <w:rsid w:val="006C34B5"/>
    <w:rsid w:val="006C3E43"/>
    <w:rsid w:val="006C5255"/>
    <w:rsid w:val="006C5A10"/>
    <w:rsid w:val="006C63CE"/>
    <w:rsid w:val="006C6470"/>
    <w:rsid w:val="006C75C1"/>
    <w:rsid w:val="006C7A55"/>
    <w:rsid w:val="006D478E"/>
    <w:rsid w:val="006D5261"/>
    <w:rsid w:val="006D6469"/>
    <w:rsid w:val="006D64E4"/>
    <w:rsid w:val="006D7950"/>
    <w:rsid w:val="006E32DC"/>
    <w:rsid w:val="006E4295"/>
    <w:rsid w:val="006E4D4F"/>
    <w:rsid w:val="006E5B6A"/>
    <w:rsid w:val="006E6773"/>
    <w:rsid w:val="006E6E13"/>
    <w:rsid w:val="006F0F02"/>
    <w:rsid w:val="006F119E"/>
    <w:rsid w:val="006F1734"/>
    <w:rsid w:val="006F19C4"/>
    <w:rsid w:val="006F2AAB"/>
    <w:rsid w:val="006F2E0C"/>
    <w:rsid w:val="006F44CE"/>
    <w:rsid w:val="006F4CE3"/>
    <w:rsid w:val="00700A94"/>
    <w:rsid w:val="00700E8D"/>
    <w:rsid w:val="0070112F"/>
    <w:rsid w:val="0070308B"/>
    <w:rsid w:val="007032A6"/>
    <w:rsid w:val="0070580B"/>
    <w:rsid w:val="0071067E"/>
    <w:rsid w:val="0071199C"/>
    <w:rsid w:val="00713A80"/>
    <w:rsid w:val="0071531E"/>
    <w:rsid w:val="00715428"/>
    <w:rsid w:val="00715E7F"/>
    <w:rsid w:val="00715F88"/>
    <w:rsid w:val="007173F1"/>
    <w:rsid w:val="0072267D"/>
    <w:rsid w:val="00722B95"/>
    <w:rsid w:val="00723665"/>
    <w:rsid w:val="007245AD"/>
    <w:rsid w:val="00724C59"/>
    <w:rsid w:val="00725004"/>
    <w:rsid w:val="007254B1"/>
    <w:rsid w:val="00727022"/>
    <w:rsid w:val="00727E6B"/>
    <w:rsid w:val="0073115E"/>
    <w:rsid w:val="0073156E"/>
    <w:rsid w:val="0073208F"/>
    <w:rsid w:val="00733B03"/>
    <w:rsid w:val="00734345"/>
    <w:rsid w:val="0073475B"/>
    <w:rsid w:val="0073697C"/>
    <w:rsid w:val="007420EE"/>
    <w:rsid w:val="00742ACC"/>
    <w:rsid w:val="007443D5"/>
    <w:rsid w:val="00744C03"/>
    <w:rsid w:val="0074574C"/>
    <w:rsid w:val="0075189C"/>
    <w:rsid w:val="007536BC"/>
    <w:rsid w:val="00753F23"/>
    <w:rsid w:val="00753F5C"/>
    <w:rsid w:val="00754A70"/>
    <w:rsid w:val="00756E82"/>
    <w:rsid w:val="00757B9F"/>
    <w:rsid w:val="00763D75"/>
    <w:rsid w:val="00764946"/>
    <w:rsid w:val="00764D51"/>
    <w:rsid w:val="007654C8"/>
    <w:rsid w:val="00766501"/>
    <w:rsid w:val="007676EE"/>
    <w:rsid w:val="0077274C"/>
    <w:rsid w:val="007731C8"/>
    <w:rsid w:val="00774579"/>
    <w:rsid w:val="00775B48"/>
    <w:rsid w:val="007766FD"/>
    <w:rsid w:val="00776CAA"/>
    <w:rsid w:val="00777C75"/>
    <w:rsid w:val="00780DFA"/>
    <w:rsid w:val="00781D32"/>
    <w:rsid w:val="007830A0"/>
    <w:rsid w:val="007835A7"/>
    <w:rsid w:val="00785420"/>
    <w:rsid w:val="00785635"/>
    <w:rsid w:val="007868EC"/>
    <w:rsid w:val="00787C74"/>
    <w:rsid w:val="00793F85"/>
    <w:rsid w:val="00794BA9"/>
    <w:rsid w:val="00795B01"/>
    <w:rsid w:val="007976AC"/>
    <w:rsid w:val="00797C2F"/>
    <w:rsid w:val="007A0400"/>
    <w:rsid w:val="007A417B"/>
    <w:rsid w:val="007B0E4D"/>
    <w:rsid w:val="007B1595"/>
    <w:rsid w:val="007B267B"/>
    <w:rsid w:val="007C0701"/>
    <w:rsid w:val="007C0808"/>
    <w:rsid w:val="007C3603"/>
    <w:rsid w:val="007C5374"/>
    <w:rsid w:val="007C5969"/>
    <w:rsid w:val="007C693F"/>
    <w:rsid w:val="007D15CC"/>
    <w:rsid w:val="007D183D"/>
    <w:rsid w:val="007D1C3E"/>
    <w:rsid w:val="007D253B"/>
    <w:rsid w:val="007D3E13"/>
    <w:rsid w:val="007D695C"/>
    <w:rsid w:val="007D6F8C"/>
    <w:rsid w:val="007E30F1"/>
    <w:rsid w:val="007F1F70"/>
    <w:rsid w:val="007F25A5"/>
    <w:rsid w:val="007F3C18"/>
    <w:rsid w:val="007F442C"/>
    <w:rsid w:val="007F598E"/>
    <w:rsid w:val="007F68E4"/>
    <w:rsid w:val="00800A1F"/>
    <w:rsid w:val="00800A7E"/>
    <w:rsid w:val="00800D22"/>
    <w:rsid w:val="008016EC"/>
    <w:rsid w:val="0080587B"/>
    <w:rsid w:val="008059CF"/>
    <w:rsid w:val="00807FD7"/>
    <w:rsid w:val="00811614"/>
    <w:rsid w:val="00811C20"/>
    <w:rsid w:val="00815CE2"/>
    <w:rsid w:val="00816478"/>
    <w:rsid w:val="00816807"/>
    <w:rsid w:val="00816C93"/>
    <w:rsid w:val="00816F02"/>
    <w:rsid w:val="00820537"/>
    <w:rsid w:val="0082163E"/>
    <w:rsid w:val="00821A96"/>
    <w:rsid w:val="00822694"/>
    <w:rsid w:val="00822F8E"/>
    <w:rsid w:val="008259BD"/>
    <w:rsid w:val="0082686D"/>
    <w:rsid w:val="00830781"/>
    <w:rsid w:val="00830EBB"/>
    <w:rsid w:val="008311F6"/>
    <w:rsid w:val="00831E66"/>
    <w:rsid w:val="00832669"/>
    <w:rsid w:val="008337A8"/>
    <w:rsid w:val="00833A23"/>
    <w:rsid w:val="00833F71"/>
    <w:rsid w:val="0083401A"/>
    <w:rsid w:val="008374E0"/>
    <w:rsid w:val="00837A60"/>
    <w:rsid w:val="008412AF"/>
    <w:rsid w:val="008415CA"/>
    <w:rsid w:val="00841C95"/>
    <w:rsid w:val="00842079"/>
    <w:rsid w:val="00842A36"/>
    <w:rsid w:val="00843696"/>
    <w:rsid w:val="00843CA0"/>
    <w:rsid w:val="0084419D"/>
    <w:rsid w:val="00844D87"/>
    <w:rsid w:val="00844EFC"/>
    <w:rsid w:val="00847E1A"/>
    <w:rsid w:val="008519C8"/>
    <w:rsid w:val="00851B78"/>
    <w:rsid w:val="00851E63"/>
    <w:rsid w:val="00853377"/>
    <w:rsid w:val="0085360B"/>
    <w:rsid w:val="00853979"/>
    <w:rsid w:val="00853D65"/>
    <w:rsid w:val="008551AC"/>
    <w:rsid w:val="0086103F"/>
    <w:rsid w:val="008612D5"/>
    <w:rsid w:val="0086240E"/>
    <w:rsid w:val="00862649"/>
    <w:rsid w:val="0086287B"/>
    <w:rsid w:val="00863DDF"/>
    <w:rsid w:val="00864A20"/>
    <w:rsid w:val="00865EB7"/>
    <w:rsid w:val="0086682F"/>
    <w:rsid w:val="0087027F"/>
    <w:rsid w:val="00870AB5"/>
    <w:rsid w:val="00871172"/>
    <w:rsid w:val="00875173"/>
    <w:rsid w:val="00876D9E"/>
    <w:rsid w:val="00883BFB"/>
    <w:rsid w:val="00884588"/>
    <w:rsid w:val="00884B12"/>
    <w:rsid w:val="00884F15"/>
    <w:rsid w:val="008859CF"/>
    <w:rsid w:val="00885C96"/>
    <w:rsid w:val="00887A6A"/>
    <w:rsid w:val="008918D0"/>
    <w:rsid w:val="00893CD7"/>
    <w:rsid w:val="00894B4D"/>
    <w:rsid w:val="0089520D"/>
    <w:rsid w:val="0089533B"/>
    <w:rsid w:val="00895ACF"/>
    <w:rsid w:val="00896233"/>
    <w:rsid w:val="00897094"/>
    <w:rsid w:val="008A0721"/>
    <w:rsid w:val="008A13C3"/>
    <w:rsid w:val="008A3C5C"/>
    <w:rsid w:val="008A44F3"/>
    <w:rsid w:val="008A752B"/>
    <w:rsid w:val="008A7EA8"/>
    <w:rsid w:val="008B3720"/>
    <w:rsid w:val="008B7AEB"/>
    <w:rsid w:val="008C0499"/>
    <w:rsid w:val="008C0B93"/>
    <w:rsid w:val="008C10D0"/>
    <w:rsid w:val="008C1863"/>
    <w:rsid w:val="008C2594"/>
    <w:rsid w:val="008C4572"/>
    <w:rsid w:val="008C5F26"/>
    <w:rsid w:val="008D158A"/>
    <w:rsid w:val="008D17E2"/>
    <w:rsid w:val="008D29B6"/>
    <w:rsid w:val="008D3826"/>
    <w:rsid w:val="008D5189"/>
    <w:rsid w:val="008D56F3"/>
    <w:rsid w:val="008D5F8E"/>
    <w:rsid w:val="008D634E"/>
    <w:rsid w:val="008D651A"/>
    <w:rsid w:val="008E3BB6"/>
    <w:rsid w:val="008E3D68"/>
    <w:rsid w:val="008E4D27"/>
    <w:rsid w:val="008E5951"/>
    <w:rsid w:val="008E620B"/>
    <w:rsid w:val="008E7125"/>
    <w:rsid w:val="008E75A7"/>
    <w:rsid w:val="008E7EB7"/>
    <w:rsid w:val="008F2F2A"/>
    <w:rsid w:val="008F308F"/>
    <w:rsid w:val="008F4037"/>
    <w:rsid w:val="008F509E"/>
    <w:rsid w:val="008F58AA"/>
    <w:rsid w:val="00901921"/>
    <w:rsid w:val="00901D67"/>
    <w:rsid w:val="0090215F"/>
    <w:rsid w:val="00902B91"/>
    <w:rsid w:val="00905AA3"/>
    <w:rsid w:val="0091068B"/>
    <w:rsid w:val="00910C13"/>
    <w:rsid w:val="009164C8"/>
    <w:rsid w:val="009176D9"/>
    <w:rsid w:val="00922F7A"/>
    <w:rsid w:val="00923CFE"/>
    <w:rsid w:val="009307DD"/>
    <w:rsid w:val="009324CE"/>
    <w:rsid w:val="009333EF"/>
    <w:rsid w:val="00933FF4"/>
    <w:rsid w:val="009340B4"/>
    <w:rsid w:val="00936C71"/>
    <w:rsid w:val="00937126"/>
    <w:rsid w:val="009376B7"/>
    <w:rsid w:val="009378DD"/>
    <w:rsid w:val="00940B24"/>
    <w:rsid w:val="00940DD4"/>
    <w:rsid w:val="00944632"/>
    <w:rsid w:val="0095646E"/>
    <w:rsid w:val="009632BA"/>
    <w:rsid w:val="009633C9"/>
    <w:rsid w:val="0096480A"/>
    <w:rsid w:val="00967D19"/>
    <w:rsid w:val="00970A4A"/>
    <w:rsid w:val="00971B06"/>
    <w:rsid w:val="009736D6"/>
    <w:rsid w:val="00974443"/>
    <w:rsid w:val="00974A50"/>
    <w:rsid w:val="00976FDF"/>
    <w:rsid w:val="0097779E"/>
    <w:rsid w:val="00977FE3"/>
    <w:rsid w:val="00981997"/>
    <w:rsid w:val="009824F0"/>
    <w:rsid w:val="00982C1A"/>
    <w:rsid w:val="009854D7"/>
    <w:rsid w:val="00985875"/>
    <w:rsid w:val="009871CA"/>
    <w:rsid w:val="0099412A"/>
    <w:rsid w:val="009942D7"/>
    <w:rsid w:val="00994461"/>
    <w:rsid w:val="00995DF8"/>
    <w:rsid w:val="009A3152"/>
    <w:rsid w:val="009A6B26"/>
    <w:rsid w:val="009B0E9E"/>
    <w:rsid w:val="009B2729"/>
    <w:rsid w:val="009B5BD3"/>
    <w:rsid w:val="009B5F87"/>
    <w:rsid w:val="009C195B"/>
    <w:rsid w:val="009C1B4B"/>
    <w:rsid w:val="009C6A63"/>
    <w:rsid w:val="009C7AE7"/>
    <w:rsid w:val="009D02BA"/>
    <w:rsid w:val="009D102D"/>
    <w:rsid w:val="009D16E8"/>
    <w:rsid w:val="009D22C3"/>
    <w:rsid w:val="009D2D1C"/>
    <w:rsid w:val="009D30F4"/>
    <w:rsid w:val="009E2CE1"/>
    <w:rsid w:val="009E38B3"/>
    <w:rsid w:val="009E422F"/>
    <w:rsid w:val="009E47C3"/>
    <w:rsid w:val="009E55BE"/>
    <w:rsid w:val="009E5D5A"/>
    <w:rsid w:val="009E5E0D"/>
    <w:rsid w:val="009F09E1"/>
    <w:rsid w:val="009F13F7"/>
    <w:rsid w:val="009F2321"/>
    <w:rsid w:val="009F23E8"/>
    <w:rsid w:val="009F3DBE"/>
    <w:rsid w:val="009F567C"/>
    <w:rsid w:val="009F7730"/>
    <w:rsid w:val="00A021D0"/>
    <w:rsid w:val="00A0264B"/>
    <w:rsid w:val="00A0568F"/>
    <w:rsid w:val="00A05C82"/>
    <w:rsid w:val="00A0631F"/>
    <w:rsid w:val="00A119C4"/>
    <w:rsid w:val="00A11C8C"/>
    <w:rsid w:val="00A136A7"/>
    <w:rsid w:val="00A1435E"/>
    <w:rsid w:val="00A21A67"/>
    <w:rsid w:val="00A2517F"/>
    <w:rsid w:val="00A26126"/>
    <w:rsid w:val="00A270FB"/>
    <w:rsid w:val="00A32FB7"/>
    <w:rsid w:val="00A34330"/>
    <w:rsid w:val="00A3450A"/>
    <w:rsid w:val="00A35DC5"/>
    <w:rsid w:val="00A36065"/>
    <w:rsid w:val="00A3612E"/>
    <w:rsid w:val="00A3769A"/>
    <w:rsid w:val="00A37C37"/>
    <w:rsid w:val="00A4191B"/>
    <w:rsid w:val="00A41FDD"/>
    <w:rsid w:val="00A4204B"/>
    <w:rsid w:val="00A46BC0"/>
    <w:rsid w:val="00A506EF"/>
    <w:rsid w:val="00A50D2C"/>
    <w:rsid w:val="00A548ED"/>
    <w:rsid w:val="00A5513D"/>
    <w:rsid w:val="00A60DE3"/>
    <w:rsid w:val="00A642BF"/>
    <w:rsid w:val="00A6624F"/>
    <w:rsid w:val="00A67AE1"/>
    <w:rsid w:val="00A67F16"/>
    <w:rsid w:val="00A67F5C"/>
    <w:rsid w:val="00A70471"/>
    <w:rsid w:val="00A70D06"/>
    <w:rsid w:val="00A715B4"/>
    <w:rsid w:val="00A718FC"/>
    <w:rsid w:val="00A71B62"/>
    <w:rsid w:val="00A73CD8"/>
    <w:rsid w:val="00A7607A"/>
    <w:rsid w:val="00A762B7"/>
    <w:rsid w:val="00A76AC6"/>
    <w:rsid w:val="00A76D4C"/>
    <w:rsid w:val="00A774DE"/>
    <w:rsid w:val="00A7781C"/>
    <w:rsid w:val="00A8275A"/>
    <w:rsid w:val="00A833FE"/>
    <w:rsid w:val="00A8661F"/>
    <w:rsid w:val="00A8672B"/>
    <w:rsid w:val="00A86869"/>
    <w:rsid w:val="00A869BA"/>
    <w:rsid w:val="00A9242E"/>
    <w:rsid w:val="00A92C66"/>
    <w:rsid w:val="00A96630"/>
    <w:rsid w:val="00AA1EDE"/>
    <w:rsid w:val="00AA2398"/>
    <w:rsid w:val="00AA47ED"/>
    <w:rsid w:val="00AA7DD8"/>
    <w:rsid w:val="00AB4D79"/>
    <w:rsid w:val="00AB5A44"/>
    <w:rsid w:val="00AB7124"/>
    <w:rsid w:val="00AC0A02"/>
    <w:rsid w:val="00AC15D3"/>
    <w:rsid w:val="00AC238F"/>
    <w:rsid w:val="00AC36C7"/>
    <w:rsid w:val="00AC481F"/>
    <w:rsid w:val="00AC5485"/>
    <w:rsid w:val="00AC6C51"/>
    <w:rsid w:val="00AC74F5"/>
    <w:rsid w:val="00AC7E50"/>
    <w:rsid w:val="00AD34DC"/>
    <w:rsid w:val="00AD3B31"/>
    <w:rsid w:val="00AD467E"/>
    <w:rsid w:val="00AD6347"/>
    <w:rsid w:val="00AD63CE"/>
    <w:rsid w:val="00AD6A4F"/>
    <w:rsid w:val="00AE2D02"/>
    <w:rsid w:val="00AE3F0D"/>
    <w:rsid w:val="00AE7C03"/>
    <w:rsid w:val="00AF29ED"/>
    <w:rsid w:val="00AF2C5D"/>
    <w:rsid w:val="00AF4619"/>
    <w:rsid w:val="00AF515A"/>
    <w:rsid w:val="00AF5725"/>
    <w:rsid w:val="00AF5AC9"/>
    <w:rsid w:val="00AF72A6"/>
    <w:rsid w:val="00B006AA"/>
    <w:rsid w:val="00B00BFF"/>
    <w:rsid w:val="00B024C4"/>
    <w:rsid w:val="00B02F7D"/>
    <w:rsid w:val="00B03668"/>
    <w:rsid w:val="00B04CC4"/>
    <w:rsid w:val="00B05C9E"/>
    <w:rsid w:val="00B13C22"/>
    <w:rsid w:val="00B13EFC"/>
    <w:rsid w:val="00B1514D"/>
    <w:rsid w:val="00B156F5"/>
    <w:rsid w:val="00B1657C"/>
    <w:rsid w:val="00B16B60"/>
    <w:rsid w:val="00B17274"/>
    <w:rsid w:val="00B17350"/>
    <w:rsid w:val="00B221F9"/>
    <w:rsid w:val="00B23D6A"/>
    <w:rsid w:val="00B265D3"/>
    <w:rsid w:val="00B341E8"/>
    <w:rsid w:val="00B35C52"/>
    <w:rsid w:val="00B363EA"/>
    <w:rsid w:val="00B3658A"/>
    <w:rsid w:val="00B376E0"/>
    <w:rsid w:val="00B4153F"/>
    <w:rsid w:val="00B42738"/>
    <w:rsid w:val="00B42912"/>
    <w:rsid w:val="00B432E2"/>
    <w:rsid w:val="00B44484"/>
    <w:rsid w:val="00B45E7F"/>
    <w:rsid w:val="00B477AA"/>
    <w:rsid w:val="00B51BA6"/>
    <w:rsid w:val="00B52078"/>
    <w:rsid w:val="00B57F41"/>
    <w:rsid w:val="00B57FF0"/>
    <w:rsid w:val="00B60546"/>
    <w:rsid w:val="00B60671"/>
    <w:rsid w:val="00B61F72"/>
    <w:rsid w:val="00B62473"/>
    <w:rsid w:val="00B629AF"/>
    <w:rsid w:val="00B65728"/>
    <w:rsid w:val="00B676D3"/>
    <w:rsid w:val="00B7111E"/>
    <w:rsid w:val="00B71EEA"/>
    <w:rsid w:val="00B72BE2"/>
    <w:rsid w:val="00B735C6"/>
    <w:rsid w:val="00B7462A"/>
    <w:rsid w:val="00B74988"/>
    <w:rsid w:val="00B77246"/>
    <w:rsid w:val="00B7752A"/>
    <w:rsid w:val="00B81017"/>
    <w:rsid w:val="00B83052"/>
    <w:rsid w:val="00B8485C"/>
    <w:rsid w:val="00B84A17"/>
    <w:rsid w:val="00B86D60"/>
    <w:rsid w:val="00B87DE5"/>
    <w:rsid w:val="00B91F4A"/>
    <w:rsid w:val="00B92689"/>
    <w:rsid w:val="00B92B3E"/>
    <w:rsid w:val="00B9353B"/>
    <w:rsid w:val="00BA26D0"/>
    <w:rsid w:val="00BA47E9"/>
    <w:rsid w:val="00BA7A33"/>
    <w:rsid w:val="00BA7C70"/>
    <w:rsid w:val="00BB00C3"/>
    <w:rsid w:val="00BB0A45"/>
    <w:rsid w:val="00BB2F65"/>
    <w:rsid w:val="00BB33F2"/>
    <w:rsid w:val="00BB3AE3"/>
    <w:rsid w:val="00BB44BA"/>
    <w:rsid w:val="00BB4758"/>
    <w:rsid w:val="00BC23C9"/>
    <w:rsid w:val="00BC25DB"/>
    <w:rsid w:val="00BC3C8E"/>
    <w:rsid w:val="00BC4AE2"/>
    <w:rsid w:val="00BC510D"/>
    <w:rsid w:val="00BC53DE"/>
    <w:rsid w:val="00BC689D"/>
    <w:rsid w:val="00BD0225"/>
    <w:rsid w:val="00BD06F1"/>
    <w:rsid w:val="00BD085B"/>
    <w:rsid w:val="00BD1077"/>
    <w:rsid w:val="00BD13D2"/>
    <w:rsid w:val="00BD2D22"/>
    <w:rsid w:val="00BD2F97"/>
    <w:rsid w:val="00BD64A1"/>
    <w:rsid w:val="00BE1FCE"/>
    <w:rsid w:val="00BE6962"/>
    <w:rsid w:val="00BE6AB7"/>
    <w:rsid w:val="00BE7B39"/>
    <w:rsid w:val="00BF12DE"/>
    <w:rsid w:val="00BF1DDF"/>
    <w:rsid w:val="00BF2D8A"/>
    <w:rsid w:val="00BF3D67"/>
    <w:rsid w:val="00BF4A85"/>
    <w:rsid w:val="00BF6E7C"/>
    <w:rsid w:val="00BF73B5"/>
    <w:rsid w:val="00C0093A"/>
    <w:rsid w:val="00C025E6"/>
    <w:rsid w:val="00C040F5"/>
    <w:rsid w:val="00C04763"/>
    <w:rsid w:val="00C0797B"/>
    <w:rsid w:val="00C12ABE"/>
    <w:rsid w:val="00C1448D"/>
    <w:rsid w:val="00C14546"/>
    <w:rsid w:val="00C149FB"/>
    <w:rsid w:val="00C15F7A"/>
    <w:rsid w:val="00C1620E"/>
    <w:rsid w:val="00C1635C"/>
    <w:rsid w:val="00C20835"/>
    <w:rsid w:val="00C2337A"/>
    <w:rsid w:val="00C23743"/>
    <w:rsid w:val="00C26020"/>
    <w:rsid w:val="00C32ED2"/>
    <w:rsid w:val="00C33269"/>
    <w:rsid w:val="00C338CE"/>
    <w:rsid w:val="00C33AB2"/>
    <w:rsid w:val="00C34BB6"/>
    <w:rsid w:val="00C34E3E"/>
    <w:rsid w:val="00C353A6"/>
    <w:rsid w:val="00C35566"/>
    <w:rsid w:val="00C36824"/>
    <w:rsid w:val="00C369C2"/>
    <w:rsid w:val="00C36C03"/>
    <w:rsid w:val="00C37AB6"/>
    <w:rsid w:val="00C37D1C"/>
    <w:rsid w:val="00C4577C"/>
    <w:rsid w:val="00C47EBF"/>
    <w:rsid w:val="00C51271"/>
    <w:rsid w:val="00C53C3E"/>
    <w:rsid w:val="00C55838"/>
    <w:rsid w:val="00C56941"/>
    <w:rsid w:val="00C576DF"/>
    <w:rsid w:val="00C57B44"/>
    <w:rsid w:val="00C60DF6"/>
    <w:rsid w:val="00C617F8"/>
    <w:rsid w:val="00C637FC"/>
    <w:rsid w:val="00C64541"/>
    <w:rsid w:val="00C64FA1"/>
    <w:rsid w:val="00C660CF"/>
    <w:rsid w:val="00C66ADE"/>
    <w:rsid w:val="00C67665"/>
    <w:rsid w:val="00C679E6"/>
    <w:rsid w:val="00C67A30"/>
    <w:rsid w:val="00C67FDD"/>
    <w:rsid w:val="00C70637"/>
    <w:rsid w:val="00C74493"/>
    <w:rsid w:val="00C775B9"/>
    <w:rsid w:val="00C80C88"/>
    <w:rsid w:val="00C819A1"/>
    <w:rsid w:val="00C81B0D"/>
    <w:rsid w:val="00C82252"/>
    <w:rsid w:val="00C830C5"/>
    <w:rsid w:val="00C84FD1"/>
    <w:rsid w:val="00C868C2"/>
    <w:rsid w:val="00C8712C"/>
    <w:rsid w:val="00C906C2"/>
    <w:rsid w:val="00C90FFA"/>
    <w:rsid w:val="00C948B3"/>
    <w:rsid w:val="00C95133"/>
    <w:rsid w:val="00C97075"/>
    <w:rsid w:val="00CA009F"/>
    <w:rsid w:val="00CA4964"/>
    <w:rsid w:val="00CB23F6"/>
    <w:rsid w:val="00CB3111"/>
    <w:rsid w:val="00CB458A"/>
    <w:rsid w:val="00CB5A97"/>
    <w:rsid w:val="00CB79B1"/>
    <w:rsid w:val="00CC3237"/>
    <w:rsid w:val="00CC3A17"/>
    <w:rsid w:val="00CC3AD9"/>
    <w:rsid w:val="00CC5309"/>
    <w:rsid w:val="00CC5FBC"/>
    <w:rsid w:val="00CD0D8A"/>
    <w:rsid w:val="00CD412C"/>
    <w:rsid w:val="00CD560C"/>
    <w:rsid w:val="00CE25C5"/>
    <w:rsid w:val="00CE2918"/>
    <w:rsid w:val="00CE29FC"/>
    <w:rsid w:val="00CE4522"/>
    <w:rsid w:val="00CF11EF"/>
    <w:rsid w:val="00CF121E"/>
    <w:rsid w:val="00CF1CF1"/>
    <w:rsid w:val="00CF341E"/>
    <w:rsid w:val="00CF3636"/>
    <w:rsid w:val="00CF36A1"/>
    <w:rsid w:val="00CF55B1"/>
    <w:rsid w:val="00D01B8B"/>
    <w:rsid w:val="00D059BD"/>
    <w:rsid w:val="00D12975"/>
    <w:rsid w:val="00D1423D"/>
    <w:rsid w:val="00D15B5C"/>
    <w:rsid w:val="00D2018A"/>
    <w:rsid w:val="00D215A1"/>
    <w:rsid w:val="00D2305A"/>
    <w:rsid w:val="00D23DF4"/>
    <w:rsid w:val="00D23E62"/>
    <w:rsid w:val="00D25A3A"/>
    <w:rsid w:val="00D270A0"/>
    <w:rsid w:val="00D271C3"/>
    <w:rsid w:val="00D2769E"/>
    <w:rsid w:val="00D3299B"/>
    <w:rsid w:val="00D34E4C"/>
    <w:rsid w:val="00D36DF3"/>
    <w:rsid w:val="00D37306"/>
    <w:rsid w:val="00D37CAC"/>
    <w:rsid w:val="00D41132"/>
    <w:rsid w:val="00D4220A"/>
    <w:rsid w:val="00D42643"/>
    <w:rsid w:val="00D45746"/>
    <w:rsid w:val="00D45A83"/>
    <w:rsid w:val="00D46204"/>
    <w:rsid w:val="00D51007"/>
    <w:rsid w:val="00D52052"/>
    <w:rsid w:val="00D54712"/>
    <w:rsid w:val="00D55991"/>
    <w:rsid w:val="00D5776F"/>
    <w:rsid w:val="00D57CF1"/>
    <w:rsid w:val="00D60070"/>
    <w:rsid w:val="00D62A1F"/>
    <w:rsid w:val="00D65370"/>
    <w:rsid w:val="00D65D0B"/>
    <w:rsid w:val="00D67797"/>
    <w:rsid w:val="00D67851"/>
    <w:rsid w:val="00D702AB"/>
    <w:rsid w:val="00D74D27"/>
    <w:rsid w:val="00D76549"/>
    <w:rsid w:val="00D76C27"/>
    <w:rsid w:val="00D80304"/>
    <w:rsid w:val="00D80A0A"/>
    <w:rsid w:val="00D81BF6"/>
    <w:rsid w:val="00D86424"/>
    <w:rsid w:val="00D86592"/>
    <w:rsid w:val="00D903C5"/>
    <w:rsid w:val="00D957DD"/>
    <w:rsid w:val="00D97200"/>
    <w:rsid w:val="00D97296"/>
    <w:rsid w:val="00D97BD8"/>
    <w:rsid w:val="00DA01FA"/>
    <w:rsid w:val="00DA0BF3"/>
    <w:rsid w:val="00DA1EDC"/>
    <w:rsid w:val="00DA22DF"/>
    <w:rsid w:val="00DA33CB"/>
    <w:rsid w:val="00DA3A4D"/>
    <w:rsid w:val="00DA3BAF"/>
    <w:rsid w:val="00DA5793"/>
    <w:rsid w:val="00DA6401"/>
    <w:rsid w:val="00DA6AB3"/>
    <w:rsid w:val="00DB212B"/>
    <w:rsid w:val="00DB3C20"/>
    <w:rsid w:val="00DB5723"/>
    <w:rsid w:val="00DB5736"/>
    <w:rsid w:val="00DB63FE"/>
    <w:rsid w:val="00DC08F4"/>
    <w:rsid w:val="00DC3112"/>
    <w:rsid w:val="00DC4E3F"/>
    <w:rsid w:val="00DC5FA6"/>
    <w:rsid w:val="00DC6B70"/>
    <w:rsid w:val="00DD0408"/>
    <w:rsid w:val="00DD39B8"/>
    <w:rsid w:val="00DD6DC0"/>
    <w:rsid w:val="00DE4592"/>
    <w:rsid w:val="00DE630D"/>
    <w:rsid w:val="00DE7B2D"/>
    <w:rsid w:val="00DF5B28"/>
    <w:rsid w:val="00DF69CA"/>
    <w:rsid w:val="00DF798C"/>
    <w:rsid w:val="00E0127A"/>
    <w:rsid w:val="00E01E9A"/>
    <w:rsid w:val="00E02ADF"/>
    <w:rsid w:val="00E069A2"/>
    <w:rsid w:val="00E077A1"/>
    <w:rsid w:val="00E14102"/>
    <w:rsid w:val="00E164F0"/>
    <w:rsid w:val="00E16D56"/>
    <w:rsid w:val="00E21E4C"/>
    <w:rsid w:val="00E221C2"/>
    <w:rsid w:val="00E22596"/>
    <w:rsid w:val="00E267F3"/>
    <w:rsid w:val="00E31B50"/>
    <w:rsid w:val="00E332A9"/>
    <w:rsid w:val="00E3342C"/>
    <w:rsid w:val="00E337C3"/>
    <w:rsid w:val="00E33B9F"/>
    <w:rsid w:val="00E34CAB"/>
    <w:rsid w:val="00E36F58"/>
    <w:rsid w:val="00E37E7D"/>
    <w:rsid w:val="00E4575A"/>
    <w:rsid w:val="00E47329"/>
    <w:rsid w:val="00E51019"/>
    <w:rsid w:val="00E52E99"/>
    <w:rsid w:val="00E534E8"/>
    <w:rsid w:val="00E56071"/>
    <w:rsid w:val="00E56D6F"/>
    <w:rsid w:val="00E57D6B"/>
    <w:rsid w:val="00E6124D"/>
    <w:rsid w:val="00E6138A"/>
    <w:rsid w:val="00E65EAE"/>
    <w:rsid w:val="00E66C74"/>
    <w:rsid w:val="00E679E5"/>
    <w:rsid w:val="00E7152D"/>
    <w:rsid w:val="00E717B4"/>
    <w:rsid w:val="00E72058"/>
    <w:rsid w:val="00E72191"/>
    <w:rsid w:val="00E73695"/>
    <w:rsid w:val="00E741D9"/>
    <w:rsid w:val="00E86163"/>
    <w:rsid w:val="00E90A54"/>
    <w:rsid w:val="00E91769"/>
    <w:rsid w:val="00E95D67"/>
    <w:rsid w:val="00E968CD"/>
    <w:rsid w:val="00E96B93"/>
    <w:rsid w:val="00EA1221"/>
    <w:rsid w:val="00EA1C80"/>
    <w:rsid w:val="00EA3656"/>
    <w:rsid w:val="00EA3863"/>
    <w:rsid w:val="00EA3D97"/>
    <w:rsid w:val="00EA4B82"/>
    <w:rsid w:val="00EA7336"/>
    <w:rsid w:val="00EA785E"/>
    <w:rsid w:val="00EB43AA"/>
    <w:rsid w:val="00EB552F"/>
    <w:rsid w:val="00EB5C45"/>
    <w:rsid w:val="00EB5DCB"/>
    <w:rsid w:val="00EB7424"/>
    <w:rsid w:val="00EC10FC"/>
    <w:rsid w:val="00EC21D9"/>
    <w:rsid w:val="00EC34C7"/>
    <w:rsid w:val="00EC6A8B"/>
    <w:rsid w:val="00ED15AD"/>
    <w:rsid w:val="00ED1A9B"/>
    <w:rsid w:val="00EE08DD"/>
    <w:rsid w:val="00EE3BD4"/>
    <w:rsid w:val="00EE5A0F"/>
    <w:rsid w:val="00EF05F1"/>
    <w:rsid w:val="00EF2266"/>
    <w:rsid w:val="00EF2E55"/>
    <w:rsid w:val="00EF318C"/>
    <w:rsid w:val="00EF4132"/>
    <w:rsid w:val="00EF7AE5"/>
    <w:rsid w:val="00F013C6"/>
    <w:rsid w:val="00F05E02"/>
    <w:rsid w:val="00F10788"/>
    <w:rsid w:val="00F1406B"/>
    <w:rsid w:val="00F1431A"/>
    <w:rsid w:val="00F15BA1"/>
    <w:rsid w:val="00F16B59"/>
    <w:rsid w:val="00F178E9"/>
    <w:rsid w:val="00F20807"/>
    <w:rsid w:val="00F22D96"/>
    <w:rsid w:val="00F22F45"/>
    <w:rsid w:val="00F2331E"/>
    <w:rsid w:val="00F23501"/>
    <w:rsid w:val="00F23D39"/>
    <w:rsid w:val="00F2462F"/>
    <w:rsid w:val="00F25477"/>
    <w:rsid w:val="00F254D7"/>
    <w:rsid w:val="00F254E2"/>
    <w:rsid w:val="00F25E81"/>
    <w:rsid w:val="00F30356"/>
    <w:rsid w:val="00F3058E"/>
    <w:rsid w:val="00F3089A"/>
    <w:rsid w:val="00F3169F"/>
    <w:rsid w:val="00F32C7A"/>
    <w:rsid w:val="00F33DE2"/>
    <w:rsid w:val="00F367CD"/>
    <w:rsid w:val="00F36950"/>
    <w:rsid w:val="00F36F74"/>
    <w:rsid w:val="00F419DC"/>
    <w:rsid w:val="00F44713"/>
    <w:rsid w:val="00F467A3"/>
    <w:rsid w:val="00F474E9"/>
    <w:rsid w:val="00F503A4"/>
    <w:rsid w:val="00F503E7"/>
    <w:rsid w:val="00F50B6B"/>
    <w:rsid w:val="00F51BA2"/>
    <w:rsid w:val="00F528E3"/>
    <w:rsid w:val="00F529D7"/>
    <w:rsid w:val="00F530A2"/>
    <w:rsid w:val="00F55D03"/>
    <w:rsid w:val="00F601D7"/>
    <w:rsid w:val="00F60EA7"/>
    <w:rsid w:val="00F60EC7"/>
    <w:rsid w:val="00F612B9"/>
    <w:rsid w:val="00F61A33"/>
    <w:rsid w:val="00F61F89"/>
    <w:rsid w:val="00F629D8"/>
    <w:rsid w:val="00F62AA0"/>
    <w:rsid w:val="00F63519"/>
    <w:rsid w:val="00F64D39"/>
    <w:rsid w:val="00F65BBA"/>
    <w:rsid w:val="00F65CD2"/>
    <w:rsid w:val="00F66767"/>
    <w:rsid w:val="00F6765F"/>
    <w:rsid w:val="00F67EAC"/>
    <w:rsid w:val="00F726C6"/>
    <w:rsid w:val="00F75550"/>
    <w:rsid w:val="00F814E5"/>
    <w:rsid w:val="00F81AE5"/>
    <w:rsid w:val="00F8304B"/>
    <w:rsid w:val="00F83532"/>
    <w:rsid w:val="00F856CD"/>
    <w:rsid w:val="00F85969"/>
    <w:rsid w:val="00F87A01"/>
    <w:rsid w:val="00F90455"/>
    <w:rsid w:val="00F91A57"/>
    <w:rsid w:val="00F91B58"/>
    <w:rsid w:val="00F93EA6"/>
    <w:rsid w:val="00F94AC7"/>
    <w:rsid w:val="00F95619"/>
    <w:rsid w:val="00FA42BB"/>
    <w:rsid w:val="00FA549C"/>
    <w:rsid w:val="00FB06D3"/>
    <w:rsid w:val="00FB0D80"/>
    <w:rsid w:val="00FB21CD"/>
    <w:rsid w:val="00FB28B4"/>
    <w:rsid w:val="00FB5259"/>
    <w:rsid w:val="00FB5B4F"/>
    <w:rsid w:val="00FC17C0"/>
    <w:rsid w:val="00FC1F05"/>
    <w:rsid w:val="00FC31F0"/>
    <w:rsid w:val="00FC333A"/>
    <w:rsid w:val="00FC3637"/>
    <w:rsid w:val="00FC75BC"/>
    <w:rsid w:val="00FD1C96"/>
    <w:rsid w:val="00FD2097"/>
    <w:rsid w:val="00FD20F9"/>
    <w:rsid w:val="00FD5864"/>
    <w:rsid w:val="00FD709A"/>
    <w:rsid w:val="00FE0176"/>
    <w:rsid w:val="00FE2F22"/>
    <w:rsid w:val="00FE323D"/>
    <w:rsid w:val="00FE3979"/>
    <w:rsid w:val="00FE4F10"/>
    <w:rsid w:val="00FE677B"/>
    <w:rsid w:val="00FF0E42"/>
    <w:rsid w:val="00FF6D53"/>
    <w:rsid w:val="0190F80D"/>
    <w:rsid w:val="07832CAB"/>
    <w:rsid w:val="0F26D96F"/>
    <w:rsid w:val="15E69286"/>
    <w:rsid w:val="18C7DCCD"/>
    <w:rsid w:val="1B792ABC"/>
    <w:rsid w:val="1C23C685"/>
    <w:rsid w:val="1DEA92A0"/>
    <w:rsid w:val="22086057"/>
    <w:rsid w:val="34D5DD47"/>
    <w:rsid w:val="36239875"/>
    <w:rsid w:val="3D378B28"/>
    <w:rsid w:val="42313CE2"/>
    <w:rsid w:val="465E9585"/>
    <w:rsid w:val="479C78EE"/>
    <w:rsid w:val="4A842167"/>
    <w:rsid w:val="5DEB1779"/>
    <w:rsid w:val="607588E2"/>
    <w:rsid w:val="62C75A34"/>
    <w:rsid w:val="67E50457"/>
    <w:rsid w:val="72B0A672"/>
    <w:rsid w:val="7369B435"/>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4C02BE47-C0A7-40B5-A3E8-719D486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paragraph" w:styleId="Heading2">
    <w:name w:val="heading 2"/>
    <w:basedOn w:val="Normal"/>
    <w:next w:val="Normal"/>
    <w:link w:val="Heading2Char"/>
    <w:unhideWhenUsed/>
    <w:qFormat/>
    <w:locked/>
    <w:rsid w:val="007058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C353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53A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70580B"/>
    <w:rPr>
      <w:rFonts w:asciiTheme="majorHAnsi" w:eastAsiaTheme="majorEastAsia" w:hAnsiTheme="majorHAnsi" w:cstheme="majorBidi"/>
      <w:color w:val="365F91" w:themeColor="accent1" w:themeShade="BF"/>
      <w:sz w:val="26"/>
      <w:szCs w:val="26"/>
    </w:rPr>
  </w:style>
  <w:style w:type="paragraph" w:customStyle="1" w:styleId="Headersfooters">
    <w:name w:val="Headers &amp; footers"/>
    <w:basedOn w:val="Title"/>
    <w:link w:val="HeadersfootersChar"/>
    <w:qFormat/>
    <w:rsid w:val="0070580B"/>
    <w:pPr>
      <w:contextualSpacing w:val="0"/>
    </w:pPr>
    <w:rPr>
      <w:rFonts w:ascii="Arial" w:hAnsi="Arial" w:cs="Arial"/>
      <w:bCs/>
      <w:noProof/>
      <w:sz w:val="20"/>
    </w:rPr>
  </w:style>
  <w:style w:type="character" w:customStyle="1" w:styleId="HeadersfootersChar">
    <w:name w:val="Headers &amp; footers Char"/>
    <w:basedOn w:val="TitleChar"/>
    <w:link w:val="Headersfooters"/>
    <w:rsid w:val="0070580B"/>
    <w:rPr>
      <w:rFonts w:ascii="Arial" w:eastAsiaTheme="majorEastAsia" w:hAnsi="Arial" w:cs="Arial"/>
      <w:bCs/>
      <w:noProof/>
      <w:spacing w:val="-10"/>
      <w:kern w:val="28"/>
      <w:sz w:val="20"/>
      <w:szCs w:val="56"/>
    </w:rPr>
  </w:style>
  <w:style w:type="paragraph" w:styleId="NoSpacing">
    <w:name w:val="No Spacing"/>
    <w:uiPriority w:val="1"/>
    <w:qFormat/>
    <w:rsid w:val="001F05B8"/>
    <w:rPr>
      <w:rFonts w:ascii="Arial" w:hAnsi="Arial"/>
      <w:sz w:val="24"/>
      <w:szCs w:val="24"/>
    </w:rPr>
  </w:style>
  <w:style w:type="paragraph" w:customStyle="1" w:styleId="xmsolistparagraph">
    <w:name w:val="x_msolistparagraph"/>
    <w:basedOn w:val="Normal"/>
    <w:rsid w:val="00A8275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63796028">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36521166">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16679786">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04797396">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840486">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 w:id="2088765254">
      <w:bodyDiv w:val="1"/>
      <w:marLeft w:val="0"/>
      <w:marRight w:val="0"/>
      <w:marTop w:val="0"/>
      <w:marBottom w:val="0"/>
      <w:divBdr>
        <w:top w:val="none" w:sz="0" w:space="0" w:color="auto"/>
        <w:left w:val="none" w:sz="0" w:space="0" w:color="auto"/>
        <w:bottom w:val="none" w:sz="0" w:space="0" w:color="auto"/>
        <w:right w:val="none" w:sz="0" w:space="0" w:color="auto"/>
      </w:divBdr>
    </w:div>
    <w:div w:id="20922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4/relationships/chartEx" Target="charts/chartEx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towerhamlets2.sharepoint.com/sites/Team_FinanceService/Strategic%20Finance%20%20Children%20%20Culture/Budget%20Monitoring/Budget%20Monitoring%202025.26/DSG%20Monitoring%2025.26/DSG%20Monthly%20Monitoring%20Report%20Outturn%20Month%206.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Sheet1!$I$26:$I$40</cx:f>
        <cx:lvl ptCount="15">
          <cx:pt idx="0">Special School Funding - In Borough </cx:pt>
          <cx:pt idx="1">Mainstream School Funding</cx:pt>
          <cx:pt idx="2">Academies &amp; Free Schs - In Borough</cx:pt>
          <cx:pt idx="3">Pupil Referral Units (PRUs) and AP </cx:pt>
          <cx:pt idx="4">Special School Funding -Out Of Borough </cx:pt>
          <cx:pt idx="5">SEN Support &amp; Provision</cx:pt>
          <cx:pt idx="6">Further Education -In Borough</cx:pt>
          <cx:pt idx="7">Specialist support services </cx:pt>
          <cx:pt idx="8">Children in Other Local Authorities</cx:pt>
          <cx:pt idx="9">Academies &amp; Free Schs - Out of  Borough</cx:pt>
          <cx:pt idx="10">Further Education Colleges -Out Of Borough</cx:pt>
          <cx:pt idx="11">Tuition &amp; Personal Budgets</cx:pt>
          <cx:pt idx="12">Resource Provisions</cx:pt>
          <cx:pt idx="13">LA administrative functions relating to high needs </cx:pt>
          <cx:pt idx="14">Contribution to early years SEN inclusion </cx:pt>
        </cx:lvl>
      </cx:strDim>
      <cx:numDim type="val">
        <cx:f>Sheet1!$J$26:$J$40</cx:f>
        <cx:lvl ptCount="15" formatCode="0.0%">
          <cx:pt idx="0">0.34218764278015701</cx:pt>
          <cx:pt idx="1">0.22681351086242399</cx:pt>
          <cx:pt idx="2">0.076333227669392684</cx:pt>
          <cx:pt idx="3">0.076203751727021415</cx:pt>
          <cx:pt idx="4">0.072698521595565904</cx:pt>
          <cx:pt idx="5">0.069101512539618951</cx:pt>
          <cx:pt idx="6">0.054134608367667841</cx:pt>
          <cx:pt idx="7">0.030876434692981448</cx:pt>
          <cx:pt idx="8">0.012551579163707699</cx:pt>
          <cx:pt idx="9">0.011486646740588857</cx:pt>
          <cx:pt idx="10">0.0099360875702594366</cx:pt>
          <cx:pt idx="11">0.0074756340358810864</cx:pt>
          <cx:pt idx="12">0.0068472829180627991</cx:pt>
          <cx:pt idx="13">0.0018688565962870413</cx:pt>
          <cx:pt idx="14">0.0014847027403835939</cx:pt>
        </cx:lvl>
      </cx:numDim>
    </cx:data>
  </cx:chartData>
  <cx:chart>
    <cx:title pos="t" align="ctr" overlay="0">
      <cx:tx>
        <cx:txData>
          <cx:v>HNB Forecast by type of spend</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HNB Forecast by type of spend</a:t>
          </a:r>
        </a:p>
      </cx:txPr>
    </cx:title>
    <cx:plotArea>
      <cx:plotAreaRegion>
        <cx:series layoutId="funnel" uniqueId="{54CF67C3-C4DF-4C95-B725-C0E3CA38FAF6}">
          <cx:tx>
            <cx:txData>
              <cx:f>Sheet1!$J$25</cx:f>
              <cx:v>Forecast
FY25-27</cx:v>
            </cx:txData>
          </cx:tx>
          <cx:dataLabels>
            <cx:visibility seriesName="0" categoryName="0" value="1"/>
          </cx:dataLabels>
          <cx:dataId val="0"/>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56dd2197-b210-47fb-97e9-4b8d7abdc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ACFA63E171B4796BB76CE18D9E99A" ma:contentTypeVersion="14" ma:contentTypeDescription="Create a new document." ma:contentTypeScope="" ma:versionID="64e1d61dd2026e8b48acff0bd826518b">
  <xsd:schema xmlns:xsd="http://www.w3.org/2001/XMLSchema" xmlns:xs="http://www.w3.org/2001/XMLSchema" xmlns:p="http://schemas.microsoft.com/office/2006/metadata/properties" xmlns:ns2="30d79745-92fc-4b4e-a213-f975f2a6d945" xmlns:ns3="56dd2197-b210-47fb-97e9-4b8d7abdc0bc" targetNamespace="http://schemas.microsoft.com/office/2006/metadata/properties" ma:root="true" ma:fieldsID="0f0611980e988c893bd06832b16632b5" ns2:_="" ns3:_="">
    <xsd:import namespace="30d79745-92fc-4b4e-a213-f975f2a6d945"/>
    <xsd:import namespace="56dd2197-b210-47fb-97e9-4b8d7abdc0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2197-b210-47fb-97e9-4b8d7abdc0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customXml/itemProps2.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30d79745-92fc-4b4e-a213-f975f2a6d945"/>
    <ds:schemaRef ds:uri="56dd2197-b210-47fb-97e9-4b8d7abdc0bc"/>
  </ds:schemaRefs>
</ds:datastoreItem>
</file>

<file path=customXml/itemProps3.xml><?xml version="1.0" encoding="utf-8"?>
<ds:datastoreItem xmlns:ds="http://schemas.openxmlformats.org/officeDocument/2006/customXml" ds:itemID="{41C1DB67-EB6F-45DD-A4F2-BD4A2FB2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79745-92fc-4b4e-a213-f975f2a6d945"/>
    <ds:schemaRef ds:uri="56dd2197-b210-47fb-97e9-4b8d7abdc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51D67-1DF6-46BA-A546-3630BF22C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4461</Characters>
  <Application>Microsoft Office Word</Application>
  <DocSecurity>0</DocSecurity>
  <Lines>192</Lines>
  <Paragraphs>92</Paragraphs>
  <ScaleCrop>false</ScaleCrop>
  <HeadingPairs>
    <vt:vector size="2" baseType="variant">
      <vt:variant>
        <vt:lpstr>Title</vt:lpstr>
      </vt:variant>
      <vt:variant>
        <vt:i4>1</vt:i4>
      </vt:variant>
    </vt:vector>
  </HeadingPairs>
  <TitlesOfParts>
    <vt:vector size="1" baseType="lpstr">
      <vt:lpstr>School balances and DSG outturn 2024-25</vt:lpstr>
    </vt:vector>
  </TitlesOfParts>
  <Company>London Borough of Tower Hamlets</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balances and DSG outturn 2024-25</dc:title>
  <dc:creator>David Tully</dc:creator>
  <cp:lastModifiedBy>Phillip Nduoyo</cp:lastModifiedBy>
  <cp:revision>4</cp:revision>
  <cp:lastPrinted>2025-11-21T11:40:00Z</cp:lastPrinted>
  <dcterms:created xsi:type="dcterms:W3CDTF">2025-11-21T11:40:00Z</dcterms:created>
  <dcterms:modified xsi:type="dcterms:W3CDTF">2025-11-21T14:58:00Z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0x010100615ACFA63E171B4796BB76CE18D9E99A</vt:lpwstr>
  </property>
  <property fmtid="{D5CDD505-2E9C-101B-9397-08002B2CF9AE}" pid="3" name="Order">
    <vt:r8>6048200</vt:r8>
  </property>
  <property fmtid="{D5CDD505-2E9C-101B-9397-08002B2CF9AE}" pid="4" name="MediaServiceImageTags">
    <vt:lpwstr/>
  </property>
</Properties>
</file>