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7E23" w14:textId="77777777" w:rsidR="00673A87" w:rsidRPr="00C85A66" w:rsidRDefault="00673A87" w:rsidP="001B1424">
      <w:pPr>
        <w:rPr>
          <w:rFonts w:cs="Arial"/>
        </w:rPr>
      </w:pPr>
    </w:p>
    <w:p w14:paraId="09EE1982" w14:textId="26B4F760" w:rsidR="003D08B1" w:rsidRPr="00AC59CE" w:rsidRDefault="001B1424" w:rsidP="00AC59CE">
      <w:pPr>
        <w:pStyle w:val="Title"/>
      </w:pPr>
      <w:r w:rsidRPr="00AC59CE">
        <w:t>AGENDA ITEM</w:t>
      </w:r>
      <w:r w:rsidR="00F733C5" w:rsidRPr="00AC59CE">
        <w:t xml:space="preserve"> 6</w:t>
      </w:r>
    </w:p>
    <w:p w14:paraId="0E5541D5" w14:textId="77777777" w:rsidR="003D08B1" w:rsidRPr="00C85A66" w:rsidRDefault="003D08B1" w:rsidP="001B1424">
      <w:pPr>
        <w:rPr>
          <w:rFonts w:cs="Arial"/>
          <w:b/>
        </w:rPr>
      </w:pPr>
    </w:p>
    <w:p w14:paraId="77CB454B" w14:textId="3119C80D" w:rsidR="001E4116" w:rsidRPr="00C85A66" w:rsidRDefault="0013261A" w:rsidP="001B1424">
      <w:pPr>
        <w:pStyle w:val="BodyTextIndent"/>
        <w:tabs>
          <w:tab w:val="clear" w:pos="360"/>
        </w:tabs>
        <w:ind w:left="0" w:firstLine="0"/>
        <w:jc w:val="both"/>
        <w:rPr>
          <w:rFonts w:cs="Arial"/>
          <w:b/>
          <w:sz w:val="32"/>
          <w:szCs w:val="32"/>
        </w:rPr>
      </w:pPr>
      <w:r w:rsidRPr="00C85A66">
        <w:rPr>
          <w:rFonts w:cs="Arial"/>
          <w:b/>
          <w:sz w:val="32"/>
          <w:szCs w:val="32"/>
        </w:rPr>
        <w:t xml:space="preserve">Title of report: </w:t>
      </w:r>
      <w:r w:rsidR="003632FA" w:rsidRPr="003632FA">
        <w:rPr>
          <w:rFonts w:cs="Arial"/>
          <w:b/>
          <w:bCs/>
        </w:rPr>
        <w:t xml:space="preserve">Agreement of </w:t>
      </w:r>
      <w:r w:rsidR="008F303C" w:rsidRPr="00C85A66">
        <w:rPr>
          <w:rFonts w:cs="Arial"/>
          <w:b/>
          <w:bCs/>
        </w:rPr>
        <w:t xml:space="preserve">Central Schools Services </w:t>
      </w:r>
      <w:r w:rsidR="000F2077">
        <w:rPr>
          <w:rFonts w:cs="Arial"/>
          <w:b/>
          <w:bCs/>
        </w:rPr>
        <w:t>Block 2023-24</w:t>
      </w:r>
    </w:p>
    <w:p w14:paraId="4C2E41EF" w14:textId="77777777" w:rsidR="001E4116" w:rsidRPr="00C85A66" w:rsidRDefault="001E4116" w:rsidP="001B1424">
      <w:pPr>
        <w:rPr>
          <w:rFonts w:cs="Arial"/>
          <w:b/>
          <w:u w:val="single"/>
        </w:rPr>
      </w:pPr>
    </w:p>
    <w:p w14:paraId="25A4590C" w14:textId="0D96F262" w:rsidR="00616733" w:rsidRPr="00C85A66" w:rsidRDefault="001E4116" w:rsidP="001B1424">
      <w:pPr>
        <w:rPr>
          <w:rFonts w:cs="Arial"/>
        </w:rPr>
      </w:pPr>
      <w:r w:rsidRPr="00C85A66">
        <w:rPr>
          <w:rFonts w:cs="Arial"/>
          <w:b/>
        </w:rPr>
        <w:t xml:space="preserve">Author of the paper: </w:t>
      </w:r>
      <w:r w:rsidR="00862649" w:rsidRPr="00C85A66">
        <w:rPr>
          <w:rFonts w:cs="Arial"/>
          <w:b/>
        </w:rPr>
        <w:t xml:space="preserve">  </w:t>
      </w:r>
      <w:r w:rsidR="00BE6F69">
        <w:rPr>
          <w:rFonts w:cs="Arial"/>
          <w:b/>
        </w:rPr>
        <w:t>Sara Walsingham</w:t>
      </w:r>
    </w:p>
    <w:p w14:paraId="2CF8F86D" w14:textId="77777777" w:rsidR="001E4116" w:rsidRPr="00C85A66" w:rsidRDefault="001E4116" w:rsidP="001B1424">
      <w:pPr>
        <w:rPr>
          <w:rFonts w:cs="Arial"/>
        </w:rPr>
      </w:pPr>
    </w:p>
    <w:p w14:paraId="665F49FB" w14:textId="1A00280F" w:rsidR="00616733" w:rsidRPr="00C85A66" w:rsidRDefault="001E4116" w:rsidP="001B1424">
      <w:pPr>
        <w:rPr>
          <w:rFonts w:cs="Arial"/>
        </w:rPr>
      </w:pPr>
      <w:r w:rsidRPr="00C85A66">
        <w:rPr>
          <w:rFonts w:cs="Arial"/>
          <w:b/>
        </w:rPr>
        <w:t xml:space="preserve">Officer to present the paper to </w:t>
      </w:r>
      <w:r w:rsidR="00025F55" w:rsidRPr="00C85A66">
        <w:rPr>
          <w:rFonts w:cs="Arial"/>
          <w:b/>
        </w:rPr>
        <w:t>Schools Forum</w:t>
      </w:r>
      <w:r w:rsidRPr="00C85A66">
        <w:rPr>
          <w:rFonts w:cs="Arial"/>
          <w:b/>
        </w:rPr>
        <w:t xml:space="preserve">: </w:t>
      </w:r>
      <w:r w:rsidR="008F303C" w:rsidRPr="00C85A66">
        <w:rPr>
          <w:rFonts w:cs="Arial"/>
          <w:b/>
        </w:rPr>
        <w:t>Kay Goodacre</w:t>
      </w:r>
    </w:p>
    <w:p w14:paraId="70A620F6" w14:textId="77777777" w:rsidR="001E4116" w:rsidRPr="00C85A66" w:rsidRDefault="001E4116" w:rsidP="001B1424">
      <w:pPr>
        <w:rPr>
          <w:rFonts w:cs="Arial"/>
        </w:rPr>
      </w:pPr>
    </w:p>
    <w:p w14:paraId="304B6418" w14:textId="77777777" w:rsidR="001E4116" w:rsidRPr="00C85A66" w:rsidRDefault="001E4116" w:rsidP="001B1424">
      <w:pPr>
        <w:rPr>
          <w:rFonts w:cs="Arial"/>
          <w:b/>
        </w:rPr>
      </w:pPr>
      <w:r w:rsidRPr="00C85A66">
        <w:rPr>
          <w:rFonts w:cs="Arial"/>
          <w:b/>
        </w:rPr>
        <w:t>Details on who has been consulted with on this paper to date:</w:t>
      </w:r>
    </w:p>
    <w:p w14:paraId="574BC7C1" w14:textId="77777777" w:rsidR="00616733" w:rsidRPr="00C85A66" w:rsidRDefault="00616733" w:rsidP="001B1424">
      <w:pPr>
        <w:rPr>
          <w:rFonts w:cs="Arial"/>
          <w:b/>
        </w:rPr>
      </w:pPr>
    </w:p>
    <w:p w14:paraId="113B2B8E" w14:textId="77777777" w:rsidR="001E4116" w:rsidRPr="00C85A66" w:rsidRDefault="001E4116" w:rsidP="001E4116">
      <w:pPr>
        <w:spacing w:after="12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1B89" w:rsidRPr="00C85A66" w14:paraId="1EE9F9E6" w14:textId="77777777" w:rsidTr="00F91B89">
        <w:tc>
          <w:tcPr>
            <w:tcW w:w="9286" w:type="dxa"/>
          </w:tcPr>
          <w:p w14:paraId="4E69D7A3" w14:textId="725A5355" w:rsidR="006D33DC" w:rsidRPr="00AC59CE" w:rsidRDefault="00F91B89" w:rsidP="00AC59CE">
            <w:pPr>
              <w:pStyle w:val="Heading2"/>
            </w:pPr>
            <w:r w:rsidRPr="00AC59CE">
              <w:t>Executive Summary</w:t>
            </w:r>
          </w:p>
          <w:p w14:paraId="5874C2FE" w14:textId="0F617A98" w:rsidR="00F91B89" w:rsidRPr="00C85A66" w:rsidRDefault="00474B72" w:rsidP="007B20BA">
            <w:pPr>
              <w:rPr>
                <w:rFonts w:cs="Arial"/>
              </w:rPr>
            </w:pPr>
            <w:r w:rsidRPr="00A276F0">
              <w:rPr>
                <w:rFonts w:cs="Arial"/>
                <w:sz w:val="22"/>
                <w:szCs w:val="22"/>
              </w:rPr>
              <w:t>Further to the report presented at the last meeting, outlining the</w:t>
            </w:r>
            <w:r w:rsidR="000A1B89" w:rsidRPr="00A276F0">
              <w:rPr>
                <w:rFonts w:cs="Arial"/>
                <w:sz w:val="22"/>
                <w:szCs w:val="22"/>
              </w:rPr>
              <w:t xml:space="preserve"> policy and allocation estimates for the </w:t>
            </w:r>
            <w:r w:rsidRPr="00A276F0">
              <w:rPr>
                <w:rFonts w:cs="Arial"/>
                <w:sz w:val="22"/>
                <w:szCs w:val="22"/>
              </w:rPr>
              <w:t>Central Sch</w:t>
            </w:r>
            <w:r w:rsidR="008A1355" w:rsidRPr="00A276F0">
              <w:rPr>
                <w:rFonts w:cs="Arial"/>
                <w:sz w:val="22"/>
                <w:szCs w:val="22"/>
              </w:rPr>
              <w:t>ools Service Block</w:t>
            </w:r>
            <w:r w:rsidR="000F2077" w:rsidRPr="00A276F0">
              <w:rPr>
                <w:rFonts w:cs="Arial"/>
                <w:sz w:val="22"/>
                <w:szCs w:val="22"/>
              </w:rPr>
              <w:t xml:space="preserve"> </w:t>
            </w:r>
            <w:r w:rsidRPr="00A276F0">
              <w:rPr>
                <w:rFonts w:cs="Arial"/>
                <w:sz w:val="22"/>
                <w:szCs w:val="22"/>
              </w:rPr>
              <w:t xml:space="preserve">(CSSB) </w:t>
            </w:r>
            <w:r w:rsidR="000F2077" w:rsidRPr="00A276F0">
              <w:rPr>
                <w:rFonts w:cs="Arial"/>
                <w:sz w:val="22"/>
                <w:szCs w:val="22"/>
              </w:rPr>
              <w:t>of the Dedicated Schools Grant (DSG)</w:t>
            </w:r>
            <w:r w:rsidRPr="00A276F0">
              <w:rPr>
                <w:rFonts w:cs="Arial"/>
                <w:sz w:val="22"/>
                <w:szCs w:val="22"/>
              </w:rPr>
              <w:t>.  Schools Forum are asked to agree the proposed budgets</w:t>
            </w:r>
            <w:r w:rsidR="000A1B89" w:rsidRPr="00A276F0">
              <w:rPr>
                <w:rFonts w:cs="Arial"/>
                <w:sz w:val="22"/>
                <w:szCs w:val="22"/>
              </w:rPr>
              <w:t xml:space="preserve"> in principle, allowing budget setting to proceed</w:t>
            </w:r>
            <w:r w:rsidR="000A1B89">
              <w:rPr>
                <w:rFonts w:cs="Arial"/>
              </w:rPr>
              <w:t>.</w:t>
            </w:r>
          </w:p>
          <w:p w14:paraId="4D826859" w14:textId="534D52F7" w:rsidR="00FA158C" w:rsidRPr="00C85A66" w:rsidRDefault="00FA158C" w:rsidP="007B20BA">
            <w:pPr>
              <w:rPr>
                <w:rFonts w:cs="Arial"/>
              </w:rPr>
            </w:pPr>
          </w:p>
        </w:tc>
      </w:tr>
    </w:tbl>
    <w:p w14:paraId="11249EAF" w14:textId="77777777" w:rsidR="006D33DC" w:rsidRPr="00C85A66" w:rsidRDefault="006D33DC" w:rsidP="00FE0176">
      <w:pPr>
        <w:pStyle w:val="Header"/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33DC" w:rsidRPr="00C85A66" w14:paraId="58094818" w14:textId="77777777" w:rsidTr="006D33DC">
        <w:tc>
          <w:tcPr>
            <w:tcW w:w="9286" w:type="dxa"/>
          </w:tcPr>
          <w:p w14:paraId="22C0A920" w14:textId="24BCB07B" w:rsidR="006D33DC" w:rsidRPr="00C85A66" w:rsidRDefault="006D33DC" w:rsidP="00AC59CE">
            <w:pPr>
              <w:pStyle w:val="Heading2"/>
            </w:pPr>
            <w:r w:rsidRPr="00C85A66">
              <w:t>Recommendations</w:t>
            </w:r>
          </w:p>
          <w:p w14:paraId="5B463A41" w14:textId="60F5078C" w:rsidR="008F303C" w:rsidRPr="00C85A66" w:rsidRDefault="008F303C" w:rsidP="008F303C">
            <w:pPr>
              <w:rPr>
                <w:rFonts w:cs="Arial"/>
              </w:rPr>
            </w:pPr>
            <w:r w:rsidRPr="00C85A66">
              <w:rPr>
                <w:rFonts w:cs="Arial"/>
              </w:rPr>
              <w:t xml:space="preserve">Schools Forum </w:t>
            </w:r>
            <w:r w:rsidR="003632FA">
              <w:rPr>
                <w:rFonts w:cs="Arial"/>
              </w:rPr>
              <w:t>are</w:t>
            </w:r>
            <w:r w:rsidRPr="00C85A66">
              <w:rPr>
                <w:rFonts w:cs="Arial"/>
              </w:rPr>
              <w:t xml:space="preserve"> invited to </w:t>
            </w:r>
            <w:r w:rsidR="003632FA">
              <w:rPr>
                <w:rFonts w:cs="Arial"/>
              </w:rPr>
              <w:t>agree the proposals in this report</w:t>
            </w:r>
            <w:r w:rsidRPr="00C85A66">
              <w:rPr>
                <w:rFonts w:cs="Arial"/>
              </w:rPr>
              <w:t>.</w:t>
            </w:r>
          </w:p>
          <w:p w14:paraId="294F0897" w14:textId="77777777" w:rsidR="002A18E2" w:rsidRPr="00C85A66" w:rsidRDefault="002A18E2" w:rsidP="008F303C">
            <w:pPr>
              <w:pStyle w:val="Header"/>
              <w:ind w:left="720"/>
              <w:rPr>
                <w:rFonts w:cs="Arial"/>
              </w:rPr>
            </w:pPr>
          </w:p>
        </w:tc>
      </w:tr>
    </w:tbl>
    <w:p w14:paraId="47EC94BA" w14:textId="77777777" w:rsidR="008A1355" w:rsidRPr="00C85A66" w:rsidRDefault="008A1355" w:rsidP="008A1355">
      <w:pPr>
        <w:pStyle w:val="ListParagraph"/>
        <w:ind w:left="360"/>
        <w:rPr>
          <w:rFonts w:cs="Arial"/>
          <w:b/>
        </w:rPr>
      </w:pPr>
    </w:p>
    <w:p w14:paraId="14399D73" w14:textId="3D86B125" w:rsidR="00660345" w:rsidRPr="00C85A66" w:rsidRDefault="00660345" w:rsidP="00C85A66">
      <w:pPr>
        <w:pStyle w:val="ListParagraph"/>
        <w:numPr>
          <w:ilvl w:val="0"/>
          <w:numId w:val="4"/>
        </w:numPr>
        <w:ind w:left="567" w:hanging="567"/>
        <w:rPr>
          <w:rFonts w:cs="Arial"/>
          <w:b/>
        </w:rPr>
      </w:pPr>
      <w:r w:rsidRPr="00C85A66">
        <w:rPr>
          <w:rFonts w:cs="Arial"/>
          <w:b/>
        </w:rPr>
        <w:t>Background</w:t>
      </w:r>
    </w:p>
    <w:p w14:paraId="015A0140" w14:textId="77777777" w:rsidR="00660345" w:rsidRPr="00CE09C4" w:rsidRDefault="00660345" w:rsidP="00C85A66">
      <w:pPr>
        <w:pStyle w:val="ListParagraph"/>
        <w:ind w:left="567" w:hanging="567"/>
        <w:rPr>
          <w:rFonts w:cs="Arial"/>
          <w:b/>
          <w:sz w:val="22"/>
          <w:szCs w:val="22"/>
        </w:rPr>
      </w:pPr>
    </w:p>
    <w:p w14:paraId="4C747B1E" w14:textId="52024EC3" w:rsidR="00B45BDE" w:rsidRPr="00B45BDE" w:rsidRDefault="00474B72" w:rsidP="004A7529">
      <w:pPr>
        <w:pStyle w:val="ListParagraph"/>
        <w:numPr>
          <w:ilvl w:val="1"/>
          <w:numId w:val="16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Schools Forum were consulted on proposals administered in the </w:t>
      </w:r>
      <w:r w:rsidR="008F303C" w:rsidRPr="00B45BDE">
        <w:rPr>
          <w:rFonts w:cs="Arial"/>
          <w:color w:val="000000"/>
          <w:sz w:val="22"/>
          <w:szCs w:val="22"/>
        </w:rPr>
        <w:t xml:space="preserve">Central School Services Block (CSSB) </w:t>
      </w:r>
      <w:r>
        <w:rPr>
          <w:rFonts w:cs="Arial"/>
          <w:color w:val="000000"/>
          <w:sz w:val="22"/>
          <w:szCs w:val="22"/>
        </w:rPr>
        <w:t xml:space="preserve">in the report presented in October 2022.  </w:t>
      </w:r>
    </w:p>
    <w:p w14:paraId="2BA405B7" w14:textId="77777777" w:rsidR="00B45BDE" w:rsidRPr="00B45BDE" w:rsidRDefault="00B45BDE" w:rsidP="00B45BDE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</w:p>
    <w:p w14:paraId="29B40199" w14:textId="700ED38F" w:rsidR="00F45FC8" w:rsidRDefault="000362CF" w:rsidP="00984862">
      <w:pPr>
        <w:pStyle w:val="ListParagraph"/>
        <w:numPr>
          <w:ilvl w:val="1"/>
          <w:numId w:val="16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Subject to confirmation and data cleansing, the preliminary collection of roll data indicates that the </w:t>
      </w:r>
      <w:r w:rsidR="00F45FC8">
        <w:rPr>
          <w:rFonts w:cs="Arial"/>
          <w:color w:val="000000"/>
          <w:sz w:val="22"/>
          <w:szCs w:val="22"/>
        </w:rPr>
        <w:t>C</w:t>
      </w:r>
      <w:r w:rsidR="00984862" w:rsidRPr="00984862">
        <w:rPr>
          <w:rFonts w:cs="Arial"/>
          <w:color w:val="000000"/>
          <w:sz w:val="22"/>
          <w:szCs w:val="22"/>
        </w:rPr>
        <w:t xml:space="preserve">SSB 2023-24 </w:t>
      </w:r>
      <w:r>
        <w:rPr>
          <w:rFonts w:cs="Arial"/>
          <w:color w:val="000000"/>
          <w:sz w:val="22"/>
          <w:szCs w:val="22"/>
        </w:rPr>
        <w:t xml:space="preserve">will be as </w:t>
      </w:r>
      <w:r w:rsidR="00B33242">
        <w:rPr>
          <w:rFonts w:cs="Arial"/>
          <w:color w:val="000000"/>
          <w:sz w:val="22"/>
          <w:szCs w:val="22"/>
        </w:rPr>
        <w:t>shown in table 1;</w:t>
      </w:r>
      <w:r w:rsidR="00F45FC8">
        <w:rPr>
          <w:rFonts w:cs="Arial"/>
          <w:color w:val="000000"/>
          <w:sz w:val="22"/>
          <w:szCs w:val="22"/>
        </w:rPr>
        <w:t xml:space="preserve"> </w:t>
      </w:r>
    </w:p>
    <w:p w14:paraId="79AE15F5" w14:textId="77777777" w:rsidR="00F45FC8" w:rsidRPr="00F45FC8" w:rsidRDefault="00F45FC8" w:rsidP="00F45FC8">
      <w:pPr>
        <w:pStyle w:val="ListParagraph"/>
        <w:rPr>
          <w:rFonts w:cs="Arial"/>
          <w:color w:val="000000"/>
          <w:sz w:val="22"/>
          <w:szCs w:val="22"/>
        </w:rPr>
      </w:pPr>
    </w:p>
    <w:tbl>
      <w:tblPr>
        <w:tblStyle w:val="TableGrid1"/>
        <w:tblW w:w="9060" w:type="dxa"/>
        <w:tblLook w:val="04A0" w:firstRow="1" w:lastRow="0" w:firstColumn="1" w:lastColumn="0" w:noHBand="0" w:noVBand="1"/>
      </w:tblPr>
      <w:tblGrid>
        <w:gridCol w:w="3964"/>
        <w:gridCol w:w="1276"/>
        <w:gridCol w:w="1701"/>
        <w:gridCol w:w="1134"/>
        <w:gridCol w:w="985"/>
      </w:tblGrid>
      <w:tr w:rsidR="006C5574" w:rsidRPr="006C5574" w14:paraId="0E6B4D1D" w14:textId="2627FC19" w:rsidTr="00BF0CA7">
        <w:trPr>
          <w:trHeight w:val="250"/>
        </w:trPr>
        <w:tc>
          <w:tcPr>
            <w:tcW w:w="3964" w:type="dxa"/>
            <w:noWrap/>
            <w:hideMark/>
          </w:tcPr>
          <w:p w14:paraId="5DF68365" w14:textId="04146E35" w:rsidR="006C5574" w:rsidRPr="006C5574" w:rsidRDefault="006C5574" w:rsidP="006C5574">
            <w:pPr>
              <w:rPr>
                <w:rFonts w:cs="Arial"/>
                <w:color w:val="000000"/>
                <w:sz w:val="20"/>
                <w:szCs w:val="20"/>
              </w:rPr>
            </w:pPr>
            <w:r w:rsidRPr="006C5574">
              <w:rPr>
                <w:rFonts w:cs="Arial"/>
                <w:color w:val="000000"/>
                <w:sz w:val="20"/>
                <w:szCs w:val="20"/>
              </w:rPr>
              <w:t> </w:t>
            </w:r>
            <w:r>
              <w:rPr>
                <w:rFonts w:cs="Arial"/>
                <w:color w:val="000000"/>
                <w:sz w:val="20"/>
                <w:szCs w:val="20"/>
              </w:rPr>
              <w:t>Table 1</w:t>
            </w:r>
          </w:p>
        </w:tc>
        <w:tc>
          <w:tcPr>
            <w:tcW w:w="1276" w:type="dxa"/>
            <w:noWrap/>
            <w:hideMark/>
          </w:tcPr>
          <w:p w14:paraId="551BA536" w14:textId="77777777" w:rsidR="006C5574" w:rsidRPr="006C5574" w:rsidRDefault="006C5574" w:rsidP="006C557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C5574">
              <w:rPr>
                <w:rFonts w:cs="Arial"/>
                <w:color w:val="000000"/>
                <w:sz w:val="20"/>
                <w:szCs w:val="20"/>
              </w:rPr>
              <w:t>Funding 2022-23</w:t>
            </w:r>
          </w:p>
        </w:tc>
        <w:tc>
          <w:tcPr>
            <w:tcW w:w="1701" w:type="dxa"/>
            <w:noWrap/>
            <w:hideMark/>
          </w:tcPr>
          <w:p w14:paraId="209DFB8F" w14:textId="50590071" w:rsidR="006C5574" w:rsidRPr="006C5574" w:rsidRDefault="006C5574" w:rsidP="006C557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6C5574">
              <w:rPr>
                <w:rFonts w:cs="Arial"/>
                <w:color w:val="000000"/>
                <w:sz w:val="20"/>
                <w:szCs w:val="20"/>
              </w:rPr>
              <w:t>Provisional NFF funding 2023-24</w:t>
            </w:r>
          </w:p>
        </w:tc>
        <w:tc>
          <w:tcPr>
            <w:tcW w:w="1134" w:type="dxa"/>
            <w:noWrap/>
            <w:hideMark/>
          </w:tcPr>
          <w:p w14:paraId="67C868D9" w14:textId="3D905DC6" w:rsidR="006C5574" w:rsidRPr="006C5574" w:rsidRDefault="006C5574" w:rsidP="006C557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variance (£)</w:t>
            </w:r>
          </w:p>
        </w:tc>
        <w:tc>
          <w:tcPr>
            <w:tcW w:w="985" w:type="dxa"/>
          </w:tcPr>
          <w:p w14:paraId="66FF0F57" w14:textId="6A8D789D" w:rsidR="006C5574" w:rsidRPr="006C5574" w:rsidRDefault="006C5574" w:rsidP="006C5574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variance (%)</w:t>
            </w:r>
          </w:p>
        </w:tc>
      </w:tr>
      <w:tr w:rsidR="00F45FC8" w:rsidRPr="006C5574" w14:paraId="70CC051C" w14:textId="76AB19CF" w:rsidTr="00BF0CA7">
        <w:trPr>
          <w:trHeight w:val="250"/>
        </w:trPr>
        <w:tc>
          <w:tcPr>
            <w:tcW w:w="3964" w:type="dxa"/>
            <w:noWrap/>
            <w:hideMark/>
          </w:tcPr>
          <w:p w14:paraId="457A03D0" w14:textId="77777777" w:rsidR="00F45FC8" w:rsidRPr="006C5574" w:rsidRDefault="00F45FC8" w:rsidP="00F45FC8">
            <w:pPr>
              <w:rPr>
                <w:rFonts w:cs="Arial"/>
                <w:color w:val="000000"/>
                <w:sz w:val="20"/>
                <w:szCs w:val="20"/>
              </w:rPr>
            </w:pPr>
            <w:r w:rsidRPr="006C5574">
              <w:rPr>
                <w:rFonts w:cs="Arial"/>
                <w:color w:val="000000"/>
                <w:sz w:val="20"/>
                <w:szCs w:val="20"/>
              </w:rPr>
              <w:t>Per-pupil rate for ongoing responsibilities</w:t>
            </w:r>
          </w:p>
        </w:tc>
        <w:tc>
          <w:tcPr>
            <w:tcW w:w="1276" w:type="dxa"/>
            <w:noWrap/>
            <w:hideMark/>
          </w:tcPr>
          <w:p w14:paraId="74F117D4" w14:textId="6C2CE348" w:rsidR="00F45FC8" w:rsidRPr="006C5574" w:rsidRDefault="00F45FC8" w:rsidP="00F45FC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£54.60</w:t>
            </w:r>
          </w:p>
        </w:tc>
        <w:tc>
          <w:tcPr>
            <w:tcW w:w="1701" w:type="dxa"/>
            <w:noWrap/>
            <w:hideMark/>
          </w:tcPr>
          <w:p w14:paraId="602C14FA" w14:textId="675A1D27" w:rsidR="00F45FC8" w:rsidRPr="006C5574" w:rsidRDefault="00F45FC8" w:rsidP="00F45FC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£53.24</w:t>
            </w:r>
          </w:p>
        </w:tc>
        <w:tc>
          <w:tcPr>
            <w:tcW w:w="1134" w:type="dxa"/>
            <w:noWrap/>
          </w:tcPr>
          <w:p w14:paraId="162DA97E" w14:textId="0C8F324D" w:rsidR="00F45FC8" w:rsidRPr="009B594A" w:rsidRDefault="00F45FC8" w:rsidP="00F45FC8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color w:val="000000" w:themeColor="text1"/>
                <w:sz w:val="20"/>
                <w:szCs w:val="20"/>
              </w:rPr>
              <w:t>-£1.36</w:t>
            </w:r>
          </w:p>
        </w:tc>
        <w:tc>
          <w:tcPr>
            <w:tcW w:w="985" w:type="dxa"/>
          </w:tcPr>
          <w:p w14:paraId="1D0A1D1A" w14:textId="6DBA1F4D" w:rsidR="00F45FC8" w:rsidRPr="009B594A" w:rsidRDefault="00F45FC8" w:rsidP="00F45FC8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color w:val="000000" w:themeColor="text1"/>
                <w:sz w:val="20"/>
                <w:szCs w:val="20"/>
              </w:rPr>
              <w:t>-2%</w:t>
            </w:r>
          </w:p>
        </w:tc>
      </w:tr>
      <w:tr w:rsidR="00F45FC8" w:rsidRPr="006C5574" w14:paraId="72B1D7E3" w14:textId="47E6E8CD" w:rsidTr="00BF0CA7">
        <w:trPr>
          <w:trHeight w:val="250"/>
        </w:trPr>
        <w:tc>
          <w:tcPr>
            <w:tcW w:w="3964" w:type="dxa"/>
            <w:noWrap/>
            <w:hideMark/>
          </w:tcPr>
          <w:p w14:paraId="5DED082B" w14:textId="77777777" w:rsidR="00F45FC8" w:rsidRPr="006C5574" w:rsidRDefault="00F45FC8" w:rsidP="00F45FC8">
            <w:pPr>
              <w:rPr>
                <w:rFonts w:cs="Arial"/>
                <w:color w:val="000000"/>
                <w:sz w:val="20"/>
                <w:szCs w:val="20"/>
              </w:rPr>
            </w:pPr>
            <w:r w:rsidRPr="006C5574">
              <w:rPr>
                <w:rFonts w:cs="Arial"/>
                <w:color w:val="000000"/>
                <w:sz w:val="20"/>
                <w:szCs w:val="20"/>
              </w:rPr>
              <w:t>2022-23 DSG schools' block pupil count</w:t>
            </w:r>
          </w:p>
        </w:tc>
        <w:tc>
          <w:tcPr>
            <w:tcW w:w="1276" w:type="dxa"/>
            <w:noWrap/>
            <w:hideMark/>
          </w:tcPr>
          <w:p w14:paraId="695F4358" w14:textId="46AD5E0C" w:rsidR="00F45FC8" w:rsidRPr="006C5574" w:rsidRDefault="00F45FC8" w:rsidP="00F45FC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38216</w:t>
            </w:r>
          </w:p>
        </w:tc>
        <w:tc>
          <w:tcPr>
            <w:tcW w:w="1701" w:type="dxa"/>
            <w:noWrap/>
            <w:hideMark/>
          </w:tcPr>
          <w:p w14:paraId="06A76C20" w14:textId="381A0E86" w:rsidR="00F45FC8" w:rsidRPr="006C5574" w:rsidRDefault="00F45FC8" w:rsidP="00F45FC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37831</w:t>
            </w:r>
          </w:p>
        </w:tc>
        <w:tc>
          <w:tcPr>
            <w:tcW w:w="1134" w:type="dxa"/>
            <w:noWrap/>
          </w:tcPr>
          <w:p w14:paraId="5FEBC357" w14:textId="116A7432" w:rsidR="00F45FC8" w:rsidRPr="009B594A" w:rsidRDefault="00F45FC8" w:rsidP="00F45FC8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color w:val="000000" w:themeColor="text1"/>
                <w:sz w:val="20"/>
                <w:szCs w:val="20"/>
              </w:rPr>
              <w:t>-0.36</w:t>
            </w:r>
          </w:p>
        </w:tc>
        <w:tc>
          <w:tcPr>
            <w:tcW w:w="985" w:type="dxa"/>
          </w:tcPr>
          <w:p w14:paraId="007DE747" w14:textId="3F7637B6" w:rsidR="00F45FC8" w:rsidRPr="009B594A" w:rsidRDefault="00F45FC8" w:rsidP="00F45FC8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color w:val="000000" w:themeColor="text1"/>
                <w:sz w:val="20"/>
                <w:szCs w:val="20"/>
              </w:rPr>
              <w:t>0%</w:t>
            </w:r>
          </w:p>
        </w:tc>
      </w:tr>
      <w:tr w:rsidR="000362CF" w:rsidRPr="006C5574" w14:paraId="59EB4645" w14:textId="77777777" w:rsidTr="00BF0CA7">
        <w:trPr>
          <w:trHeight w:val="250"/>
        </w:trPr>
        <w:tc>
          <w:tcPr>
            <w:tcW w:w="3964" w:type="dxa"/>
            <w:noWrap/>
          </w:tcPr>
          <w:p w14:paraId="7A45F245" w14:textId="1ED29B0B" w:rsidR="000362CF" w:rsidRPr="006C5574" w:rsidRDefault="000362CF" w:rsidP="000362C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Total funding for ongoing commitments</w:t>
            </w:r>
          </w:p>
        </w:tc>
        <w:tc>
          <w:tcPr>
            <w:tcW w:w="1276" w:type="dxa"/>
            <w:noWrap/>
          </w:tcPr>
          <w:p w14:paraId="686C4D41" w14:textId="116F3E5B" w:rsidR="000362CF" w:rsidRDefault="000362CF" w:rsidP="000362C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£2,086,594</w:t>
            </w:r>
          </w:p>
        </w:tc>
        <w:tc>
          <w:tcPr>
            <w:tcW w:w="1701" w:type="dxa"/>
            <w:noWrap/>
          </w:tcPr>
          <w:p w14:paraId="1DDCB120" w14:textId="73B7E1C7" w:rsidR="000362CF" w:rsidRDefault="000362CF" w:rsidP="000362C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£2,014,122</w:t>
            </w:r>
          </w:p>
        </w:tc>
        <w:tc>
          <w:tcPr>
            <w:tcW w:w="1134" w:type="dxa"/>
            <w:noWrap/>
          </w:tcPr>
          <w:p w14:paraId="3683CB6D" w14:textId="705D7C63" w:rsidR="000362CF" w:rsidRPr="009B594A" w:rsidRDefault="000362CF" w:rsidP="000362CF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color w:val="000000" w:themeColor="text1"/>
                <w:sz w:val="20"/>
                <w:szCs w:val="20"/>
              </w:rPr>
              <w:t>-£72,471</w:t>
            </w:r>
          </w:p>
        </w:tc>
        <w:tc>
          <w:tcPr>
            <w:tcW w:w="985" w:type="dxa"/>
          </w:tcPr>
          <w:p w14:paraId="791FF447" w14:textId="4D79CDC9" w:rsidR="000362CF" w:rsidRPr="009B594A" w:rsidRDefault="000362CF" w:rsidP="000362CF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color w:val="000000" w:themeColor="text1"/>
                <w:sz w:val="20"/>
                <w:szCs w:val="20"/>
              </w:rPr>
              <w:t>-3%</w:t>
            </w:r>
          </w:p>
        </w:tc>
      </w:tr>
      <w:tr w:rsidR="00F45FC8" w:rsidRPr="006C5574" w14:paraId="64964EFA" w14:textId="15B33DC8" w:rsidTr="00BF0CA7">
        <w:trPr>
          <w:trHeight w:val="250"/>
        </w:trPr>
        <w:tc>
          <w:tcPr>
            <w:tcW w:w="3964" w:type="dxa"/>
            <w:noWrap/>
            <w:hideMark/>
          </w:tcPr>
          <w:p w14:paraId="2BB42643" w14:textId="77777777" w:rsidR="00F45FC8" w:rsidRPr="006C5574" w:rsidRDefault="00F45FC8" w:rsidP="00F45FC8">
            <w:pPr>
              <w:rPr>
                <w:rFonts w:cs="Arial"/>
                <w:color w:val="000000"/>
                <w:sz w:val="20"/>
                <w:szCs w:val="20"/>
              </w:rPr>
            </w:pPr>
            <w:r w:rsidRPr="006C5574">
              <w:rPr>
                <w:rFonts w:cs="Arial"/>
                <w:color w:val="000000"/>
                <w:sz w:val="20"/>
                <w:szCs w:val="20"/>
              </w:rPr>
              <w:t>Total funding for historic commitments</w:t>
            </w:r>
          </w:p>
        </w:tc>
        <w:tc>
          <w:tcPr>
            <w:tcW w:w="1276" w:type="dxa"/>
            <w:noWrap/>
            <w:hideMark/>
          </w:tcPr>
          <w:p w14:paraId="392CA97D" w14:textId="0DDCBC6F" w:rsidR="00F45FC8" w:rsidRPr="006C5574" w:rsidRDefault="00F45FC8" w:rsidP="00F45FC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£1,424,384</w:t>
            </w:r>
          </w:p>
        </w:tc>
        <w:tc>
          <w:tcPr>
            <w:tcW w:w="1701" w:type="dxa"/>
            <w:noWrap/>
            <w:hideMark/>
          </w:tcPr>
          <w:p w14:paraId="016EEF64" w14:textId="6CB26576" w:rsidR="00F45FC8" w:rsidRPr="006C5574" w:rsidRDefault="00F45FC8" w:rsidP="00F45FC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£1,139,507</w:t>
            </w:r>
          </w:p>
        </w:tc>
        <w:tc>
          <w:tcPr>
            <w:tcW w:w="1134" w:type="dxa"/>
            <w:noWrap/>
          </w:tcPr>
          <w:p w14:paraId="17E26DAD" w14:textId="68789F63" w:rsidR="00F45FC8" w:rsidRPr="009B594A" w:rsidRDefault="00F45FC8" w:rsidP="00F45FC8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color w:val="000000" w:themeColor="text1"/>
                <w:sz w:val="20"/>
                <w:szCs w:val="20"/>
              </w:rPr>
              <w:t>-£284,877</w:t>
            </w:r>
          </w:p>
        </w:tc>
        <w:tc>
          <w:tcPr>
            <w:tcW w:w="985" w:type="dxa"/>
          </w:tcPr>
          <w:p w14:paraId="1855F0EF" w14:textId="49E9855B" w:rsidR="00F45FC8" w:rsidRPr="009B594A" w:rsidRDefault="00F45FC8" w:rsidP="00F45FC8">
            <w:pPr>
              <w:jc w:val="right"/>
              <w:rPr>
                <w:rFonts w:cs="Arial"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color w:val="000000" w:themeColor="text1"/>
                <w:sz w:val="20"/>
                <w:szCs w:val="20"/>
              </w:rPr>
              <w:t>-20%</w:t>
            </w:r>
          </w:p>
        </w:tc>
      </w:tr>
      <w:tr w:rsidR="00F45FC8" w:rsidRPr="006C5574" w14:paraId="2B07A1D5" w14:textId="68FB307D" w:rsidTr="00BF0CA7">
        <w:trPr>
          <w:trHeight w:val="250"/>
        </w:trPr>
        <w:tc>
          <w:tcPr>
            <w:tcW w:w="3964" w:type="dxa"/>
            <w:noWrap/>
            <w:hideMark/>
          </w:tcPr>
          <w:p w14:paraId="7560BCF3" w14:textId="5E7CE3F7" w:rsidR="00F45FC8" w:rsidRPr="006C5574" w:rsidRDefault="00F45FC8" w:rsidP="00F45FC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C5574">
              <w:rPr>
                <w:rFonts w:cs="Arial"/>
                <w:b/>
                <w:bCs/>
                <w:color w:val="000000"/>
                <w:sz w:val="20"/>
                <w:szCs w:val="20"/>
              </w:rPr>
              <w:t>Total CSSB funding</w:t>
            </w:r>
          </w:p>
        </w:tc>
        <w:tc>
          <w:tcPr>
            <w:tcW w:w="1276" w:type="dxa"/>
            <w:noWrap/>
            <w:hideMark/>
          </w:tcPr>
          <w:p w14:paraId="1B3D9CA2" w14:textId="0BD50CD6" w:rsidR="00F45FC8" w:rsidRPr="00F45FC8" w:rsidRDefault="00F45FC8" w:rsidP="00F45FC8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5F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£3,510,978</w:t>
            </w:r>
          </w:p>
        </w:tc>
        <w:tc>
          <w:tcPr>
            <w:tcW w:w="1701" w:type="dxa"/>
            <w:noWrap/>
            <w:hideMark/>
          </w:tcPr>
          <w:p w14:paraId="25AEAB20" w14:textId="268E4078" w:rsidR="00F45FC8" w:rsidRPr="00F45FC8" w:rsidRDefault="00F45FC8" w:rsidP="00F45FC8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45FC8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£3,153,629</w:t>
            </w:r>
          </w:p>
        </w:tc>
        <w:tc>
          <w:tcPr>
            <w:tcW w:w="1134" w:type="dxa"/>
            <w:noWrap/>
          </w:tcPr>
          <w:p w14:paraId="38E7ADE9" w14:textId="0F0B0C9C" w:rsidR="00F45FC8" w:rsidRPr="009B594A" w:rsidRDefault="00F45FC8" w:rsidP="00F45FC8">
            <w:pPr>
              <w:jc w:val="righ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-£357,348</w:t>
            </w:r>
          </w:p>
        </w:tc>
        <w:tc>
          <w:tcPr>
            <w:tcW w:w="985" w:type="dxa"/>
          </w:tcPr>
          <w:p w14:paraId="07801B5B" w14:textId="3EB6A794" w:rsidR="00F45FC8" w:rsidRPr="009B594A" w:rsidRDefault="00F45FC8" w:rsidP="00F45FC8">
            <w:pPr>
              <w:jc w:val="righ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B594A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-10%</w:t>
            </w:r>
          </w:p>
        </w:tc>
      </w:tr>
    </w:tbl>
    <w:p w14:paraId="20C399EC" w14:textId="77777777" w:rsidR="000A1B89" w:rsidRDefault="000A1B89" w:rsidP="000A1B89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</w:p>
    <w:p w14:paraId="32753F8E" w14:textId="608FFF81" w:rsidR="00C156F7" w:rsidRPr="009626AA" w:rsidRDefault="00C156F7" w:rsidP="00C156F7">
      <w:pPr>
        <w:pStyle w:val="ListParagraph"/>
        <w:numPr>
          <w:ilvl w:val="1"/>
          <w:numId w:val="16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 w:rsidRPr="009626AA">
        <w:rPr>
          <w:rFonts w:cs="Arial"/>
          <w:color w:val="000000"/>
          <w:sz w:val="22"/>
          <w:szCs w:val="22"/>
        </w:rPr>
        <w:t>The estimated CSSB allocation for financial year 2023 to 2024</w:t>
      </w:r>
      <w:r w:rsidR="000A1B89">
        <w:rPr>
          <w:rFonts w:cs="Arial"/>
          <w:color w:val="000000"/>
          <w:sz w:val="22"/>
          <w:szCs w:val="22"/>
        </w:rPr>
        <w:t xml:space="preserve"> u</w:t>
      </w:r>
      <w:r w:rsidR="006C5574" w:rsidRPr="009626AA">
        <w:rPr>
          <w:rFonts w:cs="Arial"/>
          <w:color w:val="000000"/>
          <w:sz w:val="22"/>
          <w:szCs w:val="22"/>
        </w:rPr>
        <w:t>s</w:t>
      </w:r>
      <w:r w:rsidR="00B33242">
        <w:rPr>
          <w:rFonts w:cs="Arial"/>
          <w:color w:val="000000"/>
          <w:sz w:val="22"/>
          <w:szCs w:val="22"/>
        </w:rPr>
        <w:t>es</w:t>
      </w:r>
      <w:r w:rsidR="006C5574" w:rsidRPr="009626AA">
        <w:rPr>
          <w:rFonts w:cs="Arial"/>
          <w:color w:val="000000"/>
          <w:sz w:val="22"/>
          <w:szCs w:val="22"/>
        </w:rPr>
        <w:t xml:space="preserve"> the </w:t>
      </w:r>
      <w:r w:rsidR="000A1B89">
        <w:rPr>
          <w:rFonts w:cs="Arial"/>
          <w:color w:val="000000"/>
          <w:sz w:val="22"/>
          <w:szCs w:val="22"/>
        </w:rPr>
        <w:t xml:space="preserve">preliminary </w:t>
      </w:r>
      <w:r w:rsidR="006C5574" w:rsidRPr="009626AA">
        <w:rPr>
          <w:rFonts w:cs="Arial"/>
          <w:color w:val="000000"/>
          <w:sz w:val="22"/>
          <w:szCs w:val="22"/>
        </w:rPr>
        <w:t>October 2022 roll across all schools</w:t>
      </w:r>
      <w:r w:rsidR="00F45FC8">
        <w:rPr>
          <w:rFonts w:cs="Arial"/>
          <w:color w:val="000000"/>
          <w:sz w:val="22"/>
          <w:szCs w:val="22"/>
        </w:rPr>
        <w:t xml:space="preserve"> and academies</w:t>
      </w:r>
      <w:r w:rsidR="00B33242">
        <w:rPr>
          <w:rFonts w:cs="Arial"/>
          <w:color w:val="000000"/>
          <w:sz w:val="22"/>
          <w:szCs w:val="22"/>
        </w:rPr>
        <w:t>.  T</w:t>
      </w:r>
      <w:r w:rsidR="00F45FC8">
        <w:rPr>
          <w:rFonts w:cs="Arial"/>
          <w:color w:val="000000"/>
          <w:sz w:val="22"/>
          <w:szCs w:val="22"/>
        </w:rPr>
        <w:t>his will be updated once confirmed,</w:t>
      </w:r>
      <w:r w:rsidR="00B33242">
        <w:rPr>
          <w:rFonts w:cs="Arial"/>
          <w:color w:val="000000"/>
          <w:sz w:val="22"/>
          <w:szCs w:val="22"/>
        </w:rPr>
        <w:t xml:space="preserve"> and any resulting budget adjustment will be made against the recharges to social care budget</w:t>
      </w:r>
      <w:r w:rsidR="00F45FC8">
        <w:rPr>
          <w:rFonts w:cs="Arial"/>
          <w:color w:val="000000"/>
          <w:sz w:val="22"/>
          <w:szCs w:val="22"/>
        </w:rPr>
        <w:t xml:space="preserve"> as demonstrated below.</w:t>
      </w:r>
      <w:r w:rsidR="0012043F">
        <w:rPr>
          <w:rFonts w:cs="Arial"/>
          <w:color w:val="000000"/>
          <w:sz w:val="22"/>
          <w:szCs w:val="22"/>
        </w:rPr>
        <w:t xml:space="preserve"> </w:t>
      </w:r>
    </w:p>
    <w:p w14:paraId="7B15CF0A" w14:textId="77777777" w:rsidR="00661A29" w:rsidRPr="009626AA" w:rsidRDefault="00661A29" w:rsidP="009626AA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</w:p>
    <w:p w14:paraId="014AF194" w14:textId="77777777" w:rsidR="008A1355" w:rsidRPr="000562F4" w:rsidRDefault="008A1355" w:rsidP="00C85A66">
      <w:pPr>
        <w:keepNext/>
        <w:ind w:left="567" w:hanging="567"/>
        <w:rPr>
          <w:rFonts w:cs="Arial"/>
          <w:b/>
        </w:rPr>
      </w:pPr>
    </w:p>
    <w:p w14:paraId="6913F04C" w14:textId="4B3E7E0A" w:rsidR="008F303C" w:rsidRPr="000562F4" w:rsidRDefault="00602FF6" w:rsidP="00C85A6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567" w:hanging="567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Agreement</w:t>
      </w:r>
      <w:r w:rsidR="008F303C" w:rsidRPr="000562F4">
        <w:rPr>
          <w:rFonts w:cs="Arial"/>
          <w:b/>
          <w:bCs/>
          <w:color w:val="000000"/>
        </w:rPr>
        <w:t xml:space="preserve"> </w:t>
      </w:r>
    </w:p>
    <w:p w14:paraId="4028E004" w14:textId="77777777" w:rsidR="009E19B6" w:rsidRPr="000562F4" w:rsidRDefault="009E19B6" w:rsidP="009E19B6">
      <w:pPr>
        <w:pStyle w:val="ListParagraph"/>
        <w:rPr>
          <w:rFonts w:cs="Arial"/>
          <w:color w:val="000000"/>
          <w:sz w:val="22"/>
          <w:szCs w:val="22"/>
        </w:rPr>
      </w:pPr>
    </w:p>
    <w:p w14:paraId="2A6AE0DE" w14:textId="4CCBD007" w:rsidR="000562F4" w:rsidRPr="00B33242" w:rsidRDefault="00602FF6" w:rsidP="00B33242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33242">
        <w:rPr>
          <w:sz w:val="22"/>
          <w:szCs w:val="22"/>
        </w:rPr>
        <w:t xml:space="preserve">To achieve a saving to match the budget reduction, it is proposed to implement the following changes.  </w:t>
      </w:r>
    </w:p>
    <w:p w14:paraId="7194A38A" w14:textId="77777777" w:rsidR="000562F4" w:rsidRPr="000562F4" w:rsidRDefault="000562F4" w:rsidP="000562F4">
      <w:pPr>
        <w:pStyle w:val="ListParagraph"/>
        <w:autoSpaceDE w:val="0"/>
        <w:autoSpaceDN w:val="0"/>
        <w:adjustRightInd w:val="0"/>
      </w:pPr>
    </w:p>
    <w:tbl>
      <w:tblPr>
        <w:tblStyle w:val="TableGrid1"/>
        <w:tblW w:w="9204" w:type="dxa"/>
        <w:tblLook w:val="04A0" w:firstRow="1" w:lastRow="0" w:firstColumn="1" w:lastColumn="0" w:noHBand="0" w:noVBand="1"/>
      </w:tblPr>
      <w:tblGrid>
        <w:gridCol w:w="3251"/>
        <w:gridCol w:w="1275"/>
        <w:gridCol w:w="1134"/>
        <w:gridCol w:w="3544"/>
      </w:tblGrid>
      <w:tr w:rsidR="0024783D" w:rsidRPr="000F2077" w14:paraId="3F13C00F" w14:textId="77777777" w:rsidTr="00BF0CA7">
        <w:trPr>
          <w:trHeight w:val="580"/>
        </w:trPr>
        <w:tc>
          <w:tcPr>
            <w:tcW w:w="3251" w:type="dxa"/>
            <w:hideMark/>
          </w:tcPr>
          <w:p w14:paraId="52249F02" w14:textId="5E3DE41F" w:rsidR="0024783D" w:rsidRPr="00BF0CA7" w:rsidRDefault="0024783D" w:rsidP="00BF0401">
            <w:pPr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BF0CA7">
              <w:rPr>
                <w:rFonts w:cs="Arial"/>
                <w:b/>
                <w:bCs/>
                <w:sz w:val="22"/>
                <w:szCs w:val="22"/>
              </w:rPr>
              <w:lastRenderedPageBreak/>
              <w:t>Ongoing responsibilities</w:t>
            </w:r>
            <w:r w:rsidRPr="00BF0CA7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BF0CA7">
              <w:rPr>
                <w:rFonts w:cs="Arial"/>
                <w:sz w:val="22"/>
                <w:szCs w:val="22"/>
              </w:rPr>
              <w:t>(allocation based on pupil numbers)</w:t>
            </w:r>
          </w:p>
        </w:tc>
        <w:tc>
          <w:tcPr>
            <w:tcW w:w="1275" w:type="dxa"/>
          </w:tcPr>
          <w:p w14:paraId="44E36554" w14:textId="77777777" w:rsidR="0024783D" w:rsidRPr="00BF0CA7" w:rsidRDefault="0024783D" w:rsidP="00BF0401">
            <w:pPr>
              <w:jc w:val="center"/>
              <w:rPr>
                <w:rFonts w:cs="Arial"/>
                <w:sz w:val="20"/>
                <w:szCs w:val="20"/>
              </w:rPr>
            </w:pPr>
            <w:r w:rsidRPr="00BF0CA7">
              <w:rPr>
                <w:rFonts w:cs="Arial"/>
                <w:sz w:val="20"/>
                <w:szCs w:val="20"/>
              </w:rPr>
              <w:t xml:space="preserve">budget </w:t>
            </w:r>
          </w:p>
          <w:p w14:paraId="1CADFDBB" w14:textId="77777777" w:rsidR="0024783D" w:rsidRPr="00BF0CA7" w:rsidRDefault="0024783D" w:rsidP="00BF0401">
            <w:pPr>
              <w:jc w:val="center"/>
              <w:rPr>
                <w:rFonts w:cs="Arial"/>
                <w:sz w:val="20"/>
                <w:szCs w:val="20"/>
              </w:rPr>
            </w:pPr>
            <w:r w:rsidRPr="00BF0CA7">
              <w:rPr>
                <w:rFonts w:cs="Arial"/>
                <w:sz w:val="20"/>
                <w:szCs w:val="20"/>
              </w:rPr>
              <w:t>£000</w:t>
            </w:r>
          </w:p>
          <w:p w14:paraId="3233FA92" w14:textId="704028DB" w:rsidR="0024783D" w:rsidRPr="00BF0CA7" w:rsidRDefault="0024783D" w:rsidP="00983D4E">
            <w:pPr>
              <w:jc w:val="center"/>
              <w:rPr>
                <w:rFonts w:cs="Arial"/>
                <w:sz w:val="20"/>
                <w:szCs w:val="20"/>
              </w:rPr>
            </w:pPr>
            <w:r w:rsidRPr="00BF0CA7">
              <w:rPr>
                <w:rFonts w:cs="Arial"/>
                <w:sz w:val="20"/>
                <w:szCs w:val="20"/>
              </w:rPr>
              <w:t>22-23</w:t>
            </w:r>
          </w:p>
        </w:tc>
        <w:tc>
          <w:tcPr>
            <w:tcW w:w="1134" w:type="dxa"/>
          </w:tcPr>
          <w:p w14:paraId="0C333BD2" w14:textId="77777777" w:rsidR="0024783D" w:rsidRPr="00BF0CA7" w:rsidRDefault="0024783D" w:rsidP="00BF0401">
            <w:pPr>
              <w:jc w:val="center"/>
              <w:rPr>
                <w:rFonts w:cs="Arial"/>
                <w:sz w:val="20"/>
                <w:szCs w:val="20"/>
              </w:rPr>
            </w:pPr>
            <w:r w:rsidRPr="00BF0CA7">
              <w:rPr>
                <w:rFonts w:cs="Arial"/>
                <w:sz w:val="20"/>
                <w:szCs w:val="20"/>
              </w:rPr>
              <w:t xml:space="preserve">budget (£000) </w:t>
            </w:r>
          </w:p>
          <w:p w14:paraId="0A831E58" w14:textId="62B31B82" w:rsidR="0024783D" w:rsidRPr="00BF0CA7" w:rsidRDefault="0024783D" w:rsidP="00BF0401">
            <w:pPr>
              <w:jc w:val="center"/>
              <w:rPr>
                <w:rFonts w:cs="Arial"/>
                <w:sz w:val="20"/>
                <w:szCs w:val="20"/>
              </w:rPr>
            </w:pPr>
            <w:r w:rsidRPr="00BF0CA7">
              <w:rPr>
                <w:rFonts w:cs="Arial"/>
                <w:sz w:val="20"/>
                <w:szCs w:val="20"/>
              </w:rPr>
              <w:t>23-24</w:t>
            </w:r>
          </w:p>
        </w:tc>
        <w:tc>
          <w:tcPr>
            <w:tcW w:w="3544" w:type="dxa"/>
            <w:hideMark/>
          </w:tcPr>
          <w:p w14:paraId="0F0CAAAF" w14:textId="6FE049FB" w:rsidR="0024783D" w:rsidRPr="00BF0CA7" w:rsidRDefault="0024783D" w:rsidP="00BF0401">
            <w:pPr>
              <w:jc w:val="center"/>
              <w:rPr>
                <w:rFonts w:cs="Arial"/>
                <w:sz w:val="20"/>
                <w:szCs w:val="20"/>
              </w:rPr>
            </w:pPr>
            <w:r w:rsidRPr="00BF0CA7">
              <w:rPr>
                <w:rFonts w:cs="Arial"/>
                <w:sz w:val="20"/>
                <w:szCs w:val="20"/>
              </w:rPr>
              <w:t xml:space="preserve">estimate for 2023-24 </w:t>
            </w:r>
          </w:p>
        </w:tc>
      </w:tr>
      <w:tr w:rsidR="0024783D" w:rsidRPr="000F2077" w14:paraId="1D142DF0" w14:textId="77777777" w:rsidTr="00BF0CA7">
        <w:trPr>
          <w:trHeight w:val="290"/>
        </w:trPr>
        <w:tc>
          <w:tcPr>
            <w:tcW w:w="3251" w:type="dxa"/>
            <w:noWrap/>
            <w:hideMark/>
          </w:tcPr>
          <w:p w14:paraId="099FB125" w14:textId="77777777" w:rsidR="0024783D" w:rsidRPr="00BF0CA7" w:rsidRDefault="0024783D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Student Admissions</w:t>
            </w:r>
          </w:p>
        </w:tc>
        <w:tc>
          <w:tcPr>
            <w:tcW w:w="1275" w:type="dxa"/>
          </w:tcPr>
          <w:p w14:paraId="6A962B62" w14:textId="7BA848A6" w:rsidR="0024783D" w:rsidRPr="00BF0CA7" w:rsidRDefault="0024783D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749</w:t>
            </w:r>
          </w:p>
        </w:tc>
        <w:tc>
          <w:tcPr>
            <w:tcW w:w="1134" w:type="dxa"/>
          </w:tcPr>
          <w:p w14:paraId="5B7818CC" w14:textId="620718BB" w:rsidR="0024783D" w:rsidRPr="00BF0CA7" w:rsidRDefault="0024783D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color w:val="000000"/>
                <w:sz w:val="22"/>
                <w:szCs w:val="22"/>
              </w:rPr>
              <w:t>741</w:t>
            </w:r>
          </w:p>
        </w:tc>
        <w:tc>
          <w:tcPr>
            <w:tcW w:w="3544" w:type="dxa"/>
            <w:noWrap/>
          </w:tcPr>
          <w:p w14:paraId="273C1D41" w14:textId="3F88D826" w:rsidR="0024783D" w:rsidRPr="00BF0CA7" w:rsidRDefault="0024783D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budgets remain same per pupil</w:t>
            </w:r>
          </w:p>
        </w:tc>
      </w:tr>
      <w:tr w:rsidR="0024783D" w:rsidRPr="000F2077" w14:paraId="196F3075" w14:textId="77777777" w:rsidTr="00BF0CA7">
        <w:trPr>
          <w:trHeight w:val="300"/>
        </w:trPr>
        <w:tc>
          <w:tcPr>
            <w:tcW w:w="3251" w:type="dxa"/>
            <w:noWrap/>
            <w:hideMark/>
          </w:tcPr>
          <w:p w14:paraId="061434E9" w14:textId="630AF0F2" w:rsidR="0024783D" w:rsidRPr="00BF0CA7" w:rsidRDefault="0024783D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Servicing Schools Forum</w:t>
            </w:r>
          </w:p>
        </w:tc>
        <w:tc>
          <w:tcPr>
            <w:tcW w:w="1275" w:type="dxa"/>
          </w:tcPr>
          <w:p w14:paraId="675BDFA6" w14:textId="67AF6083" w:rsidR="0024783D" w:rsidRPr="00BF0CA7" w:rsidRDefault="0024783D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14:paraId="48692087" w14:textId="454CB778" w:rsidR="0024783D" w:rsidRPr="00BF0CA7" w:rsidRDefault="0024783D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544" w:type="dxa"/>
            <w:noWrap/>
          </w:tcPr>
          <w:p w14:paraId="0A15654C" w14:textId="031FD227" w:rsidR="0024783D" w:rsidRPr="00BF0CA7" w:rsidRDefault="009B594A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budgets remain same per pupil</w:t>
            </w:r>
          </w:p>
        </w:tc>
      </w:tr>
      <w:tr w:rsidR="0024783D" w:rsidRPr="000F2077" w14:paraId="18B49C8C" w14:textId="77777777" w:rsidTr="00BF0CA7">
        <w:trPr>
          <w:trHeight w:val="290"/>
        </w:trPr>
        <w:tc>
          <w:tcPr>
            <w:tcW w:w="3251" w:type="dxa"/>
            <w:noWrap/>
            <w:hideMark/>
          </w:tcPr>
          <w:p w14:paraId="639C6F3B" w14:textId="7719DAC1" w:rsidR="0024783D" w:rsidRPr="00BF0CA7" w:rsidRDefault="0024783D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 xml:space="preserve">School Licence fees </w:t>
            </w:r>
          </w:p>
        </w:tc>
        <w:tc>
          <w:tcPr>
            <w:tcW w:w="1275" w:type="dxa"/>
          </w:tcPr>
          <w:p w14:paraId="0FEDCA20" w14:textId="5288496C" w:rsidR="0024783D" w:rsidRPr="00BF0CA7" w:rsidRDefault="0024783D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212</w:t>
            </w:r>
          </w:p>
        </w:tc>
        <w:tc>
          <w:tcPr>
            <w:tcW w:w="1134" w:type="dxa"/>
          </w:tcPr>
          <w:p w14:paraId="415B99A8" w14:textId="2CC63BEB" w:rsidR="0024783D" w:rsidRPr="00BF0CA7" w:rsidRDefault="0024783D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544" w:type="dxa"/>
            <w:noWrap/>
          </w:tcPr>
          <w:p w14:paraId="308BB184" w14:textId="2ADBAC2B" w:rsidR="0024783D" w:rsidRPr="00BF0CA7" w:rsidRDefault="0024783D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Will be adjusted to match DfE invoice</w:t>
            </w:r>
          </w:p>
        </w:tc>
      </w:tr>
      <w:tr w:rsidR="0024783D" w:rsidRPr="000F2077" w14:paraId="3EC49B83" w14:textId="77777777" w:rsidTr="00BF0CA7">
        <w:trPr>
          <w:trHeight w:val="290"/>
        </w:trPr>
        <w:tc>
          <w:tcPr>
            <w:tcW w:w="3251" w:type="dxa"/>
            <w:noWrap/>
            <w:hideMark/>
          </w:tcPr>
          <w:p w14:paraId="17FEDD17" w14:textId="47A873D8" w:rsidR="0024783D" w:rsidRPr="00BF0CA7" w:rsidRDefault="0024783D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 xml:space="preserve">Central teaching pay/pension </w:t>
            </w:r>
          </w:p>
        </w:tc>
        <w:tc>
          <w:tcPr>
            <w:tcW w:w="1275" w:type="dxa"/>
          </w:tcPr>
          <w:p w14:paraId="14EE6357" w14:textId="28298D50" w:rsidR="0024783D" w:rsidRPr="00BF0CA7" w:rsidRDefault="0024783D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197</w:t>
            </w:r>
          </w:p>
        </w:tc>
        <w:tc>
          <w:tcPr>
            <w:tcW w:w="1134" w:type="dxa"/>
          </w:tcPr>
          <w:p w14:paraId="31DE5217" w14:textId="016A55DD" w:rsidR="0024783D" w:rsidRPr="00BF0CA7" w:rsidRDefault="0024783D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544" w:type="dxa"/>
            <w:noWrap/>
          </w:tcPr>
          <w:p w14:paraId="37C9FEB1" w14:textId="27FD651F" w:rsidR="0024783D" w:rsidRPr="00BF0CA7" w:rsidRDefault="0024783D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budgets remain same per pupil</w:t>
            </w:r>
          </w:p>
        </w:tc>
      </w:tr>
      <w:tr w:rsidR="0024783D" w:rsidRPr="000F2077" w14:paraId="486807E5" w14:textId="77777777" w:rsidTr="00BF0CA7">
        <w:trPr>
          <w:trHeight w:val="290"/>
        </w:trPr>
        <w:tc>
          <w:tcPr>
            <w:tcW w:w="3251" w:type="dxa"/>
            <w:noWrap/>
            <w:hideMark/>
          </w:tcPr>
          <w:p w14:paraId="5B5D769D" w14:textId="77777777" w:rsidR="0024783D" w:rsidRPr="00BF0CA7" w:rsidRDefault="0024783D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Education Service Grant Retained</w:t>
            </w:r>
          </w:p>
        </w:tc>
        <w:tc>
          <w:tcPr>
            <w:tcW w:w="1275" w:type="dxa"/>
          </w:tcPr>
          <w:p w14:paraId="4A4118B1" w14:textId="043F3027" w:rsidR="0024783D" w:rsidRPr="00BF0CA7" w:rsidRDefault="0024783D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615</w:t>
            </w:r>
          </w:p>
        </w:tc>
        <w:tc>
          <w:tcPr>
            <w:tcW w:w="1134" w:type="dxa"/>
          </w:tcPr>
          <w:p w14:paraId="1AB4B26E" w14:textId="55F738CB" w:rsidR="0024783D" w:rsidRPr="00BF0CA7" w:rsidRDefault="00DC649E" w:rsidP="00983D4E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3544" w:type="dxa"/>
            <w:noWrap/>
          </w:tcPr>
          <w:p w14:paraId="28AE34CD" w14:textId="76CDD7AB" w:rsidR="0024783D" w:rsidRPr="00BF0CA7" w:rsidRDefault="009B594A" w:rsidP="00983D4E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budgets remain same per pupil</w:t>
            </w:r>
          </w:p>
        </w:tc>
      </w:tr>
      <w:tr w:rsidR="0024783D" w:rsidRPr="000F2077" w14:paraId="113CB81F" w14:textId="77777777" w:rsidTr="00BF0CA7">
        <w:trPr>
          <w:trHeight w:val="290"/>
        </w:trPr>
        <w:tc>
          <w:tcPr>
            <w:tcW w:w="3251" w:type="dxa"/>
            <w:noWrap/>
            <w:hideMark/>
          </w:tcPr>
          <w:p w14:paraId="58D04095" w14:textId="578245EE" w:rsidR="0024783D" w:rsidRPr="00BF0CA7" w:rsidRDefault="0024783D" w:rsidP="00983D4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 </w:t>
            </w:r>
            <w:r w:rsidRPr="00BF0CA7">
              <w:rPr>
                <w:rFonts w:cs="Arial"/>
                <w:b/>
                <w:bCs/>
                <w:sz w:val="22"/>
                <w:szCs w:val="22"/>
              </w:rPr>
              <w:t>Total Ongoing commitments</w:t>
            </w:r>
          </w:p>
        </w:tc>
        <w:tc>
          <w:tcPr>
            <w:tcW w:w="1275" w:type="dxa"/>
          </w:tcPr>
          <w:p w14:paraId="2CE2E89A" w14:textId="03060EFD" w:rsidR="0024783D" w:rsidRPr="00BF0CA7" w:rsidRDefault="0024783D" w:rsidP="00983D4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sz w:val="22"/>
                <w:szCs w:val="22"/>
              </w:rPr>
              <w:t>1,809</w:t>
            </w:r>
          </w:p>
        </w:tc>
        <w:tc>
          <w:tcPr>
            <w:tcW w:w="1134" w:type="dxa"/>
          </w:tcPr>
          <w:p w14:paraId="4E136167" w14:textId="209D18F4" w:rsidR="0024783D" w:rsidRPr="00BF0CA7" w:rsidRDefault="0024783D" w:rsidP="00983D4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sz w:val="22"/>
                <w:szCs w:val="22"/>
              </w:rPr>
              <w:t>1,</w:t>
            </w:r>
            <w:r w:rsidR="00DC649E" w:rsidRPr="00BF0CA7">
              <w:rPr>
                <w:rFonts w:cs="Arial"/>
                <w:b/>
                <w:bCs/>
                <w:sz w:val="22"/>
                <w:szCs w:val="22"/>
              </w:rPr>
              <w:t>7</w:t>
            </w:r>
            <w:r w:rsidRPr="00BF0CA7"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DC649E" w:rsidRPr="00BF0CA7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544" w:type="dxa"/>
            <w:noWrap/>
            <w:hideMark/>
          </w:tcPr>
          <w:p w14:paraId="69E55AB6" w14:textId="588EEA17" w:rsidR="0024783D" w:rsidRPr="00BF0CA7" w:rsidRDefault="0024783D" w:rsidP="0024783D">
            <w:pPr>
              <w:ind w:right="175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Variance = </w:t>
            </w:r>
            <w:r w:rsidRPr="00BF0CA7">
              <w:rPr>
                <w:rFonts w:cs="Arial"/>
                <w:b/>
                <w:bCs/>
                <w:sz w:val="22"/>
                <w:szCs w:val="22"/>
              </w:rPr>
              <w:t>-</w:t>
            </w:r>
            <w:r w:rsidR="00DC649E" w:rsidRPr="00BF0CA7">
              <w:rPr>
                <w:rFonts w:cs="Arial"/>
                <w:b/>
                <w:bCs/>
                <w:sz w:val="22"/>
                <w:szCs w:val="22"/>
              </w:rPr>
              <w:t>19</w:t>
            </w:r>
            <w:r w:rsidRPr="00BF0CA7">
              <w:rPr>
                <w:rFonts w:cs="Arial"/>
                <w:b/>
                <w:bCs/>
                <w:sz w:val="22"/>
                <w:szCs w:val="22"/>
              </w:rPr>
              <w:t>k   (-1%)</w:t>
            </w:r>
          </w:p>
        </w:tc>
      </w:tr>
    </w:tbl>
    <w:p w14:paraId="480FDC2B" w14:textId="77777777" w:rsidR="001C1E82" w:rsidRPr="000F2077" w:rsidRDefault="001C1E82" w:rsidP="001C1E82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highlight w:val="yellow"/>
        </w:rPr>
      </w:pPr>
    </w:p>
    <w:p w14:paraId="5FFCA08B" w14:textId="5C20F4C9" w:rsidR="008F303C" w:rsidRPr="00BF0401" w:rsidRDefault="008F303C" w:rsidP="00BF0401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BF0401">
        <w:rPr>
          <w:rFonts w:cs="Arial"/>
          <w:color w:val="000000"/>
          <w:sz w:val="22"/>
          <w:szCs w:val="22"/>
        </w:rPr>
        <w:t>Historic Responsibilities</w:t>
      </w:r>
      <w:r w:rsidR="00AC5F4C">
        <w:rPr>
          <w:rFonts w:cs="Arial"/>
          <w:color w:val="000000"/>
          <w:sz w:val="22"/>
          <w:szCs w:val="22"/>
        </w:rPr>
        <w:t xml:space="preserve"> </w:t>
      </w:r>
      <w:r w:rsidR="009E19B6" w:rsidRPr="00BF0401">
        <w:rPr>
          <w:rFonts w:cs="Arial"/>
          <w:color w:val="000000"/>
          <w:sz w:val="22"/>
          <w:szCs w:val="22"/>
        </w:rPr>
        <w:t>allocated on the previous budget less 20%:</w:t>
      </w:r>
    </w:p>
    <w:p w14:paraId="6CFBCAAE" w14:textId="77777777" w:rsidR="009E19B6" w:rsidRPr="000F2077" w:rsidRDefault="009E19B6" w:rsidP="009E19B6">
      <w:pPr>
        <w:pStyle w:val="ListParagraph"/>
        <w:autoSpaceDE w:val="0"/>
        <w:autoSpaceDN w:val="0"/>
        <w:adjustRightInd w:val="0"/>
        <w:ind w:left="1418"/>
        <w:rPr>
          <w:rFonts w:cs="Arial"/>
          <w:color w:val="000000"/>
          <w:sz w:val="22"/>
          <w:szCs w:val="22"/>
          <w:highlight w:val="yellow"/>
        </w:rPr>
      </w:pPr>
    </w:p>
    <w:tbl>
      <w:tblPr>
        <w:tblStyle w:val="TableGrid1"/>
        <w:tblW w:w="9204" w:type="dxa"/>
        <w:tblLook w:val="04A0" w:firstRow="1" w:lastRow="0" w:firstColumn="1" w:lastColumn="0" w:noHBand="0" w:noVBand="1"/>
      </w:tblPr>
      <w:tblGrid>
        <w:gridCol w:w="3392"/>
        <w:gridCol w:w="1134"/>
        <w:gridCol w:w="993"/>
        <w:gridCol w:w="3685"/>
      </w:tblGrid>
      <w:tr w:rsidR="00B5173C" w:rsidRPr="00BF0CA7" w14:paraId="31964B39" w14:textId="77777777" w:rsidTr="00BF0CA7">
        <w:trPr>
          <w:trHeight w:val="620"/>
        </w:trPr>
        <w:tc>
          <w:tcPr>
            <w:tcW w:w="3392" w:type="dxa"/>
            <w:hideMark/>
          </w:tcPr>
          <w:p w14:paraId="3FEC49FF" w14:textId="41AA8824" w:rsidR="00B5173C" w:rsidRPr="00BF0CA7" w:rsidRDefault="00B5173C" w:rsidP="009E19B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sz w:val="22"/>
                <w:szCs w:val="22"/>
              </w:rPr>
              <w:t xml:space="preserve">Historic budgets </w:t>
            </w:r>
            <w:r w:rsidRPr="00BF0CA7">
              <w:rPr>
                <w:rFonts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134" w:type="dxa"/>
            <w:hideMark/>
          </w:tcPr>
          <w:p w14:paraId="1D719FA3" w14:textId="77777777" w:rsidR="00B5173C" w:rsidRPr="00BF0CA7" w:rsidRDefault="00B5173C" w:rsidP="0058205C">
            <w:pPr>
              <w:jc w:val="center"/>
              <w:rPr>
                <w:rFonts w:cs="Arial"/>
                <w:sz w:val="20"/>
                <w:szCs w:val="20"/>
              </w:rPr>
            </w:pPr>
            <w:r w:rsidRPr="00BF0CA7">
              <w:rPr>
                <w:rFonts w:cs="Arial"/>
                <w:sz w:val="20"/>
                <w:szCs w:val="20"/>
              </w:rPr>
              <w:t>budget 22-23</w:t>
            </w:r>
          </w:p>
          <w:p w14:paraId="66DF9121" w14:textId="1A3D8313" w:rsidR="00B5173C" w:rsidRPr="00BF0CA7" w:rsidRDefault="00B5173C" w:rsidP="0058205C">
            <w:pPr>
              <w:jc w:val="center"/>
              <w:rPr>
                <w:rFonts w:cs="Arial"/>
                <w:sz w:val="20"/>
                <w:szCs w:val="20"/>
              </w:rPr>
            </w:pPr>
            <w:r w:rsidRPr="00BF0CA7">
              <w:rPr>
                <w:rFonts w:cs="Arial"/>
                <w:sz w:val="20"/>
                <w:szCs w:val="20"/>
              </w:rPr>
              <w:t>£000</w:t>
            </w:r>
          </w:p>
        </w:tc>
        <w:tc>
          <w:tcPr>
            <w:tcW w:w="993" w:type="dxa"/>
          </w:tcPr>
          <w:p w14:paraId="2FADC6C7" w14:textId="3BBFA175" w:rsidR="00B5173C" w:rsidRPr="00BF0CA7" w:rsidRDefault="00B5173C" w:rsidP="0058205C">
            <w:pPr>
              <w:jc w:val="center"/>
              <w:rPr>
                <w:rFonts w:cs="Arial"/>
                <w:sz w:val="20"/>
                <w:szCs w:val="20"/>
              </w:rPr>
            </w:pPr>
            <w:r w:rsidRPr="00BF0CA7">
              <w:rPr>
                <w:rFonts w:cs="Arial"/>
                <w:sz w:val="20"/>
                <w:szCs w:val="20"/>
              </w:rPr>
              <w:t>Budget 23-24 £000</w:t>
            </w:r>
          </w:p>
        </w:tc>
        <w:tc>
          <w:tcPr>
            <w:tcW w:w="3685" w:type="dxa"/>
            <w:hideMark/>
          </w:tcPr>
          <w:p w14:paraId="29CF827F" w14:textId="05BB3866" w:rsidR="00B5173C" w:rsidRPr="00BF0CA7" w:rsidRDefault="00B5173C" w:rsidP="0058205C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estimate for 2023-23</w:t>
            </w:r>
          </w:p>
        </w:tc>
      </w:tr>
      <w:tr w:rsidR="00B5173C" w:rsidRPr="00BF0CA7" w14:paraId="2A42D791" w14:textId="77777777" w:rsidTr="00BF0CA7">
        <w:trPr>
          <w:trHeight w:val="290"/>
        </w:trPr>
        <w:tc>
          <w:tcPr>
            <w:tcW w:w="3392" w:type="dxa"/>
            <w:noWrap/>
            <w:hideMark/>
          </w:tcPr>
          <w:p w14:paraId="77DFC660" w14:textId="791B531A" w:rsidR="00B5173C" w:rsidRPr="00BF0CA7" w:rsidRDefault="00B5173C" w:rsidP="00AC5F4C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BF0CA7">
              <w:rPr>
                <w:rFonts w:cs="Arial"/>
                <w:color w:val="000000" w:themeColor="text1"/>
                <w:sz w:val="22"/>
                <w:szCs w:val="22"/>
              </w:rPr>
              <w:t>Recharges Education Social Care</w:t>
            </w:r>
          </w:p>
        </w:tc>
        <w:tc>
          <w:tcPr>
            <w:tcW w:w="1134" w:type="dxa"/>
            <w:noWrap/>
          </w:tcPr>
          <w:p w14:paraId="5ECA3833" w14:textId="03C887AB" w:rsidR="00B5173C" w:rsidRPr="00BF0CA7" w:rsidRDefault="00B5173C" w:rsidP="00B56373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BF0CA7">
              <w:rPr>
                <w:rFonts w:cs="Arial"/>
                <w:color w:val="000000" w:themeColor="text1"/>
                <w:sz w:val="22"/>
                <w:szCs w:val="22"/>
              </w:rPr>
              <w:t>531</w:t>
            </w:r>
          </w:p>
        </w:tc>
        <w:tc>
          <w:tcPr>
            <w:tcW w:w="993" w:type="dxa"/>
          </w:tcPr>
          <w:p w14:paraId="7EC93A01" w14:textId="45AE7202" w:rsidR="00B5173C" w:rsidRPr="00BF0CA7" w:rsidRDefault="00DC649E" w:rsidP="00B5173C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192</w:t>
            </w:r>
          </w:p>
        </w:tc>
        <w:tc>
          <w:tcPr>
            <w:tcW w:w="3685" w:type="dxa"/>
            <w:noWrap/>
          </w:tcPr>
          <w:p w14:paraId="0EDAE8F4" w14:textId="1F423E41" w:rsidR="00B5173C" w:rsidRPr="00BF0CA7" w:rsidRDefault="00B5173C" w:rsidP="00B6113D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Reduction to meet income reduction</w:t>
            </w:r>
          </w:p>
        </w:tc>
      </w:tr>
      <w:tr w:rsidR="00B5173C" w:rsidRPr="00BF0CA7" w14:paraId="35A38620" w14:textId="77777777" w:rsidTr="00BF0CA7">
        <w:trPr>
          <w:trHeight w:val="290"/>
        </w:trPr>
        <w:tc>
          <w:tcPr>
            <w:tcW w:w="3392" w:type="dxa"/>
            <w:noWrap/>
            <w:hideMark/>
          </w:tcPr>
          <w:p w14:paraId="03D0A6D3" w14:textId="1B6312B5" w:rsidR="00B5173C" w:rsidRPr="00BF0CA7" w:rsidRDefault="00B5173C" w:rsidP="00B5173C">
            <w:pPr>
              <w:rPr>
                <w:rFonts w:cs="Arial"/>
                <w:color w:val="000000"/>
                <w:sz w:val="22"/>
                <w:szCs w:val="22"/>
              </w:rPr>
            </w:pPr>
            <w:r w:rsidRPr="00BF0CA7">
              <w:rPr>
                <w:rFonts w:cs="Arial"/>
                <w:color w:val="000000"/>
                <w:sz w:val="22"/>
                <w:szCs w:val="22"/>
              </w:rPr>
              <w:t>Early retirement /redundancy (schools)</w:t>
            </w:r>
          </w:p>
        </w:tc>
        <w:tc>
          <w:tcPr>
            <w:tcW w:w="1134" w:type="dxa"/>
            <w:noWrap/>
            <w:hideMark/>
          </w:tcPr>
          <w:p w14:paraId="769CACB7" w14:textId="59DCB949" w:rsidR="00B5173C" w:rsidRPr="00BF0CA7" w:rsidRDefault="00B5173C" w:rsidP="0024783D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53</w:t>
            </w:r>
            <w:r w:rsidR="00DC649E" w:rsidRPr="00BF0CA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682BF497" w14:textId="5977FB0F" w:rsidR="00B5173C" w:rsidRPr="00BF0CA7" w:rsidRDefault="00DC649E" w:rsidP="00B5173C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531</w:t>
            </w:r>
          </w:p>
        </w:tc>
        <w:tc>
          <w:tcPr>
            <w:tcW w:w="3685" w:type="dxa"/>
            <w:noWrap/>
          </w:tcPr>
          <w:p w14:paraId="739ACDEE" w14:textId="26CCBF77" w:rsidR="00B5173C" w:rsidRPr="00BF0CA7" w:rsidRDefault="00B5173C" w:rsidP="00B5173C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High risk, outturn 21-22 £1.02m</w:t>
            </w:r>
          </w:p>
        </w:tc>
      </w:tr>
      <w:tr w:rsidR="00B5173C" w:rsidRPr="00BF0CA7" w14:paraId="6FC96294" w14:textId="77777777" w:rsidTr="00BF0CA7">
        <w:trPr>
          <w:trHeight w:val="290"/>
        </w:trPr>
        <w:tc>
          <w:tcPr>
            <w:tcW w:w="3392" w:type="dxa"/>
            <w:noWrap/>
          </w:tcPr>
          <w:p w14:paraId="1C1D64B2" w14:textId="1BBB2174" w:rsidR="00B5173C" w:rsidRPr="00BF0CA7" w:rsidRDefault="00B5173C" w:rsidP="00B5173C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Recharge to Education Psych team</w:t>
            </w:r>
          </w:p>
        </w:tc>
        <w:tc>
          <w:tcPr>
            <w:tcW w:w="1134" w:type="dxa"/>
            <w:noWrap/>
          </w:tcPr>
          <w:p w14:paraId="2EACB8A3" w14:textId="74FF24E5" w:rsidR="00B5173C" w:rsidRPr="00BF0CA7" w:rsidRDefault="00B5173C" w:rsidP="00B5173C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188</w:t>
            </w:r>
          </w:p>
        </w:tc>
        <w:tc>
          <w:tcPr>
            <w:tcW w:w="993" w:type="dxa"/>
          </w:tcPr>
          <w:p w14:paraId="5297651D" w14:textId="7C4E2653" w:rsidR="00B5173C" w:rsidRPr="00BF0CA7" w:rsidRDefault="00B5173C" w:rsidP="00B5173C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188</w:t>
            </w:r>
          </w:p>
        </w:tc>
        <w:tc>
          <w:tcPr>
            <w:tcW w:w="3685" w:type="dxa"/>
            <w:noWrap/>
          </w:tcPr>
          <w:p w14:paraId="333412FE" w14:textId="3A37431D" w:rsidR="00B5173C" w:rsidRPr="00BF0CA7" w:rsidRDefault="00B5173C" w:rsidP="00B5173C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Remain as 2022-23</w:t>
            </w:r>
          </w:p>
        </w:tc>
      </w:tr>
      <w:tr w:rsidR="00B5173C" w:rsidRPr="00BF0CA7" w14:paraId="044966AA" w14:textId="77777777" w:rsidTr="00BF0CA7">
        <w:trPr>
          <w:trHeight w:val="290"/>
        </w:trPr>
        <w:tc>
          <w:tcPr>
            <w:tcW w:w="3392" w:type="dxa"/>
            <w:noWrap/>
            <w:hideMark/>
          </w:tcPr>
          <w:p w14:paraId="615D6222" w14:textId="77777777" w:rsidR="00B5173C" w:rsidRPr="00BF0CA7" w:rsidRDefault="00B5173C" w:rsidP="00B5173C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Children in Public Care Team</w:t>
            </w:r>
          </w:p>
        </w:tc>
        <w:tc>
          <w:tcPr>
            <w:tcW w:w="1134" w:type="dxa"/>
            <w:noWrap/>
            <w:hideMark/>
          </w:tcPr>
          <w:p w14:paraId="568A945B" w14:textId="3553C95A" w:rsidR="00B5173C" w:rsidRPr="00BF0CA7" w:rsidRDefault="00B5173C" w:rsidP="00B5173C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251</w:t>
            </w:r>
          </w:p>
        </w:tc>
        <w:tc>
          <w:tcPr>
            <w:tcW w:w="993" w:type="dxa"/>
          </w:tcPr>
          <w:p w14:paraId="22E759EF" w14:textId="5D213A15" w:rsidR="00B5173C" w:rsidRPr="00BF0CA7" w:rsidRDefault="00B5173C" w:rsidP="00B5173C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251</w:t>
            </w:r>
          </w:p>
        </w:tc>
        <w:tc>
          <w:tcPr>
            <w:tcW w:w="3685" w:type="dxa"/>
            <w:noWrap/>
          </w:tcPr>
          <w:p w14:paraId="1D6A5761" w14:textId="6A8BC208" w:rsidR="00B5173C" w:rsidRPr="00BF0CA7" w:rsidRDefault="00B5173C" w:rsidP="00B5173C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Remain as 2022-23</w:t>
            </w:r>
          </w:p>
        </w:tc>
      </w:tr>
      <w:tr w:rsidR="00B5173C" w:rsidRPr="00BF0CA7" w14:paraId="0B75D04C" w14:textId="77777777" w:rsidTr="00BF0CA7">
        <w:trPr>
          <w:trHeight w:val="290"/>
        </w:trPr>
        <w:tc>
          <w:tcPr>
            <w:tcW w:w="3392" w:type="dxa"/>
            <w:noWrap/>
            <w:hideMark/>
          </w:tcPr>
          <w:p w14:paraId="486C372B" w14:textId="19443A17" w:rsidR="00B5173C" w:rsidRPr="00BF0CA7" w:rsidRDefault="00B5173C" w:rsidP="00B5173C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Clothing grants</w:t>
            </w:r>
          </w:p>
        </w:tc>
        <w:tc>
          <w:tcPr>
            <w:tcW w:w="1134" w:type="dxa"/>
            <w:noWrap/>
            <w:hideMark/>
          </w:tcPr>
          <w:p w14:paraId="7A8D59DD" w14:textId="2C84C743" w:rsidR="00B5173C" w:rsidRPr="00BF0CA7" w:rsidRDefault="00B5173C" w:rsidP="00B5173C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201</w:t>
            </w:r>
          </w:p>
        </w:tc>
        <w:tc>
          <w:tcPr>
            <w:tcW w:w="993" w:type="dxa"/>
          </w:tcPr>
          <w:p w14:paraId="1CFEE094" w14:textId="5EBE2240" w:rsidR="00B5173C" w:rsidRPr="00BF0CA7" w:rsidRDefault="00B5173C" w:rsidP="00B5173C">
            <w:pPr>
              <w:jc w:val="center"/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201</w:t>
            </w:r>
          </w:p>
        </w:tc>
        <w:tc>
          <w:tcPr>
            <w:tcW w:w="3685" w:type="dxa"/>
            <w:noWrap/>
          </w:tcPr>
          <w:p w14:paraId="1BBD6D0C" w14:textId="2F3C8AE1" w:rsidR="00B5173C" w:rsidRPr="00BF0CA7" w:rsidRDefault="00B5173C" w:rsidP="00B5173C">
            <w:pPr>
              <w:rPr>
                <w:rFonts w:cs="Arial"/>
                <w:sz w:val="22"/>
                <w:szCs w:val="22"/>
              </w:rPr>
            </w:pPr>
            <w:r w:rsidRPr="00BF0CA7">
              <w:rPr>
                <w:rFonts w:cs="Arial"/>
                <w:sz w:val="22"/>
                <w:szCs w:val="22"/>
              </w:rPr>
              <w:t>Remain as 2022-23</w:t>
            </w:r>
          </w:p>
        </w:tc>
      </w:tr>
      <w:tr w:rsidR="00B5173C" w:rsidRPr="00BF0CA7" w14:paraId="1EF1585A" w14:textId="77777777" w:rsidTr="00BF0CA7">
        <w:trPr>
          <w:trHeight w:val="290"/>
        </w:trPr>
        <w:tc>
          <w:tcPr>
            <w:tcW w:w="3392" w:type="dxa"/>
            <w:noWrap/>
            <w:hideMark/>
          </w:tcPr>
          <w:p w14:paraId="2EDAD938" w14:textId="6868BAB5" w:rsidR="00B5173C" w:rsidRPr="00BF0CA7" w:rsidRDefault="00B5173C" w:rsidP="00E70A5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 Total Historic </w:t>
            </w:r>
            <w:r w:rsidR="0024783D"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commitments</w:t>
            </w:r>
          </w:p>
        </w:tc>
        <w:tc>
          <w:tcPr>
            <w:tcW w:w="1134" w:type="dxa"/>
            <w:noWrap/>
            <w:hideMark/>
          </w:tcPr>
          <w:p w14:paraId="1CCC0925" w14:textId="7C0645FB" w:rsidR="00B5173C" w:rsidRPr="00BF0CA7" w:rsidRDefault="00B5173C" w:rsidP="00E70A5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1,702</w:t>
            </w:r>
          </w:p>
        </w:tc>
        <w:tc>
          <w:tcPr>
            <w:tcW w:w="993" w:type="dxa"/>
          </w:tcPr>
          <w:p w14:paraId="198B0CD6" w14:textId="35E174E6" w:rsidR="00B5173C" w:rsidRPr="00BF0CA7" w:rsidRDefault="00B5173C" w:rsidP="00DC649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1,</w:t>
            </w:r>
            <w:r w:rsidR="00DC649E"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363</w:t>
            </w:r>
          </w:p>
        </w:tc>
        <w:tc>
          <w:tcPr>
            <w:tcW w:w="3685" w:type="dxa"/>
            <w:noWrap/>
            <w:hideMark/>
          </w:tcPr>
          <w:p w14:paraId="5A879513" w14:textId="6494F5DE" w:rsidR="00B5173C" w:rsidRPr="00BF0CA7" w:rsidRDefault="0024783D" w:rsidP="0024783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Variance = -</w:t>
            </w:r>
            <w:r w:rsidR="00DC649E"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339</w:t>
            </w: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k </w:t>
            </w:r>
            <w:r w:rsidR="00B5173C"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(-</w:t>
            </w:r>
            <w:r w:rsidR="00DC649E"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19.9</w:t>
            </w:r>
            <w:r w:rsidR="00B5173C"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%)</w:t>
            </w:r>
          </w:p>
        </w:tc>
      </w:tr>
      <w:tr w:rsidR="00B5173C" w:rsidRPr="00BF0CA7" w14:paraId="4DF91629" w14:textId="77777777" w:rsidTr="00BF0CA7">
        <w:trPr>
          <w:trHeight w:val="473"/>
        </w:trPr>
        <w:tc>
          <w:tcPr>
            <w:tcW w:w="3392" w:type="dxa"/>
            <w:noWrap/>
          </w:tcPr>
          <w:p w14:paraId="11F83D16" w14:textId="62B25F4F" w:rsidR="00B5173C" w:rsidRPr="00BF0CA7" w:rsidRDefault="00B5173C" w:rsidP="00E70A5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Total CSSB</w:t>
            </w:r>
          </w:p>
        </w:tc>
        <w:tc>
          <w:tcPr>
            <w:tcW w:w="1134" w:type="dxa"/>
            <w:noWrap/>
          </w:tcPr>
          <w:p w14:paraId="7B4C3AF9" w14:textId="696DFCF1" w:rsidR="00B5173C" w:rsidRPr="00BF0CA7" w:rsidRDefault="00B5173C" w:rsidP="00E70A53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3,511</w:t>
            </w:r>
          </w:p>
        </w:tc>
        <w:tc>
          <w:tcPr>
            <w:tcW w:w="993" w:type="dxa"/>
          </w:tcPr>
          <w:p w14:paraId="765E132A" w14:textId="5016EFBB" w:rsidR="00B5173C" w:rsidRPr="00BF0CA7" w:rsidRDefault="00B5173C" w:rsidP="0024783D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3,</w:t>
            </w:r>
            <w:r w:rsidR="0024783D"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685" w:type="dxa"/>
            <w:noWrap/>
          </w:tcPr>
          <w:p w14:paraId="367F5553" w14:textId="13819C2F" w:rsidR="00B5173C" w:rsidRPr="00BF0CA7" w:rsidRDefault="0024783D" w:rsidP="0024783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Variance =  -357k </w:t>
            </w:r>
            <w:r w:rsidR="00B5173C"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-10</w:t>
            </w:r>
            <w:r w:rsidR="00B5173C" w:rsidRPr="00BF0CA7">
              <w:rPr>
                <w:rFonts w:cs="Arial"/>
                <w:b/>
                <w:bCs/>
                <w:color w:val="000000"/>
                <w:sz w:val="22"/>
                <w:szCs w:val="22"/>
              </w:rPr>
              <w:t>%)</w:t>
            </w:r>
          </w:p>
        </w:tc>
      </w:tr>
    </w:tbl>
    <w:p w14:paraId="63BCF413" w14:textId="77777777" w:rsidR="009E19B6" w:rsidRPr="000F2077" w:rsidRDefault="009E19B6" w:rsidP="009E19B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highlight w:val="yellow"/>
        </w:rPr>
      </w:pPr>
    </w:p>
    <w:p w14:paraId="79A7D7EC" w14:textId="2973E0D8" w:rsidR="008F303C" w:rsidRPr="00B6113D" w:rsidRDefault="008F303C" w:rsidP="00C85A66">
      <w:pPr>
        <w:pStyle w:val="ListParagraph"/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</w:p>
    <w:sectPr w:rsidR="008F303C" w:rsidRPr="00B6113D" w:rsidSect="00983D4E">
      <w:footerReference w:type="default" r:id="rId11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D7AE" w14:textId="77777777" w:rsidR="0055480A" w:rsidRDefault="0055480A">
      <w:r>
        <w:separator/>
      </w:r>
    </w:p>
  </w:endnote>
  <w:endnote w:type="continuationSeparator" w:id="0">
    <w:p w14:paraId="07C51C40" w14:textId="77777777" w:rsidR="0055480A" w:rsidRDefault="0055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2E8" w14:textId="2AF7E348" w:rsidR="00331801" w:rsidRDefault="00331801">
    <w:pPr>
      <w:pStyle w:val="Footer"/>
    </w:pPr>
    <w:r>
      <w:t>Schools Forum 30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F034" w14:textId="77777777" w:rsidR="0055480A" w:rsidRDefault="0055480A">
      <w:r>
        <w:separator/>
      </w:r>
    </w:p>
  </w:footnote>
  <w:footnote w:type="continuationSeparator" w:id="0">
    <w:p w14:paraId="36DD7511" w14:textId="77777777" w:rsidR="0055480A" w:rsidRDefault="0055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5B4"/>
    <w:multiLevelType w:val="hybridMultilevel"/>
    <w:tmpl w:val="F494905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6EF26E1"/>
    <w:multiLevelType w:val="hybridMultilevel"/>
    <w:tmpl w:val="5F70E98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322164"/>
    <w:multiLevelType w:val="hybridMultilevel"/>
    <w:tmpl w:val="28EEA05A"/>
    <w:lvl w:ilvl="0" w:tplc="BE240FA8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282A3826">
      <w:start w:val="1"/>
      <w:numFmt w:val="lowerLetter"/>
      <w:lvlText w:val="%2."/>
      <w:lvlJc w:val="left"/>
      <w:pPr>
        <w:ind w:left="1508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085E36A5"/>
    <w:multiLevelType w:val="multilevel"/>
    <w:tmpl w:val="136A3C1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163B3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BAB4BCC"/>
    <w:multiLevelType w:val="hybridMultilevel"/>
    <w:tmpl w:val="0C14A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D321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0BF2FCC"/>
    <w:multiLevelType w:val="hybridMultilevel"/>
    <w:tmpl w:val="F32EABBA"/>
    <w:lvl w:ilvl="0" w:tplc="A5F05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14B6FA6"/>
    <w:multiLevelType w:val="hybridMultilevel"/>
    <w:tmpl w:val="1BA03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932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0E1C25"/>
    <w:multiLevelType w:val="hybridMultilevel"/>
    <w:tmpl w:val="ADB47C2C"/>
    <w:lvl w:ilvl="0" w:tplc="260E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A463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17FA8"/>
    <w:multiLevelType w:val="hybridMultilevel"/>
    <w:tmpl w:val="9212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6531D"/>
    <w:multiLevelType w:val="hybridMultilevel"/>
    <w:tmpl w:val="85081AD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50562EC7"/>
    <w:multiLevelType w:val="hybridMultilevel"/>
    <w:tmpl w:val="A23E9816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582F528A"/>
    <w:multiLevelType w:val="hybridMultilevel"/>
    <w:tmpl w:val="A19098D4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BAF00D1"/>
    <w:multiLevelType w:val="hybridMultilevel"/>
    <w:tmpl w:val="0FB86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F658A"/>
    <w:multiLevelType w:val="hybridMultilevel"/>
    <w:tmpl w:val="521EA2A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F63770C"/>
    <w:multiLevelType w:val="hybridMultilevel"/>
    <w:tmpl w:val="24F634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FE37C9"/>
    <w:multiLevelType w:val="multilevel"/>
    <w:tmpl w:val="AD540B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20"/>
  </w:num>
  <w:num w:numId="5">
    <w:abstractNumId w:val="15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18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13"/>
  </w:num>
  <w:num w:numId="16">
    <w:abstractNumId w:val="4"/>
  </w:num>
  <w:num w:numId="17">
    <w:abstractNumId w:val="17"/>
  </w:num>
  <w:num w:numId="18">
    <w:abstractNumId w:val="1"/>
  </w:num>
  <w:num w:numId="19">
    <w:abstractNumId w:val="19"/>
  </w:num>
  <w:num w:numId="20">
    <w:abstractNumId w:val="3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2531"/>
    <w:rsid w:val="000079CF"/>
    <w:rsid w:val="00010134"/>
    <w:rsid w:val="000106AF"/>
    <w:rsid w:val="00011A38"/>
    <w:rsid w:val="0001228D"/>
    <w:rsid w:val="00014128"/>
    <w:rsid w:val="000149FD"/>
    <w:rsid w:val="00025F55"/>
    <w:rsid w:val="00026A03"/>
    <w:rsid w:val="000273CB"/>
    <w:rsid w:val="00030F6F"/>
    <w:rsid w:val="000339DC"/>
    <w:rsid w:val="00036092"/>
    <w:rsid w:val="000362CF"/>
    <w:rsid w:val="00037CCC"/>
    <w:rsid w:val="00041E9D"/>
    <w:rsid w:val="00044BF9"/>
    <w:rsid w:val="00046FCB"/>
    <w:rsid w:val="0005284B"/>
    <w:rsid w:val="00053B81"/>
    <w:rsid w:val="000562F4"/>
    <w:rsid w:val="0006017B"/>
    <w:rsid w:val="00060FED"/>
    <w:rsid w:val="0007256E"/>
    <w:rsid w:val="00074483"/>
    <w:rsid w:val="00077299"/>
    <w:rsid w:val="00083BBE"/>
    <w:rsid w:val="00087E04"/>
    <w:rsid w:val="000906A2"/>
    <w:rsid w:val="000A1B89"/>
    <w:rsid w:val="000A2234"/>
    <w:rsid w:val="000A5CBB"/>
    <w:rsid w:val="000A7872"/>
    <w:rsid w:val="000A78CA"/>
    <w:rsid w:val="000A7A7A"/>
    <w:rsid w:val="000B00E7"/>
    <w:rsid w:val="000C1387"/>
    <w:rsid w:val="000D3037"/>
    <w:rsid w:val="000D5510"/>
    <w:rsid w:val="000D6FF5"/>
    <w:rsid w:val="000D7F04"/>
    <w:rsid w:val="000E153F"/>
    <w:rsid w:val="000E7C2D"/>
    <w:rsid w:val="000F0BCB"/>
    <w:rsid w:val="000F1054"/>
    <w:rsid w:val="000F2077"/>
    <w:rsid w:val="00102CEB"/>
    <w:rsid w:val="00105935"/>
    <w:rsid w:val="00110AE1"/>
    <w:rsid w:val="00112247"/>
    <w:rsid w:val="0012043F"/>
    <w:rsid w:val="001228A0"/>
    <w:rsid w:val="00125730"/>
    <w:rsid w:val="00126384"/>
    <w:rsid w:val="00127374"/>
    <w:rsid w:val="00131EEB"/>
    <w:rsid w:val="00132316"/>
    <w:rsid w:val="0013261A"/>
    <w:rsid w:val="00133AC3"/>
    <w:rsid w:val="001445AD"/>
    <w:rsid w:val="00146058"/>
    <w:rsid w:val="00151AD1"/>
    <w:rsid w:val="00152F4B"/>
    <w:rsid w:val="001545CA"/>
    <w:rsid w:val="00154D08"/>
    <w:rsid w:val="001619A7"/>
    <w:rsid w:val="001637DD"/>
    <w:rsid w:val="001638D3"/>
    <w:rsid w:val="00171274"/>
    <w:rsid w:val="00174CDA"/>
    <w:rsid w:val="00177800"/>
    <w:rsid w:val="00184A94"/>
    <w:rsid w:val="00184DD1"/>
    <w:rsid w:val="0019143A"/>
    <w:rsid w:val="00191AE2"/>
    <w:rsid w:val="00196A2B"/>
    <w:rsid w:val="001A2886"/>
    <w:rsid w:val="001A3DE9"/>
    <w:rsid w:val="001A4069"/>
    <w:rsid w:val="001A74CC"/>
    <w:rsid w:val="001B1424"/>
    <w:rsid w:val="001B1591"/>
    <w:rsid w:val="001B259F"/>
    <w:rsid w:val="001B44A2"/>
    <w:rsid w:val="001B481B"/>
    <w:rsid w:val="001C0093"/>
    <w:rsid w:val="001C1360"/>
    <w:rsid w:val="001C1E82"/>
    <w:rsid w:val="001C209A"/>
    <w:rsid w:val="001C6F21"/>
    <w:rsid w:val="001D32A0"/>
    <w:rsid w:val="001D4975"/>
    <w:rsid w:val="001D6BA4"/>
    <w:rsid w:val="001E0569"/>
    <w:rsid w:val="001E4116"/>
    <w:rsid w:val="001E472B"/>
    <w:rsid w:val="001E5678"/>
    <w:rsid w:val="001E70F6"/>
    <w:rsid w:val="001F3436"/>
    <w:rsid w:val="001F66E2"/>
    <w:rsid w:val="00205496"/>
    <w:rsid w:val="00212E55"/>
    <w:rsid w:val="002204C8"/>
    <w:rsid w:val="00221B84"/>
    <w:rsid w:val="002246CA"/>
    <w:rsid w:val="00227A06"/>
    <w:rsid w:val="00231641"/>
    <w:rsid w:val="002374A3"/>
    <w:rsid w:val="00246254"/>
    <w:rsid w:val="002467C4"/>
    <w:rsid w:val="00247157"/>
    <w:rsid w:val="0024783D"/>
    <w:rsid w:val="00253B34"/>
    <w:rsid w:val="00256938"/>
    <w:rsid w:val="00257D10"/>
    <w:rsid w:val="0026062F"/>
    <w:rsid w:val="0026098B"/>
    <w:rsid w:val="00263DD7"/>
    <w:rsid w:val="002640E1"/>
    <w:rsid w:val="00264249"/>
    <w:rsid w:val="00266DE2"/>
    <w:rsid w:val="00277246"/>
    <w:rsid w:val="00281FD7"/>
    <w:rsid w:val="0028450A"/>
    <w:rsid w:val="00287DBD"/>
    <w:rsid w:val="0029022D"/>
    <w:rsid w:val="00290DA3"/>
    <w:rsid w:val="00291476"/>
    <w:rsid w:val="0029323C"/>
    <w:rsid w:val="002958F1"/>
    <w:rsid w:val="002A097D"/>
    <w:rsid w:val="002A0ECF"/>
    <w:rsid w:val="002A18E2"/>
    <w:rsid w:val="002A69DC"/>
    <w:rsid w:val="002A734B"/>
    <w:rsid w:val="002B4510"/>
    <w:rsid w:val="002B45E1"/>
    <w:rsid w:val="002B5AFA"/>
    <w:rsid w:val="002C54E5"/>
    <w:rsid w:val="002D76A6"/>
    <w:rsid w:val="002D7D56"/>
    <w:rsid w:val="002E356B"/>
    <w:rsid w:val="002E4201"/>
    <w:rsid w:val="002E44F4"/>
    <w:rsid w:val="002E68FD"/>
    <w:rsid w:val="002F4FB8"/>
    <w:rsid w:val="002F55A8"/>
    <w:rsid w:val="00303E97"/>
    <w:rsid w:val="003044B1"/>
    <w:rsid w:val="0030490E"/>
    <w:rsid w:val="00304E15"/>
    <w:rsid w:val="00314D6B"/>
    <w:rsid w:val="00322E4D"/>
    <w:rsid w:val="00322F9A"/>
    <w:rsid w:val="00326947"/>
    <w:rsid w:val="00331801"/>
    <w:rsid w:val="003322EA"/>
    <w:rsid w:val="00340F9D"/>
    <w:rsid w:val="00351F12"/>
    <w:rsid w:val="003531BB"/>
    <w:rsid w:val="003564B6"/>
    <w:rsid w:val="0036088C"/>
    <w:rsid w:val="00361F94"/>
    <w:rsid w:val="003632FA"/>
    <w:rsid w:val="003728FD"/>
    <w:rsid w:val="00376C26"/>
    <w:rsid w:val="0038332C"/>
    <w:rsid w:val="003867AC"/>
    <w:rsid w:val="00391F54"/>
    <w:rsid w:val="003920CB"/>
    <w:rsid w:val="003925D5"/>
    <w:rsid w:val="00397511"/>
    <w:rsid w:val="003B2548"/>
    <w:rsid w:val="003B3B0E"/>
    <w:rsid w:val="003B700C"/>
    <w:rsid w:val="003B7621"/>
    <w:rsid w:val="003B7A09"/>
    <w:rsid w:val="003C0D3A"/>
    <w:rsid w:val="003C130C"/>
    <w:rsid w:val="003C1B70"/>
    <w:rsid w:val="003C1F00"/>
    <w:rsid w:val="003C4300"/>
    <w:rsid w:val="003D08B1"/>
    <w:rsid w:val="003D29D2"/>
    <w:rsid w:val="003D435E"/>
    <w:rsid w:val="003D4611"/>
    <w:rsid w:val="003E00BB"/>
    <w:rsid w:val="003E5330"/>
    <w:rsid w:val="00405862"/>
    <w:rsid w:val="00405B39"/>
    <w:rsid w:val="00407F2D"/>
    <w:rsid w:val="00410D37"/>
    <w:rsid w:val="00410FB8"/>
    <w:rsid w:val="00411EEB"/>
    <w:rsid w:val="00415C71"/>
    <w:rsid w:val="00421266"/>
    <w:rsid w:val="004256EA"/>
    <w:rsid w:val="00434EDA"/>
    <w:rsid w:val="00444227"/>
    <w:rsid w:val="00444C0E"/>
    <w:rsid w:val="00446519"/>
    <w:rsid w:val="004478AE"/>
    <w:rsid w:val="00447E7C"/>
    <w:rsid w:val="004503C6"/>
    <w:rsid w:val="0045059B"/>
    <w:rsid w:val="00451CF7"/>
    <w:rsid w:val="00451E0F"/>
    <w:rsid w:val="004541FA"/>
    <w:rsid w:val="00456E78"/>
    <w:rsid w:val="00457528"/>
    <w:rsid w:val="0046014D"/>
    <w:rsid w:val="00465312"/>
    <w:rsid w:val="0046718D"/>
    <w:rsid w:val="004705A1"/>
    <w:rsid w:val="00472355"/>
    <w:rsid w:val="00472F71"/>
    <w:rsid w:val="00474B72"/>
    <w:rsid w:val="004801FF"/>
    <w:rsid w:val="00481721"/>
    <w:rsid w:val="00484430"/>
    <w:rsid w:val="004862AC"/>
    <w:rsid w:val="004862E0"/>
    <w:rsid w:val="00486492"/>
    <w:rsid w:val="00487DC0"/>
    <w:rsid w:val="004A0F22"/>
    <w:rsid w:val="004A208D"/>
    <w:rsid w:val="004A2E94"/>
    <w:rsid w:val="004B6ED7"/>
    <w:rsid w:val="004C11CF"/>
    <w:rsid w:val="004C34C0"/>
    <w:rsid w:val="004D4FF7"/>
    <w:rsid w:val="004D7D73"/>
    <w:rsid w:val="004F67E3"/>
    <w:rsid w:val="00501776"/>
    <w:rsid w:val="00502101"/>
    <w:rsid w:val="005058AF"/>
    <w:rsid w:val="00505930"/>
    <w:rsid w:val="0050651C"/>
    <w:rsid w:val="005065B0"/>
    <w:rsid w:val="00510168"/>
    <w:rsid w:val="005210A6"/>
    <w:rsid w:val="00534FB2"/>
    <w:rsid w:val="0053599E"/>
    <w:rsid w:val="0054015A"/>
    <w:rsid w:val="00540291"/>
    <w:rsid w:val="00545A21"/>
    <w:rsid w:val="00545F96"/>
    <w:rsid w:val="00550232"/>
    <w:rsid w:val="00550AD9"/>
    <w:rsid w:val="00550F52"/>
    <w:rsid w:val="00552A9D"/>
    <w:rsid w:val="00552D0C"/>
    <w:rsid w:val="00554009"/>
    <w:rsid w:val="0055480A"/>
    <w:rsid w:val="00555D14"/>
    <w:rsid w:val="00555D8D"/>
    <w:rsid w:val="00556BC3"/>
    <w:rsid w:val="00561C65"/>
    <w:rsid w:val="00565A0D"/>
    <w:rsid w:val="00565F48"/>
    <w:rsid w:val="00570929"/>
    <w:rsid w:val="00571F1C"/>
    <w:rsid w:val="00572E2A"/>
    <w:rsid w:val="00580113"/>
    <w:rsid w:val="00581CFC"/>
    <w:rsid w:val="0058205C"/>
    <w:rsid w:val="00582A23"/>
    <w:rsid w:val="005840FC"/>
    <w:rsid w:val="00584A63"/>
    <w:rsid w:val="00586F2C"/>
    <w:rsid w:val="005934AD"/>
    <w:rsid w:val="005A2910"/>
    <w:rsid w:val="005A29F4"/>
    <w:rsid w:val="005A3C4D"/>
    <w:rsid w:val="005C226F"/>
    <w:rsid w:val="005D46B1"/>
    <w:rsid w:val="005D57DA"/>
    <w:rsid w:val="005D5CDC"/>
    <w:rsid w:val="005E12B9"/>
    <w:rsid w:val="005E7EBC"/>
    <w:rsid w:val="005F0F0E"/>
    <w:rsid w:val="005F1CE0"/>
    <w:rsid w:val="005F1EFF"/>
    <w:rsid w:val="005F399C"/>
    <w:rsid w:val="005F7713"/>
    <w:rsid w:val="00601345"/>
    <w:rsid w:val="00602FA9"/>
    <w:rsid w:val="00602FF6"/>
    <w:rsid w:val="00603459"/>
    <w:rsid w:val="00604DF8"/>
    <w:rsid w:val="00611B3F"/>
    <w:rsid w:val="00611E83"/>
    <w:rsid w:val="006134FA"/>
    <w:rsid w:val="00613717"/>
    <w:rsid w:val="00616733"/>
    <w:rsid w:val="006254AF"/>
    <w:rsid w:val="00625C62"/>
    <w:rsid w:val="00645F8F"/>
    <w:rsid w:val="0064633D"/>
    <w:rsid w:val="0064655C"/>
    <w:rsid w:val="00646D3B"/>
    <w:rsid w:val="006511CC"/>
    <w:rsid w:val="0065202F"/>
    <w:rsid w:val="00655831"/>
    <w:rsid w:val="00660345"/>
    <w:rsid w:val="00661A29"/>
    <w:rsid w:val="00664ED4"/>
    <w:rsid w:val="006706BB"/>
    <w:rsid w:val="00671CCB"/>
    <w:rsid w:val="0067369D"/>
    <w:rsid w:val="00673A87"/>
    <w:rsid w:val="00673E2E"/>
    <w:rsid w:val="00674AD4"/>
    <w:rsid w:val="00675758"/>
    <w:rsid w:val="00690471"/>
    <w:rsid w:val="00695F0A"/>
    <w:rsid w:val="0069748F"/>
    <w:rsid w:val="006A1227"/>
    <w:rsid w:val="006A1261"/>
    <w:rsid w:val="006A5F0B"/>
    <w:rsid w:val="006B15C2"/>
    <w:rsid w:val="006C3030"/>
    <w:rsid w:val="006C3E43"/>
    <w:rsid w:val="006C5574"/>
    <w:rsid w:val="006C5DF1"/>
    <w:rsid w:val="006C63CE"/>
    <w:rsid w:val="006C6470"/>
    <w:rsid w:val="006C75C1"/>
    <w:rsid w:val="006C7A55"/>
    <w:rsid w:val="006D33DC"/>
    <w:rsid w:val="006D455C"/>
    <w:rsid w:val="006D64E4"/>
    <w:rsid w:val="006E4FFA"/>
    <w:rsid w:val="006F119E"/>
    <w:rsid w:val="006F1734"/>
    <w:rsid w:val="006F2AAB"/>
    <w:rsid w:val="006F2E0C"/>
    <w:rsid w:val="006F3529"/>
    <w:rsid w:val="006F3ED5"/>
    <w:rsid w:val="007047E2"/>
    <w:rsid w:val="0070740D"/>
    <w:rsid w:val="0071067E"/>
    <w:rsid w:val="0071379A"/>
    <w:rsid w:val="00715428"/>
    <w:rsid w:val="00715552"/>
    <w:rsid w:val="007303C1"/>
    <w:rsid w:val="00734345"/>
    <w:rsid w:val="00740345"/>
    <w:rsid w:val="007420EE"/>
    <w:rsid w:val="007443D5"/>
    <w:rsid w:val="00755561"/>
    <w:rsid w:val="00764A57"/>
    <w:rsid w:val="007654C8"/>
    <w:rsid w:val="00775279"/>
    <w:rsid w:val="00775B33"/>
    <w:rsid w:val="00777C75"/>
    <w:rsid w:val="0078151E"/>
    <w:rsid w:val="007830A0"/>
    <w:rsid w:val="00793F85"/>
    <w:rsid w:val="007976AC"/>
    <w:rsid w:val="00797C2F"/>
    <w:rsid w:val="007A4A2D"/>
    <w:rsid w:val="007B0235"/>
    <w:rsid w:val="007B20BA"/>
    <w:rsid w:val="007B267B"/>
    <w:rsid w:val="007B6A6E"/>
    <w:rsid w:val="007C0808"/>
    <w:rsid w:val="007C1A9C"/>
    <w:rsid w:val="007C31A3"/>
    <w:rsid w:val="007C5374"/>
    <w:rsid w:val="007D00A9"/>
    <w:rsid w:val="007D0E5A"/>
    <w:rsid w:val="007D15CC"/>
    <w:rsid w:val="007D3E13"/>
    <w:rsid w:val="007D695C"/>
    <w:rsid w:val="007E0602"/>
    <w:rsid w:val="007E4B79"/>
    <w:rsid w:val="007E59C2"/>
    <w:rsid w:val="007F442C"/>
    <w:rsid w:val="007F598E"/>
    <w:rsid w:val="007F68E4"/>
    <w:rsid w:val="008016EC"/>
    <w:rsid w:val="008059CF"/>
    <w:rsid w:val="00805A54"/>
    <w:rsid w:val="008113A1"/>
    <w:rsid w:val="00811614"/>
    <w:rsid w:val="00815A44"/>
    <w:rsid w:val="00816F02"/>
    <w:rsid w:val="0082686D"/>
    <w:rsid w:val="00826A3F"/>
    <w:rsid w:val="008276F5"/>
    <w:rsid w:val="00827831"/>
    <w:rsid w:val="00830781"/>
    <w:rsid w:val="0083113B"/>
    <w:rsid w:val="008311F6"/>
    <w:rsid w:val="00831D29"/>
    <w:rsid w:val="00833A23"/>
    <w:rsid w:val="00840B1F"/>
    <w:rsid w:val="00840D9D"/>
    <w:rsid w:val="0084126C"/>
    <w:rsid w:val="008415CA"/>
    <w:rsid w:val="00842A36"/>
    <w:rsid w:val="00843CA0"/>
    <w:rsid w:val="00851B78"/>
    <w:rsid w:val="00853979"/>
    <w:rsid w:val="008551AC"/>
    <w:rsid w:val="00860514"/>
    <w:rsid w:val="0086243D"/>
    <w:rsid w:val="00862649"/>
    <w:rsid w:val="008675E8"/>
    <w:rsid w:val="00875173"/>
    <w:rsid w:val="00876D9E"/>
    <w:rsid w:val="008779FF"/>
    <w:rsid w:val="00884935"/>
    <w:rsid w:val="00887A6A"/>
    <w:rsid w:val="008918D0"/>
    <w:rsid w:val="00892737"/>
    <w:rsid w:val="0089533B"/>
    <w:rsid w:val="00897094"/>
    <w:rsid w:val="00897D1F"/>
    <w:rsid w:val="008A1355"/>
    <w:rsid w:val="008A63F2"/>
    <w:rsid w:val="008B2D9D"/>
    <w:rsid w:val="008B3A21"/>
    <w:rsid w:val="008B4C21"/>
    <w:rsid w:val="008C0499"/>
    <w:rsid w:val="008C10D0"/>
    <w:rsid w:val="008C1863"/>
    <w:rsid w:val="008C223D"/>
    <w:rsid w:val="008C589A"/>
    <w:rsid w:val="008C6C9C"/>
    <w:rsid w:val="008C709C"/>
    <w:rsid w:val="008D05A5"/>
    <w:rsid w:val="008D3826"/>
    <w:rsid w:val="008D795D"/>
    <w:rsid w:val="008E4D27"/>
    <w:rsid w:val="008E7125"/>
    <w:rsid w:val="008F09FF"/>
    <w:rsid w:val="008F1F04"/>
    <w:rsid w:val="008F303C"/>
    <w:rsid w:val="008F308F"/>
    <w:rsid w:val="008F3578"/>
    <w:rsid w:val="00901921"/>
    <w:rsid w:val="00903441"/>
    <w:rsid w:val="00910F12"/>
    <w:rsid w:val="00913C44"/>
    <w:rsid w:val="00913C73"/>
    <w:rsid w:val="00921BF5"/>
    <w:rsid w:val="009239D1"/>
    <w:rsid w:val="009324CE"/>
    <w:rsid w:val="00932832"/>
    <w:rsid w:val="00933146"/>
    <w:rsid w:val="00937126"/>
    <w:rsid w:val="009376B7"/>
    <w:rsid w:val="00951E60"/>
    <w:rsid w:val="009626AA"/>
    <w:rsid w:val="0096294A"/>
    <w:rsid w:val="009641E1"/>
    <w:rsid w:val="00965C59"/>
    <w:rsid w:val="00967412"/>
    <w:rsid w:val="0097070D"/>
    <w:rsid w:val="00974443"/>
    <w:rsid w:val="009759E5"/>
    <w:rsid w:val="00977FE3"/>
    <w:rsid w:val="00982475"/>
    <w:rsid w:val="00982C1A"/>
    <w:rsid w:val="009836A0"/>
    <w:rsid w:val="00983BE3"/>
    <w:rsid w:val="00983D4E"/>
    <w:rsid w:val="00984862"/>
    <w:rsid w:val="00987495"/>
    <w:rsid w:val="009874FC"/>
    <w:rsid w:val="00995FE0"/>
    <w:rsid w:val="009A6B26"/>
    <w:rsid w:val="009B0557"/>
    <w:rsid w:val="009B594A"/>
    <w:rsid w:val="009B5F87"/>
    <w:rsid w:val="009C6A63"/>
    <w:rsid w:val="009D02BA"/>
    <w:rsid w:val="009D2763"/>
    <w:rsid w:val="009D3DB9"/>
    <w:rsid w:val="009D4717"/>
    <w:rsid w:val="009D7EF1"/>
    <w:rsid w:val="009E19B6"/>
    <w:rsid w:val="009E2CE1"/>
    <w:rsid w:val="009F0DD3"/>
    <w:rsid w:val="009F1BE2"/>
    <w:rsid w:val="00A021D0"/>
    <w:rsid w:val="00A0264B"/>
    <w:rsid w:val="00A029DB"/>
    <w:rsid w:val="00A07CD4"/>
    <w:rsid w:val="00A16F56"/>
    <w:rsid w:val="00A270FB"/>
    <w:rsid w:val="00A276F0"/>
    <w:rsid w:val="00A3092C"/>
    <w:rsid w:val="00A35101"/>
    <w:rsid w:val="00A37785"/>
    <w:rsid w:val="00A37D8B"/>
    <w:rsid w:val="00A4143B"/>
    <w:rsid w:val="00A4191B"/>
    <w:rsid w:val="00A41FDD"/>
    <w:rsid w:val="00A423E2"/>
    <w:rsid w:val="00A4607D"/>
    <w:rsid w:val="00A46BC0"/>
    <w:rsid w:val="00A47AD0"/>
    <w:rsid w:val="00A50373"/>
    <w:rsid w:val="00A52DCE"/>
    <w:rsid w:val="00A5713D"/>
    <w:rsid w:val="00A60D80"/>
    <w:rsid w:val="00A638EF"/>
    <w:rsid w:val="00A67E07"/>
    <w:rsid w:val="00A7074D"/>
    <w:rsid w:val="00A70D06"/>
    <w:rsid w:val="00A76038"/>
    <w:rsid w:val="00A869BA"/>
    <w:rsid w:val="00A90D5D"/>
    <w:rsid w:val="00A90DE9"/>
    <w:rsid w:val="00A91654"/>
    <w:rsid w:val="00A9242E"/>
    <w:rsid w:val="00A95177"/>
    <w:rsid w:val="00A954C5"/>
    <w:rsid w:val="00AA2510"/>
    <w:rsid w:val="00AA426A"/>
    <w:rsid w:val="00AB1459"/>
    <w:rsid w:val="00AB7124"/>
    <w:rsid w:val="00AC418C"/>
    <w:rsid w:val="00AC481F"/>
    <w:rsid w:val="00AC5046"/>
    <w:rsid w:val="00AC59CE"/>
    <w:rsid w:val="00AC5F4C"/>
    <w:rsid w:val="00AC6895"/>
    <w:rsid w:val="00AC6E99"/>
    <w:rsid w:val="00AD07DF"/>
    <w:rsid w:val="00AD467E"/>
    <w:rsid w:val="00AD5D3D"/>
    <w:rsid w:val="00AE2D02"/>
    <w:rsid w:val="00AF0DEB"/>
    <w:rsid w:val="00AF4000"/>
    <w:rsid w:val="00AF4619"/>
    <w:rsid w:val="00AF6781"/>
    <w:rsid w:val="00AF72A6"/>
    <w:rsid w:val="00B006AA"/>
    <w:rsid w:val="00B00BFF"/>
    <w:rsid w:val="00B14E69"/>
    <w:rsid w:val="00B156F5"/>
    <w:rsid w:val="00B20B09"/>
    <w:rsid w:val="00B23309"/>
    <w:rsid w:val="00B265D3"/>
    <w:rsid w:val="00B324D8"/>
    <w:rsid w:val="00B33242"/>
    <w:rsid w:val="00B35C52"/>
    <w:rsid w:val="00B42738"/>
    <w:rsid w:val="00B42912"/>
    <w:rsid w:val="00B4534F"/>
    <w:rsid w:val="00B45BDE"/>
    <w:rsid w:val="00B5173C"/>
    <w:rsid w:val="00B51BA6"/>
    <w:rsid w:val="00B52078"/>
    <w:rsid w:val="00B56373"/>
    <w:rsid w:val="00B57BC9"/>
    <w:rsid w:val="00B57F41"/>
    <w:rsid w:val="00B60546"/>
    <w:rsid w:val="00B6113D"/>
    <w:rsid w:val="00B61622"/>
    <w:rsid w:val="00B62473"/>
    <w:rsid w:val="00B63F5E"/>
    <w:rsid w:val="00B676D3"/>
    <w:rsid w:val="00B709E5"/>
    <w:rsid w:val="00B7111E"/>
    <w:rsid w:val="00B72338"/>
    <w:rsid w:val="00B7237F"/>
    <w:rsid w:val="00B72BE2"/>
    <w:rsid w:val="00B756B4"/>
    <w:rsid w:val="00B82BF3"/>
    <w:rsid w:val="00B83052"/>
    <w:rsid w:val="00B8684F"/>
    <w:rsid w:val="00B87DE5"/>
    <w:rsid w:val="00B91F4A"/>
    <w:rsid w:val="00BA4D2F"/>
    <w:rsid w:val="00BA5748"/>
    <w:rsid w:val="00BB00C3"/>
    <w:rsid w:val="00BB0A45"/>
    <w:rsid w:val="00BB2F65"/>
    <w:rsid w:val="00BB4758"/>
    <w:rsid w:val="00BC510D"/>
    <w:rsid w:val="00BD02A8"/>
    <w:rsid w:val="00BD0C88"/>
    <w:rsid w:val="00BD1077"/>
    <w:rsid w:val="00BD2F97"/>
    <w:rsid w:val="00BD403B"/>
    <w:rsid w:val="00BD4FD7"/>
    <w:rsid w:val="00BE0855"/>
    <w:rsid w:val="00BE3436"/>
    <w:rsid w:val="00BE6F69"/>
    <w:rsid w:val="00BF0401"/>
    <w:rsid w:val="00BF0554"/>
    <w:rsid w:val="00BF0CA7"/>
    <w:rsid w:val="00BF12DE"/>
    <w:rsid w:val="00BF37D9"/>
    <w:rsid w:val="00BF6E7C"/>
    <w:rsid w:val="00BF73A1"/>
    <w:rsid w:val="00BF75F9"/>
    <w:rsid w:val="00C12ABE"/>
    <w:rsid w:val="00C13A3C"/>
    <w:rsid w:val="00C156F7"/>
    <w:rsid w:val="00C20840"/>
    <w:rsid w:val="00C21CE7"/>
    <w:rsid w:val="00C26020"/>
    <w:rsid w:val="00C26414"/>
    <w:rsid w:val="00C31AF1"/>
    <w:rsid w:val="00C33AB2"/>
    <w:rsid w:val="00C36824"/>
    <w:rsid w:val="00C40D4B"/>
    <w:rsid w:val="00C43608"/>
    <w:rsid w:val="00C44B19"/>
    <w:rsid w:val="00C50111"/>
    <w:rsid w:val="00C51271"/>
    <w:rsid w:val="00C56941"/>
    <w:rsid w:val="00C617F8"/>
    <w:rsid w:val="00C636D1"/>
    <w:rsid w:val="00C66217"/>
    <w:rsid w:val="00C679E6"/>
    <w:rsid w:val="00C67FDD"/>
    <w:rsid w:val="00C72642"/>
    <w:rsid w:val="00C74EA1"/>
    <w:rsid w:val="00C768A7"/>
    <w:rsid w:val="00C80C78"/>
    <w:rsid w:val="00C81B0D"/>
    <w:rsid w:val="00C83A68"/>
    <w:rsid w:val="00C85A66"/>
    <w:rsid w:val="00C85CF0"/>
    <w:rsid w:val="00C90FFA"/>
    <w:rsid w:val="00C95A30"/>
    <w:rsid w:val="00C974E4"/>
    <w:rsid w:val="00CA4964"/>
    <w:rsid w:val="00CB440D"/>
    <w:rsid w:val="00CB458A"/>
    <w:rsid w:val="00CC3237"/>
    <w:rsid w:val="00CC73F0"/>
    <w:rsid w:val="00CD0D8A"/>
    <w:rsid w:val="00CD0DC8"/>
    <w:rsid w:val="00CD1BDC"/>
    <w:rsid w:val="00CD2C9C"/>
    <w:rsid w:val="00CD764A"/>
    <w:rsid w:val="00CE09C4"/>
    <w:rsid w:val="00CE22AC"/>
    <w:rsid w:val="00CF1CF1"/>
    <w:rsid w:val="00CF2A2E"/>
    <w:rsid w:val="00CF341E"/>
    <w:rsid w:val="00CF36A1"/>
    <w:rsid w:val="00D00362"/>
    <w:rsid w:val="00D00FB5"/>
    <w:rsid w:val="00D02F19"/>
    <w:rsid w:val="00D25CD7"/>
    <w:rsid w:val="00D2769E"/>
    <w:rsid w:val="00D32FE6"/>
    <w:rsid w:val="00D3423A"/>
    <w:rsid w:val="00D37178"/>
    <w:rsid w:val="00D37CAC"/>
    <w:rsid w:val="00D4115F"/>
    <w:rsid w:val="00D436FE"/>
    <w:rsid w:val="00D46204"/>
    <w:rsid w:val="00D4650C"/>
    <w:rsid w:val="00D50D35"/>
    <w:rsid w:val="00D61F50"/>
    <w:rsid w:val="00D62A1F"/>
    <w:rsid w:val="00D702AB"/>
    <w:rsid w:val="00D728E7"/>
    <w:rsid w:val="00D74697"/>
    <w:rsid w:val="00D74A37"/>
    <w:rsid w:val="00D76549"/>
    <w:rsid w:val="00D77378"/>
    <w:rsid w:val="00D84641"/>
    <w:rsid w:val="00D86424"/>
    <w:rsid w:val="00D957DD"/>
    <w:rsid w:val="00DA22DF"/>
    <w:rsid w:val="00DB3C20"/>
    <w:rsid w:val="00DC18DC"/>
    <w:rsid w:val="00DC2677"/>
    <w:rsid w:val="00DC5FA6"/>
    <w:rsid w:val="00DC649E"/>
    <w:rsid w:val="00DD39B8"/>
    <w:rsid w:val="00DD6C98"/>
    <w:rsid w:val="00DE16B5"/>
    <w:rsid w:val="00DE733C"/>
    <w:rsid w:val="00DF6A3A"/>
    <w:rsid w:val="00DF7909"/>
    <w:rsid w:val="00DF7CEF"/>
    <w:rsid w:val="00E00944"/>
    <w:rsid w:val="00E21E4C"/>
    <w:rsid w:val="00E221C2"/>
    <w:rsid w:val="00E26D0A"/>
    <w:rsid w:val="00E27D56"/>
    <w:rsid w:val="00E301F8"/>
    <w:rsid w:val="00E313D6"/>
    <w:rsid w:val="00E332A9"/>
    <w:rsid w:val="00E36F58"/>
    <w:rsid w:val="00E45A92"/>
    <w:rsid w:val="00E552A8"/>
    <w:rsid w:val="00E56071"/>
    <w:rsid w:val="00E56F53"/>
    <w:rsid w:val="00E6044F"/>
    <w:rsid w:val="00E6124D"/>
    <w:rsid w:val="00E67ECA"/>
    <w:rsid w:val="00E70A53"/>
    <w:rsid w:val="00E735AF"/>
    <w:rsid w:val="00E761DB"/>
    <w:rsid w:val="00E8363A"/>
    <w:rsid w:val="00E91E00"/>
    <w:rsid w:val="00E93F8D"/>
    <w:rsid w:val="00E94926"/>
    <w:rsid w:val="00E95427"/>
    <w:rsid w:val="00E968CD"/>
    <w:rsid w:val="00EA72FD"/>
    <w:rsid w:val="00EB1156"/>
    <w:rsid w:val="00EB2573"/>
    <w:rsid w:val="00EB7424"/>
    <w:rsid w:val="00EC21D9"/>
    <w:rsid w:val="00ED2DA2"/>
    <w:rsid w:val="00ED48E9"/>
    <w:rsid w:val="00ED7730"/>
    <w:rsid w:val="00EE01F7"/>
    <w:rsid w:val="00EE3C29"/>
    <w:rsid w:val="00EE5A0F"/>
    <w:rsid w:val="00EF05F1"/>
    <w:rsid w:val="00EF0FE3"/>
    <w:rsid w:val="00EF144A"/>
    <w:rsid w:val="00EF2266"/>
    <w:rsid w:val="00EF318C"/>
    <w:rsid w:val="00EF4132"/>
    <w:rsid w:val="00EF78DD"/>
    <w:rsid w:val="00F01125"/>
    <w:rsid w:val="00F013C6"/>
    <w:rsid w:val="00F01ED0"/>
    <w:rsid w:val="00F02156"/>
    <w:rsid w:val="00F05E02"/>
    <w:rsid w:val="00F1431A"/>
    <w:rsid w:val="00F2140C"/>
    <w:rsid w:val="00F22F45"/>
    <w:rsid w:val="00F2331E"/>
    <w:rsid w:val="00F24751"/>
    <w:rsid w:val="00F24C42"/>
    <w:rsid w:val="00F25E81"/>
    <w:rsid w:val="00F30356"/>
    <w:rsid w:val="00F325BC"/>
    <w:rsid w:val="00F33DE2"/>
    <w:rsid w:val="00F413F5"/>
    <w:rsid w:val="00F4337F"/>
    <w:rsid w:val="00F44713"/>
    <w:rsid w:val="00F45FC8"/>
    <w:rsid w:val="00F474E9"/>
    <w:rsid w:val="00F501DD"/>
    <w:rsid w:val="00F503A4"/>
    <w:rsid w:val="00F50B6B"/>
    <w:rsid w:val="00F51BA2"/>
    <w:rsid w:val="00F530A2"/>
    <w:rsid w:val="00F5344E"/>
    <w:rsid w:val="00F601D7"/>
    <w:rsid w:val="00F6086C"/>
    <w:rsid w:val="00F61F89"/>
    <w:rsid w:val="00F6765F"/>
    <w:rsid w:val="00F67EAC"/>
    <w:rsid w:val="00F733C5"/>
    <w:rsid w:val="00F75550"/>
    <w:rsid w:val="00F8304B"/>
    <w:rsid w:val="00F91B89"/>
    <w:rsid w:val="00F95A14"/>
    <w:rsid w:val="00FA0601"/>
    <w:rsid w:val="00FA158C"/>
    <w:rsid w:val="00FA7D95"/>
    <w:rsid w:val="00FB1C19"/>
    <w:rsid w:val="00FC1F05"/>
    <w:rsid w:val="00FC333A"/>
    <w:rsid w:val="00FD189B"/>
    <w:rsid w:val="00FD622C"/>
    <w:rsid w:val="00FE0176"/>
    <w:rsid w:val="00FE1AA1"/>
    <w:rsid w:val="00FE1E66"/>
    <w:rsid w:val="00FE323D"/>
    <w:rsid w:val="00FE7B5E"/>
    <w:rsid w:val="00FF19BC"/>
    <w:rsid w:val="00FF40CA"/>
    <w:rsid w:val="00FF56F2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C05D4"/>
  <w15:docId w15:val="{8A4D4AD2-A511-492E-8570-A563A839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numPr>
        <w:numId w:val="21"/>
      </w:numPr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AC59CE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62F4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62F4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62F4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62F4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62F4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62F4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62F4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paragraph" w:customStyle="1" w:styleId="N3">
    <w:name w:val="N3"/>
    <w:basedOn w:val="Normal"/>
    <w:rsid w:val="004801FF"/>
    <w:pPr>
      <w:tabs>
        <w:tab w:val="num" w:pos="1440"/>
      </w:tabs>
      <w:spacing w:before="80" w:line="220" w:lineRule="atLeast"/>
      <w:ind w:left="1224" w:hanging="504"/>
      <w:jc w:val="both"/>
    </w:pPr>
    <w:rPr>
      <w:rFonts w:ascii="Times New Roman" w:hAnsi="Times New Roman"/>
      <w:sz w:val="21"/>
      <w:szCs w:val="20"/>
      <w:lang w:eastAsia="en-US"/>
    </w:rPr>
  </w:style>
  <w:style w:type="paragraph" w:styleId="FootnoteText">
    <w:name w:val="footnote text"/>
    <w:basedOn w:val="Normal"/>
    <w:link w:val="FootnoteTextChar"/>
    <w:rsid w:val="00C40D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0D4B"/>
    <w:rPr>
      <w:rFonts w:ascii="Arial" w:hAnsi="Arial"/>
    </w:rPr>
  </w:style>
  <w:style w:type="character" w:styleId="FootnoteReference">
    <w:name w:val="footnote reference"/>
    <w:basedOn w:val="DefaultParagraphFont"/>
    <w:rsid w:val="00C40D4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264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03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03C"/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562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562F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562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562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562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562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562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qFormat/>
    <w:rsid w:val="00AC59CE"/>
    <w:pPr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C59CE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6" ma:contentTypeDescription="Create a new document." ma:contentTypeScope="" ma:versionID="c55be5c4856c147cf072aba43e2c0743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63e26bc531ea084e734d7506d8187469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E585-D01A-4BF4-9578-A2E5B91DB9C4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30d79745-92fc-4b4e-a213-f975f2a6d945"/>
    <ds:schemaRef ds:uri="http://purl.org/dc/elements/1.1/"/>
    <ds:schemaRef ds:uri="http://www.w3.org/XML/1998/namespace"/>
    <ds:schemaRef ds:uri="http://schemas.openxmlformats.org/package/2006/metadata/core-properties"/>
    <ds:schemaRef ds:uri="deec781b-51b2-41f5-8977-d833afa0cdb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4E350F-ED2F-4130-A3DA-091E4FCD7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EDD09-4967-443B-9299-1FFA2D09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A9ABD-BB84-47DC-9AFD-4F518179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agreement final report</vt:lpstr>
    </vt:vector>
  </TitlesOfParts>
  <Company>London Borough of Tower Hamlets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CSSB agreement report</dc:title>
  <dc:creator>David Tully</dc:creator>
  <cp:lastModifiedBy>Phillip Nduoyo</cp:lastModifiedBy>
  <cp:revision>7</cp:revision>
  <cp:lastPrinted>2020-11-17T16:33:00Z</cp:lastPrinted>
  <dcterms:created xsi:type="dcterms:W3CDTF">2022-11-22T13:29:00Z</dcterms:created>
  <dcterms:modified xsi:type="dcterms:W3CDTF">2022-11-24T11:30:00Z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MediaServiceImageTags">
    <vt:lpwstr/>
  </property>
  <property fmtid="{D5CDD505-2E9C-101B-9397-08002B2CF9AE}" pid="4" name="GrammarlyDocumentId">
    <vt:lpwstr>d8b16c3ac22b705e59bf4f60f2bcb92df826e34d15220121c60fe663ccd4970c</vt:lpwstr>
  </property>
</Properties>
</file>