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9D9EE" w14:textId="3879767E" w:rsidR="00D0758B" w:rsidRPr="0070322B" w:rsidRDefault="00D0758B" w:rsidP="0070322B">
      <w:pPr>
        <w:pStyle w:val="Heading1"/>
      </w:pPr>
      <w:r w:rsidRPr="0070322B">
        <w:t>AGENDA ITEM 3.1</w:t>
      </w:r>
    </w:p>
    <w:p w14:paraId="7F710E88" w14:textId="77777777" w:rsidR="00AD037A" w:rsidRPr="00C85A66" w:rsidRDefault="00AD037A" w:rsidP="00AD037A">
      <w:pPr>
        <w:rPr>
          <w:rFonts w:cs="Arial"/>
          <w:b/>
        </w:rPr>
      </w:pPr>
    </w:p>
    <w:p w14:paraId="2F477C41" w14:textId="695A1B69" w:rsidR="00AD037A" w:rsidRPr="00C85A66" w:rsidRDefault="00AD037A" w:rsidP="00FB544C">
      <w:pPr>
        <w:pStyle w:val="BodyTextIndent"/>
        <w:tabs>
          <w:tab w:val="clear" w:pos="360"/>
        </w:tabs>
        <w:ind w:left="0" w:firstLine="0"/>
        <w:jc w:val="both"/>
        <w:rPr>
          <w:rFonts w:cs="Arial"/>
          <w:b/>
          <w:sz w:val="32"/>
          <w:szCs w:val="32"/>
        </w:rPr>
      </w:pPr>
      <w:r w:rsidRPr="00C85A66">
        <w:rPr>
          <w:rFonts w:cs="Arial"/>
          <w:b/>
          <w:sz w:val="32"/>
          <w:szCs w:val="32"/>
        </w:rPr>
        <w:t xml:space="preserve">Title of report: </w:t>
      </w:r>
      <w:r>
        <w:rPr>
          <w:rFonts w:cs="Arial"/>
          <w:b/>
          <w:bCs/>
        </w:rPr>
        <w:t>Schools Block Disapplication requests for 2023-24</w:t>
      </w:r>
    </w:p>
    <w:p w14:paraId="6476A566" w14:textId="77777777" w:rsidR="00AD037A" w:rsidRPr="00C85A66" w:rsidRDefault="00AD037A" w:rsidP="00FB544C">
      <w:pPr>
        <w:rPr>
          <w:rFonts w:cs="Arial"/>
          <w:b/>
          <w:u w:val="single"/>
        </w:rPr>
      </w:pPr>
    </w:p>
    <w:p w14:paraId="36B42773" w14:textId="341E1F8A" w:rsidR="00AD037A" w:rsidRPr="00D0758B" w:rsidRDefault="00AD037A" w:rsidP="00FB544C">
      <w:pPr>
        <w:rPr>
          <w:rFonts w:ascii="Arial" w:hAnsi="Arial" w:cs="Arial"/>
          <w:sz w:val="24"/>
          <w:szCs w:val="24"/>
        </w:rPr>
      </w:pPr>
      <w:r w:rsidRPr="00D0758B">
        <w:rPr>
          <w:rFonts w:ascii="Arial" w:hAnsi="Arial" w:cs="Arial"/>
          <w:b/>
          <w:sz w:val="24"/>
          <w:szCs w:val="24"/>
        </w:rPr>
        <w:t xml:space="preserve">Author of the paper:   </w:t>
      </w:r>
      <w:r w:rsidR="00C06845" w:rsidRPr="00D0758B">
        <w:rPr>
          <w:rFonts w:ascii="Arial" w:hAnsi="Arial" w:cs="Arial"/>
          <w:b/>
          <w:sz w:val="24"/>
          <w:szCs w:val="24"/>
        </w:rPr>
        <w:t>Sara Walsingham</w:t>
      </w:r>
    </w:p>
    <w:p w14:paraId="385A481C" w14:textId="77777777" w:rsidR="00AD037A" w:rsidRPr="00D0758B" w:rsidRDefault="00AD037A" w:rsidP="00FB544C">
      <w:pPr>
        <w:rPr>
          <w:rFonts w:ascii="Arial" w:hAnsi="Arial" w:cs="Arial"/>
          <w:sz w:val="24"/>
          <w:szCs w:val="24"/>
        </w:rPr>
      </w:pPr>
    </w:p>
    <w:p w14:paraId="7A8D3222" w14:textId="244D89F2" w:rsidR="00AD037A" w:rsidRPr="00D0758B" w:rsidRDefault="00AD037A" w:rsidP="00FB544C">
      <w:pPr>
        <w:rPr>
          <w:rFonts w:ascii="Arial" w:hAnsi="Arial" w:cs="Arial"/>
          <w:sz w:val="24"/>
          <w:szCs w:val="24"/>
        </w:rPr>
      </w:pPr>
      <w:r w:rsidRPr="00D0758B">
        <w:rPr>
          <w:rFonts w:ascii="Arial" w:hAnsi="Arial" w:cs="Arial"/>
          <w:b/>
          <w:sz w:val="24"/>
          <w:szCs w:val="24"/>
        </w:rPr>
        <w:t xml:space="preserve">Officer to present the paper to Schools Forum: </w:t>
      </w:r>
      <w:r w:rsidR="00C06845" w:rsidRPr="00D0758B">
        <w:rPr>
          <w:rFonts w:ascii="Arial" w:hAnsi="Arial" w:cs="Arial"/>
          <w:b/>
          <w:sz w:val="24"/>
          <w:szCs w:val="24"/>
        </w:rPr>
        <w:t>Nikki Parsons</w:t>
      </w:r>
    </w:p>
    <w:p w14:paraId="15C94BFF" w14:textId="77777777" w:rsidR="00AD037A" w:rsidRPr="00D0758B" w:rsidRDefault="00AD037A" w:rsidP="00FB544C">
      <w:pPr>
        <w:rPr>
          <w:rFonts w:ascii="Arial" w:hAnsi="Arial" w:cs="Arial"/>
          <w:sz w:val="24"/>
          <w:szCs w:val="24"/>
        </w:rPr>
      </w:pPr>
    </w:p>
    <w:p w14:paraId="66754309" w14:textId="1FF8277F" w:rsidR="00AD037A" w:rsidRPr="00D0758B" w:rsidRDefault="00AD037A" w:rsidP="00FB544C">
      <w:pPr>
        <w:rPr>
          <w:rFonts w:ascii="Arial" w:hAnsi="Arial" w:cs="Arial"/>
          <w:b/>
          <w:sz w:val="24"/>
          <w:szCs w:val="24"/>
        </w:rPr>
      </w:pPr>
      <w:r w:rsidRPr="00D0758B">
        <w:rPr>
          <w:rFonts w:ascii="Arial" w:hAnsi="Arial" w:cs="Arial"/>
          <w:b/>
          <w:sz w:val="24"/>
          <w:szCs w:val="24"/>
        </w:rPr>
        <w:t>Details on who has been consulted with on this paper to date:</w:t>
      </w:r>
      <w:r w:rsidR="00C06845" w:rsidRPr="00D0758B">
        <w:rPr>
          <w:rFonts w:ascii="Arial" w:hAnsi="Arial" w:cs="Arial"/>
          <w:b/>
          <w:sz w:val="24"/>
          <w:szCs w:val="24"/>
        </w:rPr>
        <w:t xml:space="preserve"> Emdad Abul</w:t>
      </w:r>
    </w:p>
    <w:p w14:paraId="34B8464F" w14:textId="11E4A8F0" w:rsidR="00AD037A" w:rsidRPr="00D0758B" w:rsidRDefault="00AD037A" w:rsidP="00AD037A">
      <w:pPr>
        <w:pStyle w:val="ListParagraph"/>
        <w:ind w:left="360"/>
        <w:rPr>
          <w:rFonts w:ascii="Arial" w:hAnsi="Arial" w:cs="Arial"/>
          <w:b/>
          <w:sz w:val="24"/>
          <w:szCs w:val="24"/>
        </w:rPr>
      </w:pPr>
    </w:p>
    <w:p w14:paraId="0C31A8A0" w14:textId="77777777" w:rsidR="00D0758B" w:rsidRDefault="00D0758B" w:rsidP="00AD037A">
      <w:pPr>
        <w:pStyle w:val="ListParagraph"/>
        <w:ind w:left="360"/>
        <w:rPr>
          <w:rFonts w:ascii="Arial" w:hAnsi="Arial" w:cs="Arial"/>
          <w:b/>
        </w:rPr>
      </w:pPr>
    </w:p>
    <w:p w14:paraId="1F314965" w14:textId="1B276F76" w:rsidR="00D0758B" w:rsidRPr="0070322B" w:rsidRDefault="00D0758B" w:rsidP="0070322B">
      <w:pPr>
        <w:pStyle w:val="Heading2"/>
      </w:pPr>
      <w:r w:rsidRPr="0070322B">
        <w:t>Executive Summary</w:t>
      </w:r>
      <w:r w:rsidR="0070322B" w:rsidRPr="0070322B">
        <w:br/>
      </w:r>
    </w:p>
    <w:p w14:paraId="40D95EC4" w14:textId="77777777" w:rsidR="00D0758B" w:rsidRPr="00636B66" w:rsidRDefault="00D0758B" w:rsidP="00D0758B">
      <w:pPr>
        <w:rPr>
          <w:rFonts w:ascii="Arial" w:hAnsi="Arial" w:cs="Arial"/>
        </w:rPr>
      </w:pPr>
      <w:r w:rsidRPr="00636B66">
        <w:rPr>
          <w:rFonts w:ascii="Arial" w:hAnsi="Arial" w:cs="Arial"/>
        </w:rPr>
        <w:t>The Department of Education</w:t>
      </w:r>
      <w:r>
        <w:rPr>
          <w:rFonts w:ascii="Arial" w:hAnsi="Arial" w:cs="Arial"/>
        </w:rPr>
        <w:t xml:space="preserve"> (DfE)</w:t>
      </w:r>
      <w:r w:rsidRPr="00636B66">
        <w:rPr>
          <w:rFonts w:ascii="Arial" w:hAnsi="Arial" w:cs="Arial"/>
        </w:rPr>
        <w:t xml:space="preserve"> allows for local authorities to dis apply elements of local formula by seeking agreement from the Secretary of state.  This report outlines the proposals for 2023-24 that have been submitted.</w:t>
      </w:r>
      <w:r>
        <w:rPr>
          <w:rFonts w:ascii="Arial" w:hAnsi="Arial" w:cs="Arial"/>
        </w:rPr>
        <w:t xml:space="preserve"> School Forum are asked to give a view on these proposals, which will be reported to the DfE</w:t>
      </w:r>
      <w:r w:rsidRPr="00636B66">
        <w:rPr>
          <w:rFonts w:ascii="Arial" w:hAnsi="Arial" w:cs="Arial"/>
        </w:rPr>
        <w:t xml:space="preserve"> </w:t>
      </w:r>
    </w:p>
    <w:p w14:paraId="429E0378" w14:textId="77777777" w:rsidR="00D0758B" w:rsidRDefault="00D0758B" w:rsidP="00FB544C">
      <w:pPr>
        <w:pStyle w:val="Header"/>
        <w:rPr>
          <w:rFonts w:cs="Arial"/>
          <w:b/>
          <w:sz w:val="22"/>
          <w:szCs w:val="22"/>
        </w:rPr>
      </w:pPr>
    </w:p>
    <w:p w14:paraId="3DD13D81" w14:textId="77777777" w:rsidR="00D0758B" w:rsidRDefault="00D0758B" w:rsidP="00FB544C">
      <w:pPr>
        <w:pStyle w:val="Header"/>
        <w:rPr>
          <w:rFonts w:cs="Arial"/>
          <w:b/>
          <w:sz w:val="22"/>
          <w:szCs w:val="22"/>
        </w:rPr>
      </w:pPr>
    </w:p>
    <w:p w14:paraId="1C2B7E6C" w14:textId="14EE75BC" w:rsidR="00FB544C" w:rsidRDefault="00FB544C" w:rsidP="0070322B">
      <w:pPr>
        <w:pStyle w:val="Heading2"/>
      </w:pPr>
      <w:r w:rsidRPr="00636B66">
        <w:t>Recommendations</w:t>
      </w:r>
      <w:r w:rsidR="0070322B">
        <w:br/>
      </w:r>
    </w:p>
    <w:p w14:paraId="4B9DB8BF" w14:textId="77777777" w:rsidR="00FB544C" w:rsidRPr="00171387" w:rsidRDefault="00FB544C" w:rsidP="00FB544C">
      <w:pPr>
        <w:pStyle w:val="Header"/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Forum are asked to </w:t>
      </w:r>
      <w:r w:rsidRPr="00171387">
        <w:rPr>
          <w:rFonts w:cs="Arial"/>
          <w:bCs/>
          <w:sz w:val="22"/>
          <w:szCs w:val="22"/>
        </w:rPr>
        <w:t xml:space="preserve">consider and agree </w:t>
      </w:r>
      <w:r>
        <w:rPr>
          <w:rFonts w:cs="Arial"/>
          <w:bCs/>
          <w:sz w:val="22"/>
          <w:szCs w:val="22"/>
        </w:rPr>
        <w:t>to on the proposals.</w:t>
      </w:r>
    </w:p>
    <w:p w14:paraId="44D9EFA7" w14:textId="77CBA4BE" w:rsidR="00FB544C" w:rsidRDefault="00FB544C" w:rsidP="00AD037A">
      <w:pPr>
        <w:pStyle w:val="ListParagraph"/>
        <w:ind w:left="360"/>
        <w:rPr>
          <w:rFonts w:ascii="Arial" w:hAnsi="Arial" w:cs="Arial"/>
          <w:b/>
        </w:rPr>
      </w:pPr>
    </w:p>
    <w:p w14:paraId="5A7C0D60" w14:textId="77777777" w:rsidR="00FB544C" w:rsidRPr="00636B66" w:rsidRDefault="00FB544C" w:rsidP="00AD037A">
      <w:pPr>
        <w:pStyle w:val="ListParagraph"/>
        <w:ind w:left="360"/>
        <w:rPr>
          <w:rFonts w:ascii="Arial" w:hAnsi="Arial" w:cs="Arial"/>
          <w:b/>
        </w:rPr>
      </w:pPr>
    </w:p>
    <w:p w14:paraId="1C6E0DAF" w14:textId="018CE7ED" w:rsidR="00AD037A" w:rsidRPr="00636B66" w:rsidRDefault="00AD037A" w:rsidP="0070322B">
      <w:pPr>
        <w:pStyle w:val="Heading2"/>
      </w:pPr>
      <w:r w:rsidRPr="00636B66">
        <w:t>Background</w:t>
      </w:r>
    </w:p>
    <w:p w14:paraId="450FA2E7" w14:textId="77777777" w:rsidR="00AD037A" w:rsidRPr="00636B66" w:rsidRDefault="00AD037A" w:rsidP="00AD037A">
      <w:pPr>
        <w:pStyle w:val="ListParagraph"/>
        <w:ind w:left="567" w:hanging="567"/>
        <w:rPr>
          <w:rFonts w:ascii="Arial" w:hAnsi="Arial" w:cs="Arial"/>
          <w:b/>
        </w:rPr>
      </w:pPr>
    </w:p>
    <w:p w14:paraId="6DDE75B7" w14:textId="77777777" w:rsidR="00636B66" w:rsidRDefault="00636B66" w:rsidP="00636B66">
      <w:pPr>
        <w:pStyle w:val="ListParagraph"/>
        <w:autoSpaceDE w:val="0"/>
        <w:autoSpaceDN w:val="0"/>
        <w:adjustRightInd w:val="0"/>
        <w:ind w:left="567"/>
        <w:contextualSpacing/>
        <w:rPr>
          <w:rFonts w:ascii="Arial" w:hAnsi="Arial" w:cs="Arial"/>
          <w:color w:val="000000"/>
        </w:rPr>
      </w:pPr>
    </w:p>
    <w:p w14:paraId="3E2392AC" w14:textId="75BEB436" w:rsidR="00437FB4" w:rsidRDefault="00437FB4" w:rsidP="00437FB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</w:rPr>
      </w:pPr>
      <w:r w:rsidRPr="00437FB4">
        <w:rPr>
          <w:rFonts w:ascii="Arial" w:hAnsi="Arial" w:cs="Arial"/>
          <w:color w:val="000000"/>
        </w:rPr>
        <w:t>To be eligible for exceptional circumstances funding a disapplication of the normal NFF funding rules</w:t>
      </w:r>
      <w:r>
        <w:rPr>
          <w:rFonts w:ascii="Arial" w:hAnsi="Arial" w:cs="Arial"/>
          <w:color w:val="000000"/>
        </w:rPr>
        <w:t xml:space="preserve"> should be applied for. A</w:t>
      </w:r>
      <w:r w:rsidRPr="00437FB4">
        <w:rPr>
          <w:rFonts w:ascii="Arial" w:hAnsi="Arial" w:cs="Arial"/>
          <w:color w:val="000000"/>
        </w:rPr>
        <w:t xml:space="preserve"> school </w:t>
      </w:r>
      <w:r>
        <w:rPr>
          <w:rFonts w:ascii="Arial" w:hAnsi="Arial" w:cs="Arial"/>
          <w:color w:val="000000"/>
        </w:rPr>
        <w:t>variation is only allowed if</w:t>
      </w:r>
      <w:r w:rsidRPr="00437FB4">
        <w:rPr>
          <w:rFonts w:ascii="Arial" w:hAnsi="Arial" w:cs="Arial"/>
          <w:color w:val="000000"/>
        </w:rPr>
        <w:t xml:space="preserve"> the amount of funding </w:t>
      </w:r>
      <w:r>
        <w:rPr>
          <w:rFonts w:ascii="Arial" w:hAnsi="Arial" w:cs="Arial"/>
          <w:color w:val="000000"/>
        </w:rPr>
        <w:t xml:space="preserve">applied for is </w:t>
      </w:r>
      <w:r w:rsidRPr="00437FB4">
        <w:rPr>
          <w:rFonts w:ascii="Arial" w:hAnsi="Arial" w:cs="Arial"/>
          <w:color w:val="000000"/>
        </w:rPr>
        <w:t>more than 1% of the school’s budget and impact less than 5% of schools in your local authority</w:t>
      </w:r>
      <w:r>
        <w:rPr>
          <w:rFonts w:ascii="Arial" w:hAnsi="Arial" w:cs="Arial"/>
          <w:color w:val="000000"/>
        </w:rPr>
        <w:t>.</w:t>
      </w:r>
    </w:p>
    <w:p w14:paraId="1B8328C3" w14:textId="77777777" w:rsidR="00437FB4" w:rsidRPr="00437FB4" w:rsidRDefault="00437FB4" w:rsidP="00437FB4">
      <w:pPr>
        <w:pStyle w:val="ListParagraph"/>
        <w:rPr>
          <w:rFonts w:ascii="Arial" w:hAnsi="Arial" w:cs="Arial"/>
          <w:color w:val="000000"/>
        </w:rPr>
      </w:pPr>
    </w:p>
    <w:p w14:paraId="15B3D56D" w14:textId="7FAD6636" w:rsidR="00437FB4" w:rsidRDefault="00437FB4" w:rsidP="00437FB4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</w:rPr>
      </w:pPr>
      <w:r w:rsidRPr="00636B66">
        <w:rPr>
          <w:rFonts w:ascii="Arial" w:hAnsi="Arial" w:cs="Arial"/>
          <w:color w:val="000000"/>
        </w:rPr>
        <w:t xml:space="preserve">The deadline date for local authorities to submit any application for exceptional circumstances is 18 November 2022. This </w:t>
      </w:r>
      <w:r>
        <w:rPr>
          <w:rFonts w:ascii="Arial" w:hAnsi="Arial" w:cs="Arial"/>
          <w:color w:val="000000"/>
        </w:rPr>
        <w:t xml:space="preserve">is </w:t>
      </w:r>
      <w:r w:rsidRPr="00636B66">
        <w:rPr>
          <w:rFonts w:ascii="Arial" w:hAnsi="Arial" w:cs="Arial"/>
          <w:color w:val="000000"/>
        </w:rPr>
        <w:t xml:space="preserve">to ensure </w:t>
      </w:r>
      <w:r>
        <w:rPr>
          <w:rFonts w:ascii="Arial" w:hAnsi="Arial" w:cs="Arial"/>
          <w:color w:val="000000"/>
        </w:rPr>
        <w:t xml:space="preserve">DfE </w:t>
      </w:r>
      <w:r w:rsidRPr="00636B66">
        <w:rPr>
          <w:rFonts w:ascii="Arial" w:hAnsi="Arial" w:cs="Arial"/>
          <w:color w:val="000000"/>
        </w:rPr>
        <w:t>decisions are communicated back to local authorities prior to the APT submission deadline.</w:t>
      </w:r>
    </w:p>
    <w:p w14:paraId="39328C7F" w14:textId="77777777" w:rsidR="00437FB4" w:rsidRPr="00437FB4" w:rsidRDefault="00437FB4" w:rsidP="00437FB4">
      <w:pPr>
        <w:pStyle w:val="ListParagraph"/>
        <w:rPr>
          <w:rFonts w:ascii="Arial" w:hAnsi="Arial" w:cs="Arial"/>
          <w:color w:val="000000"/>
        </w:rPr>
      </w:pPr>
    </w:p>
    <w:p w14:paraId="7A84B2E8" w14:textId="426D43B4" w:rsidR="00171387" w:rsidRPr="00636B66" w:rsidRDefault="00171387" w:rsidP="00DE058C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The application process includes reporting to the DfE the views of the School Forum.   </w:t>
      </w:r>
      <w:r w:rsidRPr="00636B66">
        <w:rPr>
          <w:rFonts w:ascii="Arial" w:hAnsi="Arial" w:cs="Arial"/>
          <w:color w:val="000000"/>
        </w:rPr>
        <w:t xml:space="preserve">Following this meeting, </w:t>
      </w:r>
      <w:r>
        <w:rPr>
          <w:rFonts w:ascii="Arial" w:hAnsi="Arial" w:cs="Arial"/>
          <w:color w:val="000000"/>
        </w:rPr>
        <w:t>officers</w:t>
      </w:r>
      <w:r w:rsidRPr="00636B66">
        <w:rPr>
          <w:rFonts w:ascii="Arial" w:hAnsi="Arial" w:cs="Arial"/>
          <w:color w:val="000000"/>
        </w:rPr>
        <w:t xml:space="preserve"> will </w:t>
      </w:r>
      <w:r>
        <w:rPr>
          <w:rFonts w:ascii="Arial" w:hAnsi="Arial" w:cs="Arial"/>
          <w:color w:val="000000"/>
        </w:rPr>
        <w:t xml:space="preserve">relay the </w:t>
      </w:r>
      <w:r w:rsidRPr="00636B66">
        <w:rPr>
          <w:rFonts w:ascii="Arial" w:hAnsi="Arial" w:cs="Arial"/>
          <w:color w:val="000000"/>
        </w:rPr>
        <w:t>outcome and decision of the Forum</w:t>
      </w:r>
      <w:r>
        <w:rPr>
          <w:rFonts w:ascii="Arial" w:hAnsi="Arial" w:cs="Arial"/>
          <w:color w:val="000000"/>
        </w:rPr>
        <w:t xml:space="preserve"> to the department, which will be considered before issuing an official </w:t>
      </w:r>
      <w:r w:rsidRPr="00636B66">
        <w:rPr>
          <w:rFonts w:ascii="Arial" w:hAnsi="Arial" w:cs="Arial"/>
          <w:color w:val="000000"/>
        </w:rPr>
        <w:t>respon</w:t>
      </w:r>
      <w:r>
        <w:rPr>
          <w:rFonts w:ascii="Arial" w:hAnsi="Arial" w:cs="Arial"/>
          <w:color w:val="000000"/>
        </w:rPr>
        <w:t>se</w:t>
      </w:r>
      <w:r w:rsidRPr="00636B66">
        <w:rPr>
          <w:rFonts w:ascii="Arial" w:hAnsi="Arial" w:cs="Arial"/>
          <w:color w:val="000000"/>
        </w:rPr>
        <w:t xml:space="preserve"> in January 2023</w:t>
      </w:r>
      <w:r>
        <w:rPr>
          <w:rFonts w:ascii="Arial" w:hAnsi="Arial" w:cs="Arial"/>
          <w:color w:val="000000"/>
        </w:rPr>
        <w:t>.</w:t>
      </w:r>
      <w:r w:rsidRPr="00636B66">
        <w:rPr>
          <w:rFonts w:ascii="Arial" w:hAnsi="Arial" w:cs="Arial"/>
          <w:color w:val="000000"/>
        </w:rPr>
        <w:t xml:space="preserve">  </w:t>
      </w:r>
    </w:p>
    <w:p w14:paraId="768A8E02" w14:textId="77777777" w:rsidR="00171387" w:rsidRPr="00171387" w:rsidRDefault="00171387" w:rsidP="00DE058C">
      <w:pPr>
        <w:pStyle w:val="ListParagraph"/>
        <w:autoSpaceDE w:val="0"/>
        <w:autoSpaceDN w:val="0"/>
        <w:adjustRightInd w:val="0"/>
        <w:ind w:left="567"/>
        <w:contextualSpacing/>
        <w:rPr>
          <w:rFonts w:ascii="Arial" w:hAnsi="Arial" w:cs="Arial"/>
          <w:color w:val="000000"/>
        </w:rPr>
      </w:pPr>
    </w:p>
    <w:p w14:paraId="44C85848" w14:textId="66547CBC" w:rsidR="00636B66" w:rsidRDefault="00636B66" w:rsidP="00DE058C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Two disapplication requests have been submitted by the deadline, both requests are attached in the appendices.</w:t>
      </w:r>
      <w:r w:rsidR="00171387" w:rsidRPr="00171387">
        <w:rPr>
          <w:rFonts w:ascii="Arial" w:hAnsi="Arial" w:cs="Arial"/>
          <w:color w:val="000000"/>
        </w:rPr>
        <w:t xml:space="preserve"> </w:t>
      </w:r>
      <w:r w:rsidR="00171387" w:rsidRPr="00636B66">
        <w:rPr>
          <w:rFonts w:ascii="Arial" w:hAnsi="Arial" w:cs="Arial"/>
          <w:color w:val="000000"/>
        </w:rPr>
        <w:t>If agreed, both outcomes will be incorporated into the Authority pro-forma tool (APT) for 2023-24</w:t>
      </w:r>
    </w:p>
    <w:p w14:paraId="4ECC7736" w14:textId="77777777" w:rsidR="00437FB4" w:rsidRPr="00437FB4" w:rsidRDefault="00437FB4" w:rsidP="00437FB4">
      <w:pPr>
        <w:pStyle w:val="ListParagraph"/>
        <w:rPr>
          <w:rFonts w:ascii="Arial" w:hAnsi="Arial" w:cs="Arial"/>
          <w:color w:val="000000"/>
        </w:rPr>
      </w:pPr>
    </w:p>
    <w:p w14:paraId="54EFAE5A" w14:textId="0E0FE56B" w:rsidR="00C06845" w:rsidRDefault="00C06845">
      <w:pPr>
        <w:spacing w:after="160" w:line="259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12E0FFC8" w14:textId="77777777" w:rsidR="00636B66" w:rsidRPr="00636B66" w:rsidRDefault="00636B66" w:rsidP="00636B66">
      <w:pPr>
        <w:pStyle w:val="ListParagraph"/>
        <w:rPr>
          <w:rFonts w:ascii="Arial" w:hAnsi="Arial" w:cs="Arial"/>
          <w:color w:val="000000"/>
        </w:rPr>
      </w:pPr>
    </w:p>
    <w:p w14:paraId="61A666B4" w14:textId="7CBB9497" w:rsidR="00DE058C" w:rsidRPr="00AE57DA" w:rsidRDefault="00636B66" w:rsidP="00AE57DA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70322B">
        <w:rPr>
          <w:rStyle w:val="Heading2Char"/>
        </w:rPr>
        <w:t>Disapplication A school rents in the APT</w:t>
      </w:r>
      <w:r>
        <w:rPr>
          <w:rFonts w:ascii="Arial" w:hAnsi="Arial" w:cs="Arial"/>
          <w:b/>
          <w:bCs/>
        </w:rPr>
        <w:t xml:space="preserve"> </w:t>
      </w:r>
      <w:r w:rsidRPr="00636B66">
        <w:rPr>
          <w:rFonts w:ascii="Arial" w:hAnsi="Arial" w:cs="Arial"/>
        </w:rPr>
        <w:t>(appendix A)</w:t>
      </w:r>
    </w:p>
    <w:p w14:paraId="43407026" w14:textId="5BEA499B" w:rsidR="00AE57DA" w:rsidRDefault="00AE57DA" w:rsidP="00AE57DA">
      <w:pPr>
        <w:pStyle w:val="ListParagraph"/>
        <w:ind w:left="360"/>
        <w:rPr>
          <w:rFonts w:ascii="Arial" w:hAnsi="Arial" w:cs="Arial"/>
          <w:b/>
          <w:bCs/>
        </w:rPr>
      </w:pPr>
    </w:p>
    <w:p w14:paraId="1E3F7D62" w14:textId="7E13BEB8" w:rsidR="00AE57DA" w:rsidRPr="00AE57DA" w:rsidRDefault="00CC300D" w:rsidP="00AE57DA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AE57DA">
        <w:rPr>
          <w:rFonts w:ascii="Arial" w:hAnsi="Arial" w:cs="Arial"/>
          <w:color w:val="000000"/>
        </w:rPr>
        <w:t xml:space="preserve">The school funding formula includes </w:t>
      </w:r>
      <w:r w:rsidR="00437FB4" w:rsidRPr="00AE57DA">
        <w:rPr>
          <w:rFonts w:ascii="Arial" w:hAnsi="Arial" w:cs="Arial"/>
          <w:color w:val="000000"/>
        </w:rPr>
        <w:t>p</w:t>
      </w:r>
      <w:r w:rsidRPr="00AE57DA">
        <w:rPr>
          <w:rFonts w:ascii="Arial" w:hAnsi="Arial" w:cs="Arial"/>
          <w:color w:val="000000"/>
        </w:rPr>
        <w:t>rovision for National N</w:t>
      </w:r>
      <w:r w:rsidR="00437FB4" w:rsidRPr="00AE57DA">
        <w:rPr>
          <w:rFonts w:ascii="Arial" w:hAnsi="Arial" w:cs="Arial"/>
          <w:color w:val="000000"/>
        </w:rPr>
        <w:t>o</w:t>
      </w:r>
      <w:r w:rsidRPr="00AE57DA">
        <w:rPr>
          <w:rFonts w:ascii="Arial" w:hAnsi="Arial" w:cs="Arial"/>
          <w:color w:val="000000"/>
        </w:rPr>
        <w:t>n-Domesti</w:t>
      </w:r>
      <w:r w:rsidR="00437FB4" w:rsidRPr="00AE57DA">
        <w:rPr>
          <w:rFonts w:ascii="Arial" w:hAnsi="Arial" w:cs="Arial"/>
          <w:color w:val="000000"/>
        </w:rPr>
        <w:t xml:space="preserve">c Rates (NNDR) funding automatically.  </w:t>
      </w:r>
      <w:r w:rsidR="00AE57DA">
        <w:rPr>
          <w:rFonts w:ascii="Arial" w:hAnsi="Arial" w:cs="Arial"/>
          <w:color w:val="000000"/>
        </w:rPr>
        <w:t xml:space="preserve">This does not extend to </w:t>
      </w:r>
      <w:r w:rsidR="00437FB4" w:rsidRPr="00AE57DA">
        <w:rPr>
          <w:rFonts w:ascii="Arial" w:hAnsi="Arial" w:cs="Arial"/>
          <w:color w:val="000000"/>
        </w:rPr>
        <w:t xml:space="preserve">rental costs, </w:t>
      </w:r>
      <w:r w:rsidR="00AE57DA">
        <w:rPr>
          <w:rFonts w:ascii="Arial" w:hAnsi="Arial" w:cs="Arial"/>
          <w:color w:val="000000"/>
        </w:rPr>
        <w:t xml:space="preserve">for which </w:t>
      </w:r>
      <w:r w:rsidR="00437FB4" w:rsidRPr="00AE57DA">
        <w:rPr>
          <w:rFonts w:ascii="Arial" w:hAnsi="Arial" w:cs="Arial"/>
          <w:color w:val="000000"/>
        </w:rPr>
        <w:t xml:space="preserve">a disapplication </w:t>
      </w:r>
      <w:r w:rsidR="00CC2634">
        <w:rPr>
          <w:rFonts w:ascii="Arial" w:hAnsi="Arial" w:cs="Arial"/>
          <w:color w:val="000000"/>
        </w:rPr>
        <w:t>must be applied</w:t>
      </w:r>
      <w:r w:rsidR="00437FB4" w:rsidRPr="00AE57DA">
        <w:rPr>
          <w:rFonts w:ascii="Arial" w:hAnsi="Arial" w:cs="Arial"/>
          <w:color w:val="000000"/>
        </w:rPr>
        <w:t xml:space="preserve">. </w:t>
      </w:r>
      <w:r w:rsidRPr="00AE57DA">
        <w:rPr>
          <w:rFonts w:ascii="Arial" w:hAnsi="Arial" w:cs="Arial"/>
          <w:b/>
          <w:bCs/>
        </w:rPr>
        <w:t xml:space="preserve"> </w:t>
      </w:r>
    </w:p>
    <w:p w14:paraId="6A634411" w14:textId="77777777" w:rsidR="00AE57DA" w:rsidRPr="00AE57DA" w:rsidRDefault="00AE57DA" w:rsidP="00AE57DA">
      <w:pPr>
        <w:pStyle w:val="ListParagraph"/>
        <w:autoSpaceDE w:val="0"/>
        <w:autoSpaceDN w:val="0"/>
        <w:adjustRightInd w:val="0"/>
        <w:ind w:left="567"/>
        <w:contextualSpacing/>
        <w:rPr>
          <w:rFonts w:ascii="Arial" w:hAnsi="Arial" w:cs="Arial"/>
          <w:color w:val="000000"/>
        </w:rPr>
      </w:pPr>
    </w:p>
    <w:p w14:paraId="61791988" w14:textId="3096ECEE" w:rsidR="00CC300D" w:rsidRDefault="00CC300D" w:rsidP="0041466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</w:rPr>
      </w:pPr>
      <w:r w:rsidRPr="00437FB4">
        <w:rPr>
          <w:rFonts w:ascii="Arial" w:hAnsi="Arial" w:cs="Arial"/>
          <w:color w:val="000000"/>
        </w:rPr>
        <w:t xml:space="preserve">Tower Hamlets currently receive exceptional rents funding for </w:t>
      </w:r>
      <w:r w:rsidR="00AE57DA">
        <w:rPr>
          <w:rFonts w:ascii="Arial" w:hAnsi="Arial" w:cs="Arial"/>
          <w:color w:val="000000"/>
        </w:rPr>
        <w:t>Bygrove Primary S</w:t>
      </w:r>
      <w:r w:rsidRPr="00437FB4">
        <w:rPr>
          <w:rFonts w:ascii="Arial" w:hAnsi="Arial" w:cs="Arial"/>
          <w:color w:val="000000"/>
        </w:rPr>
        <w:t>chool which was last agreed</w:t>
      </w:r>
      <w:r w:rsidR="00437FB4" w:rsidRPr="00437FB4">
        <w:rPr>
          <w:rFonts w:ascii="Arial" w:hAnsi="Arial" w:cs="Arial"/>
          <w:color w:val="000000"/>
        </w:rPr>
        <w:t xml:space="preserve"> </w:t>
      </w:r>
      <w:r w:rsidRPr="00437FB4">
        <w:rPr>
          <w:rFonts w:ascii="Arial" w:hAnsi="Arial" w:cs="Arial"/>
          <w:color w:val="000000"/>
        </w:rPr>
        <w:t>in 2017/18.  Such approvals can continue without a further request for 5 years.  On this basis the council has been advised that should the LA wish for this to continue, a new disapplication would be required in 2023/24</w:t>
      </w:r>
      <w:r w:rsidR="00DC424F">
        <w:rPr>
          <w:rFonts w:ascii="Arial" w:hAnsi="Arial" w:cs="Arial"/>
          <w:color w:val="000000"/>
        </w:rPr>
        <w:t>.  The rental cost is in the region of £200k per year (2021-22 costs)</w:t>
      </w:r>
      <w:r w:rsidR="00AE57DA">
        <w:rPr>
          <w:rFonts w:ascii="Arial" w:hAnsi="Arial" w:cs="Arial"/>
          <w:color w:val="000000"/>
        </w:rPr>
        <w:t>, approximately 12% of the budget share.</w:t>
      </w:r>
    </w:p>
    <w:p w14:paraId="084475BD" w14:textId="77777777" w:rsidR="00DC424F" w:rsidRDefault="00DC424F" w:rsidP="00DC424F">
      <w:pPr>
        <w:pStyle w:val="ListParagraph"/>
        <w:autoSpaceDE w:val="0"/>
        <w:autoSpaceDN w:val="0"/>
        <w:adjustRightInd w:val="0"/>
        <w:ind w:left="567"/>
        <w:contextualSpacing/>
        <w:rPr>
          <w:rFonts w:ascii="Arial" w:hAnsi="Arial" w:cs="Arial"/>
          <w:color w:val="000000"/>
        </w:rPr>
      </w:pPr>
    </w:p>
    <w:p w14:paraId="6DC4CFA9" w14:textId="631DF499" w:rsidR="00DC424F" w:rsidRDefault="00AE57DA" w:rsidP="00414662">
      <w:pPr>
        <w:pStyle w:val="ListParagraph"/>
        <w:numPr>
          <w:ilvl w:val="1"/>
          <w:numId w:val="3"/>
        </w:numPr>
        <w:autoSpaceDE w:val="0"/>
        <w:autoSpaceDN w:val="0"/>
        <w:adjustRightInd w:val="0"/>
        <w:ind w:left="567" w:hanging="567"/>
        <w:contextualSpacing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Oakland S</w:t>
      </w:r>
      <w:r w:rsidR="00DC424F">
        <w:rPr>
          <w:rFonts w:ascii="Arial" w:hAnsi="Arial" w:cs="Arial"/>
          <w:color w:val="000000"/>
        </w:rPr>
        <w:t xml:space="preserve">econdary school </w:t>
      </w:r>
      <w:r w:rsidR="00FE1DF5">
        <w:rPr>
          <w:rFonts w:ascii="Arial" w:hAnsi="Arial" w:cs="Arial"/>
          <w:color w:val="000000"/>
        </w:rPr>
        <w:t>i</w:t>
      </w:r>
      <w:r w:rsidR="00DC424F">
        <w:rPr>
          <w:rFonts w:ascii="Arial" w:hAnsi="Arial" w:cs="Arial"/>
          <w:color w:val="000000"/>
        </w:rPr>
        <w:t xml:space="preserve">s </w:t>
      </w:r>
      <w:r w:rsidR="00FE1DF5">
        <w:rPr>
          <w:rFonts w:ascii="Arial" w:hAnsi="Arial" w:cs="Arial"/>
          <w:color w:val="000000"/>
        </w:rPr>
        <w:t xml:space="preserve">currently negotiating </w:t>
      </w:r>
      <w:r w:rsidR="00DC424F">
        <w:rPr>
          <w:rFonts w:ascii="Arial" w:hAnsi="Arial" w:cs="Arial"/>
          <w:color w:val="000000"/>
        </w:rPr>
        <w:t>a rental agreement, allowing expansion of the upper school</w:t>
      </w:r>
      <w:r w:rsidR="00FE1DF5">
        <w:rPr>
          <w:rFonts w:ascii="Arial" w:hAnsi="Arial" w:cs="Arial"/>
          <w:color w:val="000000"/>
        </w:rPr>
        <w:t xml:space="preserve"> into a vacant school site</w:t>
      </w:r>
      <w:r w:rsidR="00DC424F">
        <w:rPr>
          <w:rFonts w:ascii="Arial" w:hAnsi="Arial" w:cs="Arial"/>
          <w:color w:val="000000"/>
        </w:rPr>
        <w:t xml:space="preserve">.  </w:t>
      </w:r>
      <w:r w:rsidR="00FE1DF5">
        <w:rPr>
          <w:rFonts w:ascii="Arial" w:hAnsi="Arial" w:cs="Arial"/>
          <w:color w:val="000000"/>
        </w:rPr>
        <w:t xml:space="preserve">The </w:t>
      </w:r>
      <w:r w:rsidR="00DC424F">
        <w:rPr>
          <w:rFonts w:ascii="Arial" w:hAnsi="Arial" w:cs="Arial"/>
          <w:color w:val="000000"/>
        </w:rPr>
        <w:t xml:space="preserve">lease agreement for the additional site is expected to be in the region of </w:t>
      </w:r>
      <w:r w:rsidR="00DC424F" w:rsidRPr="00DC424F">
        <w:rPr>
          <w:rFonts w:ascii="Arial" w:hAnsi="Arial" w:cs="Arial"/>
          <w:color w:val="000000"/>
        </w:rPr>
        <w:t>£150k per year</w:t>
      </w:r>
      <w:r>
        <w:rPr>
          <w:rFonts w:ascii="Arial" w:hAnsi="Arial" w:cs="Arial"/>
          <w:color w:val="000000"/>
        </w:rPr>
        <w:t>, which represents a possible 2% of the budget share</w:t>
      </w:r>
      <w:r w:rsidR="00DC424F">
        <w:rPr>
          <w:rFonts w:ascii="Arial" w:hAnsi="Arial" w:cs="Arial"/>
          <w:color w:val="000000"/>
        </w:rPr>
        <w:t>.</w:t>
      </w:r>
    </w:p>
    <w:p w14:paraId="08E3B9C3" w14:textId="77777777" w:rsidR="00DC424F" w:rsidRPr="00DC424F" w:rsidRDefault="00DC424F" w:rsidP="00DC424F">
      <w:pPr>
        <w:pStyle w:val="ListParagraph"/>
        <w:rPr>
          <w:rFonts w:ascii="Arial" w:hAnsi="Arial" w:cs="Arial"/>
          <w:color w:val="000000"/>
        </w:rPr>
      </w:pPr>
    </w:p>
    <w:p w14:paraId="35CCB25F" w14:textId="198FFDE8" w:rsidR="00DC424F" w:rsidRPr="00AE57DA" w:rsidRDefault="00DC424F" w:rsidP="00AE57DA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AE57DA">
        <w:rPr>
          <w:rFonts w:ascii="Arial" w:hAnsi="Arial" w:cs="Arial"/>
          <w:color w:val="000000"/>
        </w:rPr>
        <w:t xml:space="preserve">The details </w:t>
      </w:r>
      <w:r w:rsidR="00AE57DA">
        <w:rPr>
          <w:rFonts w:ascii="Arial" w:hAnsi="Arial" w:cs="Arial"/>
          <w:color w:val="000000"/>
        </w:rPr>
        <w:t xml:space="preserve">of the application </w:t>
      </w:r>
      <w:r w:rsidR="00C06845">
        <w:rPr>
          <w:rFonts w:ascii="Arial" w:hAnsi="Arial" w:cs="Arial"/>
          <w:color w:val="000000"/>
        </w:rPr>
        <w:t>is</w:t>
      </w:r>
      <w:r w:rsidRPr="00AE57DA">
        <w:rPr>
          <w:rFonts w:ascii="Arial" w:hAnsi="Arial" w:cs="Arial"/>
          <w:color w:val="000000"/>
        </w:rPr>
        <w:t xml:space="preserve"> included </w:t>
      </w:r>
      <w:r w:rsidR="00C06845">
        <w:rPr>
          <w:rFonts w:ascii="Arial" w:hAnsi="Arial" w:cs="Arial"/>
          <w:color w:val="000000"/>
        </w:rPr>
        <w:t>as</w:t>
      </w:r>
      <w:r w:rsidRPr="00AE57DA">
        <w:rPr>
          <w:rFonts w:ascii="Arial" w:hAnsi="Arial" w:cs="Arial"/>
          <w:color w:val="000000"/>
        </w:rPr>
        <w:t xml:space="preserve"> appendix A</w:t>
      </w:r>
    </w:p>
    <w:p w14:paraId="1D86D2D7" w14:textId="77777777" w:rsidR="00DC424F" w:rsidRPr="00DC424F" w:rsidRDefault="00DC424F" w:rsidP="00DC424F">
      <w:pPr>
        <w:pStyle w:val="ListParagraph"/>
        <w:rPr>
          <w:rFonts w:ascii="Arial" w:hAnsi="Arial" w:cs="Arial"/>
          <w:color w:val="000000"/>
        </w:rPr>
      </w:pPr>
    </w:p>
    <w:p w14:paraId="75DC3FC1" w14:textId="77777777" w:rsidR="00DC424F" w:rsidRDefault="00DC424F" w:rsidP="00DC424F">
      <w:pPr>
        <w:pStyle w:val="ListParagraph"/>
        <w:autoSpaceDE w:val="0"/>
        <w:autoSpaceDN w:val="0"/>
        <w:adjustRightInd w:val="0"/>
        <w:ind w:left="567"/>
        <w:contextualSpacing/>
        <w:rPr>
          <w:rFonts w:ascii="Arial" w:hAnsi="Arial" w:cs="Arial"/>
          <w:color w:val="000000"/>
        </w:rPr>
      </w:pPr>
    </w:p>
    <w:p w14:paraId="7E7B51D8" w14:textId="531416E5" w:rsidR="00636B66" w:rsidRPr="00636B66" w:rsidRDefault="00636B66" w:rsidP="00636B66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70322B">
        <w:rPr>
          <w:rStyle w:val="Heading2Char"/>
        </w:rPr>
        <w:t>Disapplication B varying the MFG for historic anomalies</w:t>
      </w:r>
      <w:r>
        <w:rPr>
          <w:rFonts w:ascii="Arial" w:hAnsi="Arial" w:cs="Arial"/>
          <w:b/>
          <w:bCs/>
        </w:rPr>
        <w:t xml:space="preserve"> </w:t>
      </w:r>
      <w:r w:rsidRPr="00636B66">
        <w:rPr>
          <w:rFonts w:ascii="Arial" w:hAnsi="Arial" w:cs="Arial"/>
        </w:rPr>
        <w:t xml:space="preserve">(appendix </w:t>
      </w:r>
      <w:r>
        <w:rPr>
          <w:rFonts w:ascii="Arial" w:hAnsi="Arial" w:cs="Arial"/>
        </w:rPr>
        <w:t>B</w:t>
      </w:r>
      <w:r w:rsidRPr="00636B66">
        <w:rPr>
          <w:rFonts w:ascii="Arial" w:hAnsi="Arial" w:cs="Arial"/>
        </w:rPr>
        <w:t>)</w:t>
      </w:r>
    </w:p>
    <w:p w14:paraId="53F2B4FF" w14:textId="21167CB8" w:rsidR="001979D9" w:rsidRPr="00636B66" w:rsidRDefault="001979D9" w:rsidP="007C179F">
      <w:pPr>
        <w:rPr>
          <w:rFonts w:ascii="Arial" w:eastAsia="Times New Roman" w:hAnsi="Arial" w:cs="Arial"/>
        </w:rPr>
      </w:pPr>
    </w:p>
    <w:p w14:paraId="76BB6FC3" w14:textId="0DD99B47" w:rsidR="001979D9" w:rsidRDefault="00FE1DF5" w:rsidP="007C17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Following the expansion of St Paul’s Way Trust to include primary pupils, the funding per pupil built into the </w:t>
      </w:r>
      <w:r w:rsidRPr="00C06845">
        <w:rPr>
          <w:rFonts w:ascii="Arial" w:eastAsia="Times New Roman" w:hAnsi="Arial" w:cs="Arial"/>
        </w:rPr>
        <w:t xml:space="preserve">Minimum Funding Guarantee has applied the secondary rate to </w:t>
      </w:r>
      <w:r w:rsidR="00C06845">
        <w:rPr>
          <w:rFonts w:ascii="Arial" w:eastAsia="Times New Roman" w:hAnsi="Arial" w:cs="Arial"/>
        </w:rPr>
        <w:t xml:space="preserve">all pupils in the school, including </w:t>
      </w:r>
      <w:r w:rsidRPr="00C06845">
        <w:rPr>
          <w:rFonts w:ascii="Arial" w:eastAsia="Times New Roman" w:hAnsi="Arial" w:cs="Arial"/>
        </w:rPr>
        <w:t>the primary sector pupils.</w:t>
      </w:r>
      <w:r>
        <w:rPr>
          <w:rFonts w:ascii="Arial" w:eastAsia="Times New Roman" w:hAnsi="Arial" w:cs="Arial"/>
        </w:rPr>
        <w:t xml:space="preserve">  The local authority is requesting a disapplication to adjust the MFG baseline and resulting funding levels, using a calculator tool issued by the DfE for just this purpose.</w:t>
      </w:r>
    </w:p>
    <w:p w14:paraId="0F86472C" w14:textId="2D652273" w:rsidR="00AE57DA" w:rsidRDefault="00AE57DA" w:rsidP="007C179F">
      <w:pPr>
        <w:rPr>
          <w:rFonts w:ascii="Arial" w:eastAsia="Times New Roman" w:hAnsi="Arial" w:cs="Arial"/>
        </w:rPr>
      </w:pPr>
    </w:p>
    <w:p w14:paraId="5765382E" w14:textId="4B17CEA1" w:rsidR="00EE32D3" w:rsidRDefault="00AE57DA" w:rsidP="007C17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The adjustment would be applied to the 2022-23 base rate used in the 2023-34 formula</w:t>
      </w:r>
      <w:r w:rsidR="00EE32D3">
        <w:rPr>
          <w:rFonts w:ascii="Arial" w:eastAsia="Times New Roman" w:hAnsi="Arial" w:cs="Arial"/>
        </w:rPr>
        <w:t>.</w:t>
      </w:r>
      <w:r w:rsidR="00634599">
        <w:rPr>
          <w:rFonts w:ascii="Arial" w:eastAsia="Times New Roman" w:hAnsi="Arial" w:cs="Arial"/>
        </w:rPr>
        <w:t xml:space="preserve">  On the current modelling the impact would be a reduction of -£28.92 per pupil, or -£44,764 in the value of the MFG.</w:t>
      </w:r>
    </w:p>
    <w:p w14:paraId="0249FA44" w14:textId="77777777" w:rsidR="00EE32D3" w:rsidRDefault="00EE32D3" w:rsidP="007C179F">
      <w:pPr>
        <w:rPr>
          <w:rFonts w:ascii="Arial" w:eastAsia="Times New Roman" w:hAnsi="Arial" w:cs="Arial"/>
        </w:rPr>
      </w:pPr>
    </w:p>
    <w:p w14:paraId="48FAA7D7" w14:textId="200B9E86" w:rsidR="00EE32D3" w:rsidRPr="00AE57DA" w:rsidRDefault="00EE32D3" w:rsidP="00EE32D3">
      <w:pPr>
        <w:autoSpaceDE w:val="0"/>
        <w:autoSpaceDN w:val="0"/>
        <w:adjustRightInd w:val="0"/>
        <w:contextualSpacing/>
        <w:rPr>
          <w:rFonts w:ascii="Arial" w:hAnsi="Arial" w:cs="Arial"/>
          <w:color w:val="000000"/>
        </w:rPr>
      </w:pPr>
      <w:r w:rsidRPr="00AE57DA">
        <w:rPr>
          <w:rFonts w:ascii="Arial" w:hAnsi="Arial" w:cs="Arial"/>
          <w:color w:val="000000"/>
        </w:rPr>
        <w:t xml:space="preserve">The </w:t>
      </w:r>
      <w:r>
        <w:rPr>
          <w:rFonts w:ascii="Arial" w:hAnsi="Arial" w:cs="Arial"/>
          <w:color w:val="000000"/>
        </w:rPr>
        <w:t>application is</w:t>
      </w:r>
      <w:r w:rsidRPr="00AE57DA">
        <w:rPr>
          <w:rFonts w:ascii="Arial" w:hAnsi="Arial" w:cs="Arial"/>
          <w:color w:val="000000"/>
        </w:rPr>
        <w:t xml:space="preserve"> included </w:t>
      </w:r>
      <w:r w:rsidR="00C06845">
        <w:rPr>
          <w:rFonts w:ascii="Arial" w:hAnsi="Arial" w:cs="Arial"/>
          <w:color w:val="000000"/>
        </w:rPr>
        <w:t>as</w:t>
      </w:r>
      <w:r w:rsidRPr="00AE57DA">
        <w:rPr>
          <w:rFonts w:ascii="Arial" w:hAnsi="Arial" w:cs="Arial"/>
          <w:color w:val="000000"/>
        </w:rPr>
        <w:t xml:space="preserve"> appendix </w:t>
      </w:r>
      <w:r>
        <w:rPr>
          <w:rFonts w:ascii="Arial" w:hAnsi="Arial" w:cs="Arial"/>
          <w:color w:val="000000"/>
        </w:rPr>
        <w:t>B</w:t>
      </w:r>
    </w:p>
    <w:p w14:paraId="06DC2D56" w14:textId="4067C942" w:rsidR="00CE4748" w:rsidRPr="00636B66" w:rsidRDefault="00CE4748" w:rsidP="007C179F">
      <w:pPr>
        <w:rPr>
          <w:rFonts w:ascii="Arial" w:hAnsi="Arial" w:cs="Arial"/>
          <w:b/>
          <w:bCs/>
        </w:rPr>
      </w:pPr>
    </w:p>
    <w:p w14:paraId="1B2083A8" w14:textId="78CD3AD1" w:rsidR="00EE32D3" w:rsidRDefault="00EE32D3" w:rsidP="00EE32D3">
      <w:pPr>
        <w:pStyle w:val="ListParagraph"/>
        <w:ind w:left="360"/>
        <w:rPr>
          <w:rFonts w:ascii="Arial" w:hAnsi="Arial" w:cs="Arial"/>
        </w:rPr>
      </w:pPr>
    </w:p>
    <w:p w14:paraId="74565058" w14:textId="2E5539E1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169A3499" w14:textId="34E08C7A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2579F552" w14:textId="52C50BD3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6C6390F7" w14:textId="42BD427A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71AC07C7" w14:textId="6FB345BE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4B876BF4" w14:textId="25455911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7076AA74" w14:textId="137616B6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3451ED41" w14:textId="4607A5BD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2E6E164F" w14:textId="505A9596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3E2980DF" w14:textId="5941BBA2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49C820C6" w14:textId="1D9E2D7D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5843DAEB" w14:textId="3E32404A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28D92556" w14:textId="2D7A0E8A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3E8C83BF" w14:textId="2FA71865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385FA4A5" w14:textId="483C327F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486A02D6" w14:textId="25FB9746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3FE70F81" w14:textId="1E4A8EBF" w:rsidR="00C06845" w:rsidRDefault="00C0684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D5308C9" w14:textId="3354BFDF" w:rsidR="00C06845" w:rsidRDefault="00C06845" w:rsidP="00E300EF">
      <w:pPr>
        <w:pStyle w:val="Heading2"/>
      </w:pPr>
      <w:r>
        <w:lastRenderedPageBreak/>
        <w:t>Appendix A</w:t>
      </w:r>
    </w:p>
    <w:p w14:paraId="55519EDC" w14:textId="77777777" w:rsidR="00443585" w:rsidRDefault="00443585" w:rsidP="00443585">
      <w:pPr>
        <w:pStyle w:val="ListParagraph"/>
        <w:ind w:left="0"/>
        <w:rPr>
          <w:rFonts w:ascii="Arial" w:hAnsi="Arial" w:cs="Arial"/>
        </w:rPr>
      </w:pPr>
    </w:p>
    <w:p w14:paraId="26E4A1A8" w14:textId="77777777" w:rsidR="00C06845" w:rsidRDefault="00C06845" w:rsidP="00EE32D3">
      <w:pPr>
        <w:pStyle w:val="ListParagraph"/>
        <w:ind w:left="360"/>
        <w:rPr>
          <w:rFonts w:ascii="Arial" w:hAnsi="Arial" w:cs="Arial"/>
        </w:rPr>
      </w:pPr>
    </w:p>
    <w:p w14:paraId="55B884AC" w14:textId="2A48E2B7" w:rsidR="00C06845" w:rsidRDefault="008D0869" w:rsidP="00C06845">
      <w:pPr>
        <w:pStyle w:val="ListParagraph"/>
        <w:ind w:left="-709"/>
        <w:rPr>
          <w:rFonts w:ascii="Arial" w:hAnsi="Arial" w:cs="Arial"/>
        </w:rPr>
      </w:pPr>
      <w:r w:rsidRPr="008D0869">
        <w:rPr>
          <w:rFonts w:ascii="Arial" w:hAnsi="Arial" w:cs="Arial"/>
          <w:noProof/>
        </w:rPr>
        <w:drawing>
          <wp:inline distT="0" distB="0" distL="0" distR="0" wp14:anchorId="492E547B" wp14:editId="4296313A">
            <wp:extent cx="6362700" cy="5810740"/>
            <wp:effectExtent l="0" t="0" r="0" b="0"/>
            <wp:docPr id="1" name="Picture 1" descr="School and Early Years Finance Regulations. Local Authority Application to Disapply Regulations Form. &#10;General and High Needs Requests. 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hool and Early Years Finance Regulations. Local Authority Application to Disapply Regulations Form. &#10;General and High Needs Requests. &#10;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65768" cy="5813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DE527" w14:textId="31F70F18" w:rsidR="00C06845" w:rsidRDefault="00C06845" w:rsidP="00C06845">
      <w:pPr>
        <w:pStyle w:val="ListParagraph"/>
        <w:ind w:left="-709"/>
        <w:rPr>
          <w:rFonts w:ascii="Arial" w:hAnsi="Arial" w:cs="Arial"/>
        </w:rPr>
      </w:pPr>
    </w:p>
    <w:p w14:paraId="6E0AC8C8" w14:textId="2EC5A249" w:rsidR="00C06845" w:rsidRDefault="00C06845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EEF8749" w14:textId="54FC4863" w:rsidR="00C06845" w:rsidRDefault="00C06845" w:rsidP="00E300EF">
      <w:pPr>
        <w:pStyle w:val="Heading2"/>
      </w:pPr>
      <w:r>
        <w:lastRenderedPageBreak/>
        <w:t>Appendix B</w:t>
      </w:r>
    </w:p>
    <w:p w14:paraId="6D71E105" w14:textId="44D25B9A" w:rsidR="00C06845" w:rsidRDefault="00C06845" w:rsidP="00C06845">
      <w:pPr>
        <w:pStyle w:val="ListParagraph"/>
        <w:ind w:left="0"/>
        <w:rPr>
          <w:rFonts w:ascii="Arial" w:hAnsi="Arial" w:cs="Arial"/>
        </w:rPr>
      </w:pPr>
    </w:p>
    <w:p w14:paraId="5510F43E" w14:textId="596DE635" w:rsidR="00C06845" w:rsidRDefault="008D0869" w:rsidP="00C06845">
      <w:pPr>
        <w:pStyle w:val="ListParagraph"/>
        <w:ind w:left="-567"/>
        <w:rPr>
          <w:rFonts w:ascii="Arial" w:hAnsi="Arial" w:cs="Arial"/>
        </w:rPr>
      </w:pPr>
      <w:r w:rsidRPr="008D0869">
        <w:rPr>
          <w:rFonts w:ascii="Arial" w:hAnsi="Arial" w:cs="Arial"/>
          <w:noProof/>
        </w:rPr>
        <w:drawing>
          <wp:inline distT="0" distB="0" distL="0" distR="0" wp14:anchorId="68256BD3" wp14:editId="7BC7FC8E">
            <wp:extent cx="6429375" cy="6492059"/>
            <wp:effectExtent l="0" t="0" r="0" b="4445"/>
            <wp:docPr id="7" name="Picture 7" descr="School and Early Years Finance Regulations.&#10;Local Authority Applications to Disapply Regulations Form.&#10;General and High Needs Reques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hool and Early Years Finance Regulations.&#10;Local Authority Applications to Disapply Regulations Form.&#10;General and High Needs Requests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435691" cy="6498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6A9B3" w14:textId="13292307" w:rsidR="00443585" w:rsidRDefault="00443585" w:rsidP="00C06845">
      <w:pPr>
        <w:pStyle w:val="ListParagraph"/>
        <w:ind w:left="-709"/>
        <w:rPr>
          <w:rFonts w:ascii="Arial" w:hAnsi="Arial" w:cs="Arial"/>
        </w:rPr>
      </w:pPr>
    </w:p>
    <w:p w14:paraId="1154D275" w14:textId="77777777" w:rsidR="008D0869" w:rsidRDefault="008D0869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662ECAB4" w14:textId="77777777" w:rsidR="00D84A18" w:rsidRDefault="00D84A18" w:rsidP="00C06845">
      <w:pPr>
        <w:pStyle w:val="ListParagraph"/>
        <w:ind w:left="-709"/>
        <w:rPr>
          <w:rFonts w:ascii="Arial" w:hAnsi="Arial" w:cs="Arial"/>
        </w:rPr>
        <w:sectPr w:rsidR="00D84A18">
          <w:footerReference w:type="default" r:id="rId12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14:paraId="2C3185B5" w14:textId="6E92D07A" w:rsidR="00443585" w:rsidRDefault="00443585" w:rsidP="00727893">
      <w:pPr>
        <w:pStyle w:val="Heading2"/>
      </w:pPr>
      <w:r>
        <w:lastRenderedPageBreak/>
        <w:t>Copy of the DFE MFG Exclusion calculator:</w:t>
      </w:r>
    </w:p>
    <w:p w14:paraId="0E9496F8" w14:textId="77777777" w:rsidR="00443585" w:rsidRDefault="00443585" w:rsidP="00C06845">
      <w:pPr>
        <w:pStyle w:val="ListParagraph"/>
        <w:ind w:left="-709"/>
        <w:rPr>
          <w:rFonts w:ascii="Arial" w:hAnsi="Arial" w:cs="Arial"/>
        </w:rPr>
      </w:pPr>
    </w:p>
    <w:p w14:paraId="0F4E23B8" w14:textId="73F3E85F" w:rsidR="00C06845" w:rsidRPr="00636B66" w:rsidRDefault="00443585" w:rsidP="00C06845">
      <w:pPr>
        <w:pStyle w:val="ListParagraph"/>
        <w:ind w:left="-709"/>
        <w:rPr>
          <w:rFonts w:ascii="Arial" w:hAnsi="Arial" w:cs="Arial"/>
        </w:rPr>
      </w:pPr>
      <w:r w:rsidRPr="00443585">
        <w:rPr>
          <w:rFonts w:ascii="Arial" w:hAnsi="Arial" w:cs="Arial"/>
          <w:noProof/>
        </w:rPr>
        <w:drawing>
          <wp:inline distT="0" distB="0" distL="0" distR="0" wp14:anchorId="6F266CBC" wp14:editId="67703029">
            <wp:extent cx="9214646" cy="952500"/>
            <wp:effectExtent l="0" t="0" r="5715" b="0"/>
            <wp:docPr id="4" name="Picture 4" descr="School and Early Years Finance Regulations.&#10;Local Authority Applications to Disapply Regulations Form.&#10;General and High Needs Request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hool and Early Years Finance Regulations.&#10;Local Authority Applications to Disapply Regulations Form.&#10;General and High Needs Requests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220764" cy="953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3585">
        <w:rPr>
          <w:rFonts w:ascii="Arial" w:hAnsi="Arial" w:cs="Arial"/>
          <w:noProof/>
        </w:rPr>
        <w:drawing>
          <wp:inline distT="0" distB="0" distL="0" distR="0" wp14:anchorId="114535B5" wp14:editId="338F530A">
            <wp:extent cx="8625178" cy="2943225"/>
            <wp:effectExtent l="0" t="0" r="5080" b="0"/>
            <wp:docPr id="5" name="Picture 5" descr="School and Early Years Finance Regulations.&#10;Local Authority Applications to Disapply Regulations Form.&#10;General and High Needs Requests.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hool and Early Years Finance Regulations.&#10;Local Authority Applications to Disapply Regulations Form.&#10;General and High Needs Requests.&#10;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646616" cy="295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06845" w:rsidRPr="00636B66" w:rsidSect="00D84A18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72B53" w14:textId="77777777" w:rsidR="002F2B7A" w:rsidRDefault="002F2B7A" w:rsidP="008D0869">
      <w:r>
        <w:separator/>
      </w:r>
    </w:p>
  </w:endnote>
  <w:endnote w:type="continuationSeparator" w:id="0">
    <w:p w14:paraId="23E663F1" w14:textId="77777777" w:rsidR="002F2B7A" w:rsidRDefault="002F2B7A" w:rsidP="008D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C1ADA" w14:textId="4385E090" w:rsidR="008D0869" w:rsidRDefault="008D0869">
    <w:pPr>
      <w:pStyle w:val="Footer"/>
    </w:pPr>
    <w:r>
      <w:t>Schools Forum 30 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F2C017" w14:textId="77777777" w:rsidR="002F2B7A" w:rsidRDefault="002F2B7A" w:rsidP="008D0869">
      <w:r>
        <w:separator/>
      </w:r>
    </w:p>
  </w:footnote>
  <w:footnote w:type="continuationSeparator" w:id="0">
    <w:p w14:paraId="2E597D1C" w14:textId="77777777" w:rsidR="002F2B7A" w:rsidRDefault="002F2B7A" w:rsidP="008D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63B3D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09107B3"/>
    <w:multiLevelType w:val="hybridMultilevel"/>
    <w:tmpl w:val="F8F6AD0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AF93194"/>
    <w:multiLevelType w:val="hybridMultilevel"/>
    <w:tmpl w:val="800A9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AD2CFC"/>
    <w:multiLevelType w:val="multilevel"/>
    <w:tmpl w:val="50764FA0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8FE"/>
    <w:rsid w:val="00024927"/>
    <w:rsid w:val="000676F6"/>
    <w:rsid w:val="000C0F10"/>
    <w:rsid w:val="000E2923"/>
    <w:rsid w:val="00150C8D"/>
    <w:rsid w:val="00171387"/>
    <w:rsid w:val="001979D9"/>
    <w:rsid w:val="001E3EE1"/>
    <w:rsid w:val="001F6B63"/>
    <w:rsid w:val="002D44BF"/>
    <w:rsid w:val="002F2B7A"/>
    <w:rsid w:val="003418FE"/>
    <w:rsid w:val="003C1509"/>
    <w:rsid w:val="00437FB4"/>
    <w:rsid w:val="00443585"/>
    <w:rsid w:val="00563783"/>
    <w:rsid w:val="00574EDB"/>
    <w:rsid w:val="00634599"/>
    <w:rsid w:val="00636B66"/>
    <w:rsid w:val="0070322B"/>
    <w:rsid w:val="00727893"/>
    <w:rsid w:val="007C179F"/>
    <w:rsid w:val="008D0869"/>
    <w:rsid w:val="008F53CC"/>
    <w:rsid w:val="00A17909"/>
    <w:rsid w:val="00AD037A"/>
    <w:rsid w:val="00AE57DA"/>
    <w:rsid w:val="00B274B7"/>
    <w:rsid w:val="00C06845"/>
    <w:rsid w:val="00CC2634"/>
    <w:rsid w:val="00CC2E2A"/>
    <w:rsid w:val="00CC300D"/>
    <w:rsid w:val="00CE4748"/>
    <w:rsid w:val="00D037FB"/>
    <w:rsid w:val="00D0758B"/>
    <w:rsid w:val="00D84A18"/>
    <w:rsid w:val="00DC424F"/>
    <w:rsid w:val="00DE058C"/>
    <w:rsid w:val="00E15C49"/>
    <w:rsid w:val="00E300EF"/>
    <w:rsid w:val="00EE32D3"/>
    <w:rsid w:val="00F92ABE"/>
    <w:rsid w:val="00FB544C"/>
    <w:rsid w:val="00FE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66E5D"/>
  <w15:chartTrackingRefBased/>
  <w15:docId w15:val="{5EFB116F-23FA-4454-B8FC-4E7C80BC5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8F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322B"/>
    <w:pPr>
      <w:jc w:val="center"/>
      <w:outlineLvl w:val="0"/>
    </w:pPr>
    <w:rPr>
      <w:rFonts w:cs="Arial"/>
      <w:b/>
      <w:bC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322B"/>
    <w:pPr>
      <w:outlineLvl w:val="1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Bullet 1,F5 List Paragraph,Bullet Points,MAIN CONTENT,List Paragraph12,Bullet Style,Colorful List - Accent 11,Normal numbered,List Paragraph2,List Paragraph11"/>
    <w:basedOn w:val="Normal"/>
    <w:uiPriority w:val="34"/>
    <w:qFormat/>
    <w:rsid w:val="003418FE"/>
    <w:pPr>
      <w:ind w:left="720"/>
    </w:pPr>
  </w:style>
  <w:style w:type="character" w:styleId="Hyperlink">
    <w:name w:val="Hyperlink"/>
    <w:basedOn w:val="DefaultParagraphFont"/>
    <w:uiPriority w:val="99"/>
    <w:semiHidden/>
    <w:unhideWhenUsed/>
    <w:rsid w:val="00563783"/>
    <w:rPr>
      <w:color w:val="0000FF"/>
      <w:u w:val="single"/>
    </w:rPr>
  </w:style>
  <w:style w:type="table" w:styleId="TableGrid">
    <w:name w:val="Table Grid"/>
    <w:basedOn w:val="TableNormal"/>
    <w:uiPriority w:val="39"/>
    <w:rsid w:val="00AD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037A"/>
    <w:pPr>
      <w:tabs>
        <w:tab w:val="center" w:pos="4153"/>
        <w:tab w:val="right" w:pos="8306"/>
      </w:tabs>
    </w:pPr>
    <w:rPr>
      <w:rFonts w:ascii="Arial" w:eastAsia="Times New Roman" w:hAnsi="Arial" w:cs="Times New Roman"/>
      <w:sz w:val="24"/>
      <w:szCs w:val="24"/>
      <w:lang w:eastAsia="en-GB"/>
    </w:rPr>
  </w:style>
  <w:style w:type="character" w:customStyle="1" w:styleId="HeaderChar">
    <w:name w:val="Header Char"/>
    <w:basedOn w:val="DefaultParagraphFont"/>
    <w:link w:val="Header"/>
    <w:uiPriority w:val="99"/>
    <w:rsid w:val="00AD037A"/>
    <w:rPr>
      <w:rFonts w:ascii="Arial" w:eastAsia="Times New Roman" w:hAnsi="Arial" w:cs="Times New Roman"/>
      <w:sz w:val="24"/>
      <w:szCs w:val="24"/>
      <w:lang w:eastAsia="en-GB"/>
    </w:rPr>
  </w:style>
  <w:style w:type="paragraph" w:styleId="BodyTextIndent">
    <w:name w:val="Body Text Indent"/>
    <w:basedOn w:val="Normal"/>
    <w:link w:val="BodyTextIndentChar"/>
    <w:rsid w:val="00AD037A"/>
    <w:pPr>
      <w:tabs>
        <w:tab w:val="left" w:pos="360"/>
      </w:tabs>
      <w:spacing w:after="120"/>
      <w:ind w:left="360" w:hanging="360"/>
    </w:pPr>
    <w:rPr>
      <w:rFonts w:ascii="Arial" w:eastAsia="Times New Roman" w:hAnsi="Arial" w:cs="Times New Roman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rsid w:val="00AD037A"/>
    <w:rPr>
      <w:rFonts w:ascii="Arial" w:eastAsia="Times New Roman" w:hAnsi="Arial" w:cs="Times New Roman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08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0869"/>
    <w:rPr>
      <w:rFonts w:ascii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70322B"/>
    <w:rPr>
      <w:rFonts w:ascii="Calibri" w:hAnsi="Calibri" w:cs="Arial"/>
      <w:b/>
      <w:bC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70322B"/>
    <w:rPr>
      <w:rFonts w:ascii="Arial" w:hAnsi="Arial" w:cs="Arial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01BE090C39F147A791A9BD3E22C541" ma:contentTypeVersion="16" ma:contentTypeDescription="Create a new document." ma:contentTypeScope="" ma:versionID="c55be5c4856c147cf072aba43e2c0743">
  <xsd:schema xmlns:xsd="http://www.w3.org/2001/XMLSchema" xmlns:xs="http://www.w3.org/2001/XMLSchema" xmlns:p="http://schemas.microsoft.com/office/2006/metadata/properties" xmlns:ns2="deec781b-51b2-41f5-8977-d833afa0cdb5" xmlns:ns3="30d79745-92fc-4b4e-a213-f975f2a6d945" targetNamespace="http://schemas.microsoft.com/office/2006/metadata/properties" ma:root="true" ma:fieldsID="63e26bc531ea084e734d7506d8187469" ns2:_="" ns3:_="">
    <xsd:import namespace="deec781b-51b2-41f5-8977-d833afa0cdb5"/>
    <xsd:import namespace="30d79745-92fc-4b4e-a213-f975f2a6d9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c781b-51b2-41f5-8977-d833afa0c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7725aa-a115-4173-8de3-4bc35a246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79745-92fc-4b4e-a213-f975f2a6d94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8753e4-6763-4ccc-a875-b7474a820090}" ma:internalName="TaxCatchAll" ma:showField="CatchAllData" ma:web="30d79745-92fc-4b4e-a213-f975f2a6d9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d79745-92fc-4b4e-a213-f975f2a6d945">
      <UserInfo>
        <DisplayName>Kay Goodacre</DisplayName>
        <AccountId>29</AccountId>
        <AccountType/>
      </UserInfo>
      <UserInfo>
        <DisplayName>Nikki Parsons</DisplayName>
        <AccountId>208</AccountId>
        <AccountType/>
      </UserInfo>
    </SharedWithUsers>
    <TaxCatchAll xmlns="30d79745-92fc-4b4e-a213-f975f2a6d945" xsi:nil="true"/>
    <lcf76f155ced4ddcb4097134ff3c332f xmlns="deec781b-51b2-41f5-8977-d833afa0cdb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F494B3-08C2-485E-B89C-3F427328E2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6804DE-37A0-4BE1-A0A1-907A16368F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ec781b-51b2-41f5-8977-d833afa0cdb5"/>
    <ds:schemaRef ds:uri="30d79745-92fc-4b4e-a213-f975f2a6d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6A75A2-E573-4DFA-8DDB-633806691B01}">
  <ds:schemaRefs>
    <ds:schemaRef ds:uri="http://schemas.microsoft.com/office/2006/documentManagement/types"/>
    <ds:schemaRef ds:uri="http://purl.org/dc/dcmitype/"/>
    <ds:schemaRef ds:uri="http://purl.org/dc/elements/1.1/"/>
    <ds:schemaRef ds:uri="30d79745-92fc-4b4e-a213-f975f2a6d945"/>
    <ds:schemaRef ds:uri="http://purl.org/dc/terms/"/>
    <ds:schemaRef ds:uri="deec781b-51b2-41f5-8977-d833afa0cdb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Disapplication report</dc:title>
  <dc:subject/>
  <dc:creator>Sara Walsingham</dc:creator>
  <cp:keywords/>
  <dc:description/>
  <cp:lastModifiedBy>Phillip Nduoyo</cp:lastModifiedBy>
  <cp:revision>15</cp:revision>
  <dcterms:created xsi:type="dcterms:W3CDTF">2022-11-22T13:26:00Z</dcterms:created>
  <dcterms:modified xsi:type="dcterms:W3CDTF">2022-11-24T11:20:00Z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0x0101005D01BE090C39F147A791A9BD3E22C541</vt:lpwstr>
  </property>
  <property fmtid="{D5CDD505-2E9C-101B-9397-08002B2CF9AE}" pid="3" name="MediaServiceImageTags">
    <vt:lpwstr/>
  </property>
  <property fmtid="{D5CDD505-2E9C-101B-9397-08002B2CF9AE}" pid="4" name="GrammarlyDocumentId">
    <vt:lpwstr>22af122456f0a7468d5fc678fb02bb2bd6a60c71fe07e05a44c95a2b4ea78936</vt:lpwstr>
  </property>
</Properties>
</file>