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DE3E" w14:textId="77777777" w:rsidR="00673A87" w:rsidRDefault="00673A87">
      <w:bookmarkStart w:id="0" w:name="_GoBack"/>
      <w:bookmarkEnd w:id="0"/>
    </w:p>
    <w:tbl>
      <w:tblPr>
        <w:tblStyle w:val="TableGrid"/>
        <w:tblpPr w:leftFromText="180" w:rightFromText="180" w:vertAnchor="text" w:horzAnchor="margin" w:tblpX="108" w:tblpY="34"/>
        <w:tblW w:w="0" w:type="auto"/>
        <w:tblLook w:val="01E0" w:firstRow="1" w:lastRow="1" w:firstColumn="1" w:lastColumn="1" w:noHBand="0" w:noVBand="0"/>
      </w:tblPr>
      <w:tblGrid>
        <w:gridCol w:w="9060"/>
      </w:tblGrid>
      <w:tr w:rsidR="004C11CF" w:rsidRPr="005E50AA" w14:paraId="4A0F6B47" w14:textId="77777777" w:rsidTr="00B0788C">
        <w:tc>
          <w:tcPr>
            <w:tcW w:w="9108" w:type="dxa"/>
          </w:tcPr>
          <w:p w14:paraId="14D4FD8B" w14:textId="77777777" w:rsidR="004C11CF" w:rsidRPr="005E50AA" w:rsidRDefault="0013261A" w:rsidP="002374A3">
            <w:pPr>
              <w:pStyle w:val="BodyTextIndent"/>
              <w:rPr>
                <w:b/>
                <w:sz w:val="32"/>
                <w:szCs w:val="32"/>
              </w:rPr>
            </w:pPr>
            <w:r w:rsidRPr="005E50AA">
              <w:rPr>
                <w:b/>
                <w:sz w:val="32"/>
                <w:szCs w:val="32"/>
              </w:rPr>
              <w:t xml:space="preserve">AGENDA ITEM </w:t>
            </w:r>
          </w:p>
        </w:tc>
      </w:tr>
    </w:tbl>
    <w:p w14:paraId="4C935BF5" w14:textId="77777777" w:rsidR="003D08B1" w:rsidRPr="005E50AA" w:rsidRDefault="003D08B1" w:rsidP="004C11CF"/>
    <w:p w14:paraId="4C3BA5B0" w14:textId="77777777" w:rsidR="003D08B1" w:rsidRPr="005E50AA" w:rsidRDefault="003D08B1" w:rsidP="003D08B1">
      <w:pPr>
        <w:rPr>
          <w:b/>
        </w:rPr>
      </w:pPr>
    </w:p>
    <w:p w14:paraId="2750290E" w14:textId="77777777" w:rsidR="001E4116" w:rsidRPr="005E50AA"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sidRPr="005E50AA">
        <w:rPr>
          <w:b/>
          <w:sz w:val="32"/>
          <w:szCs w:val="32"/>
        </w:rPr>
        <w:t xml:space="preserve">Title of report: </w:t>
      </w:r>
      <w:r w:rsidR="00B810DC" w:rsidRPr="005E50AA">
        <w:rPr>
          <w:b/>
          <w:sz w:val="32"/>
          <w:szCs w:val="32"/>
        </w:rPr>
        <w:t xml:space="preserve">Schools Contingency and Growth Fund </w:t>
      </w:r>
      <w:r w:rsidR="005255CA">
        <w:rPr>
          <w:b/>
          <w:sz w:val="32"/>
          <w:szCs w:val="32"/>
        </w:rPr>
        <w:t>20</w:t>
      </w:r>
      <w:r w:rsidR="00B810DC" w:rsidRPr="005E50AA">
        <w:rPr>
          <w:b/>
          <w:sz w:val="32"/>
          <w:szCs w:val="32"/>
        </w:rPr>
        <w:t xml:space="preserve">19/20 </w:t>
      </w:r>
      <w:r w:rsidR="005255CA">
        <w:rPr>
          <w:b/>
          <w:sz w:val="32"/>
          <w:szCs w:val="32"/>
        </w:rPr>
        <w:t xml:space="preserve">and 2020-21 </w:t>
      </w:r>
      <w:r w:rsidR="00B810DC" w:rsidRPr="005E50AA">
        <w:rPr>
          <w:b/>
          <w:sz w:val="32"/>
          <w:szCs w:val="32"/>
        </w:rPr>
        <w:t>(Update)</w:t>
      </w:r>
    </w:p>
    <w:p w14:paraId="4943C8F0" w14:textId="77777777" w:rsidR="001E4116" w:rsidRPr="005E50AA" w:rsidRDefault="001E4116" w:rsidP="001E4116">
      <w:pPr>
        <w:rPr>
          <w:b/>
          <w:u w:val="single"/>
        </w:rPr>
      </w:pPr>
    </w:p>
    <w:p w14:paraId="48808AA2" w14:textId="77777777" w:rsidR="001E4116" w:rsidRPr="005E50AA" w:rsidRDefault="001E4116" w:rsidP="001E4116">
      <w:pPr>
        <w:pBdr>
          <w:top w:val="single" w:sz="4" w:space="1" w:color="auto"/>
          <w:left w:val="single" w:sz="4" w:space="4" w:color="auto"/>
          <w:bottom w:val="single" w:sz="4" w:space="1" w:color="auto"/>
          <w:right w:val="single" w:sz="4" w:space="4" w:color="auto"/>
        </w:pBdr>
      </w:pPr>
      <w:r w:rsidRPr="005E50AA">
        <w:rPr>
          <w:b/>
        </w:rPr>
        <w:t xml:space="preserve">Author of the paper: </w:t>
      </w:r>
      <w:r w:rsidR="00B810DC" w:rsidRPr="005E50AA">
        <w:rPr>
          <w:b/>
        </w:rPr>
        <w:t>Shamila Ganeshalingam</w:t>
      </w:r>
    </w:p>
    <w:p w14:paraId="065354D4" w14:textId="77777777" w:rsidR="001E4116" w:rsidRPr="005E50AA" w:rsidRDefault="001E4116" w:rsidP="001E4116"/>
    <w:p w14:paraId="45E9F2AD" w14:textId="77777777" w:rsidR="001E4116" w:rsidRPr="005E50AA" w:rsidRDefault="00252D5A" w:rsidP="001E4116">
      <w:pPr>
        <w:pBdr>
          <w:top w:val="single" w:sz="4" w:space="1" w:color="auto"/>
          <w:left w:val="single" w:sz="4" w:space="4" w:color="auto"/>
          <w:bottom w:val="single" w:sz="4" w:space="1" w:color="auto"/>
          <w:right w:val="single" w:sz="4" w:space="4" w:color="auto"/>
        </w:pBdr>
      </w:pPr>
      <w:r w:rsidRPr="005E50AA">
        <w:rPr>
          <w:b/>
        </w:rPr>
        <w:t>Officer to present the paper</w:t>
      </w:r>
      <w:r w:rsidR="001E4116" w:rsidRPr="005E50AA">
        <w:rPr>
          <w:b/>
        </w:rPr>
        <w:t xml:space="preserve">: </w:t>
      </w:r>
      <w:r w:rsidR="00535836">
        <w:rPr>
          <w:b/>
        </w:rPr>
        <w:t xml:space="preserve">Shamila </w:t>
      </w:r>
      <w:r w:rsidR="00647EBF">
        <w:rPr>
          <w:b/>
        </w:rPr>
        <w:t>Ganeshalingam</w:t>
      </w:r>
      <w:r w:rsidR="00535836">
        <w:rPr>
          <w:b/>
        </w:rPr>
        <w:t>/</w:t>
      </w:r>
      <w:r w:rsidR="00CA43D1" w:rsidRPr="005E50AA">
        <w:rPr>
          <w:b/>
        </w:rPr>
        <w:t>Steve Worth</w:t>
      </w:r>
    </w:p>
    <w:p w14:paraId="3B0FB063" w14:textId="77777777" w:rsidR="001E4116" w:rsidRPr="005E50AA" w:rsidRDefault="001E4116" w:rsidP="001E4116"/>
    <w:p w14:paraId="63EEA220" w14:textId="77777777" w:rsidR="001E4116" w:rsidRPr="005E50AA" w:rsidRDefault="001E4116" w:rsidP="001E4116">
      <w:pPr>
        <w:pBdr>
          <w:top w:val="single" w:sz="4" w:space="1" w:color="auto"/>
          <w:left w:val="single" w:sz="4" w:space="4" w:color="auto"/>
          <w:bottom w:val="single" w:sz="4" w:space="1" w:color="auto"/>
          <w:right w:val="single" w:sz="4" w:space="4" w:color="auto"/>
        </w:pBdr>
        <w:rPr>
          <w:b/>
        </w:rPr>
      </w:pPr>
      <w:r w:rsidRPr="005E50AA">
        <w:rPr>
          <w:b/>
        </w:rPr>
        <w:t>Details on who has been consulted with on this paper to date:</w:t>
      </w:r>
    </w:p>
    <w:p w14:paraId="54CE8F7F" w14:textId="77777777" w:rsidR="001E4116" w:rsidRPr="005E50AA" w:rsidRDefault="001E4116" w:rsidP="001E4116">
      <w:pPr>
        <w:spacing w:after="120"/>
        <w:rPr>
          <w:b/>
        </w:rPr>
      </w:pPr>
    </w:p>
    <w:p w14:paraId="1363EE3B" w14:textId="77777777" w:rsidR="001E4116" w:rsidRPr="005E50AA" w:rsidRDefault="001E4116" w:rsidP="001E4116">
      <w:pPr>
        <w:pBdr>
          <w:top w:val="single" w:sz="4" w:space="1" w:color="auto"/>
          <w:left w:val="single" w:sz="4" w:space="1" w:color="auto"/>
          <w:bottom w:val="single" w:sz="4" w:space="1" w:color="auto"/>
          <w:right w:val="single" w:sz="4" w:space="1" w:color="auto"/>
        </w:pBdr>
        <w:spacing w:after="120"/>
        <w:rPr>
          <w:b/>
        </w:rPr>
      </w:pPr>
      <w:r w:rsidRPr="005E50AA">
        <w:rPr>
          <w:b/>
        </w:rPr>
        <w:t>Executive Summary</w:t>
      </w:r>
      <w:r w:rsidR="00CA43D1" w:rsidRPr="005E50AA">
        <w:rPr>
          <w:b/>
        </w:rPr>
        <w:t>:</w:t>
      </w:r>
    </w:p>
    <w:p w14:paraId="7BB700E8" w14:textId="77777777" w:rsidR="001D0197" w:rsidRDefault="00647EBF" w:rsidP="001E4116">
      <w:pPr>
        <w:pBdr>
          <w:top w:val="single" w:sz="4" w:space="1" w:color="auto"/>
          <w:left w:val="single" w:sz="4" w:space="1" w:color="auto"/>
          <w:bottom w:val="single" w:sz="4" w:space="1" w:color="auto"/>
          <w:right w:val="single" w:sz="4" w:space="1" w:color="auto"/>
        </w:pBdr>
        <w:spacing w:after="120"/>
      </w:pPr>
      <w:r>
        <w:t>To give an update on the Schools Contingency and G</w:t>
      </w:r>
      <w:r w:rsidR="00B810DC" w:rsidRPr="005E50AA">
        <w:t>rowth</w:t>
      </w:r>
      <w:r>
        <w:t xml:space="preserve"> F</w:t>
      </w:r>
      <w:r w:rsidR="00B810DC">
        <w:t>und for 2019/20</w:t>
      </w:r>
      <w:r w:rsidR="005867D6">
        <w:t xml:space="preserve"> and 2020-</w:t>
      </w:r>
      <w:r w:rsidR="005255CA">
        <w:t>21</w:t>
      </w:r>
      <w:r w:rsidR="005867D6">
        <w:t xml:space="preserve"> and make recommendations on the treatment of balances</w:t>
      </w:r>
      <w:r w:rsidR="00B810DC">
        <w:t>.</w:t>
      </w:r>
    </w:p>
    <w:p w14:paraId="36AABC51" w14:textId="77777777" w:rsidR="00CA43D1" w:rsidRPr="00CA43D1" w:rsidRDefault="00CA43D1" w:rsidP="001E4116">
      <w:pPr>
        <w:pBdr>
          <w:top w:val="single" w:sz="4" w:space="1" w:color="auto"/>
          <w:left w:val="single" w:sz="4" w:space="1" w:color="auto"/>
          <w:bottom w:val="single" w:sz="4" w:space="1" w:color="auto"/>
          <w:right w:val="single" w:sz="4" w:space="1" w:color="auto"/>
        </w:pBdr>
        <w:spacing w:after="120"/>
      </w:pPr>
    </w:p>
    <w:p w14:paraId="4F0748F7" w14:textId="77777777" w:rsidR="001E4116" w:rsidRDefault="001E4116" w:rsidP="001E4116"/>
    <w:p w14:paraId="658707E4" w14:textId="77777777" w:rsidR="00F6086C" w:rsidRPr="00F6086C" w:rsidRDefault="001E4116" w:rsidP="00F6086C">
      <w:pPr>
        <w:pBdr>
          <w:top w:val="single" w:sz="4" w:space="1" w:color="auto"/>
          <w:left w:val="single" w:sz="4" w:space="1" w:color="auto"/>
          <w:bottom w:val="single" w:sz="4" w:space="1" w:color="auto"/>
          <w:right w:val="single" w:sz="4" w:space="1" w:color="auto"/>
        </w:pBdr>
        <w:rPr>
          <w:b/>
        </w:rPr>
      </w:pPr>
      <w:r>
        <w:rPr>
          <w:b/>
        </w:rPr>
        <w:t xml:space="preserve">Details of recommendations and timescales for decisions: </w:t>
      </w:r>
    </w:p>
    <w:p w14:paraId="08469FB5" w14:textId="77777777" w:rsidR="00254308" w:rsidRDefault="00254308" w:rsidP="007303C1">
      <w:pPr>
        <w:pBdr>
          <w:top w:val="single" w:sz="4" w:space="1" w:color="auto"/>
          <w:left w:val="single" w:sz="4" w:space="1" w:color="auto"/>
          <w:bottom w:val="single" w:sz="4" w:space="1" w:color="auto"/>
          <w:right w:val="single" w:sz="4" w:space="1" w:color="auto"/>
        </w:pBdr>
        <w:spacing w:after="120"/>
      </w:pPr>
    </w:p>
    <w:p w14:paraId="1869891F" w14:textId="77777777" w:rsidR="00F36095" w:rsidRDefault="005867D6" w:rsidP="007303C1">
      <w:pPr>
        <w:pBdr>
          <w:top w:val="single" w:sz="4" w:space="1" w:color="auto"/>
          <w:left w:val="single" w:sz="4" w:space="1" w:color="auto"/>
          <w:bottom w:val="single" w:sz="4" w:space="1" w:color="auto"/>
          <w:right w:val="single" w:sz="4" w:space="1" w:color="auto"/>
        </w:pBdr>
        <w:spacing w:after="120"/>
      </w:pPr>
      <w:r>
        <w:t xml:space="preserve">That members note the allocations made against the 2019/20 </w:t>
      </w:r>
      <w:r w:rsidR="00314210">
        <w:t>Growth Fund and Schools C</w:t>
      </w:r>
      <w:r w:rsidR="002C4902">
        <w:t xml:space="preserve">ontingency </w:t>
      </w:r>
      <w:r w:rsidR="00314210">
        <w:t>B</w:t>
      </w:r>
      <w:r w:rsidR="002C4902">
        <w:t>udget.</w:t>
      </w:r>
    </w:p>
    <w:p w14:paraId="23BE1DBD" w14:textId="77777777" w:rsidR="00AC5C93" w:rsidRDefault="005867D6" w:rsidP="007303C1">
      <w:pPr>
        <w:pBdr>
          <w:top w:val="single" w:sz="4" w:space="1" w:color="auto"/>
          <w:left w:val="single" w:sz="4" w:space="1" w:color="auto"/>
          <w:bottom w:val="single" w:sz="4" w:space="1" w:color="auto"/>
          <w:right w:val="single" w:sz="4" w:space="1" w:color="auto"/>
        </w:pBdr>
        <w:spacing w:after="120"/>
      </w:pPr>
      <w:r>
        <w:t>That members agree to roll forward the projected £</w:t>
      </w:r>
      <w:r w:rsidR="0080071B">
        <w:t>0.</w:t>
      </w:r>
      <w:r>
        <w:t>524</w:t>
      </w:r>
      <w:r w:rsidR="0080071B">
        <w:t>m</w:t>
      </w:r>
      <w:r>
        <w:t xml:space="preserve"> underspend on the Schools Contingency to add to the Contingency in 2020-21</w:t>
      </w:r>
      <w:r w:rsidR="00AC5C93">
        <w:t>.</w:t>
      </w:r>
    </w:p>
    <w:p w14:paraId="4F87AD55" w14:textId="77777777" w:rsidR="005867D6" w:rsidRDefault="00A6681C" w:rsidP="007303C1">
      <w:pPr>
        <w:pBdr>
          <w:top w:val="single" w:sz="4" w:space="1" w:color="auto"/>
          <w:left w:val="single" w:sz="4" w:space="1" w:color="auto"/>
          <w:bottom w:val="single" w:sz="4" w:space="1" w:color="auto"/>
          <w:right w:val="single" w:sz="4" w:space="1" w:color="auto"/>
        </w:pBdr>
        <w:spacing w:after="120"/>
      </w:pPr>
      <w:r>
        <w:t>That members agree to use</w:t>
      </w:r>
      <w:r w:rsidR="00AC5C93">
        <w:t xml:space="preserve"> the projected £</w:t>
      </w:r>
      <w:r w:rsidR="0080071B">
        <w:t>0.</w:t>
      </w:r>
      <w:r w:rsidR="00AC5C93">
        <w:t>955</w:t>
      </w:r>
      <w:r w:rsidR="0080071B">
        <w:t>m</w:t>
      </w:r>
      <w:r w:rsidR="00AC5C93">
        <w:t xml:space="preserve"> underspend on the Growth Fund</w:t>
      </w:r>
      <w:r w:rsidR="00C56B53">
        <w:t xml:space="preserve"> </w:t>
      </w:r>
      <w:r w:rsidR="00AC5C93">
        <w:t>as a one-off addition to the High Needs Block</w:t>
      </w:r>
      <w:r w:rsidR="005867D6">
        <w:t>.</w:t>
      </w:r>
      <w:r w:rsidR="00AC5C93">
        <w:t xml:space="preserve"> </w:t>
      </w:r>
    </w:p>
    <w:p w14:paraId="23116F45" w14:textId="77777777" w:rsidR="005867D6" w:rsidRDefault="005867D6" w:rsidP="007303C1">
      <w:pPr>
        <w:pBdr>
          <w:top w:val="single" w:sz="4" w:space="1" w:color="auto"/>
          <w:left w:val="single" w:sz="4" w:space="1" w:color="auto"/>
          <w:bottom w:val="single" w:sz="4" w:space="1" w:color="auto"/>
          <w:right w:val="single" w:sz="4" w:space="1" w:color="auto"/>
        </w:pBdr>
        <w:spacing w:after="120"/>
      </w:pPr>
    </w:p>
    <w:p w14:paraId="6EE6784A" w14:textId="77777777" w:rsidR="0013261A" w:rsidRDefault="0013261A" w:rsidP="0013261A">
      <w:pPr>
        <w:pBdr>
          <w:top w:val="single" w:sz="4" w:space="1" w:color="auto"/>
          <w:left w:val="single" w:sz="4" w:space="1" w:color="auto"/>
          <w:bottom w:val="single" w:sz="4" w:space="1" w:color="auto"/>
          <w:right w:val="single" w:sz="4" w:space="1" w:color="auto"/>
        </w:pBdr>
        <w:spacing w:after="120"/>
      </w:pPr>
    </w:p>
    <w:p w14:paraId="1AA1A100" w14:textId="77777777" w:rsidR="003B3B7C" w:rsidRDefault="0056430C" w:rsidP="0056430C">
      <w:pPr>
        <w:rPr>
          <w:b/>
        </w:rPr>
      </w:pPr>
      <w:r>
        <w:rPr>
          <w:b/>
        </w:rPr>
        <w:br w:type="page"/>
      </w:r>
    </w:p>
    <w:p w14:paraId="45AA490D" w14:textId="77777777" w:rsidR="0056430C" w:rsidRDefault="0056430C" w:rsidP="00F36095">
      <w:pPr>
        <w:pStyle w:val="ListParagraph"/>
        <w:keepNext/>
        <w:numPr>
          <w:ilvl w:val="0"/>
          <w:numId w:val="18"/>
        </w:numPr>
        <w:rPr>
          <w:b/>
        </w:rPr>
      </w:pPr>
      <w:r>
        <w:rPr>
          <w:b/>
        </w:rPr>
        <w:lastRenderedPageBreak/>
        <w:t>Growth Fund.</w:t>
      </w:r>
    </w:p>
    <w:p w14:paraId="30C15F93" w14:textId="77777777" w:rsidR="0056430C" w:rsidRDefault="0056430C" w:rsidP="0056430C">
      <w:pPr>
        <w:pStyle w:val="ListParagraph"/>
        <w:keepNext/>
        <w:ind w:left="360"/>
        <w:rPr>
          <w:b/>
        </w:rPr>
      </w:pPr>
    </w:p>
    <w:p w14:paraId="057C5ACE" w14:textId="77777777" w:rsidR="00F36095" w:rsidRDefault="00FE437F" w:rsidP="0056430C">
      <w:pPr>
        <w:pStyle w:val="ListParagraph"/>
        <w:keepNext/>
        <w:numPr>
          <w:ilvl w:val="1"/>
          <w:numId w:val="18"/>
        </w:numPr>
        <w:ind w:left="567" w:hanging="567"/>
        <w:rPr>
          <w:b/>
        </w:rPr>
      </w:pPr>
      <w:r>
        <w:rPr>
          <w:b/>
        </w:rPr>
        <w:t>Growth Fund 2019/20</w:t>
      </w:r>
    </w:p>
    <w:p w14:paraId="0EB4407E" w14:textId="77777777" w:rsidR="00F36095" w:rsidRPr="0056430C" w:rsidRDefault="00F36095" w:rsidP="0056430C">
      <w:pPr>
        <w:keepNext/>
        <w:rPr>
          <w:b/>
        </w:rPr>
      </w:pPr>
    </w:p>
    <w:p w14:paraId="341AE955" w14:textId="77777777" w:rsidR="00F36095" w:rsidRPr="00F36095" w:rsidRDefault="008352A4" w:rsidP="00F36095">
      <w:pPr>
        <w:keepNext/>
        <w:rPr>
          <w:b/>
        </w:rPr>
      </w:pPr>
      <w:r>
        <w:t>The Growth Fund is one of two</w:t>
      </w:r>
      <w:r w:rsidR="00F36095">
        <w:t xml:space="preserve"> centrally retained (top-sliced) item</w:t>
      </w:r>
      <w:r>
        <w:t>s</w:t>
      </w:r>
      <w:r w:rsidR="00F36095">
        <w:t xml:space="preserve"> allo</w:t>
      </w:r>
      <w:r>
        <w:t>wed within the Schools Block, the other being the Falling Rolls Fund</w:t>
      </w:r>
      <w:r w:rsidR="00F36095">
        <w:t>.</w:t>
      </w:r>
    </w:p>
    <w:p w14:paraId="07762744" w14:textId="77777777" w:rsidR="00F36095" w:rsidRPr="00C66217" w:rsidRDefault="00F36095" w:rsidP="00F36095">
      <w:pPr>
        <w:pStyle w:val="ListParagraph"/>
        <w:keepNext/>
        <w:ind w:left="792"/>
        <w:rPr>
          <w:b/>
        </w:rPr>
      </w:pPr>
    </w:p>
    <w:p w14:paraId="5ACD16D2" w14:textId="77777777" w:rsidR="00A6681C" w:rsidRDefault="00F36095" w:rsidP="00A6681C">
      <w:r w:rsidRPr="00502101">
        <w:t>The Growth Fund in 201</w:t>
      </w:r>
      <w:r>
        <w:t>9</w:t>
      </w:r>
      <w:r w:rsidRPr="00502101">
        <w:t>-</w:t>
      </w:r>
      <w:r>
        <w:t xml:space="preserve">20 </w:t>
      </w:r>
      <w:r w:rsidRPr="00502101">
        <w:t xml:space="preserve">was </w:t>
      </w:r>
      <w:r>
        <w:t>£2.22</w:t>
      </w:r>
      <w:r w:rsidRPr="00502101">
        <w:t xml:space="preserve">m. </w:t>
      </w:r>
      <w:r w:rsidR="005E50AA">
        <w:t>This includes</w:t>
      </w:r>
      <w:r w:rsidR="00CC27A0">
        <w:t xml:space="preserve"> £1.496m </w:t>
      </w:r>
      <w:r w:rsidR="008922EE">
        <w:t xml:space="preserve">budget </w:t>
      </w:r>
      <w:r w:rsidR="00CC27A0">
        <w:t xml:space="preserve">allocated in </w:t>
      </w:r>
      <w:r w:rsidR="006E26B8">
        <w:t>20</w:t>
      </w:r>
      <w:r w:rsidR="00CC27A0">
        <w:t>19/20 and an approved carry forward balance of £</w:t>
      </w:r>
      <w:r w:rsidR="00BF440B">
        <w:t>0</w:t>
      </w:r>
      <w:r w:rsidR="00CC27A0">
        <w:t>.722m</w:t>
      </w:r>
      <w:r w:rsidR="005E50AA">
        <w:t xml:space="preserve"> from 2018/19</w:t>
      </w:r>
      <w:r w:rsidR="00A6681C">
        <w:t>.</w:t>
      </w:r>
    </w:p>
    <w:p w14:paraId="08F15C32" w14:textId="77777777" w:rsidR="00A6681C" w:rsidRDefault="00A6681C" w:rsidP="00A6681C"/>
    <w:p w14:paraId="2E6A9ED7" w14:textId="77777777" w:rsidR="00A6681C" w:rsidRDefault="00A6681C" w:rsidP="00A6681C">
      <w:r>
        <w:t xml:space="preserve">Officers are required to report all payments made against the Growth Fund to Schools Forum at least once a year.  </w:t>
      </w:r>
    </w:p>
    <w:p w14:paraId="4B5C6C2E" w14:textId="77777777" w:rsidR="008922EE" w:rsidRDefault="008922EE" w:rsidP="00F36095"/>
    <w:p w14:paraId="33AF04E4" w14:textId="77777777" w:rsidR="00F36095" w:rsidRPr="00502101" w:rsidRDefault="00F36095" w:rsidP="00F36095">
      <w:r w:rsidRPr="00502101">
        <w:t xml:space="preserve">The criteria for allocation have been agreed by Forum and are set out in </w:t>
      </w:r>
      <w:r w:rsidRPr="00F36095">
        <w:rPr>
          <w:b/>
        </w:rPr>
        <w:t xml:space="preserve">Appendix </w:t>
      </w:r>
      <w:r w:rsidR="008922EE">
        <w:rPr>
          <w:b/>
        </w:rPr>
        <w:t>1</w:t>
      </w:r>
      <w:r w:rsidRPr="00502101">
        <w:t>. It is projected that £1.</w:t>
      </w:r>
      <w:r>
        <w:t>265</w:t>
      </w:r>
      <w:r w:rsidRPr="00502101">
        <w:t>m will be allocated in 201</w:t>
      </w:r>
      <w:r>
        <w:t>9-20</w:t>
      </w:r>
      <w:r w:rsidRPr="00502101">
        <w:t>.</w:t>
      </w:r>
      <w:r w:rsidR="00526FC4">
        <w:t xml:space="preserve"> (</w:t>
      </w:r>
      <w:r w:rsidR="00526FC4" w:rsidRPr="00526FC4">
        <w:rPr>
          <w:b/>
        </w:rPr>
        <w:t>see Table 1</w:t>
      </w:r>
      <w:r w:rsidR="00526FC4">
        <w:t>)</w:t>
      </w:r>
    </w:p>
    <w:p w14:paraId="5C5B730C" w14:textId="77777777" w:rsidR="00CC27A0" w:rsidRDefault="00F36095" w:rsidP="00F36095">
      <w:r>
        <w:t xml:space="preserve"> </w:t>
      </w:r>
    </w:p>
    <w:p w14:paraId="3B59737E" w14:textId="77777777" w:rsidR="00F36095" w:rsidRPr="00502101" w:rsidRDefault="00CC27A0" w:rsidP="00A6681C">
      <w:r>
        <w:t xml:space="preserve">Payments from the </w:t>
      </w:r>
      <w:r w:rsidR="008352A4">
        <w:t xml:space="preserve">2019-20 </w:t>
      </w:r>
      <w:r>
        <w:t xml:space="preserve">Growth Fund will be made to schools in January or February of that </w:t>
      </w:r>
      <w:r w:rsidR="008352A4">
        <w:t xml:space="preserve">financial </w:t>
      </w:r>
      <w:r>
        <w:t>year after the pupil numbers are checked against the October 19 census data.</w:t>
      </w:r>
    </w:p>
    <w:p w14:paraId="71B08455" w14:textId="77777777" w:rsidR="00CC27A0" w:rsidRDefault="00CC27A0" w:rsidP="00F36095"/>
    <w:p w14:paraId="1BD1AFBC" w14:textId="77777777" w:rsidR="00CC27A0" w:rsidRDefault="00CC27A0" w:rsidP="00F36095">
      <w:r w:rsidRPr="00526FC4">
        <w:rPr>
          <w:b/>
        </w:rPr>
        <w:t>Table 1</w:t>
      </w:r>
      <w:r>
        <w:t xml:space="preserve"> sets out the resources paid out to schools against the budget available</w:t>
      </w:r>
      <w:r w:rsidR="002C4902">
        <w:t>.</w:t>
      </w:r>
    </w:p>
    <w:p w14:paraId="564F86B4" w14:textId="77777777" w:rsidR="00B0788C" w:rsidRDefault="00B0788C" w:rsidP="00F36095"/>
    <w:p w14:paraId="43EF8533" w14:textId="77777777" w:rsidR="00B0788C" w:rsidRDefault="00B0788C" w:rsidP="00F36095">
      <w:pPr>
        <w:rPr>
          <w:rFonts w:cs="Arial"/>
          <w:b/>
          <w:bCs/>
          <w:i/>
          <w:iCs/>
          <w:color w:val="000000"/>
        </w:rPr>
      </w:pPr>
      <w:r w:rsidRPr="00BF440B">
        <w:rPr>
          <w:rFonts w:cs="Arial"/>
          <w:b/>
          <w:bCs/>
          <w:i/>
          <w:iCs/>
          <w:color w:val="000000"/>
        </w:rPr>
        <w:t>Table 1: Growth Fund Allocation Financial Year 2019/20</w:t>
      </w:r>
    </w:p>
    <w:p w14:paraId="56D5DF40" w14:textId="77777777" w:rsidR="00B0788C" w:rsidRPr="00B0788C" w:rsidRDefault="00B0788C" w:rsidP="00F36095">
      <w:pPr>
        <w:rPr>
          <w:rFonts w:ascii="Calibri" w:hAnsi="Calibri"/>
          <w:color w:val="000000"/>
          <w:sz w:val="22"/>
          <w:szCs w:val="22"/>
        </w:rPr>
      </w:pPr>
    </w:p>
    <w:tbl>
      <w:tblPr>
        <w:tblStyle w:val="TableGrid"/>
        <w:tblW w:w="9925" w:type="dxa"/>
        <w:tblLook w:val="04A0" w:firstRow="1" w:lastRow="0" w:firstColumn="1" w:lastColumn="0" w:noHBand="0" w:noVBand="1"/>
      </w:tblPr>
      <w:tblGrid>
        <w:gridCol w:w="3216"/>
        <w:gridCol w:w="2014"/>
        <w:gridCol w:w="1329"/>
        <w:gridCol w:w="976"/>
        <w:gridCol w:w="1195"/>
        <w:gridCol w:w="1195"/>
      </w:tblGrid>
      <w:tr w:rsidR="00D40943" w:rsidRPr="00D40943" w14:paraId="5A79258E" w14:textId="77777777" w:rsidTr="00B0788C">
        <w:trPr>
          <w:trHeight w:val="600"/>
        </w:trPr>
        <w:tc>
          <w:tcPr>
            <w:tcW w:w="3216" w:type="dxa"/>
            <w:hideMark/>
          </w:tcPr>
          <w:p w14:paraId="65E27F67" w14:textId="77777777" w:rsidR="00D40943" w:rsidRPr="005C0D54" w:rsidRDefault="00D40943" w:rsidP="00D40943">
            <w:pPr>
              <w:rPr>
                <w:rFonts w:cs="Arial"/>
                <w:b/>
                <w:bCs/>
                <w:color w:val="000000"/>
                <w:sz w:val="22"/>
                <w:szCs w:val="22"/>
              </w:rPr>
            </w:pPr>
            <w:r w:rsidRPr="005C0D54">
              <w:rPr>
                <w:rFonts w:cs="Arial"/>
                <w:b/>
                <w:bCs/>
                <w:color w:val="000000"/>
                <w:sz w:val="22"/>
                <w:szCs w:val="22"/>
              </w:rPr>
              <w:t xml:space="preserve">Schools </w:t>
            </w:r>
          </w:p>
        </w:tc>
        <w:tc>
          <w:tcPr>
            <w:tcW w:w="2014" w:type="dxa"/>
            <w:hideMark/>
          </w:tcPr>
          <w:p w14:paraId="3D3E7480" w14:textId="77777777" w:rsidR="00D40943" w:rsidRPr="005C0D54" w:rsidRDefault="00D40943" w:rsidP="00D40943">
            <w:pPr>
              <w:rPr>
                <w:rFonts w:cs="Arial"/>
                <w:b/>
                <w:bCs/>
                <w:color w:val="000000"/>
                <w:sz w:val="22"/>
                <w:szCs w:val="22"/>
              </w:rPr>
            </w:pPr>
            <w:r w:rsidRPr="005C0D54">
              <w:rPr>
                <w:rFonts w:cs="Arial"/>
                <w:b/>
                <w:bCs/>
                <w:color w:val="000000"/>
                <w:sz w:val="22"/>
                <w:szCs w:val="22"/>
              </w:rPr>
              <w:t>Type</w:t>
            </w:r>
          </w:p>
        </w:tc>
        <w:tc>
          <w:tcPr>
            <w:tcW w:w="1329" w:type="dxa"/>
            <w:hideMark/>
          </w:tcPr>
          <w:p w14:paraId="2008236D" w14:textId="77777777" w:rsidR="00D40943" w:rsidRPr="005C0D54" w:rsidRDefault="00D40943" w:rsidP="00D40943">
            <w:pPr>
              <w:rPr>
                <w:rFonts w:cs="Arial"/>
                <w:b/>
                <w:bCs/>
                <w:color w:val="000000"/>
                <w:sz w:val="22"/>
                <w:szCs w:val="22"/>
              </w:rPr>
            </w:pPr>
            <w:r w:rsidRPr="005C0D54">
              <w:rPr>
                <w:rFonts w:cs="Arial"/>
                <w:b/>
                <w:bCs/>
                <w:color w:val="000000"/>
                <w:sz w:val="22"/>
                <w:szCs w:val="22"/>
              </w:rPr>
              <w:t xml:space="preserve">Expansion </w:t>
            </w:r>
          </w:p>
        </w:tc>
        <w:tc>
          <w:tcPr>
            <w:tcW w:w="976" w:type="dxa"/>
            <w:hideMark/>
          </w:tcPr>
          <w:p w14:paraId="7343C6AA" w14:textId="77777777" w:rsidR="00D40943" w:rsidRPr="005C0D54" w:rsidRDefault="00D40943" w:rsidP="00D40943">
            <w:pPr>
              <w:rPr>
                <w:rFonts w:cs="Arial"/>
                <w:b/>
                <w:bCs/>
                <w:color w:val="000000"/>
                <w:sz w:val="22"/>
                <w:szCs w:val="22"/>
              </w:rPr>
            </w:pPr>
            <w:r w:rsidRPr="005C0D54">
              <w:rPr>
                <w:rFonts w:cs="Arial"/>
                <w:b/>
                <w:bCs/>
                <w:color w:val="000000"/>
                <w:sz w:val="22"/>
                <w:szCs w:val="22"/>
              </w:rPr>
              <w:t>AWPU</w:t>
            </w:r>
            <w:r w:rsidR="00B0788C">
              <w:rPr>
                <w:rFonts w:cs="Arial"/>
                <w:b/>
                <w:bCs/>
                <w:color w:val="000000"/>
                <w:sz w:val="22"/>
                <w:szCs w:val="22"/>
              </w:rPr>
              <w:t xml:space="preserve"> (</w:t>
            </w:r>
            <w:r w:rsidR="00B0788C" w:rsidRPr="005C0D54">
              <w:rPr>
                <w:rFonts w:cs="Arial"/>
                <w:b/>
                <w:bCs/>
                <w:color w:val="000000"/>
                <w:sz w:val="22"/>
                <w:szCs w:val="22"/>
              </w:rPr>
              <w:t>£</w:t>
            </w:r>
            <w:r w:rsidR="00B0788C">
              <w:rPr>
                <w:rFonts w:cs="Arial"/>
                <w:b/>
                <w:bCs/>
                <w:color w:val="000000"/>
                <w:sz w:val="22"/>
                <w:szCs w:val="22"/>
              </w:rPr>
              <w:t>)</w:t>
            </w:r>
          </w:p>
        </w:tc>
        <w:tc>
          <w:tcPr>
            <w:tcW w:w="1195" w:type="dxa"/>
            <w:hideMark/>
          </w:tcPr>
          <w:p w14:paraId="0A295F32" w14:textId="77777777" w:rsidR="00D40943" w:rsidRPr="005C0D54" w:rsidRDefault="00D40943" w:rsidP="00D40943">
            <w:pPr>
              <w:rPr>
                <w:rFonts w:cs="Arial"/>
                <w:b/>
                <w:bCs/>
                <w:color w:val="000000"/>
                <w:sz w:val="22"/>
                <w:szCs w:val="22"/>
              </w:rPr>
            </w:pPr>
            <w:r w:rsidRPr="005C0D54">
              <w:rPr>
                <w:rFonts w:cs="Arial"/>
                <w:b/>
                <w:bCs/>
                <w:color w:val="000000"/>
                <w:sz w:val="22"/>
                <w:szCs w:val="22"/>
              </w:rPr>
              <w:t>Full Year cost</w:t>
            </w:r>
            <w:r w:rsidR="00B0788C">
              <w:rPr>
                <w:rFonts w:cs="Arial"/>
                <w:b/>
                <w:bCs/>
                <w:color w:val="000000"/>
                <w:sz w:val="22"/>
                <w:szCs w:val="22"/>
              </w:rPr>
              <w:t xml:space="preserve"> (</w:t>
            </w:r>
            <w:r w:rsidR="00B0788C" w:rsidRPr="005C0D54">
              <w:rPr>
                <w:rFonts w:cs="Arial"/>
                <w:b/>
                <w:bCs/>
                <w:color w:val="000000"/>
                <w:sz w:val="22"/>
                <w:szCs w:val="22"/>
              </w:rPr>
              <w:t>£</w:t>
            </w:r>
            <w:r w:rsidR="00B0788C">
              <w:rPr>
                <w:rFonts w:cs="Arial"/>
                <w:b/>
                <w:bCs/>
                <w:color w:val="000000"/>
                <w:sz w:val="22"/>
                <w:szCs w:val="22"/>
              </w:rPr>
              <w:t>)</w:t>
            </w:r>
          </w:p>
        </w:tc>
        <w:tc>
          <w:tcPr>
            <w:tcW w:w="1195" w:type="dxa"/>
            <w:hideMark/>
          </w:tcPr>
          <w:p w14:paraId="7035C951" w14:textId="77777777" w:rsidR="00D40943" w:rsidRPr="005C0D54" w:rsidRDefault="00D40943" w:rsidP="00D40943">
            <w:pPr>
              <w:rPr>
                <w:rFonts w:cs="Arial"/>
                <w:b/>
                <w:bCs/>
                <w:color w:val="000000"/>
                <w:sz w:val="22"/>
                <w:szCs w:val="22"/>
              </w:rPr>
            </w:pPr>
            <w:r w:rsidRPr="005C0D54">
              <w:rPr>
                <w:rFonts w:cs="Arial"/>
                <w:b/>
                <w:bCs/>
                <w:color w:val="000000"/>
                <w:sz w:val="22"/>
                <w:szCs w:val="22"/>
              </w:rPr>
              <w:t>7/12ths paid</w:t>
            </w:r>
            <w:r w:rsidR="00B0788C">
              <w:rPr>
                <w:rFonts w:cs="Arial"/>
                <w:b/>
                <w:bCs/>
                <w:color w:val="000000"/>
                <w:sz w:val="22"/>
                <w:szCs w:val="22"/>
              </w:rPr>
              <w:t xml:space="preserve"> (</w:t>
            </w:r>
            <w:r w:rsidR="00B0788C" w:rsidRPr="005C0D54">
              <w:rPr>
                <w:rFonts w:cs="Arial"/>
                <w:b/>
                <w:bCs/>
                <w:color w:val="000000"/>
                <w:sz w:val="22"/>
                <w:szCs w:val="22"/>
              </w:rPr>
              <w:t>£</w:t>
            </w:r>
            <w:r w:rsidR="00B0788C">
              <w:rPr>
                <w:rFonts w:cs="Arial"/>
                <w:b/>
                <w:bCs/>
                <w:color w:val="000000"/>
                <w:sz w:val="22"/>
                <w:szCs w:val="22"/>
              </w:rPr>
              <w:t>)</w:t>
            </w:r>
          </w:p>
        </w:tc>
      </w:tr>
      <w:tr w:rsidR="00D40943" w:rsidRPr="00D40943" w14:paraId="40D2AED0" w14:textId="77777777" w:rsidTr="00B0788C">
        <w:trPr>
          <w:trHeight w:val="300"/>
        </w:trPr>
        <w:tc>
          <w:tcPr>
            <w:tcW w:w="3216" w:type="dxa"/>
            <w:noWrap/>
            <w:hideMark/>
          </w:tcPr>
          <w:p w14:paraId="74A29F9C" w14:textId="77777777" w:rsidR="00D40943" w:rsidRPr="005C0D54" w:rsidRDefault="00D40943" w:rsidP="00D40943">
            <w:pPr>
              <w:rPr>
                <w:rFonts w:cs="Arial"/>
                <w:color w:val="000000"/>
                <w:sz w:val="22"/>
                <w:szCs w:val="22"/>
              </w:rPr>
            </w:pPr>
            <w:r w:rsidRPr="005C0D54">
              <w:rPr>
                <w:rFonts w:cs="Arial"/>
                <w:color w:val="000000"/>
                <w:sz w:val="22"/>
                <w:szCs w:val="22"/>
              </w:rPr>
              <w:t>Bonner</w:t>
            </w:r>
          </w:p>
        </w:tc>
        <w:tc>
          <w:tcPr>
            <w:tcW w:w="2014" w:type="dxa"/>
            <w:noWrap/>
            <w:hideMark/>
          </w:tcPr>
          <w:p w14:paraId="1DD21A83" w14:textId="77777777" w:rsidR="00D40943" w:rsidRPr="005C0D54" w:rsidRDefault="00D40943" w:rsidP="00D40943">
            <w:pPr>
              <w:rPr>
                <w:rFonts w:cs="Arial"/>
                <w:color w:val="000000"/>
                <w:sz w:val="22"/>
                <w:szCs w:val="22"/>
              </w:rPr>
            </w:pPr>
            <w:r w:rsidRPr="005C0D54">
              <w:rPr>
                <w:rFonts w:cs="Arial"/>
                <w:color w:val="000000"/>
                <w:sz w:val="22"/>
                <w:szCs w:val="22"/>
              </w:rPr>
              <w:t>Primary</w:t>
            </w:r>
          </w:p>
        </w:tc>
        <w:tc>
          <w:tcPr>
            <w:tcW w:w="1329" w:type="dxa"/>
            <w:noWrap/>
            <w:hideMark/>
          </w:tcPr>
          <w:p w14:paraId="204FCA5D" w14:textId="77777777" w:rsidR="00D40943" w:rsidRPr="005C0D54" w:rsidRDefault="00D40943" w:rsidP="00D40943">
            <w:pPr>
              <w:jc w:val="right"/>
              <w:rPr>
                <w:rFonts w:cs="Arial"/>
                <w:color w:val="000000"/>
                <w:sz w:val="22"/>
                <w:szCs w:val="22"/>
              </w:rPr>
            </w:pPr>
            <w:r w:rsidRPr="005C0D54">
              <w:rPr>
                <w:rFonts w:cs="Arial"/>
                <w:color w:val="000000"/>
                <w:sz w:val="22"/>
                <w:szCs w:val="22"/>
              </w:rPr>
              <w:t>60</w:t>
            </w:r>
          </w:p>
        </w:tc>
        <w:tc>
          <w:tcPr>
            <w:tcW w:w="976" w:type="dxa"/>
            <w:noWrap/>
            <w:hideMark/>
          </w:tcPr>
          <w:p w14:paraId="30132329" w14:textId="77777777" w:rsidR="00D40943" w:rsidRPr="005C0D54" w:rsidRDefault="00D40943" w:rsidP="00D40943">
            <w:pPr>
              <w:jc w:val="right"/>
              <w:rPr>
                <w:rFonts w:cs="Arial"/>
                <w:color w:val="000000"/>
                <w:sz w:val="22"/>
                <w:szCs w:val="22"/>
              </w:rPr>
            </w:pPr>
            <w:r w:rsidRPr="005C0D54">
              <w:rPr>
                <w:rFonts w:cs="Arial"/>
                <w:color w:val="000000"/>
                <w:sz w:val="22"/>
                <w:szCs w:val="22"/>
              </w:rPr>
              <w:t>3,246</w:t>
            </w:r>
          </w:p>
        </w:tc>
        <w:tc>
          <w:tcPr>
            <w:tcW w:w="1195" w:type="dxa"/>
            <w:noWrap/>
            <w:hideMark/>
          </w:tcPr>
          <w:p w14:paraId="69389969" w14:textId="77777777" w:rsidR="00D40943" w:rsidRPr="005C0D54" w:rsidRDefault="00D40943" w:rsidP="00D40943">
            <w:pPr>
              <w:jc w:val="right"/>
              <w:rPr>
                <w:rFonts w:cs="Arial"/>
                <w:color w:val="000000"/>
                <w:sz w:val="22"/>
                <w:szCs w:val="22"/>
              </w:rPr>
            </w:pPr>
            <w:r w:rsidRPr="005C0D54">
              <w:rPr>
                <w:rFonts w:cs="Arial"/>
                <w:color w:val="000000"/>
                <w:sz w:val="22"/>
                <w:szCs w:val="22"/>
              </w:rPr>
              <w:t>194,760</w:t>
            </w:r>
          </w:p>
        </w:tc>
        <w:tc>
          <w:tcPr>
            <w:tcW w:w="1195" w:type="dxa"/>
            <w:noWrap/>
            <w:hideMark/>
          </w:tcPr>
          <w:p w14:paraId="3B622FDB" w14:textId="77777777" w:rsidR="00D40943" w:rsidRPr="005C0D54" w:rsidRDefault="00D40943" w:rsidP="00D40943">
            <w:pPr>
              <w:jc w:val="right"/>
              <w:rPr>
                <w:rFonts w:cs="Arial"/>
                <w:color w:val="000000"/>
                <w:sz w:val="22"/>
                <w:szCs w:val="22"/>
              </w:rPr>
            </w:pPr>
            <w:r w:rsidRPr="005C0D54">
              <w:rPr>
                <w:rFonts w:cs="Arial"/>
                <w:color w:val="000000"/>
                <w:sz w:val="22"/>
                <w:szCs w:val="22"/>
              </w:rPr>
              <w:t>113,610</w:t>
            </w:r>
          </w:p>
        </w:tc>
      </w:tr>
      <w:tr w:rsidR="00D40943" w:rsidRPr="00D40943" w14:paraId="46DF9D23" w14:textId="77777777" w:rsidTr="00B0788C">
        <w:trPr>
          <w:trHeight w:val="300"/>
        </w:trPr>
        <w:tc>
          <w:tcPr>
            <w:tcW w:w="3216" w:type="dxa"/>
            <w:noWrap/>
            <w:hideMark/>
          </w:tcPr>
          <w:p w14:paraId="6D893BA0" w14:textId="77777777" w:rsidR="00D40943" w:rsidRPr="005C0D54" w:rsidRDefault="00D40943" w:rsidP="00D40943">
            <w:pPr>
              <w:rPr>
                <w:rFonts w:cs="Arial"/>
                <w:color w:val="000000"/>
                <w:sz w:val="22"/>
                <w:szCs w:val="22"/>
              </w:rPr>
            </w:pPr>
            <w:r w:rsidRPr="005C0D54">
              <w:rPr>
                <w:rFonts w:cs="Arial"/>
                <w:color w:val="000000"/>
                <w:sz w:val="22"/>
                <w:szCs w:val="22"/>
              </w:rPr>
              <w:t xml:space="preserve">Cayley </w:t>
            </w:r>
          </w:p>
        </w:tc>
        <w:tc>
          <w:tcPr>
            <w:tcW w:w="2014" w:type="dxa"/>
            <w:noWrap/>
            <w:hideMark/>
          </w:tcPr>
          <w:p w14:paraId="44C14FB4" w14:textId="77777777" w:rsidR="00D40943" w:rsidRPr="005C0D54" w:rsidRDefault="00D40943" w:rsidP="00D40943">
            <w:pPr>
              <w:rPr>
                <w:rFonts w:cs="Arial"/>
                <w:color w:val="000000"/>
                <w:sz w:val="22"/>
                <w:szCs w:val="22"/>
              </w:rPr>
            </w:pPr>
            <w:r w:rsidRPr="005C0D54">
              <w:rPr>
                <w:rFonts w:cs="Arial"/>
                <w:color w:val="000000"/>
                <w:sz w:val="22"/>
                <w:szCs w:val="22"/>
              </w:rPr>
              <w:t>Primary</w:t>
            </w:r>
          </w:p>
        </w:tc>
        <w:tc>
          <w:tcPr>
            <w:tcW w:w="1329" w:type="dxa"/>
            <w:noWrap/>
            <w:hideMark/>
          </w:tcPr>
          <w:p w14:paraId="471B797E" w14:textId="77777777" w:rsidR="00D40943" w:rsidRPr="005C0D54" w:rsidRDefault="00D40943" w:rsidP="00D40943">
            <w:pPr>
              <w:jc w:val="right"/>
              <w:rPr>
                <w:rFonts w:cs="Arial"/>
                <w:color w:val="000000"/>
                <w:sz w:val="22"/>
                <w:szCs w:val="22"/>
              </w:rPr>
            </w:pPr>
            <w:r w:rsidRPr="005C0D54">
              <w:rPr>
                <w:rFonts w:cs="Arial"/>
                <w:color w:val="000000"/>
                <w:sz w:val="22"/>
                <w:szCs w:val="22"/>
              </w:rPr>
              <w:t>13</w:t>
            </w:r>
          </w:p>
        </w:tc>
        <w:tc>
          <w:tcPr>
            <w:tcW w:w="976" w:type="dxa"/>
            <w:noWrap/>
            <w:hideMark/>
          </w:tcPr>
          <w:p w14:paraId="0410AD18" w14:textId="77777777" w:rsidR="00D40943" w:rsidRPr="005C0D54" w:rsidRDefault="00D40943" w:rsidP="00D40943">
            <w:pPr>
              <w:jc w:val="right"/>
              <w:rPr>
                <w:rFonts w:cs="Arial"/>
                <w:color w:val="000000"/>
                <w:sz w:val="22"/>
                <w:szCs w:val="22"/>
              </w:rPr>
            </w:pPr>
            <w:r w:rsidRPr="005C0D54">
              <w:rPr>
                <w:rFonts w:cs="Arial"/>
                <w:color w:val="000000"/>
                <w:sz w:val="22"/>
                <w:szCs w:val="22"/>
              </w:rPr>
              <w:t>3,246</w:t>
            </w:r>
          </w:p>
        </w:tc>
        <w:tc>
          <w:tcPr>
            <w:tcW w:w="1195" w:type="dxa"/>
            <w:noWrap/>
            <w:hideMark/>
          </w:tcPr>
          <w:p w14:paraId="0ECD2ECA" w14:textId="77777777" w:rsidR="00D40943" w:rsidRPr="005C0D54" w:rsidRDefault="00D40943" w:rsidP="00D40943">
            <w:pPr>
              <w:jc w:val="right"/>
              <w:rPr>
                <w:rFonts w:cs="Arial"/>
                <w:color w:val="000000"/>
                <w:sz w:val="22"/>
                <w:szCs w:val="22"/>
              </w:rPr>
            </w:pPr>
            <w:r w:rsidRPr="005C0D54">
              <w:rPr>
                <w:rFonts w:cs="Arial"/>
                <w:color w:val="000000"/>
                <w:sz w:val="22"/>
                <w:szCs w:val="22"/>
              </w:rPr>
              <w:t>42,198</w:t>
            </w:r>
          </w:p>
        </w:tc>
        <w:tc>
          <w:tcPr>
            <w:tcW w:w="1195" w:type="dxa"/>
            <w:noWrap/>
            <w:hideMark/>
          </w:tcPr>
          <w:p w14:paraId="7088B048" w14:textId="77777777" w:rsidR="00D40943" w:rsidRPr="005C0D54" w:rsidRDefault="00D40943" w:rsidP="00D40943">
            <w:pPr>
              <w:jc w:val="right"/>
              <w:rPr>
                <w:rFonts w:cs="Arial"/>
                <w:color w:val="000000"/>
                <w:sz w:val="22"/>
                <w:szCs w:val="22"/>
              </w:rPr>
            </w:pPr>
            <w:r w:rsidRPr="005C0D54">
              <w:rPr>
                <w:rFonts w:cs="Arial"/>
                <w:color w:val="000000"/>
                <w:sz w:val="22"/>
                <w:szCs w:val="22"/>
              </w:rPr>
              <w:t>24,616</w:t>
            </w:r>
          </w:p>
        </w:tc>
      </w:tr>
      <w:tr w:rsidR="00D40943" w:rsidRPr="00D40943" w14:paraId="434C7B4D" w14:textId="77777777" w:rsidTr="00B0788C">
        <w:trPr>
          <w:trHeight w:val="300"/>
        </w:trPr>
        <w:tc>
          <w:tcPr>
            <w:tcW w:w="3216" w:type="dxa"/>
            <w:noWrap/>
            <w:hideMark/>
          </w:tcPr>
          <w:p w14:paraId="0B9C1F9C" w14:textId="77777777" w:rsidR="00D40943" w:rsidRPr="005C0D54" w:rsidRDefault="00D40943" w:rsidP="00D40943">
            <w:pPr>
              <w:rPr>
                <w:rFonts w:cs="Arial"/>
                <w:color w:val="000000"/>
                <w:sz w:val="22"/>
                <w:szCs w:val="22"/>
              </w:rPr>
            </w:pPr>
            <w:r w:rsidRPr="005C0D54">
              <w:rPr>
                <w:rFonts w:cs="Arial"/>
                <w:color w:val="000000"/>
                <w:sz w:val="22"/>
                <w:szCs w:val="22"/>
              </w:rPr>
              <w:t xml:space="preserve">Woolmore </w:t>
            </w:r>
          </w:p>
        </w:tc>
        <w:tc>
          <w:tcPr>
            <w:tcW w:w="2014" w:type="dxa"/>
            <w:noWrap/>
            <w:hideMark/>
          </w:tcPr>
          <w:p w14:paraId="7F75599E" w14:textId="77777777" w:rsidR="00D40943" w:rsidRPr="005C0D54" w:rsidRDefault="00D40943" w:rsidP="00D40943">
            <w:pPr>
              <w:rPr>
                <w:rFonts w:cs="Arial"/>
                <w:color w:val="000000"/>
                <w:sz w:val="22"/>
                <w:szCs w:val="22"/>
              </w:rPr>
            </w:pPr>
            <w:r w:rsidRPr="005C0D54">
              <w:rPr>
                <w:rFonts w:cs="Arial"/>
                <w:color w:val="000000"/>
                <w:sz w:val="22"/>
                <w:szCs w:val="22"/>
              </w:rPr>
              <w:t>Primary</w:t>
            </w:r>
          </w:p>
        </w:tc>
        <w:tc>
          <w:tcPr>
            <w:tcW w:w="1329" w:type="dxa"/>
            <w:noWrap/>
            <w:hideMark/>
          </w:tcPr>
          <w:p w14:paraId="53FBFA35" w14:textId="77777777" w:rsidR="00D40943" w:rsidRPr="005C0D54" w:rsidRDefault="00D40943" w:rsidP="00D40943">
            <w:pPr>
              <w:jc w:val="right"/>
              <w:rPr>
                <w:rFonts w:cs="Arial"/>
                <w:color w:val="000000"/>
                <w:sz w:val="22"/>
                <w:szCs w:val="22"/>
              </w:rPr>
            </w:pPr>
            <w:r w:rsidRPr="005C0D54">
              <w:rPr>
                <w:rFonts w:cs="Arial"/>
                <w:color w:val="000000"/>
                <w:sz w:val="22"/>
                <w:szCs w:val="22"/>
              </w:rPr>
              <w:t>52</w:t>
            </w:r>
          </w:p>
        </w:tc>
        <w:tc>
          <w:tcPr>
            <w:tcW w:w="976" w:type="dxa"/>
            <w:noWrap/>
            <w:hideMark/>
          </w:tcPr>
          <w:p w14:paraId="04BAAE2E" w14:textId="77777777" w:rsidR="00D40943" w:rsidRPr="005C0D54" w:rsidRDefault="00D40943" w:rsidP="00D40943">
            <w:pPr>
              <w:jc w:val="right"/>
              <w:rPr>
                <w:rFonts w:cs="Arial"/>
                <w:color w:val="000000"/>
                <w:sz w:val="22"/>
                <w:szCs w:val="22"/>
              </w:rPr>
            </w:pPr>
            <w:r w:rsidRPr="005C0D54">
              <w:rPr>
                <w:rFonts w:cs="Arial"/>
                <w:color w:val="000000"/>
                <w:sz w:val="22"/>
                <w:szCs w:val="22"/>
              </w:rPr>
              <w:t>3,246</w:t>
            </w:r>
          </w:p>
        </w:tc>
        <w:tc>
          <w:tcPr>
            <w:tcW w:w="1195" w:type="dxa"/>
            <w:noWrap/>
            <w:hideMark/>
          </w:tcPr>
          <w:p w14:paraId="08B8D5E8" w14:textId="77777777" w:rsidR="00D40943" w:rsidRPr="005C0D54" w:rsidRDefault="00D40943" w:rsidP="00D40943">
            <w:pPr>
              <w:jc w:val="right"/>
              <w:rPr>
                <w:rFonts w:cs="Arial"/>
                <w:color w:val="000000"/>
                <w:sz w:val="22"/>
                <w:szCs w:val="22"/>
              </w:rPr>
            </w:pPr>
            <w:r w:rsidRPr="005C0D54">
              <w:rPr>
                <w:rFonts w:cs="Arial"/>
                <w:color w:val="000000"/>
                <w:sz w:val="22"/>
                <w:szCs w:val="22"/>
              </w:rPr>
              <w:t>168,792</w:t>
            </w:r>
          </w:p>
        </w:tc>
        <w:tc>
          <w:tcPr>
            <w:tcW w:w="1195" w:type="dxa"/>
            <w:noWrap/>
            <w:hideMark/>
          </w:tcPr>
          <w:p w14:paraId="35F2EBCA" w14:textId="77777777" w:rsidR="00D40943" w:rsidRPr="005C0D54" w:rsidRDefault="00D40943" w:rsidP="00D40943">
            <w:pPr>
              <w:jc w:val="right"/>
              <w:rPr>
                <w:rFonts w:cs="Arial"/>
                <w:color w:val="000000"/>
                <w:sz w:val="22"/>
                <w:szCs w:val="22"/>
              </w:rPr>
            </w:pPr>
            <w:r w:rsidRPr="005C0D54">
              <w:rPr>
                <w:rFonts w:cs="Arial"/>
                <w:color w:val="000000"/>
                <w:sz w:val="22"/>
                <w:szCs w:val="22"/>
              </w:rPr>
              <w:t>98,462</w:t>
            </w:r>
          </w:p>
        </w:tc>
      </w:tr>
      <w:tr w:rsidR="00D40943" w:rsidRPr="00D40943" w14:paraId="4846C715" w14:textId="77777777" w:rsidTr="00B0788C">
        <w:trPr>
          <w:trHeight w:val="300"/>
        </w:trPr>
        <w:tc>
          <w:tcPr>
            <w:tcW w:w="3216" w:type="dxa"/>
            <w:noWrap/>
            <w:hideMark/>
          </w:tcPr>
          <w:p w14:paraId="6823076C" w14:textId="77777777" w:rsidR="00D40943" w:rsidRPr="005C0D54" w:rsidRDefault="00D40943" w:rsidP="00D40943">
            <w:pPr>
              <w:rPr>
                <w:rFonts w:cs="Arial"/>
                <w:color w:val="000000"/>
                <w:sz w:val="22"/>
                <w:szCs w:val="22"/>
              </w:rPr>
            </w:pPr>
            <w:r w:rsidRPr="005C0D54">
              <w:rPr>
                <w:rFonts w:cs="Arial"/>
                <w:color w:val="000000"/>
                <w:sz w:val="22"/>
                <w:szCs w:val="22"/>
              </w:rPr>
              <w:t>St Lukes</w:t>
            </w:r>
          </w:p>
        </w:tc>
        <w:tc>
          <w:tcPr>
            <w:tcW w:w="2014" w:type="dxa"/>
            <w:noWrap/>
            <w:hideMark/>
          </w:tcPr>
          <w:p w14:paraId="22E09AE5" w14:textId="77777777" w:rsidR="00D40943" w:rsidRPr="005C0D54" w:rsidRDefault="00D40943" w:rsidP="00D40943">
            <w:pPr>
              <w:rPr>
                <w:rFonts w:cs="Arial"/>
                <w:color w:val="000000"/>
                <w:sz w:val="22"/>
                <w:szCs w:val="22"/>
              </w:rPr>
            </w:pPr>
            <w:r w:rsidRPr="005C0D54">
              <w:rPr>
                <w:rFonts w:cs="Arial"/>
                <w:color w:val="000000"/>
                <w:sz w:val="22"/>
                <w:szCs w:val="22"/>
              </w:rPr>
              <w:t>Primary</w:t>
            </w:r>
          </w:p>
        </w:tc>
        <w:tc>
          <w:tcPr>
            <w:tcW w:w="1329" w:type="dxa"/>
            <w:noWrap/>
            <w:hideMark/>
          </w:tcPr>
          <w:p w14:paraId="1DA302CF" w14:textId="77777777" w:rsidR="00D40943" w:rsidRPr="005C0D54" w:rsidRDefault="00D40943" w:rsidP="00D40943">
            <w:pPr>
              <w:jc w:val="right"/>
              <w:rPr>
                <w:rFonts w:cs="Arial"/>
                <w:color w:val="000000"/>
                <w:sz w:val="22"/>
                <w:szCs w:val="22"/>
              </w:rPr>
            </w:pPr>
            <w:r w:rsidRPr="005C0D54">
              <w:rPr>
                <w:rFonts w:cs="Arial"/>
                <w:color w:val="000000"/>
                <w:sz w:val="22"/>
                <w:szCs w:val="22"/>
              </w:rPr>
              <w:t>30</w:t>
            </w:r>
          </w:p>
        </w:tc>
        <w:tc>
          <w:tcPr>
            <w:tcW w:w="976" w:type="dxa"/>
            <w:noWrap/>
            <w:hideMark/>
          </w:tcPr>
          <w:p w14:paraId="11AF7AD8" w14:textId="77777777" w:rsidR="00D40943" w:rsidRPr="005C0D54" w:rsidRDefault="00D40943" w:rsidP="00D40943">
            <w:pPr>
              <w:jc w:val="right"/>
              <w:rPr>
                <w:rFonts w:cs="Arial"/>
                <w:color w:val="000000"/>
                <w:sz w:val="22"/>
                <w:szCs w:val="22"/>
              </w:rPr>
            </w:pPr>
            <w:r w:rsidRPr="005C0D54">
              <w:rPr>
                <w:rFonts w:cs="Arial"/>
                <w:color w:val="000000"/>
                <w:sz w:val="22"/>
                <w:szCs w:val="22"/>
              </w:rPr>
              <w:t>3,246</w:t>
            </w:r>
          </w:p>
        </w:tc>
        <w:tc>
          <w:tcPr>
            <w:tcW w:w="1195" w:type="dxa"/>
            <w:noWrap/>
            <w:hideMark/>
          </w:tcPr>
          <w:p w14:paraId="14087A6D" w14:textId="77777777" w:rsidR="00D40943" w:rsidRPr="005C0D54" w:rsidRDefault="00D40943" w:rsidP="00D40943">
            <w:pPr>
              <w:jc w:val="right"/>
              <w:rPr>
                <w:rFonts w:cs="Arial"/>
                <w:color w:val="000000"/>
                <w:sz w:val="22"/>
                <w:szCs w:val="22"/>
              </w:rPr>
            </w:pPr>
            <w:r w:rsidRPr="005C0D54">
              <w:rPr>
                <w:rFonts w:cs="Arial"/>
                <w:color w:val="000000"/>
                <w:sz w:val="22"/>
                <w:szCs w:val="22"/>
              </w:rPr>
              <w:t>97,380</w:t>
            </w:r>
          </w:p>
        </w:tc>
        <w:tc>
          <w:tcPr>
            <w:tcW w:w="1195" w:type="dxa"/>
            <w:noWrap/>
            <w:hideMark/>
          </w:tcPr>
          <w:p w14:paraId="244D65CA" w14:textId="77777777" w:rsidR="00D40943" w:rsidRPr="005C0D54" w:rsidRDefault="00D40943" w:rsidP="00D40943">
            <w:pPr>
              <w:jc w:val="right"/>
              <w:rPr>
                <w:rFonts w:cs="Arial"/>
                <w:color w:val="000000"/>
                <w:sz w:val="22"/>
                <w:szCs w:val="22"/>
              </w:rPr>
            </w:pPr>
            <w:r w:rsidRPr="005C0D54">
              <w:rPr>
                <w:rFonts w:cs="Arial"/>
                <w:color w:val="000000"/>
                <w:sz w:val="22"/>
                <w:szCs w:val="22"/>
              </w:rPr>
              <w:t>56,805</w:t>
            </w:r>
          </w:p>
        </w:tc>
      </w:tr>
      <w:tr w:rsidR="00D40943" w:rsidRPr="00D40943" w14:paraId="1A087077" w14:textId="77777777" w:rsidTr="00B0788C">
        <w:trPr>
          <w:trHeight w:val="300"/>
        </w:trPr>
        <w:tc>
          <w:tcPr>
            <w:tcW w:w="3216" w:type="dxa"/>
            <w:noWrap/>
            <w:hideMark/>
          </w:tcPr>
          <w:p w14:paraId="5E503C28" w14:textId="77777777" w:rsidR="00D40943" w:rsidRPr="005C0D54" w:rsidRDefault="00D40943" w:rsidP="00D40943">
            <w:pPr>
              <w:rPr>
                <w:rFonts w:cs="Arial"/>
                <w:color w:val="000000"/>
                <w:sz w:val="22"/>
                <w:szCs w:val="22"/>
              </w:rPr>
            </w:pPr>
            <w:r w:rsidRPr="005C0D54">
              <w:rPr>
                <w:rFonts w:cs="Arial"/>
                <w:color w:val="000000"/>
                <w:sz w:val="22"/>
                <w:szCs w:val="22"/>
              </w:rPr>
              <w:t xml:space="preserve">Olga </w:t>
            </w:r>
          </w:p>
        </w:tc>
        <w:tc>
          <w:tcPr>
            <w:tcW w:w="2014" w:type="dxa"/>
            <w:noWrap/>
            <w:hideMark/>
          </w:tcPr>
          <w:p w14:paraId="4720A7F7" w14:textId="77777777" w:rsidR="00D40943" w:rsidRPr="005C0D54" w:rsidRDefault="00D40943" w:rsidP="00D40943">
            <w:pPr>
              <w:rPr>
                <w:rFonts w:cs="Arial"/>
                <w:color w:val="000000"/>
                <w:sz w:val="22"/>
                <w:szCs w:val="22"/>
              </w:rPr>
            </w:pPr>
            <w:r w:rsidRPr="005C0D54">
              <w:rPr>
                <w:rFonts w:cs="Arial"/>
                <w:color w:val="000000"/>
                <w:sz w:val="22"/>
                <w:szCs w:val="22"/>
              </w:rPr>
              <w:t>Primary</w:t>
            </w:r>
          </w:p>
        </w:tc>
        <w:tc>
          <w:tcPr>
            <w:tcW w:w="1329" w:type="dxa"/>
            <w:noWrap/>
            <w:hideMark/>
          </w:tcPr>
          <w:p w14:paraId="4AD89BFA" w14:textId="77777777" w:rsidR="00D40943" w:rsidRPr="005C0D54" w:rsidRDefault="00D40943" w:rsidP="00D40943">
            <w:pPr>
              <w:jc w:val="right"/>
              <w:rPr>
                <w:rFonts w:cs="Arial"/>
                <w:color w:val="000000"/>
                <w:sz w:val="22"/>
                <w:szCs w:val="22"/>
              </w:rPr>
            </w:pPr>
            <w:r w:rsidRPr="005C0D54">
              <w:rPr>
                <w:rFonts w:cs="Arial"/>
                <w:color w:val="000000"/>
                <w:sz w:val="22"/>
                <w:szCs w:val="22"/>
              </w:rPr>
              <w:t>54</w:t>
            </w:r>
          </w:p>
        </w:tc>
        <w:tc>
          <w:tcPr>
            <w:tcW w:w="976" w:type="dxa"/>
            <w:noWrap/>
            <w:hideMark/>
          </w:tcPr>
          <w:p w14:paraId="72E49936" w14:textId="77777777" w:rsidR="00D40943" w:rsidRPr="005C0D54" w:rsidRDefault="00D40943" w:rsidP="00D40943">
            <w:pPr>
              <w:jc w:val="right"/>
              <w:rPr>
                <w:rFonts w:cs="Arial"/>
                <w:color w:val="000000"/>
                <w:sz w:val="22"/>
                <w:szCs w:val="22"/>
              </w:rPr>
            </w:pPr>
            <w:r w:rsidRPr="005C0D54">
              <w:rPr>
                <w:rFonts w:cs="Arial"/>
                <w:color w:val="000000"/>
                <w:sz w:val="22"/>
                <w:szCs w:val="22"/>
              </w:rPr>
              <w:t>3,246</w:t>
            </w:r>
          </w:p>
        </w:tc>
        <w:tc>
          <w:tcPr>
            <w:tcW w:w="1195" w:type="dxa"/>
            <w:noWrap/>
            <w:hideMark/>
          </w:tcPr>
          <w:p w14:paraId="46D6B330" w14:textId="77777777" w:rsidR="00D40943" w:rsidRPr="005C0D54" w:rsidRDefault="00D40943" w:rsidP="00D40943">
            <w:pPr>
              <w:jc w:val="right"/>
              <w:rPr>
                <w:rFonts w:cs="Arial"/>
                <w:color w:val="000000"/>
                <w:sz w:val="22"/>
                <w:szCs w:val="22"/>
              </w:rPr>
            </w:pPr>
            <w:r w:rsidRPr="005C0D54">
              <w:rPr>
                <w:rFonts w:cs="Arial"/>
                <w:color w:val="000000"/>
                <w:sz w:val="22"/>
                <w:szCs w:val="22"/>
              </w:rPr>
              <w:t>175,284</w:t>
            </w:r>
          </w:p>
        </w:tc>
        <w:tc>
          <w:tcPr>
            <w:tcW w:w="1195" w:type="dxa"/>
            <w:noWrap/>
            <w:hideMark/>
          </w:tcPr>
          <w:p w14:paraId="35A51AF8" w14:textId="77777777" w:rsidR="00D40943" w:rsidRPr="005C0D54" w:rsidRDefault="00D40943" w:rsidP="00D40943">
            <w:pPr>
              <w:jc w:val="right"/>
              <w:rPr>
                <w:rFonts w:cs="Arial"/>
                <w:color w:val="000000"/>
                <w:sz w:val="22"/>
                <w:szCs w:val="22"/>
              </w:rPr>
            </w:pPr>
            <w:r w:rsidRPr="005C0D54">
              <w:rPr>
                <w:rFonts w:cs="Arial"/>
                <w:color w:val="000000"/>
                <w:sz w:val="22"/>
                <w:szCs w:val="22"/>
              </w:rPr>
              <w:t>102,249</w:t>
            </w:r>
          </w:p>
        </w:tc>
      </w:tr>
      <w:tr w:rsidR="00D40943" w:rsidRPr="00D40943" w14:paraId="4C9B3669" w14:textId="77777777" w:rsidTr="00B0788C">
        <w:trPr>
          <w:trHeight w:val="315"/>
        </w:trPr>
        <w:tc>
          <w:tcPr>
            <w:tcW w:w="3216" w:type="dxa"/>
            <w:noWrap/>
            <w:hideMark/>
          </w:tcPr>
          <w:p w14:paraId="50CF4CF0"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2014" w:type="dxa"/>
            <w:noWrap/>
            <w:hideMark/>
          </w:tcPr>
          <w:p w14:paraId="3BC76682"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1329" w:type="dxa"/>
            <w:noWrap/>
            <w:hideMark/>
          </w:tcPr>
          <w:p w14:paraId="6BB46277"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976" w:type="dxa"/>
            <w:noWrap/>
            <w:hideMark/>
          </w:tcPr>
          <w:p w14:paraId="023255E3"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1195" w:type="dxa"/>
            <w:noWrap/>
            <w:hideMark/>
          </w:tcPr>
          <w:p w14:paraId="6015933F" w14:textId="77777777" w:rsidR="00D40943" w:rsidRPr="005C0D54" w:rsidRDefault="00D40943" w:rsidP="00D40943">
            <w:pPr>
              <w:jc w:val="right"/>
              <w:rPr>
                <w:rFonts w:cs="Arial"/>
                <w:b/>
                <w:bCs/>
                <w:color w:val="000000"/>
                <w:sz w:val="22"/>
                <w:szCs w:val="22"/>
              </w:rPr>
            </w:pPr>
            <w:r w:rsidRPr="005C0D54">
              <w:rPr>
                <w:rFonts w:cs="Arial"/>
                <w:b/>
                <w:bCs/>
                <w:color w:val="000000"/>
                <w:sz w:val="22"/>
                <w:szCs w:val="22"/>
              </w:rPr>
              <w:t>678,414</w:t>
            </w:r>
          </w:p>
        </w:tc>
        <w:tc>
          <w:tcPr>
            <w:tcW w:w="1195" w:type="dxa"/>
            <w:noWrap/>
            <w:hideMark/>
          </w:tcPr>
          <w:p w14:paraId="36BEB10E" w14:textId="77777777" w:rsidR="00D40943" w:rsidRPr="005C0D54" w:rsidRDefault="00D40943" w:rsidP="00D40943">
            <w:pPr>
              <w:jc w:val="right"/>
              <w:rPr>
                <w:rFonts w:cs="Arial"/>
                <w:b/>
                <w:bCs/>
                <w:color w:val="000000"/>
                <w:sz w:val="22"/>
                <w:szCs w:val="22"/>
              </w:rPr>
            </w:pPr>
            <w:r w:rsidRPr="005C0D54">
              <w:rPr>
                <w:rFonts w:cs="Arial"/>
                <w:b/>
                <w:bCs/>
                <w:color w:val="000000"/>
                <w:sz w:val="22"/>
                <w:szCs w:val="22"/>
              </w:rPr>
              <w:t>395,742</w:t>
            </w:r>
          </w:p>
        </w:tc>
      </w:tr>
      <w:tr w:rsidR="00D40943" w:rsidRPr="00D40943" w14:paraId="4761745A" w14:textId="77777777" w:rsidTr="00B0788C">
        <w:trPr>
          <w:trHeight w:val="300"/>
        </w:trPr>
        <w:tc>
          <w:tcPr>
            <w:tcW w:w="3216" w:type="dxa"/>
            <w:noWrap/>
            <w:hideMark/>
          </w:tcPr>
          <w:p w14:paraId="79832931"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2014" w:type="dxa"/>
            <w:noWrap/>
            <w:hideMark/>
          </w:tcPr>
          <w:p w14:paraId="37D02ED8"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1329" w:type="dxa"/>
            <w:noWrap/>
            <w:hideMark/>
          </w:tcPr>
          <w:p w14:paraId="48A1D9A1"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976" w:type="dxa"/>
            <w:noWrap/>
            <w:hideMark/>
          </w:tcPr>
          <w:p w14:paraId="0426C212"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1195" w:type="dxa"/>
            <w:noWrap/>
            <w:hideMark/>
          </w:tcPr>
          <w:p w14:paraId="5DEFD214"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1195" w:type="dxa"/>
            <w:noWrap/>
            <w:hideMark/>
          </w:tcPr>
          <w:p w14:paraId="545B232E"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r>
      <w:tr w:rsidR="00D40943" w:rsidRPr="00D40943" w14:paraId="6B567539" w14:textId="77777777" w:rsidTr="00B0788C">
        <w:trPr>
          <w:trHeight w:val="300"/>
        </w:trPr>
        <w:tc>
          <w:tcPr>
            <w:tcW w:w="3216" w:type="dxa"/>
            <w:noWrap/>
            <w:hideMark/>
          </w:tcPr>
          <w:p w14:paraId="00B975F8" w14:textId="77777777" w:rsidR="00D40943" w:rsidRPr="005C0D54" w:rsidRDefault="00D40943" w:rsidP="00D40943">
            <w:pPr>
              <w:rPr>
                <w:rFonts w:cs="Arial"/>
                <w:color w:val="000000"/>
                <w:sz w:val="22"/>
                <w:szCs w:val="22"/>
              </w:rPr>
            </w:pPr>
            <w:r w:rsidRPr="005C0D54">
              <w:rPr>
                <w:rFonts w:cs="Arial"/>
                <w:color w:val="000000"/>
                <w:sz w:val="22"/>
                <w:szCs w:val="22"/>
              </w:rPr>
              <w:t xml:space="preserve">Bow </w:t>
            </w:r>
          </w:p>
        </w:tc>
        <w:tc>
          <w:tcPr>
            <w:tcW w:w="2014" w:type="dxa"/>
            <w:noWrap/>
            <w:hideMark/>
          </w:tcPr>
          <w:p w14:paraId="65EF5354" w14:textId="77777777" w:rsidR="00D40943" w:rsidRPr="005C0D54" w:rsidRDefault="00D40943" w:rsidP="00D40943">
            <w:pPr>
              <w:rPr>
                <w:rFonts w:cs="Arial"/>
                <w:color w:val="000000"/>
                <w:sz w:val="22"/>
                <w:szCs w:val="22"/>
              </w:rPr>
            </w:pPr>
            <w:r w:rsidRPr="005C0D54">
              <w:rPr>
                <w:rFonts w:cs="Arial"/>
                <w:color w:val="000000"/>
                <w:sz w:val="22"/>
                <w:szCs w:val="22"/>
              </w:rPr>
              <w:t>Secondary</w:t>
            </w:r>
          </w:p>
        </w:tc>
        <w:tc>
          <w:tcPr>
            <w:tcW w:w="1329" w:type="dxa"/>
            <w:noWrap/>
            <w:hideMark/>
          </w:tcPr>
          <w:p w14:paraId="295CAC1D" w14:textId="77777777" w:rsidR="00D40943" w:rsidRPr="005C0D54" w:rsidRDefault="00D40943" w:rsidP="00D40943">
            <w:pPr>
              <w:jc w:val="right"/>
              <w:rPr>
                <w:rFonts w:cs="Arial"/>
                <w:color w:val="000000"/>
                <w:sz w:val="22"/>
                <w:szCs w:val="22"/>
              </w:rPr>
            </w:pPr>
            <w:r w:rsidRPr="005C0D54">
              <w:rPr>
                <w:rFonts w:cs="Arial"/>
                <w:color w:val="000000"/>
                <w:sz w:val="22"/>
                <w:szCs w:val="22"/>
              </w:rPr>
              <w:t>120</w:t>
            </w:r>
          </w:p>
        </w:tc>
        <w:tc>
          <w:tcPr>
            <w:tcW w:w="976" w:type="dxa"/>
            <w:noWrap/>
            <w:hideMark/>
          </w:tcPr>
          <w:p w14:paraId="6343975F" w14:textId="77777777" w:rsidR="00D40943" w:rsidRPr="005C0D54" w:rsidRDefault="00D40943" w:rsidP="00D40943">
            <w:pPr>
              <w:jc w:val="right"/>
              <w:rPr>
                <w:rFonts w:cs="Arial"/>
                <w:color w:val="000000"/>
                <w:sz w:val="22"/>
                <w:szCs w:val="22"/>
              </w:rPr>
            </w:pPr>
            <w:r w:rsidRPr="005C0D54">
              <w:rPr>
                <w:rFonts w:cs="Arial"/>
                <w:color w:val="000000"/>
                <w:sz w:val="22"/>
                <w:szCs w:val="22"/>
              </w:rPr>
              <w:t>4,547</w:t>
            </w:r>
          </w:p>
        </w:tc>
        <w:tc>
          <w:tcPr>
            <w:tcW w:w="1195" w:type="dxa"/>
            <w:noWrap/>
            <w:hideMark/>
          </w:tcPr>
          <w:p w14:paraId="3312F240" w14:textId="77777777" w:rsidR="00D40943" w:rsidRPr="005C0D54" w:rsidRDefault="00D40943" w:rsidP="00D40943">
            <w:pPr>
              <w:jc w:val="right"/>
              <w:rPr>
                <w:rFonts w:cs="Arial"/>
                <w:color w:val="000000"/>
                <w:sz w:val="22"/>
                <w:szCs w:val="22"/>
              </w:rPr>
            </w:pPr>
            <w:r w:rsidRPr="005C0D54">
              <w:rPr>
                <w:rFonts w:cs="Arial"/>
                <w:color w:val="000000"/>
                <w:sz w:val="22"/>
                <w:szCs w:val="22"/>
              </w:rPr>
              <w:t>545,640</w:t>
            </w:r>
          </w:p>
        </w:tc>
        <w:tc>
          <w:tcPr>
            <w:tcW w:w="1195" w:type="dxa"/>
            <w:noWrap/>
            <w:hideMark/>
          </w:tcPr>
          <w:p w14:paraId="78E459D0" w14:textId="77777777" w:rsidR="00D40943" w:rsidRPr="005C0D54" w:rsidRDefault="00D40943" w:rsidP="00D40943">
            <w:pPr>
              <w:jc w:val="right"/>
              <w:rPr>
                <w:rFonts w:cs="Arial"/>
                <w:color w:val="000000"/>
                <w:sz w:val="22"/>
                <w:szCs w:val="22"/>
              </w:rPr>
            </w:pPr>
            <w:r w:rsidRPr="005C0D54">
              <w:rPr>
                <w:rFonts w:cs="Arial"/>
                <w:color w:val="000000"/>
                <w:sz w:val="22"/>
                <w:szCs w:val="22"/>
              </w:rPr>
              <w:t>318,290</w:t>
            </w:r>
          </w:p>
        </w:tc>
      </w:tr>
      <w:tr w:rsidR="00D40943" w:rsidRPr="00D40943" w14:paraId="42730DE8" w14:textId="77777777" w:rsidTr="00B0788C">
        <w:trPr>
          <w:trHeight w:val="315"/>
        </w:trPr>
        <w:tc>
          <w:tcPr>
            <w:tcW w:w="3216" w:type="dxa"/>
            <w:noWrap/>
            <w:hideMark/>
          </w:tcPr>
          <w:p w14:paraId="6EDC04DD" w14:textId="77777777" w:rsidR="00D40943" w:rsidRPr="005C0D54" w:rsidRDefault="00D40943" w:rsidP="00D40943">
            <w:pPr>
              <w:rPr>
                <w:rFonts w:cs="Arial"/>
                <w:color w:val="000000"/>
                <w:sz w:val="22"/>
                <w:szCs w:val="22"/>
              </w:rPr>
            </w:pPr>
            <w:r w:rsidRPr="005C0D54">
              <w:rPr>
                <w:rFonts w:cs="Arial"/>
                <w:color w:val="000000"/>
                <w:sz w:val="22"/>
                <w:szCs w:val="22"/>
              </w:rPr>
              <w:t>Stephen Hawkings (lump sum)</w:t>
            </w:r>
          </w:p>
        </w:tc>
        <w:tc>
          <w:tcPr>
            <w:tcW w:w="2014" w:type="dxa"/>
            <w:noWrap/>
            <w:hideMark/>
          </w:tcPr>
          <w:p w14:paraId="09B3878D" w14:textId="77777777" w:rsidR="00D40943" w:rsidRPr="005C0D54" w:rsidRDefault="00D40943" w:rsidP="00D40943">
            <w:pPr>
              <w:rPr>
                <w:rFonts w:cs="Arial"/>
                <w:color w:val="000000"/>
                <w:sz w:val="22"/>
                <w:szCs w:val="22"/>
              </w:rPr>
            </w:pPr>
            <w:r w:rsidRPr="005C0D54">
              <w:rPr>
                <w:rFonts w:cs="Arial"/>
                <w:color w:val="000000"/>
                <w:sz w:val="22"/>
                <w:szCs w:val="22"/>
              </w:rPr>
              <w:t>Secondary/special</w:t>
            </w:r>
          </w:p>
        </w:tc>
        <w:tc>
          <w:tcPr>
            <w:tcW w:w="1329" w:type="dxa"/>
            <w:noWrap/>
            <w:hideMark/>
          </w:tcPr>
          <w:p w14:paraId="4763EA0A" w14:textId="77777777" w:rsidR="00D40943" w:rsidRPr="005C0D54" w:rsidRDefault="00D40943" w:rsidP="00D40943">
            <w:pPr>
              <w:jc w:val="right"/>
              <w:rPr>
                <w:rFonts w:cs="Arial"/>
                <w:color w:val="000000"/>
                <w:sz w:val="22"/>
                <w:szCs w:val="22"/>
              </w:rPr>
            </w:pPr>
            <w:r w:rsidRPr="005C0D54">
              <w:rPr>
                <w:rFonts w:cs="Arial"/>
                <w:color w:val="000000"/>
                <w:sz w:val="22"/>
                <w:szCs w:val="22"/>
              </w:rPr>
              <w:t>20</w:t>
            </w:r>
          </w:p>
        </w:tc>
        <w:tc>
          <w:tcPr>
            <w:tcW w:w="976" w:type="dxa"/>
            <w:noWrap/>
            <w:hideMark/>
          </w:tcPr>
          <w:p w14:paraId="5F1655DA"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1195" w:type="dxa"/>
            <w:noWrap/>
            <w:hideMark/>
          </w:tcPr>
          <w:p w14:paraId="76E86C53" w14:textId="77777777" w:rsidR="00D40943" w:rsidRPr="005C0D54" w:rsidRDefault="00D40943" w:rsidP="00D40943">
            <w:pPr>
              <w:jc w:val="right"/>
              <w:rPr>
                <w:rFonts w:cs="Arial"/>
                <w:color w:val="000000"/>
                <w:sz w:val="22"/>
                <w:szCs w:val="22"/>
              </w:rPr>
            </w:pPr>
            <w:r w:rsidRPr="005C0D54">
              <w:rPr>
                <w:rFonts w:cs="Arial"/>
                <w:color w:val="000000"/>
                <w:sz w:val="22"/>
                <w:szCs w:val="22"/>
              </w:rPr>
              <w:t>200,000</w:t>
            </w:r>
          </w:p>
        </w:tc>
        <w:tc>
          <w:tcPr>
            <w:tcW w:w="1195" w:type="dxa"/>
            <w:noWrap/>
            <w:hideMark/>
          </w:tcPr>
          <w:p w14:paraId="4D90AE14" w14:textId="77777777" w:rsidR="00D40943" w:rsidRPr="005C0D54" w:rsidRDefault="00D40943" w:rsidP="00D40943">
            <w:pPr>
              <w:jc w:val="right"/>
              <w:rPr>
                <w:rFonts w:cs="Arial"/>
                <w:color w:val="000000"/>
                <w:sz w:val="22"/>
                <w:szCs w:val="22"/>
              </w:rPr>
            </w:pPr>
            <w:r w:rsidRPr="005C0D54">
              <w:rPr>
                <w:rFonts w:cs="Arial"/>
                <w:color w:val="000000"/>
                <w:sz w:val="22"/>
                <w:szCs w:val="22"/>
              </w:rPr>
              <w:t>200,000</w:t>
            </w:r>
          </w:p>
        </w:tc>
      </w:tr>
      <w:tr w:rsidR="00D40943" w:rsidRPr="00D40943" w14:paraId="7E8EF0EC" w14:textId="77777777" w:rsidTr="00B0788C">
        <w:trPr>
          <w:trHeight w:val="300"/>
        </w:trPr>
        <w:tc>
          <w:tcPr>
            <w:tcW w:w="3216" w:type="dxa"/>
            <w:noWrap/>
            <w:hideMark/>
          </w:tcPr>
          <w:p w14:paraId="52E9528C"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2014" w:type="dxa"/>
            <w:noWrap/>
            <w:hideMark/>
          </w:tcPr>
          <w:p w14:paraId="5C10B9D2"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1329" w:type="dxa"/>
            <w:noWrap/>
            <w:hideMark/>
          </w:tcPr>
          <w:p w14:paraId="08B59BE3"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976" w:type="dxa"/>
            <w:noWrap/>
            <w:hideMark/>
          </w:tcPr>
          <w:p w14:paraId="3A2A0AD6"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1195" w:type="dxa"/>
            <w:noWrap/>
            <w:hideMark/>
          </w:tcPr>
          <w:p w14:paraId="79EE967F" w14:textId="77777777" w:rsidR="00D40943" w:rsidRPr="005C0D54" w:rsidRDefault="00D40943" w:rsidP="00D40943">
            <w:pPr>
              <w:jc w:val="right"/>
              <w:rPr>
                <w:rFonts w:cs="Arial"/>
                <w:b/>
                <w:bCs/>
                <w:color w:val="000000"/>
                <w:sz w:val="22"/>
                <w:szCs w:val="22"/>
              </w:rPr>
            </w:pPr>
            <w:r w:rsidRPr="005C0D54">
              <w:rPr>
                <w:rFonts w:cs="Arial"/>
                <w:b/>
                <w:bCs/>
                <w:color w:val="000000"/>
                <w:sz w:val="22"/>
                <w:szCs w:val="22"/>
              </w:rPr>
              <w:t>745,640</w:t>
            </w:r>
          </w:p>
        </w:tc>
        <w:tc>
          <w:tcPr>
            <w:tcW w:w="1195" w:type="dxa"/>
            <w:noWrap/>
            <w:hideMark/>
          </w:tcPr>
          <w:p w14:paraId="51106F69" w14:textId="77777777" w:rsidR="00D40943" w:rsidRPr="005C0D54" w:rsidRDefault="00D40943" w:rsidP="00D40943">
            <w:pPr>
              <w:jc w:val="right"/>
              <w:rPr>
                <w:rFonts w:cs="Arial"/>
                <w:b/>
                <w:bCs/>
                <w:color w:val="000000"/>
                <w:sz w:val="22"/>
                <w:szCs w:val="22"/>
              </w:rPr>
            </w:pPr>
            <w:r w:rsidRPr="005C0D54">
              <w:rPr>
                <w:rFonts w:cs="Arial"/>
                <w:b/>
                <w:bCs/>
                <w:color w:val="000000"/>
                <w:sz w:val="22"/>
                <w:szCs w:val="22"/>
              </w:rPr>
              <w:t>518,290</w:t>
            </w:r>
          </w:p>
        </w:tc>
      </w:tr>
      <w:tr w:rsidR="00D40943" w:rsidRPr="00D40943" w14:paraId="440CA7ED" w14:textId="77777777" w:rsidTr="00B0788C">
        <w:trPr>
          <w:trHeight w:val="300"/>
        </w:trPr>
        <w:tc>
          <w:tcPr>
            <w:tcW w:w="3216" w:type="dxa"/>
            <w:noWrap/>
            <w:hideMark/>
          </w:tcPr>
          <w:p w14:paraId="4CBD8F82"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2014" w:type="dxa"/>
            <w:noWrap/>
            <w:hideMark/>
          </w:tcPr>
          <w:p w14:paraId="1F375F25"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1329" w:type="dxa"/>
            <w:noWrap/>
            <w:hideMark/>
          </w:tcPr>
          <w:p w14:paraId="2A49DE04"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976" w:type="dxa"/>
            <w:noWrap/>
            <w:hideMark/>
          </w:tcPr>
          <w:p w14:paraId="6ED7158B"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1195" w:type="dxa"/>
            <w:noWrap/>
            <w:hideMark/>
          </w:tcPr>
          <w:p w14:paraId="4C626A62"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1195" w:type="dxa"/>
            <w:noWrap/>
            <w:hideMark/>
          </w:tcPr>
          <w:p w14:paraId="76981939"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r>
      <w:tr w:rsidR="00D40943" w:rsidRPr="00D40943" w14:paraId="6F88F999" w14:textId="77777777" w:rsidTr="00B0788C">
        <w:trPr>
          <w:trHeight w:val="300"/>
        </w:trPr>
        <w:tc>
          <w:tcPr>
            <w:tcW w:w="3216" w:type="dxa"/>
            <w:noWrap/>
            <w:hideMark/>
          </w:tcPr>
          <w:p w14:paraId="349311A1" w14:textId="77777777" w:rsidR="00D40943" w:rsidRPr="005C0D54" w:rsidRDefault="00D40943" w:rsidP="00D40943">
            <w:pPr>
              <w:rPr>
                <w:rFonts w:cs="Arial"/>
                <w:color w:val="000000"/>
                <w:sz w:val="22"/>
                <w:szCs w:val="22"/>
              </w:rPr>
            </w:pPr>
            <w:r w:rsidRPr="005C0D54">
              <w:rPr>
                <w:rFonts w:cs="Arial"/>
                <w:color w:val="000000"/>
                <w:sz w:val="22"/>
                <w:szCs w:val="22"/>
              </w:rPr>
              <w:t>St Pauls Way  (primary)</w:t>
            </w:r>
          </w:p>
        </w:tc>
        <w:tc>
          <w:tcPr>
            <w:tcW w:w="2014" w:type="dxa"/>
            <w:noWrap/>
            <w:hideMark/>
          </w:tcPr>
          <w:p w14:paraId="091821DC" w14:textId="77777777" w:rsidR="00D40943" w:rsidRPr="005C0D54" w:rsidRDefault="00D40943" w:rsidP="00D40943">
            <w:pPr>
              <w:rPr>
                <w:rFonts w:cs="Arial"/>
                <w:color w:val="000000"/>
                <w:sz w:val="22"/>
                <w:szCs w:val="22"/>
              </w:rPr>
            </w:pPr>
            <w:r w:rsidRPr="005C0D54">
              <w:rPr>
                <w:rFonts w:cs="Arial"/>
                <w:color w:val="000000"/>
                <w:sz w:val="22"/>
                <w:szCs w:val="22"/>
              </w:rPr>
              <w:t>academy</w:t>
            </w:r>
          </w:p>
        </w:tc>
        <w:tc>
          <w:tcPr>
            <w:tcW w:w="1329" w:type="dxa"/>
            <w:noWrap/>
            <w:hideMark/>
          </w:tcPr>
          <w:p w14:paraId="7DD7BCA0" w14:textId="77777777" w:rsidR="00D40943" w:rsidRPr="005C0D54" w:rsidRDefault="00D40943" w:rsidP="00D40943">
            <w:pPr>
              <w:jc w:val="right"/>
              <w:rPr>
                <w:rFonts w:cs="Arial"/>
                <w:color w:val="000000"/>
                <w:sz w:val="22"/>
                <w:szCs w:val="22"/>
              </w:rPr>
            </w:pPr>
            <w:r w:rsidRPr="005C0D54">
              <w:rPr>
                <w:rFonts w:cs="Arial"/>
                <w:color w:val="000000"/>
                <w:sz w:val="22"/>
                <w:szCs w:val="22"/>
              </w:rPr>
              <w:t>57</w:t>
            </w:r>
          </w:p>
        </w:tc>
        <w:tc>
          <w:tcPr>
            <w:tcW w:w="976" w:type="dxa"/>
            <w:noWrap/>
            <w:hideMark/>
          </w:tcPr>
          <w:p w14:paraId="586C3FCF" w14:textId="77777777" w:rsidR="00D40943" w:rsidRPr="005C0D54" w:rsidRDefault="00D40943" w:rsidP="00D40943">
            <w:pPr>
              <w:jc w:val="right"/>
              <w:rPr>
                <w:rFonts w:cs="Arial"/>
                <w:color w:val="000000"/>
                <w:sz w:val="22"/>
                <w:szCs w:val="22"/>
              </w:rPr>
            </w:pPr>
            <w:r w:rsidRPr="005C0D54">
              <w:rPr>
                <w:rFonts w:cs="Arial"/>
                <w:color w:val="000000"/>
                <w:sz w:val="22"/>
                <w:szCs w:val="22"/>
              </w:rPr>
              <w:t>3,246</w:t>
            </w:r>
          </w:p>
        </w:tc>
        <w:tc>
          <w:tcPr>
            <w:tcW w:w="1195" w:type="dxa"/>
            <w:noWrap/>
            <w:hideMark/>
          </w:tcPr>
          <w:p w14:paraId="4BD8C170" w14:textId="77777777" w:rsidR="00D40943" w:rsidRPr="005C0D54" w:rsidRDefault="00D40943" w:rsidP="00D40943">
            <w:pPr>
              <w:jc w:val="right"/>
              <w:rPr>
                <w:rFonts w:cs="Arial"/>
                <w:color w:val="000000"/>
                <w:sz w:val="22"/>
                <w:szCs w:val="22"/>
              </w:rPr>
            </w:pPr>
            <w:r w:rsidRPr="005C0D54">
              <w:rPr>
                <w:rFonts w:cs="Arial"/>
                <w:color w:val="000000"/>
                <w:sz w:val="22"/>
                <w:szCs w:val="22"/>
              </w:rPr>
              <w:t>185,022</w:t>
            </w:r>
          </w:p>
        </w:tc>
        <w:tc>
          <w:tcPr>
            <w:tcW w:w="1195" w:type="dxa"/>
            <w:noWrap/>
            <w:hideMark/>
          </w:tcPr>
          <w:p w14:paraId="5581CC57" w14:textId="77777777" w:rsidR="00D40943" w:rsidRPr="005C0D54" w:rsidRDefault="00D40943" w:rsidP="00D40943">
            <w:pPr>
              <w:jc w:val="right"/>
              <w:rPr>
                <w:rFonts w:cs="Arial"/>
                <w:color w:val="000000"/>
                <w:sz w:val="22"/>
                <w:szCs w:val="22"/>
              </w:rPr>
            </w:pPr>
            <w:r w:rsidRPr="005C0D54">
              <w:rPr>
                <w:rFonts w:cs="Arial"/>
                <w:color w:val="000000"/>
                <w:sz w:val="22"/>
                <w:szCs w:val="22"/>
              </w:rPr>
              <w:t>185,022</w:t>
            </w:r>
          </w:p>
        </w:tc>
      </w:tr>
      <w:tr w:rsidR="00D40943" w:rsidRPr="00D40943" w14:paraId="46684AE8" w14:textId="77777777" w:rsidTr="00B0788C">
        <w:trPr>
          <w:trHeight w:val="300"/>
        </w:trPr>
        <w:tc>
          <w:tcPr>
            <w:tcW w:w="3216" w:type="dxa"/>
            <w:noWrap/>
            <w:hideMark/>
          </w:tcPr>
          <w:p w14:paraId="74DC542C" w14:textId="77777777" w:rsidR="00D40943" w:rsidRPr="005C0D54" w:rsidRDefault="00647EBF" w:rsidP="00D40943">
            <w:pPr>
              <w:rPr>
                <w:rFonts w:cs="Arial"/>
                <w:color w:val="000000"/>
                <w:sz w:val="22"/>
                <w:szCs w:val="22"/>
              </w:rPr>
            </w:pPr>
            <w:r>
              <w:rPr>
                <w:rFonts w:cs="Arial"/>
                <w:color w:val="000000"/>
                <w:sz w:val="22"/>
                <w:szCs w:val="22"/>
              </w:rPr>
              <w:t>St Pauls Way</w:t>
            </w:r>
            <w:r w:rsidR="00D40943" w:rsidRPr="005C0D54">
              <w:rPr>
                <w:rFonts w:cs="Arial"/>
                <w:color w:val="000000"/>
                <w:sz w:val="22"/>
                <w:szCs w:val="22"/>
              </w:rPr>
              <w:t xml:space="preserve"> 18/19 </w:t>
            </w:r>
            <w:proofErr w:type="spellStart"/>
            <w:r w:rsidR="00D40943" w:rsidRPr="005C0D54">
              <w:rPr>
                <w:rFonts w:cs="Arial"/>
                <w:color w:val="000000"/>
                <w:sz w:val="22"/>
                <w:szCs w:val="22"/>
              </w:rPr>
              <w:t>adj</w:t>
            </w:r>
            <w:proofErr w:type="spellEnd"/>
          </w:p>
        </w:tc>
        <w:tc>
          <w:tcPr>
            <w:tcW w:w="2014" w:type="dxa"/>
            <w:noWrap/>
            <w:hideMark/>
          </w:tcPr>
          <w:p w14:paraId="439603E9" w14:textId="77777777" w:rsidR="00D40943" w:rsidRPr="005C0D54" w:rsidRDefault="00D40943" w:rsidP="00D40943">
            <w:pPr>
              <w:rPr>
                <w:rFonts w:cs="Arial"/>
                <w:color w:val="000000"/>
                <w:sz w:val="22"/>
                <w:szCs w:val="22"/>
              </w:rPr>
            </w:pPr>
            <w:r w:rsidRPr="005C0D54">
              <w:rPr>
                <w:rFonts w:cs="Arial"/>
                <w:color w:val="000000"/>
                <w:sz w:val="22"/>
                <w:szCs w:val="22"/>
              </w:rPr>
              <w:t>academy</w:t>
            </w:r>
          </w:p>
        </w:tc>
        <w:tc>
          <w:tcPr>
            <w:tcW w:w="1329" w:type="dxa"/>
            <w:noWrap/>
            <w:hideMark/>
          </w:tcPr>
          <w:p w14:paraId="6D20D915" w14:textId="77777777" w:rsidR="00D40943" w:rsidRPr="005C0D54" w:rsidRDefault="00D40943" w:rsidP="00D40943">
            <w:pPr>
              <w:jc w:val="right"/>
              <w:rPr>
                <w:rFonts w:cs="Arial"/>
                <w:color w:val="000000"/>
                <w:sz w:val="22"/>
                <w:szCs w:val="22"/>
              </w:rPr>
            </w:pPr>
            <w:r w:rsidRPr="005C0D54">
              <w:rPr>
                <w:rFonts w:cs="Arial"/>
                <w:color w:val="000000"/>
                <w:sz w:val="22"/>
                <w:szCs w:val="22"/>
              </w:rPr>
              <w:t>15</w:t>
            </w:r>
          </w:p>
        </w:tc>
        <w:tc>
          <w:tcPr>
            <w:tcW w:w="976" w:type="dxa"/>
            <w:noWrap/>
            <w:hideMark/>
          </w:tcPr>
          <w:p w14:paraId="2034F9DC" w14:textId="77777777" w:rsidR="00D40943" w:rsidRPr="005C0D54" w:rsidRDefault="00D40943" w:rsidP="00D40943">
            <w:pPr>
              <w:jc w:val="right"/>
              <w:rPr>
                <w:rFonts w:cs="Arial"/>
                <w:color w:val="000000"/>
                <w:sz w:val="22"/>
                <w:szCs w:val="22"/>
              </w:rPr>
            </w:pPr>
            <w:r w:rsidRPr="005C0D54">
              <w:rPr>
                <w:rFonts w:cs="Arial"/>
                <w:color w:val="000000"/>
                <w:sz w:val="22"/>
                <w:szCs w:val="22"/>
              </w:rPr>
              <w:t>4,575</w:t>
            </w:r>
          </w:p>
        </w:tc>
        <w:tc>
          <w:tcPr>
            <w:tcW w:w="1195" w:type="dxa"/>
            <w:noWrap/>
            <w:hideMark/>
          </w:tcPr>
          <w:p w14:paraId="2B6230E2" w14:textId="77777777" w:rsidR="00D40943" w:rsidRPr="005C0D54" w:rsidRDefault="00D40943" w:rsidP="00D40943">
            <w:pPr>
              <w:jc w:val="right"/>
              <w:rPr>
                <w:rFonts w:cs="Arial"/>
                <w:color w:val="000000"/>
                <w:sz w:val="22"/>
                <w:szCs w:val="22"/>
              </w:rPr>
            </w:pPr>
            <w:r w:rsidRPr="005C0D54">
              <w:rPr>
                <w:rFonts w:cs="Arial"/>
                <w:color w:val="000000"/>
                <w:sz w:val="22"/>
                <w:szCs w:val="22"/>
              </w:rPr>
              <w:t>68,625</w:t>
            </w:r>
          </w:p>
        </w:tc>
        <w:tc>
          <w:tcPr>
            <w:tcW w:w="1195" w:type="dxa"/>
            <w:noWrap/>
            <w:hideMark/>
          </w:tcPr>
          <w:p w14:paraId="70FA1E46" w14:textId="77777777" w:rsidR="00D40943" w:rsidRPr="005C0D54" w:rsidRDefault="00D40943" w:rsidP="00D40943">
            <w:pPr>
              <w:jc w:val="right"/>
              <w:rPr>
                <w:rFonts w:cs="Arial"/>
                <w:color w:val="000000"/>
                <w:sz w:val="22"/>
                <w:szCs w:val="22"/>
              </w:rPr>
            </w:pPr>
            <w:r w:rsidRPr="005C0D54">
              <w:rPr>
                <w:rFonts w:cs="Arial"/>
                <w:color w:val="000000"/>
                <w:sz w:val="22"/>
                <w:szCs w:val="22"/>
              </w:rPr>
              <w:t>68,625</w:t>
            </w:r>
          </w:p>
        </w:tc>
      </w:tr>
      <w:tr w:rsidR="00D40943" w:rsidRPr="00D40943" w14:paraId="531F2F39" w14:textId="77777777" w:rsidTr="00B0788C">
        <w:trPr>
          <w:trHeight w:val="300"/>
        </w:trPr>
        <w:tc>
          <w:tcPr>
            <w:tcW w:w="3216" w:type="dxa"/>
            <w:noWrap/>
            <w:hideMark/>
          </w:tcPr>
          <w:p w14:paraId="2A0E7A47" w14:textId="77777777" w:rsidR="00D40943" w:rsidRPr="005C0D54" w:rsidRDefault="00D40943" w:rsidP="00D40943">
            <w:pPr>
              <w:rPr>
                <w:rFonts w:cs="Arial"/>
                <w:color w:val="000000"/>
                <w:sz w:val="22"/>
                <w:szCs w:val="22"/>
              </w:rPr>
            </w:pPr>
            <w:r w:rsidRPr="005C0D54">
              <w:rPr>
                <w:rFonts w:cs="Arial"/>
                <w:color w:val="000000"/>
                <w:sz w:val="22"/>
                <w:szCs w:val="22"/>
              </w:rPr>
              <w:t>Stebon (primary)</w:t>
            </w:r>
          </w:p>
        </w:tc>
        <w:tc>
          <w:tcPr>
            <w:tcW w:w="2014" w:type="dxa"/>
            <w:noWrap/>
            <w:hideMark/>
          </w:tcPr>
          <w:p w14:paraId="0875C106" w14:textId="77777777" w:rsidR="00D40943" w:rsidRPr="005C0D54" w:rsidRDefault="00D40943" w:rsidP="00D40943">
            <w:pPr>
              <w:rPr>
                <w:rFonts w:cs="Arial"/>
                <w:color w:val="000000"/>
                <w:sz w:val="22"/>
                <w:szCs w:val="22"/>
              </w:rPr>
            </w:pPr>
            <w:r w:rsidRPr="005C0D54">
              <w:rPr>
                <w:rFonts w:cs="Arial"/>
                <w:color w:val="000000"/>
                <w:sz w:val="22"/>
                <w:szCs w:val="22"/>
              </w:rPr>
              <w:t>academy</w:t>
            </w:r>
          </w:p>
        </w:tc>
        <w:tc>
          <w:tcPr>
            <w:tcW w:w="1329" w:type="dxa"/>
            <w:noWrap/>
            <w:hideMark/>
          </w:tcPr>
          <w:p w14:paraId="287AC4BE" w14:textId="77777777" w:rsidR="00D40943" w:rsidRPr="005C0D54" w:rsidRDefault="00D40943" w:rsidP="00D40943">
            <w:pPr>
              <w:jc w:val="right"/>
              <w:rPr>
                <w:rFonts w:cs="Arial"/>
                <w:color w:val="000000"/>
                <w:sz w:val="22"/>
                <w:szCs w:val="22"/>
              </w:rPr>
            </w:pPr>
            <w:r w:rsidRPr="005C0D54">
              <w:rPr>
                <w:rFonts w:cs="Arial"/>
                <w:color w:val="000000"/>
                <w:sz w:val="22"/>
                <w:szCs w:val="22"/>
              </w:rPr>
              <w:t>30</w:t>
            </w:r>
          </w:p>
        </w:tc>
        <w:tc>
          <w:tcPr>
            <w:tcW w:w="976" w:type="dxa"/>
            <w:noWrap/>
            <w:hideMark/>
          </w:tcPr>
          <w:p w14:paraId="08DA8465" w14:textId="77777777" w:rsidR="00D40943" w:rsidRPr="005C0D54" w:rsidRDefault="00D40943" w:rsidP="00D40943">
            <w:pPr>
              <w:jc w:val="right"/>
              <w:rPr>
                <w:rFonts w:cs="Arial"/>
                <w:color w:val="000000"/>
                <w:sz w:val="22"/>
                <w:szCs w:val="22"/>
              </w:rPr>
            </w:pPr>
            <w:r w:rsidRPr="005C0D54">
              <w:rPr>
                <w:rFonts w:cs="Arial"/>
                <w:color w:val="000000"/>
                <w:sz w:val="22"/>
                <w:szCs w:val="22"/>
              </w:rPr>
              <w:t>3,246</w:t>
            </w:r>
          </w:p>
        </w:tc>
        <w:tc>
          <w:tcPr>
            <w:tcW w:w="1195" w:type="dxa"/>
            <w:noWrap/>
            <w:hideMark/>
          </w:tcPr>
          <w:p w14:paraId="4215C23A" w14:textId="77777777" w:rsidR="00D40943" w:rsidRPr="005C0D54" w:rsidRDefault="00D40943" w:rsidP="00D40943">
            <w:pPr>
              <w:jc w:val="right"/>
              <w:rPr>
                <w:rFonts w:cs="Arial"/>
                <w:color w:val="000000"/>
                <w:sz w:val="22"/>
                <w:szCs w:val="22"/>
              </w:rPr>
            </w:pPr>
            <w:r w:rsidRPr="005C0D54">
              <w:rPr>
                <w:rFonts w:cs="Arial"/>
                <w:color w:val="000000"/>
                <w:sz w:val="22"/>
                <w:szCs w:val="22"/>
              </w:rPr>
              <w:t>97,380</w:t>
            </w:r>
          </w:p>
        </w:tc>
        <w:tc>
          <w:tcPr>
            <w:tcW w:w="1195" w:type="dxa"/>
            <w:noWrap/>
            <w:hideMark/>
          </w:tcPr>
          <w:p w14:paraId="57C8F300" w14:textId="77777777" w:rsidR="00D40943" w:rsidRPr="005C0D54" w:rsidRDefault="00D40943" w:rsidP="00D40943">
            <w:pPr>
              <w:jc w:val="right"/>
              <w:rPr>
                <w:rFonts w:cs="Arial"/>
                <w:color w:val="000000"/>
                <w:sz w:val="22"/>
                <w:szCs w:val="22"/>
              </w:rPr>
            </w:pPr>
            <w:r w:rsidRPr="005C0D54">
              <w:rPr>
                <w:rFonts w:cs="Arial"/>
                <w:color w:val="000000"/>
                <w:sz w:val="22"/>
                <w:szCs w:val="22"/>
              </w:rPr>
              <w:t>97,380</w:t>
            </w:r>
          </w:p>
        </w:tc>
      </w:tr>
      <w:tr w:rsidR="00D40943" w:rsidRPr="00D40943" w14:paraId="76CF10D9" w14:textId="77777777" w:rsidTr="00B0788C">
        <w:trPr>
          <w:trHeight w:val="300"/>
        </w:trPr>
        <w:tc>
          <w:tcPr>
            <w:tcW w:w="3216" w:type="dxa"/>
            <w:noWrap/>
            <w:hideMark/>
          </w:tcPr>
          <w:p w14:paraId="6E6390F2"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2014" w:type="dxa"/>
            <w:noWrap/>
            <w:hideMark/>
          </w:tcPr>
          <w:p w14:paraId="7CBC7BB0"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1329" w:type="dxa"/>
            <w:noWrap/>
            <w:hideMark/>
          </w:tcPr>
          <w:p w14:paraId="65E1FECE"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976" w:type="dxa"/>
            <w:noWrap/>
            <w:hideMark/>
          </w:tcPr>
          <w:p w14:paraId="29F90605"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1195" w:type="dxa"/>
            <w:noWrap/>
            <w:hideMark/>
          </w:tcPr>
          <w:p w14:paraId="5168B7D8" w14:textId="77777777" w:rsidR="00D40943" w:rsidRPr="005C0D54" w:rsidRDefault="00D40943" w:rsidP="00D40943">
            <w:pPr>
              <w:jc w:val="right"/>
              <w:rPr>
                <w:rFonts w:cs="Arial"/>
                <w:b/>
                <w:bCs/>
                <w:color w:val="000000"/>
                <w:sz w:val="22"/>
                <w:szCs w:val="22"/>
              </w:rPr>
            </w:pPr>
            <w:r w:rsidRPr="005C0D54">
              <w:rPr>
                <w:rFonts w:cs="Arial"/>
                <w:b/>
                <w:bCs/>
                <w:color w:val="000000"/>
                <w:sz w:val="22"/>
                <w:szCs w:val="22"/>
              </w:rPr>
              <w:t>351,027</w:t>
            </w:r>
          </w:p>
        </w:tc>
        <w:tc>
          <w:tcPr>
            <w:tcW w:w="1195" w:type="dxa"/>
            <w:noWrap/>
            <w:hideMark/>
          </w:tcPr>
          <w:p w14:paraId="3961C4FE" w14:textId="77777777" w:rsidR="00D40943" w:rsidRPr="005C0D54" w:rsidRDefault="00D40943" w:rsidP="00D40943">
            <w:pPr>
              <w:jc w:val="right"/>
              <w:rPr>
                <w:rFonts w:cs="Arial"/>
                <w:b/>
                <w:bCs/>
                <w:color w:val="000000"/>
                <w:sz w:val="22"/>
                <w:szCs w:val="22"/>
              </w:rPr>
            </w:pPr>
            <w:r w:rsidRPr="005C0D54">
              <w:rPr>
                <w:rFonts w:cs="Arial"/>
                <w:b/>
                <w:bCs/>
                <w:color w:val="000000"/>
                <w:sz w:val="22"/>
                <w:szCs w:val="22"/>
              </w:rPr>
              <w:t>351,027</w:t>
            </w:r>
          </w:p>
        </w:tc>
      </w:tr>
      <w:tr w:rsidR="00D40943" w:rsidRPr="00D40943" w14:paraId="11E43B54" w14:textId="77777777" w:rsidTr="00B0788C">
        <w:trPr>
          <w:trHeight w:val="300"/>
        </w:trPr>
        <w:tc>
          <w:tcPr>
            <w:tcW w:w="3216" w:type="dxa"/>
            <w:noWrap/>
            <w:hideMark/>
          </w:tcPr>
          <w:p w14:paraId="00C6471A" w14:textId="77777777" w:rsidR="00D40943" w:rsidRPr="005C0D54" w:rsidRDefault="00D40943" w:rsidP="00D40943">
            <w:pPr>
              <w:rPr>
                <w:rFonts w:cs="Arial"/>
                <w:b/>
                <w:bCs/>
                <w:color w:val="000000"/>
                <w:sz w:val="22"/>
                <w:szCs w:val="22"/>
              </w:rPr>
            </w:pPr>
            <w:r w:rsidRPr="005C0D54">
              <w:rPr>
                <w:rFonts w:cs="Arial"/>
                <w:b/>
                <w:bCs/>
                <w:color w:val="000000"/>
                <w:sz w:val="22"/>
                <w:szCs w:val="22"/>
              </w:rPr>
              <w:t>Total</w:t>
            </w:r>
          </w:p>
        </w:tc>
        <w:tc>
          <w:tcPr>
            <w:tcW w:w="2014" w:type="dxa"/>
            <w:noWrap/>
            <w:hideMark/>
          </w:tcPr>
          <w:p w14:paraId="51A26412" w14:textId="77777777" w:rsidR="00D40943" w:rsidRPr="005C0D54" w:rsidRDefault="00D40943" w:rsidP="00D40943">
            <w:pPr>
              <w:rPr>
                <w:rFonts w:cs="Arial"/>
                <w:b/>
                <w:bCs/>
                <w:color w:val="000000"/>
                <w:sz w:val="22"/>
                <w:szCs w:val="22"/>
              </w:rPr>
            </w:pPr>
            <w:r w:rsidRPr="005C0D54">
              <w:rPr>
                <w:rFonts w:cs="Arial"/>
                <w:b/>
                <w:bCs/>
                <w:color w:val="000000"/>
                <w:sz w:val="22"/>
                <w:szCs w:val="22"/>
              </w:rPr>
              <w:t> </w:t>
            </w:r>
          </w:p>
        </w:tc>
        <w:tc>
          <w:tcPr>
            <w:tcW w:w="1329" w:type="dxa"/>
            <w:noWrap/>
            <w:hideMark/>
          </w:tcPr>
          <w:p w14:paraId="5DE5E626"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976" w:type="dxa"/>
            <w:noWrap/>
            <w:hideMark/>
          </w:tcPr>
          <w:p w14:paraId="57BB1C6A" w14:textId="77777777" w:rsidR="00D40943" w:rsidRPr="005C0D54" w:rsidRDefault="00D40943" w:rsidP="00D40943">
            <w:pPr>
              <w:rPr>
                <w:rFonts w:cs="Arial"/>
                <w:color w:val="000000"/>
                <w:sz w:val="22"/>
                <w:szCs w:val="22"/>
              </w:rPr>
            </w:pPr>
            <w:r w:rsidRPr="005C0D54">
              <w:rPr>
                <w:rFonts w:cs="Arial"/>
                <w:color w:val="000000"/>
                <w:sz w:val="22"/>
                <w:szCs w:val="22"/>
              </w:rPr>
              <w:t> </w:t>
            </w:r>
          </w:p>
        </w:tc>
        <w:tc>
          <w:tcPr>
            <w:tcW w:w="1195" w:type="dxa"/>
            <w:noWrap/>
            <w:hideMark/>
          </w:tcPr>
          <w:p w14:paraId="403DFBD4" w14:textId="77777777" w:rsidR="00D40943" w:rsidRPr="005C0D54" w:rsidRDefault="00D40943" w:rsidP="00D40943">
            <w:pPr>
              <w:jc w:val="right"/>
              <w:rPr>
                <w:rFonts w:cs="Arial"/>
                <w:b/>
                <w:bCs/>
                <w:color w:val="000000"/>
                <w:sz w:val="22"/>
                <w:szCs w:val="22"/>
              </w:rPr>
            </w:pPr>
            <w:r w:rsidRPr="005C0D54">
              <w:rPr>
                <w:rFonts w:cs="Arial"/>
                <w:b/>
                <w:bCs/>
                <w:color w:val="000000"/>
                <w:sz w:val="22"/>
                <w:szCs w:val="22"/>
              </w:rPr>
              <w:t>1,775,081</w:t>
            </w:r>
          </w:p>
        </w:tc>
        <w:tc>
          <w:tcPr>
            <w:tcW w:w="1195" w:type="dxa"/>
            <w:noWrap/>
            <w:hideMark/>
          </w:tcPr>
          <w:p w14:paraId="24F2CE62" w14:textId="77777777" w:rsidR="00D40943" w:rsidRPr="005C0D54" w:rsidRDefault="00D40943" w:rsidP="00D40943">
            <w:pPr>
              <w:jc w:val="right"/>
              <w:rPr>
                <w:rFonts w:cs="Arial"/>
                <w:b/>
                <w:bCs/>
                <w:color w:val="000000"/>
                <w:sz w:val="22"/>
                <w:szCs w:val="22"/>
              </w:rPr>
            </w:pPr>
            <w:r w:rsidRPr="005C0D54">
              <w:rPr>
                <w:rFonts w:cs="Arial"/>
                <w:b/>
                <w:bCs/>
                <w:color w:val="000000"/>
                <w:sz w:val="22"/>
                <w:szCs w:val="22"/>
              </w:rPr>
              <w:t>1,265,059</w:t>
            </w:r>
          </w:p>
        </w:tc>
      </w:tr>
      <w:tr w:rsidR="00A6681C" w:rsidRPr="00D40943" w14:paraId="4FBD231C" w14:textId="77777777" w:rsidTr="00B0788C">
        <w:trPr>
          <w:trHeight w:val="300"/>
        </w:trPr>
        <w:tc>
          <w:tcPr>
            <w:tcW w:w="3216" w:type="dxa"/>
            <w:noWrap/>
          </w:tcPr>
          <w:p w14:paraId="7BC4C20E" w14:textId="77777777" w:rsidR="00A6681C" w:rsidRPr="005C0D54" w:rsidRDefault="00A6681C" w:rsidP="00D40943">
            <w:pPr>
              <w:rPr>
                <w:rFonts w:cs="Arial"/>
                <w:b/>
                <w:bCs/>
                <w:color w:val="000000"/>
                <w:sz w:val="22"/>
                <w:szCs w:val="22"/>
              </w:rPr>
            </w:pPr>
            <w:r>
              <w:rPr>
                <w:rFonts w:cs="Arial"/>
                <w:b/>
                <w:bCs/>
                <w:color w:val="000000"/>
                <w:sz w:val="22"/>
                <w:szCs w:val="22"/>
              </w:rPr>
              <w:t>Funding Available</w:t>
            </w:r>
          </w:p>
        </w:tc>
        <w:tc>
          <w:tcPr>
            <w:tcW w:w="2014" w:type="dxa"/>
            <w:noWrap/>
          </w:tcPr>
          <w:p w14:paraId="46558A4C" w14:textId="77777777" w:rsidR="00A6681C" w:rsidRPr="005C0D54" w:rsidRDefault="00A6681C" w:rsidP="00D40943">
            <w:pPr>
              <w:rPr>
                <w:rFonts w:cs="Arial"/>
                <w:b/>
                <w:bCs/>
                <w:color w:val="000000"/>
                <w:sz w:val="22"/>
                <w:szCs w:val="22"/>
              </w:rPr>
            </w:pPr>
          </w:p>
        </w:tc>
        <w:tc>
          <w:tcPr>
            <w:tcW w:w="1329" w:type="dxa"/>
            <w:noWrap/>
          </w:tcPr>
          <w:p w14:paraId="5AA75F26" w14:textId="77777777" w:rsidR="00A6681C" w:rsidRPr="005C0D54" w:rsidRDefault="00A6681C" w:rsidP="00D40943">
            <w:pPr>
              <w:rPr>
                <w:rFonts w:cs="Arial"/>
                <w:color w:val="000000"/>
                <w:sz w:val="22"/>
                <w:szCs w:val="22"/>
              </w:rPr>
            </w:pPr>
          </w:p>
        </w:tc>
        <w:tc>
          <w:tcPr>
            <w:tcW w:w="976" w:type="dxa"/>
            <w:noWrap/>
          </w:tcPr>
          <w:p w14:paraId="61FA10F7" w14:textId="77777777" w:rsidR="00A6681C" w:rsidRPr="005C0D54" w:rsidRDefault="00A6681C" w:rsidP="00D40943">
            <w:pPr>
              <w:rPr>
                <w:rFonts w:cs="Arial"/>
                <w:color w:val="000000"/>
                <w:sz w:val="22"/>
                <w:szCs w:val="22"/>
              </w:rPr>
            </w:pPr>
          </w:p>
        </w:tc>
        <w:tc>
          <w:tcPr>
            <w:tcW w:w="1195" w:type="dxa"/>
            <w:noWrap/>
          </w:tcPr>
          <w:p w14:paraId="5169BD9A" w14:textId="77777777" w:rsidR="00A6681C" w:rsidRPr="005C0D54" w:rsidRDefault="00A6681C" w:rsidP="00D40943">
            <w:pPr>
              <w:jc w:val="right"/>
              <w:rPr>
                <w:rFonts w:cs="Arial"/>
                <w:b/>
                <w:bCs/>
                <w:color w:val="000000"/>
                <w:sz w:val="22"/>
                <w:szCs w:val="22"/>
              </w:rPr>
            </w:pPr>
          </w:p>
        </w:tc>
        <w:tc>
          <w:tcPr>
            <w:tcW w:w="1195" w:type="dxa"/>
            <w:noWrap/>
          </w:tcPr>
          <w:p w14:paraId="609BB009" w14:textId="77777777" w:rsidR="00A6681C" w:rsidRPr="005C0D54" w:rsidRDefault="00A6681C" w:rsidP="00D40943">
            <w:pPr>
              <w:jc w:val="right"/>
              <w:rPr>
                <w:rFonts w:cs="Arial"/>
                <w:b/>
                <w:bCs/>
                <w:color w:val="000000"/>
                <w:sz w:val="22"/>
                <w:szCs w:val="22"/>
              </w:rPr>
            </w:pPr>
            <w:r>
              <w:rPr>
                <w:rFonts w:cs="Arial"/>
                <w:b/>
                <w:bCs/>
                <w:color w:val="000000"/>
                <w:sz w:val="22"/>
                <w:szCs w:val="22"/>
              </w:rPr>
              <w:t>2,220,000</w:t>
            </w:r>
          </w:p>
        </w:tc>
      </w:tr>
      <w:tr w:rsidR="00A6681C" w:rsidRPr="00D40943" w14:paraId="4C49B2B4" w14:textId="77777777" w:rsidTr="00B0788C">
        <w:trPr>
          <w:trHeight w:val="300"/>
        </w:trPr>
        <w:tc>
          <w:tcPr>
            <w:tcW w:w="3216" w:type="dxa"/>
            <w:noWrap/>
          </w:tcPr>
          <w:p w14:paraId="25F8BAD8" w14:textId="77777777" w:rsidR="00A6681C" w:rsidRPr="005C0D54" w:rsidRDefault="00A6681C" w:rsidP="00D40943">
            <w:pPr>
              <w:rPr>
                <w:rFonts w:cs="Arial"/>
                <w:b/>
                <w:bCs/>
                <w:color w:val="000000"/>
                <w:sz w:val="22"/>
                <w:szCs w:val="22"/>
              </w:rPr>
            </w:pPr>
            <w:r>
              <w:rPr>
                <w:rFonts w:cs="Arial"/>
                <w:b/>
                <w:bCs/>
                <w:color w:val="000000"/>
                <w:sz w:val="22"/>
                <w:szCs w:val="22"/>
              </w:rPr>
              <w:t>Underspend</w:t>
            </w:r>
          </w:p>
        </w:tc>
        <w:tc>
          <w:tcPr>
            <w:tcW w:w="2014" w:type="dxa"/>
            <w:noWrap/>
          </w:tcPr>
          <w:p w14:paraId="5224C9DB" w14:textId="77777777" w:rsidR="00A6681C" w:rsidRPr="005C0D54" w:rsidRDefault="00A6681C" w:rsidP="00D40943">
            <w:pPr>
              <w:rPr>
                <w:rFonts w:cs="Arial"/>
                <w:b/>
                <w:bCs/>
                <w:color w:val="000000"/>
                <w:sz w:val="22"/>
                <w:szCs w:val="22"/>
              </w:rPr>
            </w:pPr>
          </w:p>
        </w:tc>
        <w:tc>
          <w:tcPr>
            <w:tcW w:w="1329" w:type="dxa"/>
            <w:noWrap/>
          </w:tcPr>
          <w:p w14:paraId="6860CB25" w14:textId="77777777" w:rsidR="00A6681C" w:rsidRPr="005C0D54" w:rsidRDefault="00A6681C" w:rsidP="00D40943">
            <w:pPr>
              <w:rPr>
                <w:rFonts w:cs="Arial"/>
                <w:color w:val="000000"/>
                <w:sz w:val="22"/>
                <w:szCs w:val="22"/>
              </w:rPr>
            </w:pPr>
          </w:p>
        </w:tc>
        <w:tc>
          <w:tcPr>
            <w:tcW w:w="976" w:type="dxa"/>
            <w:noWrap/>
          </w:tcPr>
          <w:p w14:paraId="645E3C8E" w14:textId="77777777" w:rsidR="00A6681C" w:rsidRPr="005C0D54" w:rsidRDefault="00A6681C" w:rsidP="00D40943">
            <w:pPr>
              <w:rPr>
                <w:rFonts w:cs="Arial"/>
                <w:color w:val="000000"/>
                <w:sz w:val="22"/>
                <w:szCs w:val="22"/>
              </w:rPr>
            </w:pPr>
          </w:p>
        </w:tc>
        <w:tc>
          <w:tcPr>
            <w:tcW w:w="1195" w:type="dxa"/>
            <w:noWrap/>
          </w:tcPr>
          <w:p w14:paraId="0E4605EE" w14:textId="77777777" w:rsidR="00A6681C" w:rsidRPr="005C0D54" w:rsidRDefault="00A6681C" w:rsidP="00D40943">
            <w:pPr>
              <w:jc w:val="right"/>
              <w:rPr>
                <w:rFonts w:cs="Arial"/>
                <w:b/>
                <w:bCs/>
                <w:color w:val="000000"/>
                <w:sz w:val="22"/>
                <w:szCs w:val="22"/>
              </w:rPr>
            </w:pPr>
          </w:p>
        </w:tc>
        <w:tc>
          <w:tcPr>
            <w:tcW w:w="1195" w:type="dxa"/>
            <w:noWrap/>
          </w:tcPr>
          <w:p w14:paraId="2F5E35FB" w14:textId="77777777" w:rsidR="00A6681C" w:rsidRPr="005C0D54" w:rsidRDefault="00A6681C" w:rsidP="00D40943">
            <w:pPr>
              <w:jc w:val="right"/>
              <w:rPr>
                <w:rFonts w:cs="Arial"/>
                <w:b/>
                <w:bCs/>
                <w:color w:val="000000"/>
                <w:sz w:val="22"/>
                <w:szCs w:val="22"/>
              </w:rPr>
            </w:pPr>
            <w:r>
              <w:rPr>
                <w:rFonts w:cs="Arial"/>
                <w:b/>
                <w:bCs/>
                <w:color w:val="000000"/>
                <w:sz w:val="22"/>
                <w:szCs w:val="22"/>
              </w:rPr>
              <w:t>954,941</w:t>
            </w:r>
          </w:p>
        </w:tc>
      </w:tr>
    </w:tbl>
    <w:p w14:paraId="42597909" w14:textId="77777777" w:rsidR="00A6681C" w:rsidRDefault="00A6681C" w:rsidP="00A6681C">
      <w:pPr>
        <w:keepNext/>
      </w:pPr>
      <w:r>
        <w:lastRenderedPageBreak/>
        <w:t xml:space="preserve">It is anticipated that the provision in 2020/21 will be </w:t>
      </w:r>
      <w:proofErr w:type="gramStart"/>
      <w:r>
        <w:t>sufficient</w:t>
      </w:r>
      <w:proofErr w:type="gramEnd"/>
      <w:r>
        <w:t xml:space="preserve"> to meet the need in that year and it is recommended that the remaining balance of £0.955m be transferred to the High needs Block as a one-off contribution.</w:t>
      </w:r>
    </w:p>
    <w:p w14:paraId="7D851958" w14:textId="77777777" w:rsidR="00A6681C" w:rsidRPr="00A6681C" w:rsidRDefault="00A6681C" w:rsidP="00A6681C">
      <w:pPr>
        <w:keepNext/>
      </w:pPr>
    </w:p>
    <w:p w14:paraId="762A4551" w14:textId="77777777" w:rsidR="007E45CE" w:rsidRPr="007F4610" w:rsidRDefault="007F4610" w:rsidP="0056430C">
      <w:pPr>
        <w:pStyle w:val="ListParagraph"/>
        <w:keepNext/>
        <w:numPr>
          <w:ilvl w:val="1"/>
          <w:numId w:val="18"/>
        </w:numPr>
        <w:ind w:left="567" w:hanging="567"/>
        <w:rPr>
          <w:b/>
        </w:rPr>
      </w:pPr>
      <w:r w:rsidRPr="007F4610">
        <w:rPr>
          <w:b/>
        </w:rPr>
        <w:t>Growth Fund 2020/21</w:t>
      </w:r>
    </w:p>
    <w:p w14:paraId="4EB23A79" w14:textId="77777777" w:rsidR="00667D22" w:rsidRDefault="005E50AA" w:rsidP="005E50AA">
      <w:pPr>
        <w:pStyle w:val="Heading2"/>
        <w:rPr>
          <w:b w:val="0"/>
          <w:i w:val="0"/>
          <w:sz w:val="24"/>
          <w:szCs w:val="24"/>
          <w:lang w:eastAsia="en-US"/>
        </w:rPr>
      </w:pPr>
      <w:r>
        <w:rPr>
          <w:b w:val="0"/>
          <w:i w:val="0"/>
          <w:sz w:val="24"/>
          <w:szCs w:val="24"/>
          <w:lang w:eastAsia="en-US"/>
        </w:rPr>
        <w:t xml:space="preserve">We reported to Schools Forum that growth </w:t>
      </w:r>
      <w:r w:rsidR="00E31C15">
        <w:rPr>
          <w:b w:val="0"/>
          <w:i w:val="0"/>
          <w:sz w:val="24"/>
          <w:szCs w:val="24"/>
          <w:lang w:eastAsia="en-US"/>
        </w:rPr>
        <w:t xml:space="preserve">funding in the Dedicated Schools Grant (DSG) </w:t>
      </w:r>
      <w:r>
        <w:rPr>
          <w:b w:val="0"/>
          <w:i w:val="0"/>
          <w:sz w:val="24"/>
          <w:szCs w:val="24"/>
          <w:lang w:eastAsia="en-US"/>
        </w:rPr>
        <w:t>is now a formula allocation calculated by the ESFA. The allocation for 2020-21 is £1.413</w:t>
      </w:r>
      <w:r w:rsidR="0080071B">
        <w:rPr>
          <w:b w:val="0"/>
          <w:i w:val="0"/>
          <w:sz w:val="24"/>
          <w:szCs w:val="24"/>
          <w:lang w:eastAsia="en-US"/>
        </w:rPr>
        <w:t>m</w:t>
      </w:r>
      <w:r>
        <w:rPr>
          <w:b w:val="0"/>
          <w:i w:val="0"/>
          <w:sz w:val="24"/>
          <w:szCs w:val="24"/>
          <w:lang w:eastAsia="en-US"/>
        </w:rPr>
        <w:t>. This is in excess of what is</w:t>
      </w:r>
      <w:r w:rsidR="00F463E2">
        <w:rPr>
          <w:b w:val="0"/>
          <w:i w:val="0"/>
          <w:sz w:val="24"/>
          <w:szCs w:val="24"/>
          <w:lang w:eastAsia="en-US"/>
        </w:rPr>
        <w:t xml:space="preserve"> required and</w:t>
      </w:r>
      <w:r>
        <w:rPr>
          <w:b w:val="0"/>
          <w:i w:val="0"/>
          <w:sz w:val="24"/>
          <w:szCs w:val="24"/>
          <w:lang w:eastAsia="en-US"/>
        </w:rPr>
        <w:t xml:space="preserve"> Schools </w:t>
      </w:r>
      <w:r w:rsidR="00573A03">
        <w:rPr>
          <w:b w:val="0"/>
          <w:i w:val="0"/>
          <w:sz w:val="24"/>
          <w:szCs w:val="24"/>
          <w:lang w:eastAsia="en-US"/>
        </w:rPr>
        <w:t xml:space="preserve">Forum </w:t>
      </w:r>
      <w:r w:rsidR="00D4131C">
        <w:rPr>
          <w:b w:val="0"/>
          <w:i w:val="0"/>
          <w:sz w:val="24"/>
          <w:szCs w:val="24"/>
          <w:lang w:eastAsia="en-US"/>
        </w:rPr>
        <w:t xml:space="preserve">agreed </w:t>
      </w:r>
      <w:r w:rsidR="00573A03">
        <w:rPr>
          <w:b w:val="0"/>
          <w:i w:val="0"/>
          <w:sz w:val="24"/>
          <w:szCs w:val="24"/>
          <w:lang w:eastAsia="en-US"/>
        </w:rPr>
        <w:t>to</w:t>
      </w:r>
      <w:r>
        <w:rPr>
          <w:b w:val="0"/>
          <w:i w:val="0"/>
          <w:sz w:val="24"/>
          <w:szCs w:val="24"/>
          <w:lang w:eastAsia="en-US"/>
        </w:rPr>
        <w:t xml:space="preserve"> reduce </w:t>
      </w:r>
      <w:r w:rsidR="00F463E2">
        <w:rPr>
          <w:b w:val="0"/>
          <w:i w:val="0"/>
          <w:sz w:val="24"/>
          <w:szCs w:val="24"/>
          <w:lang w:eastAsia="en-US"/>
        </w:rPr>
        <w:t xml:space="preserve">this </w:t>
      </w:r>
      <w:r>
        <w:rPr>
          <w:b w:val="0"/>
          <w:i w:val="0"/>
          <w:sz w:val="24"/>
          <w:szCs w:val="24"/>
          <w:lang w:eastAsia="en-US"/>
        </w:rPr>
        <w:t>to £1.1m to</w:t>
      </w:r>
      <w:r w:rsidR="00667D22">
        <w:rPr>
          <w:b w:val="0"/>
          <w:i w:val="0"/>
          <w:sz w:val="24"/>
          <w:szCs w:val="24"/>
          <w:lang w:eastAsia="en-US"/>
        </w:rPr>
        <w:t xml:space="preserve"> cover commitments for 2020-21.</w:t>
      </w:r>
    </w:p>
    <w:p w14:paraId="267A0C26" w14:textId="77777777" w:rsidR="00A6681C" w:rsidRPr="00A6681C" w:rsidRDefault="00A6681C" w:rsidP="00A6681C">
      <w:pPr>
        <w:rPr>
          <w:lang w:eastAsia="en-US"/>
        </w:rPr>
      </w:pPr>
    </w:p>
    <w:p w14:paraId="3330DFA1" w14:textId="77777777" w:rsidR="008741CD" w:rsidRDefault="008741CD" w:rsidP="0056430C">
      <w:pPr>
        <w:pStyle w:val="ListParagraph"/>
        <w:keepNext/>
        <w:numPr>
          <w:ilvl w:val="0"/>
          <w:numId w:val="18"/>
        </w:numPr>
        <w:rPr>
          <w:rFonts w:asciiTheme="minorHAnsi" w:hAnsiTheme="minorHAnsi"/>
          <w:b/>
          <w:sz w:val="28"/>
          <w:szCs w:val="28"/>
        </w:rPr>
      </w:pPr>
      <w:r>
        <w:rPr>
          <w:rFonts w:asciiTheme="minorHAnsi" w:hAnsiTheme="minorHAnsi"/>
          <w:b/>
          <w:sz w:val="28"/>
          <w:szCs w:val="28"/>
        </w:rPr>
        <w:t>Schools Contingency.</w:t>
      </w:r>
    </w:p>
    <w:p w14:paraId="74FFE473" w14:textId="77777777" w:rsidR="008741CD" w:rsidRDefault="008741CD" w:rsidP="008741CD">
      <w:pPr>
        <w:pStyle w:val="ListParagraph"/>
        <w:keepNext/>
        <w:ind w:left="360"/>
        <w:rPr>
          <w:rFonts w:asciiTheme="minorHAnsi" w:hAnsiTheme="minorHAnsi"/>
          <w:b/>
          <w:sz w:val="28"/>
          <w:szCs w:val="28"/>
        </w:rPr>
      </w:pPr>
    </w:p>
    <w:p w14:paraId="17EBFC20" w14:textId="77777777" w:rsidR="00FE437F" w:rsidRPr="008741CD" w:rsidRDefault="008741CD" w:rsidP="008741CD">
      <w:pPr>
        <w:pStyle w:val="ListParagraph"/>
        <w:keepNext/>
        <w:numPr>
          <w:ilvl w:val="1"/>
          <w:numId w:val="18"/>
        </w:numPr>
        <w:ind w:left="567" w:hanging="567"/>
        <w:rPr>
          <w:b/>
        </w:rPr>
      </w:pPr>
      <w:r>
        <w:rPr>
          <w:b/>
        </w:rPr>
        <w:t>Schools Contingency</w:t>
      </w:r>
      <w:r w:rsidR="00931085" w:rsidRPr="008741CD">
        <w:rPr>
          <w:b/>
        </w:rPr>
        <w:t xml:space="preserve"> </w:t>
      </w:r>
      <w:r w:rsidR="00526FC4" w:rsidRPr="008741CD">
        <w:rPr>
          <w:b/>
        </w:rPr>
        <w:t>20</w:t>
      </w:r>
      <w:r w:rsidR="00931085" w:rsidRPr="008741CD">
        <w:rPr>
          <w:b/>
        </w:rPr>
        <w:t>19/20</w:t>
      </w:r>
    </w:p>
    <w:p w14:paraId="53342447" w14:textId="77777777" w:rsidR="00931085" w:rsidRDefault="00931085" w:rsidP="00F36095">
      <w:pPr>
        <w:rPr>
          <w:b/>
          <w:sz w:val="22"/>
          <w:szCs w:val="22"/>
        </w:rPr>
      </w:pPr>
    </w:p>
    <w:p w14:paraId="12608AAB" w14:textId="77777777" w:rsidR="00931085" w:rsidRPr="0056430C" w:rsidRDefault="00931085" w:rsidP="00F36095">
      <w:pPr>
        <w:rPr>
          <w:rFonts w:cs="Arial"/>
        </w:rPr>
      </w:pPr>
      <w:r w:rsidRPr="0056430C">
        <w:rPr>
          <w:rFonts w:cs="Arial"/>
        </w:rPr>
        <w:t>This is</w:t>
      </w:r>
      <w:r w:rsidR="00C705FD" w:rsidRPr="0056430C">
        <w:rPr>
          <w:rFonts w:cs="Arial"/>
        </w:rPr>
        <w:t xml:space="preserve"> </w:t>
      </w:r>
      <w:r w:rsidR="007975BE" w:rsidRPr="0056430C">
        <w:rPr>
          <w:rFonts w:cs="Arial"/>
        </w:rPr>
        <w:t>a de</w:t>
      </w:r>
      <w:r w:rsidRPr="0056430C">
        <w:rPr>
          <w:rFonts w:cs="Arial"/>
        </w:rPr>
        <w:t>-delegated budget from the schools block</w:t>
      </w:r>
      <w:r w:rsidR="0056430C" w:rsidRPr="0056430C">
        <w:rPr>
          <w:rFonts w:cs="Arial"/>
        </w:rPr>
        <w:t xml:space="preserve"> and is only available for</w:t>
      </w:r>
      <w:r w:rsidR="00314210">
        <w:rPr>
          <w:rFonts w:cs="Arial"/>
        </w:rPr>
        <w:t xml:space="preserve"> contributing schools, which are</w:t>
      </w:r>
      <w:r w:rsidR="0056430C" w:rsidRPr="0056430C">
        <w:rPr>
          <w:rFonts w:cs="Arial"/>
        </w:rPr>
        <w:t xml:space="preserve"> </w:t>
      </w:r>
      <w:r w:rsidR="0056430C">
        <w:rPr>
          <w:rFonts w:cs="Arial"/>
        </w:rPr>
        <w:t>maintained mainstream schools</w:t>
      </w:r>
      <w:r w:rsidRPr="0056430C">
        <w:rPr>
          <w:rFonts w:cs="Arial"/>
        </w:rPr>
        <w:t>.</w:t>
      </w:r>
    </w:p>
    <w:p w14:paraId="1CB4718E" w14:textId="77777777" w:rsidR="00931085" w:rsidRPr="0056430C" w:rsidRDefault="00931085" w:rsidP="00F36095">
      <w:pPr>
        <w:rPr>
          <w:rFonts w:cs="Arial"/>
        </w:rPr>
      </w:pPr>
    </w:p>
    <w:p w14:paraId="5175073D" w14:textId="77777777" w:rsidR="00931085" w:rsidRPr="0056430C" w:rsidRDefault="00314210" w:rsidP="00F36095">
      <w:pPr>
        <w:rPr>
          <w:rFonts w:cs="Arial"/>
        </w:rPr>
      </w:pPr>
      <w:r>
        <w:rPr>
          <w:rFonts w:cs="Arial"/>
        </w:rPr>
        <w:t>The Contingency for Schools in Financial D</w:t>
      </w:r>
      <w:r w:rsidR="00931085" w:rsidRPr="0056430C">
        <w:rPr>
          <w:rFonts w:cs="Arial"/>
        </w:rPr>
        <w:t xml:space="preserve">ifficulty </w:t>
      </w:r>
      <w:r>
        <w:rPr>
          <w:rFonts w:cs="Arial"/>
        </w:rPr>
        <w:t xml:space="preserve">currently </w:t>
      </w:r>
      <w:r w:rsidR="00931085" w:rsidRPr="0056430C">
        <w:rPr>
          <w:rFonts w:cs="Arial"/>
        </w:rPr>
        <w:t>covers</w:t>
      </w:r>
      <w:r w:rsidR="00827F2F" w:rsidRPr="0056430C">
        <w:rPr>
          <w:rFonts w:cs="Arial"/>
        </w:rPr>
        <w:t xml:space="preserve"> changes in formula allocation, schools in difficulty due to falling rolls and </w:t>
      </w:r>
      <w:r w:rsidR="00931085" w:rsidRPr="0056430C">
        <w:rPr>
          <w:rFonts w:cs="Arial"/>
        </w:rPr>
        <w:t>changes in other costs covering rents, NNDR and legal.</w:t>
      </w:r>
    </w:p>
    <w:p w14:paraId="11A380E9" w14:textId="77777777" w:rsidR="0063557E" w:rsidRPr="0056430C" w:rsidRDefault="0063557E" w:rsidP="00F36095">
      <w:pPr>
        <w:rPr>
          <w:rFonts w:cs="Arial"/>
        </w:rPr>
      </w:pPr>
    </w:p>
    <w:p w14:paraId="489524A4" w14:textId="77777777" w:rsidR="00314210" w:rsidRDefault="00314210" w:rsidP="00314210">
      <w:pPr>
        <w:rPr>
          <w:rFonts w:cs="Arial"/>
        </w:rPr>
      </w:pPr>
      <w:r w:rsidRPr="0056430C">
        <w:rPr>
          <w:rFonts w:cs="Arial"/>
        </w:rPr>
        <w:t xml:space="preserve">The Schools Contingency Budget </w:t>
      </w:r>
      <w:r>
        <w:rPr>
          <w:rFonts w:cs="Arial"/>
        </w:rPr>
        <w:t>for</w:t>
      </w:r>
      <w:r w:rsidRPr="0056430C">
        <w:rPr>
          <w:rFonts w:cs="Arial"/>
        </w:rPr>
        <w:t xml:space="preserve"> 2019-20 </w:t>
      </w:r>
      <w:r>
        <w:rPr>
          <w:rFonts w:cs="Arial"/>
        </w:rPr>
        <w:t>is</w:t>
      </w:r>
      <w:r w:rsidRPr="0056430C">
        <w:rPr>
          <w:rFonts w:cs="Arial"/>
        </w:rPr>
        <w:t xml:space="preserve"> £</w:t>
      </w:r>
      <w:r>
        <w:rPr>
          <w:rFonts w:cs="Arial"/>
        </w:rPr>
        <w:t>0</w:t>
      </w:r>
      <w:r w:rsidRPr="0056430C">
        <w:rPr>
          <w:rFonts w:cs="Arial"/>
        </w:rPr>
        <w:t>.892m. This includes £</w:t>
      </w:r>
      <w:r>
        <w:rPr>
          <w:rFonts w:cs="Arial"/>
        </w:rPr>
        <w:t>0</w:t>
      </w:r>
      <w:r w:rsidRPr="0056430C">
        <w:rPr>
          <w:rFonts w:cs="Arial"/>
        </w:rPr>
        <w:t xml:space="preserve">.435m allocated in </w:t>
      </w:r>
      <w:r w:rsidR="00662087">
        <w:rPr>
          <w:rFonts w:cs="Arial"/>
        </w:rPr>
        <w:t>20</w:t>
      </w:r>
      <w:r w:rsidRPr="0056430C">
        <w:rPr>
          <w:rFonts w:cs="Arial"/>
        </w:rPr>
        <w:t>19/20 and an approved carry forward balance of £</w:t>
      </w:r>
      <w:r>
        <w:rPr>
          <w:rFonts w:cs="Arial"/>
        </w:rPr>
        <w:t>0</w:t>
      </w:r>
      <w:r w:rsidRPr="0056430C">
        <w:rPr>
          <w:rFonts w:cs="Arial"/>
        </w:rPr>
        <w:t xml:space="preserve">.457m from 2018/19. </w:t>
      </w:r>
    </w:p>
    <w:p w14:paraId="1CAB71AF" w14:textId="77777777" w:rsidR="0080071B" w:rsidRPr="0056430C" w:rsidRDefault="0080071B" w:rsidP="00314210">
      <w:pPr>
        <w:rPr>
          <w:rFonts w:cs="Arial"/>
        </w:rPr>
      </w:pPr>
    </w:p>
    <w:p w14:paraId="783512B3" w14:textId="77777777" w:rsidR="00CC68A1" w:rsidRPr="0056430C" w:rsidRDefault="00827F2F" w:rsidP="00F36095">
      <w:pPr>
        <w:rPr>
          <w:rFonts w:cs="Arial"/>
        </w:rPr>
      </w:pPr>
      <w:r w:rsidRPr="0056430C">
        <w:rPr>
          <w:rFonts w:cs="Arial"/>
        </w:rPr>
        <w:t xml:space="preserve">In </w:t>
      </w:r>
      <w:r w:rsidR="00662087">
        <w:rPr>
          <w:rFonts w:cs="Arial"/>
        </w:rPr>
        <w:t>20</w:t>
      </w:r>
      <w:r w:rsidRPr="0056430C">
        <w:rPr>
          <w:rFonts w:cs="Arial"/>
        </w:rPr>
        <w:t>19/20 the project</w:t>
      </w:r>
      <w:r w:rsidR="008741CD">
        <w:rPr>
          <w:rFonts w:cs="Arial"/>
        </w:rPr>
        <w:t>ed call upon contingencies in £</w:t>
      </w:r>
      <w:r w:rsidR="0080071B">
        <w:rPr>
          <w:rFonts w:cs="Arial"/>
        </w:rPr>
        <w:t>0.</w:t>
      </w:r>
      <w:r w:rsidR="008741CD">
        <w:rPr>
          <w:rFonts w:cs="Arial"/>
        </w:rPr>
        <w:t>3</w:t>
      </w:r>
      <w:r w:rsidRPr="0056430C">
        <w:rPr>
          <w:rFonts w:cs="Arial"/>
        </w:rPr>
        <w:t>68</w:t>
      </w:r>
      <w:r w:rsidR="0080071B">
        <w:rPr>
          <w:rFonts w:cs="Arial"/>
        </w:rPr>
        <w:t>m</w:t>
      </w:r>
      <w:r w:rsidRPr="0056430C">
        <w:rPr>
          <w:rFonts w:cs="Arial"/>
        </w:rPr>
        <w:t xml:space="preserve">.  </w:t>
      </w:r>
      <w:r w:rsidR="00D40943" w:rsidRPr="0056430C">
        <w:rPr>
          <w:rFonts w:cs="Arial"/>
        </w:rPr>
        <w:t>Although the</w:t>
      </w:r>
      <w:r w:rsidRPr="0056430C">
        <w:rPr>
          <w:rFonts w:cs="Arial"/>
        </w:rPr>
        <w:t xml:space="preserve"> projection is lower than the </w:t>
      </w:r>
      <w:r w:rsidR="00526FC4" w:rsidRPr="0056430C">
        <w:rPr>
          <w:rFonts w:cs="Arial"/>
        </w:rPr>
        <w:t>budget allocated,</w:t>
      </w:r>
      <w:r w:rsidRPr="0056430C">
        <w:rPr>
          <w:rFonts w:cs="Arial"/>
        </w:rPr>
        <w:t xml:space="preserve"> </w:t>
      </w:r>
      <w:r w:rsidR="00746E00" w:rsidRPr="0056430C">
        <w:rPr>
          <w:rFonts w:cs="Arial"/>
        </w:rPr>
        <w:t xml:space="preserve">it is expected that </w:t>
      </w:r>
      <w:r w:rsidR="00314210">
        <w:rPr>
          <w:rFonts w:cs="Arial"/>
        </w:rPr>
        <w:t xml:space="preserve">the </w:t>
      </w:r>
      <w:r w:rsidR="00746E00" w:rsidRPr="0056430C">
        <w:rPr>
          <w:rFonts w:cs="Arial"/>
        </w:rPr>
        <w:t xml:space="preserve">call </w:t>
      </w:r>
      <w:r w:rsidRPr="0056430C">
        <w:rPr>
          <w:rFonts w:cs="Arial"/>
        </w:rPr>
        <w:t>on this budget will rise in 2020-21</w:t>
      </w:r>
      <w:r w:rsidR="00314210">
        <w:rPr>
          <w:rFonts w:cs="Arial"/>
        </w:rPr>
        <w:t>, especially as the revised criteria for allocation, set out in Appendix 2, will cover schools facing financial difficulties as a result of falling rolls</w:t>
      </w:r>
      <w:r w:rsidRPr="0056430C">
        <w:rPr>
          <w:rFonts w:cs="Arial"/>
        </w:rPr>
        <w:t xml:space="preserve">.  </w:t>
      </w:r>
    </w:p>
    <w:p w14:paraId="271B4BD9" w14:textId="77777777" w:rsidR="00827F2F" w:rsidRPr="0056430C" w:rsidRDefault="00827F2F" w:rsidP="00F36095">
      <w:pPr>
        <w:rPr>
          <w:rFonts w:cs="Arial"/>
        </w:rPr>
      </w:pPr>
    </w:p>
    <w:p w14:paraId="5D39902F" w14:textId="77777777" w:rsidR="00827F2F" w:rsidRDefault="00827F2F" w:rsidP="00827F2F">
      <w:pPr>
        <w:rPr>
          <w:rFonts w:cs="Arial"/>
        </w:rPr>
      </w:pPr>
      <w:r w:rsidRPr="0056430C">
        <w:rPr>
          <w:rFonts w:cs="Arial"/>
          <w:b/>
        </w:rPr>
        <w:t>Table 2</w:t>
      </w:r>
      <w:r w:rsidRPr="0056430C">
        <w:rPr>
          <w:rFonts w:cs="Arial"/>
        </w:rPr>
        <w:t xml:space="preserve"> sets out the resources </w:t>
      </w:r>
      <w:r w:rsidR="002C4902" w:rsidRPr="0056430C">
        <w:rPr>
          <w:rFonts w:cs="Arial"/>
        </w:rPr>
        <w:t xml:space="preserve">now available </w:t>
      </w:r>
      <w:r w:rsidR="00526FC4" w:rsidRPr="0056430C">
        <w:rPr>
          <w:rFonts w:cs="Arial"/>
        </w:rPr>
        <w:t>and the estimated spend</w:t>
      </w:r>
      <w:r w:rsidR="002C4902" w:rsidRPr="0056430C">
        <w:rPr>
          <w:rFonts w:cs="Arial"/>
        </w:rPr>
        <w:t xml:space="preserve"> against it.</w:t>
      </w:r>
    </w:p>
    <w:p w14:paraId="045D3870" w14:textId="77777777" w:rsidR="00B0788C" w:rsidRDefault="00B0788C" w:rsidP="00827F2F">
      <w:pPr>
        <w:rPr>
          <w:rFonts w:cs="Arial"/>
        </w:rPr>
      </w:pPr>
    </w:p>
    <w:p w14:paraId="074AE09B" w14:textId="77777777" w:rsidR="00B0788C" w:rsidRDefault="00B0788C" w:rsidP="00B0788C">
      <w:pPr>
        <w:rPr>
          <w:rFonts w:cs="Arial"/>
          <w:b/>
          <w:bCs/>
          <w:i/>
          <w:iCs/>
          <w:color w:val="000000"/>
        </w:rPr>
      </w:pPr>
      <w:r>
        <w:rPr>
          <w:rFonts w:cs="Arial"/>
          <w:b/>
          <w:bCs/>
          <w:i/>
          <w:iCs/>
          <w:color w:val="000000"/>
        </w:rPr>
        <w:t xml:space="preserve">Table 2: </w:t>
      </w:r>
      <w:r w:rsidRPr="0056430C">
        <w:rPr>
          <w:rFonts w:cs="Arial"/>
          <w:b/>
          <w:bCs/>
          <w:i/>
          <w:iCs/>
          <w:color w:val="000000"/>
        </w:rPr>
        <w:t>Schools Contingency Budget Financial Year 2019/20</w:t>
      </w:r>
    </w:p>
    <w:p w14:paraId="5E974B76" w14:textId="77777777" w:rsidR="00760CBB" w:rsidRPr="0056430C" w:rsidRDefault="00760CBB" w:rsidP="00827F2F">
      <w:pPr>
        <w:rPr>
          <w:rFonts w:cs="Arial"/>
        </w:rPr>
      </w:pPr>
    </w:p>
    <w:tbl>
      <w:tblPr>
        <w:tblStyle w:val="TableGrid"/>
        <w:tblW w:w="9077" w:type="dxa"/>
        <w:tblLook w:val="04A0" w:firstRow="1" w:lastRow="0" w:firstColumn="1" w:lastColumn="0" w:noHBand="0" w:noVBand="1"/>
      </w:tblPr>
      <w:tblGrid>
        <w:gridCol w:w="2560"/>
        <w:gridCol w:w="1420"/>
        <w:gridCol w:w="3963"/>
        <w:gridCol w:w="1134"/>
      </w:tblGrid>
      <w:tr w:rsidR="007975BE" w:rsidRPr="0056430C" w14:paraId="0C574DC6" w14:textId="77777777" w:rsidTr="00B0788C">
        <w:trPr>
          <w:trHeight w:val="300"/>
        </w:trPr>
        <w:tc>
          <w:tcPr>
            <w:tcW w:w="2560" w:type="dxa"/>
            <w:noWrap/>
            <w:hideMark/>
          </w:tcPr>
          <w:p w14:paraId="6D36CDB3" w14:textId="77777777" w:rsidR="007975BE" w:rsidRPr="0056430C" w:rsidRDefault="007975BE" w:rsidP="007975BE">
            <w:pPr>
              <w:jc w:val="center"/>
              <w:rPr>
                <w:rFonts w:cs="Arial"/>
                <w:b/>
                <w:bCs/>
                <w:color w:val="000000"/>
              </w:rPr>
            </w:pPr>
            <w:r w:rsidRPr="0056430C">
              <w:rPr>
                <w:rFonts w:cs="Arial"/>
                <w:b/>
                <w:bCs/>
                <w:color w:val="000000"/>
              </w:rPr>
              <w:t>School</w:t>
            </w:r>
          </w:p>
        </w:tc>
        <w:tc>
          <w:tcPr>
            <w:tcW w:w="1420" w:type="dxa"/>
            <w:noWrap/>
            <w:hideMark/>
          </w:tcPr>
          <w:p w14:paraId="6A7E3214" w14:textId="77777777" w:rsidR="007975BE" w:rsidRPr="0056430C" w:rsidRDefault="007975BE" w:rsidP="007975BE">
            <w:pPr>
              <w:jc w:val="center"/>
              <w:rPr>
                <w:rFonts w:cs="Arial"/>
                <w:b/>
                <w:bCs/>
                <w:color w:val="000000"/>
              </w:rPr>
            </w:pPr>
            <w:r w:rsidRPr="0056430C">
              <w:rPr>
                <w:rFonts w:cs="Arial"/>
                <w:b/>
                <w:bCs/>
                <w:color w:val="000000"/>
              </w:rPr>
              <w:t>Type</w:t>
            </w:r>
          </w:p>
        </w:tc>
        <w:tc>
          <w:tcPr>
            <w:tcW w:w="3963" w:type="dxa"/>
            <w:noWrap/>
            <w:hideMark/>
          </w:tcPr>
          <w:p w14:paraId="06541265" w14:textId="77777777" w:rsidR="007975BE" w:rsidRPr="0056430C" w:rsidRDefault="007975BE" w:rsidP="007975BE">
            <w:pPr>
              <w:jc w:val="center"/>
              <w:rPr>
                <w:rFonts w:cs="Arial"/>
                <w:b/>
                <w:bCs/>
                <w:color w:val="000000"/>
              </w:rPr>
            </w:pPr>
            <w:r w:rsidRPr="0056430C">
              <w:rPr>
                <w:rFonts w:cs="Arial"/>
                <w:b/>
                <w:bCs/>
                <w:color w:val="000000"/>
              </w:rPr>
              <w:t>Reason</w:t>
            </w:r>
          </w:p>
        </w:tc>
        <w:tc>
          <w:tcPr>
            <w:tcW w:w="1134" w:type="dxa"/>
            <w:noWrap/>
            <w:hideMark/>
          </w:tcPr>
          <w:p w14:paraId="62525A19" w14:textId="77777777" w:rsidR="007975BE" w:rsidRPr="0056430C" w:rsidRDefault="007975BE" w:rsidP="007975BE">
            <w:pPr>
              <w:jc w:val="center"/>
              <w:rPr>
                <w:rFonts w:cs="Arial"/>
                <w:b/>
                <w:bCs/>
                <w:color w:val="000000"/>
              </w:rPr>
            </w:pPr>
            <w:r w:rsidRPr="0056430C">
              <w:rPr>
                <w:rFonts w:cs="Arial"/>
                <w:b/>
                <w:bCs/>
                <w:color w:val="000000"/>
              </w:rPr>
              <w:t>Cost</w:t>
            </w:r>
            <w:r w:rsidR="00B0788C">
              <w:rPr>
                <w:rFonts w:cs="Arial"/>
                <w:b/>
                <w:bCs/>
                <w:color w:val="000000"/>
              </w:rPr>
              <w:t xml:space="preserve"> (</w:t>
            </w:r>
            <w:r w:rsidR="00B0788C" w:rsidRPr="005C0D54">
              <w:rPr>
                <w:rFonts w:cs="Arial"/>
                <w:b/>
                <w:bCs/>
                <w:color w:val="000000"/>
                <w:sz w:val="22"/>
                <w:szCs w:val="22"/>
              </w:rPr>
              <w:t>£</w:t>
            </w:r>
            <w:r w:rsidR="00B0788C">
              <w:rPr>
                <w:rFonts w:cs="Arial"/>
                <w:b/>
                <w:bCs/>
                <w:color w:val="000000"/>
                <w:sz w:val="22"/>
                <w:szCs w:val="22"/>
              </w:rPr>
              <w:t>)</w:t>
            </w:r>
          </w:p>
        </w:tc>
      </w:tr>
      <w:tr w:rsidR="007975BE" w:rsidRPr="0056430C" w14:paraId="7CC78FEE" w14:textId="77777777" w:rsidTr="00B0788C">
        <w:trPr>
          <w:trHeight w:val="900"/>
        </w:trPr>
        <w:tc>
          <w:tcPr>
            <w:tcW w:w="2560" w:type="dxa"/>
            <w:hideMark/>
          </w:tcPr>
          <w:p w14:paraId="0C4F4C7F" w14:textId="77777777" w:rsidR="007975BE" w:rsidRPr="0056430C" w:rsidRDefault="007975BE" w:rsidP="007975BE">
            <w:pPr>
              <w:rPr>
                <w:rFonts w:cs="Arial"/>
                <w:color w:val="000000"/>
              </w:rPr>
            </w:pPr>
            <w:r w:rsidRPr="0056430C">
              <w:rPr>
                <w:rFonts w:cs="Arial"/>
                <w:color w:val="000000"/>
              </w:rPr>
              <w:t>Raines (closing in Aug 20)</w:t>
            </w:r>
          </w:p>
        </w:tc>
        <w:tc>
          <w:tcPr>
            <w:tcW w:w="1420" w:type="dxa"/>
            <w:hideMark/>
          </w:tcPr>
          <w:p w14:paraId="59365404" w14:textId="77777777" w:rsidR="007975BE" w:rsidRPr="0056430C" w:rsidRDefault="007975BE" w:rsidP="007975BE">
            <w:pPr>
              <w:rPr>
                <w:rFonts w:cs="Arial"/>
                <w:color w:val="000000"/>
              </w:rPr>
            </w:pPr>
            <w:r w:rsidRPr="0056430C">
              <w:rPr>
                <w:rFonts w:cs="Arial"/>
                <w:color w:val="000000"/>
              </w:rPr>
              <w:t>Secondary</w:t>
            </w:r>
          </w:p>
        </w:tc>
        <w:tc>
          <w:tcPr>
            <w:tcW w:w="3963" w:type="dxa"/>
            <w:hideMark/>
          </w:tcPr>
          <w:p w14:paraId="1441F9EB" w14:textId="77777777" w:rsidR="007975BE" w:rsidRPr="0056430C" w:rsidRDefault="007975BE" w:rsidP="007975BE">
            <w:pPr>
              <w:rPr>
                <w:rFonts w:cs="Arial"/>
                <w:color w:val="000000"/>
              </w:rPr>
            </w:pPr>
            <w:r w:rsidRPr="0056430C">
              <w:rPr>
                <w:rFonts w:cs="Arial"/>
                <w:color w:val="000000"/>
              </w:rPr>
              <w:t xml:space="preserve">Teacher </w:t>
            </w:r>
            <w:r w:rsidR="00D40943" w:rsidRPr="0056430C">
              <w:rPr>
                <w:rFonts w:cs="Arial"/>
                <w:color w:val="000000"/>
              </w:rPr>
              <w:t>loyalty</w:t>
            </w:r>
            <w:r w:rsidRPr="0056430C">
              <w:rPr>
                <w:rFonts w:cs="Arial"/>
                <w:color w:val="000000"/>
              </w:rPr>
              <w:t xml:space="preserve"> bonus and uniform grant for pupil moving to other schools.</w:t>
            </w:r>
          </w:p>
        </w:tc>
        <w:tc>
          <w:tcPr>
            <w:tcW w:w="1134" w:type="dxa"/>
            <w:hideMark/>
          </w:tcPr>
          <w:p w14:paraId="421D6564" w14:textId="77777777" w:rsidR="007975BE" w:rsidRPr="0056430C" w:rsidRDefault="007975BE" w:rsidP="007975BE">
            <w:pPr>
              <w:jc w:val="right"/>
              <w:rPr>
                <w:rFonts w:cs="Arial"/>
                <w:color w:val="000000"/>
              </w:rPr>
            </w:pPr>
            <w:r w:rsidRPr="0056430C">
              <w:rPr>
                <w:rFonts w:cs="Arial"/>
                <w:color w:val="000000"/>
              </w:rPr>
              <w:t>101,000</w:t>
            </w:r>
          </w:p>
        </w:tc>
      </w:tr>
      <w:tr w:rsidR="007975BE" w:rsidRPr="0056430C" w14:paraId="4D9A9012" w14:textId="77777777" w:rsidTr="00B0788C">
        <w:trPr>
          <w:trHeight w:val="600"/>
        </w:trPr>
        <w:tc>
          <w:tcPr>
            <w:tcW w:w="2560" w:type="dxa"/>
            <w:noWrap/>
            <w:hideMark/>
          </w:tcPr>
          <w:p w14:paraId="0EE99F2A" w14:textId="77777777" w:rsidR="007975BE" w:rsidRPr="0056430C" w:rsidRDefault="007975BE" w:rsidP="007975BE">
            <w:pPr>
              <w:rPr>
                <w:rFonts w:cs="Arial"/>
                <w:color w:val="000000"/>
              </w:rPr>
            </w:pPr>
            <w:r w:rsidRPr="0056430C">
              <w:rPr>
                <w:rFonts w:cs="Arial"/>
                <w:color w:val="000000"/>
              </w:rPr>
              <w:t xml:space="preserve">Cyril Jackson </w:t>
            </w:r>
          </w:p>
        </w:tc>
        <w:tc>
          <w:tcPr>
            <w:tcW w:w="1420" w:type="dxa"/>
            <w:noWrap/>
            <w:hideMark/>
          </w:tcPr>
          <w:p w14:paraId="338BD1EB" w14:textId="77777777" w:rsidR="007975BE" w:rsidRPr="0056430C" w:rsidRDefault="007975BE" w:rsidP="007975BE">
            <w:pPr>
              <w:rPr>
                <w:rFonts w:cs="Arial"/>
                <w:color w:val="000000"/>
              </w:rPr>
            </w:pPr>
            <w:r w:rsidRPr="0056430C">
              <w:rPr>
                <w:rFonts w:cs="Arial"/>
                <w:color w:val="000000"/>
              </w:rPr>
              <w:t>Primary</w:t>
            </w:r>
          </w:p>
        </w:tc>
        <w:tc>
          <w:tcPr>
            <w:tcW w:w="3963" w:type="dxa"/>
            <w:hideMark/>
          </w:tcPr>
          <w:p w14:paraId="1600FF0A" w14:textId="77777777" w:rsidR="007975BE" w:rsidRPr="0056430C" w:rsidRDefault="007975BE" w:rsidP="007975BE">
            <w:pPr>
              <w:rPr>
                <w:rFonts w:cs="Arial"/>
                <w:color w:val="000000"/>
              </w:rPr>
            </w:pPr>
            <w:r w:rsidRPr="0056430C">
              <w:rPr>
                <w:rFonts w:cs="Arial"/>
                <w:color w:val="000000"/>
              </w:rPr>
              <w:t>Review of the governance arrangement</w:t>
            </w:r>
          </w:p>
        </w:tc>
        <w:tc>
          <w:tcPr>
            <w:tcW w:w="1134" w:type="dxa"/>
            <w:noWrap/>
            <w:hideMark/>
          </w:tcPr>
          <w:p w14:paraId="3F44CDDE" w14:textId="77777777" w:rsidR="007975BE" w:rsidRPr="0056430C" w:rsidRDefault="007975BE" w:rsidP="007975BE">
            <w:pPr>
              <w:jc w:val="right"/>
              <w:rPr>
                <w:rFonts w:cs="Arial"/>
                <w:color w:val="000000"/>
              </w:rPr>
            </w:pPr>
            <w:r w:rsidRPr="0056430C">
              <w:rPr>
                <w:rFonts w:cs="Arial"/>
                <w:color w:val="000000"/>
              </w:rPr>
              <w:t>18,600</w:t>
            </w:r>
          </w:p>
        </w:tc>
      </w:tr>
      <w:tr w:rsidR="007975BE" w:rsidRPr="0056430C" w14:paraId="71241FFD" w14:textId="77777777" w:rsidTr="00B0788C">
        <w:trPr>
          <w:trHeight w:val="300"/>
        </w:trPr>
        <w:tc>
          <w:tcPr>
            <w:tcW w:w="2560" w:type="dxa"/>
            <w:noWrap/>
            <w:hideMark/>
          </w:tcPr>
          <w:p w14:paraId="3D95D4E3" w14:textId="77777777" w:rsidR="007975BE" w:rsidRPr="0056430C" w:rsidRDefault="007975BE" w:rsidP="007975BE">
            <w:pPr>
              <w:rPr>
                <w:rFonts w:cs="Arial"/>
                <w:color w:val="000000"/>
              </w:rPr>
            </w:pPr>
            <w:r w:rsidRPr="0056430C">
              <w:rPr>
                <w:rFonts w:cs="Arial"/>
                <w:color w:val="000000"/>
              </w:rPr>
              <w:t>Shapla</w:t>
            </w:r>
          </w:p>
        </w:tc>
        <w:tc>
          <w:tcPr>
            <w:tcW w:w="1420" w:type="dxa"/>
            <w:noWrap/>
            <w:hideMark/>
          </w:tcPr>
          <w:p w14:paraId="3814D3D8" w14:textId="77777777" w:rsidR="007975BE" w:rsidRPr="0056430C" w:rsidRDefault="007975BE" w:rsidP="007975BE">
            <w:pPr>
              <w:rPr>
                <w:rFonts w:cs="Arial"/>
                <w:color w:val="000000"/>
              </w:rPr>
            </w:pPr>
            <w:r w:rsidRPr="0056430C">
              <w:rPr>
                <w:rFonts w:cs="Arial"/>
                <w:color w:val="000000"/>
              </w:rPr>
              <w:t>Primary</w:t>
            </w:r>
          </w:p>
        </w:tc>
        <w:tc>
          <w:tcPr>
            <w:tcW w:w="3963" w:type="dxa"/>
            <w:hideMark/>
          </w:tcPr>
          <w:p w14:paraId="120FD4F9" w14:textId="77777777" w:rsidR="007975BE" w:rsidRPr="0056430C" w:rsidRDefault="007975BE" w:rsidP="007975BE">
            <w:pPr>
              <w:rPr>
                <w:rFonts w:cs="Arial"/>
                <w:color w:val="000000"/>
              </w:rPr>
            </w:pPr>
            <w:r w:rsidRPr="0056430C">
              <w:rPr>
                <w:rFonts w:cs="Arial"/>
                <w:color w:val="000000"/>
              </w:rPr>
              <w:t>legal costs</w:t>
            </w:r>
          </w:p>
        </w:tc>
        <w:tc>
          <w:tcPr>
            <w:tcW w:w="1134" w:type="dxa"/>
            <w:noWrap/>
            <w:hideMark/>
          </w:tcPr>
          <w:p w14:paraId="0469FD39" w14:textId="77777777" w:rsidR="007975BE" w:rsidRPr="0056430C" w:rsidRDefault="007975BE" w:rsidP="007975BE">
            <w:pPr>
              <w:jc w:val="right"/>
              <w:rPr>
                <w:rFonts w:cs="Arial"/>
                <w:color w:val="000000"/>
              </w:rPr>
            </w:pPr>
            <w:r w:rsidRPr="0056430C">
              <w:rPr>
                <w:rFonts w:cs="Arial"/>
                <w:color w:val="000000"/>
              </w:rPr>
              <w:t>75,000</w:t>
            </w:r>
          </w:p>
        </w:tc>
      </w:tr>
      <w:tr w:rsidR="00314210" w:rsidRPr="0056430C" w14:paraId="19CC48E8" w14:textId="77777777" w:rsidTr="00B0788C">
        <w:trPr>
          <w:trHeight w:val="300"/>
        </w:trPr>
        <w:tc>
          <w:tcPr>
            <w:tcW w:w="2560" w:type="dxa"/>
            <w:noWrap/>
          </w:tcPr>
          <w:p w14:paraId="11EC142A" w14:textId="77777777" w:rsidR="00314210" w:rsidRPr="0056430C" w:rsidRDefault="008741CD" w:rsidP="007975BE">
            <w:pPr>
              <w:rPr>
                <w:rFonts w:cs="Arial"/>
                <w:color w:val="000000"/>
              </w:rPr>
            </w:pPr>
            <w:r>
              <w:rPr>
                <w:rFonts w:cs="Arial"/>
                <w:color w:val="000000"/>
              </w:rPr>
              <w:t>Langdon Park</w:t>
            </w:r>
          </w:p>
        </w:tc>
        <w:tc>
          <w:tcPr>
            <w:tcW w:w="1420" w:type="dxa"/>
            <w:noWrap/>
          </w:tcPr>
          <w:p w14:paraId="28CE4E6D" w14:textId="77777777" w:rsidR="00314210" w:rsidRPr="0056430C" w:rsidRDefault="008741CD" w:rsidP="007975BE">
            <w:pPr>
              <w:rPr>
                <w:rFonts w:cs="Arial"/>
                <w:color w:val="000000"/>
              </w:rPr>
            </w:pPr>
            <w:r>
              <w:rPr>
                <w:rFonts w:cs="Arial"/>
                <w:color w:val="000000"/>
              </w:rPr>
              <w:t>Secondary</w:t>
            </w:r>
          </w:p>
        </w:tc>
        <w:tc>
          <w:tcPr>
            <w:tcW w:w="3963" w:type="dxa"/>
          </w:tcPr>
          <w:p w14:paraId="0DA363CC" w14:textId="77777777" w:rsidR="00314210" w:rsidRPr="0056430C" w:rsidRDefault="008741CD" w:rsidP="007975BE">
            <w:pPr>
              <w:rPr>
                <w:rFonts w:cs="Arial"/>
                <w:color w:val="000000"/>
              </w:rPr>
            </w:pPr>
            <w:r>
              <w:rPr>
                <w:rFonts w:cs="Arial"/>
                <w:color w:val="000000"/>
              </w:rPr>
              <w:t>Additional SLT support</w:t>
            </w:r>
          </w:p>
        </w:tc>
        <w:tc>
          <w:tcPr>
            <w:tcW w:w="1134" w:type="dxa"/>
            <w:noWrap/>
          </w:tcPr>
          <w:p w14:paraId="5038456D" w14:textId="77777777" w:rsidR="00314210" w:rsidRPr="0056430C" w:rsidRDefault="008741CD" w:rsidP="007975BE">
            <w:pPr>
              <w:jc w:val="right"/>
              <w:rPr>
                <w:rFonts w:cs="Arial"/>
                <w:color w:val="000000"/>
              </w:rPr>
            </w:pPr>
            <w:r>
              <w:rPr>
                <w:rFonts w:cs="Arial"/>
                <w:color w:val="000000"/>
              </w:rPr>
              <w:t>100,000</w:t>
            </w:r>
          </w:p>
        </w:tc>
      </w:tr>
      <w:tr w:rsidR="007975BE" w:rsidRPr="0056430C" w14:paraId="7009651E" w14:textId="77777777" w:rsidTr="00B0788C">
        <w:trPr>
          <w:trHeight w:val="300"/>
        </w:trPr>
        <w:tc>
          <w:tcPr>
            <w:tcW w:w="2560" w:type="dxa"/>
            <w:noWrap/>
            <w:hideMark/>
          </w:tcPr>
          <w:p w14:paraId="4D15ABBF" w14:textId="77777777" w:rsidR="007975BE" w:rsidRPr="0056430C" w:rsidRDefault="007975BE" w:rsidP="007975BE">
            <w:pPr>
              <w:rPr>
                <w:rFonts w:cs="Arial"/>
                <w:color w:val="000000"/>
              </w:rPr>
            </w:pPr>
            <w:r w:rsidRPr="0056430C">
              <w:rPr>
                <w:rFonts w:cs="Arial"/>
                <w:color w:val="000000"/>
              </w:rPr>
              <w:t>Primary review</w:t>
            </w:r>
          </w:p>
        </w:tc>
        <w:tc>
          <w:tcPr>
            <w:tcW w:w="1420" w:type="dxa"/>
            <w:noWrap/>
            <w:hideMark/>
          </w:tcPr>
          <w:p w14:paraId="536A9275" w14:textId="77777777" w:rsidR="007975BE" w:rsidRPr="0056430C" w:rsidRDefault="007975BE" w:rsidP="007975BE">
            <w:pPr>
              <w:rPr>
                <w:rFonts w:cs="Arial"/>
                <w:color w:val="000000"/>
              </w:rPr>
            </w:pPr>
            <w:r w:rsidRPr="0056430C">
              <w:rPr>
                <w:rFonts w:cs="Arial"/>
                <w:color w:val="000000"/>
              </w:rPr>
              <w:t>Primary</w:t>
            </w:r>
          </w:p>
        </w:tc>
        <w:tc>
          <w:tcPr>
            <w:tcW w:w="3963" w:type="dxa"/>
            <w:hideMark/>
          </w:tcPr>
          <w:p w14:paraId="3A8164B3" w14:textId="77777777" w:rsidR="007975BE" w:rsidRPr="0056430C" w:rsidRDefault="007975BE" w:rsidP="007975BE">
            <w:pPr>
              <w:rPr>
                <w:rFonts w:cs="Arial"/>
                <w:color w:val="000000"/>
              </w:rPr>
            </w:pPr>
            <w:r w:rsidRPr="0056430C">
              <w:rPr>
                <w:rFonts w:cs="Arial"/>
                <w:color w:val="000000"/>
              </w:rPr>
              <w:t>schools in financial difficulty</w:t>
            </w:r>
          </w:p>
        </w:tc>
        <w:tc>
          <w:tcPr>
            <w:tcW w:w="1134" w:type="dxa"/>
            <w:noWrap/>
            <w:hideMark/>
          </w:tcPr>
          <w:p w14:paraId="11010AD6" w14:textId="77777777" w:rsidR="007975BE" w:rsidRPr="0056430C" w:rsidRDefault="007975BE" w:rsidP="007975BE">
            <w:pPr>
              <w:jc w:val="right"/>
              <w:rPr>
                <w:rFonts w:cs="Arial"/>
                <w:color w:val="000000"/>
              </w:rPr>
            </w:pPr>
            <w:r w:rsidRPr="0056430C">
              <w:rPr>
                <w:rFonts w:cs="Arial"/>
                <w:color w:val="000000"/>
              </w:rPr>
              <w:t>73,100</w:t>
            </w:r>
          </w:p>
        </w:tc>
      </w:tr>
      <w:tr w:rsidR="007975BE" w:rsidRPr="0056430C" w14:paraId="7956F2DF" w14:textId="77777777" w:rsidTr="00B0788C">
        <w:trPr>
          <w:trHeight w:val="300"/>
        </w:trPr>
        <w:tc>
          <w:tcPr>
            <w:tcW w:w="2560" w:type="dxa"/>
            <w:noWrap/>
            <w:hideMark/>
          </w:tcPr>
          <w:p w14:paraId="337924A3" w14:textId="77777777" w:rsidR="007975BE" w:rsidRPr="0056430C" w:rsidRDefault="007975BE" w:rsidP="007975BE">
            <w:pPr>
              <w:rPr>
                <w:rFonts w:cs="Arial"/>
                <w:color w:val="000000"/>
              </w:rPr>
            </w:pPr>
            <w:r w:rsidRPr="0056430C">
              <w:rPr>
                <w:rFonts w:cs="Arial"/>
                <w:color w:val="000000"/>
              </w:rPr>
              <w:t> </w:t>
            </w:r>
          </w:p>
        </w:tc>
        <w:tc>
          <w:tcPr>
            <w:tcW w:w="1420" w:type="dxa"/>
            <w:noWrap/>
            <w:hideMark/>
          </w:tcPr>
          <w:p w14:paraId="497F5B0E" w14:textId="77777777" w:rsidR="007975BE" w:rsidRPr="0056430C" w:rsidRDefault="007975BE" w:rsidP="007975BE">
            <w:pPr>
              <w:rPr>
                <w:rFonts w:cs="Arial"/>
                <w:color w:val="000000"/>
              </w:rPr>
            </w:pPr>
            <w:r w:rsidRPr="0056430C">
              <w:rPr>
                <w:rFonts w:cs="Arial"/>
                <w:color w:val="000000"/>
              </w:rPr>
              <w:t> </w:t>
            </w:r>
          </w:p>
        </w:tc>
        <w:tc>
          <w:tcPr>
            <w:tcW w:w="3963" w:type="dxa"/>
            <w:hideMark/>
          </w:tcPr>
          <w:p w14:paraId="35D4F9C2" w14:textId="77777777" w:rsidR="007975BE" w:rsidRPr="0056430C" w:rsidRDefault="00C3471E" w:rsidP="007975BE">
            <w:pPr>
              <w:rPr>
                <w:rFonts w:cs="Arial"/>
                <w:color w:val="000000"/>
              </w:rPr>
            </w:pPr>
            <w:r>
              <w:rPr>
                <w:rFonts w:cs="Arial"/>
                <w:color w:val="000000"/>
              </w:rPr>
              <w:t>Total Allocation</w:t>
            </w:r>
          </w:p>
        </w:tc>
        <w:tc>
          <w:tcPr>
            <w:tcW w:w="1134" w:type="dxa"/>
            <w:noWrap/>
            <w:hideMark/>
          </w:tcPr>
          <w:p w14:paraId="467E60DE" w14:textId="77777777" w:rsidR="007975BE" w:rsidRPr="0056430C" w:rsidRDefault="008741CD" w:rsidP="007975BE">
            <w:pPr>
              <w:jc w:val="right"/>
              <w:rPr>
                <w:rFonts w:cs="Arial"/>
                <w:b/>
                <w:bCs/>
                <w:color w:val="000000"/>
              </w:rPr>
            </w:pPr>
            <w:r>
              <w:rPr>
                <w:rFonts w:cs="Arial"/>
                <w:b/>
                <w:bCs/>
                <w:color w:val="000000"/>
              </w:rPr>
              <w:t>3</w:t>
            </w:r>
            <w:r w:rsidR="007975BE" w:rsidRPr="0056430C">
              <w:rPr>
                <w:rFonts w:cs="Arial"/>
                <w:b/>
                <w:bCs/>
                <w:color w:val="000000"/>
              </w:rPr>
              <w:t>67,700</w:t>
            </w:r>
          </w:p>
        </w:tc>
      </w:tr>
      <w:tr w:rsidR="00662087" w:rsidRPr="0056430C" w14:paraId="7921286E" w14:textId="77777777" w:rsidTr="00B0788C">
        <w:trPr>
          <w:trHeight w:val="300"/>
        </w:trPr>
        <w:tc>
          <w:tcPr>
            <w:tcW w:w="2560" w:type="dxa"/>
            <w:noWrap/>
          </w:tcPr>
          <w:p w14:paraId="17B04721" w14:textId="77777777" w:rsidR="00662087" w:rsidRPr="0056430C" w:rsidRDefault="00662087" w:rsidP="007975BE">
            <w:pPr>
              <w:rPr>
                <w:rFonts w:cs="Arial"/>
                <w:color w:val="000000"/>
              </w:rPr>
            </w:pPr>
          </w:p>
        </w:tc>
        <w:tc>
          <w:tcPr>
            <w:tcW w:w="1420" w:type="dxa"/>
            <w:noWrap/>
          </w:tcPr>
          <w:p w14:paraId="60A5890A" w14:textId="77777777" w:rsidR="00662087" w:rsidRPr="0056430C" w:rsidRDefault="00662087" w:rsidP="007975BE">
            <w:pPr>
              <w:rPr>
                <w:rFonts w:cs="Arial"/>
                <w:color w:val="000000"/>
              </w:rPr>
            </w:pPr>
          </w:p>
        </w:tc>
        <w:tc>
          <w:tcPr>
            <w:tcW w:w="3963" w:type="dxa"/>
          </w:tcPr>
          <w:p w14:paraId="49872C7C" w14:textId="77777777" w:rsidR="00662087" w:rsidRPr="0056430C" w:rsidRDefault="00C3471E" w:rsidP="007975BE">
            <w:pPr>
              <w:rPr>
                <w:rFonts w:cs="Arial"/>
                <w:color w:val="000000"/>
              </w:rPr>
            </w:pPr>
            <w:r>
              <w:rPr>
                <w:rFonts w:cs="Arial"/>
                <w:color w:val="000000"/>
              </w:rPr>
              <w:t>Funding Available</w:t>
            </w:r>
          </w:p>
        </w:tc>
        <w:tc>
          <w:tcPr>
            <w:tcW w:w="1134" w:type="dxa"/>
            <w:noWrap/>
          </w:tcPr>
          <w:p w14:paraId="61C26171" w14:textId="77777777" w:rsidR="00662087" w:rsidRDefault="00C3471E" w:rsidP="007975BE">
            <w:pPr>
              <w:jc w:val="right"/>
              <w:rPr>
                <w:rFonts w:cs="Arial"/>
                <w:b/>
                <w:bCs/>
                <w:color w:val="000000"/>
              </w:rPr>
            </w:pPr>
            <w:r>
              <w:rPr>
                <w:rFonts w:cs="Arial"/>
                <w:b/>
                <w:bCs/>
                <w:color w:val="000000"/>
              </w:rPr>
              <w:t>892,000</w:t>
            </w:r>
          </w:p>
        </w:tc>
      </w:tr>
      <w:tr w:rsidR="00C3471E" w:rsidRPr="0056430C" w14:paraId="09ACA53C" w14:textId="77777777" w:rsidTr="00B0788C">
        <w:trPr>
          <w:trHeight w:val="300"/>
        </w:trPr>
        <w:tc>
          <w:tcPr>
            <w:tcW w:w="2560" w:type="dxa"/>
            <w:noWrap/>
          </w:tcPr>
          <w:p w14:paraId="0818F1E2" w14:textId="77777777" w:rsidR="00C3471E" w:rsidRPr="0056430C" w:rsidRDefault="00C3471E" w:rsidP="007975BE">
            <w:pPr>
              <w:rPr>
                <w:rFonts w:cs="Arial"/>
                <w:color w:val="000000"/>
              </w:rPr>
            </w:pPr>
          </w:p>
        </w:tc>
        <w:tc>
          <w:tcPr>
            <w:tcW w:w="1420" w:type="dxa"/>
            <w:noWrap/>
          </w:tcPr>
          <w:p w14:paraId="4004308F" w14:textId="77777777" w:rsidR="00C3471E" w:rsidRPr="0056430C" w:rsidRDefault="00C3471E" w:rsidP="007975BE">
            <w:pPr>
              <w:rPr>
                <w:rFonts w:cs="Arial"/>
                <w:color w:val="000000"/>
              </w:rPr>
            </w:pPr>
          </w:p>
        </w:tc>
        <w:tc>
          <w:tcPr>
            <w:tcW w:w="3963" w:type="dxa"/>
          </w:tcPr>
          <w:p w14:paraId="7BC7C665" w14:textId="77777777" w:rsidR="00C3471E" w:rsidRPr="0056430C" w:rsidRDefault="00A6681C" w:rsidP="007975BE">
            <w:pPr>
              <w:rPr>
                <w:rFonts w:cs="Arial"/>
                <w:color w:val="000000"/>
              </w:rPr>
            </w:pPr>
            <w:r>
              <w:rPr>
                <w:rFonts w:cs="Arial"/>
                <w:color w:val="000000"/>
              </w:rPr>
              <w:t>Underspend</w:t>
            </w:r>
          </w:p>
        </w:tc>
        <w:tc>
          <w:tcPr>
            <w:tcW w:w="1134" w:type="dxa"/>
            <w:noWrap/>
          </w:tcPr>
          <w:p w14:paraId="3A1318D6" w14:textId="77777777" w:rsidR="00C3471E" w:rsidRDefault="00C3471E" w:rsidP="007975BE">
            <w:pPr>
              <w:jc w:val="right"/>
              <w:rPr>
                <w:rFonts w:cs="Arial"/>
                <w:b/>
                <w:bCs/>
                <w:color w:val="000000"/>
              </w:rPr>
            </w:pPr>
            <w:r>
              <w:rPr>
                <w:rFonts w:cs="Arial"/>
                <w:b/>
                <w:bCs/>
                <w:color w:val="000000"/>
              </w:rPr>
              <w:t>524,300</w:t>
            </w:r>
          </w:p>
        </w:tc>
      </w:tr>
    </w:tbl>
    <w:p w14:paraId="3F4B99F5" w14:textId="77777777" w:rsidR="008741CD" w:rsidRPr="0056430C" w:rsidRDefault="008741CD" w:rsidP="00F36095">
      <w:pPr>
        <w:rPr>
          <w:rFonts w:cs="Arial"/>
          <w:b/>
        </w:rPr>
      </w:pPr>
    </w:p>
    <w:p w14:paraId="525E1775" w14:textId="77777777" w:rsidR="00E96321" w:rsidRPr="00760CBB" w:rsidRDefault="008741CD" w:rsidP="00760CBB">
      <w:pPr>
        <w:pStyle w:val="ListParagraph"/>
        <w:keepNext/>
        <w:numPr>
          <w:ilvl w:val="1"/>
          <w:numId w:val="18"/>
        </w:numPr>
        <w:ind w:left="567" w:hanging="567"/>
        <w:rPr>
          <w:b/>
          <w:u w:val="single"/>
        </w:rPr>
      </w:pPr>
      <w:r w:rsidRPr="00760CBB">
        <w:rPr>
          <w:b/>
          <w:u w:val="single"/>
        </w:rPr>
        <w:lastRenderedPageBreak/>
        <w:t xml:space="preserve">Schools Contingency </w:t>
      </w:r>
      <w:r w:rsidR="00526FC4" w:rsidRPr="00760CBB">
        <w:rPr>
          <w:b/>
          <w:u w:val="single"/>
        </w:rPr>
        <w:t>2020/21</w:t>
      </w:r>
    </w:p>
    <w:p w14:paraId="7EB6B9F8" w14:textId="77777777" w:rsidR="00E96321" w:rsidRPr="0056430C" w:rsidRDefault="00E96321" w:rsidP="00760CBB">
      <w:pPr>
        <w:keepNext/>
        <w:rPr>
          <w:rFonts w:cs="Arial"/>
          <w:b/>
        </w:rPr>
      </w:pPr>
    </w:p>
    <w:p w14:paraId="43095076" w14:textId="77777777" w:rsidR="00E96321" w:rsidRPr="0056430C" w:rsidRDefault="008741CD" w:rsidP="00760CBB">
      <w:pPr>
        <w:keepNext/>
        <w:rPr>
          <w:rFonts w:cs="Arial"/>
        </w:rPr>
      </w:pPr>
      <w:r>
        <w:rPr>
          <w:rFonts w:cs="Arial"/>
        </w:rPr>
        <w:t>The Contingency for 20/21 is</w:t>
      </w:r>
      <w:r w:rsidR="00E96321" w:rsidRPr="0056430C">
        <w:rPr>
          <w:rFonts w:cs="Arial"/>
        </w:rPr>
        <w:t xml:space="preserve"> £</w:t>
      </w:r>
      <w:r w:rsidR="0080071B">
        <w:rPr>
          <w:rFonts w:cs="Arial"/>
        </w:rPr>
        <w:t>0.</w:t>
      </w:r>
      <w:r w:rsidR="00E96321" w:rsidRPr="0056430C">
        <w:rPr>
          <w:rFonts w:cs="Arial"/>
        </w:rPr>
        <w:t>44</w:t>
      </w:r>
      <w:r w:rsidR="008D702C" w:rsidRPr="0056430C">
        <w:rPr>
          <w:rFonts w:cs="Arial"/>
        </w:rPr>
        <w:t>0</w:t>
      </w:r>
      <w:r w:rsidR="0080071B">
        <w:rPr>
          <w:rFonts w:cs="Arial"/>
        </w:rPr>
        <w:t>m</w:t>
      </w:r>
      <w:r>
        <w:rPr>
          <w:rFonts w:cs="Arial"/>
        </w:rPr>
        <w:t xml:space="preserve"> plus a projected brought forward of £</w:t>
      </w:r>
      <w:r w:rsidR="0080071B">
        <w:rPr>
          <w:rFonts w:cs="Arial"/>
        </w:rPr>
        <w:t>0.</w:t>
      </w:r>
      <w:r>
        <w:rPr>
          <w:rFonts w:cs="Arial"/>
        </w:rPr>
        <w:t>524</w:t>
      </w:r>
      <w:r w:rsidR="0080071B">
        <w:rPr>
          <w:rFonts w:cs="Arial"/>
        </w:rPr>
        <w:t>m</w:t>
      </w:r>
      <w:r>
        <w:rPr>
          <w:rFonts w:cs="Arial"/>
        </w:rPr>
        <w:t xml:space="preserve"> giving a total of £</w:t>
      </w:r>
      <w:r w:rsidR="0080071B">
        <w:rPr>
          <w:rFonts w:cs="Arial"/>
        </w:rPr>
        <w:t>0.</w:t>
      </w:r>
      <w:r>
        <w:rPr>
          <w:rFonts w:cs="Arial"/>
        </w:rPr>
        <w:t>964</w:t>
      </w:r>
      <w:r w:rsidR="0080071B">
        <w:rPr>
          <w:rFonts w:cs="Arial"/>
        </w:rPr>
        <w:t>m</w:t>
      </w:r>
      <w:r>
        <w:rPr>
          <w:rFonts w:cs="Arial"/>
        </w:rPr>
        <w:t>.</w:t>
      </w:r>
      <w:r w:rsidR="00C50B0D">
        <w:rPr>
          <w:rFonts w:cs="Arial"/>
        </w:rPr>
        <w:t xml:space="preserve"> It is recommended that this is retained </w:t>
      </w:r>
      <w:r w:rsidR="00760CBB">
        <w:rPr>
          <w:rFonts w:cs="Arial"/>
        </w:rPr>
        <w:t xml:space="preserve">in full </w:t>
      </w:r>
      <w:r w:rsidR="00C50B0D">
        <w:rPr>
          <w:rFonts w:cs="Arial"/>
        </w:rPr>
        <w:t xml:space="preserve">as the contingency </w:t>
      </w:r>
      <w:r w:rsidR="00760CBB">
        <w:rPr>
          <w:rFonts w:cs="Arial"/>
        </w:rPr>
        <w:t>to ensure sufficient</w:t>
      </w:r>
      <w:r w:rsidR="00C50B0D">
        <w:rPr>
          <w:rFonts w:cs="Arial"/>
        </w:rPr>
        <w:t xml:space="preserve"> provision</w:t>
      </w:r>
      <w:r w:rsidR="00760CBB">
        <w:rPr>
          <w:rFonts w:cs="Arial"/>
        </w:rPr>
        <w:t xml:space="preserve"> for issues arising from falling rolls.</w:t>
      </w:r>
    </w:p>
    <w:p w14:paraId="576091F6" w14:textId="77777777" w:rsidR="008922EE" w:rsidRPr="0056430C" w:rsidRDefault="008922EE" w:rsidP="00F36095">
      <w:pPr>
        <w:rPr>
          <w:rFonts w:cs="Arial"/>
        </w:rPr>
      </w:pPr>
    </w:p>
    <w:p w14:paraId="2ECC7511" w14:textId="77777777" w:rsidR="008922EE" w:rsidRPr="0056430C" w:rsidRDefault="008922EE" w:rsidP="00F36095">
      <w:pPr>
        <w:rPr>
          <w:rFonts w:cs="Arial"/>
        </w:rPr>
      </w:pPr>
    </w:p>
    <w:p w14:paraId="74B3D9D3" w14:textId="77777777" w:rsidR="00E96321" w:rsidRPr="0056430C" w:rsidRDefault="00760CBB" w:rsidP="00F36095">
      <w:pPr>
        <w:rPr>
          <w:rFonts w:cs="Arial"/>
        </w:rPr>
      </w:pPr>
      <w:r>
        <w:rPr>
          <w:rFonts w:cs="Arial"/>
        </w:rPr>
        <w:br w:type="page"/>
      </w:r>
    </w:p>
    <w:p w14:paraId="32B86CE3" w14:textId="77777777" w:rsidR="0056430C" w:rsidRPr="0056430C" w:rsidRDefault="0056430C" w:rsidP="0056430C">
      <w:pPr>
        <w:rPr>
          <w:rFonts w:cs="Arial"/>
          <w:b/>
        </w:rPr>
      </w:pPr>
      <w:r w:rsidRPr="0056430C">
        <w:rPr>
          <w:rFonts w:cs="Arial"/>
          <w:b/>
        </w:rPr>
        <w:lastRenderedPageBreak/>
        <w:t>Appendix 1:</w:t>
      </w:r>
      <w:r w:rsidRPr="0056430C">
        <w:rPr>
          <w:rFonts w:cs="Arial"/>
          <w:b/>
        </w:rPr>
        <w:tab/>
        <w:t>Criteria for Schools Accessing Pupil Growth Contingency</w:t>
      </w:r>
      <w:r w:rsidRPr="0056430C">
        <w:rPr>
          <w:rFonts w:cs="Arial"/>
          <w:b/>
        </w:rPr>
        <w:tab/>
      </w:r>
    </w:p>
    <w:p w14:paraId="68361668" w14:textId="77777777" w:rsidR="0056430C" w:rsidRPr="0056430C" w:rsidRDefault="0056430C" w:rsidP="0056430C">
      <w:pPr>
        <w:rPr>
          <w:rFonts w:cs="Arial"/>
        </w:rPr>
      </w:pPr>
    </w:p>
    <w:p w14:paraId="7E067ABB" w14:textId="77777777" w:rsidR="0056430C" w:rsidRPr="0056430C" w:rsidRDefault="0056430C" w:rsidP="0056430C">
      <w:pPr>
        <w:rPr>
          <w:rFonts w:cs="Arial"/>
        </w:rPr>
      </w:pPr>
      <w:r w:rsidRPr="0056430C">
        <w:rPr>
          <w:rFonts w:cs="Arial"/>
        </w:rPr>
        <w:t>The criteria that will be used and applied to allocate funding to schools under Tower Hamlets Council, Education, Social Care &amp; Wellbeing Growth Policy.</w:t>
      </w:r>
    </w:p>
    <w:p w14:paraId="599F47CD" w14:textId="77777777" w:rsidR="0056430C" w:rsidRPr="0056430C" w:rsidRDefault="0056430C" w:rsidP="0056430C">
      <w:pPr>
        <w:rPr>
          <w:rFonts w:cs="Arial"/>
        </w:rPr>
      </w:pPr>
    </w:p>
    <w:p w14:paraId="4E9264A7" w14:textId="77777777" w:rsidR="0056430C" w:rsidRPr="0056430C" w:rsidRDefault="0056430C" w:rsidP="0056430C">
      <w:pPr>
        <w:rPr>
          <w:rFonts w:cs="Arial"/>
        </w:rPr>
      </w:pPr>
      <w:r w:rsidRPr="0056430C">
        <w:rPr>
          <w:rFonts w:cs="Arial"/>
        </w:rPr>
        <w:t>In particular funding will be allocated on four criteria.</w:t>
      </w:r>
    </w:p>
    <w:p w14:paraId="612C4B0F" w14:textId="77777777" w:rsidR="0056430C" w:rsidRPr="0056430C" w:rsidRDefault="0056430C" w:rsidP="0056430C">
      <w:pPr>
        <w:rPr>
          <w:rFonts w:cs="Arial"/>
        </w:rPr>
      </w:pPr>
    </w:p>
    <w:p w14:paraId="7B4869F8" w14:textId="77777777" w:rsidR="0056430C" w:rsidRPr="0056430C" w:rsidRDefault="0056430C" w:rsidP="0056430C">
      <w:pPr>
        <w:rPr>
          <w:rFonts w:cs="Arial"/>
        </w:rPr>
      </w:pPr>
      <w:r w:rsidRPr="0056430C">
        <w:rPr>
          <w:rFonts w:cs="Arial"/>
        </w:rPr>
        <w:t>a) Where there are planned permanent expansions (i.e. the school’s admission and the building capacity has been permanently increased specifically to meet additional pupil number growth) the contingency fund will meet the cost of any additional pupils on the October or January census date, compared to the previous admission number for that year group. For instance, a school that already started to move from 2 forms of entry (60 places) to 3 forms of entry (90 places), may have actual pupil numbers in Year 2 of 85, in the first year that the expansion affects Year 2. If there were 85 pupils on the October census, the school would get ((85-60) x AWPU x 7/12) or 3/12 for a January start. A minimum 20 pupils per class (or 10 for ½ a form entry) is calculated to ensure both staffing and teaching resources are covered for this provision i.e. a class of 30 pupils that has only 19 pupils at the October or January census date would be entitled to 20 x 7/12ths x AWPU rate. These arrangements apply for only the first year that any new admission places for a year-group are offered.</w:t>
      </w:r>
    </w:p>
    <w:p w14:paraId="24164209" w14:textId="77777777" w:rsidR="0056430C" w:rsidRPr="0056430C" w:rsidRDefault="0056430C" w:rsidP="0056430C">
      <w:pPr>
        <w:rPr>
          <w:rFonts w:cs="Arial"/>
        </w:rPr>
      </w:pPr>
    </w:p>
    <w:p w14:paraId="04F01F53" w14:textId="77777777" w:rsidR="0056430C" w:rsidRPr="0056430C" w:rsidRDefault="0056430C" w:rsidP="0056430C">
      <w:pPr>
        <w:rPr>
          <w:rFonts w:cs="Arial"/>
        </w:rPr>
      </w:pPr>
      <w:r w:rsidRPr="0056430C">
        <w:rPr>
          <w:rFonts w:cs="Arial"/>
        </w:rPr>
        <w:t>b) Where there is only a temporary one-off expansion in a single year group (bulge class), the maintained school or Academy will receive an extra £200 per pupil towards the cost of additional resources over and above the AWPU. These arrangements apply for only the year of opening of the class.</w:t>
      </w:r>
    </w:p>
    <w:p w14:paraId="0AEE74A5" w14:textId="77777777" w:rsidR="0056430C" w:rsidRPr="0056430C" w:rsidRDefault="0056430C" w:rsidP="0056430C">
      <w:pPr>
        <w:rPr>
          <w:rFonts w:cs="Arial"/>
        </w:rPr>
      </w:pPr>
    </w:p>
    <w:p w14:paraId="78FD87F9" w14:textId="77777777" w:rsidR="0056430C" w:rsidRPr="0056430C" w:rsidRDefault="0056430C" w:rsidP="0056430C">
      <w:pPr>
        <w:rPr>
          <w:rFonts w:cs="Arial"/>
        </w:rPr>
      </w:pPr>
      <w:r w:rsidRPr="0056430C">
        <w:rPr>
          <w:rFonts w:cs="Arial"/>
        </w:rPr>
        <w:t>c) Where planned expansion of the maintained school or Academy is by at least 2 forms of entry, the Local Authority will provide additional Leadership and Management funding worth £40,000 per year over the first three financial years in recognition of the increase in management costs associated with significant expansion. (Year 1 of this funding is the school year before opening if that is agreed by the school and LA – i.e. to reflect the planning ahead requirement for the change).</w:t>
      </w:r>
    </w:p>
    <w:p w14:paraId="315657D7" w14:textId="77777777" w:rsidR="0056430C" w:rsidRPr="0056430C" w:rsidRDefault="0056430C" w:rsidP="0056430C">
      <w:pPr>
        <w:rPr>
          <w:rFonts w:cs="Arial"/>
        </w:rPr>
      </w:pPr>
    </w:p>
    <w:p w14:paraId="58749AA9" w14:textId="77777777" w:rsidR="0056430C" w:rsidRPr="0056430C" w:rsidRDefault="0056430C" w:rsidP="0056430C">
      <w:pPr>
        <w:rPr>
          <w:rFonts w:cs="Arial"/>
        </w:rPr>
      </w:pPr>
      <w:r w:rsidRPr="0056430C">
        <w:rPr>
          <w:rFonts w:cs="Arial"/>
        </w:rPr>
        <w:t>d) Permanent expansions are generally implemented over time by admitting the additional pupils at Reception or Year 7 only until the additional capacity fills. Where a school has specific facilities management or ICT contract arrangements which provide services as though an expanding school were full, the contingency fund will provide proportionate support for individual schools on the basis of the year groups which are operating below full capacity. For instance, a four form of entry school offering 5 year groups is expanding to a five form of entry school. Before the expansion, there were 600 places available in total and, after the expansion there will be 750 places in total. In the first year after the expansion, however, there will be (150 x 4 + 30) = 630 places with 120 unfilled places. The contingency fund would pay for 120/750ths of the annual cost of those contracts.</w:t>
      </w:r>
    </w:p>
    <w:p w14:paraId="0C5E3125" w14:textId="77777777" w:rsidR="0056430C" w:rsidRPr="0056430C" w:rsidRDefault="0056430C" w:rsidP="0056430C">
      <w:pPr>
        <w:rPr>
          <w:rFonts w:cs="Arial"/>
          <w:b/>
        </w:rPr>
      </w:pPr>
    </w:p>
    <w:p w14:paraId="14901390" w14:textId="77777777" w:rsidR="0056430C" w:rsidRPr="0056430C" w:rsidRDefault="0056430C" w:rsidP="0056430C">
      <w:pPr>
        <w:rPr>
          <w:rFonts w:cs="Arial"/>
          <w:b/>
        </w:rPr>
      </w:pPr>
    </w:p>
    <w:p w14:paraId="764B3AD9" w14:textId="77777777" w:rsidR="002525A4" w:rsidRPr="0056430C" w:rsidRDefault="002525A4" w:rsidP="00F36095">
      <w:pPr>
        <w:rPr>
          <w:rFonts w:cs="Arial"/>
        </w:rPr>
      </w:pPr>
    </w:p>
    <w:p w14:paraId="3F1D983C" w14:textId="77777777" w:rsidR="002525A4" w:rsidRPr="0056430C" w:rsidRDefault="002525A4" w:rsidP="00F36095">
      <w:pPr>
        <w:rPr>
          <w:rFonts w:cs="Arial"/>
        </w:rPr>
      </w:pPr>
    </w:p>
    <w:p w14:paraId="6D6603F2" w14:textId="77777777" w:rsidR="002525A4" w:rsidRPr="0056430C" w:rsidRDefault="002525A4" w:rsidP="00F36095">
      <w:pPr>
        <w:rPr>
          <w:rFonts w:cs="Arial"/>
        </w:rPr>
      </w:pPr>
    </w:p>
    <w:p w14:paraId="7DB2460F" w14:textId="77777777" w:rsidR="00254308" w:rsidRPr="0056430C" w:rsidRDefault="00254308" w:rsidP="00F36095">
      <w:pPr>
        <w:rPr>
          <w:rFonts w:cs="Arial"/>
          <w:b/>
        </w:rPr>
      </w:pPr>
    </w:p>
    <w:p w14:paraId="3B36A410" w14:textId="77777777" w:rsidR="00D825DD" w:rsidRPr="0056430C" w:rsidRDefault="00D825DD" w:rsidP="004F420C">
      <w:pPr>
        <w:pStyle w:val="ListParagraph"/>
        <w:ind w:left="360"/>
        <w:rPr>
          <w:rFonts w:cs="Arial"/>
        </w:rPr>
      </w:pPr>
    </w:p>
    <w:p w14:paraId="3A40C1F8" w14:textId="77777777" w:rsidR="00760CBB" w:rsidRPr="00760CBB" w:rsidRDefault="00AB1C0E" w:rsidP="00760CBB">
      <w:pPr>
        <w:rPr>
          <w:rFonts w:cs="Arial"/>
          <w:b/>
        </w:rPr>
      </w:pPr>
      <w:r w:rsidRPr="0056430C">
        <w:rPr>
          <w:rFonts w:cs="Arial"/>
          <w:b/>
        </w:rPr>
        <w:t>Appendix</w:t>
      </w:r>
      <w:r w:rsidR="00405FFA" w:rsidRPr="0056430C">
        <w:rPr>
          <w:rFonts w:cs="Arial"/>
          <w:b/>
        </w:rPr>
        <w:t xml:space="preserve"> </w:t>
      </w:r>
      <w:r w:rsidR="008922EE" w:rsidRPr="0056430C">
        <w:rPr>
          <w:rFonts w:cs="Arial"/>
          <w:b/>
        </w:rPr>
        <w:t>2</w:t>
      </w:r>
      <w:r w:rsidRPr="0056430C">
        <w:rPr>
          <w:rFonts w:cs="Arial"/>
          <w:b/>
        </w:rPr>
        <w:t xml:space="preserve">: </w:t>
      </w:r>
      <w:r w:rsidR="00760CBB" w:rsidRPr="00760CBB">
        <w:rPr>
          <w:rFonts w:cs="Arial"/>
          <w:b/>
        </w:rPr>
        <w:t xml:space="preserve">Schools Specific Contingency </w:t>
      </w:r>
    </w:p>
    <w:p w14:paraId="615E1DDC" w14:textId="77777777" w:rsidR="0081111B" w:rsidRPr="0056430C" w:rsidRDefault="0081111B" w:rsidP="0081111B">
      <w:pPr>
        <w:spacing w:after="200" w:line="276" w:lineRule="auto"/>
        <w:rPr>
          <w:rFonts w:eastAsia="Calibri" w:cs="Arial"/>
        </w:rPr>
      </w:pPr>
    </w:p>
    <w:p w14:paraId="72AC67CC" w14:textId="77777777" w:rsidR="0081111B" w:rsidRPr="0056430C" w:rsidRDefault="00760CBB" w:rsidP="0081111B">
      <w:pPr>
        <w:spacing w:after="200" w:line="276" w:lineRule="auto"/>
        <w:rPr>
          <w:rFonts w:eastAsia="Calibri" w:cs="Arial"/>
          <w:b/>
          <w:i/>
        </w:rPr>
      </w:pPr>
      <w:r>
        <w:rPr>
          <w:rFonts w:eastAsia="Calibri" w:cs="Arial"/>
          <w:b/>
          <w:i/>
        </w:rPr>
        <w:t>What is Covered.</w:t>
      </w:r>
      <w:r w:rsidR="0081111B" w:rsidRPr="0056430C">
        <w:rPr>
          <w:rFonts w:eastAsia="Calibri" w:cs="Arial"/>
          <w:b/>
          <w:i/>
        </w:rPr>
        <w:t xml:space="preserve"> </w:t>
      </w:r>
    </w:p>
    <w:p w14:paraId="5B16E602" w14:textId="77777777" w:rsidR="00CB2C69" w:rsidRPr="0056430C" w:rsidRDefault="0081111B" w:rsidP="0081111B">
      <w:pPr>
        <w:spacing w:after="200"/>
        <w:rPr>
          <w:rFonts w:eastAsia="Calibri" w:cs="Arial"/>
        </w:rPr>
      </w:pPr>
      <w:r w:rsidRPr="0056430C">
        <w:rPr>
          <w:rFonts w:eastAsia="Calibri" w:cs="Arial"/>
        </w:rPr>
        <w:t>The contingency fund provides for unforeseen expenses in schools during the year</w:t>
      </w:r>
      <w:r w:rsidR="00A81566" w:rsidRPr="0056430C">
        <w:rPr>
          <w:rFonts w:eastAsia="Calibri" w:cs="Arial"/>
        </w:rPr>
        <w:t xml:space="preserve"> that it would be unreasonable to expect a governing body to meet from their budget share</w:t>
      </w:r>
      <w:r w:rsidR="00F048D3" w:rsidRPr="0056430C">
        <w:rPr>
          <w:rFonts w:eastAsia="Calibri" w:cs="Arial"/>
        </w:rPr>
        <w:t>; taking account of any uncommitted surplus balances the school may have</w:t>
      </w:r>
      <w:r w:rsidR="00A81566" w:rsidRPr="0056430C">
        <w:rPr>
          <w:rFonts w:eastAsia="Calibri" w:cs="Arial"/>
        </w:rPr>
        <w:t>.</w:t>
      </w:r>
    </w:p>
    <w:p w14:paraId="1882BFF5" w14:textId="77777777" w:rsidR="00F048D3" w:rsidRPr="0056430C" w:rsidRDefault="00CB2C69" w:rsidP="0081111B">
      <w:pPr>
        <w:spacing w:after="200"/>
        <w:rPr>
          <w:rFonts w:eastAsia="Calibri" w:cs="Arial"/>
        </w:rPr>
      </w:pPr>
      <w:r w:rsidRPr="0056430C">
        <w:rPr>
          <w:rFonts w:eastAsia="Calibri" w:cs="Arial"/>
        </w:rPr>
        <w:t>The fund also provides support for schools in financial difficulties; this may include support to schools facing financial difficulties as a result of falling rolls. The fund can be used to support additional agreed costs, such as additional staff costs that the school</w:t>
      </w:r>
      <w:r w:rsidR="00F048D3" w:rsidRPr="0056430C">
        <w:rPr>
          <w:rFonts w:eastAsia="Calibri" w:cs="Arial"/>
        </w:rPr>
        <w:t>’</w:t>
      </w:r>
      <w:r w:rsidRPr="0056430C">
        <w:rPr>
          <w:rFonts w:eastAsia="Calibri" w:cs="Arial"/>
        </w:rPr>
        <w:t>s budget share would not be expected to cover</w:t>
      </w:r>
      <w:r w:rsidR="00F048D3" w:rsidRPr="0056430C">
        <w:rPr>
          <w:rFonts w:eastAsia="Calibri" w:cs="Arial"/>
        </w:rPr>
        <w:t xml:space="preserve">. It can also cover </w:t>
      </w:r>
      <w:r w:rsidRPr="0056430C">
        <w:rPr>
          <w:rFonts w:eastAsia="Calibri" w:cs="Arial"/>
        </w:rPr>
        <w:t xml:space="preserve">the cost of financial advisors requested </w:t>
      </w:r>
      <w:r w:rsidR="00F048D3" w:rsidRPr="0056430C">
        <w:rPr>
          <w:rFonts w:eastAsia="Calibri" w:cs="Arial"/>
        </w:rPr>
        <w:t>by the LA to review a school’s</w:t>
      </w:r>
      <w:r w:rsidRPr="0056430C">
        <w:rPr>
          <w:rFonts w:eastAsia="Calibri" w:cs="Arial"/>
        </w:rPr>
        <w:t xml:space="preserve"> deficit recovery action plan</w:t>
      </w:r>
      <w:r w:rsidR="00A81566" w:rsidRPr="0056430C">
        <w:rPr>
          <w:rFonts w:eastAsia="Calibri" w:cs="Arial"/>
        </w:rPr>
        <w:t xml:space="preserve"> or to assist a school in producing such a plan. In certain circumstances </w:t>
      </w:r>
      <w:r w:rsidR="00F048D3" w:rsidRPr="0056430C">
        <w:rPr>
          <w:rFonts w:eastAsia="Calibri" w:cs="Arial"/>
        </w:rPr>
        <w:t xml:space="preserve">the fund may provide additional funding to a school in financial difficulty that can demonstrate </w:t>
      </w:r>
      <w:r w:rsidR="00911C79" w:rsidRPr="0056430C">
        <w:rPr>
          <w:rFonts w:eastAsia="Calibri" w:cs="Arial"/>
        </w:rPr>
        <w:t xml:space="preserve">good </w:t>
      </w:r>
      <w:r w:rsidR="00F048D3" w:rsidRPr="0056430C">
        <w:rPr>
          <w:rFonts w:eastAsia="Calibri" w:cs="Arial"/>
        </w:rPr>
        <w:t>progress in implementing its action plan</w:t>
      </w:r>
      <w:r w:rsidR="00911C79" w:rsidRPr="0056430C">
        <w:rPr>
          <w:rFonts w:eastAsia="Calibri" w:cs="Arial"/>
        </w:rPr>
        <w:t>.</w:t>
      </w:r>
      <w:r w:rsidR="00F048D3" w:rsidRPr="0056430C">
        <w:rPr>
          <w:rFonts w:eastAsia="Calibri" w:cs="Arial"/>
        </w:rPr>
        <w:t xml:space="preserve">    </w:t>
      </w:r>
      <w:r w:rsidRPr="0056430C">
        <w:rPr>
          <w:rFonts w:eastAsia="Calibri" w:cs="Arial"/>
        </w:rPr>
        <w:t xml:space="preserve">  </w:t>
      </w:r>
    </w:p>
    <w:p w14:paraId="6B0ADCB0" w14:textId="77777777" w:rsidR="00ED7730" w:rsidRPr="00760CBB" w:rsidRDefault="00F048D3" w:rsidP="00760CBB">
      <w:pPr>
        <w:spacing w:after="200"/>
        <w:rPr>
          <w:rFonts w:eastAsia="Calibri" w:cs="Arial"/>
        </w:rPr>
      </w:pPr>
      <w:r w:rsidRPr="0056430C">
        <w:rPr>
          <w:rFonts w:eastAsia="Calibri" w:cs="Arial"/>
        </w:rPr>
        <w:t xml:space="preserve">The fund may also support new, amalgamating and closing schools, including the </w:t>
      </w:r>
      <w:r w:rsidRPr="0056430C">
        <w:rPr>
          <w:rFonts w:cs="Arial"/>
        </w:rPr>
        <w:t>writing off of deficits of schools which are discontinued.</w:t>
      </w:r>
      <w:r w:rsidR="0081111B" w:rsidRPr="0056430C">
        <w:rPr>
          <w:rFonts w:eastAsia="Calibri" w:cs="Arial"/>
        </w:rPr>
        <w:t xml:space="preserve">  </w:t>
      </w:r>
    </w:p>
    <w:sectPr w:rsidR="00ED7730" w:rsidRPr="00760CBB" w:rsidSect="004C11CF">
      <w:headerReference w:type="default" r:id="rId11"/>
      <w:footerReference w:type="default" r:id="rId12"/>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97DD3" w14:textId="77777777" w:rsidR="00FE437F" w:rsidRDefault="00FE437F">
      <w:r>
        <w:separator/>
      </w:r>
    </w:p>
  </w:endnote>
  <w:endnote w:type="continuationSeparator" w:id="0">
    <w:p w14:paraId="030961DA" w14:textId="77777777" w:rsidR="00FE437F" w:rsidRDefault="00FE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E0B0" w14:textId="77777777" w:rsidR="00FE437F" w:rsidRDefault="00FE437F">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80071B">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35E63" w14:textId="77777777" w:rsidR="00FE437F" w:rsidRDefault="00FE437F">
      <w:r>
        <w:separator/>
      </w:r>
    </w:p>
  </w:footnote>
  <w:footnote w:type="continuationSeparator" w:id="0">
    <w:p w14:paraId="0E0D7704" w14:textId="77777777" w:rsidR="00FE437F" w:rsidRDefault="00FE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659B" w14:textId="77777777" w:rsidR="00B0788C" w:rsidRDefault="00B0788C">
    <w:pPr>
      <w:pStyle w:val="Header"/>
    </w:pPr>
    <w:r>
      <w:t xml:space="preserve">Schools Forum – March 2020 – </w:t>
    </w:r>
    <w:sdt>
      <w:sdtPr>
        <w:alias w:val="Title"/>
        <w:tag w:val=""/>
        <w:id w:val="2065671278"/>
        <w:placeholder>
          <w:docPart w:val="F0DB3E3B69384EE6997B2E48E30DCD6E"/>
        </w:placeholder>
        <w:dataBinding w:prefixMappings="xmlns:ns0='http://purl.org/dc/elements/1.1/' xmlns:ns1='http://schemas.openxmlformats.org/package/2006/metadata/core-properties' " w:xpath="/ns1:coreProperties[1]/ns0:title[1]" w:storeItemID="{6C3C8BC8-F283-45AE-878A-BAB7291924A1}"/>
        <w:text/>
      </w:sdtPr>
      <w:sdtContent>
        <w:r>
          <w:t>Schools Contingency and Growth Fund 2019/20 and 2020-21 (Update)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5B4"/>
    <w:multiLevelType w:val="hybridMultilevel"/>
    <w:tmpl w:val="F494905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07A210A2"/>
    <w:multiLevelType w:val="hybridMultilevel"/>
    <w:tmpl w:val="78C8F3C4"/>
    <w:lvl w:ilvl="0" w:tplc="4E18699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23562"/>
    <w:multiLevelType w:val="hybridMultilevel"/>
    <w:tmpl w:val="717E58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C645E"/>
    <w:multiLevelType w:val="multilevel"/>
    <w:tmpl w:val="345C0C4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6353A3"/>
    <w:multiLevelType w:val="hybridMultilevel"/>
    <w:tmpl w:val="9A8454A4"/>
    <w:lvl w:ilvl="0" w:tplc="1D6C1A9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527261"/>
    <w:multiLevelType w:val="hybridMultilevel"/>
    <w:tmpl w:val="0FC093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D4446"/>
    <w:multiLevelType w:val="hybridMultilevel"/>
    <w:tmpl w:val="D9FA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4" w15:restartNumberingAfterBreak="0">
    <w:nsid w:val="60BD0E8A"/>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7C3A1551"/>
    <w:multiLevelType w:val="hybridMultilevel"/>
    <w:tmpl w:val="EBE43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D2CFC"/>
    <w:multiLevelType w:val="multilevel"/>
    <w:tmpl w:val="0E1EDB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583AD9"/>
    <w:multiLevelType w:val="multilevel"/>
    <w:tmpl w:val="249263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b w:val="0"/>
      </w:rPr>
    </w:lvl>
    <w:lvl w:ilvl="4">
      <w:start w:val="1"/>
      <w:numFmt w:val="bullet"/>
      <w:lvlText w:val=""/>
      <w:lvlJc w:val="left"/>
      <w:pPr>
        <w:ind w:left="1927"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18"/>
  </w:num>
  <w:num w:numId="4">
    <w:abstractNumId w:val="10"/>
  </w:num>
  <w:num w:numId="5">
    <w:abstractNumId w:val="6"/>
  </w:num>
  <w:num w:numId="6">
    <w:abstractNumId w:val="13"/>
  </w:num>
  <w:num w:numId="7">
    <w:abstractNumId w:val="15"/>
  </w:num>
  <w:num w:numId="8">
    <w:abstractNumId w:val="0"/>
  </w:num>
  <w:num w:numId="9">
    <w:abstractNumId w:val="8"/>
  </w:num>
  <w:num w:numId="10">
    <w:abstractNumId w:val="11"/>
  </w:num>
  <w:num w:numId="11">
    <w:abstractNumId w:val="12"/>
  </w:num>
  <w:num w:numId="12">
    <w:abstractNumId w:val="1"/>
  </w:num>
  <w:num w:numId="13">
    <w:abstractNumId w:val="16"/>
  </w:num>
  <w:num w:numId="14">
    <w:abstractNumId w:val="4"/>
  </w:num>
  <w:num w:numId="15">
    <w:abstractNumId w:val="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5"/>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79CF"/>
    <w:rsid w:val="000106AF"/>
    <w:rsid w:val="00011A38"/>
    <w:rsid w:val="0001228D"/>
    <w:rsid w:val="00014128"/>
    <w:rsid w:val="000149FD"/>
    <w:rsid w:val="00017256"/>
    <w:rsid w:val="00021A24"/>
    <w:rsid w:val="00025F55"/>
    <w:rsid w:val="00026A03"/>
    <w:rsid w:val="00030F6F"/>
    <w:rsid w:val="000339DC"/>
    <w:rsid w:val="00041E9D"/>
    <w:rsid w:val="00046FCB"/>
    <w:rsid w:val="0005284B"/>
    <w:rsid w:val="00053B81"/>
    <w:rsid w:val="00060FED"/>
    <w:rsid w:val="0007256E"/>
    <w:rsid w:val="0007305C"/>
    <w:rsid w:val="00077299"/>
    <w:rsid w:val="00083BBE"/>
    <w:rsid w:val="00087E04"/>
    <w:rsid w:val="0009394A"/>
    <w:rsid w:val="000A2234"/>
    <w:rsid w:val="000A58E0"/>
    <w:rsid w:val="000A7872"/>
    <w:rsid w:val="000A78CA"/>
    <w:rsid w:val="000C1387"/>
    <w:rsid w:val="000C4CAD"/>
    <w:rsid w:val="000D3037"/>
    <w:rsid w:val="000D5510"/>
    <w:rsid w:val="000D6FF5"/>
    <w:rsid w:val="000E153F"/>
    <w:rsid w:val="000E7C2D"/>
    <w:rsid w:val="000F0BCB"/>
    <w:rsid w:val="000F1054"/>
    <w:rsid w:val="000F3CE3"/>
    <w:rsid w:val="000F5D32"/>
    <w:rsid w:val="00102CEB"/>
    <w:rsid w:val="00110AE1"/>
    <w:rsid w:val="00111C66"/>
    <w:rsid w:val="00115B16"/>
    <w:rsid w:val="00125730"/>
    <w:rsid w:val="00126384"/>
    <w:rsid w:val="00127374"/>
    <w:rsid w:val="0012769A"/>
    <w:rsid w:val="00131EEB"/>
    <w:rsid w:val="0013261A"/>
    <w:rsid w:val="00133AC3"/>
    <w:rsid w:val="001445AD"/>
    <w:rsid w:val="00151AD1"/>
    <w:rsid w:val="00152F4B"/>
    <w:rsid w:val="001619A7"/>
    <w:rsid w:val="001637DD"/>
    <w:rsid w:val="001638D3"/>
    <w:rsid w:val="00164E17"/>
    <w:rsid w:val="00171274"/>
    <w:rsid w:val="00177800"/>
    <w:rsid w:val="00183712"/>
    <w:rsid w:val="00184A94"/>
    <w:rsid w:val="0019143A"/>
    <w:rsid w:val="001A2886"/>
    <w:rsid w:val="001A74CC"/>
    <w:rsid w:val="001B1591"/>
    <w:rsid w:val="001B21E0"/>
    <w:rsid w:val="001B259F"/>
    <w:rsid w:val="001C209A"/>
    <w:rsid w:val="001C6F21"/>
    <w:rsid w:val="001D010B"/>
    <w:rsid w:val="001D0197"/>
    <w:rsid w:val="001D32A0"/>
    <w:rsid w:val="001D4975"/>
    <w:rsid w:val="001D6BA4"/>
    <w:rsid w:val="001E3CAE"/>
    <w:rsid w:val="001E4116"/>
    <w:rsid w:val="001E472B"/>
    <w:rsid w:val="001E70F6"/>
    <w:rsid w:val="001E7FCD"/>
    <w:rsid w:val="0020168A"/>
    <w:rsid w:val="00203AC9"/>
    <w:rsid w:val="00205496"/>
    <w:rsid w:val="00221B84"/>
    <w:rsid w:val="002246CA"/>
    <w:rsid w:val="00231641"/>
    <w:rsid w:val="002374A3"/>
    <w:rsid w:val="00246254"/>
    <w:rsid w:val="002467C4"/>
    <w:rsid w:val="002525A4"/>
    <w:rsid w:val="00252D5A"/>
    <w:rsid w:val="00253B34"/>
    <w:rsid w:val="00254308"/>
    <w:rsid w:val="00254343"/>
    <w:rsid w:val="002549BB"/>
    <w:rsid w:val="00256938"/>
    <w:rsid w:val="00257D10"/>
    <w:rsid w:val="0026062F"/>
    <w:rsid w:val="0026098B"/>
    <w:rsid w:val="002640E1"/>
    <w:rsid w:val="00264249"/>
    <w:rsid w:val="00266DE2"/>
    <w:rsid w:val="0028286D"/>
    <w:rsid w:val="00287DBD"/>
    <w:rsid w:val="0029022D"/>
    <w:rsid w:val="00291476"/>
    <w:rsid w:val="0029323C"/>
    <w:rsid w:val="002958F1"/>
    <w:rsid w:val="00297EC7"/>
    <w:rsid w:val="002A69DC"/>
    <w:rsid w:val="002A734B"/>
    <w:rsid w:val="002B5651"/>
    <w:rsid w:val="002C4902"/>
    <w:rsid w:val="002F02B7"/>
    <w:rsid w:val="002F4FB8"/>
    <w:rsid w:val="002F55A8"/>
    <w:rsid w:val="00303C9F"/>
    <w:rsid w:val="003044B1"/>
    <w:rsid w:val="0030490E"/>
    <w:rsid w:val="00304E15"/>
    <w:rsid w:val="00312A79"/>
    <w:rsid w:val="00314210"/>
    <w:rsid w:val="0031646A"/>
    <w:rsid w:val="00322E4D"/>
    <w:rsid w:val="003269C8"/>
    <w:rsid w:val="003322EA"/>
    <w:rsid w:val="00351F12"/>
    <w:rsid w:val="003531BB"/>
    <w:rsid w:val="003564B6"/>
    <w:rsid w:val="00361F94"/>
    <w:rsid w:val="0038332C"/>
    <w:rsid w:val="003867AC"/>
    <w:rsid w:val="003920CB"/>
    <w:rsid w:val="003925D5"/>
    <w:rsid w:val="00397511"/>
    <w:rsid w:val="003B1A7D"/>
    <w:rsid w:val="003B2548"/>
    <w:rsid w:val="003B3B0E"/>
    <w:rsid w:val="003B3B7C"/>
    <w:rsid w:val="003B700C"/>
    <w:rsid w:val="003B7621"/>
    <w:rsid w:val="003C4300"/>
    <w:rsid w:val="003D08B1"/>
    <w:rsid w:val="003D29D2"/>
    <w:rsid w:val="003D435E"/>
    <w:rsid w:val="003D4611"/>
    <w:rsid w:val="003E00BB"/>
    <w:rsid w:val="0040167D"/>
    <w:rsid w:val="0040168F"/>
    <w:rsid w:val="00405B39"/>
    <w:rsid w:val="00405FFA"/>
    <w:rsid w:val="00407F2D"/>
    <w:rsid w:val="00410D37"/>
    <w:rsid w:val="00411EEB"/>
    <w:rsid w:val="00421266"/>
    <w:rsid w:val="004228DE"/>
    <w:rsid w:val="004256EA"/>
    <w:rsid w:val="00434425"/>
    <w:rsid w:val="00434EDA"/>
    <w:rsid w:val="00444C0E"/>
    <w:rsid w:val="00446519"/>
    <w:rsid w:val="004478AE"/>
    <w:rsid w:val="00447E7C"/>
    <w:rsid w:val="004503C6"/>
    <w:rsid w:val="0045059B"/>
    <w:rsid w:val="00451CF7"/>
    <w:rsid w:val="00457528"/>
    <w:rsid w:val="00465312"/>
    <w:rsid w:val="0046718D"/>
    <w:rsid w:val="004705A1"/>
    <w:rsid w:val="004862AC"/>
    <w:rsid w:val="004862E0"/>
    <w:rsid w:val="00486492"/>
    <w:rsid w:val="00497AB6"/>
    <w:rsid w:val="004A0F22"/>
    <w:rsid w:val="004A2E94"/>
    <w:rsid w:val="004B0818"/>
    <w:rsid w:val="004B451C"/>
    <w:rsid w:val="004B5138"/>
    <w:rsid w:val="004B6ED7"/>
    <w:rsid w:val="004C11CF"/>
    <w:rsid w:val="004D4FF7"/>
    <w:rsid w:val="004D7D73"/>
    <w:rsid w:val="004E3684"/>
    <w:rsid w:val="004E5AB5"/>
    <w:rsid w:val="004F420C"/>
    <w:rsid w:val="004F67E3"/>
    <w:rsid w:val="00501776"/>
    <w:rsid w:val="0050651C"/>
    <w:rsid w:val="005065B0"/>
    <w:rsid w:val="00510168"/>
    <w:rsid w:val="00510940"/>
    <w:rsid w:val="00516E4E"/>
    <w:rsid w:val="005210A6"/>
    <w:rsid w:val="005255CA"/>
    <w:rsid w:val="00526FC4"/>
    <w:rsid w:val="00535836"/>
    <w:rsid w:val="0054015A"/>
    <w:rsid w:val="00540291"/>
    <w:rsid w:val="00545A21"/>
    <w:rsid w:val="00550AD9"/>
    <w:rsid w:val="00550EAE"/>
    <w:rsid w:val="00552A9D"/>
    <w:rsid w:val="005559F7"/>
    <w:rsid w:val="0056430C"/>
    <w:rsid w:val="00565F48"/>
    <w:rsid w:val="00572E2A"/>
    <w:rsid w:val="00573A03"/>
    <w:rsid w:val="00580113"/>
    <w:rsid w:val="00581CFC"/>
    <w:rsid w:val="00582A23"/>
    <w:rsid w:val="005840FC"/>
    <w:rsid w:val="00584A63"/>
    <w:rsid w:val="005867D6"/>
    <w:rsid w:val="005934AD"/>
    <w:rsid w:val="005A2910"/>
    <w:rsid w:val="005A29F4"/>
    <w:rsid w:val="005A3C4D"/>
    <w:rsid w:val="005C0D54"/>
    <w:rsid w:val="005D57DA"/>
    <w:rsid w:val="005E12B9"/>
    <w:rsid w:val="005E50AA"/>
    <w:rsid w:val="005E7EBC"/>
    <w:rsid w:val="005F1CE0"/>
    <w:rsid w:val="005F399C"/>
    <w:rsid w:val="006018C1"/>
    <w:rsid w:val="00602897"/>
    <w:rsid w:val="00603459"/>
    <w:rsid w:val="00604DF8"/>
    <w:rsid w:val="00611B3F"/>
    <w:rsid w:val="006134FA"/>
    <w:rsid w:val="00613717"/>
    <w:rsid w:val="0063557E"/>
    <w:rsid w:val="00644379"/>
    <w:rsid w:val="0064655C"/>
    <w:rsid w:val="00646D3B"/>
    <w:rsid w:val="00647EBF"/>
    <w:rsid w:val="0065202F"/>
    <w:rsid w:val="006553DF"/>
    <w:rsid w:val="00662087"/>
    <w:rsid w:val="00664ED4"/>
    <w:rsid w:val="00667D22"/>
    <w:rsid w:val="00670279"/>
    <w:rsid w:val="006706BB"/>
    <w:rsid w:val="00671572"/>
    <w:rsid w:val="00671CCB"/>
    <w:rsid w:val="0067369D"/>
    <w:rsid w:val="00673A87"/>
    <w:rsid w:val="00674AD4"/>
    <w:rsid w:val="00690471"/>
    <w:rsid w:val="00692DF6"/>
    <w:rsid w:val="00695F0A"/>
    <w:rsid w:val="0069748F"/>
    <w:rsid w:val="006974A5"/>
    <w:rsid w:val="006A1261"/>
    <w:rsid w:val="006A5D38"/>
    <w:rsid w:val="006B15C2"/>
    <w:rsid w:val="006B4EE8"/>
    <w:rsid w:val="006C2E9C"/>
    <w:rsid w:val="006C3030"/>
    <w:rsid w:val="006C3E43"/>
    <w:rsid w:val="006C4438"/>
    <w:rsid w:val="006C5DF1"/>
    <w:rsid w:val="006C63CE"/>
    <w:rsid w:val="006C6470"/>
    <w:rsid w:val="006C75C1"/>
    <w:rsid w:val="006C7A55"/>
    <w:rsid w:val="006D64E4"/>
    <w:rsid w:val="006E26B8"/>
    <w:rsid w:val="006F119E"/>
    <w:rsid w:val="006F1734"/>
    <w:rsid w:val="006F2AAB"/>
    <w:rsid w:val="006F2E0C"/>
    <w:rsid w:val="006F2F2E"/>
    <w:rsid w:val="007047E2"/>
    <w:rsid w:val="0070740D"/>
    <w:rsid w:val="0071067E"/>
    <w:rsid w:val="00715428"/>
    <w:rsid w:val="00715552"/>
    <w:rsid w:val="007164B5"/>
    <w:rsid w:val="007303C1"/>
    <w:rsid w:val="00734345"/>
    <w:rsid w:val="00735A2D"/>
    <w:rsid w:val="007420EE"/>
    <w:rsid w:val="007443D5"/>
    <w:rsid w:val="00746E00"/>
    <w:rsid w:val="00752E7F"/>
    <w:rsid w:val="00755561"/>
    <w:rsid w:val="00760CBB"/>
    <w:rsid w:val="00764A57"/>
    <w:rsid w:val="007654C8"/>
    <w:rsid w:val="00775279"/>
    <w:rsid w:val="00777C75"/>
    <w:rsid w:val="0078151E"/>
    <w:rsid w:val="007830A0"/>
    <w:rsid w:val="00793F85"/>
    <w:rsid w:val="007975BE"/>
    <w:rsid w:val="007976AC"/>
    <w:rsid w:val="00797C2F"/>
    <w:rsid w:val="007B267B"/>
    <w:rsid w:val="007C0808"/>
    <w:rsid w:val="007C5374"/>
    <w:rsid w:val="007C6DC0"/>
    <w:rsid w:val="007D15CC"/>
    <w:rsid w:val="007D3E13"/>
    <w:rsid w:val="007D695C"/>
    <w:rsid w:val="007E45CE"/>
    <w:rsid w:val="007E4B79"/>
    <w:rsid w:val="007F442C"/>
    <w:rsid w:val="007F4610"/>
    <w:rsid w:val="007F598E"/>
    <w:rsid w:val="007F68E4"/>
    <w:rsid w:val="0080071B"/>
    <w:rsid w:val="008016EC"/>
    <w:rsid w:val="008059CF"/>
    <w:rsid w:val="0081111B"/>
    <w:rsid w:val="008113A1"/>
    <w:rsid w:val="00811614"/>
    <w:rsid w:val="00816F02"/>
    <w:rsid w:val="0082686D"/>
    <w:rsid w:val="008276F5"/>
    <w:rsid w:val="00827831"/>
    <w:rsid w:val="00827F2F"/>
    <w:rsid w:val="00830781"/>
    <w:rsid w:val="0083113B"/>
    <w:rsid w:val="008311F6"/>
    <w:rsid w:val="00833A23"/>
    <w:rsid w:val="008352A4"/>
    <w:rsid w:val="008415CA"/>
    <w:rsid w:val="00842A36"/>
    <w:rsid w:val="00843CA0"/>
    <w:rsid w:val="00851B78"/>
    <w:rsid w:val="00853979"/>
    <w:rsid w:val="008551AC"/>
    <w:rsid w:val="00862649"/>
    <w:rsid w:val="00863B5E"/>
    <w:rsid w:val="008741CD"/>
    <w:rsid w:val="00875173"/>
    <w:rsid w:val="00876D9E"/>
    <w:rsid w:val="008779FF"/>
    <w:rsid w:val="008800CF"/>
    <w:rsid w:val="00884935"/>
    <w:rsid w:val="00887A6A"/>
    <w:rsid w:val="008918D0"/>
    <w:rsid w:val="008922EE"/>
    <w:rsid w:val="0089533B"/>
    <w:rsid w:val="00897094"/>
    <w:rsid w:val="008B3A21"/>
    <w:rsid w:val="008C0499"/>
    <w:rsid w:val="008C10D0"/>
    <w:rsid w:val="008C1863"/>
    <w:rsid w:val="008C4310"/>
    <w:rsid w:val="008C638C"/>
    <w:rsid w:val="008C709C"/>
    <w:rsid w:val="008D3826"/>
    <w:rsid w:val="008D702C"/>
    <w:rsid w:val="008E4D27"/>
    <w:rsid w:val="008E64F9"/>
    <w:rsid w:val="008E7125"/>
    <w:rsid w:val="008F1F04"/>
    <w:rsid w:val="008F308F"/>
    <w:rsid w:val="008F4045"/>
    <w:rsid w:val="00901921"/>
    <w:rsid w:val="00903441"/>
    <w:rsid w:val="00905BD5"/>
    <w:rsid w:val="00910F12"/>
    <w:rsid w:val="00911C79"/>
    <w:rsid w:val="00931085"/>
    <w:rsid w:val="009324CE"/>
    <w:rsid w:val="009327BC"/>
    <w:rsid w:val="00937126"/>
    <w:rsid w:val="009376B7"/>
    <w:rsid w:val="0094732F"/>
    <w:rsid w:val="0095348E"/>
    <w:rsid w:val="0096294A"/>
    <w:rsid w:val="00967412"/>
    <w:rsid w:val="0097070D"/>
    <w:rsid w:val="00974443"/>
    <w:rsid w:val="00977FE3"/>
    <w:rsid w:val="00982C1A"/>
    <w:rsid w:val="00982D42"/>
    <w:rsid w:val="00983BE3"/>
    <w:rsid w:val="00986A6D"/>
    <w:rsid w:val="009A6B26"/>
    <w:rsid w:val="009B589A"/>
    <w:rsid w:val="009B5F87"/>
    <w:rsid w:val="009C6A63"/>
    <w:rsid w:val="009D02BA"/>
    <w:rsid w:val="009D7EF1"/>
    <w:rsid w:val="009E2CE1"/>
    <w:rsid w:val="009F0DD3"/>
    <w:rsid w:val="00A0147D"/>
    <w:rsid w:val="00A021D0"/>
    <w:rsid w:val="00A0264B"/>
    <w:rsid w:val="00A270FB"/>
    <w:rsid w:val="00A3092C"/>
    <w:rsid w:val="00A35101"/>
    <w:rsid w:val="00A37785"/>
    <w:rsid w:val="00A4191B"/>
    <w:rsid w:val="00A41FDD"/>
    <w:rsid w:val="00A46BC0"/>
    <w:rsid w:val="00A47AD0"/>
    <w:rsid w:val="00A51ABE"/>
    <w:rsid w:val="00A6681C"/>
    <w:rsid w:val="00A7074D"/>
    <w:rsid w:val="00A70D06"/>
    <w:rsid w:val="00A81566"/>
    <w:rsid w:val="00A842BE"/>
    <w:rsid w:val="00A869BA"/>
    <w:rsid w:val="00A90D5D"/>
    <w:rsid w:val="00A90DE9"/>
    <w:rsid w:val="00A9242E"/>
    <w:rsid w:val="00A955D5"/>
    <w:rsid w:val="00AA389A"/>
    <w:rsid w:val="00AA645F"/>
    <w:rsid w:val="00AB1C0E"/>
    <w:rsid w:val="00AB7124"/>
    <w:rsid w:val="00AC481F"/>
    <w:rsid w:val="00AC5C93"/>
    <w:rsid w:val="00AC6895"/>
    <w:rsid w:val="00AD467E"/>
    <w:rsid w:val="00AE2D02"/>
    <w:rsid w:val="00AE50A2"/>
    <w:rsid w:val="00AF3A09"/>
    <w:rsid w:val="00AF4619"/>
    <w:rsid w:val="00AF5D2A"/>
    <w:rsid w:val="00AF72A6"/>
    <w:rsid w:val="00B006AA"/>
    <w:rsid w:val="00B00BFF"/>
    <w:rsid w:val="00B0788C"/>
    <w:rsid w:val="00B1190A"/>
    <w:rsid w:val="00B156F5"/>
    <w:rsid w:val="00B20DA5"/>
    <w:rsid w:val="00B23309"/>
    <w:rsid w:val="00B265D3"/>
    <w:rsid w:val="00B35C52"/>
    <w:rsid w:val="00B42738"/>
    <w:rsid w:val="00B42912"/>
    <w:rsid w:val="00B42A25"/>
    <w:rsid w:val="00B51BA6"/>
    <w:rsid w:val="00B52078"/>
    <w:rsid w:val="00B57BC9"/>
    <w:rsid w:val="00B57F41"/>
    <w:rsid w:val="00B60546"/>
    <w:rsid w:val="00B61622"/>
    <w:rsid w:val="00B62473"/>
    <w:rsid w:val="00B63F5E"/>
    <w:rsid w:val="00B676D3"/>
    <w:rsid w:val="00B7111E"/>
    <w:rsid w:val="00B72BE2"/>
    <w:rsid w:val="00B762DC"/>
    <w:rsid w:val="00B810DC"/>
    <w:rsid w:val="00B83052"/>
    <w:rsid w:val="00B86588"/>
    <w:rsid w:val="00B8684F"/>
    <w:rsid w:val="00B87DE5"/>
    <w:rsid w:val="00B91F4A"/>
    <w:rsid w:val="00B92CDD"/>
    <w:rsid w:val="00BA66AB"/>
    <w:rsid w:val="00BB00C3"/>
    <w:rsid w:val="00BB0A45"/>
    <w:rsid w:val="00BB2F65"/>
    <w:rsid w:val="00BB4758"/>
    <w:rsid w:val="00BC510D"/>
    <w:rsid w:val="00BD0C88"/>
    <w:rsid w:val="00BD1077"/>
    <w:rsid w:val="00BD2F97"/>
    <w:rsid w:val="00BD403B"/>
    <w:rsid w:val="00BE3436"/>
    <w:rsid w:val="00BF12DE"/>
    <w:rsid w:val="00BF440B"/>
    <w:rsid w:val="00BF6E7C"/>
    <w:rsid w:val="00BF75F9"/>
    <w:rsid w:val="00C12ABE"/>
    <w:rsid w:val="00C21CE7"/>
    <w:rsid w:val="00C26020"/>
    <w:rsid w:val="00C33AB2"/>
    <w:rsid w:val="00C3471E"/>
    <w:rsid w:val="00C36824"/>
    <w:rsid w:val="00C4160F"/>
    <w:rsid w:val="00C50B0D"/>
    <w:rsid w:val="00C51271"/>
    <w:rsid w:val="00C56941"/>
    <w:rsid w:val="00C56B53"/>
    <w:rsid w:val="00C617F8"/>
    <w:rsid w:val="00C679E6"/>
    <w:rsid w:val="00C67FDD"/>
    <w:rsid w:val="00C705FD"/>
    <w:rsid w:val="00C72642"/>
    <w:rsid w:val="00C81B0D"/>
    <w:rsid w:val="00C85CF0"/>
    <w:rsid w:val="00C90FFA"/>
    <w:rsid w:val="00CA31DD"/>
    <w:rsid w:val="00CA43D1"/>
    <w:rsid w:val="00CA4964"/>
    <w:rsid w:val="00CB2C69"/>
    <w:rsid w:val="00CB440D"/>
    <w:rsid w:val="00CB458A"/>
    <w:rsid w:val="00CC27A0"/>
    <w:rsid w:val="00CC3237"/>
    <w:rsid w:val="00CC68A1"/>
    <w:rsid w:val="00CC73F0"/>
    <w:rsid w:val="00CD0D8A"/>
    <w:rsid w:val="00CD2C9C"/>
    <w:rsid w:val="00CD6D80"/>
    <w:rsid w:val="00CD764A"/>
    <w:rsid w:val="00CF0217"/>
    <w:rsid w:val="00CF1CF1"/>
    <w:rsid w:val="00CF2A2E"/>
    <w:rsid w:val="00CF341E"/>
    <w:rsid w:val="00CF36A1"/>
    <w:rsid w:val="00D25CD7"/>
    <w:rsid w:val="00D26E78"/>
    <w:rsid w:val="00D2769E"/>
    <w:rsid w:val="00D37CAC"/>
    <w:rsid w:val="00D402A2"/>
    <w:rsid w:val="00D40943"/>
    <w:rsid w:val="00D40B8C"/>
    <w:rsid w:val="00D4115F"/>
    <w:rsid w:val="00D4131C"/>
    <w:rsid w:val="00D46204"/>
    <w:rsid w:val="00D62A1F"/>
    <w:rsid w:val="00D702AB"/>
    <w:rsid w:val="00D728E7"/>
    <w:rsid w:val="00D74697"/>
    <w:rsid w:val="00D76549"/>
    <w:rsid w:val="00D8070E"/>
    <w:rsid w:val="00D825DD"/>
    <w:rsid w:val="00D86424"/>
    <w:rsid w:val="00D957DD"/>
    <w:rsid w:val="00DA22DF"/>
    <w:rsid w:val="00DB3C20"/>
    <w:rsid w:val="00DC5FA6"/>
    <w:rsid w:val="00DD38C1"/>
    <w:rsid w:val="00DD39B8"/>
    <w:rsid w:val="00DD3FC1"/>
    <w:rsid w:val="00DF7CEF"/>
    <w:rsid w:val="00E06BA3"/>
    <w:rsid w:val="00E07BD0"/>
    <w:rsid w:val="00E10D79"/>
    <w:rsid w:val="00E21E4C"/>
    <w:rsid w:val="00E221C2"/>
    <w:rsid w:val="00E301F8"/>
    <w:rsid w:val="00E31C15"/>
    <w:rsid w:val="00E332A9"/>
    <w:rsid w:val="00E33983"/>
    <w:rsid w:val="00E3596A"/>
    <w:rsid w:val="00E36F58"/>
    <w:rsid w:val="00E42AAE"/>
    <w:rsid w:val="00E442D1"/>
    <w:rsid w:val="00E56071"/>
    <w:rsid w:val="00E604FE"/>
    <w:rsid w:val="00E6124D"/>
    <w:rsid w:val="00E6595C"/>
    <w:rsid w:val="00E66842"/>
    <w:rsid w:val="00E67ECA"/>
    <w:rsid w:val="00E729B7"/>
    <w:rsid w:val="00E85A0A"/>
    <w:rsid w:val="00E91139"/>
    <w:rsid w:val="00E93F8D"/>
    <w:rsid w:val="00E96321"/>
    <w:rsid w:val="00E968CD"/>
    <w:rsid w:val="00EB2573"/>
    <w:rsid w:val="00EB7424"/>
    <w:rsid w:val="00EC21D9"/>
    <w:rsid w:val="00EC7D92"/>
    <w:rsid w:val="00ED24ED"/>
    <w:rsid w:val="00ED5788"/>
    <w:rsid w:val="00ED7730"/>
    <w:rsid w:val="00EE5A0F"/>
    <w:rsid w:val="00EF05F1"/>
    <w:rsid w:val="00EF0FE3"/>
    <w:rsid w:val="00EF144A"/>
    <w:rsid w:val="00EF2266"/>
    <w:rsid w:val="00EF318C"/>
    <w:rsid w:val="00EF4132"/>
    <w:rsid w:val="00F01125"/>
    <w:rsid w:val="00F013C6"/>
    <w:rsid w:val="00F048D3"/>
    <w:rsid w:val="00F05E02"/>
    <w:rsid w:val="00F1431A"/>
    <w:rsid w:val="00F15CA0"/>
    <w:rsid w:val="00F2121D"/>
    <w:rsid w:val="00F2140C"/>
    <w:rsid w:val="00F227B6"/>
    <w:rsid w:val="00F22F45"/>
    <w:rsid w:val="00F2331E"/>
    <w:rsid w:val="00F24751"/>
    <w:rsid w:val="00F25E81"/>
    <w:rsid w:val="00F30356"/>
    <w:rsid w:val="00F325BC"/>
    <w:rsid w:val="00F33DE2"/>
    <w:rsid w:val="00F36095"/>
    <w:rsid w:val="00F413F5"/>
    <w:rsid w:val="00F44713"/>
    <w:rsid w:val="00F463E2"/>
    <w:rsid w:val="00F474E9"/>
    <w:rsid w:val="00F503A4"/>
    <w:rsid w:val="00F50B6B"/>
    <w:rsid w:val="00F51BA2"/>
    <w:rsid w:val="00F530A2"/>
    <w:rsid w:val="00F53244"/>
    <w:rsid w:val="00F601D7"/>
    <w:rsid w:val="00F6086C"/>
    <w:rsid w:val="00F61F89"/>
    <w:rsid w:val="00F6765F"/>
    <w:rsid w:val="00F67EAC"/>
    <w:rsid w:val="00F75550"/>
    <w:rsid w:val="00F8304B"/>
    <w:rsid w:val="00F84C48"/>
    <w:rsid w:val="00F95A14"/>
    <w:rsid w:val="00FA7D95"/>
    <w:rsid w:val="00FB1C19"/>
    <w:rsid w:val="00FB7C28"/>
    <w:rsid w:val="00FC1F05"/>
    <w:rsid w:val="00FC333A"/>
    <w:rsid w:val="00FC64D9"/>
    <w:rsid w:val="00FD189B"/>
    <w:rsid w:val="00FD6907"/>
    <w:rsid w:val="00FE0176"/>
    <w:rsid w:val="00FE1AA1"/>
    <w:rsid w:val="00FE1E66"/>
    <w:rsid w:val="00FE2251"/>
    <w:rsid w:val="00FE323D"/>
    <w:rsid w:val="00FE437F"/>
    <w:rsid w:val="00FE7B5E"/>
    <w:rsid w:val="00FF19BC"/>
    <w:rsid w:val="00FF4B99"/>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931A7"/>
  <w15:docId w15:val="{C86B2478-CBA3-4B08-97C8-34BC5D4F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character" w:styleId="FootnoteReference">
    <w:name w:val="footnote reference"/>
    <w:basedOn w:val="DefaultParagraphFont"/>
    <w:rsid w:val="00312A79"/>
    <w:rPr>
      <w:vertAlign w:val="superscript"/>
    </w:rPr>
  </w:style>
  <w:style w:type="table" w:customStyle="1" w:styleId="TableGrid1">
    <w:name w:val="Table Grid1"/>
    <w:basedOn w:val="TableNormal"/>
    <w:next w:val="TableGrid"/>
    <w:uiPriority w:val="59"/>
    <w:rsid w:val="008E64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63B5E"/>
    <w:rPr>
      <w:sz w:val="20"/>
      <w:szCs w:val="20"/>
    </w:rPr>
  </w:style>
  <w:style w:type="character" w:customStyle="1" w:styleId="FootnoteTextChar">
    <w:name w:val="Footnote Text Char"/>
    <w:basedOn w:val="DefaultParagraphFont"/>
    <w:link w:val="FootnoteText"/>
    <w:rsid w:val="00863B5E"/>
    <w:rPr>
      <w:rFonts w:ascii="Arial" w:hAnsi="Arial"/>
    </w:rPr>
  </w:style>
  <w:style w:type="character" w:styleId="PlaceholderText">
    <w:name w:val="Placeholder Text"/>
    <w:basedOn w:val="DefaultParagraphFont"/>
    <w:uiPriority w:val="99"/>
    <w:semiHidden/>
    <w:rsid w:val="00B078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5896">
      <w:bodyDiv w:val="1"/>
      <w:marLeft w:val="0"/>
      <w:marRight w:val="0"/>
      <w:marTop w:val="0"/>
      <w:marBottom w:val="0"/>
      <w:divBdr>
        <w:top w:val="none" w:sz="0" w:space="0" w:color="auto"/>
        <w:left w:val="none" w:sz="0" w:space="0" w:color="auto"/>
        <w:bottom w:val="none" w:sz="0" w:space="0" w:color="auto"/>
        <w:right w:val="none" w:sz="0" w:space="0" w:color="auto"/>
      </w:divBdr>
    </w:div>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12200658">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383405203">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7742087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DB3E3B69384EE6997B2E48E30DCD6E"/>
        <w:category>
          <w:name w:val="General"/>
          <w:gallery w:val="placeholder"/>
        </w:category>
        <w:types>
          <w:type w:val="bbPlcHdr"/>
        </w:types>
        <w:behaviors>
          <w:behavior w:val="content"/>
        </w:behaviors>
        <w:guid w:val="{23508800-54E2-4FA7-A748-B78B90EB91D2}"/>
      </w:docPartPr>
      <w:docPartBody>
        <w:p w:rsidR="00000000" w:rsidRDefault="008B24BE">
          <w:r w:rsidRPr="00F2333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BE"/>
    <w:rsid w:val="008B2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BE"/>
    <w:rPr>
      <w:rFonts w:cs="Times New Roman"/>
      <w:sz w:val="3276"/>
      <w:szCs w:val="3276"/>
    </w:rPr>
  </w:style>
  <w:style w:type="character" w:default="1" w:styleId="DefaultParagraphFont">
    <w:name w:val="Default Paragraph Font"/>
    <w:uiPriority w:val="1"/>
    <w:semiHidden/>
    <w:unhideWhenUsed/>
    <w:rsid w:val="008B24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4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8B4B1-4808-431F-877E-02B73CE91181}">
  <ds:schemaRefs>
    <ds:schemaRef ds:uri="e6623a06-f9bd-45d8-a4b2-dc257bd4f76c"/>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d63a0efd-3f7d-4421-b00f-74ef63be0d9f"/>
    <ds:schemaRef ds:uri="http://purl.org/dc/terms/"/>
  </ds:schemaRefs>
</ds:datastoreItem>
</file>

<file path=customXml/itemProps2.xml><?xml version="1.0" encoding="utf-8"?>
<ds:datastoreItem xmlns:ds="http://schemas.openxmlformats.org/officeDocument/2006/customXml" ds:itemID="{35C8D71B-CF50-4BB3-9850-6D50BF84FB31}">
  <ds:schemaRefs>
    <ds:schemaRef ds:uri="http://schemas.microsoft.com/sharepoint/v3/contenttype/forms"/>
  </ds:schemaRefs>
</ds:datastoreItem>
</file>

<file path=customXml/itemProps3.xml><?xml version="1.0" encoding="utf-8"?>
<ds:datastoreItem xmlns:ds="http://schemas.openxmlformats.org/officeDocument/2006/customXml" ds:itemID="{CAB70995-C432-4F90-97C4-9C4B96DAD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11C83-8D05-494B-A52B-3A67D2DC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1342</Words>
  <Characters>7655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Contingency and Growth Fund 2019/20 and 2020-21 (Update)</dc:title>
  <dc:creator>David Tully</dc:creator>
  <cp:lastModifiedBy>Christopher Philpot</cp:lastModifiedBy>
  <cp:revision>2</cp:revision>
  <cp:lastPrinted>2020-02-25T12:01:00Z</cp:lastPrinted>
  <dcterms:created xsi:type="dcterms:W3CDTF">2021-01-19T21:45:00Z</dcterms:created>
  <dcterms:modified xsi:type="dcterms:W3CDTF">2021-01-19T21:45:00Z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y fmtid="{D5CDD505-2E9C-101B-9397-08002B2CF9AE}" pid="3" name="Order">
    <vt:r8>2016800</vt:r8>
  </property>
</Properties>
</file>