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DF98" w14:textId="77777777" w:rsidR="00673A87" w:rsidRDefault="00673A87"/>
    <w:tbl>
      <w:tblPr>
        <w:tblStyle w:val="TableGrid"/>
        <w:tblpPr w:leftFromText="180" w:rightFromText="180" w:vertAnchor="text" w:horzAnchor="margin" w:tblpX="108" w:tblpY="34"/>
        <w:tblW w:w="0" w:type="auto"/>
        <w:tblLook w:val="01E0" w:firstRow="1" w:lastRow="1" w:firstColumn="1" w:lastColumn="1" w:noHBand="0" w:noVBand="0"/>
      </w:tblPr>
      <w:tblGrid>
        <w:gridCol w:w="9108"/>
      </w:tblGrid>
      <w:tr w:rsidR="004C11CF" w:rsidRPr="002374A3" w14:paraId="4B86DF9A" w14:textId="77777777" w:rsidTr="008E7FC0">
        <w:tc>
          <w:tcPr>
            <w:tcW w:w="9108" w:type="dxa"/>
          </w:tcPr>
          <w:p w14:paraId="4B86DF99" w14:textId="77777777" w:rsidR="004C11CF" w:rsidRPr="002374A3" w:rsidRDefault="0013261A" w:rsidP="00616733">
            <w:pPr>
              <w:pStyle w:val="BodyTextIndent"/>
              <w:rPr>
                <w:b/>
                <w:sz w:val="32"/>
                <w:szCs w:val="32"/>
              </w:rPr>
            </w:pPr>
            <w:r>
              <w:rPr>
                <w:b/>
                <w:sz w:val="32"/>
                <w:szCs w:val="32"/>
              </w:rPr>
              <w:t xml:space="preserve">AGENDA ITEM </w:t>
            </w:r>
            <w:r w:rsidR="00616733">
              <w:rPr>
                <w:b/>
                <w:sz w:val="32"/>
                <w:szCs w:val="32"/>
              </w:rPr>
              <w:t>03</w:t>
            </w:r>
          </w:p>
        </w:tc>
      </w:tr>
    </w:tbl>
    <w:p w14:paraId="4B86DF9B" w14:textId="77777777" w:rsidR="003D08B1" w:rsidRPr="004C11CF" w:rsidRDefault="003D08B1" w:rsidP="004C11CF"/>
    <w:p w14:paraId="4B86DF9C" w14:textId="77777777" w:rsidR="003D08B1" w:rsidRDefault="003D08B1" w:rsidP="003D08B1">
      <w:pPr>
        <w:rPr>
          <w:b/>
        </w:rPr>
      </w:pPr>
    </w:p>
    <w:p w14:paraId="4B86DF9D" w14:textId="77777777" w:rsidR="001E4116" w:rsidRPr="003D08B1"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F91B89">
        <w:rPr>
          <w:b/>
          <w:sz w:val="32"/>
          <w:szCs w:val="32"/>
        </w:rPr>
        <w:t>Schools Block Strategy</w:t>
      </w:r>
      <w:r w:rsidR="00616733">
        <w:rPr>
          <w:b/>
          <w:sz w:val="32"/>
          <w:szCs w:val="32"/>
        </w:rPr>
        <w:t xml:space="preserve"> 2019-20</w:t>
      </w:r>
    </w:p>
    <w:p w14:paraId="4B86DF9E" w14:textId="77777777" w:rsidR="001E4116" w:rsidRDefault="001E4116" w:rsidP="001E4116">
      <w:pPr>
        <w:rPr>
          <w:b/>
          <w:u w:val="single"/>
        </w:rPr>
      </w:pPr>
    </w:p>
    <w:p w14:paraId="4B86DF9F"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 xml:space="preserve">Author of the paper: </w:t>
      </w:r>
      <w:r w:rsidR="00862649">
        <w:rPr>
          <w:b/>
        </w:rPr>
        <w:t xml:space="preserve">  </w:t>
      </w:r>
      <w:r w:rsidR="00616733">
        <w:rPr>
          <w:b/>
        </w:rPr>
        <w:t xml:space="preserve">Steve Worth / Sailesh Patel </w:t>
      </w:r>
    </w:p>
    <w:p w14:paraId="4B86DFA0" w14:textId="77777777" w:rsidR="00616733" w:rsidRPr="007F598E" w:rsidRDefault="00616733" w:rsidP="001E4116">
      <w:pPr>
        <w:pBdr>
          <w:top w:val="single" w:sz="4" w:space="1" w:color="auto"/>
          <w:left w:val="single" w:sz="4" w:space="4" w:color="auto"/>
          <w:bottom w:val="single" w:sz="4" w:space="1" w:color="auto"/>
          <w:right w:val="single" w:sz="4" w:space="4" w:color="auto"/>
        </w:pBdr>
      </w:pPr>
    </w:p>
    <w:p w14:paraId="4B86DFA1" w14:textId="77777777" w:rsidR="001E4116" w:rsidRDefault="001E4116" w:rsidP="001E4116"/>
    <w:p w14:paraId="4B86DFA2"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 xml:space="preserve">Officer to present the paper to </w:t>
      </w:r>
      <w:r w:rsidR="00025F55">
        <w:rPr>
          <w:b/>
        </w:rPr>
        <w:t>Schools Forum</w:t>
      </w:r>
      <w:r>
        <w:rPr>
          <w:b/>
        </w:rPr>
        <w:t xml:space="preserve">: </w:t>
      </w:r>
      <w:r w:rsidR="00616733">
        <w:rPr>
          <w:b/>
        </w:rPr>
        <w:t xml:space="preserve">Steve Worth </w:t>
      </w:r>
    </w:p>
    <w:p w14:paraId="4B86DFA3" w14:textId="77777777" w:rsidR="00616733" w:rsidRPr="007F598E" w:rsidRDefault="00616733" w:rsidP="001E4116">
      <w:pPr>
        <w:pBdr>
          <w:top w:val="single" w:sz="4" w:space="1" w:color="auto"/>
          <w:left w:val="single" w:sz="4" w:space="4" w:color="auto"/>
          <w:bottom w:val="single" w:sz="4" w:space="1" w:color="auto"/>
          <w:right w:val="single" w:sz="4" w:space="4" w:color="auto"/>
        </w:pBdr>
      </w:pPr>
    </w:p>
    <w:p w14:paraId="4B86DFA4" w14:textId="77777777" w:rsidR="001E4116" w:rsidRDefault="001E4116" w:rsidP="001E4116"/>
    <w:p w14:paraId="4B86DFA5" w14:textId="77777777" w:rsidR="001E4116" w:rsidRDefault="001E4116" w:rsidP="001E4116">
      <w:pPr>
        <w:pBdr>
          <w:top w:val="single" w:sz="4" w:space="1" w:color="auto"/>
          <w:left w:val="single" w:sz="4" w:space="4" w:color="auto"/>
          <w:bottom w:val="single" w:sz="4" w:space="1" w:color="auto"/>
          <w:right w:val="single" w:sz="4" w:space="4" w:color="auto"/>
        </w:pBdr>
        <w:rPr>
          <w:b/>
        </w:rPr>
      </w:pPr>
      <w:r>
        <w:rPr>
          <w:b/>
        </w:rPr>
        <w:t>Details on who has been consulted with on this paper to date:</w:t>
      </w:r>
    </w:p>
    <w:p w14:paraId="4B86DFA6" w14:textId="77777777" w:rsidR="00616733" w:rsidRDefault="00616733" w:rsidP="001E4116">
      <w:pPr>
        <w:pBdr>
          <w:top w:val="single" w:sz="4" w:space="1" w:color="auto"/>
          <w:left w:val="single" w:sz="4" w:space="4" w:color="auto"/>
          <w:bottom w:val="single" w:sz="4" w:space="1" w:color="auto"/>
          <w:right w:val="single" w:sz="4" w:space="4" w:color="auto"/>
        </w:pBdr>
        <w:rPr>
          <w:b/>
        </w:rPr>
      </w:pPr>
    </w:p>
    <w:p w14:paraId="4B86DFA7" w14:textId="77777777" w:rsidR="001E4116" w:rsidRDefault="001E4116" w:rsidP="001E4116">
      <w:pPr>
        <w:spacing w:after="120"/>
        <w:rPr>
          <w:b/>
        </w:rPr>
      </w:pPr>
    </w:p>
    <w:tbl>
      <w:tblPr>
        <w:tblStyle w:val="TableGrid"/>
        <w:tblW w:w="0" w:type="auto"/>
        <w:tblLook w:val="04A0" w:firstRow="1" w:lastRow="0" w:firstColumn="1" w:lastColumn="0" w:noHBand="0" w:noVBand="1"/>
      </w:tblPr>
      <w:tblGrid>
        <w:gridCol w:w="9286"/>
      </w:tblGrid>
      <w:tr w:rsidR="00F91B89" w14:paraId="4B86DFB2" w14:textId="77777777" w:rsidTr="00F91B89">
        <w:tc>
          <w:tcPr>
            <w:tcW w:w="9286" w:type="dxa"/>
          </w:tcPr>
          <w:p w14:paraId="4B86DFA8" w14:textId="77777777" w:rsidR="00F91B89" w:rsidRDefault="00F91B89" w:rsidP="001E4116">
            <w:pPr>
              <w:rPr>
                <w:b/>
              </w:rPr>
            </w:pPr>
            <w:r w:rsidRPr="00F91B89">
              <w:rPr>
                <w:b/>
              </w:rPr>
              <w:t>Executive Summary.</w:t>
            </w:r>
          </w:p>
          <w:p w14:paraId="4B86DFA9" w14:textId="77777777" w:rsidR="006D33DC" w:rsidRDefault="006D33DC" w:rsidP="001E4116">
            <w:pPr>
              <w:rPr>
                <w:b/>
              </w:rPr>
            </w:pPr>
          </w:p>
          <w:p w14:paraId="4B86DFAA" w14:textId="77777777" w:rsidR="00F91B89" w:rsidRDefault="00F91B89" w:rsidP="00F91B89">
            <w:r>
              <w:t>The report sets out the proposed use of the Schools Block of the Dedicated Schools Grant for 2019-20 and covers:</w:t>
            </w:r>
          </w:p>
          <w:p w14:paraId="4B86DFAB" w14:textId="77777777" w:rsidR="00F91B89" w:rsidRPr="00F91B89" w:rsidRDefault="00F91B89" w:rsidP="00F91B89">
            <w:pPr>
              <w:pStyle w:val="ListParagraph"/>
              <w:numPr>
                <w:ilvl w:val="0"/>
                <w:numId w:val="44"/>
              </w:numPr>
              <w:rPr>
                <w:b/>
              </w:rPr>
            </w:pPr>
            <w:r>
              <w:t xml:space="preserve">The outcome of the consultation with schools on the proposed schools funding formula for 2019-20. </w:t>
            </w:r>
          </w:p>
          <w:p w14:paraId="4B86DFAC" w14:textId="77777777" w:rsidR="00F91B89" w:rsidRPr="00BA4D2F" w:rsidRDefault="00F91B89" w:rsidP="00F91B89">
            <w:pPr>
              <w:pStyle w:val="ListParagraph"/>
              <w:numPr>
                <w:ilvl w:val="0"/>
                <w:numId w:val="44"/>
              </w:numPr>
              <w:rPr>
                <w:b/>
              </w:rPr>
            </w:pPr>
            <w:r>
              <w:t>The proposed transfer of £0.9m from the Schools Block to the High Needs Block.</w:t>
            </w:r>
          </w:p>
          <w:p w14:paraId="4B86DFAD" w14:textId="77777777" w:rsidR="00BA4D2F" w:rsidRPr="00BA4D2F" w:rsidRDefault="00D3423A" w:rsidP="00F91B89">
            <w:pPr>
              <w:pStyle w:val="ListParagraph"/>
              <w:numPr>
                <w:ilvl w:val="0"/>
                <w:numId w:val="44"/>
              </w:numPr>
              <w:rPr>
                <w:b/>
              </w:rPr>
            </w:pPr>
            <w:r>
              <w:t>Changes to the</w:t>
            </w:r>
            <w:r w:rsidR="00BA4D2F">
              <w:t xml:space="preserve"> Growth Fund for 2019-20.</w:t>
            </w:r>
          </w:p>
          <w:p w14:paraId="4B86DFAE" w14:textId="77777777" w:rsidR="00BA4D2F" w:rsidRPr="00BA4D2F" w:rsidRDefault="00BA4D2F" w:rsidP="00F91B89">
            <w:pPr>
              <w:pStyle w:val="ListParagraph"/>
              <w:numPr>
                <w:ilvl w:val="0"/>
                <w:numId w:val="44"/>
              </w:numPr>
              <w:rPr>
                <w:b/>
              </w:rPr>
            </w:pPr>
            <w:r>
              <w:t xml:space="preserve">The </w:t>
            </w:r>
            <w:r w:rsidR="00D3423A">
              <w:t>proposals for</w:t>
            </w:r>
            <w:r>
              <w:t xml:space="preserve"> de-delegation of:</w:t>
            </w:r>
          </w:p>
          <w:p w14:paraId="4B86DFAF" w14:textId="77777777" w:rsidR="00BA4D2F" w:rsidRPr="0006017B" w:rsidRDefault="0006017B" w:rsidP="00BA4D2F">
            <w:pPr>
              <w:pStyle w:val="ListParagraph"/>
              <w:numPr>
                <w:ilvl w:val="1"/>
                <w:numId w:val="44"/>
              </w:numPr>
            </w:pPr>
            <w:r w:rsidRPr="0006017B">
              <w:t>Delegated funding.</w:t>
            </w:r>
          </w:p>
          <w:p w14:paraId="4B86DFB0" w14:textId="77777777" w:rsidR="006D33DC" w:rsidRPr="006D33DC" w:rsidRDefault="006D33DC" w:rsidP="00BA4D2F">
            <w:pPr>
              <w:pStyle w:val="ListParagraph"/>
              <w:numPr>
                <w:ilvl w:val="1"/>
                <w:numId w:val="44"/>
              </w:numPr>
            </w:pPr>
            <w:r w:rsidRPr="006D33DC">
              <w:t>For</w:t>
            </w:r>
            <w:r>
              <w:t>me</w:t>
            </w:r>
            <w:r w:rsidR="00D77378">
              <w:t>r Education Services Grant</w:t>
            </w:r>
            <w:r>
              <w:t xml:space="preserve"> </w:t>
            </w:r>
            <w:r w:rsidR="00D77378">
              <w:t xml:space="preserve">(ESG) </w:t>
            </w:r>
            <w:r>
              <w:t>general duties elements.</w:t>
            </w:r>
          </w:p>
          <w:p w14:paraId="4B86DFB1" w14:textId="77777777" w:rsidR="00F91B89" w:rsidRDefault="00F91B89" w:rsidP="001E4116"/>
        </w:tc>
      </w:tr>
    </w:tbl>
    <w:p w14:paraId="4B86DFB3" w14:textId="77777777" w:rsidR="006D33DC" w:rsidRDefault="006D33DC" w:rsidP="00FE0176">
      <w:pPr>
        <w:pStyle w:val="Header"/>
        <w:jc w:val="center"/>
        <w:rPr>
          <w:b/>
        </w:rPr>
      </w:pPr>
    </w:p>
    <w:tbl>
      <w:tblPr>
        <w:tblStyle w:val="TableGrid"/>
        <w:tblW w:w="0" w:type="auto"/>
        <w:tblLook w:val="04A0" w:firstRow="1" w:lastRow="0" w:firstColumn="1" w:lastColumn="0" w:noHBand="0" w:noVBand="1"/>
      </w:tblPr>
      <w:tblGrid>
        <w:gridCol w:w="9286"/>
      </w:tblGrid>
      <w:tr w:rsidR="006D33DC" w14:paraId="4B86DFBC" w14:textId="77777777" w:rsidTr="006D33DC">
        <w:tc>
          <w:tcPr>
            <w:tcW w:w="9286" w:type="dxa"/>
          </w:tcPr>
          <w:p w14:paraId="4B86DFB4" w14:textId="77777777" w:rsidR="006D33DC" w:rsidRDefault="006D33DC" w:rsidP="006D33DC">
            <w:pPr>
              <w:pStyle w:val="Header"/>
              <w:rPr>
                <w:b/>
              </w:rPr>
            </w:pPr>
            <w:r>
              <w:rPr>
                <w:b/>
              </w:rPr>
              <w:t>Recommendations.</w:t>
            </w:r>
          </w:p>
          <w:p w14:paraId="4B86DFB5" w14:textId="77777777" w:rsidR="006D33DC" w:rsidRDefault="006D33DC" w:rsidP="006D33DC">
            <w:pPr>
              <w:pStyle w:val="Header"/>
              <w:rPr>
                <w:b/>
              </w:rPr>
            </w:pPr>
          </w:p>
          <w:p w14:paraId="4B86DFB6" w14:textId="77777777" w:rsidR="006D33DC" w:rsidRDefault="006D33DC" w:rsidP="006D33DC">
            <w:pPr>
              <w:pStyle w:val="Header"/>
            </w:pPr>
            <w:r>
              <w:t>Forum is asked to:</w:t>
            </w:r>
          </w:p>
          <w:p w14:paraId="4B86DFB7" w14:textId="77777777" w:rsidR="006D33DC" w:rsidRDefault="00D3423A" w:rsidP="006D33DC">
            <w:pPr>
              <w:pStyle w:val="Header"/>
              <w:numPr>
                <w:ilvl w:val="0"/>
                <w:numId w:val="45"/>
              </w:numPr>
            </w:pPr>
            <w:r>
              <w:t>Note the response to consultation and the intention to proceed with</w:t>
            </w:r>
            <w:r w:rsidR="006D33DC">
              <w:t xml:space="preserve"> Model 3</w:t>
            </w:r>
            <w:r>
              <w:t>, subject to further consultation with Forum in January.</w:t>
            </w:r>
          </w:p>
          <w:p w14:paraId="4B86DFB8" w14:textId="77777777" w:rsidR="006D33DC" w:rsidRDefault="00D3423A" w:rsidP="006D33DC">
            <w:pPr>
              <w:pStyle w:val="Header"/>
              <w:numPr>
                <w:ilvl w:val="0"/>
                <w:numId w:val="45"/>
              </w:numPr>
            </w:pPr>
            <w:r>
              <w:t>Note the proposal</w:t>
            </w:r>
            <w:r w:rsidR="00D61F50">
              <w:t xml:space="preserve"> </w:t>
            </w:r>
            <w:r w:rsidR="006D33DC">
              <w:t>to transfer £0.9m to the High Needs Block for 2019-20 only.</w:t>
            </w:r>
          </w:p>
          <w:p w14:paraId="4B86DFB9" w14:textId="77777777" w:rsidR="0046014D" w:rsidRDefault="00D3423A" w:rsidP="006D33DC">
            <w:pPr>
              <w:pStyle w:val="Header"/>
              <w:numPr>
                <w:ilvl w:val="0"/>
                <w:numId w:val="45"/>
              </w:numPr>
            </w:pPr>
            <w:r>
              <w:t>Note the changes to the</w:t>
            </w:r>
            <w:r w:rsidR="0046014D">
              <w:t xml:space="preserve"> Growth Fund </w:t>
            </w:r>
            <w:r>
              <w:t>methodology for 2019-20.</w:t>
            </w:r>
          </w:p>
          <w:p w14:paraId="4B86DFBA" w14:textId="77777777" w:rsidR="006D33DC" w:rsidRDefault="00D3423A" w:rsidP="006D33DC">
            <w:pPr>
              <w:pStyle w:val="Header"/>
              <w:numPr>
                <w:ilvl w:val="0"/>
                <w:numId w:val="45"/>
              </w:numPr>
            </w:pPr>
            <w:r>
              <w:t xml:space="preserve">Note the de-delegation proposals set out in </w:t>
            </w:r>
            <w:r w:rsidR="00DE733C">
              <w:t>Table 3</w:t>
            </w:r>
            <w:r>
              <w:t xml:space="preserve"> and Section4</w:t>
            </w:r>
            <w:r w:rsidR="00D77378">
              <w:t>.</w:t>
            </w:r>
          </w:p>
          <w:p w14:paraId="4B86DFBB" w14:textId="77777777" w:rsidR="002A18E2" w:rsidRPr="006D33DC" w:rsidRDefault="002A18E2" w:rsidP="00D3423A">
            <w:pPr>
              <w:pStyle w:val="Header"/>
              <w:ind w:left="720"/>
            </w:pPr>
          </w:p>
        </w:tc>
      </w:tr>
    </w:tbl>
    <w:p w14:paraId="4B86DFBD" w14:textId="77777777" w:rsidR="00BB4758" w:rsidRDefault="001E4116" w:rsidP="00FE0176">
      <w:pPr>
        <w:pStyle w:val="Header"/>
        <w:jc w:val="center"/>
        <w:rPr>
          <w:b/>
        </w:rPr>
      </w:pPr>
      <w:r>
        <w:rPr>
          <w:b/>
        </w:rPr>
        <w:br w:type="page"/>
      </w:r>
    </w:p>
    <w:p w14:paraId="4B86DFBE" w14:textId="77777777" w:rsidR="00ED7730" w:rsidRDefault="002A18E2" w:rsidP="002A18E2">
      <w:pPr>
        <w:rPr>
          <w:b/>
        </w:rPr>
      </w:pPr>
      <w:r>
        <w:rPr>
          <w:b/>
        </w:rPr>
        <w:lastRenderedPageBreak/>
        <w:t>Report.</w:t>
      </w:r>
    </w:p>
    <w:p w14:paraId="4B86DFBF" w14:textId="77777777" w:rsidR="002A18E2" w:rsidRDefault="002A18E2" w:rsidP="002A18E2">
      <w:pPr>
        <w:rPr>
          <w:b/>
        </w:rPr>
      </w:pPr>
    </w:p>
    <w:p w14:paraId="4B86DFC0" w14:textId="5490A7DE" w:rsidR="002A18E2" w:rsidRDefault="008C6C9C" w:rsidP="008C6C9C">
      <w:pPr>
        <w:pStyle w:val="ListParagraph"/>
        <w:numPr>
          <w:ilvl w:val="0"/>
          <w:numId w:val="46"/>
        </w:numPr>
        <w:rPr>
          <w:b/>
        </w:rPr>
      </w:pPr>
      <w:r>
        <w:rPr>
          <w:b/>
        </w:rPr>
        <w:t>Tower Hamlets Schools Funding Formula 2019-20</w:t>
      </w:r>
    </w:p>
    <w:p w14:paraId="4B86DFC1" w14:textId="77777777" w:rsidR="008C6C9C" w:rsidRDefault="008C6C9C" w:rsidP="008C6C9C">
      <w:pPr>
        <w:pStyle w:val="ListParagraph"/>
        <w:ind w:left="360"/>
        <w:rPr>
          <w:b/>
        </w:rPr>
      </w:pPr>
    </w:p>
    <w:p w14:paraId="4B86DFC2" w14:textId="77777777" w:rsidR="008C6C9C" w:rsidRPr="000D7F04" w:rsidRDefault="00C44B19" w:rsidP="008C6C9C">
      <w:pPr>
        <w:pStyle w:val="ListParagraph"/>
        <w:numPr>
          <w:ilvl w:val="1"/>
          <w:numId w:val="46"/>
        </w:numPr>
        <w:ind w:left="709" w:hanging="709"/>
        <w:rPr>
          <w:b/>
        </w:rPr>
      </w:pPr>
      <w:r>
        <w:t xml:space="preserve">The report ‘School Funding Formula’ presented to </w:t>
      </w:r>
      <w:r w:rsidR="008C6C9C">
        <w:t xml:space="preserve">Forum at its meeting of </w:t>
      </w:r>
      <w:r>
        <w:t>18</w:t>
      </w:r>
      <w:r w:rsidRPr="00C44B19">
        <w:rPr>
          <w:vertAlign w:val="superscript"/>
        </w:rPr>
        <w:t>th</w:t>
      </w:r>
      <w:r>
        <w:t xml:space="preserve"> October 2018 set out </w:t>
      </w:r>
      <w:r w:rsidR="000D7F04">
        <w:t xml:space="preserve">the background to the National schools Funding Formula (NFF) and </w:t>
      </w:r>
      <w:r>
        <w:t>option</w:t>
      </w:r>
      <w:r w:rsidR="000D7F04">
        <w:t>s</w:t>
      </w:r>
      <w:r>
        <w:t xml:space="preserve"> for the local funding formula for 2019-20. Following that meeting schools were consulted on the options with Option 3</w:t>
      </w:r>
      <w:r w:rsidR="000D7F04">
        <w:t xml:space="preserve"> being the one recommended by the Authority.</w:t>
      </w:r>
      <w:r>
        <w:t xml:space="preserve"> </w:t>
      </w:r>
    </w:p>
    <w:p w14:paraId="4B86DFC3" w14:textId="77777777" w:rsidR="000D7F04" w:rsidRPr="000D7F04" w:rsidRDefault="000D7F04" w:rsidP="000D7F04">
      <w:pPr>
        <w:pStyle w:val="ListParagraph"/>
        <w:ind w:left="709"/>
        <w:rPr>
          <w:b/>
        </w:rPr>
      </w:pPr>
    </w:p>
    <w:p w14:paraId="4B86DFC4" w14:textId="77777777" w:rsidR="000D7F04" w:rsidRDefault="000D7F04" w:rsidP="008C6C9C">
      <w:pPr>
        <w:pStyle w:val="ListParagraph"/>
        <w:numPr>
          <w:ilvl w:val="1"/>
          <w:numId w:val="46"/>
        </w:numPr>
        <w:ind w:left="709" w:hanging="709"/>
      </w:pPr>
      <w:r w:rsidRPr="000D7F04">
        <w:t xml:space="preserve">The </w:t>
      </w:r>
      <w:r>
        <w:t xml:space="preserve">recommended option, Option 3, implemented the factors and values of the NFF. As the funding available </w:t>
      </w:r>
      <w:r w:rsidR="00A954C5">
        <w:t>to Tower Hamlets in 2019-20 will be</w:t>
      </w:r>
      <w:r>
        <w:t xml:space="preserve"> significantly higher than the NFF the balance was allocated to schools through the Minimum Funding Guarantee (MFG)</w:t>
      </w:r>
      <w:r w:rsidR="00A954C5">
        <w:t>, which in the model had a positive value of 0.4</w:t>
      </w:r>
      <w:r w:rsidR="001C1360">
        <w:t>2</w:t>
      </w:r>
      <w:r w:rsidR="00A954C5">
        <w:t>%, allowing all schools to gain compared with 2018-19</w:t>
      </w:r>
      <w:r>
        <w:t>.</w:t>
      </w:r>
      <w:r w:rsidR="00BD02A8">
        <w:t xml:space="preserve"> The position for indi</w:t>
      </w:r>
      <w:r w:rsidR="00933146">
        <w:t>vidual schools is set out in</w:t>
      </w:r>
      <w:r w:rsidR="00BD02A8">
        <w:t xml:space="preserve"> Appendix</w:t>
      </w:r>
      <w:r w:rsidR="00933146">
        <w:t xml:space="preserve"> 2</w:t>
      </w:r>
      <w:r w:rsidR="00BD02A8">
        <w:t>. Please note that the allocations are indicative based on October 2017 pupil numbers and will be revised to take account of the October 2018 census and final Dedicated Schools Grant (DSG) allocations.</w:t>
      </w:r>
      <w:r>
        <w:t xml:space="preserve">  </w:t>
      </w:r>
    </w:p>
    <w:p w14:paraId="4B86DFC5" w14:textId="77777777" w:rsidR="00A954C5" w:rsidRDefault="00A954C5" w:rsidP="00A954C5">
      <w:pPr>
        <w:pStyle w:val="ListParagraph"/>
      </w:pPr>
    </w:p>
    <w:p w14:paraId="4B86DFC6" w14:textId="77777777" w:rsidR="00A954C5" w:rsidRDefault="00A954C5" w:rsidP="008C6C9C">
      <w:pPr>
        <w:pStyle w:val="ListParagraph"/>
        <w:numPr>
          <w:ilvl w:val="1"/>
          <w:numId w:val="46"/>
        </w:numPr>
        <w:ind w:left="709" w:hanging="709"/>
      </w:pPr>
      <w:r>
        <w:t xml:space="preserve">The consultation with schools ran from </w:t>
      </w:r>
      <w:r w:rsidR="001C1360">
        <w:t>19 October to 12 November</w:t>
      </w:r>
      <w:r>
        <w:t>. A total of 10 schools responded all supporting Option 3.</w:t>
      </w:r>
      <w:r w:rsidR="00BD02A8">
        <w:t xml:space="preserve"> No comments other than in support of the option were received.</w:t>
      </w:r>
    </w:p>
    <w:p w14:paraId="4B86DFC7" w14:textId="77777777" w:rsidR="00A954C5" w:rsidRDefault="00A954C5" w:rsidP="00A954C5">
      <w:pPr>
        <w:pStyle w:val="ListParagraph"/>
      </w:pPr>
    </w:p>
    <w:p w14:paraId="4B86DFC8" w14:textId="77777777" w:rsidR="00A954C5" w:rsidRDefault="00D3423A" w:rsidP="008C6C9C">
      <w:pPr>
        <w:pStyle w:val="ListParagraph"/>
        <w:numPr>
          <w:ilvl w:val="1"/>
          <w:numId w:val="46"/>
        </w:numPr>
        <w:ind w:left="709" w:hanging="709"/>
      </w:pPr>
      <w:r>
        <w:t>Based on the outcome of the consultation the Authority plans to proceed with implementing Option 3 subject to further consultation with the Forum in January.</w:t>
      </w:r>
    </w:p>
    <w:p w14:paraId="4B86DFC9" w14:textId="77777777" w:rsidR="00555D14" w:rsidRDefault="00555D14" w:rsidP="00555D14">
      <w:pPr>
        <w:pStyle w:val="ListParagraph"/>
      </w:pPr>
    </w:p>
    <w:p w14:paraId="4B86DFCA" w14:textId="77777777" w:rsidR="00555D14" w:rsidRDefault="00555D14" w:rsidP="00555D14">
      <w:pPr>
        <w:pStyle w:val="ListParagraph"/>
        <w:numPr>
          <w:ilvl w:val="0"/>
          <w:numId w:val="46"/>
        </w:numPr>
        <w:rPr>
          <w:b/>
        </w:rPr>
      </w:pPr>
      <w:r w:rsidRPr="00555D14">
        <w:rPr>
          <w:b/>
        </w:rPr>
        <w:t>Transfers from the Schools Block.</w:t>
      </w:r>
    </w:p>
    <w:p w14:paraId="4B86DFCB" w14:textId="77777777" w:rsidR="00555D14" w:rsidRPr="00555D14" w:rsidRDefault="00555D14" w:rsidP="00555D14">
      <w:pPr>
        <w:pStyle w:val="ListParagraph"/>
        <w:ind w:left="360"/>
      </w:pPr>
    </w:p>
    <w:p w14:paraId="4B86DFCC" w14:textId="77777777" w:rsidR="00555D14" w:rsidRDefault="00555D14" w:rsidP="00555D14">
      <w:pPr>
        <w:pStyle w:val="ListParagraph"/>
        <w:numPr>
          <w:ilvl w:val="1"/>
          <w:numId w:val="46"/>
        </w:numPr>
        <w:ind w:hanging="792"/>
      </w:pPr>
      <w:r>
        <w:t>The report to the last Forum also set</w:t>
      </w:r>
      <w:r w:rsidR="00D02F19">
        <w:t>s</w:t>
      </w:r>
      <w:r>
        <w:t xml:space="preserve"> out the background to a </w:t>
      </w:r>
      <w:r w:rsidR="009B0557">
        <w:t xml:space="preserve">£0.92m </w:t>
      </w:r>
      <w:r>
        <w:t xml:space="preserve">reduction in charges in National Non-Domestic Rates (NNDR) in 2019-20 that will feed through to a reduction in the DSG in 2020-21. Because of the one-off nature of this saving </w:t>
      </w:r>
      <w:r w:rsidR="00570929">
        <w:t>the ‘School Funding Formula’ report proposed that it was transferred to the High Needs Block</w:t>
      </w:r>
      <w:r w:rsidR="004801FF">
        <w:t xml:space="preserve"> (HNB) to help relieve the pressure faced by that block.</w:t>
      </w:r>
    </w:p>
    <w:p w14:paraId="4B86DFCD" w14:textId="77777777" w:rsidR="004801FF" w:rsidRDefault="004801FF" w:rsidP="009B0557"/>
    <w:p w14:paraId="4B86DFCE" w14:textId="77777777" w:rsidR="004801FF" w:rsidRDefault="00D02F19" w:rsidP="009B0557">
      <w:pPr>
        <w:pStyle w:val="ListParagraph"/>
        <w:numPr>
          <w:ilvl w:val="1"/>
          <w:numId w:val="46"/>
        </w:numPr>
        <w:ind w:hanging="792"/>
      </w:pPr>
      <w:r>
        <w:t>A transfer of £0.92m represents 0.35% of the Schools Block; this is within the 0.5% transfer tolerance allowed by t</w:t>
      </w:r>
      <w:r w:rsidR="009B0557">
        <w:t xml:space="preserve">he School and Early Years </w:t>
      </w:r>
      <w:r w:rsidR="00951E60">
        <w:t xml:space="preserve">Finance </w:t>
      </w:r>
      <w:r w:rsidR="009B0557">
        <w:t>Regulations</w:t>
      </w:r>
      <w:r w:rsidR="004801FF" w:rsidRPr="004801FF">
        <w:t>.</w:t>
      </w:r>
    </w:p>
    <w:p w14:paraId="4B86DFCF" w14:textId="77777777" w:rsidR="00D61F50" w:rsidRDefault="00D61F50" w:rsidP="00D61F50">
      <w:pPr>
        <w:pStyle w:val="ListParagraph"/>
      </w:pPr>
    </w:p>
    <w:p w14:paraId="4B86DFD0" w14:textId="77777777" w:rsidR="004801FF" w:rsidRDefault="00D61F50" w:rsidP="00D61F50">
      <w:pPr>
        <w:pStyle w:val="ListParagraph"/>
        <w:numPr>
          <w:ilvl w:val="1"/>
          <w:numId w:val="46"/>
        </w:numPr>
        <w:ind w:hanging="792"/>
      </w:pPr>
      <w:r>
        <w:t>Regulations</w:t>
      </w:r>
      <w:r w:rsidR="001C1360">
        <w:rPr>
          <w:rStyle w:val="FootnoteReference"/>
        </w:rPr>
        <w:footnoteReference w:id="1"/>
      </w:r>
      <w:r>
        <w:t xml:space="preserve"> require that before Forum makes a final decision on this the Authority must consult with schools. </w:t>
      </w:r>
      <w:r w:rsidR="004801FF">
        <w:t xml:space="preserve">Schools Forum is asked to </w:t>
      </w:r>
      <w:r w:rsidR="00D3423A">
        <w:t xml:space="preserve">note this proposal and that </w:t>
      </w:r>
      <w:r>
        <w:t xml:space="preserve">a final decision </w:t>
      </w:r>
      <w:r w:rsidR="00D3423A">
        <w:t xml:space="preserve">will be required </w:t>
      </w:r>
      <w:r>
        <w:t>in January once schools have been consulted.</w:t>
      </w:r>
    </w:p>
    <w:p w14:paraId="4B86DFD1" w14:textId="77777777" w:rsidR="00A67E07" w:rsidRDefault="00A67E07" w:rsidP="00A67E07">
      <w:pPr>
        <w:pStyle w:val="ListParagraph"/>
      </w:pPr>
    </w:p>
    <w:p w14:paraId="4B86DFD2" w14:textId="77777777" w:rsidR="00A67E07" w:rsidRDefault="00A67E07" w:rsidP="00D3423A">
      <w:pPr>
        <w:pStyle w:val="ListParagraph"/>
        <w:keepNext/>
        <w:numPr>
          <w:ilvl w:val="0"/>
          <w:numId w:val="46"/>
        </w:numPr>
        <w:rPr>
          <w:b/>
        </w:rPr>
      </w:pPr>
      <w:r w:rsidRPr="00A67E07">
        <w:rPr>
          <w:b/>
        </w:rPr>
        <w:lastRenderedPageBreak/>
        <w:t>Retained Growth Fund.</w:t>
      </w:r>
    </w:p>
    <w:p w14:paraId="4B86DFD3" w14:textId="77777777" w:rsidR="00A67E07" w:rsidRDefault="00A67E07" w:rsidP="00D3423A">
      <w:pPr>
        <w:pStyle w:val="ListParagraph"/>
        <w:keepNext/>
        <w:ind w:left="360"/>
        <w:rPr>
          <w:b/>
        </w:rPr>
      </w:pPr>
    </w:p>
    <w:p w14:paraId="4B86DFD4" w14:textId="77777777" w:rsidR="00A67E07" w:rsidRPr="00A67E07" w:rsidRDefault="00A67E07" w:rsidP="00D3423A">
      <w:pPr>
        <w:pStyle w:val="ListParagraph"/>
        <w:keepNext/>
        <w:numPr>
          <w:ilvl w:val="1"/>
          <w:numId w:val="46"/>
        </w:numPr>
        <w:ind w:hanging="792"/>
        <w:rPr>
          <w:b/>
        </w:rPr>
      </w:pPr>
      <w:r>
        <w:t>The only centrally retained items allowed within the Schools Block are the contingencies for the Growth Fund and Falling Rolls Fund. The latter is to protect schools rated outstanding or good that face a temporary fall in pupil numbers. Tower Hamlets did not have a Falling Rolls Fund in 2018-19 and is not proposing to create one for 2019-20.</w:t>
      </w:r>
    </w:p>
    <w:p w14:paraId="4B86DFD5" w14:textId="77777777" w:rsidR="00A67E07" w:rsidRPr="00A67E07" w:rsidRDefault="00A67E07" w:rsidP="00A67E07">
      <w:pPr>
        <w:pStyle w:val="ListParagraph"/>
        <w:ind w:left="792"/>
        <w:rPr>
          <w:b/>
        </w:rPr>
      </w:pPr>
    </w:p>
    <w:p w14:paraId="4B86DFD6" w14:textId="77777777" w:rsidR="00044BF9" w:rsidRDefault="009239D1" w:rsidP="00044BF9">
      <w:pPr>
        <w:pStyle w:val="ListParagraph"/>
        <w:numPr>
          <w:ilvl w:val="1"/>
          <w:numId w:val="46"/>
        </w:numPr>
        <w:ind w:hanging="792"/>
      </w:pPr>
      <w:r>
        <w:t xml:space="preserve">The Growth Fund in 2018-19 was </w:t>
      </w:r>
      <w:r w:rsidR="00481721">
        <w:t xml:space="preserve">£2.47m. The criteria for allocation have been agreed by Forum and are set out in </w:t>
      </w:r>
      <w:r w:rsidR="00481721" w:rsidRPr="00AD07DF">
        <w:rPr>
          <w:b/>
        </w:rPr>
        <w:t>Appendix 2</w:t>
      </w:r>
      <w:r w:rsidR="00481721">
        <w:t>.</w:t>
      </w:r>
    </w:p>
    <w:p w14:paraId="4B86DFD7" w14:textId="77777777" w:rsidR="001E0569" w:rsidRDefault="00481721" w:rsidP="00044BF9">
      <w:r>
        <w:t xml:space="preserve"> </w:t>
      </w:r>
    </w:p>
    <w:p w14:paraId="4B86DFD8" w14:textId="77777777" w:rsidR="00AD07DF" w:rsidRDefault="00AD07DF" w:rsidP="00AD07DF">
      <w:pPr>
        <w:pStyle w:val="ListParagraph"/>
        <w:numPr>
          <w:ilvl w:val="1"/>
          <w:numId w:val="46"/>
        </w:numPr>
        <w:ind w:hanging="792"/>
      </w:pPr>
      <w:r>
        <w:t xml:space="preserve">For 2019-20 the DfE will introduce a nationally determined growth fund based on lagged pupil number growth. For each pupil the LA will be allocated £1,370 per primary and £2,050 per secondary pupil. We have not been given an estimate of the fund by the DfE, but modelling suggests that this method will not provide sufficient funding for pupil growth. </w:t>
      </w:r>
    </w:p>
    <w:p w14:paraId="4B86DFD9" w14:textId="77777777" w:rsidR="00ED48E9" w:rsidRDefault="00ED48E9" w:rsidP="00ED48E9">
      <w:pPr>
        <w:pStyle w:val="ListParagraph"/>
        <w:ind w:left="792"/>
      </w:pPr>
    </w:p>
    <w:p w14:paraId="4B86DFDA" w14:textId="77777777" w:rsidR="00AD07DF" w:rsidRDefault="00ED48E9" w:rsidP="00565A0D">
      <w:pPr>
        <w:pStyle w:val="ListParagraph"/>
        <w:numPr>
          <w:ilvl w:val="1"/>
          <w:numId w:val="46"/>
        </w:numPr>
        <w:ind w:hanging="792"/>
      </w:pPr>
      <w:r w:rsidRPr="00ED48E9">
        <w:t>The allocation within the NFF will be announced in mid-December and the implications of this will be assessed and a recommendation of the sum to be retained will be brought to Forum in January</w:t>
      </w:r>
    </w:p>
    <w:p w14:paraId="4B86DFDB" w14:textId="77777777" w:rsidR="00044BF9" w:rsidRDefault="00044BF9" w:rsidP="00044BF9">
      <w:pPr>
        <w:pStyle w:val="ListParagraph"/>
        <w:ind w:left="792"/>
      </w:pPr>
    </w:p>
    <w:p w14:paraId="4B86DFDC" w14:textId="77777777" w:rsidR="00481721" w:rsidRDefault="001E0569" w:rsidP="001E0569">
      <w:pPr>
        <w:pStyle w:val="ListParagraph"/>
        <w:numPr>
          <w:ilvl w:val="0"/>
          <w:numId w:val="46"/>
        </w:numPr>
        <w:rPr>
          <w:b/>
        </w:rPr>
      </w:pPr>
      <w:r w:rsidRPr="001E0569">
        <w:rPr>
          <w:b/>
        </w:rPr>
        <w:t>De-Delegation</w:t>
      </w:r>
      <w:r w:rsidR="00995FE0">
        <w:rPr>
          <w:b/>
        </w:rPr>
        <w:t xml:space="preserve"> of Delegated Funding</w:t>
      </w:r>
      <w:r w:rsidRPr="001E0569">
        <w:rPr>
          <w:b/>
        </w:rPr>
        <w:t>.</w:t>
      </w:r>
      <w:r w:rsidR="00481721" w:rsidRPr="001E0569">
        <w:rPr>
          <w:b/>
        </w:rPr>
        <w:t xml:space="preserve"> </w:t>
      </w:r>
    </w:p>
    <w:p w14:paraId="4B86DFDD" w14:textId="77777777" w:rsidR="001E0569" w:rsidRDefault="001E0569" w:rsidP="001E0569">
      <w:pPr>
        <w:pStyle w:val="ListParagraph"/>
        <w:ind w:left="360"/>
        <w:rPr>
          <w:b/>
        </w:rPr>
      </w:pPr>
    </w:p>
    <w:p w14:paraId="4B86DFDE" w14:textId="77777777" w:rsidR="00995FE0" w:rsidRDefault="001C1360" w:rsidP="000A7A7A">
      <w:pPr>
        <w:pStyle w:val="ListParagraph"/>
        <w:numPr>
          <w:ilvl w:val="1"/>
          <w:numId w:val="46"/>
        </w:numPr>
        <w:ind w:hanging="792"/>
      </w:pPr>
      <w:r>
        <w:t>Regulations require the delegation to schools and academies of specified DSG funded services formerly retained</w:t>
      </w:r>
      <w:r w:rsidR="00995FE0">
        <w:t xml:space="preserve"> by Local Authorities (LAs). A LA wishing to continue to provide </w:t>
      </w:r>
      <w:r>
        <w:t xml:space="preserve">one of these </w:t>
      </w:r>
      <w:r w:rsidR="00995FE0">
        <w:t xml:space="preserve">services centrally </w:t>
      </w:r>
      <w:r>
        <w:t>can</w:t>
      </w:r>
      <w:r w:rsidR="00995FE0">
        <w:t xml:space="preserve"> request Forum to de-delegate the funding for that service. De-delegation is restricted to maintained primary and secondary schools and representatives of each phase vote separately on the issue</w:t>
      </w:r>
      <w:r w:rsidR="00B324D8">
        <w:t xml:space="preserve"> each year</w:t>
      </w:r>
      <w:r w:rsidR="00995FE0">
        <w:t>.</w:t>
      </w:r>
    </w:p>
    <w:p w14:paraId="4B86DFDF" w14:textId="77777777" w:rsidR="00BF0554" w:rsidRDefault="00BF0554" w:rsidP="00BF0554">
      <w:pPr>
        <w:pStyle w:val="ListParagraph"/>
        <w:ind w:left="792"/>
      </w:pPr>
    </w:p>
    <w:p w14:paraId="4B86DFE0" w14:textId="77777777" w:rsidR="00BF0554" w:rsidRDefault="00BF0554" w:rsidP="000A7A7A">
      <w:pPr>
        <w:pStyle w:val="ListParagraph"/>
        <w:numPr>
          <w:ilvl w:val="1"/>
          <w:numId w:val="46"/>
        </w:numPr>
        <w:ind w:hanging="792"/>
      </w:pPr>
      <w:r>
        <w:t>The services Tower Hamlets wishes to retain are:</w:t>
      </w:r>
    </w:p>
    <w:p w14:paraId="4B86DFE1" w14:textId="77777777" w:rsidR="00BF0554" w:rsidRDefault="00BF0554" w:rsidP="00BF0554">
      <w:pPr>
        <w:pStyle w:val="ListParagraph"/>
      </w:pPr>
    </w:p>
    <w:p w14:paraId="4B86DFE2" w14:textId="77777777" w:rsidR="00EF78DD" w:rsidRDefault="00BF0554" w:rsidP="00EF78DD">
      <w:pPr>
        <w:pStyle w:val="ListParagraph"/>
        <w:numPr>
          <w:ilvl w:val="2"/>
          <w:numId w:val="46"/>
        </w:numPr>
        <w:ind w:left="1418" w:hanging="698"/>
      </w:pPr>
      <w:r w:rsidRPr="00BF0554">
        <w:t>Contingency for Schools in financial</w:t>
      </w:r>
      <w:r>
        <w:t xml:space="preserve"> difficulty</w:t>
      </w:r>
      <w:r w:rsidR="00AF4000">
        <w:t>. This covers</w:t>
      </w:r>
      <w:r>
        <w:t xml:space="preserve"> changes in formula allocation, or </w:t>
      </w:r>
      <w:r w:rsidR="00EF78DD">
        <w:t xml:space="preserve">changes in </w:t>
      </w:r>
      <w:r>
        <w:t>other costs covering</w:t>
      </w:r>
      <w:r w:rsidRPr="00BF0554">
        <w:t>, rents</w:t>
      </w:r>
      <w:r w:rsidR="00EF78DD">
        <w:t>, NNDR and legal.</w:t>
      </w:r>
    </w:p>
    <w:p w14:paraId="4B86DFE3" w14:textId="77777777" w:rsidR="00EF78DD" w:rsidRDefault="00BF0554" w:rsidP="00AF4000">
      <w:pPr>
        <w:pStyle w:val="ListParagraph"/>
        <w:numPr>
          <w:ilvl w:val="2"/>
          <w:numId w:val="46"/>
        </w:numPr>
        <w:ind w:left="1418" w:hanging="698"/>
      </w:pPr>
      <w:r w:rsidRPr="00BF0554">
        <w:t>FSM Eligibility</w:t>
      </w:r>
      <w:r w:rsidR="00AF4000">
        <w:t>. This is</w:t>
      </w:r>
      <w:r w:rsidRPr="00BF0554">
        <w:t xml:space="preserve"> </w:t>
      </w:r>
      <w:r w:rsidR="00EF78DD">
        <w:t xml:space="preserve">a </w:t>
      </w:r>
      <w:r w:rsidR="00AF4000">
        <w:t>checking service provided by</w:t>
      </w:r>
      <w:r w:rsidRPr="00BF0554">
        <w:t xml:space="preserve"> the welfare and benefit teams</w:t>
      </w:r>
      <w:r w:rsidR="00EF78DD">
        <w:t>.</w:t>
      </w:r>
    </w:p>
    <w:p w14:paraId="4B86DFE4" w14:textId="77777777" w:rsidR="00EF78DD" w:rsidRDefault="00BF0554" w:rsidP="00EF78DD">
      <w:pPr>
        <w:pStyle w:val="ListParagraph"/>
        <w:numPr>
          <w:ilvl w:val="2"/>
          <w:numId w:val="46"/>
        </w:numPr>
        <w:ind w:left="1418" w:hanging="698"/>
      </w:pPr>
      <w:r w:rsidRPr="00BF0554">
        <w:t xml:space="preserve">Licences that are </w:t>
      </w:r>
      <w:r w:rsidR="00EF78DD">
        <w:t>not covered by the national</w:t>
      </w:r>
      <w:r w:rsidRPr="00BF0554">
        <w:t xml:space="preserve"> ESFA Scheme</w:t>
      </w:r>
      <w:r w:rsidR="00EF78DD">
        <w:t xml:space="preserve">, such </w:t>
      </w:r>
      <w:r w:rsidR="002D76A6">
        <w:t>as British</w:t>
      </w:r>
      <w:r w:rsidR="00EF78DD">
        <w:t xml:space="preserve"> Pathé.</w:t>
      </w:r>
    </w:p>
    <w:p w14:paraId="4B86DFE5" w14:textId="661219EB" w:rsidR="00EF78DD" w:rsidRDefault="00BF0554" w:rsidP="00EF78DD">
      <w:pPr>
        <w:pStyle w:val="ListParagraph"/>
        <w:numPr>
          <w:ilvl w:val="2"/>
          <w:numId w:val="46"/>
        </w:numPr>
        <w:ind w:left="1418" w:hanging="698"/>
      </w:pPr>
      <w:r w:rsidRPr="00BF0554">
        <w:t xml:space="preserve">Trade </w:t>
      </w:r>
      <w:r w:rsidR="00EF78DD">
        <w:t>U</w:t>
      </w:r>
      <w:r w:rsidRPr="00BF0554">
        <w:t xml:space="preserve">nion </w:t>
      </w:r>
      <w:r w:rsidR="00EF78DD">
        <w:t>Facilities</w:t>
      </w:r>
      <w:r w:rsidR="00AF4000">
        <w:t xml:space="preserve">. </w:t>
      </w:r>
      <w:r w:rsidR="00F45A18">
        <w:t xml:space="preserve">This </w:t>
      </w:r>
      <w:r w:rsidR="00F45A18" w:rsidRPr="00BF0554">
        <w:t>fund</w:t>
      </w:r>
      <w:bookmarkStart w:id="0" w:name="_GoBack"/>
      <w:bookmarkEnd w:id="0"/>
      <w:r w:rsidRPr="00BF0554">
        <w:t xml:space="preserve"> the salaries of officials of the various unions representing s</w:t>
      </w:r>
      <w:r w:rsidR="00EF78DD">
        <w:t>taff in maintained schools</w:t>
      </w:r>
      <w:r w:rsidR="001C0093">
        <w:t>, see Appendix</w:t>
      </w:r>
      <w:r w:rsidR="00405862">
        <w:t xml:space="preserve"> 3</w:t>
      </w:r>
      <w:r w:rsidR="00EF78DD">
        <w:t>.</w:t>
      </w:r>
    </w:p>
    <w:p w14:paraId="4B86DFE6" w14:textId="77777777" w:rsidR="00BF0554" w:rsidRDefault="00BF0554" w:rsidP="00EF78DD">
      <w:pPr>
        <w:pStyle w:val="ListParagraph"/>
        <w:numPr>
          <w:ilvl w:val="2"/>
          <w:numId w:val="46"/>
        </w:numPr>
        <w:ind w:left="1418" w:hanging="698"/>
      </w:pPr>
      <w:r w:rsidRPr="00BF0554">
        <w:t>Behaviour Sup</w:t>
      </w:r>
      <w:r w:rsidR="00EF78DD">
        <w:t>port and Anti-Bullying</w:t>
      </w:r>
      <w:r w:rsidR="00AF4000">
        <w:t>. This</w:t>
      </w:r>
      <w:r w:rsidR="00EF78DD">
        <w:t xml:space="preserve"> </w:t>
      </w:r>
      <w:r w:rsidRPr="00BF0554">
        <w:t xml:space="preserve">funds the high incidence support team’s work with maintained schools. </w:t>
      </w:r>
    </w:p>
    <w:p w14:paraId="4B86DFE7" w14:textId="77777777" w:rsidR="002D7D56" w:rsidRPr="002D7D56" w:rsidRDefault="002D7D56" w:rsidP="00A60D80"/>
    <w:p w14:paraId="4B86DFE8" w14:textId="77777777" w:rsidR="002D7D56" w:rsidRDefault="00290DA3" w:rsidP="00472F71">
      <w:pPr>
        <w:pStyle w:val="ListParagraph"/>
        <w:numPr>
          <w:ilvl w:val="1"/>
          <w:numId w:val="46"/>
        </w:numPr>
        <w:ind w:hanging="792"/>
      </w:pPr>
      <w:r>
        <w:t>The amounts de-</w:t>
      </w:r>
      <w:r w:rsidR="002D7D56" w:rsidRPr="002D7D56">
        <w:t>delegated in 2018</w:t>
      </w:r>
      <w:r w:rsidR="00E8363A">
        <w:t>/19 are set out</w:t>
      </w:r>
      <w:r w:rsidR="002D7D56" w:rsidRPr="002D7D56">
        <w:t xml:space="preserve"> in </w:t>
      </w:r>
      <w:r w:rsidR="000A7A7A">
        <w:t xml:space="preserve">Table 3. It is proposed that the same amounts </w:t>
      </w:r>
      <w:r w:rsidR="00554009">
        <w:t xml:space="preserve">per pupil </w:t>
      </w:r>
      <w:r w:rsidR="000A7A7A">
        <w:t xml:space="preserve">are retained for 2019-20. </w:t>
      </w:r>
      <w:r w:rsidR="002D7D56" w:rsidRPr="002D7D56">
        <w:t xml:space="preserve">De- delegation is not an option for Nursery Schools, Special Schools, PRUs or Academies. </w:t>
      </w:r>
    </w:p>
    <w:p w14:paraId="4B86DFE9" w14:textId="77777777" w:rsidR="002D7D56" w:rsidRPr="002D7D56" w:rsidRDefault="002D7D56" w:rsidP="000A7A7A">
      <w:pPr>
        <w:spacing w:after="160" w:line="259" w:lineRule="auto"/>
        <w:contextualSpacing/>
      </w:pPr>
    </w:p>
    <w:p w14:paraId="4B86DFEA" w14:textId="77777777" w:rsidR="002D7D56" w:rsidRDefault="00554009" w:rsidP="00E8363A">
      <w:pPr>
        <w:keepNext/>
        <w:spacing w:after="160" w:line="259" w:lineRule="auto"/>
        <w:ind w:left="720"/>
        <w:contextualSpacing/>
        <w:rPr>
          <w:b/>
        </w:rPr>
      </w:pPr>
      <w:r>
        <w:rPr>
          <w:b/>
        </w:rPr>
        <w:lastRenderedPageBreak/>
        <w:t>Table 3: Proposed De-Delegation of Delegated Funding.</w:t>
      </w:r>
    </w:p>
    <w:p w14:paraId="4B86DFEB" w14:textId="77777777" w:rsidR="00554009" w:rsidRDefault="00554009" w:rsidP="00E8363A">
      <w:pPr>
        <w:keepNext/>
        <w:spacing w:after="160" w:line="259" w:lineRule="auto"/>
        <w:ind w:left="720"/>
        <w:contextualSpacing/>
        <w:rPr>
          <w:b/>
        </w:rPr>
      </w:pPr>
    </w:p>
    <w:tbl>
      <w:tblPr>
        <w:tblStyle w:val="TableGrid"/>
        <w:tblW w:w="0" w:type="auto"/>
        <w:tblInd w:w="720" w:type="dxa"/>
        <w:tblLayout w:type="fixed"/>
        <w:tblLook w:val="04A0" w:firstRow="1" w:lastRow="0" w:firstColumn="1" w:lastColumn="0" w:noHBand="0" w:noVBand="1"/>
      </w:tblPr>
      <w:tblGrid>
        <w:gridCol w:w="3357"/>
        <w:gridCol w:w="1041"/>
        <w:gridCol w:w="1042"/>
        <w:gridCol w:w="1042"/>
        <w:gridCol w:w="1042"/>
        <w:gridCol w:w="1042"/>
      </w:tblGrid>
      <w:tr w:rsidR="00BF0554" w14:paraId="4B86DFF2" w14:textId="77777777" w:rsidTr="00BF0554">
        <w:tc>
          <w:tcPr>
            <w:tcW w:w="3357" w:type="dxa"/>
          </w:tcPr>
          <w:p w14:paraId="4B86DFEC" w14:textId="77777777" w:rsidR="00A91654" w:rsidRPr="00554009" w:rsidRDefault="00A91654" w:rsidP="00E8363A">
            <w:pPr>
              <w:keepNext/>
              <w:spacing w:after="160" w:line="259" w:lineRule="auto"/>
              <w:contextualSpacing/>
              <w:rPr>
                <w:b/>
                <w:sz w:val="22"/>
                <w:szCs w:val="22"/>
              </w:rPr>
            </w:pPr>
            <w:r w:rsidRPr="00554009">
              <w:rPr>
                <w:b/>
                <w:sz w:val="22"/>
                <w:szCs w:val="22"/>
              </w:rPr>
              <w:t>Component</w:t>
            </w:r>
          </w:p>
        </w:tc>
        <w:tc>
          <w:tcPr>
            <w:tcW w:w="1041" w:type="dxa"/>
          </w:tcPr>
          <w:p w14:paraId="4B86DFED" w14:textId="77777777" w:rsidR="00A91654" w:rsidRPr="00554009" w:rsidRDefault="00A91654" w:rsidP="00E8363A">
            <w:pPr>
              <w:keepNext/>
              <w:spacing w:after="160" w:line="259" w:lineRule="auto"/>
              <w:contextualSpacing/>
              <w:jc w:val="center"/>
              <w:rPr>
                <w:b/>
                <w:sz w:val="22"/>
                <w:szCs w:val="22"/>
              </w:rPr>
            </w:pPr>
            <w:r w:rsidRPr="00554009">
              <w:rPr>
                <w:b/>
                <w:sz w:val="22"/>
                <w:szCs w:val="22"/>
              </w:rPr>
              <w:t>£/Pupil</w:t>
            </w:r>
            <w:r>
              <w:rPr>
                <w:b/>
                <w:sz w:val="22"/>
                <w:szCs w:val="22"/>
              </w:rPr>
              <w:t xml:space="preserve"> Pri</w:t>
            </w:r>
          </w:p>
        </w:tc>
        <w:tc>
          <w:tcPr>
            <w:tcW w:w="1042" w:type="dxa"/>
          </w:tcPr>
          <w:p w14:paraId="4B86DFEE" w14:textId="77777777" w:rsidR="00A91654" w:rsidRPr="00554009" w:rsidRDefault="00A91654" w:rsidP="00E8363A">
            <w:pPr>
              <w:keepNext/>
              <w:spacing w:after="160" w:line="259" w:lineRule="auto"/>
              <w:contextualSpacing/>
              <w:jc w:val="center"/>
              <w:rPr>
                <w:b/>
                <w:sz w:val="22"/>
                <w:szCs w:val="22"/>
              </w:rPr>
            </w:pPr>
            <w:r>
              <w:rPr>
                <w:b/>
                <w:sz w:val="22"/>
                <w:szCs w:val="22"/>
              </w:rPr>
              <w:t>£/Pupil Sec</w:t>
            </w:r>
          </w:p>
        </w:tc>
        <w:tc>
          <w:tcPr>
            <w:tcW w:w="1042" w:type="dxa"/>
          </w:tcPr>
          <w:p w14:paraId="4B86DFEF" w14:textId="77777777" w:rsidR="00A91654" w:rsidRPr="00554009" w:rsidRDefault="00A91654" w:rsidP="00E8363A">
            <w:pPr>
              <w:keepNext/>
              <w:spacing w:after="160" w:line="259" w:lineRule="auto"/>
              <w:contextualSpacing/>
              <w:jc w:val="center"/>
              <w:rPr>
                <w:b/>
                <w:sz w:val="22"/>
                <w:szCs w:val="22"/>
              </w:rPr>
            </w:pPr>
            <w:r w:rsidRPr="00554009">
              <w:rPr>
                <w:b/>
                <w:sz w:val="22"/>
                <w:szCs w:val="22"/>
              </w:rPr>
              <w:t>Pri</w:t>
            </w:r>
          </w:p>
        </w:tc>
        <w:tc>
          <w:tcPr>
            <w:tcW w:w="1042" w:type="dxa"/>
          </w:tcPr>
          <w:p w14:paraId="4B86DFF0" w14:textId="77777777" w:rsidR="00A91654" w:rsidRPr="00554009" w:rsidRDefault="00A91654" w:rsidP="00E8363A">
            <w:pPr>
              <w:keepNext/>
              <w:spacing w:after="160" w:line="259" w:lineRule="auto"/>
              <w:contextualSpacing/>
              <w:jc w:val="center"/>
              <w:rPr>
                <w:b/>
                <w:sz w:val="22"/>
                <w:szCs w:val="22"/>
              </w:rPr>
            </w:pPr>
            <w:r w:rsidRPr="00554009">
              <w:rPr>
                <w:b/>
                <w:sz w:val="22"/>
                <w:szCs w:val="22"/>
              </w:rPr>
              <w:t>Sec</w:t>
            </w:r>
          </w:p>
        </w:tc>
        <w:tc>
          <w:tcPr>
            <w:tcW w:w="1042" w:type="dxa"/>
          </w:tcPr>
          <w:p w14:paraId="4B86DFF1" w14:textId="77777777" w:rsidR="00A91654" w:rsidRPr="00554009" w:rsidRDefault="00A91654" w:rsidP="00E8363A">
            <w:pPr>
              <w:keepNext/>
              <w:spacing w:after="160" w:line="259" w:lineRule="auto"/>
              <w:contextualSpacing/>
              <w:jc w:val="center"/>
              <w:rPr>
                <w:b/>
                <w:sz w:val="22"/>
                <w:szCs w:val="22"/>
              </w:rPr>
            </w:pPr>
            <w:r>
              <w:rPr>
                <w:b/>
                <w:sz w:val="22"/>
                <w:szCs w:val="22"/>
              </w:rPr>
              <w:t>Total</w:t>
            </w:r>
          </w:p>
        </w:tc>
      </w:tr>
      <w:tr w:rsidR="00BF0554" w14:paraId="4B86DFF9" w14:textId="77777777" w:rsidTr="00BF0554">
        <w:tc>
          <w:tcPr>
            <w:tcW w:w="3357" w:type="dxa"/>
          </w:tcPr>
          <w:p w14:paraId="4B86DFF3" w14:textId="77777777" w:rsidR="00A91654" w:rsidRPr="00554009" w:rsidRDefault="00A91654" w:rsidP="00E8363A">
            <w:pPr>
              <w:keepNext/>
              <w:spacing w:after="160" w:line="259" w:lineRule="auto"/>
              <w:contextualSpacing/>
              <w:rPr>
                <w:sz w:val="22"/>
                <w:szCs w:val="22"/>
              </w:rPr>
            </w:pPr>
            <w:r>
              <w:rPr>
                <w:sz w:val="22"/>
                <w:szCs w:val="22"/>
              </w:rPr>
              <w:t>Pupil Numbers – October 2017</w:t>
            </w:r>
          </w:p>
        </w:tc>
        <w:tc>
          <w:tcPr>
            <w:tcW w:w="1041" w:type="dxa"/>
          </w:tcPr>
          <w:p w14:paraId="4B86DFF4" w14:textId="77777777" w:rsidR="00A91654" w:rsidRDefault="00A91654" w:rsidP="00E8363A">
            <w:pPr>
              <w:keepNext/>
              <w:spacing w:after="160" w:line="259" w:lineRule="auto"/>
              <w:contextualSpacing/>
              <w:jc w:val="right"/>
              <w:rPr>
                <w:sz w:val="22"/>
                <w:szCs w:val="22"/>
              </w:rPr>
            </w:pPr>
          </w:p>
        </w:tc>
        <w:tc>
          <w:tcPr>
            <w:tcW w:w="1042" w:type="dxa"/>
          </w:tcPr>
          <w:p w14:paraId="4B86DFF5" w14:textId="77777777" w:rsidR="00A91654" w:rsidRDefault="00A91654" w:rsidP="00E8363A">
            <w:pPr>
              <w:keepNext/>
              <w:spacing w:after="160" w:line="259" w:lineRule="auto"/>
              <w:contextualSpacing/>
              <w:jc w:val="right"/>
              <w:rPr>
                <w:sz w:val="22"/>
                <w:szCs w:val="22"/>
              </w:rPr>
            </w:pPr>
          </w:p>
        </w:tc>
        <w:tc>
          <w:tcPr>
            <w:tcW w:w="1042" w:type="dxa"/>
          </w:tcPr>
          <w:p w14:paraId="4B86DFF6" w14:textId="77777777" w:rsidR="00A91654" w:rsidRPr="00554009" w:rsidRDefault="00A91654" w:rsidP="00E8363A">
            <w:pPr>
              <w:keepNext/>
              <w:spacing w:after="160" w:line="259" w:lineRule="auto"/>
              <w:contextualSpacing/>
              <w:jc w:val="right"/>
              <w:rPr>
                <w:sz w:val="22"/>
                <w:szCs w:val="22"/>
              </w:rPr>
            </w:pPr>
            <w:r>
              <w:rPr>
                <w:sz w:val="22"/>
                <w:szCs w:val="22"/>
              </w:rPr>
              <w:t>20,240</w:t>
            </w:r>
          </w:p>
        </w:tc>
        <w:tc>
          <w:tcPr>
            <w:tcW w:w="1042" w:type="dxa"/>
          </w:tcPr>
          <w:p w14:paraId="4B86DFF7" w14:textId="77777777" w:rsidR="00A91654" w:rsidRPr="00554009" w:rsidRDefault="00A91654" w:rsidP="00E8363A">
            <w:pPr>
              <w:keepNext/>
              <w:spacing w:after="160" w:line="259" w:lineRule="auto"/>
              <w:contextualSpacing/>
              <w:jc w:val="right"/>
              <w:rPr>
                <w:sz w:val="22"/>
                <w:szCs w:val="22"/>
              </w:rPr>
            </w:pPr>
            <w:r>
              <w:rPr>
                <w:sz w:val="22"/>
                <w:szCs w:val="22"/>
              </w:rPr>
              <w:t>10,357</w:t>
            </w:r>
          </w:p>
        </w:tc>
        <w:tc>
          <w:tcPr>
            <w:tcW w:w="1042" w:type="dxa"/>
          </w:tcPr>
          <w:p w14:paraId="4B86DFF8" w14:textId="77777777" w:rsidR="00A91654" w:rsidRPr="00554009" w:rsidRDefault="00A91654" w:rsidP="00E8363A">
            <w:pPr>
              <w:keepNext/>
              <w:spacing w:after="160" w:line="259" w:lineRule="auto"/>
              <w:contextualSpacing/>
              <w:jc w:val="right"/>
              <w:rPr>
                <w:sz w:val="22"/>
                <w:szCs w:val="22"/>
              </w:rPr>
            </w:pPr>
            <w:r>
              <w:rPr>
                <w:sz w:val="22"/>
                <w:szCs w:val="22"/>
              </w:rPr>
              <w:t>30,597</w:t>
            </w:r>
          </w:p>
        </w:tc>
      </w:tr>
      <w:tr w:rsidR="00BF0554" w14:paraId="4B86E000" w14:textId="77777777" w:rsidTr="00BF0554">
        <w:tc>
          <w:tcPr>
            <w:tcW w:w="3357" w:type="dxa"/>
          </w:tcPr>
          <w:p w14:paraId="4B86DFFA" w14:textId="77777777" w:rsidR="00A91654" w:rsidRPr="00554009" w:rsidRDefault="00A91654" w:rsidP="00E8363A">
            <w:pPr>
              <w:keepNext/>
              <w:spacing w:after="160" w:line="259" w:lineRule="auto"/>
              <w:contextualSpacing/>
              <w:rPr>
                <w:sz w:val="22"/>
                <w:szCs w:val="22"/>
              </w:rPr>
            </w:pPr>
          </w:p>
        </w:tc>
        <w:tc>
          <w:tcPr>
            <w:tcW w:w="1041" w:type="dxa"/>
          </w:tcPr>
          <w:p w14:paraId="4B86DFFB" w14:textId="77777777" w:rsidR="00A91654" w:rsidRDefault="00A91654" w:rsidP="00E8363A">
            <w:pPr>
              <w:keepNext/>
              <w:spacing w:after="160" w:line="259" w:lineRule="auto"/>
              <w:contextualSpacing/>
              <w:jc w:val="right"/>
              <w:rPr>
                <w:sz w:val="22"/>
                <w:szCs w:val="22"/>
              </w:rPr>
            </w:pPr>
          </w:p>
        </w:tc>
        <w:tc>
          <w:tcPr>
            <w:tcW w:w="1042" w:type="dxa"/>
          </w:tcPr>
          <w:p w14:paraId="4B86DFFC" w14:textId="77777777" w:rsidR="00A91654" w:rsidRDefault="00A91654" w:rsidP="00E8363A">
            <w:pPr>
              <w:keepNext/>
              <w:spacing w:after="160" w:line="259" w:lineRule="auto"/>
              <w:contextualSpacing/>
              <w:jc w:val="right"/>
              <w:rPr>
                <w:sz w:val="22"/>
                <w:szCs w:val="22"/>
              </w:rPr>
            </w:pPr>
          </w:p>
        </w:tc>
        <w:tc>
          <w:tcPr>
            <w:tcW w:w="1042" w:type="dxa"/>
          </w:tcPr>
          <w:p w14:paraId="4B86DFFD" w14:textId="77777777" w:rsidR="00A91654" w:rsidRPr="00554009" w:rsidRDefault="00A91654" w:rsidP="00E8363A">
            <w:pPr>
              <w:keepNext/>
              <w:spacing w:after="160" w:line="259" w:lineRule="auto"/>
              <w:contextualSpacing/>
              <w:jc w:val="right"/>
              <w:rPr>
                <w:sz w:val="22"/>
                <w:szCs w:val="22"/>
              </w:rPr>
            </w:pPr>
            <w:r>
              <w:rPr>
                <w:sz w:val="22"/>
                <w:szCs w:val="22"/>
              </w:rPr>
              <w:t>£000</w:t>
            </w:r>
          </w:p>
        </w:tc>
        <w:tc>
          <w:tcPr>
            <w:tcW w:w="1042" w:type="dxa"/>
          </w:tcPr>
          <w:p w14:paraId="4B86DFFE" w14:textId="77777777" w:rsidR="00A91654" w:rsidRPr="00554009" w:rsidRDefault="00A91654" w:rsidP="00E8363A">
            <w:pPr>
              <w:keepNext/>
              <w:spacing w:after="160" w:line="259" w:lineRule="auto"/>
              <w:contextualSpacing/>
              <w:jc w:val="right"/>
              <w:rPr>
                <w:sz w:val="22"/>
                <w:szCs w:val="22"/>
              </w:rPr>
            </w:pPr>
            <w:r>
              <w:rPr>
                <w:sz w:val="22"/>
                <w:szCs w:val="22"/>
              </w:rPr>
              <w:t>£000</w:t>
            </w:r>
          </w:p>
        </w:tc>
        <w:tc>
          <w:tcPr>
            <w:tcW w:w="1042" w:type="dxa"/>
          </w:tcPr>
          <w:p w14:paraId="4B86DFFF" w14:textId="77777777" w:rsidR="00A91654" w:rsidRPr="00554009" w:rsidRDefault="00A91654" w:rsidP="00E8363A">
            <w:pPr>
              <w:keepNext/>
              <w:spacing w:after="160" w:line="259" w:lineRule="auto"/>
              <w:contextualSpacing/>
              <w:jc w:val="right"/>
              <w:rPr>
                <w:sz w:val="22"/>
                <w:szCs w:val="22"/>
              </w:rPr>
            </w:pPr>
            <w:r>
              <w:rPr>
                <w:sz w:val="22"/>
                <w:szCs w:val="22"/>
              </w:rPr>
              <w:t>£000</w:t>
            </w:r>
          </w:p>
        </w:tc>
      </w:tr>
      <w:tr w:rsidR="00BF0554" w14:paraId="4B86E007" w14:textId="77777777" w:rsidTr="00BF0554">
        <w:tc>
          <w:tcPr>
            <w:tcW w:w="3357" w:type="dxa"/>
          </w:tcPr>
          <w:p w14:paraId="4B86E001" w14:textId="77777777" w:rsidR="00A91654" w:rsidRPr="00554009" w:rsidRDefault="00A91654" w:rsidP="00E8363A">
            <w:pPr>
              <w:keepNext/>
              <w:spacing w:after="160" w:line="259" w:lineRule="auto"/>
              <w:contextualSpacing/>
              <w:rPr>
                <w:sz w:val="22"/>
                <w:szCs w:val="22"/>
              </w:rPr>
            </w:pPr>
            <w:r w:rsidRPr="00554009">
              <w:rPr>
                <w:sz w:val="22"/>
                <w:szCs w:val="22"/>
              </w:rPr>
              <w:t>Contingencies (not growth).</w:t>
            </w:r>
          </w:p>
        </w:tc>
        <w:tc>
          <w:tcPr>
            <w:tcW w:w="1041" w:type="dxa"/>
          </w:tcPr>
          <w:p w14:paraId="4B86E002" w14:textId="77777777" w:rsidR="00A91654" w:rsidRPr="00554009" w:rsidRDefault="00A91654" w:rsidP="00E8363A">
            <w:pPr>
              <w:keepNext/>
              <w:spacing w:after="160" w:line="259" w:lineRule="auto"/>
              <w:contextualSpacing/>
              <w:jc w:val="right"/>
              <w:rPr>
                <w:sz w:val="22"/>
                <w:szCs w:val="22"/>
              </w:rPr>
            </w:pPr>
            <w:r>
              <w:rPr>
                <w:sz w:val="22"/>
                <w:szCs w:val="22"/>
              </w:rPr>
              <w:t>14.93</w:t>
            </w:r>
          </w:p>
        </w:tc>
        <w:tc>
          <w:tcPr>
            <w:tcW w:w="1042" w:type="dxa"/>
          </w:tcPr>
          <w:p w14:paraId="4B86E003" w14:textId="77777777" w:rsidR="00A91654" w:rsidRPr="00554009" w:rsidRDefault="00A91654" w:rsidP="00E8363A">
            <w:pPr>
              <w:keepNext/>
              <w:spacing w:after="160" w:line="259" w:lineRule="auto"/>
              <w:contextualSpacing/>
              <w:jc w:val="right"/>
              <w:rPr>
                <w:sz w:val="22"/>
                <w:szCs w:val="22"/>
              </w:rPr>
            </w:pPr>
            <w:r>
              <w:rPr>
                <w:sz w:val="22"/>
                <w:szCs w:val="22"/>
              </w:rPr>
              <w:t>14.93</w:t>
            </w:r>
          </w:p>
        </w:tc>
        <w:tc>
          <w:tcPr>
            <w:tcW w:w="1042" w:type="dxa"/>
          </w:tcPr>
          <w:p w14:paraId="4B86E004" w14:textId="77777777" w:rsidR="00A91654" w:rsidRPr="00554009" w:rsidRDefault="00A91654" w:rsidP="00E8363A">
            <w:pPr>
              <w:keepNext/>
              <w:spacing w:after="160" w:line="259" w:lineRule="auto"/>
              <w:contextualSpacing/>
              <w:jc w:val="right"/>
              <w:rPr>
                <w:sz w:val="22"/>
                <w:szCs w:val="22"/>
              </w:rPr>
            </w:pPr>
            <w:r>
              <w:rPr>
                <w:sz w:val="22"/>
                <w:szCs w:val="22"/>
              </w:rPr>
              <w:t>302</w:t>
            </w:r>
          </w:p>
        </w:tc>
        <w:tc>
          <w:tcPr>
            <w:tcW w:w="1042" w:type="dxa"/>
          </w:tcPr>
          <w:p w14:paraId="4B86E005" w14:textId="77777777" w:rsidR="00A91654" w:rsidRPr="00554009" w:rsidRDefault="00A91654" w:rsidP="00E8363A">
            <w:pPr>
              <w:keepNext/>
              <w:spacing w:after="160" w:line="259" w:lineRule="auto"/>
              <w:contextualSpacing/>
              <w:jc w:val="right"/>
              <w:rPr>
                <w:sz w:val="22"/>
                <w:szCs w:val="22"/>
              </w:rPr>
            </w:pPr>
            <w:r>
              <w:rPr>
                <w:sz w:val="22"/>
                <w:szCs w:val="22"/>
              </w:rPr>
              <w:t>155</w:t>
            </w:r>
          </w:p>
        </w:tc>
        <w:tc>
          <w:tcPr>
            <w:tcW w:w="1042" w:type="dxa"/>
          </w:tcPr>
          <w:p w14:paraId="4B86E006" w14:textId="77777777" w:rsidR="00A91654" w:rsidRPr="00554009" w:rsidRDefault="00F24C42" w:rsidP="00E8363A">
            <w:pPr>
              <w:keepNext/>
              <w:spacing w:after="160" w:line="259" w:lineRule="auto"/>
              <w:contextualSpacing/>
              <w:jc w:val="right"/>
              <w:rPr>
                <w:sz w:val="22"/>
                <w:szCs w:val="22"/>
              </w:rPr>
            </w:pPr>
            <w:r>
              <w:rPr>
                <w:sz w:val="22"/>
                <w:szCs w:val="22"/>
              </w:rPr>
              <w:t>457</w:t>
            </w:r>
          </w:p>
        </w:tc>
      </w:tr>
      <w:tr w:rsidR="00BF0554" w14:paraId="4B86E00E" w14:textId="77777777" w:rsidTr="00BF0554">
        <w:tc>
          <w:tcPr>
            <w:tcW w:w="3357" w:type="dxa"/>
          </w:tcPr>
          <w:p w14:paraId="4B86E008" w14:textId="77777777" w:rsidR="00A91654" w:rsidRPr="00554009" w:rsidRDefault="00A91654" w:rsidP="00E8363A">
            <w:pPr>
              <w:keepNext/>
              <w:spacing w:after="160" w:line="259" w:lineRule="auto"/>
              <w:contextualSpacing/>
              <w:rPr>
                <w:sz w:val="22"/>
                <w:szCs w:val="22"/>
              </w:rPr>
            </w:pPr>
            <w:r w:rsidRPr="00554009">
              <w:rPr>
                <w:sz w:val="22"/>
                <w:szCs w:val="22"/>
              </w:rPr>
              <w:t>Free school meal eligibility</w:t>
            </w:r>
          </w:p>
        </w:tc>
        <w:tc>
          <w:tcPr>
            <w:tcW w:w="1041" w:type="dxa"/>
          </w:tcPr>
          <w:p w14:paraId="4B86E009" w14:textId="77777777" w:rsidR="00A91654" w:rsidRPr="00554009" w:rsidRDefault="00A91654" w:rsidP="00E8363A">
            <w:pPr>
              <w:keepNext/>
              <w:spacing w:after="160" w:line="259" w:lineRule="auto"/>
              <w:contextualSpacing/>
              <w:jc w:val="right"/>
              <w:rPr>
                <w:sz w:val="22"/>
                <w:szCs w:val="22"/>
              </w:rPr>
            </w:pPr>
            <w:r>
              <w:rPr>
                <w:sz w:val="22"/>
                <w:szCs w:val="22"/>
              </w:rPr>
              <w:t>3.86</w:t>
            </w:r>
          </w:p>
        </w:tc>
        <w:tc>
          <w:tcPr>
            <w:tcW w:w="1042" w:type="dxa"/>
          </w:tcPr>
          <w:p w14:paraId="4B86E00A" w14:textId="77777777" w:rsidR="00A91654" w:rsidRPr="00554009" w:rsidRDefault="00A91654" w:rsidP="00E8363A">
            <w:pPr>
              <w:keepNext/>
              <w:spacing w:after="160" w:line="259" w:lineRule="auto"/>
              <w:contextualSpacing/>
              <w:jc w:val="right"/>
              <w:rPr>
                <w:sz w:val="22"/>
                <w:szCs w:val="22"/>
              </w:rPr>
            </w:pPr>
            <w:r>
              <w:rPr>
                <w:sz w:val="22"/>
                <w:szCs w:val="22"/>
              </w:rPr>
              <w:t>3.86</w:t>
            </w:r>
          </w:p>
        </w:tc>
        <w:tc>
          <w:tcPr>
            <w:tcW w:w="1042" w:type="dxa"/>
          </w:tcPr>
          <w:p w14:paraId="4B86E00B" w14:textId="77777777" w:rsidR="00A91654" w:rsidRPr="00554009" w:rsidRDefault="00A91654" w:rsidP="00E8363A">
            <w:pPr>
              <w:keepNext/>
              <w:spacing w:after="160" w:line="259" w:lineRule="auto"/>
              <w:contextualSpacing/>
              <w:jc w:val="right"/>
              <w:rPr>
                <w:sz w:val="22"/>
                <w:szCs w:val="22"/>
              </w:rPr>
            </w:pPr>
            <w:r>
              <w:rPr>
                <w:sz w:val="22"/>
                <w:szCs w:val="22"/>
              </w:rPr>
              <w:t>78</w:t>
            </w:r>
          </w:p>
        </w:tc>
        <w:tc>
          <w:tcPr>
            <w:tcW w:w="1042" w:type="dxa"/>
          </w:tcPr>
          <w:p w14:paraId="4B86E00C" w14:textId="77777777" w:rsidR="00A91654" w:rsidRPr="00554009" w:rsidRDefault="00A91654" w:rsidP="00E8363A">
            <w:pPr>
              <w:keepNext/>
              <w:spacing w:after="160" w:line="259" w:lineRule="auto"/>
              <w:contextualSpacing/>
              <w:jc w:val="right"/>
              <w:rPr>
                <w:sz w:val="22"/>
                <w:szCs w:val="22"/>
              </w:rPr>
            </w:pPr>
            <w:r>
              <w:rPr>
                <w:sz w:val="22"/>
                <w:szCs w:val="22"/>
              </w:rPr>
              <w:t>40</w:t>
            </w:r>
          </w:p>
        </w:tc>
        <w:tc>
          <w:tcPr>
            <w:tcW w:w="1042" w:type="dxa"/>
          </w:tcPr>
          <w:p w14:paraId="4B86E00D" w14:textId="77777777" w:rsidR="00A91654" w:rsidRPr="00554009" w:rsidRDefault="00F24C42" w:rsidP="00E8363A">
            <w:pPr>
              <w:keepNext/>
              <w:spacing w:after="160" w:line="259" w:lineRule="auto"/>
              <w:contextualSpacing/>
              <w:jc w:val="right"/>
              <w:rPr>
                <w:sz w:val="22"/>
                <w:szCs w:val="22"/>
              </w:rPr>
            </w:pPr>
            <w:r>
              <w:rPr>
                <w:sz w:val="22"/>
                <w:szCs w:val="22"/>
              </w:rPr>
              <w:t>118</w:t>
            </w:r>
          </w:p>
        </w:tc>
      </w:tr>
      <w:tr w:rsidR="00BF0554" w14:paraId="4B86E015" w14:textId="77777777" w:rsidTr="00BF0554">
        <w:tc>
          <w:tcPr>
            <w:tcW w:w="3357" w:type="dxa"/>
          </w:tcPr>
          <w:p w14:paraId="4B86E00F" w14:textId="77777777" w:rsidR="00A91654" w:rsidRPr="00554009" w:rsidRDefault="00A91654" w:rsidP="00E8363A">
            <w:pPr>
              <w:keepNext/>
              <w:spacing w:after="160" w:line="259" w:lineRule="auto"/>
              <w:contextualSpacing/>
              <w:rPr>
                <w:sz w:val="22"/>
                <w:szCs w:val="22"/>
              </w:rPr>
            </w:pPr>
            <w:r>
              <w:rPr>
                <w:sz w:val="22"/>
                <w:szCs w:val="22"/>
              </w:rPr>
              <w:t>Licences/subscriptions</w:t>
            </w:r>
          </w:p>
        </w:tc>
        <w:tc>
          <w:tcPr>
            <w:tcW w:w="1041" w:type="dxa"/>
          </w:tcPr>
          <w:p w14:paraId="4B86E010" w14:textId="77777777" w:rsidR="00A91654" w:rsidRPr="00554009" w:rsidRDefault="00A91654" w:rsidP="00E8363A">
            <w:pPr>
              <w:keepNext/>
              <w:spacing w:after="160" w:line="259" w:lineRule="auto"/>
              <w:contextualSpacing/>
              <w:jc w:val="right"/>
              <w:rPr>
                <w:sz w:val="22"/>
                <w:szCs w:val="22"/>
              </w:rPr>
            </w:pPr>
            <w:r>
              <w:rPr>
                <w:sz w:val="22"/>
                <w:szCs w:val="22"/>
              </w:rPr>
              <w:t>0.80</w:t>
            </w:r>
          </w:p>
        </w:tc>
        <w:tc>
          <w:tcPr>
            <w:tcW w:w="1042" w:type="dxa"/>
          </w:tcPr>
          <w:p w14:paraId="4B86E011" w14:textId="77777777" w:rsidR="00A91654" w:rsidRPr="00554009" w:rsidRDefault="00A91654" w:rsidP="00E8363A">
            <w:pPr>
              <w:keepNext/>
              <w:spacing w:after="160" w:line="259" w:lineRule="auto"/>
              <w:contextualSpacing/>
              <w:jc w:val="right"/>
              <w:rPr>
                <w:sz w:val="22"/>
                <w:szCs w:val="22"/>
              </w:rPr>
            </w:pPr>
            <w:r>
              <w:rPr>
                <w:sz w:val="22"/>
                <w:szCs w:val="22"/>
              </w:rPr>
              <w:t>0.80</w:t>
            </w:r>
          </w:p>
        </w:tc>
        <w:tc>
          <w:tcPr>
            <w:tcW w:w="1042" w:type="dxa"/>
          </w:tcPr>
          <w:p w14:paraId="4B86E012" w14:textId="77777777" w:rsidR="00A91654" w:rsidRPr="00554009" w:rsidRDefault="00A91654" w:rsidP="00E8363A">
            <w:pPr>
              <w:keepNext/>
              <w:spacing w:after="160" w:line="259" w:lineRule="auto"/>
              <w:contextualSpacing/>
              <w:jc w:val="right"/>
              <w:rPr>
                <w:sz w:val="22"/>
                <w:szCs w:val="22"/>
              </w:rPr>
            </w:pPr>
            <w:r>
              <w:rPr>
                <w:sz w:val="22"/>
                <w:szCs w:val="22"/>
              </w:rPr>
              <w:t>16</w:t>
            </w:r>
          </w:p>
        </w:tc>
        <w:tc>
          <w:tcPr>
            <w:tcW w:w="1042" w:type="dxa"/>
          </w:tcPr>
          <w:p w14:paraId="4B86E013" w14:textId="77777777" w:rsidR="00A91654" w:rsidRPr="00554009" w:rsidRDefault="00A91654" w:rsidP="00E8363A">
            <w:pPr>
              <w:keepNext/>
              <w:spacing w:after="160" w:line="259" w:lineRule="auto"/>
              <w:contextualSpacing/>
              <w:jc w:val="right"/>
              <w:rPr>
                <w:sz w:val="22"/>
                <w:szCs w:val="22"/>
              </w:rPr>
            </w:pPr>
            <w:r>
              <w:rPr>
                <w:sz w:val="22"/>
                <w:szCs w:val="22"/>
              </w:rPr>
              <w:t>8</w:t>
            </w:r>
          </w:p>
        </w:tc>
        <w:tc>
          <w:tcPr>
            <w:tcW w:w="1042" w:type="dxa"/>
          </w:tcPr>
          <w:p w14:paraId="4B86E014" w14:textId="77777777" w:rsidR="00A91654" w:rsidRPr="00554009" w:rsidRDefault="00F24C42" w:rsidP="00E8363A">
            <w:pPr>
              <w:keepNext/>
              <w:spacing w:after="160" w:line="259" w:lineRule="auto"/>
              <w:contextualSpacing/>
              <w:jc w:val="right"/>
              <w:rPr>
                <w:sz w:val="22"/>
                <w:szCs w:val="22"/>
              </w:rPr>
            </w:pPr>
            <w:r>
              <w:rPr>
                <w:sz w:val="22"/>
                <w:szCs w:val="22"/>
              </w:rPr>
              <w:t>24</w:t>
            </w:r>
          </w:p>
        </w:tc>
      </w:tr>
      <w:tr w:rsidR="00BF0554" w14:paraId="4B86E01C" w14:textId="77777777" w:rsidTr="00BF0554">
        <w:tc>
          <w:tcPr>
            <w:tcW w:w="3357" w:type="dxa"/>
          </w:tcPr>
          <w:p w14:paraId="4B86E016" w14:textId="77777777" w:rsidR="00A91654" w:rsidRPr="00554009" w:rsidRDefault="00A91654" w:rsidP="00E8363A">
            <w:pPr>
              <w:keepNext/>
              <w:spacing w:after="160" w:line="259" w:lineRule="auto"/>
              <w:contextualSpacing/>
              <w:rPr>
                <w:sz w:val="22"/>
                <w:szCs w:val="22"/>
              </w:rPr>
            </w:pPr>
            <w:r>
              <w:rPr>
                <w:sz w:val="22"/>
                <w:szCs w:val="22"/>
              </w:rPr>
              <w:t>Trade Union Facilities</w:t>
            </w:r>
          </w:p>
        </w:tc>
        <w:tc>
          <w:tcPr>
            <w:tcW w:w="1041" w:type="dxa"/>
          </w:tcPr>
          <w:p w14:paraId="4B86E017" w14:textId="77777777" w:rsidR="00A91654" w:rsidRPr="00554009" w:rsidRDefault="00A91654" w:rsidP="00E8363A">
            <w:pPr>
              <w:keepNext/>
              <w:spacing w:after="160" w:line="259" w:lineRule="auto"/>
              <w:contextualSpacing/>
              <w:jc w:val="right"/>
              <w:rPr>
                <w:sz w:val="22"/>
                <w:szCs w:val="22"/>
              </w:rPr>
            </w:pPr>
            <w:r>
              <w:rPr>
                <w:sz w:val="22"/>
                <w:szCs w:val="22"/>
              </w:rPr>
              <w:t>6.00</w:t>
            </w:r>
          </w:p>
        </w:tc>
        <w:tc>
          <w:tcPr>
            <w:tcW w:w="1042" w:type="dxa"/>
          </w:tcPr>
          <w:p w14:paraId="4B86E018" w14:textId="77777777" w:rsidR="00A91654" w:rsidRPr="00554009" w:rsidRDefault="00A91654" w:rsidP="00E8363A">
            <w:pPr>
              <w:keepNext/>
              <w:spacing w:after="160" w:line="259" w:lineRule="auto"/>
              <w:contextualSpacing/>
              <w:jc w:val="right"/>
              <w:rPr>
                <w:sz w:val="22"/>
                <w:szCs w:val="22"/>
              </w:rPr>
            </w:pPr>
            <w:r>
              <w:rPr>
                <w:sz w:val="22"/>
                <w:szCs w:val="22"/>
              </w:rPr>
              <w:t>6.00</w:t>
            </w:r>
          </w:p>
        </w:tc>
        <w:tc>
          <w:tcPr>
            <w:tcW w:w="1042" w:type="dxa"/>
          </w:tcPr>
          <w:p w14:paraId="4B86E019" w14:textId="77777777" w:rsidR="00A91654" w:rsidRPr="00554009" w:rsidRDefault="00A91654" w:rsidP="00E8363A">
            <w:pPr>
              <w:keepNext/>
              <w:spacing w:after="160" w:line="259" w:lineRule="auto"/>
              <w:contextualSpacing/>
              <w:jc w:val="right"/>
              <w:rPr>
                <w:sz w:val="22"/>
                <w:szCs w:val="22"/>
              </w:rPr>
            </w:pPr>
            <w:r>
              <w:rPr>
                <w:sz w:val="22"/>
                <w:szCs w:val="22"/>
              </w:rPr>
              <w:t>121</w:t>
            </w:r>
          </w:p>
        </w:tc>
        <w:tc>
          <w:tcPr>
            <w:tcW w:w="1042" w:type="dxa"/>
          </w:tcPr>
          <w:p w14:paraId="4B86E01A" w14:textId="77777777" w:rsidR="00A91654" w:rsidRPr="00554009" w:rsidRDefault="00A91654" w:rsidP="00E8363A">
            <w:pPr>
              <w:keepNext/>
              <w:spacing w:after="160" w:line="259" w:lineRule="auto"/>
              <w:contextualSpacing/>
              <w:jc w:val="right"/>
              <w:rPr>
                <w:sz w:val="22"/>
                <w:szCs w:val="22"/>
              </w:rPr>
            </w:pPr>
            <w:r>
              <w:rPr>
                <w:sz w:val="22"/>
                <w:szCs w:val="22"/>
              </w:rPr>
              <w:t>62</w:t>
            </w:r>
          </w:p>
        </w:tc>
        <w:tc>
          <w:tcPr>
            <w:tcW w:w="1042" w:type="dxa"/>
          </w:tcPr>
          <w:p w14:paraId="4B86E01B" w14:textId="77777777" w:rsidR="00A91654" w:rsidRPr="00554009" w:rsidRDefault="00F24C42" w:rsidP="00E8363A">
            <w:pPr>
              <w:keepNext/>
              <w:spacing w:after="160" w:line="259" w:lineRule="auto"/>
              <w:contextualSpacing/>
              <w:jc w:val="right"/>
              <w:rPr>
                <w:sz w:val="22"/>
                <w:szCs w:val="22"/>
              </w:rPr>
            </w:pPr>
            <w:r>
              <w:rPr>
                <w:sz w:val="22"/>
                <w:szCs w:val="22"/>
              </w:rPr>
              <w:t>184</w:t>
            </w:r>
          </w:p>
        </w:tc>
      </w:tr>
      <w:tr w:rsidR="00BF0554" w14:paraId="4B86E024" w14:textId="77777777" w:rsidTr="00BF0554">
        <w:tc>
          <w:tcPr>
            <w:tcW w:w="3357" w:type="dxa"/>
          </w:tcPr>
          <w:p w14:paraId="4B86E01D" w14:textId="77777777" w:rsidR="00A91654" w:rsidRPr="00554009" w:rsidRDefault="00A91654" w:rsidP="00E8363A">
            <w:pPr>
              <w:keepNext/>
              <w:spacing w:after="160" w:line="259" w:lineRule="auto"/>
              <w:contextualSpacing/>
              <w:rPr>
                <w:sz w:val="22"/>
                <w:szCs w:val="22"/>
              </w:rPr>
            </w:pPr>
            <w:r>
              <w:rPr>
                <w:sz w:val="22"/>
                <w:szCs w:val="22"/>
              </w:rPr>
              <w:t>Behaviour Support /anti-bullying.</w:t>
            </w:r>
          </w:p>
        </w:tc>
        <w:tc>
          <w:tcPr>
            <w:tcW w:w="1041" w:type="dxa"/>
          </w:tcPr>
          <w:p w14:paraId="4B86E01E" w14:textId="77777777" w:rsidR="00A91654" w:rsidRPr="00554009" w:rsidRDefault="00A91654" w:rsidP="00E8363A">
            <w:pPr>
              <w:keepNext/>
              <w:spacing w:after="160" w:line="259" w:lineRule="auto"/>
              <w:contextualSpacing/>
              <w:jc w:val="right"/>
              <w:rPr>
                <w:sz w:val="22"/>
                <w:szCs w:val="22"/>
              </w:rPr>
            </w:pPr>
            <w:r>
              <w:rPr>
                <w:sz w:val="22"/>
                <w:szCs w:val="22"/>
              </w:rPr>
              <w:t>2.84</w:t>
            </w:r>
          </w:p>
        </w:tc>
        <w:tc>
          <w:tcPr>
            <w:tcW w:w="1042" w:type="dxa"/>
          </w:tcPr>
          <w:p w14:paraId="4B86E01F" w14:textId="77777777" w:rsidR="00A91654" w:rsidRDefault="00A91654" w:rsidP="00E8363A">
            <w:pPr>
              <w:keepNext/>
              <w:spacing w:after="160" w:line="259" w:lineRule="auto"/>
              <w:contextualSpacing/>
              <w:jc w:val="right"/>
              <w:rPr>
                <w:sz w:val="22"/>
                <w:szCs w:val="22"/>
              </w:rPr>
            </w:pPr>
            <w:r>
              <w:rPr>
                <w:sz w:val="22"/>
                <w:szCs w:val="22"/>
              </w:rPr>
              <w:t>4.44</w:t>
            </w:r>
          </w:p>
          <w:p w14:paraId="4B86E020" w14:textId="77777777" w:rsidR="00A91654" w:rsidRDefault="00A91654" w:rsidP="00E8363A">
            <w:pPr>
              <w:keepNext/>
              <w:spacing w:after="160" w:line="259" w:lineRule="auto"/>
              <w:contextualSpacing/>
              <w:jc w:val="right"/>
              <w:rPr>
                <w:sz w:val="22"/>
                <w:szCs w:val="22"/>
              </w:rPr>
            </w:pPr>
          </w:p>
        </w:tc>
        <w:tc>
          <w:tcPr>
            <w:tcW w:w="1042" w:type="dxa"/>
          </w:tcPr>
          <w:p w14:paraId="4B86E021" w14:textId="77777777" w:rsidR="00A91654" w:rsidRPr="00554009" w:rsidRDefault="00A91654" w:rsidP="00E8363A">
            <w:pPr>
              <w:keepNext/>
              <w:spacing w:after="160" w:line="259" w:lineRule="auto"/>
              <w:contextualSpacing/>
              <w:jc w:val="right"/>
              <w:rPr>
                <w:sz w:val="22"/>
                <w:szCs w:val="22"/>
              </w:rPr>
            </w:pPr>
            <w:r>
              <w:rPr>
                <w:sz w:val="22"/>
                <w:szCs w:val="22"/>
              </w:rPr>
              <w:t>57</w:t>
            </w:r>
          </w:p>
        </w:tc>
        <w:tc>
          <w:tcPr>
            <w:tcW w:w="1042" w:type="dxa"/>
          </w:tcPr>
          <w:p w14:paraId="4B86E022" w14:textId="77777777" w:rsidR="00A91654" w:rsidRPr="00554009" w:rsidRDefault="00A91654" w:rsidP="00E8363A">
            <w:pPr>
              <w:keepNext/>
              <w:spacing w:after="160" w:line="259" w:lineRule="auto"/>
              <w:contextualSpacing/>
              <w:jc w:val="right"/>
              <w:rPr>
                <w:sz w:val="22"/>
                <w:szCs w:val="22"/>
              </w:rPr>
            </w:pPr>
            <w:r>
              <w:rPr>
                <w:sz w:val="22"/>
                <w:szCs w:val="22"/>
              </w:rPr>
              <w:t>46</w:t>
            </w:r>
          </w:p>
        </w:tc>
        <w:tc>
          <w:tcPr>
            <w:tcW w:w="1042" w:type="dxa"/>
          </w:tcPr>
          <w:p w14:paraId="4B86E023" w14:textId="77777777" w:rsidR="00A91654" w:rsidRPr="00554009" w:rsidRDefault="00F24C42" w:rsidP="00E8363A">
            <w:pPr>
              <w:keepNext/>
              <w:spacing w:after="160" w:line="259" w:lineRule="auto"/>
              <w:contextualSpacing/>
              <w:jc w:val="right"/>
              <w:rPr>
                <w:sz w:val="22"/>
                <w:szCs w:val="22"/>
              </w:rPr>
            </w:pPr>
            <w:r>
              <w:rPr>
                <w:sz w:val="22"/>
                <w:szCs w:val="22"/>
              </w:rPr>
              <w:t>103</w:t>
            </w:r>
          </w:p>
        </w:tc>
      </w:tr>
      <w:tr w:rsidR="00BF0554" w14:paraId="4B86E02B" w14:textId="77777777" w:rsidTr="00BF0554">
        <w:tc>
          <w:tcPr>
            <w:tcW w:w="3357" w:type="dxa"/>
          </w:tcPr>
          <w:p w14:paraId="4B86E025" w14:textId="77777777" w:rsidR="00A91654" w:rsidRPr="00AC418C" w:rsidRDefault="00A91654" w:rsidP="00E8363A">
            <w:pPr>
              <w:keepNext/>
              <w:spacing w:after="160" w:line="259" w:lineRule="auto"/>
              <w:contextualSpacing/>
              <w:rPr>
                <w:b/>
                <w:sz w:val="22"/>
                <w:szCs w:val="22"/>
              </w:rPr>
            </w:pPr>
            <w:r w:rsidRPr="00AC418C">
              <w:rPr>
                <w:b/>
                <w:sz w:val="22"/>
                <w:szCs w:val="22"/>
              </w:rPr>
              <w:t>Total</w:t>
            </w:r>
          </w:p>
        </w:tc>
        <w:tc>
          <w:tcPr>
            <w:tcW w:w="1041" w:type="dxa"/>
          </w:tcPr>
          <w:p w14:paraId="4B86E026" w14:textId="77777777" w:rsidR="00A91654" w:rsidRDefault="00A91654" w:rsidP="00E8363A">
            <w:pPr>
              <w:keepNext/>
              <w:spacing w:after="160" w:line="259" w:lineRule="auto"/>
              <w:contextualSpacing/>
              <w:jc w:val="right"/>
              <w:rPr>
                <w:sz w:val="22"/>
                <w:szCs w:val="22"/>
              </w:rPr>
            </w:pPr>
            <w:r>
              <w:rPr>
                <w:sz w:val="22"/>
                <w:szCs w:val="22"/>
              </w:rPr>
              <w:t>28.43</w:t>
            </w:r>
          </w:p>
        </w:tc>
        <w:tc>
          <w:tcPr>
            <w:tcW w:w="1042" w:type="dxa"/>
          </w:tcPr>
          <w:p w14:paraId="4B86E027" w14:textId="77777777" w:rsidR="00A91654" w:rsidRPr="00554009" w:rsidRDefault="00F24C42" w:rsidP="00E8363A">
            <w:pPr>
              <w:keepNext/>
              <w:spacing w:after="160" w:line="259" w:lineRule="auto"/>
              <w:contextualSpacing/>
              <w:jc w:val="right"/>
              <w:rPr>
                <w:sz w:val="22"/>
                <w:szCs w:val="22"/>
              </w:rPr>
            </w:pPr>
            <w:r>
              <w:rPr>
                <w:sz w:val="22"/>
                <w:szCs w:val="22"/>
              </w:rPr>
              <w:t>30.03</w:t>
            </w:r>
          </w:p>
        </w:tc>
        <w:tc>
          <w:tcPr>
            <w:tcW w:w="1042" w:type="dxa"/>
          </w:tcPr>
          <w:p w14:paraId="4B86E028" w14:textId="77777777" w:rsidR="00A91654" w:rsidRPr="00554009" w:rsidRDefault="00A91654" w:rsidP="00E8363A">
            <w:pPr>
              <w:keepNext/>
              <w:spacing w:after="160" w:line="259" w:lineRule="auto"/>
              <w:contextualSpacing/>
              <w:jc w:val="right"/>
              <w:rPr>
                <w:sz w:val="22"/>
                <w:szCs w:val="22"/>
              </w:rPr>
            </w:pPr>
            <w:r>
              <w:rPr>
                <w:sz w:val="22"/>
                <w:szCs w:val="22"/>
              </w:rPr>
              <w:t>575</w:t>
            </w:r>
          </w:p>
        </w:tc>
        <w:tc>
          <w:tcPr>
            <w:tcW w:w="1042" w:type="dxa"/>
          </w:tcPr>
          <w:p w14:paraId="4B86E029" w14:textId="77777777" w:rsidR="00A91654" w:rsidRPr="00554009" w:rsidRDefault="00A91654" w:rsidP="00E8363A">
            <w:pPr>
              <w:keepNext/>
              <w:spacing w:after="160" w:line="259" w:lineRule="auto"/>
              <w:contextualSpacing/>
              <w:jc w:val="right"/>
              <w:rPr>
                <w:sz w:val="22"/>
                <w:szCs w:val="22"/>
              </w:rPr>
            </w:pPr>
            <w:r>
              <w:rPr>
                <w:sz w:val="22"/>
                <w:szCs w:val="22"/>
              </w:rPr>
              <w:t>311</w:t>
            </w:r>
          </w:p>
        </w:tc>
        <w:tc>
          <w:tcPr>
            <w:tcW w:w="1042" w:type="dxa"/>
          </w:tcPr>
          <w:p w14:paraId="4B86E02A" w14:textId="77777777" w:rsidR="00A91654" w:rsidRPr="00554009" w:rsidRDefault="00A91654" w:rsidP="00E8363A">
            <w:pPr>
              <w:keepNext/>
              <w:spacing w:after="160" w:line="259" w:lineRule="auto"/>
              <w:contextualSpacing/>
              <w:jc w:val="right"/>
              <w:rPr>
                <w:sz w:val="22"/>
                <w:szCs w:val="22"/>
              </w:rPr>
            </w:pPr>
            <w:r>
              <w:rPr>
                <w:sz w:val="22"/>
                <w:szCs w:val="22"/>
              </w:rPr>
              <w:t>886</w:t>
            </w:r>
          </w:p>
        </w:tc>
      </w:tr>
    </w:tbl>
    <w:p w14:paraId="4B86E02C" w14:textId="77777777" w:rsidR="002D7D56" w:rsidRDefault="002D7D56" w:rsidP="00550232"/>
    <w:p w14:paraId="4B86E02D" w14:textId="77777777" w:rsidR="00534FB2" w:rsidRDefault="00534FB2" w:rsidP="00550232"/>
    <w:p w14:paraId="4B86E02E" w14:textId="77777777" w:rsidR="00534FB2" w:rsidRDefault="00565A0D" w:rsidP="00534FB2">
      <w:pPr>
        <w:pStyle w:val="ListParagraph"/>
        <w:numPr>
          <w:ilvl w:val="1"/>
          <w:numId w:val="46"/>
        </w:numPr>
        <w:ind w:hanging="792"/>
      </w:pPr>
      <w:r>
        <w:t>The representatives of primary and secondary maintained schools are asked to note the proposals that will be recommended for agreement at the January meeting.</w:t>
      </w:r>
    </w:p>
    <w:p w14:paraId="4B86E02F" w14:textId="77777777" w:rsidR="00534FB2" w:rsidRDefault="00534FB2" w:rsidP="00534FB2">
      <w:pPr>
        <w:pStyle w:val="ListParagraph"/>
        <w:ind w:left="792"/>
      </w:pPr>
    </w:p>
    <w:p w14:paraId="4B86E030" w14:textId="77777777" w:rsidR="001E0569" w:rsidRDefault="006254AF" w:rsidP="006254AF">
      <w:pPr>
        <w:pStyle w:val="ListParagraph"/>
        <w:numPr>
          <w:ilvl w:val="0"/>
          <w:numId w:val="46"/>
        </w:numPr>
        <w:rPr>
          <w:b/>
        </w:rPr>
      </w:pPr>
      <w:r>
        <w:rPr>
          <w:b/>
        </w:rPr>
        <w:t xml:space="preserve">De-Delegation of Former Education Services Grant </w:t>
      </w:r>
      <w:r w:rsidR="00DF7909">
        <w:rPr>
          <w:b/>
        </w:rPr>
        <w:t xml:space="preserve">(ESG) </w:t>
      </w:r>
      <w:r>
        <w:rPr>
          <w:b/>
        </w:rPr>
        <w:t>General Duties.</w:t>
      </w:r>
    </w:p>
    <w:p w14:paraId="4B86E031" w14:textId="77777777" w:rsidR="00C43608" w:rsidRDefault="00C43608" w:rsidP="00C43608">
      <w:pPr>
        <w:pStyle w:val="ListParagraph"/>
        <w:ind w:left="360"/>
        <w:rPr>
          <w:b/>
        </w:rPr>
      </w:pPr>
    </w:p>
    <w:p w14:paraId="4B86E032" w14:textId="77777777" w:rsidR="001C0093" w:rsidRDefault="00602FA9" w:rsidP="001C0093">
      <w:pPr>
        <w:pStyle w:val="ListParagraph"/>
        <w:numPr>
          <w:ilvl w:val="1"/>
          <w:numId w:val="46"/>
        </w:numPr>
        <w:ind w:hanging="792"/>
      </w:pPr>
      <w:r w:rsidRPr="00602FA9">
        <w:t xml:space="preserve">Various </w:t>
      </w:r>
      <w:r>
        <w:t>education services that were not directly pupil related were funded through the ESG</w:t>
      </w:r>
      <w:r w:rsidR="00DF7909">
        <w:t xml:space="preserve">. </w:t>
      </w:r>
      <w:r w:rsidR="00E95427">
        <w:t>In 2016-17 the ESG</w:t>
      </w:r>
      <w:r w:rsidR="004C34C0">
        <w:t xml:space="preserve"> had been £3.739m but </w:t>
      </w:r>
      <w:r w:rsidR="006F3529">
        <w:t xml:space="preserve">the grant </w:t>
      </w:r>
      <w:r w:rsidR="004C34C0">
        <w:t xml:space="preserve">was phased out </w:t>
      </w:r>
      <w:r w:rsidR="00DF7909">
        <w:t>in 2017</w:t>
      </w:r>
      <w:r w:rsidR="004C34C0">
        <w:t>-18.</w:t>
      </w:r>
      <w:r w:rsidR="00DF7909">
        <w:t xml:space="preserve"> </w:t>
      </w:r>
      <w:r w:rsidR="006F3529">
        <w:t xml:space="preserve">Some of it, for duties that cover both maintained schools and academies, was transferred </w:t>
      </w:r>
      <w:r w:rsidR="00DF7909">
        <w:t>into the Central School Services Block (CSSB) of the DSG</w:t>
      </w:r>
      <w:r w:rsidR="006F3529">
        <w:t>.</w:t>
      </w:r>
      <w:r w:rsidR="00DF7909">
        <w:t xml:space="preserve"> </w:t>
      </w:r>
      <w:r w:rsidR="006F3529">
        <w:t xml:space="preserve">The amount transferred was £0.63m and for 2018-19 Forum agreed that it could be retained centrally. A request to do so again </w:t>
      </w:r>
      <w:r w:rsidR="00DF7909">
        <w:t>is dealt with in the separate report on the CSSB.</w:t>
      </w:r>
      <w:r w:rsidR="004C34C0">
        <w:t xml:space="preserve"> </w:t>
      </w:r>
    </w:p>
    <w:p w14:paraId="4B86E033" w14:textId="77777777" w:rsidR="006F3529" w:rsidRDefault="006F3529" w:rsidP="006F3529">
      <w:pPr>
        <w:pStyle w:val="ListParagraph"/>
        <w:ind w:left="792"/>
      </w:pPr>
    </w:p>
    <w:p w14:paraId="4B86E034" w14:textId="77777777" w:rsidR="00550F52" w:rsidRDefault="006F3529" w:rsidP="004C34C0">
      <w:pPr>
        <w:pStyle w:val="ListParagraph"/>
        <w:numPr>
          <w:ilvl w:val="1"/>
          <w:numId w:val="46"/>
        </w:numPr>
        <w:ind w:hanging="792"/>
      </w:pPr>
      <w:r>
        <w:t>This still left a funding gap of £3.1m</w:t>
      </w:r>
      <w:r w:rsidR="00B82BF3">
        <w:t xml:space="preserve"> and </w:t>
      </w:r>
      <w:r w:rsidR="003C0D3A">
        <w:t xml:space="preserve">LAs </w:t>
      </w:r>
      <w:r w:rsidR="00B82BF3">
        <w:t xml:space="preserve">were allowed to seek </w:t>
      </w:r>
      <w:r w:rsidR="00C40D4B">
        <w:t>f</w:t>
      </w:r>
      <w:r w:rsidR="00B82BF3">
        <w:t xml:space="preserve">orum’s permission for further de-delegation from maintained schools for services the LA provided for them. These services are set out in </w:t>
      </w:r>
      <w:r w:rsidR="00C80C78">
        <w:t>Appendix 4.</w:t>
      </w:r>
    </w:p>
    <w:p w14:paraId="4B86E035" w14:textId="77777777" w:rsidR="00550F52" w:rsidRDefault="00550F52" w:rsidP="00550F52">
      <w:pPr>
        <w:pStyle w:val="ListParagraph"/>
      </w:pPr>
    </w:p>
    <w:p w14:paraId="4B86E036" w14:textId="77777777" w:rsidR="004C34C0" w:rsidRDefault="00550F52" w:rsidP="004C34C0">
      <w:pPr>
        <w:pStyle w:val="ListParagraph"/>
        <w:numPr>
          <w:ilvl w:val="1"/>
          <w:numId w:val="46"/>
        </w:numPr>
        <w:ind w:hanging="792"/>
      </w:pPr>
      <w:r>
        <w:t>The Regulations expect contributions to come from all maintained schools, except nursery schools, and allow for differentials between mainstream schools, special schools and PRUs.</w:t>
      </w:r>
    </w:p>
    <w:p w14:paraId="4B86E037" w14:textId="77777777" w:rsidR="00C80C78" w:rsidRDefault="00C80C78" w:rsidP="00C80C78">
      <w:pPr>
        <w:pStyle w:val="ListParagraph"/>
      </w:pPr>
    </w:p>
    <w:p w14:paraId="4B86E038" w14:textId="77777777" w:rsidR="008A63F2" w:rsidRDefault="008A63F2" w:rsidP="004C34C0">
      <w:pPr>
        <w:pStyle w:val="ListParagraph"/>
        <w:numPr>
          <w:ilvl w:val="1"/>
          <w:numId w:val="46"/>
        </w:numPr>
        <w:ind w:hanging="792"/>
      </w:pPr>
      <w:r>
        <w:t xml:space="preserve">For 2018-19, Forum agreed the </w:t>
      </w:r>
      <w:r w:rsidR="00FF56F2">
        <w:t>Authority</w:t>
      </w:r>
      <w:r>
        <w:t>’s request to de-delegate £0.841m from mainstream schools but no request was made in respect of special schools and the PRU. Given the considerable loss in funding entailed in the ending of the ESG the Authority is seeking to retain the same amount from mainstream schools but also to de-delegate from special school and PRU budgets.</w:t>
      </w:r>
    </w:p>
    <w:p w14:paraId="4B86E039" w14:textId="77777777" w:rsidR="008A63F2" w:rsidRDefault="008A63F2" w:rsidP="008A63F2">
      <w:pPr>
        <w:pStyle w:val="ListParagraph"/>
      </w:pPr>
    </w:p>
    <w:p w14:paraId="4B86E03A" w14:textId="77777777" w:rsidR="008A63F2" w:rsidRDefault="008A63F2" w:rsidP="008A63F2">
      <w:pPr>
        <w:pStyle w:val="ListParagraph"/>
        <w:numPr>
          <w:ilvl w:val="1"/>
          <w:numId w:val="46"/>
        </w:numPr>
        <w:ind w:hanging="792"/>
      </w:pPr>
      <w:r>
        <w:t xml:space="preserve">The proposed de-delegation in mainstream schools </w:t>
      </w:r>
      <w:r w:rsidR="00571F1C">
        <w:t>is £27.50</w:t>
      </w:r>
      <w:r w:rsidR="00FF40CA">
        <w:t xml:space="preserve"> per-pupil</w:t>
      </w:r>
      <w:r w:rsidR="00571F1C">
        <w:t>, as in 2018-19.</w:t>
      </w:r>
      <w:r w:rsidR="00C40D4B">
        <w:t xml:space="preserve"> Special schools and PRUs are funded differently to mainstream schools and Guidance</w:t>
      </w:r>
      <w:r w:rsidR="00C40D4B">
        <w:rPr>
          <w:rStyle w:val="FootnoteReference"/>
        </w:rPr>
        <w:footnoteReference w:id="2"/>
      </w:r>
      <w:r w:rsidR="00C40D4B">
        <w:t xml:space="preserve"> sets out differentials of up to 4.25. The Authority is </w:t>
      </w:r>
      <w:r w:rsidR="00C40D4B">
        <w:lastRenderedPageBreak/>
        <w:t xml:space="preserve">proposing a lower </w:t>
      </w:r>
      <w:r w:rsidR="00263DD7">
        <w:t>differential of</w:t>
      </w:r>
      <w:r w:rsidR="007B0235">
        <w:t xml:space="preserve"> 3.0</w:t>
      </w:r>
      <w:r w:rsidR="00263DD7">
        <w:t xml:space="preserve"> for special schools </w:t>
      </w:r>
      <w:r w:rsidR="007B0235">
        <w:t>and</w:t>
      </w:r>
      <w:r w:rsidR="00263DD7">
        <w:t xml:space="preserve"> the PRU giving</w:t>
      </w:r>
      <w:r w:rsidR="007B0235">
        <w:t xml:space="preserve"> a deduction of £80,</w:t>
      </w:r>
      <w:r w:rsidR="00263DD7">
        <w:t xml:space="preserve"> deductible from the £10,000 place funding.</w:t>
      </w:r>
      <w:r w:rsidR="00571F1C">
        <w:t xml:space="preserve"> </w:t>
      </w:r>
    </w:p>
    <w:p w14:paraId="4B86E03B" w14:textId="77777777" w:rsidR="00A4607D" w:rsidRDefault="00A4607D" w:rsidP="00A4607D"/>
    <w:p w14:paraId="4B86E03C" w14:textId="77777777" w:rsidR="00AB1459" w:rsidRDefault="00263DD7" w:rsidP="00AB1459">
      <w:pPr>
        <w:pStyle w:val="ListParagraph"/>
        <w:numPr>
          <w:ilvl w:val="1"/>
          <w:numId w:val="46"/>
        </w:numPr>
        <w:ind w:hanging="792"/>
      </w:pPr>
      <w:r>
        <w:t xml:space="preserve">The proposed de-delegated and centrally retained contributions still </w:t>
      </w:r>
      <w:r w:rsidR="00E95427">
        <w:t>cover only</w:t>
      </w:r>
      <w:r w:rsidR="00AB1459">
        <w:t xml:space="preserve"> </w:t>
      </w:r>
      <w:r w:rsidR="002B4510">
        <w:t>41</w:t>
      </w:r>
      <w:r w:rsidR="00AB1459">
        <w:t>% of the former grant</w:t>
      </w:r>
      <w:r>
        <w:t xml:space="preserve">. The current budgets for former ESG services and the proposed contributions are set out in Table 4. </w:t>
      </w:r>
    </w:p>
    <w:p w14:paraId="4B86E03D" w14:textId="77777777" w:rsidR="00263DD7" w:rsidRDefault="00263DD7" w:rsidP="00263DD7">
      <w:pPr>
        <w:pStyle w:val="ListParagraph"/>
      </w:pPr>
    </w:p>
    <w:p w14:paraId="4B86E03E" w14:textId="77777777" w:rsidR="00263DD7" w:rsidRPr="00263DD7" w:rsidRDefault="00263DD7" w:rsidP="00263DD7">
      <w:pPr>
        <w:pStyle w:val="ListParagraph"/>
        <w:ind w:left="792"/>
        <w:rPr>
          <w:b/>
        </w:rPr>
      </w:pPr>
      <w:r w:rsidRPr="00263DD7">
        <w:rPr>
          <w:b/>
        </w:rPr>
        <w:t>Table 4: Former ESG Budgets and Proposed CSSB and De-Delegated Contributions.</w:t>
      </w:r>
    </w:p>
    <w:p w14:paraId="4B86E03F" w14:textId="77777777" w:rsidR="00860514" w:rsidRDefault="00860514" w:rsidP="00263DD7"/>
    <w:tbl>
      <w:tblPr>
        <w:tblStyle w:val="TableGrid"/>
        <w:tblW w:w="8530" w:type="dxa"/>
        <w:tblInd w:w="792" w:type="dxa"/>
        <w:tblLayout w:type="fixed"/>
        <w:tblLook w:val="04A0" w:firstRow="1" w:lastRow="0" w:firstColumn="1" w:lastColumn="0" w:noHBand="0" w:noVBand="1"/>
      </w:tblPr>
      <w:tblGrid>
        <w:gridCol w:w="3711"/>
        <w:gridCol w:w="1204"/>
        <w:gridCol w:w="1064"/>
        <w:gridCol w:w="1346"/>
        <w:gridCol w:w="1205"/>
      </w:tblGrid>
      <w:tr w:rsidR="00F501DD" w14:paraId="4B86E045" w14:textId="77777777" w:rsidTr="00227A06">
        <w:tc>
          <w:tcPr>
            <w:tcW w:w="3711" w:type="dxa"/>
          </w:tcPr>
          <w:p w14:paraId="4B86E040" w14:textId="77777777" w:rsidR="00F501DD" w:rsidRDefault="00F501DD" w:rsidP="00860514">
            <w:pPr>
              <w:pStyle w:val="ListParagraph"/>
              <w:ind w:left="0"/>
            </w:pPr>
            <w:r>
              <w:t>Category</w:t>
            </w:r>
          </w:p>
        </w:tc>
        <w:tc>
          <w:tcPr>
            <w:tcW w:w="1204" w:type="dxa"/>
          </w:tcPr>
          <w:p w14:paraId="4B86E041" w14:textId="77777777" w:rsidR="00F501DD" w:rsidRDefault="00F501DD" w:rsidP="00860514">
            <w:pPr>
              <w:pStyle w:val="ListParagraph"/>
              <w:ind w:left="0"/>
            </w:pPr>
            <w:r>
              <w:t>Total</w:t>
            </w:r>
          </w:p>
        </w:tc>
        <w:tc>
          <w:tcPr>
            <w:tcW w:w="1064" w:type="dxa"/>
          </w:tcPr>
          <w:p w14:paraId="4B86E042" w14:textId="77777777" w:rsidR="00F501DD" w:rsidRDefault="00F501DD" w:rsidP="00860514">
            <w:pPr>
              <w:pStyle w:val="ListParagraph"/>
              <w:ind w:left="0"/>
            </w:pPr>
            <w:r>
              <w:t>CSSB</w:t>
            </w:r>
          </w:p>
        </w:tc>
        <w:tc>
          <w:tcPr>
            <w:tcW w:w="1346" w:type="dxa"/>
          </w:tcPr>
          <w:p w14:paraId="4B86E043" w14:textId="77777777" w:rsidR="00F501DD" w:rsidRDefault="00F501DD" w:rsidP="00F501DD">
            <w:pPr>
              <w:pStyle w:val="ListParagraph"/>
              <w:ind w:left="0"/>
            </w:pPr>
            <w:r>
              <w:t xml:space="preserve">De-delegated </w:t>
            </w:r>
          </w:p>
        </w:tc>
        <w:tc>
          <w:tcPr>
            <w:tcW w:w="1205" w:type="dxa"/>
          </w:tcPr>
          <w:p w14:paraId="4B86E044" w14:textId="77777777" w:rsidR="00F501DD" w:rsidRDefault="00F501DD" w:rsidP="00860514">
            <w:pPr>
              <w:pStyle w:val="ListParagraph"/>
              <w:ind w:left="0"/>
            </w:pPr>
            <w:r>
              <w:t>General Fund</w:t>
            </w:r>
          </w:p>
        </w:tc>
      </w:tr>
      <w:tr w:rsidR="00F501DD" w14:paraId="4B86E04B" w14:textId="77777777" w:rsidTr="00227A06">
        <w:tc>
          <w:tcPr>
            <w:tcW w:w="3711" w:type="dxa"/>
          </w:tcPr>
          <w:p w14:paraId="4B86E046" w14:textId="77777777" w:rsidR="00F501DD" w:rsidRDefault="00F501DD" w:rsidP="00860514">
            <w:pPr>
              <w:pStyle w:val="ListParagraph"/>
              <w:ind w:left="0"/>
            </w:pPr>
          </w:p>
        </w:tc>
        <w:tc>
          <w:tcPr>
            <w:tcW w:w="1204" w:type="dxa"/>
          </w:tcPr>
          <w:p w14:paraId="4B86E047" w14:textId="77777777" w:rsidR="00F501DD" w:rsidRDefault="00F501DD" w:rsidP="00C20840">
            <w:pPr>
              <w:pStyle w:val="ListParagraph"/>
              <w:ind w:left="0"/>
              <w:jc w:val="right"/>
            </w:pPr>
            <w:r>
              <w:t>£000</w:t>
            </w:r>
          </w:p>
        </w:tc>
        <w:tc>
          <w:tcPr>
            <w:tcW w:w="1064" w:type="dxa"/>
          </w:tcPr>
          <w:p w14:paraId="4B86E048" w14:textId="77777777" w:rsidR="00F501DD" w:rsidRDefault="00F501DD" w:rsidP="00C20840">
            <w:pPr>
              <w:pStyle w:val="ListParagraph"/>
              <w:ind w:left="0"/>
              <w:jc w:val="right"/>
            </w:pPr>
            <w:r>
              <w:t>£000</w:t>
            </w:r>
          </w:p>
        </w:tc>
        <w:tc>
          <w:tcPr>
            <w:tcW w:w="1346" w:type="dxa"/>
          </w:tcPr>
          <w:p w14:paraId="4B86E049" w14:textId="77777777" w:rsidR="00F501DD" w:rsidRDefault="00F501DD" w:rsidP="00C20840">
            <w:pPr>
              <w:pStyle w:val="ListParagraph"/>
              <w:ind w:left="0"/>
              <w:jc w:val="right"/>
            </w:pPr>
            <w:r>
              <w:t>£000</w:t>
            </w:r>
          </w:p>
        </w:tc>
        <w:tc>
          <w:tcPr>
            <w:tcW w:w="1205" w:type="dxa"/>
          </w:tcPr>
          <w:p w14:paraId="4B86E04A" w14:textId="77777777" w:rsidR="00F501DD" w:rsidRDefault="00227A06" w:rsidP="00C20840">
            <w:pPr>
              <w:pStyle w:val="ListParagraph"/>
              <w:ind w:left="0"/>
              <w:jc w:val="right"/>
            </w:pPr>
            <w:r>
              <w:t>£000</w:t>
            </w:r>
          </w:p>
        </w:tc>
      </w:tr>
      <w:tr w:rsidR="00F501DD" w14:paraId="4B86E051" w14:textId="77777777" w:rsidTr="00227A06">
        <w:tc>
          <w:tcPr>
            <w:tcW w:w="3711" w:type="dxa"/>
          </w:tcPr>
          <w:p w14:paraId="4B86E04C" w14:textId="77777777" w:rsidR="00F501DD" w:rsidRDefault="00F501DD" w:rsidP="00860514">
            <w:pPr>
              <w:pStyle w:val="ListParagraph"/>
              <w:ind w:left="0"/>
            </w:pPr>
            <w:r>
              <w:t>Statutory and regulatory Duties</w:t>
            </w:r>
          </w:p>
        </w:tc>
        <w:tc>
          <w:tcPr>
            <w:tcW w:w="1204" w:type="dxa"/>
          </w:tcPr>
          <w:p w14:paraId="4B86E04D" w14:textId="77777777" w:rsidR="00F501DD" w:rsidRDefault="00F501DD" w:rsidP="00C20840">
            <w:pPr>
              <w:pStyle w:val="ListParagraph"/>
              <w:ind w:left="0"/>
              <w:jc w:val="right"/>
            </w:pPr>
            <w:r>
              <w:t>1,553</w:t>
            </w:r>
          </w:p>
        </w:tc>
        <w:tc>
          <w:tcPr>
            <w:tcW w:w="1064" w:type="dxa"/>
          </w:tcPr>
          <w:p w14:paraId="4B86E04E" w14:textId="77777777" w:rsidR="00F501DD" w:rsidRDefault="00F501DD" w:rsidP="00C20840">
            <w:pPr>
              <w:pStyle w:val="ListParagraph"/>
              <w:ind w:left="0"/>
              <w:jc w:val="right"/>
            </w:pPr>
            <w:r>
              <w:t>358</w:t>
            </w:r>
          </w:p>
        </w:tc>
        <w:tc>
          <w:tcPr>
            <w:tcW w:w="1346" w:type="dxa"/>
          </w:tcPr>
          <w:p w14:paraId="4B86E04F" w14:textId="77777777" w:rsidR="00F501DD" w:rsidRDefault="00F501DD" w:rsidP="00C20840">
            <w:pPr>
              <w:pStyle w:val="ListParagraph"/>
              <w:ind w:left="0"/>
              <w:jc w:val="right"/>
            </w:pPr>
            <w:r>
              <w:t>303</w:t>
            </w:r>
          </w:p>
        </w:tc>
        <w:tc>
          <w:tcPr>
            <w:tcW w:w="1205" w:type="dxa"/>
          </w:tcPr>
          <w:p w14:paraId="4B86E050" w14:textId="77777777" w:rsidR="00F501DD" w:rsidRDefault="00F501DD" w:rsidP="00C20840">
            <w:pPr>
              <w:pStyle w:val="ListParagraph"/>
              <w:ind w:left="0"/>
              <w:jc w:val="right"/>
            </w:pPr>
            <w:r>
              <w:t>892</w:t>
            </w:r>
          </w:p>
        </w:tc>
      </w:tr>
      <w:tr w:rsidR="00F501DD" w14:paraId="4B86E057" w14:textId="77777777" w:rsidTr="00227A06">
        <w:tc>
          <w:tcPr>
            <w:tcW w:w="3711" w:type="dxa"/>
          </w:tcPr>
          <w:p w14:paraId="4B86E052" w14:textId="77777777" w:rsidR="00F501DD" w:rsidRDefault="00F501DD" w:rsidP="00860514">
            <w:pPr>
              <w:pStyle w:val="ListParagraph"/>
              <w:ind w:left="0"/>
            </w:pPr>
            <w:r>
              <w:t>School Improvement</w:t>
            </w:r>
          </w:p>
        </w:tc>
        <w:tc>
          <w:tcPr>
            <w:tcW w:w="1204" w:type="dxa"/>
          </w:tcPr>
          <w:p w14:paraId="4B86E053" w14:textId="77777777" w:rsidR="00F501DD" w:rsidRDefault="00F501DD" w:rsidP="00C20840">
            <w:pPr>
              <w:pStyle w:val="ListParagraph"/>
              <w:ind w:left="0"/>
              <w:jc w:val="right"/>
            </w:pPr>
            <w:r>
              <w:t>366</w:t>
            </w:r>
          </w:p>
        </w:tc>
        <w:tc>
          <w:tcPr>
            <w:tcW w:w="1064" w:type="dxa"/>
          </w:tcPr>
          <w:p w14:paraId="4B86E054" w14:textId="77777777" w:rsidR="00F501DD" w:rsidRDefault="00F501DD" w:rsidP="00C20840">
            <w:pPr>
              <w:pStyle w:val="ListParagraph"/>
              <w:ind w:left="0"/>
              <w:jc w:val="right"/>
            </w:pPr>
            <w:r>
              <w:t>0</w:t>
            </w:r>
          </w:p>
        </w:tc>
        <w:tc>
          <w:tcPr>
            <w:tcW w:w="1346" w:type="dxa"/>
          </w:tcPr>
          <w:p w14:paraId="4B86E055" w14:textId="77777777" w:rsidR="00F501DD" w:rsidRDefault="00F501DD" w:rsidP="00C20840">
            <w:pPr>
              <w:pStyle w:val="ListParagraph"/>
              <w:ind w:left="0"/>
              <w:jc w:val="right"/>
            </w:pPr>
          </w:p>
        </w:tc>
        <w:tc>
          <w:tcPr>
            <w:tcW w:w="1205" w:type="dxa"/>
          </w:tcPr>
          <w:p w14:paraId="4B86E056" w14:textId="77777777" w:rsidR="00F501DD" w:rsidRDefault="00F501DD" w:rsidP="00C20840">
            <w:pPr>
              <w:pStyle w:val="ListParagraph"/>
              <w:ind w:left="0"/>
              <w:jc w:val="right"/>
            </w:pPr>
            <w:r>
              <w:t>366</w:t>
            </w:r>
          </w:p>
        </w:tc>
      </w:tr>
      <w:tr w:rsidR="00F501DD" w14:paraId="4B86E05D" w14:textId="77777777" w:rsidTr="00227A06">
        <w:tc>
          <w:tcPr>
            <w:tcW w:w="3711" w:type="dxa"/>
          </w:tcPr>
          <w:p w14:paraId="4B86E058" w14:textId="77777777" w:rsidR="00F501DD" w:rsidRDefault="00F501DD" w:rsidP="00860514">
            <w:pPr>
              <w:pStyle w:val="ListParagraph"/>
              <w:ind w:left="0"/>
            </w:pPr>
            <w:r>
              <w:t>Education Welfare</w:t>
            </w:r>
          </w:p>
        </w:tc>
        <w:tc>
          <w:tcPr>
            <w:tcW w:w="1204" w:type="dxa"/>
          </w:tcPr>
          <w:p w14:paraId="4B86E059" w14:textId="77777777" w:rsidR="00F501DD" w:rsidRDefault="00F501DD" w:rsidP="00C20840">
            <w:pPr>
              <w:pStyle w:val="ListParagraph"/>
              <w:ind w:left="0"/>
              <w:jc w:val="right"/>
            </w:pPr>
            <w:r>
              <w:t>1,243</w:t>
            </w:r>
          </w:p>
        </w:tc>
        <w:tc>
          <w:tcPr>
            <w:tcW w:w="1064" w:type="dxa"/>
          </w:tcPr>
          <w:p w14:paraId="4B86E05A" w14:textId="77777777" w:rsidR="00F501DD" w:rsidRDefault="00F501DD" w:rsidP="00C20840">
            <w:pPr>
              <w:pStyle w:val="ListParagraph"/>
              <w:ind w:left="0"/>
              <w:jc w:val="right"/>
            </w:pPr>
            <w:r>
              <w:t>229</w:t>
            </w:r>
          </w:p>
        </w:tc>
        <w:tc>
          <w:tcPr>
            <w:tcW w:w="1346" w:type="dxa"/>
          </w:tcPr>
          <w:p w14:paraId="4B86E05B" w14:textId="77777777" w:rsidR="00F501DD" w:rsidRDefault="00F501DD" w:rsidP="00C20840">
            <w:pPr>
              <w:pStyle w:val="ListParagraph"/>
              <w:ind w:left="0"/>
              <w:jc w:val="right"/>
            </w:pPr>
            <w:r>
              <w:t>207</w:t>
            </w:r>
          </w:p>
        </w:tc>
        <w:tc>
          <w:tcPr>
            <w:tcW w:w="1205" w:type="dxa"/>
          </w:tcPr>
          <w:p w14:paraId="4B86E05C" w14:textId="77777777" w:rsidR="00F501DD" w:rsidRDefault="00F501DD" w:rsidP="00C20840">
            <w:pPr>
              <w:pStyle w:val="ListParagraph"/>
              <w:ind w:left="0"/>
              <w:jc w:val="right"/>
            </w:pPr>
            <w:r>
              <w:t>807</w:t>
            </w:r>
          </w:p>
        </w:tc>
      </w:tr>
      <w:tr w:rsidR="00F501DD" w14:paraId="4B86E063" w14:textId="77777777" w:rsidTr="00227A06">
        <w:tc>
          <w:tcPr>
            <w:tcW w:w="3711" w:type="dxa"/>
          </w:tcPr>
          <w:p w14:paraId="4B86E05E" w14:textId="77777777" w:rsidR="00F501DD" w:rsidRDefault="00F501DD" w:rsidP="00860514">
            <w:pPr>
              <w:pStyle w:val="ListParagraph"/>
              <w:ind w:left="0"/>
            </w:pPr>
            <w:r>
              <w:t>Asset Management</w:t>
            </w:r>
          </w:p>
        </w:tc>
        <w:tc>
          <w:tcPr>
            <w:tcW w:w="1204" w:type="dxa"/>
          </w:tcPr>
          <w:p w14:paraId="4B86E05F" w14:textId="77777777" w:rsidR="00F501DD" w:rsidRDefault="00F501DD" w:rsidP="00C20840">
            <w:pPr>
              <w:pStyle w:val="ListParagraph"/>
              <w:ind w:left="0"/>
              <w:jc w:val="right"/>
            </w:pPr>
            <w:r>
              <w:t>419</w:t>
            </w:r>
          </w:p>
        </w:tc>
        <w:tc>
          <w:tcPr>
            <w:tcW w:w="1064" w:type="dxa"/>
          </w:tcPr>
          <w:p w14:paraId="4B86E060" w14:textId="77777777" w:rsidR="00F501DD" w:rsidRDefault="00F501DD" w:rsidP="00C20840">
            <w:pPr>
              <w:pStyle w:val="ListParagraph"/>
              <w:ind w:left="0"/>
              <w:jc w:val="right"/>
            </w:pPr>
            <w:r>
              <w:t>43</w:t>
            </w:r>
          </w:p>
        </w:tc>
        <w:tc>
          <w:tcPr>
            <w:tcW w:w="1346" w:type="dxa"/>
          </w:tcPr>
          <w:p w14:paraId="4B86E061" w14:textId="77777777" w:rsidR="00F501DD" w:rsidRDefault="00F501DD" w:rsidP="00C20840">
            <w:pPr>
              <w:pStyle w:val="ListParagraph"/>
              <w:ind w:left="0"/>
              <w:jc w:val="right"/>
            </w:pPr>
            <w:r>
              <w:t>39</w:t>
            </w:r>
          </w:p>
        </w:tc>
        <w:tc>
          <w:tcPr>
            <w:tcW w:w="1205" w:type="dxa"/>
          </w:tcPr>
          <w:p w14:paraId="4B86E062" w14:textId="77777777" w:rsidR="00F501DD" w:rsidRDefault="00F501DD" w:rsidP="00C20840">
            <w:pPr>
              <w:pStyle w:val="ListParagraph"/>
              <w:ind w:left="0"/>
              <w:jc w:val="right"/>
            </w:pPr>
            <w:r>
              <w:t>337</w:t>
            </w:r>
          </w:p>
        </w:tc>
      </w:tr>
      <w:tr w:rsidR="00F501DD" w14:paraId="4B86E069" w14:textId="77777777" w:rsidTr="00227A06">
        <w:tc>
          <w:tcPr>
            <w:tcW w:w="3711" w:type="dxa"/>
          </w:tcPr>
          <w:p w14:paraId="4B86E064" w14:textId="77777777" w:rsidR="00F501DD" w:rsidRDefault="00F501DD" w:rsidP="00860514">
            <w:pPr>
              <w:pStyle w:val="ListParagraph"/>
              <w:ind w:left="0"/>
            </w:pPr>
            <w:r>
              <w:t>Central Support services</w:t>
            </w:r>
          </w:p>
        </w:tc>
        <w:tc>
          <w:tcPr>
            <w:tcW w:w="1204" w:type="dxa"/>
          </w:tcPr>
          <w:p w14:paraId="4B86E065" w14:textId="77777777" w:rsidR="00F501DD" w:rsidRDefault="00F501DD" w:rsidP="00C20840">
            <w:pPr>
              <w:pStyle w:val="ListParagraph"/>
              <w:ind w:left="0"/>
              <w:jc w:val="right"/>
            </w:pPr>
            <w:r>
              <w:t>480</w:t>
            </w:r>
          </w:p>
        </w:tc>
        <w:tc>
          <w:tcPr>
            <w:tcW w:w="1064" w:type="dxa"/>
          </w:tcPr>
          <w:p w14:paraId="4B86E066" w14:textId="77777777" w:rsidR="00F501DD" w:rsidRDefault="00F501DD" w:rsidP="00C20840">
            <w:pPr>
              <w:pStyle w:val="ListParagraph"/>
              <w:ind w:left="0"/>
              <w:jc w:val="right"/>
            </w:pPr>
          </w:p>
        </w:tc>
        <w:tc>
          <w:tcPr>
            <w:tcW w:w="1346" w:type="dxa"/>
          </w:tcPr>
          <w:p w14:paraId="4B86E067" w14:textId="77777777" w:rsidR="00F501DD" w:rsidRDefault="00F501DD" w:rsidP="00C20840">
            <w:pPr>
              <w:pStyle w:val="ListParagraph"/>
              <w:ind w:left="0"/>
              <w:jc w:val="right"/>
            </w:pPr>
            <w:r>
              <w:t>106</w:t>
            </w:r>
          </w:p>
        </w:tc>
        <w:tc>
          <w:tcPr>
            <w:tcW w:w="1205" w:type="dxa"/>
          </w:tcPr>
          <w:p w14:paraId="4B86E068" w14:textId="77777777" w:rsidR="00F501DD" w:rsidRDefault="00F501DD" w:rsidP="00C20840">
            <w:pPr>
              <w:pStyle w:val="ListParagraph"/>
              <w:ind w:left="0"/>
              <w:jc w:val="right"/>
            </w:pPr>
            <w:r>
              <w:t>374</w:t>
            </w:r>
          </w:p>
        </w:tc>
      </w:tr>
      <w:tr w:rsidR="00F501DD" w14:paraId="4B86E06F" w14:textId="77777777" w:rsidTr="00227A06">
        <w:tc>
          <w:tcPr>
            <w:tcW w:w="3711" w:type="dxa"/>
          </w:tcPr>
          <w:p w14:paraId="4B86E06A" w14:textId="77777777" w:rsidR="00F501DD" w:rsidRDefault="00F501DD" w:rsidP="00860514">
            <w:pPr>
              <w:pStyle w:val="ListParagraph"/>
              <w:ind w:left="0"/>
            </w:pPr>
            <w:r>
              <w:t>Redundancy &amp; Early Retirement</w:t>
            </w:r>
          </w:p>
        </w:tc>
        <w:tc>
          <w:tcPr>
            <w:tcW w:w="1204" w:type="dxa"/>
          </w:tcPr>
          <w:p w14:paraId="4B86E06B" w14:textId="77777777" w:rsidR="00F501DD" w:rsidRDefault="00F501DD" w:rsidP="00C20840">
            <w:pPr>
              <w:pStyle w:val="ListParagraph"/>
              <w:ind w:left="0"/>
              <w:jc w:val="right"/>
            </w:pPr>
            <w:r>
              <w:t>1,481</w:t>
            </w:r>
          </w:p>
        </w:tc>
        <w:tc>
          <w:tcPr>
            <w:tcW w:w="1064" w:type="dxa"/>
          </w:tcPr>
          <w:p w14:paraId="4B86E06C" w14:textId="77777777" w:rsidR="00F501DD" w:rsidRDefault="00F501DD" w:rsidP="00C20840">
            <w:pPr>
              <w:pStyle w:val="ListParagraph"/>
              <w:ind w:left="0"/>
              <w:jc w:val="right"/>
            </w:pPr>
            <w:r>
              <w:t>0</w:t>
            </w:r>
          </w:p>
        </w:tc>
        <w:tc>
          <w:tcPr>
            <w:tcW w:w="1346" w:type="dxa"/>
          </w:tcPr>
          <w:p w14:paraId="4B86E06D" w14:textId="77777777" w:rsidR="00F501DD" w:rsidRDefault="00F501DD" w:rsidP="00C20840">
            <w:pPr>
              <w:pStyle w:val="ListParagraph"/>
              <w:ind w:left="0"/>
              <w:jc w:val="right"/>
            </w:pPr>
            <w:r>
              <w:t>245</w:t>
            </w:r>
          </w:p>
        </w:tc>
        <w:tc>
          <w:tcPr>
            <w:tcW w:w="1205" w:type="dxa"/>
          </w:tcPr>
          <w:p w14:paraId="4B86E06E" w14:textId="77777777" w:rsidR="00F501DD" w:rsidRDefault="00F501DD" w:rsidP="00C20840">
            <w:pPr>
              <w:pStyle w:val="ListParagraph"/>
              <w:ind w:left="0"/>
              <w:jc w:val="right"/>
            </w:pPr>
            <w:r>
              <w:t>1,236</w:t>
            </w:r>
          </w:p>
        </w:tc>
      </w:tr>
      <w:tr w:rsidR="00F501DD" w14:paraId="4B86E075" w14:textId="77777777" w:rsidTr="00227A06">
        <w:tc>
          <w:tcPr>
            <w:tcW w:w="3711" w:type="dxa"/>
          </w:tcPr>
          <w:p w14:paraId="4B86E070" w14:textId="77777777" w:rsidR="00F501DD" w:rsidRDefault="00F501DD" w:rsidP="00860514">
            <w:pPr>
              <w:pStyle w:val="ListParagraph"/>
              <w:ind w:left="0"/>
            </w:pPr>
            <w:r>
              <w:t>Total</w:t>
            </w:r>
          </w:p>
        </w:tc>
        <w:tc>
          <w:tcPr>
            <w:tcW w:w="1204" w:type="dxa"/>
          </w:tcPr>
          <w:p w14:paraId="4B86E071" w14:textId="77777777" w:rsidR="00F501DD" w:rsidRDefault="00F501DD" w:rsidP="00C20840">
            <w:pPr>
              <w:pStyle w:val="ListParagraph"/>
              <w:ind w:left="0"/>
              <w:jc w:val="right"/>
            </w:pPr>
            <w:r>
              <w:t>5,542</w:t>
            </w:r>
          </w:p>
        </w:tc>
        <w:tc>
          <w:tcPr>
            <w:tcW w:w="1064" w:type="dxa"/>
          </w:tcPr>
          <w:p w14:paraId="4B86E072" w14:textId="77777777" w:rsidR="00F501DD" w:rsidRDefault="00F501DD" w:rsidP="00C20840">
            <w:pPr>
              <w:pStyle w:val="ListParagraph"/>
              <w:ind w:left="0"/>
              <w:jc w:val="right"/>
            </w:pPr>
            <w:r>
              <w:t>630</w:t>
            </w:r>
          </w:p>
        </w:tc>
        <w:tc>
          <w:tcPr>
            <w:tcW w:w="1346" w:type="dxa"/>
          </w:tcPr>
          <w:p w14:paraId="4B86E073" w14:textId="77777777" w:rsidR="00F501DD" w:rsidRDefault="00F501DD" w:rsidP="00C20840">
            <w:pPr>
              <w:pStyle w:val="ListParagraph"/>
              <w:ind w:left="0"/>
              <w:jc w:val="right"/>
            </w:pPr>
            <w:r>
              <w:t>901</w:t>
            </w:r>
          </w:p>
        </w:tc>
        <w:tc>
          <w:tcPr>
            <w:tcW w:w="1205" w:type="dxa"/>
          </w:tcPr>
          <w:p w14:paraId="4B86E074" w14:textId="77777777" w:rsidR="00F501DD" w:rsidRDefault="00227A06" w:rsidP="00C20840">
            <w:pPr>
              <w:pStyle w:val="ListParagraph"/>
              <w:ind w:left="0"/>
              <w:jc w:val="right"/>
            </w:pPr>
            <w:r>
              <w:t>4,011</w:t>
            </w:r>
          </w:p>
        </w:tc>
      </w:tr>
    </w:tbl>
    <w:p w14:paraId="4B86E076" w14:textId="77777777" w:rsidR="00860514" w:rsidRDefault="00860514" w:rsidP="00860514">
      <w:pPr>
        <w:pStyle w:val="ListParagraph"/>
        <w:ind w:left="792"/>
      </w:pPr>
    </w:p>
    <w:p w14:paraId="4B86E077" w14:textId="77777777" w:rsidR="00036092" w:rsidRDefault="00036092" w:rsidP="00C80C78"/>
    <w:p w14:paraId="4B86E078" w14:textId="77777777" w:rsidR="00550232" w:rsidRDefault="00A95177" w:rsidP="00263DD7">
      <w:pPr>
        <w:pStyle w:val="ListParagraph"/>
        <w:numPr>
          <w:ilvl w:val="1"/>
          <w:numId w:val="46"/>
        </w:numPr>
        <w:ind w:hanging="792"/>
      </w:pPr>
      <w:r>
        <w:t>M</w:t>
      </w:r>
      <w:r w:rsidR="00263DD7">
        <w:t xml:space="preserve">aintained school representatives are asked to </w:t>
      </w:r>
      <w:r>
        <w:t>note the proposals to de-delegate</w:t>
      </w:r>
      <w:r w:rsidR="00263DD7">
        <w:t xml:space="preserve"> £27.50 </w:t>
      </w:r>
      <w:r>
        <w:t>per pupil in mainstream schools and</w:t>
      </w:r>
      <w:r w:rsidR="00263DD7">
        <w:t xml:space="preserve"> £8</w:t>
      </w:r>
      <w:r>
        <w:t>0</w:t>
      </w:r>
      <w:r w:rsidR="00263DD7">
        <w:t xml:space="preserve"> per special school </w:t>
      </w:r>
      <w:r>
        <w:t>and</w:t>
      </w:r>
      <w:r w:rsidR="00263DD7">
        <w:t xml:space="preserve"> PRU place. </w:t>
      </w:r>
      <w:r>
        <w:t>The proposals will be recommended for agreement at the January meeting.</w:t>
      </w:r>
    </w:p>
    <w:p w14:paraId="4B86E079" w14:textId="77777777" w:rsidR="00E26D0A" w:rsidRDefault="00E26D0A">
      <w:pPr>
        <w:rPr>
          <w:b/>
        </w:rPr>
      </w:pPr>
      <w:r>
        <w:rPr>
          <w:b/>
        </w:rPr>
        <w:br w:type="page"/>
      </w:r>
    </w:p>
    <w:p w14:paraId="4B86E07A" w14:textId="77777777" w:rsidR="00E26D0A" w:rsidRPr="00E26D0A" w:rsidRDefault="00E26D0A" w:rsidP="00E26D0A">
      <w:pPr>
        <w:rPr>
          <w:b/>
        </w:rPr>
      </w:pPr>
      <w:r w:rsidRPr="00E26D0A">
        <w:rPr>
          <w:b/>
        </w:rPr>
        <w:lastRenderedPageBreak/>
        <w:t xml:space="preserve">Appendix </w:t>
      </w:r>
      <w:r>
        <w:rPr>
          <w:b/>
        </w:rPr>
        <w:t>2:</w:t>
      </w:r>
      <w:r w:rsidRPr="00E26D0A">
        <w:rPr>
          <w:b/>
        </w:rPr>
        <w:tab/>
        <w:t>Criteria for Schools Accessing Pupil Growth Contingency</w:t>
      </w:r>
      <w:r w:rsidRPr="00E26D0A">
        <w:rPr>
          <w:b/>
        </w:rPr>
        <w:tab/>
      </w:r>
    </w:p>
    <w:p w14:paraId="4B86E07B" w14:textId="77777777" w:rsidR="00E26D0A" w:rsidRPr="00E26D0A" w:rsidRDefault="00E26D0A" w:rsidP="00E26D0A"/>
    <w:p w14:paraId="4B86E07C" w14:textId="77777777" w:rsidR="00E26D0A" w:rsidRPr="00E26D0A" w:rsidRDefault="00E26D0A" w:rsidP="00E26D0A">
      <w:r w:rsidRPr="00E26D0A">
        <w:t>The criteria that will be used and applied to allocate funding to schools under Tower Hamlets Council, Education, Social Care &amp; Wellbeing Growth Policy.</w:t>
      </w:r>
    </w:p>
    <w:p w14:paraId="4B86E07D" w14:textId="77777777" w:rsidR="00E26D0A" w:rsidRPr="00E26D0A" w:rsidRDefault="00E26D0A" w:rsidP="00E26D0A"/>
    <w:p w14:paraId="4B86E07E" w14:textId="77777777" w:rsidR="00E26D0A" w:rsidRPr="00E26D0A" w:rsidRDefault="00E26D0A" w:rsidP="00E26D0A">
      <w:r w:rsidRPr="00E26D0A">
        <w:t>In particular funding will be allocated on four criteria.</w:t>
      </w:r>
    </w:p>
    <w:p w14:paraId="4B86E07F" w14:textId="77777777" w:rsidR="00E26D0A" w:rsidRPr="00E26D0A" w:rsidRDefault="00E26D0A" w:rsidP="00E26D0A"/>
    <w:p w14:paraId="4B86E080" w14:textId="77777777" w:rsidR="00E26D0A" w:rsidRPr="00E26D0A" w:rsidRDefault="00E26D0A" w:rsidP="00E26D0A">
      <w:r w:rsidRPr="00E26D0A">
        <w:t>a) Where there are planned permanent expansions (i.e. the school’s admission and the building capacity has been permanently increased specifically to meet additional pupil number growth) the contingency fund will meet the cost of any additional pupils on the October or January census date, compared to the previous admission number for that year group. For instance, a school that already started to move from 2 forms of entry (60 places) to 3 forms of entry (90 places), may have actual pupil numbers in Year 2 of 85, in the first year that the expansion affects Year 2. If there were 85 pupils on the October census, the school would get ((85-60) x AWPU x 7/12) or 3/12 for a January start. A minimum 20 pupils per class (or 10 for ½ a form entry) is calculated to ensure both staffing and teaching resources are covered for this provision i.e. a class of 30 pupils that has only 19 pupils at the October or January census date would be entitled to 20 x 7/12ths x AWPU rate. These arrangements apply for only the first year that any new admission places for a year-group are offered.</w:t>
      </w:r>
    </w:p>
    <w:p w14:paraId="4B86E081" w14:textId="77777777" w:rsidR="00E26D0A" w:rsidRPr="00E26D0A" w:rsidRDefault="00E26D0A" w:rsidP="00E26D0A"/>
    <w:p w14:paraId="4B86E082" w14:textId="77777777" w:rsidR="00E26D0A" w:rsidRPr="00E26D0A" w:rsidRDefault="00E26D0A" w:rsidP="00E26D0A">
      <w:r w:rsidRPr="00E26D0A">
        <w:t>b) Where there is only a temporary one-off expansion in a single year group (bulge class), the maintained school or Academy will receive an extra £200 per pupil towards the cost of additional resources over and above the AWPU. These arrangements apply for only the year of opening of the class.</w:t>
      </w:r>
    </w:p>
    <w:p w14:paraId="4B86E083" w14:textId="77777777" w:rsidR="00E26D0A" w:rsidRPr="00E26D0A" w:rsidRDefault="00E26D0A" w:rsidP="00E26D0A"/>
    <w:p w14:paraId="4B86E084" w14:textId="77777777" w:rsidR="00E26D0A" w:rsidRPr="00E26D0A" w:rsidRDefault="00E26D0A" w:rsidP="00E26D0A">
      <w:r w:rsidRPr="00E26D0A">
        <w:t>c) Where planned expansion of the maintained school or Academy is by at least 2 forms of entry, the Local Authority will provide additional Leadership and Management funding worth £40,000 per year over the first three financial years in recognition of the increase in management costs associated with significant expansion. (Year 1 of this funding is the school year before opening if that is agreed by the school and LA – i.e. to reflect the planning ahead requirement for the change).</w:t>
      </w:r>
    </w:p>
    <w:p w14:paraId="4B86E085" w14:textId="77777777" w:rsidR="00E26D0A" w:rsidRPr="00E26D0A" w:rsidRDefault="00E26D0A" w:rsidP="00E26D0A"/>
    <w:p w14:paraId="4B86E086" w14:textId="77777777" w:rsidR="00E26D0A" w:rsidRPr="00E26D0A" w:rsidRDefault="00E26D0A" w:rsidP="00E26D0A">
      <w:r w:rsidRPr="00E26D0A">
        <w:t>d) Permanent expansions are generally implemented over time by admitting the additional pupils at Reception or Year 7 only until the additional capacity fills. Where a school has specific facilities management or ICT contract arrangements which provide services as though an expanding school were full, the contingency fund will provide proportionate support for individual schools on the basis of the year groups which are operating below full capacity. For instance, a four form of entry school offering 5 year groups is expanding to a five form of entry school. Before the expansion, there were 600 places available in total and, after the expansion there will be 750 places in total. In the first year after the expansion, however, there will be (150 x 4 + 30) = 630 places with 120 unfilled places. The contingency fund would pay for 120/750ths of the annual cost of those contracts.</w:t>
      </w:r>
    </w:p>
    <w:p w14:paraId="4B86E087" w14:textId="77777777" w:rsidR="00E26D0A" w:rsidRPr="00E26D0A" w:rsidRDefault="00E26D0A" w:rsidP="00E26D0A"/>
    <w:p w14:paraId="4B86E088" w14:textId="77777777" w:rsidR="00303E97" w:rsidRDefault="00303E97">
      <w:r>
        <w:br w:type="page"/>
      </w:r>
    </w:p>
    <w:p w14:paraId="4B86E089" w14:textId="77777777" w:rsidR="008B2D9D" w:rsidRDefault="008B2D9D" w:rsidP="00E26D0A">
      <w:pPr>
        <w:sectPr w:rsidR="008B2D9D" w:rsidSect="004C11CF">
          <w:headerReference w:type="default" r:id="rId11"/>
          <w:footerReference w:type="default" r:id="rId12"/>
          <w:pgSz w:w="11906" w:h="16838" w:code="9"/>
          <w:pgMar w:top="1503" w:right="1418" w:bottom="1440" w:left="1418" w:header="709" w:footer="709" w:gutter="0"/>
          <w:cols w:space="708"/>
          <w:docGrid w:linePitch="360"/>
        </w:sectPr>
      </w:pPr>
    </w:p>
    <w:p w14:paraId="4B86E08A" w14:textId="77777777" w:rsidR="00E26D0A" w:rsidRPr="008B2D9D" w:rsidRDefault="00405862" w:rsidP="00E26D0A">
      <w:pPr>
        <w:rPr>
          <w:b/>
          <w:sz w:val="20"/>
          <w:szCs w:val="20"/>
        </w:rPr>
      </w:pPr>
      <w:r>
        <w:rPr>
          <w:b/>
          <w:sz w:val="20"/>
          <w:szCs w:val="20"/>
        </w:rPr>
        <w:lastRenderedPageBreak/>
        <w:t>Appendix 4</w:t>
      </w:r>
      <w:r w:rsidR="008B2D9D" w:rsidRPr="008B2D9D">
        <w:rPr>
          <w:b/>
          <w:sz w:val="20"/>
          <w:szCs w:val="20"/>
        </w:rPr>
        <w:t xml:space="preserve"> Former Education Services Grant </w:t>
      </w:r>
      <w:r w:rsidR="00545F96">
        <w:rPr>
          <w:b/>
          <w:sz w:val="20"/>
          <w:szCs w:val="20"/>
        </w:rPr>
        <w:t xml:space="preserve">–Attachment </w:t>
      </w:r>
      <w:r w:rsidR="008B2D9D" w:rsidRPr="008B2D9D">
        <w:rPr>
          <w:b/>
          <w:sz w:val="20"/>
          <w:szCs w:val="20"/>
        </w:rPr>
        <w:t xml:space="preserve"> </w:t>
      </w:r>
    </w:p>
    <w:p w14:paraId="4B86E08B" w14:textId="77777777" w:rsidR="008B2D9D" w:rsidRPr="00E26D0A" w:rsidRDefault="008B2D9D" w:rsidP="00545F96">
      <w:pPr>
        <w:jc w:val="center"/>
      </w:pPr>
    </w:p>
    <w:sectPr w:rsidR="008B2D9D" w:rsidRPr="00E26D0A" w:rsidSect="008B2D9D">
      <w:pgSz w:w="16838" w:h="11906" w:orient="landscape" w:code="9"/>
      <w:pgMar w:top="1418" w:right="1503"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6E08E" w14:textId="77777777" w:rsidR="0096294A" w:rsidRDefault="0096294A">
      <w:r>
        <w:separator/>
      </w:r>
    </w:p>
  </w:endnote>
  <w:endnote w:type="continuationSeparator" w:id="0">
    <w:p w14:paraId="4B86E08F" w14:textId="77777777" w:rsidR="0096294A" w:rsidRDefault="009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E092" w14:textId="77777777" w:rsidR="0096294A" w:rsidRDefault="0096294A">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545F96">
      <w:rPr>
        <w:rStyle w:val="PageNumber"/>
        <w:b/>
        <w:noProof/>
      </w:rPr>
      <w:t>7</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E08C" w14:textId="77777777" w:rsidR="0096294A" w:rsidRDefault="0096294A">
      <w:r>
        <w:separator/>
      </w:r>
    </w:p>
  </w:footnote>
  <w:footnote w:type="continuationSeparator" w:id="0">
    <w:p w14:paraId="4B86E08D" w14:textId="77777777" w:rsidR="0096294A" w:rsidRDefault="0096294A">
      <w:r>
        <w:continuationSeparator/>
      </w:r>
    </w:p>
  </w:footnote>
  <w:footnote w:id="1">
    <w:p w14:paraId="4B86E093" w14:textId="77777777" w:rsidR="001C1360" w:rsidRDefault="001C1360">
      <w:pPr>
        <w:pStyle w:val="FootnoteText"/>
      </w:pPr>
      <w:r>
        <w:rPr>
          <w:rStyle w:val="FootnoteReference"/>
        </w:rPr>
        <w:footnoteRef/>
      </w:r>
      <w:r>
        <w:t xml:space="preserve"> School and Early Years Finance Regulations.</w:t>
      </w:r>
    </w:p>
  </w:footnote>
  <w:footnote w:id="2">
    <w:p w14:paraId="4B86E094" w14:textId="77777777" w:rsidR="00C40D4B" w:rsidRDefault="00C40D4B" w:rsidP="00C40D4B">
      <w:pPr>
        <w:pStyle w:val="FootnoteText"/>
      </w:pPr>
      <w:r>
        <w:rPr>
          <w:rStyle w:val="FootnoteReference"/>
        </w:rPr>
        <w:footnoteRef/>
      </w:r>
      <w:r>
        <w:t xml:space="preserve"> Schools revenue funding 2019 to 2020</w:t>
      </w:r>
    </w:p>
    <w:p w14:paraId="4B86E095" w14:textId="77777777" w:rsidR="00C40D4B" w:rsidRDefault="00C40D4B" w:rsidP="00C40D4B">
      <w:pPr>
        <w:pStyle w:val="FootnoteText"/>
      </w:pPr>
      <w:r>
        <w:t xml:space="preserve">Operational guide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E090" w14:textId="4F9E814F" w:rsidR="0096294A" w:rsidRDefault="0096294A">
    <w:pPr>
      <w:pStyle w:val="Header"/>
    </w:pPr>
    <w:r w:rsidRPr="00ED7730">
      <w:ptab w:relativeTo="margin" w:alignment="center" w:leader="none"/>
    </w:r>
    <w:r w:rsidR="00FF7453">
      <w:t>Schools Forum</w:t>
    </w:r>
  </w:p>
  <w:p w14:paraId="4B86E091"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8"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65FC5"/>
    <w:multiLevelType w:val="multilevel"/>
    <w:tmpl w:val="11D6A31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sz w:val="22"/>
        <w:szCs w:val="22"/>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21C645E"/>
    <w:multiLevelType w:val="multilevel"/>
    <w:tmpl w:val="7EF299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D8A0A07"/>
    <w:multiLevelType w:val="hybridMultilevel"/>
    <w:tmpl w:val="F15842BE"/>
    <w:lvl w:ilvl="0" w:tplc="BE240F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AF00D1"/>
    <w:multiLevelType w:val="hybridMultilevel"/>
    <w:tmpl w:val="0FB86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43"/>
  </w:num>
  <w:num w:numId="3">
    <w:abstractNumId w:val="36"/>
  </w:num>
  <w:num w:numId="4">
    <w:abstractNumId w:val="5"/>
  </w:num>
  <w:num w:numId="5">
    <w:abstractNumId w:val="41"/>
  </w:num>
  <w:num w:numId="6">
    <w:abstractNumId w:val="22"/>
  </w:num>
  <w:num w:numId="7">
    <w:abstractNumId w:val="21"/>
  </w:num>
  <w:num w:numId="8">
    <w:abstractNumId w:val="17"/>
  </w:num>
  <w:num w:numId="9">
    <w:abstractNumId w:val="19"/>
  </w:num>
  <w:num w:numId="10">
    <w:abstractNumId w:val="27"/>
  </w:num>
  <w:num w:numId="11">
    <w:abstractNumId w:val="32"/>
  </w:num>
  <w:num w:numId="12">
    <w:abstractNumId w:val="45"/>
  </w:num>
  <w:num w:numId="13">
    <w:abstractNumId w:val="46"/>
  </w:num>
  <w:num w:numId="14">
    <w:abstractNumId w:val="14"/>
  </w:num>
  <w:num w:numId="15">
    <w:abstractNumId w:val="39"/>
  </w:num>
  <w:num w:numId="16">
    <w:abstractNumId w:val="4"/>
  </w:num>
  <w:num w:numId="17">
    <w:abstractNumId w:val="42"/>
  </w:num>
  <w:num w:numId="18">
    <w:abstractNumId w:val="8"/>
  </w:num>
  <w:num w:numId="19">
    <w:abstractNumId w:val="31"/>
  </w:num>
  <w:num w:numId="20">
    <w:abstractNumId w:val="20"/>
  </w:num>
  <w:num w:numId="21">
    <w:abstractNumId w:val="11"/>
  </w:num>
  <w:num w:numId="22">
    <w:abstractNumId w:val="23"/>
  </w:num>
  <w:num w:numId="23">
    <w:abstractNumId w:val="18"/>
  </w:num>
  <w:num w:numId="24">
    <w:abstractNumId w:val="34"/>
  </w:num>
  <w:num w:numId="25">
    <w:abstractNumId w:val="2"/>
  </w:num>
  <w:num w:numId="26">
    <w:abstractNumId w:val="25"/>
  </w:num>
  <w:num w:numId="27">
    <w:abstractNumId w:val="24"/>
  </w:num>
  <w:num w:numId="28">
    <w:abstractNumId w:val="16"/>
  </w:num>
  <w:num w:numId="29">
    <w:abstractNumId w:val="30"/>
  </w:num>
  <w:num w:numId="30">
    <w:abstractNumId w:val="6"/>
  </w:num>
  <w:num w:numId="31">
    <w:abstractNumId w:val="1"/>
  </w:num>
  <w:num w:numId="32">
    <w:abstractNumId w:val="3"/>
  </w:num>
  <w:num w:numId="33">
    <w:abstractNumId w:val="35"/>
  </w:num>
  <w:num w:numId="34">
    <w:abstractNumId w:val="37"/>
  </w:num>
  <w:num w:numId="35">
    <w:abstractNumId w:val="28"/>
  </w:num>
  <w:num w:numId="36">
    <w:abstractNumId w:val="15"/>
  </w:num>
  <w:num w:numId="37">
    <w:abstractNumId w:val="40"/>
  </w:num>
  <w:num w:numId="38">
    <w:abstractNumId w:val="9"/>
  </w:num>
  <w:num w:numId="39">
    <w:abstractNumId w:val="10"/>
  </w:num>
  <w:num w:numId="40">
    <w:abstractNumId w:val="0"/>
  </w:num>
  <w:num w:numId="41">
    <w:abstractNumId w:val="38"/>
  </w:num>
  <w:num w:numId="42">
    <w:abstractNumId w:val="29"/>
  </w:num>
  <w:num w:numId="43">
    <w:abstractNumId w:val="26"/>
  </w:num>
  <w:num w:numId="44">
    <w:abstractNumId w:val="7"/>
  </w:num>
  <w:num w:numId="45">
    <w:abstractNumId w:val="33"/>
  </w:num>
  <w:num w:numId="46">
    <w:abstractNumId w:val="47"/>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79CF"/>
    <w:rsid w:val="000106AF"/>
    <w:rsid w:val="00011A38"/>
    <w:rsid w:val="0001228D"/>
    <w:rsid w:val="00014128"/>
    <w:rsid w:val="000149FD"/>
    <w:rsid w:val="00025F55"/>
    <w:rsid w:val="00026A03"/>
    <w:rsid w:val="00030F6F"/>
    <w:rsid w:val="000339DC"/>
    <w:rsid w:val="00036092"/>
    <w:rsid w:val="00041E9D"/>
    <w:rsid w:val="00044BF9"/>
    <w:rsid w:val="00046FCB"/>
    <w:rsid w:val="0005284B"/>
    <w:rsid w:val="00053B81"/>
    <w:rsid w:val="0006017B"/>
    <w:rsid w:val="00060FED"/>
    <w:rsid w:val="0007256E"/>
    <w:rsid w:val="00074483"/>
    <w:rsid w:val="00077299"/>
    <w:rsid w:val="00083BBE"/>
    <w:rsid w:val="00087E04"/>
    <w:rsid w:val="000906A2"/>
    <w:rsid w:val="000A2234"/>
    <w:rsid w:val="000A7872"/>
    <w:rsid w:val="000A78CA"/>
    <w:rsid w:val="000A7A7A"/>
    <w:rsid w:val="000C1387"/>
    <w:rsid w:val="000D3037"/>
    <w:rsid w:val="000D5510"/>
    <w:rsid w:val="000D6FF5"/>
    <w:rsid w:val="000D7F04"/>
    <w:rsid w:val="000E153F"/>
    <w:rsid w:val="000E7C2D"/>
    <w:rsid w:val="000F0BCB"/>
    <w:rsid w:val="000F1054"/>
    <w:rsid w:val="00102CEB"/>
    <w:rsid w:val="00110AE1"/>
    <w:rsid w:val="00125730"/>
    <w:rsid w:val="00126384"/>
    <w:rsid w:val="00127374"/>
    <w:rsid w:val="00131EEB"/>
    <w:rsid w:val="0013261A"/>
    <w:rsid w:val="00133AC3"/>
    <w:rsid w:val="001445AD"/>
    <w:rsid w:val="00146058"/>
    <w:rsid w:val="00151AD1"/>
    <w:rsid w:val="00152F4B"/>
    <w:rsid w:val="001619A7"/>
    <w:rsid w:val="001637DD"/>
    <w:rsid w:val="001638D3"/>
    <w:rsid w:val="00171274"/>
    <w:rsid w:val="00177800"/>
    <w:rsid w:val="00184A94"/>
    <w:rsid w:val="0019143A"/>
    <w:rsid w:val="001A2886"/>
    <w:rsid w:val="001A74CC"/>
    <w:rsid w:val="001B1591"/>
    <w:rsid w:val="001B259F"/>
    <w:rsid w:val="001C0093"/>
    <w:rsid w:val="001C1360"/>
    <w:rsid w:val="001C209A"/>
    <w:rsid w:val="001C6F21"/>
    <w:rsid w:val="001D32A0"/>
    <w:rsid w:val="001D4975"/>
    <w:rsid w:val="001D6BA4"/>
    <w:rsid w:val="001E0569"/>
    <w:rsid w:val="001E4116"/>
    <w:rsid w:val="001E472B"/>
    <w:rsid w:val="001E70F6"/>
    <w:rsid w:val="00205496"/>
    <w:rsid w:val="00221B84"/>
    <w:rsid w:val="002246CA"/>
    <w:rsid w:val="00227A06"/>
    <w:rsid w:val="00231641"/>
    <w:rsid w:val="002374A3"/>
    <w:rsid w:val="00246254"/>
    <w:rsid w:val="002467C4"/>
    <w:rsid w:val="00253B34"/>
    <w:rsid w:val="00256938"/>
    <w:rsid w:val="00257D10"/>
    <w:rsid w:val="0026062F"/>
    <w:rsid w:val="0026098B"/>
    <w:rsid w:val="00263DD7"/>
    <w:rsid w:val="002640E1"/>
    <w:rsid w:val="00264249"/>
    <w:rsid w:val="00266DE2"/>
    <w:rsid w:val="00281FD7"/>
    <w:rsid w:val="00287DBD"/>
    <w:rsid w:val="0029022D"/>
    <w:rsid w:val="00290DA3"/>
    <w:rsid w:val="00291476"/>
    <w:rsid w:val="0029323C"/>
    <w:rsid w:val="002958F1"/>
    <w:rsid w:val="002A18E2"/>
    <w:rsid w:val="002A69DC"/>
    <w:rsid w:val="002A734B"/>
    <w:rsid w:val="002B4510"/>
    <w:rsid w:val="002C54E5"/>
    <w:rsid w:val="002D76A6"/>
    <w:rsid w:val="002D7D56"/>
    <w:rsid w:val="002E44F4"/>
    <w:rsid w:val="002F4FB8"/>
    <w:rsid w:val="002F55A8"/>
    <w:rsid w:val="00303E97"/>
    <w:rsid w:val="003044B1"/>
    <w:rsid w:val="0030490E"/>
    <w:rsid w:val="00304E15"/>
    <w:rsid w:val="00322E4D"/>
    <w:rsid w:val="003322EA"/>
    <w:rsid w:val="00351F12"/>
    <w:rsid w:val="003531BB"/>
    <w:rsid w:val="003564B6"/>
    <w:rsid w:val="00361F94"/>
    <w:rsid w:val="0038332C"/>
    <w:rsid w:val="003867AC"/>
    <w:rsid w:val="003920CB"/>
    <w:rsid w:val="003925D5"/>
    <w:rsid w:val="00397511"/>
    <w:rsid w:val="003B2548"/>
    <w:rsid w:val="003B3B0E"/>
    <w:rsid w:val="003B700C"/>
    <w:rsid w:val="003B7621"/>
    <w:rsid w:val="003C0D3A"/>
    <w:rsid w:val="003C1F00"/>
    <w:rsid w:val="003C4300"/>
    <w:rsid w:val="003D08B1"/>
    <w:rsid w:val="003D29D2"/>
    <w:rsid w:val="003D435E"/>
    <w:rsid w:val="003D4611"/>
    <w:rsid w:val="003E00BB"/>
    <w:rsid w:val="00405862"/>
    <w:rsid w:val="00405B39"/>
    <w:rsid w:val="00407F2D"/>
    <w:rsid w:val="00410D37"/>
    <w:rsid w:val="00411EEB"/>
    <w:rsid w:val="00421266"/>
    <w:rsid w:val="004256EA"/>
    <w:rsid w:val="00434EDA"/>
    <w:rsid w:val="00444C0E"/>
    <w:rsid w:val="00446519"/>
    <w:rsid w:val="004478AE"/>
    <w:rsid w:val="00447E7C"/>
    <w:rsid w:val="004503C6"/>
    <w:rsid w:val="0045059B"/>
    <w:rsid w:val="00451CF7"/>
    <w:rsid w:val="00451E0F"/>
    <w:rsid w:val="00457528"/>
    <w:rsid w:val="0046014D"/>
    <w:rsid w:val="00465312"/>
    <w:rsid w:val="0046718D"/>
    <w:rsid w:val="004705A1"/>
    <w:rsid w:val="00472F71"/>
    <w:rsid w:val="004801FF"/>
    <w:rsid w:val="00481721"/>
    <w:rsid w:val="00484430"/>
    <w:rsid w:val="004862AC"/>
    <w:rsid w:val="004862E0"/>
    <w:rsid w:val="00486492"/>
    <w:rsid w:val="004A0F22"/>
    <w:rsid w:val="004A2E94"/>
    <w:rsid w:val="004B6ED7"/>
    <w:rsid w:val="004C11CF"/>
    <w:rsid w:val="004C34C0"/>
    <w:rsid w:val="004D4FF7"/>
    <w:rsid w:val="004D7D73"/>
    <w:rsid w:val="004F67E3"/>
    <w:rsid w:val="00501776"/>
    <w:rsid w:val="0050651C"/>
    <w:rsid w:val="005065B0"/>
    <w:rsid w:val="00510168"/>
    <w:rsid w:val="005210A6"/>
    <w:rsid w:val="00534FB2"/>
    <w:rsid w:val="0054015A"/>
    <w:rsid w:val="00540291"/>
    <w:rsid w:val="00545A21"/>
    <w:rsid w:val="00545F96"/>
    <w:rsid w:val="00550232"/>
    <w:rsid w:val="00550AD9"/>
    <w:rsid w:val="00550F52"/>
    <w:rsid w:val="00552A9D"/>
    <w:rsid w:val="00554009"/>
    <w:rsid w:val="00555D14"/>
    <w:rsid w:val="00565A0D"/>
    <w:rsid w:val="00565F48"/>
    <w:rsid w:val="00570929"/>
    <w:rsid w:val="00571F1C"/>
    <w:rsid w:val="00572E2A"/>
    <w:rsid w:val="00580113"/>
    <w:rsid w:val="00581CFC"/>
    <w:rsid w:val="00582A23"/>
    <w:rsid w:val="005840FC"/>
    <w:rsid w:val="00584A63"/>
    <w:rsid w:val="00586F2C"/>
    <w:rsid w:val="005934AD"/>
    <w:rsid w:val="005A2910"/>
    <w:rsid w:val="005A29F4"/>
    <w:rsid w:val="005A3C4D"/>
    <w:rsid w:val="005D57DA"/>
    <w:rsid w:val="005D5CDC"/>
    <w:rsid w:val="005E12B9"/>
    <w:rsid w:val="005E7EBC"/>
    <w:rsid w:val="005F1CE0"/>
    <w:rsid w:val="005F399C"/>
    <w:rsid w:val="00602FA9"/>
    <w:rsid w:val="00603459"/>
    <w:rsid w:val="00604DF8"/>
    <w:rsid w:val="00611B3F"/>
    <w:rsid w:val="006134FA"/>
    <w:rsid w:val="00613717"/>
    <w:rsid w:val="00616733"/>
    <w:rsid w:val="006254AF"/>
    <w:rsid w:val="0064655C"/>
    <w:rsid w:val="00646D3B"/>
    <w:rsid w:val="006511CC"/>
    <w:rsid w:val="0065202F"/>
    <w:rsid w:val="00664ED4"/>
    <w:rsid w:val="006706BB"/>
    <w:rsid w:val="00671CCB"/>
    <w:rsid w:val="0067369D"/>
    <w:rsid w:val="00673A87"/>
    <w:rsid w:val="00674AD4"/>
    <w:rsid w:val="00690471"/>
    <w:rsid w:val="00695F0A"/>
    <w:rsid w:val="0069748F"/>
    <w:rsid w:val="006A1227"/>
    <w:rsid w:val="006A1261"/>
    <w:rsid w:val="006B15C2"/>
    <w:rsid w:val="006C3030"/>
    <w:rsid w:val="006C3E43"/>
    <w:rsid w:val="006C5DF1"/>
    <w:rsid w:val="006C63CE"/>
    <w:rsid w:val="006C6470"/>
    <w:rsid w:val="006C75C1"/>
    <w:rsid w:val="006C7A55"/>
    <w:rsid w:val="006D33DC"/>
    <w:rsid w:val="006D64E4"/>
    <w:rsid w:val="006F119E"/>
    <w:rsid w:val="006F1734"/>
    <w:rsid w:val="006F2AAB"/>
    <w:rsid w:val="006F2E0C"/>
    <w:rsid w:val="006F3529"/>
    <w:rsid w:val="007047E2"/>
    <w:rsid w:val="0070740D"/>
    <w:rsid w:val="0071067E"/>
    <w:rsid w:val="00715428"/>
    <w:rsid w:val="00715552"/>
    <w:rsid w:val="007303C1"/>
    <w:rsid w:val="00734345"/>
    <w:rsid w:val="007420EE"/>
    <w:rsid w:val="007443D5"/>
    <w:rsid w:val="00755561"/>
    <w:rsid w:val="00764A57"/>
    <w:rsid w:val="007654C8"/>
    <w:rsid w:val="00775279"/>
    <w:rsid w:val="00777C75"/>
    <w:rsid w:val="0078151E"/>
    <w:rsid w:val="007830A0"/>
    <w:rsid w:val="00793F85"/>
    <w:rsid w:val="007976AC"/>
    <w:rsid w:val="00797C2F"/>
    <w:rsid w:val="007B0235"/>
    <w:rsid w:val="007B267B"/>
    <w:rsid w:val="007B6A6E"/>
    <w:rsid w:val="007C0808"/>
    <w:rsid w:val="007C5374"/>
    <w:rsid w:val="007D00A9"/>
    <w:rsid w:val="007D15CC"/>
    <w:rsid w:val="007D3E13"/>
    <w:rsid w:val="007D695C"/>
    <w:rsid w:val="007E4B79"/>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40D9D"/>
    <w:rsid w:val="008415CA"/>
    <w:rsid w:val="00842A36"/>
    <w:rsid w:val="00843CA0"/>
    <w:rsid w:val="00851B78"/>
    <w:rsid w:val="00853979"/>
    <w:rsid w:val="008551AC"/>
    <w:rsid w:val="00860514"/>
    <w:rsid w:val="00862649"/>
    <w:rsid w:val="00875173"/>
    <w:rsid w:val="00876D9E"/>
    <w:rsid w:val="008779FF"/>
    <w:rsid w:val="00884935"/>
    <w:rsid w:val="00887A6A"/>
    <w:rsid w:val="008918D0"/>
    <w:rsid w:val="0089533B"/>
    <w:rsid w:val="00897094"/>
    <w:rsid w:val="008A63F2"/>
    <w:rsid w:val="008B2D9D"/>
    <w:rsid w:val="008B3A21"/>
    <w:rsid w:val="008C0499"/>
    <w:rsid w:val="008C10D0"/>
    <w:rsid w:val="008C1863"/>
    <w:rsid w:val="008C6C9C"/>
    <w:rsid w:val="008C709C"/>
    <w:rsid w:val="008D3826"/>
    <w:rsid w:val="008E4D27"/>
    <w:rsid w:val="008E7125"/>
    <w:rsid w:val="008E7FC0"/>
    <w:rsid w:val="008F09FF"/>
    <w:rsid w:val="008F1F04"/>
    <w:rsid w:val="008F308F"/>
    <w:rsid w:val="008F3578"/>
    <w:rsid w:val="00901921"/>
    <w:rsid w:val="00903441"/>
    <w:rsid w:val="00910F12"/>
    <w:rsid w:val="009239D1"/>
    <w:rsid w:val="009324CE"/>
    <w:rsid w:val="00933146"/>
    <w:rsid w:val="00937126"/>
    <w:rsid w:val="009376B7"/>
    <w:rsid w:val="00951E60"/>
    <w:rsid w:val="0096294A"/>
    <w:rsid w:val="00967412"/>
    <w:rsid w:val="0097070D"/>
    <w:rsid w:val="00974443"/>
    <w:rsid w:val="00977FE3"/>
    <w:rsid w:val="00982C1A"/>
    <w:rsid w:val="00983BE3"/>
    <w:rsid w:val="00995FE0"/>
    <w:rsid w:val="009A6B26"/>
    <w:rsid w:val="009B0557"/>
    <w:rsid w:val="009B5F87"/>
    <w:rsid w:val="009C6A63"/>
    <w:rsid w:val="009D02BA"/>
    <w:rsid w:val="009D7EF1"/>
    <w:rsid w:val="009E2CE1"/>
    <w:rsid w:val="009F0DD3"/>
    <w:rsid w:val="009F1BE2"/>
    <w:rsid w:val="00A021D0"/>
    <w:rsid w:val="00A0264B"/>
    <w:rsid w:val="00A270FB"/>
    <w:rsid w:val="00A3092C"/>
    <w:rsid w:val="00A35101"/>
    <w:rsid w:val="00A37785"/>
    <w:rsid w:val="00A4191B"/>
    <w:rsid w:val="00A41FDD"/>
    <w:rsid w:val="00A4607D"/>
    <w:rsid w:val="00A46BC0"/>
    <w:rsid w:val="00A47AD0"/>
    <w:rsid w:val="00A60D80"/>
    <w:rsid w:val="00A638EF"/>
    <w:rsid w:val="00A67E07"/>
    <w:rsid w:val="00A7074D"/>
    <w:rsid w:val="00A70D06"/>
    <w:rsid w:val="00A869BA"/>
    <w:rsid w:val="00A90D5D"/>
    <w:rsid w:val="00A90DE9"/>
    <w:rsid w:val="00A91654"/>
    <w:rsid w:val="00A9242E"/>
    <w:rsid w:val="00A95177"/>
    <w:rsid w:val="00A954C5"/>
    <w:rsid w:val="00AB1459"/>
    <w:rsid w:val="00AB7124"/>
    <w:rsid w:val="00AC418C"/>
    <w:rsid w:val="00AC481F"/>
    <w:rsid w:val="00AC5046"/>
    <w:rsid w:val="00AC6895"/>
    <w:rsid w:val="00AD07DF"/>
    <w:rsid w:val="00AD467E"/>
    <w:rsid w:val="00AE2D02"/>
    <w:rsid w:val="00AF4000"/>
    <w:rsid w:val="00AF4619"/>
    <w:rsid w:val="00AF6781"/>
    <w:rsid w:val="00AF72A6"/>
    <w:rsid w:val="00B006AA"/>
    <w:rsid w:val="00B00BFF"/>
    <w:rsid w:val="00B156F5"/>
    <w:rsid w:val="00B23309"/>
    <w:rsid w:val="00B265D3"/>
    <w:rsid w:val="00B324D8"/>
    <w:rsid w:val="00B35C52"/>
    <w:rsid w:val="00B42738"/>
    <w:rsid w:val="00B42912"/>
    <w:rsid w:val="00B51BA6"/>
    <w:rsid w:val="00B52078"/>
    <w:rsid w:val="00B57BC9"/>
    <w:rsid w:val="00B57F41"/>
    <w:rsid w:val="00B60546"/>
    <w:rsid w:val="00B61622"/>
    <w:rsid w:val="00B62473"/>
    <w:rsid w:val="00B63F5E"/>
    <w:rsid w:val="00B676D3"/>
    <w:rsid w:val="00B7111E"/>
    <w:rsid w:val="00B72BE2"/>
    <w:rsid w:val="00B756B4"/>
    <w:rsid w:val="00B82BF3"/>
    <w:rsid w:val="00B83052"/>
    <w:rsid w:val="00B8684F"/>
    <w:rsid w:val="00B87DE5"/>
    <w:rsid w:val="00B91F4A"/>
    <w:rsid w:val="00BA4D2F"/>
    <w:rsid w:val="00BB00C3"/>
    <w:rsid w:val="00BB0A45"/>
    <w:rsid w:val="00BB2F65"/>
    <w:rsid w:val="00BB4758"/>
    <w:rsid w:val="00BC510D"/>
    <w:rsid w:val="00BD02A8"/>
    <w:rsid w:val="00BD0C88"/>
    <w:rsid w:val="00BD1077"/>
    <w:rsid w:val="00BD2F97"/>
    <w:rsid w:val="00BD403B"/>
    <w:rsid w:val="00BE3436"/>
    <w:rsid w:val="00BF0554"/>
    <w:rsid w:val="00BF12DE"/>
    <w:rsid w:val="00BF6E7C"/>
    <w:rsid w:val="00BF75F9"/>
    <w:rsid w:val="00C12ABE"/>
    <w:rsid w:val="00C13A3C"/>
    <w:rsid w:val="00C20840"/>
    <w:rsid w:val="00C21CE7"/>
    <w:rsid w:val="00C26020"/>
    <w:rsid w:val="00C33AB2"/>
    <w:rsid w:val="00C36824"/>
    <w:rsid w:val="00C40D4B"/>
    <w:rsid w:val="00C43608"/>
    <w:rsid w:val="00C44B19"/>
    <w:rsid w:val="00C51271"/>
    <w:rsid w:val="00C56941"/>
    <w:rsid w:val="00C617F8"/>
    <w:rsid w:val="00C679E6"/>
    <w:rsid w:val="00C67FDD"/>
    <w:rsid w:val="00C72642"/>
    <w:rsid w:val="00C80C78"/>
    <w:rsid w:val="00C81B0D"/>
    <w:rsid w:val="00C85CF0"/>
    <w:rsid w:val="00C90FFA"/>
    <w:rsid w:val="00CA4964"/>
    <w:rsid w:val="00CB440D"/>
    <w:rsid w:val="00CB458A"/>
    <w:rsid w:val="00CC3237"/>
    <w:rsid w:val="00CC73F0"/>
    <w:rsid w:val="00CD0D8A"/>
    <w:rsid w:val="00CD2C9C"/>
    <w:rsid w:val="00CD764A"/>
    <w:rsid w:val="00CF1CF1"/>
    <w:rsid w:val="00CF2A2E"/>
    <w:rsid w:val="00CF341E"/>
    <w:rsid w:val="00CF36A1"/>
    <w:rsid w:val="00D00362"/>
    <w:rsid w:val="00D02F19"/>
    <w:rsid w:val="00D25CD7"/>
    <w:rsid w:val="00D2769E"/>
    <w:rsid w:val="00D3423A"/>
    <w:rsid w:val="00D37CAC"/>
    <w:rsid w:val="00D4115F"/>
    <w:rsid w:val="00D46204"/>
    <w:rsid w:val="00D4650C"/>
    <w:rsid w:val="00D61F50"/>
    <w:rsid w:val="00D62A1F"/>
    <w:rsid w:val="00D702AB"/>
    <w:rsid w:val="00D728E7"/>
    <w:rsid w:val="00D74697"/>
    <w:rsid w:val="00D76549"/>
    <w:rsid w:val="00D77378"/>
    <w:rsid w:val="00D84641"/>
    <w:rsid w:val="00D86424"/>
    <w:rsid w:val="00D957DD"/>
    <w:rsid w:val="00DA22DF"/>
    <w:rsid w:val="00DB3C20"/>
    <w:rsid w:val="00DC5FA6"/>
    <w:rsid w:val="00DD39B8"/>
    <w:rsid w:val="00DE733C"/>
    <w:rsid w:val="00DF7909"/>
    <w:rsid w:val="00DF7CEF"/>
    <w:rsid w:val="00E21E4C"/>
    <w:rsid w:val="00E221C2"/>
    <w:rsid w:val="00E26D0A"/>
    <w:rsid w:val="00E27D56"/>
    <w:rsid w:val="00E301F8"/>
    <w:rsid w:val="00E332A9"/>
    <w:rsid w:val="00E36F58"/>
    <w:rsid w:val="00E56071"/>
    <w:rsid w:val="00E6044F"/>
    <w:rsid w:val="00E6124D"/>
    <w:rsid w:val="00E67ECA"/>
    <w:rsid w:val="00E8363A"/>
    <w:rsid w:val="00E93F8D"/>
    <w:rsid w:val="00E95427"/>
    <w:rsid w:val="00E968CD"/>
    <w:rsid w:val="00EB2573"/>
    <w:rsid w:val="00EB7424"/>
    <w:rsid w:val="00EC21D9"/>
    <w:rsid w:val="00ED48E9"/>
    <w:rsid w:val="00ED7730"/>
    <w:rsid w:val="00EE5A0F"/>
    <w:rsid w:val="00EF05F1"/>
    <w:rsid w:val="00EF0FE3"/>
    <w:rsid w:val="00EF144A"/>
    <w:rsid w:val="00EF2266"/>
    <w:rsid w:val="00EF318C"/>
    <w:rsid w:val="00EF4132"/>
    <w:rsid w:val="00EF78DD"/>
    <w:rsid w:val="00F01125"/>
    <w:rsid w:val="00F013C6"/>
    <w:rsid w:val="00F05E02"/>
    <w:rsid w:val="00F1431A"/>
    <w:rsid w:val="00F2140C"/>
    <w:rsid w:val="00F22F45"/>
    <w:rsid w:val="00F2331E"/>
    <w:rsid w:val="00F24751"/>
    <w:rsid w:val="00F24C42"/>
    <w:rsid w:val="00F25E81"/>
    <w:rsid w:val="00F30356"/>
    <w:rsid w:val="00F325BC"/>
    <w:rsid w:val="00F33DE2"/>
    <w:rsid w:val="00F413F5"/>
    <w:rsid w:val="00F44713"/>
    <w:rsid w:val="00F45A18"/>
    <w:rsid w:val="00F474E9"/>
    <w:rsid w:val="00F501DD"/>
    <w:rsid w:val="00F503A4"/>
    <w:rsid w:val="00F50B6B"/>
    <w:rsid w:val="00F51BA2"/>
    <w:rsid w:val="00F530A2"/>
    <w:rsid w:val="00F601D7"/>
    <w:rsid w:val="00F6086C"/>
    <w:rsid w:val="00F61F89"/>
    <w:rsid w:val="00F6765F"/>
    <w:rsid w:val="00F67EAC"/>
    <w:rsid w:val="00F75550"/>
    <w:rsid w:val="00F8304B"/>
    <w:rsid w:val="00F91B89"/>
    <w:rsid w:val="00F95A14"/>
    <w:rsid w:val="00FA0601"/>
    <w:rsid w:val="00FA7D95"/>
    <w:rsid w:val="00FB1C19"/>
    <w:rsid w:val="00FC1F05"/>
    <w:rsid w:val="00FC333A"/>
    <w:rsid w:val="00FD189B"/>
    <w:rsid w:val="00FE0176"/>
    <w:rsid w:val="00FE1AA1"/>
    <w:rsid w:val="00FE1E66"/>
    <w:rsid w:val="00FE323D"/>
    <w:rsid w:val="00FE7B5E"/>
    <w:rsid w:val="00FF19BC"/>
    <w:rsid w:val="00FF40CA"/>
    <w:rsid w:val="00FF56F2"/>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6DF98"/>
  <w15:docId w15:val="{98002397-D665-46EF-BF38-168E968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CC11-A15F-4A52-8F8F-89226865825E}">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f22d7286-dd96-43f1-addf-1aa01b239435"/>
    <ds:schemaRef ds:uri="http://purl.org/dc/dcmitype/"/>
    <ds:schemaRef ds:uri="http://purl.org/dc/terms/"/>
  </ds:schemaRefs>
</ds:datastoreItem>
</file>

<file path=customXml/itemProps2.xml><?xml version="1.0" encoding="utf-8"?>
<ds:datastoreItem xmlns:ds="http://schemas.openxmlformats.org/officeDocument/2006/customXml" ds:itemID="{8A40ECE3-83F9-40C2-AF6A-587DEEB244A2}">
  <ds:schemaRefs>
    <ds:schemaRef ds:uri="http://schemas.microsoft.com/sharepoint/v3/contenttype/forms"/>
  </ds:schemaRefs>
</ds:datastoreItem>
</file>

<file path=customXml/itemProps3.xml><?xml version="1.0" encoding="utf-8"?>
<ds:datastoreItem xmlns:ds="http://schemas.openxmlformats.org/officeDocument/2006/customXml" ds:itemID="{B30CBEC9-557C-46A8-8A4F-4211E4DF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6ACCC-75CD-42A3-9DD0-E640E834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Block Strategy 2019-20</dc:title>
  <dc:creator>David Tully</dc:creator>
  <cp:lastModifiedBy>Phillip Nduoyo</cp:lastModifiedBy>
  <cp:revision>4</cp:revision>
  <cp:lastPrinted>2018-11-27T10:19:00Z</cp:lastPrinted>
  <dcterms:created xsi:type="dcterms:W3CDTF">2018-11-27T11:22:00Z</dcterms:created>
  <dcterms:modified xsi:type="dcterms:W3CDTF">2021-01-13T10:45:00Z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3159200</vt:r8>
  </property>
</Properties>
</file>