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E12B7" w14:textId="77777777" w:rsidR="00673A87" w:rsidRDefault="00673A87"/>
    <w:tbl>
      <w:tblPr>
        <w:tblStyle w:val="TableGrid"/>
        <w:tblpPr w:leftFromText="180" w:rightFromText="180" w:vertAnchor="text" w:horzAnchor="margin" w:tblpX="108" w:tblpY="34"/>
        <w:tblW w:w="0" w:type="auto"/>
        <w:tblLook w:val="01E0" w:firstRow="1" w:lastRow="1" w:firstColumn="1" w:lastColumn="1" w:noHBand="0" w:noVBand="0"/>
      </w:tblPr>
      <w:tblGrid>
        <w:gridCol w:w="9108"/>
      </w:tblGrid>
      <w:tr w:rsidR="004C11CF" w:rsidRPr="002374A3" w14:paraId="5EDE12B9" w14:textId="77777777" w:rsidTr="00AD2F19">
        <w:tc>
          <w:tcPr>
            <w:tcW w:w="9108" w:type="dxa"/>
          </w:tcPr>
          <w:p w14:paraId="5EDE12B8" w14:textId="77777777" w:rsidR="004C11CF" w:rsidRPr="002374A3" w:rsidRDefault="0013261A" w:rsidP="002374A3">
            <w:pPr>
              <w:pStyle w:val="BodyTextIndent"/>
              <w:rPr>
                <w:b/>
                <w:sz w:val="32"/>
                <w:szCs w:val="32"/>
              </w:rPr>
            </w:pPr>
            <w:bookmarkStart w:id="0" w:name="_GoBack" w:colFirst="0" w:colLast="1"/>
            <w:r>
              <w:rPr>
                <w:b/>
                <w:sz w:val="32"/>
                <w:szCs w:val="32"/>
              </w:rPr>
              <w:t xml:space="preserve">AGENDA ITEM </w:t>
            </w:r>
            <w:r w:rsidR="00446ED9">
              <w:rPr>
                <w:b/>
                <w:sz w:val="32"/>
                <w:szCs w:val="32"/>
              </w:rPr>
              <w:t>4</w:t>
            </w:r>
          </w:p>
        </w:tc>
      </w:tr>
      <w:bookmarkEnd w:id="0"/>
    </w:tbl>
    <w:p w14:paraId="5EDE12BA" w14:textId="77777777" w:rsidR="003D08B1" w:rsidRPr="004C11CF" w:rsidRDefault="003D08B1" w:rsidP="004C11CF"/>
    <w:p w14:paraId="5EDE12BB" w14:textId="77777777" w:rsidR="003D08B1" w:rsidRDefault="003D08B1" w:rsidP="003D08B1">
      <w:pPr>
        <w:rPr>
          <w:b/>
        </w:rPr>
      </w:pPr>
    </w:p>
    <w:p w14:paraId="5EDE12BC" w14:textId="77777777" w:rsidR="001E4116" w:rsidRPr="003D08B1" w:rsidRDefault="0013261A" w:rsidP="004C11CF">
      <w:pPr>
        <w:pStyle w:val="BodyTextInde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0"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Title of report: </w:t>
      </w:r>
      <w:r w:rsidR="00446ED9">
        <w:rPr>
          <w:b/>
          <w:sz w:val="32"/>
          <w:szCs w:val="32"/>
        </w:rPr>
        <w:t xml:space="preserve">Falling Roll Fund </w:t>
      </w:r>
    </w:p>
    <w:p w14:paraId="5EDE12BD" w14:textId="77777777" w:rsidR="001E4116" w:rsidRDefault="001E4116" w:rsidP="001E4116">
      <w:pPr>
        <w:rPr>
          <w:b/>
          <w:u w:val="single"/>
        </w:rPr>
      </w:pPr>
    </w:p>
    <w:p w14:paraId="5EDE12BE" w14:textId="77777777" w:rsidR="001E4116" w:rsidRPr="007F598E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Author of the paper: </w:t>
      </w:r>
      <w:r w:rsidR="00862649">
        <w:rPr>
          <w:b/>
        </w:rPr>
        <w:t xml:space="preserve">  </w:t>
      </w:r>
      <w:r w:rsidR="00446ED9">
        <w:rPr>
          <w:b/>
        </w:rPr>
        <w:t xml:space="preserve">Steve Worth </w:t>
      </w:r>
    </w:p>
    <w:p w14:paraId="5EDE12BF" w14:textId="77777777" w:rsidR="001E4116" w:rsidRDefault="001E4116" w:rsidP="001E4116"/>
    <w:p w14:paraId="5EDE12C0" w14:textId="77777777" w:rsidR="001E4116" w:rsidRPr="007F598E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Officer to present the paper to </w:t>
      </w:r>
      <w:r w:rsidR="00025F55">
        <w:rPr>
          <w:b/>
        </w:rPr>
        <w:t>Schools Forum</w:t>
      </w:r>
      <w:r>
        <w:rPr>
          <w:b/>
        </w:rPr>
        <w:t xml:space="preserve">: </w:t>
      </w:r>
      <w:r w:rsidR="00446ED9">
        <w:rPr>
          <w:b/>
        </w:rPr>
        <w:t xml:space="preserve">Steve Worth </w:t>
      </w:r>
    </w:p>
    <w:p w14:paraId="5EDE12C1" w14:textId="77777777" w:rsidR="001E4116" w:rsidRDefault="001E4116" w:rsidP="001E4116"/>
    <w:p w14:paraId="5EDE12C2" w14:textId="77777777" w:rsidR="009D27B3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Details on who has been consulted with on this paper to date:</w:t>
      </w:r>
      <w:r w:rsidR="00446ED9">
        <w:rPr>
          <w:b/>
        </w:rPr>
        <w:t xml:space="preserve"> </w:t>
      </w:r>
    </w:p>
    <w:p w14:paraId="5EDE12C3" w14:textId="77777777" w:rsidR="009D27B3" w:rsidRDefault="009D27B3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EDE12C4" w14:textId="77777777" w:rsidR="00446ED9" w:rsidRPr="009D27B3" w:rsidRDefault="00446ED9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D27B3">
        <w:t>Sailesh Patel</w:t>
      </w:r>
      <w:r w:rsidR="009D27B3" w:rsidRPr="009D27B3">
        <w:t xml:space="preserve">, </w:t>
      </w:r>
      <w:r w:rsidR="00BB1D57" w:rsidRPr="009D27B3">
        <w:t>Christine Mc</w:t>
      </w:r>
      <w:r w:rsidR="009D27B3" w:rsidRPr="009D27B3">
        <w:t>Innes, Damon Lawrenson</w:t>
      </w:r>
    </w:p>
    <w:p w14:paraId="5EDE12C5" w14:textId="77777777" w:rsidR="001E4116" w:rsidRDefault="001E4116" w:rsidP="001E4116">
      <w:pPr>
        <w:spacing w:after="120"/>
        <w:rPr>
          <w:b/>
        </w:rPr>
      </w:pPr>
    </w:p>
    <w:p w14:paraId="5EDE12C6" w14:textId="77777777" w:rsidR="001E4116" w:rsidRDefault="001E4116" w:rsidP="001E41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b/>
        </w:rPr>
      </w:pPr>
      <w:r>
        <w:rPr>
          <w:b/>
        </w:rPr>
        <w:t>Executive</w:t>
      </w:r>
      <w:r w:rsidRPr="008E3BB6">
        <w:rPr>
          <w:b/>
        </w:rPr>
        <w:t xml:space="preserve"> Summary</w:t>
      </w:r>
      <w:r w:rsidR="00D3601F">
        <w:rPr>
          <w:b/>
        </w:rPr>
        <w:t>:</w:t>
      </w:r>
    </w:p>
    <w:p w14:paraId="5EDE12C7" w14:textId="77777777" w:rsidR="00D3601F" w:rsidRDefault="00D3601F" w:rsidP="001E41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b/>
        </w:rPr>
      </w:pPr>
      <w:r>
        <w:rPr>
          <w:b/>
        </w:rPr>
        <w:t>The report sets out:</w:t>
      </w:r>
    </w:p>
    <w:p w14:paraId="5EDE12C8" w14:textId="77777777" w:rsidR="00D3601F" w:rsidRDefault="00D3601F" w:rsidP="001E41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</w:pPr>
      <w:r w:rsidRPr="00D3601F">
        <w:t>1.</w:t>
      </w:r>
      <w:r w:rsidRPr="00D3601F">
        <w:tab/>
      </w:r>
      <w:r>
        <w:t>The average contribution per pupil needed to create the fund.</w:t>
      </w:r>
    </w:p>
    <w:p w14:paraId="5EDE12C9" w14:textId="77777777" w:rsidR="00D3601F" w:rsidRDefault="00D3601F" w:rsidP="00D360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left="720" w:hanging="720"/>
      </w:pPr>
      <w:r>
        <w:t>2.</w:t>
      </w:r>
      <w:r>
        <w:tab/>
        <w:t>The proposed revised methodology that includes taking account of school surplus balances.</w:t>
      </w:r>
    </w:p>
    <w:p w14:paraId="5EDE12CA" w14:textId="77777777" w:rsidR="009D27B3" w:rsidRPr="00D3601F" w:rsidRDefault="009D27B3" w:rsidP="00D360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left="720" w:hanging="720"/>
      </w:pPr>
    </w:p>
    <w:p w14:paraId="5EDE12CB" w14:textId="77777777" w:rsidR="001E4116" w:rsidRDefault="001E4116" w:rsidP="001E4116"/>
    <w:p w14:paraId="5EDE12CC" w14:textId="77777777" w:rsidR="00F6086C" w:rsidRPr="00F6086C" w:rsidRDefault="001E4116" w:rsidP="00F608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rPr>
          <w:b/>
        </w:rPr>
        <w:t xml:space="preserve">Details of recommendations and timescales for decisions: </w:t>
      </w:r>
    </w:p>
    <w:p w14:paraId="5EDE12CD" w14:textId="77777777" w:rsidR="007303C1" w:rsidRDefault="00EE5A0F" w:rsidP="007303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</w:pPr>
      <w:r w:rsidRPr="00B51BA6">
        <w:t>Schools Forum is</w:t>
      </w:r>
      <w:r w:rsidR="001E4116" w:rsidRPr="00B51BA6">
        <w:t xml:space="preserve"> asked to:</w:t>
      </w:r>
    </w:p>
    <w:p w14:paraId="5EDE12CE" w14:textId="77777777" w:rsidR="00D3601F" w:rsidRDefault="00D3601F" w:rsidP="007303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</w:pPr>
      <w:r>
        <w:t>Agree the methodology set out in Section 2.</w:t>
      </w:r>
    </w:p>
    <w:p w14:paraId="5EDE12CF" w14:textId="77777777" w:rsidR="0013261A" w:rsidRDefault="0013261A" w:rsidP="001326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</w:pPr>
    </w:p>
    <w:p w14:paraId="5EDE12D0" w14:textId="77777777" w:rsidR="0070714B" w:rsidRDefault="0070714B" w:rsidP="00FE0176">
      <w:pPr>
        <w:pStyle w:val="Header"/>
        <w:jc w:val="center"/>
        <w:rPr>
          <w:b/>
        </w:rPr>
      </w:pPr>
    </w:p>
    <w:p w14:paraId="5EDE12D1" w14:textId="77777777" w:rsidR="00446ED9" w:rsidRDefault="00446ED9" w:rsidP="00FE0176">
      <w:pPr>
        <w:pStyle w:val="Header"/>
        <w:jc w:val="center"/>
        <w:rPr>
          <w:b/>
        </w:rPr>
      </w:pPr>
    </w:p>
    <w:p w14:paraId="5EDE12D2" w14:textId="77777777" w:rsidR="00446ED9" w:rsidRDefault="00446ED9" w:rsidP="00FE0176">
      <w:pPr>
        <w:pStyle w:val="Header"/>
        <w:jc w:val="center"/>
        <w:rPr>
          <w:b/>
        </w:rPr>
      </w:pPr>
    </w:p>
    <w:p w14:paraId="5EDE12D3" w14:textId="77777777" w:rsidR="00446ED9" w:rsidRDefault="00446ED9" w:rsidP="00FE0176">
      <w:pPr>
        <w:pStyle w:val="Header"/>
        <w:jc w:val="center"/>
        <w:rPr>
          <w:b/>
        </w:rPr>
      </w:pPr>
    </w:p>
    <w:p w14:paraId="5EDE12D4" w14:textId="77777777" w:rsidR="00446ED9" w:rsidRDefault="00446ED9" w:rsidP="00FE0176">
      <w:pPr>
        <w:pStyle w:val="Header"/>
        <w:jc w:val="center"/>
        <w:rPr>
          <w:b/>
        </w:rPr>
      </w:pPr>
    </w:p>
    <w:p w14:paraId="5EDE12D5" w14:textId="77777777" w:rsidR="00446ED9" w:rsidRDefault="00446ED9" w:rsidP="00FE0176">
      <w:pPr>
        <w:pStyle w:val="Header"/>
        <w:jc w:val="center"/>
        <w:rPr>
          <w:b/>
        </w:rPr>
      </w:pPr>
    </w:p>
    <w:p w14:paraId="5EDE12D6" w14:textId="77777777" w:rsidR="00446ED9" w:rsidRDefault="00446ED9" w:rsidP="00FE0176">
      <w:pPr>
        <w:pStyle w:val="Header"/>
        <w:jc w:val="center"/>
        <w:rPr>
          <w:b/>
        </w:rPr>
      </w:pPr>
    </w:p>
    <w:p w14:paraId="5EDE12D7" w14:textId="77777777" w:rsidR="00446ED9" w:rsidRDefault="00446ED9" w:rsidP="00FE0176">
      <w:pPr>
        <w:pStyle w:val="Header"/>
        <w:jc w:val="center"/>
        <w:rPr>
          <w:b/>
        </w:rPr>
      </w:pPr>
    </w:p>
    <w:p w14:paraId="5EDE12D8" w14:textId="77777777" w:rsidR="00446ED9" w:rsidRDefault="00446ED9" w:rsidP="00FE0176">
      <w:pPr>
        <w:pStyle w:val="Header"/>
        <w:jc w:val="center"/>
        <w:rPr>
          <w:b/>
        </w:rPr>
      </w:pPr>
    </w:p>
    <w:p w14:paraId="5EDE12D9" w14:textId="77777777" w:rsidR="00446ED9" w:rsidRDefault="00446ED9" w:rsidP="00FE0176">
      <w:pPr>
        <w:pStyle w:val="Header"/>
        <w:jc w:val="center"/>
        <w:rPr>
          <w:b/>
        </w:rPr>
      </w:pPr>
    </w:p>
    <w:p w14:paraId="5EDE12DA" w14:textId="77777777" w:rsidR="00446ED9" w:rsidRDefault="00446ED9" w:rsidP="00FE0176">
      <w:pPr>
        <w:pStyle w:val="Header"/>
        <w:jc w:val="center"/>
        <w:rPr>
          <w:b/>
        </w:rPr>
      </w:pPr>
    </w:p>
    <w:p w14:paraId="5EDE12DB" w14:textId="77777777" w:rsidR="00446ED9" w:rsidRDefault="00446ED9" w:rsidP="00FE0176">
      <w:pPr>
        <w:pStyle w:val="Header"/>
        <w:jc w:val="center"/>
        <w:rPr>
          <w:b/>
        </w:rPr>
      </w:pPr>
    </w:p>
    <w:p w14:paraId="5EDE12DC" w14:textId="77777777" w:rsidR="00446ED9" w:rsidRDefault="00446ED9" w:rsidP="00FE0176">
      <w:pPr>
        <w:pStyle w:val="Header"/>
        <w:jc w:val="center"/>
        <w:rPr>
          <w:b/>
        </w:rPr>
      </w:pPr>
    </w:p>
    <w:p w14:paraId="5EDE12DD" w14:textId="77777777" w:rsidR="00446ED9" w:rsidRDefault="00446ED9" w:rsidP="00FE0176">
      <w:pPr>
        <w:pStyle w:val="Header"/>
        <w:jc w:val="center"/>
        <w:rPr>
          <w:b/>
        </w:rPr>
      </w:pPr>
    </w:p>
    <w:p w14:paraId="5EDE12DE" w14:textId="77777777" w:rsidR="00446ED9" w:rsidRDefault="00446ED9" w:rsidP="00FE0176">
      <w:pPr>
        <w:pStyle w:val="Header"/>
        <w:jc w:val="center"/>
        <w:rPr>
          <w:b/>
        </w:rPr>
      </w:pPr>
    </w:p>
    <w:p w14:paraId="5EDE12DF" w14:textId="77777777" w:rsidR="00446ED9" w:rsidRDefault="00446ED9" w:rsidP="00FE0176">
      <w:pPr>
        <w:pStyle w:val="Header"/>
        <w:jc w:val="center"/>
        <w:rPr>
          <w:b/>
        </w:rPr>
      </w:pPr>
    </w:p>
    <w:p w14:paraId="5EDE12E0" w14:textId="77777777" w:rsidR="00446ED9" w:rsidRDefault="00446ED9" w:rsidP="00FE0176">
      <w:pPr>
        <w:pStyle w:val="Header"/>
        <w:jc w:val="center"/>
        <w:rPr>
          <w:b/>
        </w:rPr>
      </w:pPr>
    </w:p>
    <w:p w14:paraId="5EDE12E1" w14:textId="77777777" w:rsidR="00446ED9" w:rsidRDefault="00446ED9" w:rsidP="00FE0176">
      <w:pPr>
        <w:pStyle w:val="Header"/>
        <w:jc w:val="center"/>
        <w:rPr>
          <w:b/>
        </w:rPr>
      </w:pPr>
    </w:p>
    <w:p w14:paraId="5EDE12E2" w14:textId="77777777" w:rsidR="0070714B" w:rsidRDefault="0070714B" w:rsidP="00FE0176">
      <w:pPr>
        <w:pStyle w:val="Header"/>
        <w:jc w:val="center"/>
        <w:rPr>
          <w:b/>
        </w:rPr>
      </w:pPr>
    </w:p>
    <w:p w14:paraId="5EDE12E3" w14:textId="77777777" w:rsidR="0070714B" w:rsidRPr="00C66217" w:rsidRDefault="00D3601F" w:rsidP="0070714B">
      <w:pPr>
        <w:pStyle w:val="ListParagraph"/>
        <w:numPr>
          <w:ilvl w:val="0"/>
          <w:numId w:val="43"/>
        </w:numPr>
      </w:pPr>
      <w:r>
        <w:rPr>
          <w:b/>
        </w:rPr>
        <w:t xml:space="preserve">Background - </w:t>
      </w:r>
      <w:r w:rsidR="0070714B">
        <w:rPr>
          <w:b/>
        </w:rPr>
        <w:t>Falling Rolls Fund.</w:t>
      </w:r>
    </w:p>
    <w:p w14:paraId="5EDE12E4" w14:textId="77777777" w:rsidR="0070714B" w:rsidRPr="00C66217" w:rsidRDefault="0070714B" w:rsidP="0070714B">
      <w:pPr>
        <w:pStyle w:val="ListParagraph"/>
        <w:ind w:left="360"/>
      </w:pPr>
    </w:p>
    <w:p w14:paraId="5EDE12E5" w14:textId="77777777" w:rsidR="00890889" w:rsidRPr="00187FC9" w:rsidRDefault="0070714B" w:rsidP="00890889">
      <w:pPr>
        <w:pStyle w:val="ListParagraph"/>
        <w:keepNext/>
        <w:numPr>
          <w:ilvl w:val="1"/>
          <w:numId w:val="43"/>
        </w:numPr>
        <w:rPr>
          <w:b/>
        </w:rPr>
      </w:pPr>
      <w:r>
        <w:t>The Falling Rolls Fund</w:t>
      </w:r>
      <w:r w:rsidR="00EA54AA">
        <w:t xml:space="preserve"> (</w:t>
      </w:r>
      <w:r w:rsidR="00EA54AA" w:rsidRPr="009D27B3">
        <w:rPr>
          <w:b/>
        </w:rPr>
        <w:t>FRF</w:t>
      </w:r>
      <w:r w:rsidR="00EA54AA">
        <w:t>)</w:t>
      </w:r>
      <w:r>
        <w:t xml:space="preserve"> is to protect schools rated outstanding or good that face a temporary fall in pupil numbers. </w:t>
      </w:r>
    </w:p>
    <w:p w14:paraId="5EDE12E6" w14:textId="77777777" w:rsidR="00187FC9" w:rsidRPr="00187FC9" w:rsidRDefault="00187FC9" w:rsidP="00187FC9">
      <w:pPr>
        <w:pStyle w:val="ListParagraph"/>
        <w:keepNext/>
        <w:ind w:left="792"/>
        <w:rPr>
          <w:b/>
        </w:rPr>
      </w:pPr>
    </w:p>
    <w:p w14:paraId="5EDE12E7" w14:textId="77777777" w:rsidR="00D746B0" w:rsidRPr="00ED2825" w:rsidRDefault="0070714B" w:rsidP="00ED2825">
      <w:pPr>
        <w:pStyle w:val="ListParagraph"/>
        <w:keepNext/>
        <w:numPr>
          <w:ilvl w:val="1"/>
          <w:numId w:val="43"/>
        </w:numPr>
        <w:rPr>
          <w:b/>
        </w:rPr>
      </w:pPr>
      <w:r>
        <w:t xml:space="preserve">Tower Hamlets did not have a Falling Rolls Fund in 2018-19 </w:t>
      </w:r>
      <w:r w:rsidR="00EA54AA">
        <w:t xml:space="preserve">but </w:t>
      </w:r>
      <w:r>
        <w:t>F</w:t>
      </w:r>
      <w:r w:rsidR="00EA54AA">
        <w:t>orum, at its meeting on 16</w:t>
      </w:r>
      <w:r w:rsidR="00EA54AA" w:rsidRPr="00EA54AA">
        <w:rPr>
          <w:vertAlign w:val="superscript"/>
        </w:rPr>
        <w:t>th</w:t>
      </w:r>
      <w:r w:rsidR="00EA54AA">
        <w:t xml:space="preserve"> January 2019, agreed to create a Fund of £600k for 2019-20.</w:t>
      </w:r>
      <w:r w:rsidR="00CA1085">
        <w:t xml:space="preserve"> This reduces funding for school budget shares by £15.8 per pupil.</w:t>
      </w:r>
    </w:p>
    <w:p w14:paraId="5EDE12E8" w14:textId="77777777" w:rsidR="0070714B" w:rsidRDefault="0070714B" w:rsidP="00901BD7"/>
    <w:p w14:paraId="5EDE12E9" w14:textId="77777777" w:rsidR="00DE4A01" w:rsidRDefault="0070714B" w:rsidP="0070714B">
      <w:pPr>
        <w:pStyle w:val="ListParagraph"/>
        <w:numPr>
          <w:ilvl w:val="1"/>
          <w:numId w:val="43"/>
        </w:numPr>
      </w:pPr>
      <w:r>
        <w:t xml:space="preserve">The </w:t>
      </w:r>
      <w:r w:rsidR="0018752D">
        <w:t>methodology proposed at the last meeting</w:t>
      </w:r>
      <w:r>
        <w:t xml:space="preserve"> </w:t>
      </w:r>
      <w:r w:rsidR="00DE4A01">
        <w:t>has been revised to take account of school surplus balances</w:t>
      </w:r>
      <w:r w:rsidR="00D746B0">
        <w:t>.</w:t>
      </w:r>
    </w:p>
    <w:p w14:paraId="5EDE12EA" w14:textId="77777777" w:rsidR="00DE4A01" w:rsidRDefault="00DE4A01" w:rsidP="00DE4A01">
      <w:pPr>
        <w:pStyle w:val="ListParagraph"/>
      </w:pPr>
    </w:p>
    <w:p w14:paraId="5EDE12EB" w14:textId="77777777" w:rsidR="00D3601F" w:rsidRPr="00D3601F" w:rsidRDefault="00D3601F" w:rsidP="00D3601F">
      <w:pPr>
        <w:pStyle w:val="ListParagraph"/>
        <w:numPr>
          <w:ilvl w:val="0"/>
          <w:numId w:val="43"/>
        </w:numPr>
        <w:rPr>
          <w:b/>
        </w:rPr>
      </w:pPr>
      <w:r w:rsidRPr="00D3601F">
        <w:rPr>
          <w:b/>
        </w:rPr>
        <w:t>Proposed Methodology.</w:t>
      </w:r>
    </w:p>
    <w:p w14:paraId="5EDE12EC" w14:textId="77777777" w:rsidR="00D3601F" w:rsidRDefault="00D3601F" w:rsidP="00D3601F">
      <w:pPr>
        <w:pStyle w:val="ListParagraph"/>
      </w:pPr>
    </w:p>
    <w:p w14:paraId="5EDE12ED" w14:textId="77777777" w:rsidR="00D51559" w:rsidRDefault="00DE4A01" w:rsidP="0017045A">
      <w:pPr>
        <w:pStyle w:val="ListParagraph"/>
        <w:numPr>
          <w:ilvl w:val="1"/>
          <w:numId w:val="43"/>
        </w:numPr>
      </w:pPr>
      <w:r>
        <w:t>In the proposed methodology, funding will be triggered if numbers in the year of entry for that school falls below 90% of the school</w:t>
      </w:r>
      <w:r w:rsidR="0017045A">
        <w:t>’</w:t>
      </w:r>
      <w:r>
        <w:t>s Planned Admission Number (PAN). Using the PAN removes the need for historical data and builds in planned changes in the school’s size. Only</w:t>
      </w:r>
      <w:r w:rsidR="00ED2825">
        <w:t xml:space="preserve"> the year of entry will be used. T</w:t>
      </w:r>
      <w:r>
        <w:t xml:space="preserve">he fund is designed to provide </w:t>
      </w:r>
      <w:r w:rsidR="00D746B0">
        <w:t xml:space="preserve">temporary </w:t>
      </w:r>
      <w:r>
        <w:t>addi</w:t>
      </w:r>
      <w:r w:rsidR="00D746B0">
        <w:t>tional funding</w:t>
      </w:r>
      <w:r w:rsidR="00ED2825">
        <w:t xml:space="preserve"> for schools </w:t>
      </w:r>
      <w:r w:rsidR="0064324B">
        <w:t xml:space="preserve">facing falling admission numbers and the admission year is taken as an indicator of this. The methodology is designed to allocate the funds </w:t>
      </w:r>
      <w:r w:rsidR="0017045A">
        <w:t>the Forum makes available.</w:t>
      </w:r>
    </w:p>
    <w:p w14:paraId="5EDE12EE" w14:textId="77777777" w:rsidR="00D51559" w:rsidRDefault="00D51559" w:rsidP="00D51559">
      <w:pPr>
        <w:pStyle w:val="ListParagraph"/>
        <w:ind w:left="792"/>
      </w:pPr>
    </w:p>
    <w:p w14:paraId="5EDE12EF" w14:textId="77777777" w:rsidR="0017045A" w:rsidRDefault="00D51559" w:rsidP="00D51559">
      <w:pPr>
        <w:pStyle w:val="ListParagraph"/>
        <w:numPr>
          <w:ilvl w:val="1"/>
          <w:numId w:val="43"/>
        </w:numPr>
      </w:pPr>
      <w:r>
        <w:t xml:space="preserve">The revenue surplus position for schools that meet the trigger will be taken into account. Where the </w:t>
      </w:r>
      <w:r w:rsidR="002F70FB">
        <w:t>brought</w:t>
      </w:r>
      <w:r>
        <w:t xml:space="preserve"> forward </w:t>
      </w:r>
      <w:r w:rsidR="002F70FB">
        <w:t xml:space="preserve">surplus </w:t>
      </w:r>
      <w:r>
        <w:t xml:space="preserve">exceeds 8% of primary and 5% of secondary budget shares the surplus in excess of these limits will be offset against FRF allocations.  </w:t>
      </w:r>
      <w:r w:rsidR="00BE17FC">
        <w:t xml:space="preserve">A similar method will be applied to academies, but this will require supporting information </w:t>
      </w:r>
      <w:r w:rsidR="00963AE9">
        <w:t xml:space="preserve">on surplus balances </w:t>
      </w:r>
      <w:r w:rsidR="00BE17FC">
        <w:t xml:space="preserve">to be made available to the Council. </w:t>
      </w:r>
    </w:p>
    <w:p w14:paraId="5EDE12F0" w14:textId="77777777" w:rsidR="0017045A" w:rsidRDefault="0017045A" w:rsidP="0017045A">
      <w:pPr>
        <w:pStyle w:val="ListParagraph"/>
      </w:pPr>
    </w:p>
    <w:p w14:paraId="5EDE12F1" w14:textId="77777777" w:rsidR="0017045A" w:rsidRDefault="0017045A" w:rsidP="002F70FB">
      <w:pPr>
        <w:pStyle w:val="ListParagraph"/>
        <w:numPr>
          <w:ilvl w:val="1"/>
          <w:numId w:val="43"/>
        </w:numPr>
      </w:pPr>
      <w:r>
        <w:t>For eligible schools the allocation will be 90% of the intake year Age Weighted Pupil Unit (AWP</w:t>
      </w:r>
      <w:r w:rsidR="00963AE9">
        <w:t xml:space="preserve">U) multiplied by </w:t>
      </w:r>
      <w:r w:rsidR="00A53239">
        <w:t>90% of the PAN minus actual numbers</w:t>
      </w:r>
      <w:r w:rsidR="00963AE9">
        <w:t>. Three</w:t>
      </w:r>
      <w:r>
        <w:t xml:space="preserve"> worked example</w:t>
      </w:r>
      <w:r w:rsidR="000D394F">
        <w:t>s (using 2017-18 year-end balances) are</w:t>
      </w:r>
      <w:r w:rsidR="002F70FB">
        <w:t xml:space="preserve"> shown below. Funding would be time-limited to </w:t>
      </w:r>
      <w:r w:rsidR="002F70FB" w:rsidRPr="009D27B3">
        <w:rPr>
          <w:b/>
        </w:rPr>
        <w:t>three years</w:t>
      </w:r>
      <w:r w:rsidR="002F70FB">
        <w:t>.</w:t>
      </w:r>
    </w:p>
    <w:p w14:paraId="5EDE12F2" w14:textId="77777777" w:rsidR="000D394F" w:rsidRDefault="000D394F" w:rsidP="000D394F">
      <w:pPr>
        <w:pStyle w:val="ListParagraph"/>
      </w:pPr>
    </w:p>
    <w:p w14:paraId="5EDE12F3" w14:textId="77777777" w:rsidR="000D394F" w:rsidRDefault="000D394F" w:rsidP="000D394F"/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1374"/>
        <w:gridCol w:w="1375"/>
        <w:gridCol w:w="1375"/>
      </w:tblGrid>
      <w:tr w:rsidR="0061417C" w14:paraId="5EDE12F8" w14:textId="77777777" w:rsidTr="00F7174A">
        <w:tc>
          <w:tcPr>
            <w:tcW w:w="4536" w:type="dxa"/>
          </w:tcPr>
          <w:p w14:paraId="5EDE12F4" w14:textId="77777777" w:rsidR="0061417C" w:rsidRPr="00F7174A" w:rsidRDefault="00F7174A" w:rsidP="00F7174A">
            <w:pPr>
              <w:jc w:val="center"/>
              <w:rPr>
                <w:b/>
              </w:rPr>
            </w:pPr>
            <w:r w:rsidRPr="00F7174A">
              <w:rPr>
                <w:b/>
              </w:rPr>
              <w:t>Method</w:t>
            </w:r>
          </w:p>
        </w:tc>
        <w:tc>
          <w:tcPr>
            <w:tcW w:w="1374" w:type="dxa"/>
          </w:tcPr>
          <w:p w14:paraId="5EDE12F5" w14:textId="77777777" w:rsidR="0061417C" w:rsidRPr="00F7174A" w:rsidRDefault="00F7174A" w:rsidP="00F7174A">
            <w:pPr>
              <w:jc w:val="center"/>
              <w:rPr>
                <w:b/>
              </w:rPr>
            </w:pPr>
            <w:r w:rsidRPr="00F7174A">
              <w:rPr>
                <w:b/>
              </w:rPr>
              <w:t>School 1</w:t>
            </w:r>
          </w:p>
        </w:tc>
        <w:tc>
          <w:tcPr>
            <w:tcW w:w="1375" w:type="dxa"/>
          </w:tcPr>
          <w:p w14:paraId="5EDE12F6" w14:textId="77777777" w:rsidR="0061417C" w:rsidRPr="00F7174A" w:rsidRDefault="00F7174A" w:rsidP="00F7174A">
            <w:pPr>
              <w:jc w:val="center"/>
              <w:rPr>
                <w:b/>
              </w:rPr>
            </w:pPr>
            <w:r w:rsidRPr="00F7174A">
              <w:rPr>
                <w:b/>
              </w:rPr>
              <w:t>School 2</w:t>
            </w:r>
          </w:p>
        </w:tc>
        <w:tc>
          <w:tcPr>
            <w:tcW w:w="1375" w:type="dxa"/>
          </w:tcPr>
          <w:p w14:paraId="5EDE12F7" w14:textId="77777777" w:rsidR="0061417C" w:rsidRPr="00F7174A" w:rsidRDefault="00F7174A" w:rsidP="00F7174A">
            <w:pPr>
              <w:jc w:val="center"/>
              <w:rPr>
                <w:b/>
              </w:rPr>
            </w:pPr>
            <w:r w:rsidRPr="00F7174A">
              <w:rPr>
                <w:b/>
              </w:rPr>
              <w:t>School 3</w:t>
            </w:r>
          </w:p>
        </w:tc>
      </w:tr>
      <w:tr w:rsidR="00963AE9" w14:paraId="5EDE12FD" w14:textId="77777777" w:rsidTr="00F7174A">
        <w:tc>
          <w:tcPr>
            <w:tcW w:w="4536" w:type="dxa"/>
          </w:tcPr>
          <w:p w14:paraId="5EDE12F9" w14:textId="77777777" w:rsidR="00963AE9" w:rsidRPr="0061417C" w:rsidRDefault="00963AE9" w:rsidP="00963AE9">
            <w:pPr>
              <w:pStyle w:val="ListParagraph"/>
              <w:numPr>
                <w:ilvl w:val="0"/>
                <w:numId w:val="47"/>
              </w:numP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school rated outstanding or good?</w:t>
            </w:r>
          </w:p>
        </w:tc>
        <w:tc>
          <w:tcPr>
            <w:tcW w:w="1374" w:type="dxa"/>
          </w:tcPr>
          <w:p w14:paraId="5EDE12FA" w14:textId="77777777" w:rsidR="00963AE9" w:rsidRPr="0061417C" w:rsidRDefault="00963AE9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375" w:type="dxa"/>
          </w:tcPr>
          <w:p w14:paraId="5EDE12FB" w14:textId="77777777" w:rsidR="00963AE9" w:rsidRDefault="00963AE9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375" w:type="dxa"/>
          </w:tcPr>
          <w:p w14:paraId="5EDE12FC" w14:textId="77777777" w:rsidR="00963AE9" w:rsidRDefault="00963AE9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</w:tr>
      <w:tr w:rsidR="0061417C" w14:paraId="5EDE1302" w14:textId="77777777" w:rsidTr="00F7174A">
        <w:tc>
          <w:tcPr>
            <w:tcW w:w="4536" w:type="dxa"/>
          </w:tcPr>
          <w:p w14:paraId="5EDE12FE" w14:textId="77777777" w:rsidR="0061417C" w:rsidRPr="0061417C" w:rsidRDefault="0061417C" w:rsidP="00963AE9">
            <w:pPr>
              <w:pStyle w:val="ListParagraph"/>
              <w:numPr>
                <w:ilvl w:val="0"/>
                <w:numId w:val="47"/>
              </w:numPr>
              <w:ind w:left="317" w:hanging="284"/>
              <w:rPr>
                <w:sz w:val="22"/>
                <w:szCs w:val="22"/>
              </w:rPr>
            </w:pPr>
            <w:r w:rsidRPr="0061417C">
              <w:rPr>
                <w:sz w:val="22"/>
                <w:szCs w:val="22"/>
              </w:rPr>
              <w:t>Autumn 2018 Reception Numbers</w:t>
            </w:r>
          </w:p>
        </w:tc>
        <w:tc>
          <w:tcPr>
            <w:tcW w:w="1374" w:type="dxa"/>
          </w:tcPr>
          <w:p w14:paraId="5EDE12FF" w14:textId="77777777" w:rsidR="0061417C" w:rsidRPr="0061417C" w:rsidRDefault="0061417C" w:rsidP="0061417C">
            <w:pPr>
              <w:jc w:val="right"/>
              <w:rPr>
                <w:sz w:val="22"/>
                <w:szCs w:val="22"/>
              </w:rPr>
            </w:pPr>
            <w:r w:rsidRPr="0061417C">
              <w:rPr>
                <w:sz w:val="22"/>
                <w:szCs w:val="22"/>
              </w:rPr>
              <w:t>67</w:t>
            </w:r>
          </w:p>
        </w:tc>
        <w:tc>
          <w:tcPr>
            <w:tcW w:w="1375" w:type="dxa"/>
          </w:tcPr>
          <w:p w14:paraId="5EDE1300" w14:textId="77777777" w:rsidR="0061417C" w:rsidRPr="0061417C" w:rsidRDefault="00F7174A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75" w:type="dxa"/>
          </w:tcPr>
          <w:p w14:paraId="5EDE1301" w14:textId="77777777" w:rsidR="0061417C" w:rsidRPr="0061417C" w:rsidRDefault="00F7174A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61417C" w14:paraId="5EDE1307" w14:textId="77777777" w:rsidTr="00F7174A">
        <w:tc>
          <w:tcPr>
            <w:tcW w:w="4536" w:type="dxa"/>
          </w:tcPr>
          <w:p w14:paraId="5EDE1303" w14:textId="77777777" w:rsidR="0061417C" w:rsidRPr="0061417C" w:rsidRDefault="0061417C" w:rsidP="00963AE9">
            <w:pPr>
              <w:pStyle w:val="ListParagraph"/>
              <w:numPr>
                <w:ilvl w:val="0"/>
                <w:numId w:val="47"/>
              </w:numPr>
              <w:ind w:left="317" w:hanging="284"/>
              <w:rPr>
                <w:sz w:val="22"/>
                <w:szCs w:val="22"/>
              </w:rPr>
            </w:pPr>
            <w:r w:rsidRPr="0061417C">
              <w:rPr>
                <w:sz w:val="22"/>
                <w:szCs w:val="22"/>
              </w:rPr>
              <w:t>Planned Admission Number</w:t>
            </w:r>
          </w:p>
        </w:tc>
        <w:tc>
          <w:tcPr>
            <w:tcW w:w="1374" w:type="dxa"/>
          </w:tcPr>
          <w:p w14:paraId="5EDE1304" w14:textId="77777777" w:rsidR="0061417C" w:rsidRPr="0061417C" w:rsidRDefault="0061417C" w:rsidP="0061417C">
            <w:pPr>
              <w:jc w:val="right"/>
              <w:rPr>
                <w:sz w:val="22"/>
                <w:szCs w:val="22"/>
              </w:rPr>
            </w:pPr>
            <w:r w:rsidRPr="0061417C">
              <w:rPr>
                <w:sz w:val="22"/>
                <w:szCs w:val="22"/>
              </w:rPr>
              <w:t>90</w:t>
            </w:r>
          </w:p>
        </w:tc>
        <w:tc>
          <w:tcPr>
            <w:tcW w:w="1375" w:type="dxa"/>
          </w:tcPr>
          <w:p w14:paraId="5EDE1305" w14:textId="77777777" w:rsidR="0061417C" w:rsidRPr="0061417C" w:rsidRDefault="00F7174A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75" w:type="dxa"/>
          </w:tcPr>
          <w:p w14:paraId="5EDE1306" w14:textId="77777777" w:rsidR="0061417C" w:rsidRPr="0061417C" w:rsidRDefault="00F7174A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1417C" w14:paraId="5EDE130C" w14:textId="77777777" w:rsidTr="00F7174A">
        <w:tc>
          <w:tcPr>
            <w:tcW w:w="4536" w:type="dxa"/>
          </w:tcPr>
          <w:p w14:paraId="5EDE1308" w14:textId="77777777" w:rsidR="0061417C" w:rsidRPr="0061417C" w:rsidRDefault="00963AE9" w:rsidP="00963AE9">
            <w:pPr>
              <w:pStyle w:val="ListParagraph"/>
              <w:numPr>
                <w:ilvl w:val="0"/>
                <w:numId w:val="47"/>
              </w:numP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b/c</w:t>
            </w:r>
            <w:r w:rsidR="0061417C" w:rsidRPr="0061417C">
              <w:rPr>
                <w:sz w:val="22"/>
                <w:szCs w:val="22"/>
              </w:rPr>
              <w:t>%</w:t>
            </w:r>
          </w:p>
        </w:tc>
        <w:tc>
          <w:tcPr>
            <w:tcW w:w="1374" w:type="dxa"/>
          </w:tcPr>
          <w:p w14:paraId="5EDE1309" w14:textId="77777777" w:rsidR="0061417C" w:rsidRPr="0061417C" w:rsidRDefault="0061417C" w:rsidP="0061417C">
            <w:pPr>
              <w:jc w:val="right"/>
              <w:rPr>
                <w:sz w:val="22"/>
                <w:szCs w:val="22"/>
              </w:rPr>
            </w:pPr>
            <w:r w:rsidRPr="0061417C">
              <w:rPr>
                <w:sz w:val="22"/>
                <w:szCs w:val="22"/>
              </w:rPr>
              <w:t>74%</w:t>
            </w:r>
          </w:p>
        </w:tc>
        <w:tc>
          <w:tcPr>
            <w:tcW w:w="1375" w:type="dxa"/>
          </w:tcPr>
          <w:p w14:paraId="5EDE130A" w14:textId="77777777" w:rsidR="0061417C" w:rsidRPr="0061417C" w:rsidRDefault="00F7174A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60%</w:t>
            </w:r>
          </w:p>
        </w:tc>
        <w:tc>
          <w:tcPr>
            <w:tcW w:w="1375" w:type="dxa"/>
          </w:tcPr>
          <w:p w14:paraId="5EDE130B" w14:textId="77777777" w:rsidR="0061417C" w:rsidRPr="0061417C" w:rsidRDefault="00F7174A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81%</w:t>
            </w:r>
          </w:p>
        </w:tc>
      </w:tr>
      <w:tr w:rsidR="0061417C" w14:paraId="5EDE1311" w14:textId="77777777" w:rsidTr="00F7174A">
        <w:tc>
          <w:tcPr>
            <w:tcW w:w="4536" w:type="dxa"/>
          </w:tcPr>
          <w:p w14:paraId="5EDE130D" w14:textId="77777777" w:rsidR="0061417C" w:rsidRPr="0061417C" w:rsidRDefault="0061417C" w:rsidP="00963AE9">
            <w:pPr>
              <w:pStyle w:val="ListParagraph"/>
              <w:numPr>
                <w:ilvl w:val="0"/>
                <w:numId w:val="47"/>
              </w:numPr>
              <w:ind w:left="317" w:hanging="284"/>
              <w:rPr>
                <w:sz w:val="22"/>
                <w:szCs w:val="22"/>
              </w:rPr>
            </w:pPr>
            <w:r w:rsidRPr="0061417C">
              <w:rPr>
                <w:sz w:val="22"/>
                <w:szCs w:val="22"/>
              </w:rPr>
              <w:t>Eligible?</w:t>
            </w:r>
          </w:p>
        </w:tc>
        <w:tc>
          <w:tcPr>
            <w:tcW w:w="1374" w:type="dxa"/>
          </w:tcPr>
          <w:p w14:paraId="5EDE130E" w14:textId="77777777" w:rsidR="0061417C" w:rsidRPr="0061417C" w:rsidRDefault="0061417C" w:rsidP="0061417C">
            <w:pPr>
              <w:jc w:val="right"/>
              <w:rPr>
                <w:sz w:val="22"/>
                <w:szCs w:val="22"/>
              </w:rPr>
            </w:pPr>
            <w:r w:rsidRPr="0061417C">
              <w:rPr>
                <w:sz w:val="22"/>
                <w:szCs w:val="22"/>
              </w:rPr>
              <w:t>Yes</w:t>
            </w:r>
          </w:p>
        </w:tc>
        <w:tc>
          <w:tcPr>
            <w:tcW w:w="1375" w:type="dxa"/>
          </w:tcPr>
          <w:p w14:paraId="5EDE130F" w14:textId="77777777" w:rsidR="0061417C" w:rsidRPr="0061417C" w:rsidRDefault="00F7174A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375" w:type="dxa"/>
          </w:tcPr>
          <w:p w14:paraId="5EDE1310" w14:textId="77777777" w:rsidR="0061417C" w:rsidRPr="0061417C" w:rsidRDefault="00F7174A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</w:tr>
      <w:tr w:rsidR="0061417C" w14:paraId="5EDE1316" w14:textId="77777777" w:rsidTr="00F7174A">
        <w:tc>
          <w:tcPr>
            <w:tcW w:w="4536" w:type="dxa"/>
          </w:tcPr>
          <w:p w14:paraId="5EDE1312" w14:textId="77777777" w:rsidR="0061417C" w:rsidRPr="0061417C" w:rsidRDefault="0061417C" w:rsidP="00963AE9">
            <w:pPr>
              <w:pStyle w:val="ListParagraph"/>
              <w:numPr>
                <w:ilvl w:val="0"/>
                <w:numId w:val="47"/>
              </w:numPr>
              <w:ind w:left="317" w:hanging="284"/>
              <w:rPr>
                <w:sz w:val="22"/>
                <w:szCs w:val="22"/>
              </w:rPr>
            </w:pPr>
            <w:r w:rsidRPr="0061417C">
              <w:rPr>
                <w:sz w:val="22"/>
                <w:szCs w:val="22"/>
              </w:rPr>
              <w:t>90% of PAN</w:t>
            </w:r>
            <w:r w:rsidR="00963AE9">
              <w:rPr>
                <w:sz w:val="22"/>
                <w:szCs w:val="22"/>
              </w:rPr>
              <w:t xml:space="preserve"> (c</w:t>
            </w:r>
            <w:r w:rsidRPr="0061417C">
              <w:rPr>
                <w:sz w:val="22"/>
                <w:szCs w:val="22"/>
              </w:rPr>
              <w:t>*90%)</w:t>
            </w:r>
          </w:p>
        </w:tc>
        <w:tc>
          <w:tcPr>
            <w:tcW w:w="1374" w:type="dxa"/>
          </w:tcPr>
          <w:p w14:paraId="5EDE1313" w14:textId="77777777" w:rsidR="0061417C" w:rsidRPr="0061417C" w:rsidRDefault="0061417C" w:rsidP="0061417C">
            <w:pPr>
              <w:jc w:val="right"/>
              <w:rPr>
                <w:sz w:val="22"/>
                <w:szCs w:val="22"/>
              </w:rPr>
            </w:pPr>
            <w:r w:rsidRPr="0061417C">
              <w:rPr>
                <w:sz w:val="22"/>
                <w:szCs w:val="22"/>
              </w:rPr>
              <w:t>81</w:t>
            </w:r>
          </w:p>
        </w:tc>
        <w:tc>
          <w:tcPr>
            <w:tcW w:w="1375" w:type="dxa"/>
          </w:tcPr>
          <w:p w14:paraId="5EDE1314" w14:textId="77777777" w:rsidR="0061417C" w:rsidRPr="0061417C" w:rsidRDefault="00F7174A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375" w:type="dxa"/>
          </w:tcPr>
          <w:p w14:paraId="5EDE1315" w14:textId="77777777" w:rsidR="0061417C" w:rsidRPr="0061417C" w:rsidRDefault="00F7174A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67.5</w:t>
            </w:r>
          </w:p>
        </w:tc>
      </w:tr>
      <w:tr w:rsidR="0061417C" w14:paraId="5EDE131B" w14:textId="77777777" w:rsidTr="00F7174A">
        <w:tc>
          <w:tcPr>
            <w:tcW w:w="4536" w:type="dxa"/>
          </w:tcPr>
          <w:p w14:paraId="5EDE1317" w14:textId="77777777" w:rsidR="0061417C" w:rsidRPr="0061417C" w:rsidRDefault="0061417C" w:rsidP="00963AE9">
            <w:pPr>
              <w:pStyle w:val="ListParagraph"/>
              <w:numPr>
                <w:ilvl w:val="0"/>
                <w:numId w:val="47"/>
              </w:numPr>
              <w:ind w:left="317" w:hanging="284"/>
              <w:rPr>
                <w:sz w:val="22"/>
                <w:szCs w:val="22"/>
              </w:rPr>
            </w:pPr>
            <w:r w:rsidRPr="0061417C">
              <w:rPr>
                <w:sz w:val="22"/>
                <w:szCs w:val="22"/>
              </w:rPr>
              <w:t>Eligible Number</w:t>
            </w:r>
            <w:r w:rsidR="00963AE9">
              <w:rPr>
                <w:sz w:val="22"/>
                <w:szCs w:val="22"/>
              </w:rPr>
              <w:t xml:space="preserve"> (f</w:t>
            </w:r>
            <w:r w:rsidRPr="0061417C">
              <w:rPr>
                <w:sz w:val="22"/>
                <w:szCs w:val="22"/>
              </w:rPr>
              <w:t>-</w:t>
            </w:r>
            <w:r w:rsidR="00963AE9">
              <w:rPr>
                <w:sz w:val="22"/>
                <w:szCs w:val="22"/>
              </w:rPr>
              <w:t>b</w:t>
            </w:r>
            <w:r w:rsidRPr="0061417C">
              <w:rPr>
                <w:sz w:val="22"/>
                <w:szCs w:val="22"/>
              </w:rPr>
              <w:t>)</w:t>
            </w:r>
          </w:p>
        </w:tc>
        <w:tc>
          <w:tcPr>
            <w:tcW w:w="1374" w:type="dxa"/>
          </w:tcPr>
          <w:p w14:paraId="5EDE1318" w14:textId="77777777" w:rsidR="0061417C" w:rsidRPr="0061417C" w:rsidRDefault="0061417C" w:rsidP="0061417C">
            <w:pPr>
              <w:jc w:val="right"/>
              <w:rPr>
                <w:sz w:val="22"/>
                <w:szCs w:val="22"/>
              </w:rPr>
            </w:pPr>
            <w:r w:rsidRPr="0061417C">
              <w:rPr>
                <w:sz w:val="22"/>
                <w:szCs w:val="22"/>
              </w:rPr>
              <w:t>14</w:t>
            </w:r>
          </w:p>
        </w:tc>
        <w:tc>
          <w:tcPr>
            <w:tcW w:w="1375" w:type="dxa"/>
          </w:tcPr>
          <w:p w14:paraId="5EDE1319" w14:textId="77777777" w:rsidR="0061417C" w:rsidRPr="0061417C" w:rsidRDefault="00F7174A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75" w:type="dxa"/>
          </w:tcPr>
          <w:p w14:paraId="5EDE131A" w14:textId="77777777" w:rsidR="0061417C" w:rsidRPr="0061417C" w:rsidRDefault="00F7174A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</w:tr>
      <w:tr w:rsidR="0061417C" w14:paraId="5EDE1320" w14:textId="77777777" w:rsidTr="00F7174A">
        <w:tc>
          <w:tcPr>
            <w:tcW w:w="4536" w:type="dxa"/>
          </w:tcPr>
          <w:p w14:paraId="5EDE131C" w14:textId="77777777" w:rsidR="0061417C" w:rsidRPr="0061417C" w:rsidRDefault="0061417C" w:rsidP="00963AE9">
            <w:pPr>
              <w:pStyle w:val="ListParagraph"/>
              <w:numPr>
                <w:ilvl w:val="0"/>
                <w:numId w:val="47"/>
              </w:numPr>
              <w:ind w:left="317" w:hanging="284"/>
              <w:rPr>
                <w:sz w:val="22"/>
                <w:szCs w:val="22"/>
              </w:rPr>
            </w:pPr>
            <w:r w:rsidRPr="0061417C">
              <w:rPr>
                <w:sz w:val="22"/>
                <w:szCs w:val="22"/>
              </w:rPr>
              <w:t>Funding per Place (£3,246.17*90%)</w:t>
            </w:r>
          </w:p>
        </w:tc>
        <w:tc>
          <w:tcPr>
            <w:tcW w:w="1374" w:type="dxa"/>
          </w:tcPr>
          <w:p w14:paraId="5EDE131D" w14:textId="77777777" w:rsidR="0061417C" w:rsidRPr="0061417C" w:rsidRDefault="0061417C" w:rsidP="0061417C">
            <w:pPr>
              <w:jc w:val="right"/>
              <w:rPr>
                <w:sz w:val="22"/>
                <w:szCs w:val="22"/>
              </w:rPr>
            </w:pPr>
            <w:r w:rsidRPr="0061417C">
              <w:rPr>
                <w:sz w:val="22"/>
                <w:szCs w:val="22"/>
              </w:rPr>
              <w:t>£2,922</w:t>
            </w:r>
          </w:p>
        </w:tc>
        <w:tc>
          <w:tcPr>
            <w:tcW w:w="1375" w:type="dxa"/>
          </w:tcPr>
          <w:p w14:paraId="5EDE131E" w14:textId="77777777" w:rsidR="0061417C" w:rsidRPr="0061417C" w:rsidRDefault="0061417C" w:rsidP="0061417C">
            <w:pPr>
              <w:jc w:val="right"/>
              <w:rPr>
                <w:sz w:val="22"/>
                <w:szCs w:val="22"/>
              </w:rPr>
            </w:pPr>
            <w:r w:rsidRPr="0061417C">
              <w:rPr>
                <w:sz w:val="22"/>
                <w:szCs w:val="22"/>
              </w:rPr>
              <w:t>£2,922</w:t>
            </w:r>
          </w:p>
        </w:tc>
        <w:tc>
          <w:tcPr>
            <w:tcW w:w="1375" w:type="dxa"/>
          </w:tcPr>
          <w:p w14:paraId="5EDE131F" w14:textId="77777777" w:rsidR="0061417C" w:rsidRPr="0061417C" w:rsidRDefault="0061417C" w:rsidP="0061417C">
            <w:pPr>
              <w:jc w:val="right"/>
              <w:rPr>
                <w:sz w:val="22"/>
                <w:szCs w:val="22"/>
              </w:rPr>
            </w:pPr>
            <w:r w:rsidRPr="0061417C">
              <w:rPr>
                <w:sz w:val="22"/>
                <w:szCs w:val="22"/>
              </w:rPr>
              <w:t>£2,922</w:t>
            </w:r>
          </w:p>
        </w:tc>
      </w:tr>
      <w:tr w:rsidR="0061417C" w14:paraId="5EDE1325" w14:textId="77777777" w:rsidTr="00F7174A">
        <w:tc>
          <w:tcPr>
            <w:tcW w:w="4536" w:type="dxa"/>
          </w:tcPr>
          <w:p w14:paraId="5EDE1321" w14:textId="77777777" w:rsidR="0061417C" w:rsidRPr="0061417C" w:rsidRDefault="0061417C" w:rsidP="00963AE9">
            <w:pPr>
              <w:pStyle w:val="ListParagraph"/>
              <w:numPr>
                <w:ilvl w:val="0"/>
                <w:numId w:val="47"/>
              </w:numPr>
              <w:ind w:left="317" w:hanging="284"/>
              <w:rPr>
                <w:sz w:val="22"/>
                <w:szCs w:val="22"/>
              </w:rPr>
            </w:pPr>
            <w:r w:rsidRPr="0061417C">
              <w:rPr>
                <w:sz w:val="22"/>
                <w:szCs w:val="22"/>
              </w:rPr>
              <w:t>Funding for School (</w:t>
            </w:r>
            <w:r w:rsidR="00963AE9">
              <w:rPr>
                <w:sz w:val="22"/>
                <w:szCs w:val="22"/>
              </w:rPr>
              <w:t>h</w:t>
            </w:r>
            <w:r w:rsidRPr="0061417C">
              <w:rPr>
                <w:sz w:val="22"/>
                <w:szCs w:val="22"/>
              </w:rPr>
              <w:t>*g)</w:t>
            </w:r>
          </w:p>
        </w:tc>
        <w:tc>
          <w:tcPr>
            <w:tcW w:w="1374" w:type="dxa"/>
          </w:tcPr>
          <w:p w14:paraId="5EDE1322" w14:textId="77777777" w:rsidR="0061417C" w:rsidRPr="0061417C" w:rsidRDefault="0061417C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£40,916</w:t>
            </w:r>
          </w:p>
        </w:tc>
        <w:tc>
          <w:tcPr>
            <w:tcW w:w="1375" w:type="dxa"/>
          </w:tcPr>
          <w:p w14:paraId="5EDE1323" w14:textId="77777777" w:rsidR="0061417C" w:rsidRPr="0061417C" w:rsidRDefault="00F7174A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£52,606</w:t>
            </w:r>
          </w:p>
        </w:tc>
        <w:tc>
          <w:tcPr>
            <w:tcW w:w="1375" w:type="dxa"/>
          </w:tcPr>
          <w:p w14:paraId="5EDE1324" w14:textId="77777777" w:rsidR="0061417C" w:rsidRPr="0061417C" w:rsidRDefault="00F7174A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£18,997</w:t>
            </w:r>
          </w:p>
        </w:tc>
      </w:tr>
      <w:tr w:rsidR="0061417C" w14:paraId="5EDE132A" w14:textId="77777777" w:rsidTr="00F7174A">
        <w:tc>
          <w:tcPr>
            <w:tcW w:w="4536" w:type="dxa"/>
          </w:tcPr>
          <w:p w14:paraId="5EDE1326" w14:textId="77777777" w:rsidR="0061417C" w:rsidRPr="0061417C" w:rsidRDefault="0061417C" w:rsidP="00963AE9">
            <w:pPr>
              <w:pStyle w:val="ListParagraph"/>
              <w:numPr>
                <w:ilvl w:val="0"/>
                <w:numId w:val="47"/>
              </w:numPr>
              <w:ind w:left="317" w:hanging="284"/>
              <w:rPr>
                <w:sz w:val="22"/>
                <w:szCs w:val="22"/>
              </w:rPr>
            </w:pPr>
            <w:r w:rsidRPr="0061417C">
              <w:rPr>
                <w:sz w:val="22"/>
                <w:szCs w:val="22"/>
              </w:rPr>
              <w:t>Less Surplus in excess of 8%</w:t>
            </w:r>
          </w:p>
        </w:tc>
        <w:tc>
          <w:tcPr>
            <w:tcW w:w="1374" w:type="dxa"/>
          </w:tcPr>
          <w:p w14:paraId="5EDE1327" w14:textId="77777777" w:rsidR="0061417C" w:rsidRPr="0061417C" w:rsidRDefault="0061417C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£11,439</w:t>
            </w:r>
          </w:p>
        </w:tc>
        <w:tc>
          <w:tcPr>
            <w:tcW w:w="1375" w:type="dxa"/>
          </w:tcPr>
          <w:p w14:paraId="5EDE1328" w14:textId="77777777" w:rsidR="0061417C" w:rsidRPr="0061417C" w:rsidRDefault="00F7174A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£0</w:t>
            </w:r>
          </w:p>
        </w:tc>
        <w:tc>
          <w:tcPr>
            <w:tcW w:w="1375" w:type="dxa"/>
          </w:tcPr>
          <w:p w14:paraId="5EDE1329" w14:textId="77777777" w:rsidR="0061417C" w:rsidRPr="0061417C" w:rsidRDefault="00F7174A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£36,314</w:t>
            </w:r>
          </w:p>
        </w:tc>
      </w:tr>
      <w:tr w:rsidR="0061417C" w14:paraId="5EDE132F" w14:textId="77777777" w:rsidTr="00F7174A">
        <w:tc>
          <w:tcPr>
            <w:tcW w:w="4536" w:type="dxa"/>
          </w:tcPr>
          <w:p w14:paraId="5EDE132B" w14:textId="77777777" w:rsidR="0061417C" w:rsidRPr="0061417C" w:rsidRDefault="0061417C" w:rsidP="00963AE9">
            <w:pPr>
              <w:pStyle w:val="ListParagraph"/>
              <w:numPr>
                <w:ilvl w:val="0"/>
                <w:numId w:val="47"/>
              </w:numPr>
              <w:ind w:left="317" w:hanging="284"/>
              <w:rPr>
                <w:sz w:val="22"/>
                <w:szCs w:val="22"/>
              </w:rPr>
            </w:pPr>
            <w:r w:rsidRPr="0061417C">
              <w:rPr>
                <w:sz w:val="22"/>
                <w:szCs w:val="22"/>
              </w:rPr>
              <w:t>Balance to School</w:t>
            </w:r>
            <w:r w:rsidR="00963AE9">
              <w:rPr>
                <w:sz w:val="22"/>
                <w:szCs w:val="22"/>
              </w:rPr>
              <w:t xml:space="preserve"> (i</w:t>
            </w:r>
            <w:r w:rsidRPr="0061417C">
              <w:rPr>
                <w:sz w:val="22"/>
                <w:szCs w:val="22"/>
              </w:rPr>
              <w:t>-</w:t>
            </w:r>
            <w:r w:rsidR="00963AE9">
              <w:rPr>
                <w:sz w:val="22"/>
                <w:szCs w:val="22"/>
              </w:rPr>
              <w:t>j</w:t>
            </w:r>
            <w:r w:rsidRPr="0061417C">
              <w:rPr>
                <w:sz w:val="22"/>
                <w:szCs w:val="22"/>
              </w:rPr>
              <w:t>)</w:t>
            </w:r>
          </w:p>
        </w:tc>
        <w:tc>
          <w:tcPr>
            <w:tcW w:w="1374" w:type="dxa"/>
          </w:tcPr>
          <w:p w14:paraId="5EDE132C" w14:textId="77777777" w:rsidR="0061417C" w:rsidRPr="0061417C" w:rsidRDefault="0061417C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£29,477</w:t>
            </w:r>
          </w:p>
        </w:tc>
        <w:tc>
          <w:tcPr>
            <w:tcW w:w="1375" w:type="dxa"/>
          </w:tcPr>
          <w:p w14:paraId="5EDE132D" w14:textId="77777777" w:rsidR="0061417C" w:rsidRPr="0061417C" w:rsidRDefault="00F7174A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£52,606</w:t>
            </w:r>
          </w:p>
        </w:tc>
        <w:tc>
          <w:tcPr>
            <w:tcW w:w="1375" w:type="dxa"/>
          </w:tcPr>
          <w:p w14:paraId="5EDE132E" w14:textId="77777777" w:rsidR="0061417C" w:rsidRPr="0061417C" w:rsidRDefault="00F7174A" w:rsidP="00614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£0</w:t>
            </w:r>
          </w:p>
        </w:tc>
      </w:tr>
    </w:tbl>
    <w:p w14:paraId="5EDE1330" w14:textId="77777777" w:rsidR="000D394F" w:rsidRDefault="000D394F" w:rsidP="000D394F"/>
    <w:p w14:paraId="5EDE1331" w14:textId="77777777" w:rsidR="00963AE9" w:rsidRPr="00963AE9" w:rsidRDefault="00963AE9" w:rsidP="000D394F">
      <w:pPr>
        <w:rPr>
          <w:sz w:val="20"/>
          <w:szCs w:val="20"/>
        </w:rPr>
      </w:pPr>
      <w:r>
        <w:lastRenderedPageBreak/>
        <w:tab/>
      </w:r>
      <w:r>
        <w:rPr>
          <w:sz w:val="20"/>
          <w:szCs w:val="20"/>
        </w:rPr>
        <w:t>Figures are rounded.</w:t>
      </w:r>
    </w:p>
    <w:p w14:paraId="5EDE1332" w14:textId="77777777" w:rsidR="0017045A" w:rsidRDefault="0017045A" w:rsidP="0017045A">
      <w:pPr>
        <w:pStyle w:val="ListParagraph"/>
      </w:pPr>
    </w:p>
    <w:p w14:paraId="5EDE1333" w14:textId="77777777" w:rsidR="00DE4A01" w:rsidRDefault="00DE4A01" w:rsidP="00DE4A01">
      <w:pPr>
        <w:pStyle w:val="ListParagraph"/>
      </w:pPr>
    </w:p>
    <w:p w14:paraId="5EDE1334" w14:textId="77777777" w:rsidR="00187FC9" w:rsidRDefault="00187FC9" w:rsidP="00187FC9">
      <w:pPr>
        <w:pStyle w:val="ListParagraph"/>
        <w:ind w:left="792"/>
      </w:pPr>
    </w:p>
    <w:p w14:paraId="5EDE1335" w14:textId="77777777" w:rsidR="0070714B" w:rsidRDefault="00F7174A" w:rsidP="0070714B">
      <w:pPr>
        <w:pStyle w:val="ListParagraph"/>
        <w:numPr>
          <w:ilvl w:val="1"/>
          <w:numId w:val="43"/>
        </w:numPr>
      </w:pPr>
      <w:r>
        <w:t>Based on year-end balances at March 2018, the methodology has been costed at £500k. Actual funding will use the year-end balance</w:t>
      </w:r>
      <w:r w:rsidR="002F70FB">
        <w:t xml:space="preserve"> for the 2018-19 financial year. Any under or over-spend on the fund will roll forward to the 2020-21</w:t>
      </w:r>
      <w:r w:rsidR="0034699C">
        <w:t xml:space="preserve"> </w:t>
      </w:r>
      <w:r w:rsidR="002F70FB">
        <w:t>School</w:t>
      </w:r>
      <w:r w:rsidR="0034699C">
        <w:t>s</w:t>
      </w:r>
      <w:r w:rsidR="002F70FB">
        <w:t xml:space="preserve"> Budget.</w:t>
      </w:r>
      <w:r>
        <w:t xml:space="preserve"> </w:t>
      </w:r>
    </w:p>
    <w:p w14:paraId="5EDE1336" w14:textId="77777777" w:rsidR="0070714B" w:rsidRPr="0018752D" w:rsidRDefault="0070714B" w:rsidP="00187FC9">
      <w:pPr>
        <w:pStyle w:val="ListParagraph"/>
        <w:ind w:left="792"/>
        <w:rPr>
          <w:b/>
        </w:rPr>
      </w:pPr>
    </w:p>
    <w:p w14:paraId="5EDE1337" w14:textId="77777777" w:rsidR="0070714B" w:rsidRDefault="0070714B">
      <w:pPr>
        <w:rPr>
          <w:b/>
        </w:rPr>
      </w:pPr>
    </w:p>
    <w:sectPr w:rsidR="0070714B" w:rsidSect="004C11CF">
      <w:headerReference w:type="default" r:id="rId11"/>
      <w:footerReference w:type="default" r:id="rId12"/>
      <w:pgSz w:w="11906" w:h="16838" w:code="9"/>
      <w:pgMar w:top="1503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E133A" w14:textId="77777777" w:rsidR="0096294A" w:rsidRDefault="0096294A">
      <w:r>
        <w:separator/>
      </w:r>
    </w:p>
  </w:endnote>
  <w:endnote w:type="continuationSeparator" w:id="0">
    <w:p w14:paraId="5EDE133B" w14:textId="77777777" w:rsidR="0096294A" w:rsidRDefault="0096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62715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F28A15" w14:textId="562B0E8C" w:rsidR="00AD2F19" w:rsidRDefault="00AD2F1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DE133F" w14:textId="77777777" w:rsidR="0096294A" w:rsidRDefault="0096294A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E1338" w14:textId="77777777" w:rsidR="0096294A" w:rsidRDefault="0096294A">
      <w:r>
        <w:separator/>
      </w:r>
    </w:p>
  </w:footnote>
  <w:footnote w:type="continuationSeparator" w:id="0">
    <w:p w14:paraId="5EDE1339" w14:textId="77777777" w:rsidR="0096294A" w:rsidRDefault="0096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E133D" w14:textId="00D140B2" w:rsidR="0096294A" w:rsidRDefault="0096294A">
    <w:pPr>
      <w:pStyle w:val="Header"/>
    </w:pPr>
    <w:r w:rsidRPr="00ED7730">
      <w:ptab w:relativeTo="margin" w:alignment="center" w:leader="none"/>
    </w:r>
    <w:r w:rsidR="00FF7453">
      <w:t>Schools Forum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392"/>
    <w:multiLevelType w:val="hybridMultilevel"/>
    <w:tmpl w:val="FD86B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73AD"/>
    <w:multiLevelType w:val="hybridMultilevel"/>
    <w:tmpl w:val="F532176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20075F5"/>
    <w:multiLevelType w:val="hybridMultilevel"/>
    <w:tmpl w:val="33A2522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B1021"/>
    <w:multiLevelType w:val="hybridMultilevel"/>
    <w:tmpl w:val="E286E8CE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56108"/>
    <w:multiLevelType w:val="hybridMultilevel"/>
    <w:tmpl w:val="4D32DC7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69EB"/>
    <w:multiLevelType w:val="hybridMultilevel"/>
    <w:tmpl w:val="C3C0388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852285"/>
    <w:multiLevelType w:val="hybridMultilevel"/>
    <w:tmpl w:val="11BA7422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464417"/>
    <w:multiLevelType w:val="hybridMultilevel"/>
    <w:tmpl w:val="EDF69FD8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3440F"/>
    <w:multiLevelType w:val="hybridMultilevel"/>
    <w:tmpl w:val="6966D86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E4043D"/>
    <w:multiLevelType w:val="hybridMultilevel"/>
    <w:tmpl w:val="99C4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EB0D5F"/>
    <w:multiLevelType w:val="multilevel"/>
    <w:tmpl w:val="A754EE48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11615AEE"/>
    <w:multiLevelType w:val="hybridMultilevel"/>
    <w:tmpl w:val="7052955E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4336F"/>
    <w:multiLevelType w:val="hybridMultilevel"/>
    <w:tmpl w:val="B352C6C8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3C0C52"/>
    <w:multiLevelType w:val="hybridMultilevel"/>
    <w:tmpl w:val="421453C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8E277C"/>
    <w:multiLevelType w:val="hybridMultilevel"/>
    <w:tmpl w:val="1330A000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16543C4D"/>
    <w:multiLevelType w:val="hybridMultilevel"/>
    <w:tmpl w:val="6DA49F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1D160010"/>
    <w:multiLevelType w:val="hybridMultilevel"/>
    <w:tmpl w:val="E6A859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3E7992"/>
    <w:multiLevelType w:val="hybridMultilevel"/>
    <w:tmpl w:val="3072F85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21DD51CF"/>
    <w:multiLevelType w:val="hybridMultilevel"/>
    <w:tmpl w:val="338A92C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7C2CF0"/>
    <w:multiLevelType w:val="hybridMultilevel"/>
    <w:tmpl w:val="52642EEC"/>
    <w:lvl w:ilvl="0" w:tplc="4AEA40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575B6"/>
    <w:multiLevelType w:val="hybridMultilevel"/>
    <w:tmpl w:val="3AAAF8F4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E1C25"/>
    <w:multiLevelType w:val="hybridMultilevel"/>
    <w:tmpl w:val="ADB47C2C"/>
    <w:lvl w:ilvl="0" w:tplc="260E64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A463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91159"/>
    <w:multiLevelType w:val="hybridMultilevel"/>
    <w:tmpl w:val="2B30307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9EC5F75"/>
    <w:multiLevelType w:val="hybridMultilevel"/>
    <w:tmpl w:val="9854324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E53836"/>
    <w:multiLevelType w:val="hybridMultilevel"/>
    <w:tmpl w:val="A4A25A2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7D139D"/>
    <w:multiLevelType w:val="hybridMultilevel"/>
    <w:tmpl w:val="08D2A36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9C1406B"/>
    <w:multiLevelType w:val="hybridMultilevel"/>
    <w:tmpl w:val="905CA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C36C2"/>
    <w:multiLevelType w:val="hybridMultilevel"/>
    <w:tmpl w:val="C9F42DD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4D073853"/>
    <w:multiLevelType w:val="hybridMultilevel"/>
    <w:tmpl w:val="05B2F83C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D3BE9"/>
    <w:multiLevelType w:val="hybridMultilevel"/>
    <w:tmpl w:val="48A8E75A"/>
    <w:lvl w:ilvl="0" w:tplc="4AEA40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2F528A"/>
    <w:multiLevelType w:val="hybridMultilevel"/>
    <w:tmpl w:val="A19098D4"/>
    <w:lvl w:ilvl="0" w:tplc="08090019">
      <w:start w:val="1"/>
      <w:numFmt w:val="lowerLetter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 w15:restartNumberingAfterBreak="0">
    <w:nsid w:val="5BDE15B3"/>
    <w:multiLevelType w:val="hybridMultilevel"/>
    <w:tmpl w:val="692C468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5D153EFD"/>
    <w:multiLevelType w:val="hybridMultilevel"/>
    <w:tmpl w:val="3B684F0C"/>
    <w:lvl w:ilvl="0" w:tplc="3BB645D4">
      <w:start w:val="1"/>
      <w:numFmt w:val="lowerLetter"/>
      <w:lvlText w:val="%1)"/>
      <w:lvlJc w:val="left"/>
      <w:pPr>
        <w:tabs>
          <w:tab w:val="num" w:pos="1100"/>
        </w:tabs>
        <w:ind w:left="1100" w:hanging="20"/>
      </w:pPr>
      <w:rPr>
        <w:rFonts w:ascii="Arial" w:eastAsia="Lucida Console" w:hAnsi="Arial" w:cs="Lucida Console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5EC27ED5"/>
    <w:multiLevelType w:val="hybridMultilevel"/>
    <w:tmpl w:val="1A7AF970"/>
    <w:lvl w:ilvl="0" w:tplc="4AEA40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A20E3"/>
    <w:multiLevelType w:val="hybridMultilevel"/>
    <w:tmpl w:val="A61898E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658E48DF"/>
    <w:multiLevelType w:val="hybridMultilevel"/>
    <w:tmpl w:val="C5FCC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817EB"/>
    <w:multiLevelType w:val="hybridMultilevel"/>
    <w:tmpl w:val="6346F6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7731D"/>
    <w:multiLevelType w:val="hybridMultilevel"/>
    <w:tmpl w:val="F2240B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6F2F4E"/>
    <w:multiLevelType w:val="hybridMultilevel"/>
    <w:tmpl w:val="0FD6D252"/>
    <w:lvl w:ilvl="0" w:tplc="CCDEF40A">
      <w:start w:val="1"/>
      <w:numFmt w:val="bullet"/>
      <w:lvlText w:val="o"/>
      <w:lvlJc w:val="left"/>
      <w:pPr>
        <w:tabs>
          <w:tab w:val="num" w:pos="301"/>
        </w:tabs>
        <w:ind w:left="224" w:hanging="22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0" w15:restartNumberingAfterBreak="0">
    <w:nsid w:val="746E034F"/>
    <w:multiLevelType w:val="hybridMultilevel"/>
    <w:tmpl w:val="558C5DA0"/>
    <w:lvl w:ilvl="0" w:tplc="4AEA40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E7EA0"/>
    <w:multiLevelType w:val="multilevel"/>
    <w:tmpl w:val="02AA7E7A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6590C01"/>
    <w:multiLevelType w:val="hybridMultilevel"/>
    <w:tmpl w:val="5D20F484"/>
    <w:lvl w:ilvl="0" w:tplc="4AEA40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B0B01"/>
    <w:multiLevelType w:val="hybridMultilevel"/>
    <w:tmpl w:val="B740B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E333F"/>
    <w:multiLevelType w:val="hybridMultilevel"/>
    <w:tmpl w:val="290AEAE4"/>
    <w:lvl w:ilvl="0" w:tplc="8206A2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E16CAC"/>
    <w:multiLevelType w:val="hybridMultilevel"/>
    <w:tmpl w:val="88C6A1B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3"/>
  </w:num>
  <w:num w:numId="2">
    <w:abstractNumId w:val="42"/>
  </w:num>
  <w:num w:numId="3">
    <w:abstractNumId w:val="34"/>
  </w:num>
  <w:num w:numId="4">
    <w:abstractNumId w:val="5"/>
  </w:num>
  <w:num w:numId="5">
    <w:abstractNumId w:val="40"/>
  </w:num>
  <w:num w:numId="6">
    <w:abstractNumId w:val="20"/>
  </w:num>
  <w:num w:numId="7">
    <w:abstractNumId w:val="19"/>
  </w:num>
  <w:num w:numId="8">
    <w:abstractNumId w:val="15"/>
  </w:num>
  <w:num w:numId="9">
    <w:abstractNumId w:val="17"/>
  </w:num>
  <w:num w:numId="10">
    <w:abstractNumId w:val="25"/>
  </w:num>
  <w:num w:numId="11">
    <w:abstractNumId w:val="30"/>
  </w:num>
  <w:num w:numId="12">
    <w:abstractNumId w:val="44"/>
  </w:num>
  <w:num w:numId="13">
    <w:abstractNumId w:val="45"/>
  </w:num>
  <w:num w:numId="14">
    <w:abstractNumId w:val="12"/>
  </w:num>
  <w:num w:numId="15">
    <w:abstractNumId w:val="38"/>
  </w:num>
  <w:num w:numId="16">
    <w:abstractNumId w:val="4"/>
  </w:num>
  <w:num w:numId="17">
    <w:abstractNumId w:val="41"/>
  </w:num>
  <w:num w:numId="18">
    <w:abstractNumId w:val="7"/>
  </w:num>
  <w:num w:numId="19">
    <w:abstractNumId w:val="29"/>
  </w:num>
  <w:num w:numId="20">
    <w:abstractNumId w:val="18"/>
  </w:num>
  <w:num w:numId="21">
    <w:abstractNumId w:val="11"/>
  </w:num>
  <w:num w:numId="22">
    <w:abstractNumId w:val="21"/>
  </w:num>
  <w:num w:numId="23">
    <w:abstractNumId w:val="16"/>
  </w:num>
  <w:num w:numId="24">
    <w:abstractNumId w:val="32"/>
  </w:num>
  <w:num w:numId="25">
    <w:abstractNumId w:val="2"/>
  </w:num>
  <w:num w:numId="26">
    <w:abstractNumId w:val="24"/>
  </w:num>
  <w:num w:numId="27">
    <w:abstractNumId w:val="23"/>
  </w:num>
  <w:num w:numId="28">
    <w:abstractNumId w:val="14"/>
  </w:num>
  <w:num w:numId="29">
    <w:abstractNumId w:val="28"/>
  </w:num>
  <w:num w:numId="30">
    <w:abstractNumId w:val="6"/>
  </w:num>
  <w:num w:numId="31">
    <w:abstractNumId w:val="1"/>
  </w:num>
  <w:num w:numId="32">
    <w:abstractNumId w:val="3"/>
  </w:num>
  <w:num w:numId="33">
    <w:abstractNumId w:val="33"/>
  </w:num>
  <w:num w:numId="34">
    <w:abstractNumId w:val="35"/>
  </w:num>
  <w:num w:numId="35">
    <w:abstractNumId w:val="26"/>
  </w:num>
  <w:num w:numId="36">
    <w:abstractNumId w:val="13"/>
  </w:num>
  <w:num w:numId="37">
    <w:abstractNumId w:val="39"/>
  </w:num>
  <w:num w:numId="38">
    <w:abstractNumId w:val="8"/>
  </w:num>
  <w:num w:numId="39">
    <w:abstractNumId w:val="9"/>
  </w:num>
  <w:num w:numId="40">
    <w:abstractNumId w:val="0"/>
  </w:num>
  <w:num w:numId="41">
    <w:abstractNumId w:val="36"/>
  </w:num>
  <w:num w:numId="42">
    <w:abstractNumId w:val="27"/>
  </w:num>
  <w:num w:numId="43">
    <w:abstractNumId w:val="46"/>
  </w:num>
  <w:num w:numId="44">
    <w:abstractNumId w:val="31"/>
  </w:num>
  <w:num w:numId="45">
    <w:abstractNumId w:val="10"/>
  </w:num>
  <w:num w:numId="46">
    <w:abstractNumId w:val="22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AC3"/>
    <w:rsid w:val="000079CF"/>
    <w:rsid w:val="000106AF"/>
    <w:rsid w:val="00011A38"/>
    <w:rsid w:val="0001228D"/>
    <w:rsid w:val="00014128"/>
    <w:rsid w:val="000149FD"/>
    <w:rsid w:val="00025F55"/>
    <w:rsid w:val="00026A03"/>
    <w:rsid w:val="00030F6F"/>
    <w:rsid w:val="000339DC"/>
    <w:rsid w:val="00041E9D"/>
    <w:rsid w:val="00046FCB"/>
    <w:rsid w:val="0005284B"/>
    <w:rsid w:val="00053B81"/>
    <w:rsid w:val="00060FED"/>
    <w:rsid w:val="0007256E"/>
    <w:rsid w:val="00077299"/>
    <w:rsid w:val="00083BBE"/>
    <w:rsid w:val="00087E04"/>
    <w:rsid w:val="000A2234"/>
    <w:rsid w:val="000A7872"/>
    <w:rsid w:val="000A78CA"/>
    <w:rsid w:val="000C1387"/>
    <w:rsid w:val="000D3037"/>
    <w:rsid w:val="000D394F"/>
    <w:rsid w:val="000D5510"/>
    <w:rsid w:val="000D6FF5"/>
    <w:rsid w:val="000E153F"/>
    <w:rsid w:val="000E7C2D"/>
    <w:rsid w:val="000F0BCB"/>
    <w:rsid w:val="000F1054"/>
    <w:rsid w:val="00102CEB"/>
    <w:rsid w:val="00110AE1"/>
    <w:rsid w:val="00125730"/>
    <w:rsid w:val="00126384"/>
    <w:rsid w:val="00127374"/>
    <w:rsid w:val="00131EEB"/>
    <w:rsid w:val="0013261A"/>
    <w:rsid w:val="00133AC3"/>
    <w:rsid w:val="001445AD"/>
    <w:rsid w:val="00151AD1"/>
    <w:rsid w:val="00152F4B"/>
    <w:rsid w:val="001619A7"/>
    <w:rsid w:val="001637DD"/>
    <w:rsid w:val="001638D3"/>
    <w:rsid w:val="0017045A"/>
    <w:rsid w:val="00171274"/>
    <w:rsid w:val="00177800"/>
    <w:rsid w:val="00184A94"/>
    <w:rsid w:val="0018752D"/>
    <w:rsid w:val="00187FC9"/>
    <w:rsid w:val="0019143A"/>
    <w:rsid w:val="001A2886"/>
    <w:rsid w:val="001A74CC"/>
    <w:rsid w:val="001B1591"/>
    <w:rsid w:val="001B259F"/>
    <w:rsid w:val="001C209A"/>
    <w:rsid w:val="001C6F21"/>
    <w:rsid w:val="001D32A0"/>
    <w:rsid w:val="001D4975"/>
    <w:rsid w:val="001D6BA4"/>
    <w:rsid w:val="001E4116"/>
    <w:rsid w:val="001E472B"/>
    <w:rsid w:val="001E70F6"/>
    <w:rsid w:val="001F79C6"/>
    <w:rsid w:val="00205496"/>
    <w:rsid w:val="00221B84"/>
    <w:rsid w:val="002246CA"/>
    <w:rsid w:val="00231641"/>
    <w:rsid w:val="002374A3"/>
    <w:rsid w:val="002413A2"/>
    <w:rsid w:val="00246254"/>
    <w:rsid w:val="002467C4"/>
    <w:rsid w:val="00253B34"/>
    <w:rsid w:val="00256938"/>
    <w:rsid w:val="00257D10"/>
    <w:rsid w:val="0026062F"/>
    <w:rsid w:val="0026098B"/>
    <w:rsid w:val="002640E1"/>
    <w:rsid w:val="00264249"/>
    <w:rsid w:val="00266DE2"/>
    <w:rsid w:val="00287DBD"/>
    <w:rsid w:val="0029022D"/>
    <w:rsid w:val="00291476"/>
    <w:rsid w:val="0029323C"/>
    <w:rsid w:val="002958F1"/>
    <w:rsid w:val="002A69DC"/>
    <w:rsid w:val="002A734B"/>
    <w:rsid w:val="002F4FB8"/>
    <w:rsid w:val="002F55A8"/>
    <w:rsid w:val="002F70FB"/>
    <w:rsid w:val="003044B1"/>
    <w:rsid w:val="0030490E"/>
    <w:rsid w:val="00304E15"/>
    <w:rsid w:val="00322E4D"/>
    <w:rsid w:val="003322EA"/>
    <w:rsid w:val="0034699C"/>
    <w:rsid w:val="00351F12"/>
    <w:rsid w:val="003531BB"/>
    <w:rsid w:val="003564B6"/>
    <w:rsid w:val="00361F94"/>
    <w:rsid w:val="0038332C"/>
    <w:rsid w:val="003867AC"/>
    <w:rsid w:val="003920CB"/>
    <w:rsid w:val="003925D5"/>
    <w:rsid w:val="00397511"/>
    <w:rsid w:val="003B2548"/>
    <w:rsid w:val="003B3B0E"/>
    <w:rsid w:val="003B700C"/>
    <w:rsid w:val="003B7621"/>
    <w:rsid w:val="003C4300"/>
    <w:rsid w:val="003D08B1"/>
    <w:rsid w:val="003D29D2"/>
    <w:rsid w:val="003D435E"/>
    <w:rsid w:val="003D4611"/>
    <w:rsid w:val="003E00BB"/>
    <w:rsid w:val="00405B39"/>
    <w:rsid w:val="00407F2D"/>
    <w:rsid w:val="00410D37"/>
    <w:rsid w:val="00411EEB"/>
    <w:rsid w:val="00421266"/>
    <w:rsid w:val="004256EA"/>
    <w:rsid w:val="00434EDA"/>
    <w:rsid w:val="00444C0E"/>
    <w:rsid w:val="00446519"/>
    <w:rsid w:val="00446ED9"/>
    <w:rsid w:val="004478AE"/>
    <w:rsid w:val="00447E7C"/>
    <w:rsid w:val="004503C6"/>
    <w:rsid w:val="0045059B"/>
    <w:rsid w:val="00451CF7"/>
    <w:rsid w:val="00457528"/>
    <w:rsid w:val="00465312"/>
    <w:rsid w:val="0046718D"/>
    <w:rsid w:val="004705A1"/>
    <w:rsid w:val="004862AC"/>
    <w:rsid w:val="004862E0"/>
    <w:rsid w:val="00486492"/>
    <w:rsid w:val="004A0F22"/>
    <w:rsid w:val="004A2E94"/>
    <w:rsid w:val="004B6ED7"/>
    <w:rsid w:val="004C11CF"/>
    <w:rsid w:val="004D4FF7"/>
    <w:rsid w:val="004D7D73"/>
    <w:rsid w:val="004F67E3"/>
    <w:rsid w:val="00501776"/>
    <w:rsid w:val="0050651C"/>
    <w:rsid w:val="005065B0"/>
    <w:rsid w:val="00510168"/>
    <w:rsid w:val="005210A6"/>
    <w:rsid w:val="0054015A"/>
    <w:rsid w:val="00540291"/>
    <w:rsid w:val="00545A21"/>
    <w:rsid w:val="00550AD9"/>
    <w:rsid w:val="00552A9D"/>
    <w:rsid w:val="00565F48"/>
    <w:rsid w:val="00572E2A"/>
    <w:rsid w:val="00580113"/>
    <w:rsid w:val="00581CFC"/>
    <w:rsid w:val="00582A23"/>
    <w:rsid w:val="005840FC"/>
    <w:rsid w:val="00584A63"/>
    <w:rsid w:val="005934AD"/>
    <w:rsid w:val="005A2910"/>
    <w:rsid w:val="005A29F4"/>
    <w:rsid w:val="005A3C4D"/>
    <w:rsid w:val="005D57DA"/>
    <w:rsid w:val="005E12B9"/>
    <w:rsid w:val="005E7EBC"/>
    <w:rsid w:val="005F1CE0"/>
    <w:rsid w:val="005F399C"/>
    <w:rsid w:val="00603459"/>
    <w:rsid w:val="00604DF8"/>
    <w:rsid w:val="00611B3F"/>
    <w:rsid w:val="006134FA"/>
    <w:rsid w:val="00613717"/>
    <w:rsid w:val="0061417C"/>
    <w:rsid w:val="0064324B"/>
    <w:rsid w:val="0064655C"/>
    <w:rsid w:val="00646D3B"/>
    <w:rsid w:val="0065202F"/>
    <w:rsid w:val="00664ED4"/>
    <w:rsid w:val="006706BB"/>
    <w:rsid w:val="00671CCB"/>
    <w:rsid w:val="0067369D"/>
    <w:rsid w:val="00673A87"/>
    <w:rsid w:val="00674AD4"/>
    <w:rsid w:val="006826FE"/>
    <w:rsid w:val="00690471"/>
    <w:rsid w:val="00695F0A"/>
    <w:rsid w:val="0069748F"/>
    <w:rsid w:val="006A1261"/>
    <w:rsid w:val="006B15C2"/>
    <w:rsid w:val="006B4562"/>
    <w:rsid w:val="006C3030"/>
    <w:rsid w:val="006C3E43"/>
    <w:rsid w:val="006C5DF1"/>
    <w:rsid w:val="006C63CE"/>
    <w:rsid w:val="006C6470"/>
    <w:rsid w:val="006C75C1"/>
    <w:rsid w:val="006C7A55"/>
    <w:rsid w:val="006D64E4"/>
    <w:rsid w:val="006F119E"/>
    <w:rsid w:val="006F1734"/>
    <w:rsid w:val="006F2AAB"/>
    <w:rsid w:val="006F2E0C"/>
    <w:rsid w:val="007047E2"/>
    <w:rsid w:val="0070714B"/>
    <w:rsid w:val="0070740D"/>
    <w:rsid w:val="0071067E"/>
    <w:rsid w:val="00715428"/>
    <w:rsid w:val="00715552"/>
    <w:rsid w:val="007303C1"/>
    <w:rsid w:val="00734345"/>
    <w:rsid w:val="007420EE"/>
    <w:rsid w:val="007443D5"/>
    <w:rsid w:val="00755561"/>
    <w:rsid w:val="00764A57"/>
    <w:rsid w:val="007654C8"/>
    <w:rsid w:val="00775279"/>
    <w:rsid w:val="00777C75"/>
    <w:rsid w:val="0078151E"/>
    <w:rsid w:val="007830A0"/>
    <w:rsid w:val="00793F85"/>
    <w:rsid w:val="007976AC"/>
    <w:rsid w:val="00797C2F"/>
    <w:rsid w:val="007B267B"/>
    <w:rsid w:val="007C0808"/>
    <w:rsid w:val="007C5374"/>
    <w:rsid w:val="007D15CC"/>
    <w:rsid w:val="007D3E13"/>
    <w:rsid w:val="007D695C"/>
    <w:rsid w:val="007E4B79"/>
    <w:rsid w:val="007F442C"/>
    <w:rsid w:val="007F598E"/>
    <w:rsid w:val="007F68E4"/>
    <w:rsid w:val="008016EC"/>
    <w:rsid w:val="008059CF"/>
    <w:rsid w:val="008113A1"/>
    <w:rsid w:val="00811614"/>
    <w:rsid w:val="00816F02"/>
    <w:rsid w:val="0082686D"/>
    <w:rsid w:val="008276F5"/>
    <w:rsid w:val="00827831"/>
    <w:rsid w:val="00830781"/>
    <w:rsid w:val="0083113B"/>
    <w:rsid w:val="008311F6"/>
    <w:rsid w:val="00833A23"/>
    <w:rsid w:val="008415CA"/>
    <w:rsid w:val="00842A36"/>
    <w:rsid w:val="00843CA0"/>
    <w:rsid w:val="00851B78"/>
    <w:rsid w:val="00853979"/>
    <w:rsid w:val="008551AC"/>
    <w:rsid w:val="00862649"/>
    <w:rsid w:val="00875173"/>
    <w:rsid w:val="00876D9E"/>
    <w:rsid w:val="008779FF"/>
    <w:rsid w:val="00884935"/>
    <w:rsid w:val="00887A6A"/>
    <w:rsid w:val="00890889"/>
    <w:rsid w:val="008918D0"/>
    <w:rsid w:val="0089533B"/>
    <w:rsid w:val="00897094"/>
    <w:rsid w:val="008B3A21"/>
    <w:rsid w:val="008C0499"/>
    <w:rsid w:val="008C10D0"/>
    <w:rsid w:val="008C1863"/>
    <w:rsid w:val="008C709C"/>
    <w:rsid w:val="008D3826"/>
    <w:rsid w:val="008E4D27"/>
    <w:rsid w:val="008E7125"/>
    <w:rsid w:val="008F1F04"/>
    <w:rsid w:val="008F308F"/>
    <w:rsid w:val="00901921"/>
    <w:rsid w:val="00901BD7"/>
    <w:rsid w:val="00903441"/>
    <w:rsid w:val="00910F12"/>
    <w:rsid w:val="009324CE"/>
    <w:rsid w:val="00937126"/>
    <w:rsid w:val="009376B7"/>
    <w:rsid w:val="0096294A"/>
    <w:rsid w:val="00963AE9"/>
    <w:rsid w:val="00967412"/>
    <w:rsid w:val="0097070D"/>
    <w:rsid w:val="00974443"/>
    <w:rsid w:val="00977FE3"/>
    <w:rsid w:val="00982C1A"/>
    <w:rsid w:val="00983BE3"/>
    <w:rsid w:val="009A6B26"/>
    <w:rsid w:val="009B5F87"/>
    <w:rsid w:val="009C6A63"/>
    <w:rsid w:val="009D02BA"/>
    <w:rsid w:val="009D27B3"/>
    <w:rsid w:val="009D7EF1"/>
    <w:rsid w:val="009E2CE1"/>
    <w:rsid w:val="009F0DD3"/>
    <w:rsid w:val="00A021D0"/>
    <w:rsid w:val="00A0264B"/>
    <w:rsid w:val="00A270FB"/>
    <w:rsid w:val="00A3092C"/>
    <w:rsid w:val="00A35101"/>
    <w:rsid w:val="00A37785"/>
    <w:rsid w:val="00A4191B"/>
    <w:rsid w:val="00A41FDD"/>
    <w:rsid w:val="00A46BC0"/>
    <w:rsid w:val="00A47AD0"/>
    <w:rsid w:val="00A53239"/>
    <w:rsid w:val="00A7074D"/>
    <w:rsid w:val="00A70D06"/>
    <w:rsid w:val="00A869BA"/>
    <w:rsid w:val="00A90D5D"/>
    <w:rsid w:val="00A90DE9"/>
    <w:rsid w:val="00A9242E"/>
    <w:rsid w:val="00AB7124"/>
    <w:rsid w:val="00AC481F"/>
    <w:rsid w:val="00AC6895"/>
    <w:rsid w:val="00AD2F19"/>
    <w:rsid w:val="00AD467E"/>
    <w:rsid w:val="00AE2D02"/>
    <w:rsid w:val="00AE2EDE"/>
    <w:rsid w:val="00AF3668"/>
    <w:rsid w:val="00AF4619"/>
    <w:rsid w:val="00AF72A6"/>
    <w:rsid w:val="00B006AA"/>
    <w:rsid w:val="00B00BFF"/>
    <w:rsid w:val="00B156F5"/>
    <w:rsid w:val="00B23309"/>
    <w:rsid w:val="00B265D3"/>
    <w:rsid w:val="00B35C52"/>
    <w:rsid w:val="00B42738"/>
    <w:rsid w:val="00B42912"/>
    <w:rsid w:val="00B51BA6"/>
    <w:rsid w:val="00B52078"/>
    <w:rsid w:val="00B57BC9"/>
    <w:rsid w:val="00B57F41"/>
    <w:rsid w:val="00B60546"/>
    <w:rsid w:val="00B61622"/>
    <w:rsid w:val="00B62473"/>
    <w:rsid w:val="00B63F5E"/>
    <w:rsid w:val="00B676D3"/>
    <w:rsid w:val="00B7111E"/>
    <w:rsid w:val="00B72BE2"/>
    <w:rsid w:val="00B83052"/>
    <w:rsid w:val="00B8684F"/>
    <w:rsid w:val="00B87DE5"/>
    <w:rsid w:val="00B91F4A"/>
    <w:rsid w:val="00BB00C3"/>
    <w:rsid w:val="00BB0A45"/>
    <w:rsid w:val="00BB1D57"/>
    <w:rsid w:val="00BB2F65"/>
    <w:rsid w:val="00BB4758"/>
    <w:rsid w:val="00BC510D"/>
    <w:rsid w:val="00BD0C88"/>
    <w:rsid w:val="00BD1077"/>
    <w:rsid w:val="00BD2F97"/>
    <w:rsid w:val="00BD403B"/>
    <w:rsid w:val="00BE17FC"/>
    <w:rsid w:val="00BE3436"/>
    <w:rsid w:val="00BF12DE"/>
    <w:rsid w:val="00BF581F"/>
    <w:rsid w:val="00BF6E7C"/>
    <w:rsid w:val="00BF75F9"/>
    <w:rsid w:val="00C12ABE"/>
    <w:rsid w:val="00C21CE7"/>
    <w:rsid w:val="00C26020"/>
    <w:rsid w:val="00C33AB2"/>
    <w:rsid w:val="00C36824"/>
    <w:rsid w:val="00C51271"/>
    <w:rsid w:val="00C56941"/>
    <w:rsid w:val="00C617F8"/>
    <w:rsid w:val="00C679E6"/>
    <w:rsid w:val="00C67FDD"/>
    <w:rsid w:val="00C72642"/>
    <w:rsid w:val="00C81B0D"/>
    <w:rsid w:val="00C85CF0"/>
    <w:rsid w:val="00C90FFA"/>
    <w:rsid w:val="00CA1085"/>
    <w:rsid w:val="00CA4964"/>
    <w:rsid w:val="00CB440D"/>
    <w:rsid w:val="00CB458A"/>
    <w:rsid w:val="00CC3237"/>
    <w:rsid w:val="00CC73F0"/>
    <w:rsid w:val="00CD0D8A"/>
    <w:rsid w:val="00CD2C9C"/>
    <w:rsid w:val="00CD764A"/>
    <w:rsid w:val="00CF1CF1"/>
    <w:rsid w:val="00CF2A2E"/>
    <w:rsid w:val="00CF341E"/>
    <w:rsid w:val="00CF36A1"/>
    <w:rsid w:val="00D06FE1"/>
    <w:rsid w:val="00D25CD7"/>
    <w:rsid w:val="00D2769E"/>
    <w:rsid w:val="00D3601F"/>
    <w:rsid w:val="00D37CAC"/>
    <w:rsid w:val="00D4115F"/>
    <w:rsid w:val="00D46204"/>
    <w:rsid w:val="00D51559"/>
    <w:rsid w:val="00D62A1F"/>
    <w:rsid w:val="00D702AB"/>
    <w:rsid w:val="00D728E7"/>
    <w:rsid w:val="00D74697"/>
    <w:rsid w:val="00D746B0"/>
    <w:rsid w:val="00D76549"/>
    <w:rsid w:val="00D86424"/>
    <w:rsid w:val="00D957DD"/>
    <w:rsid w:val="00DA22DF"/>
    <w:rsid w:val="00DB3C20"/>
    <w:rsid w:val="00DC5FA6"/>
    <w:rsid w:val="00DD39B8"/>
    <w:rsid w:val="00DE4A01"/>
    <w:rsid w:val="00DF7CEF"/>
    <w:rsid w:val="00E21E4C"/>
    <w:rsid w:val="00E221C2"/>
    <w:rsid w:val="00E301F8"/>
    <w:rsid w:val="00E332A9"/>
    <w:rsid w:val="00E36F58"/>
    <w:rsid w:val="00E56071"/>
    <w:rsid w:val="00E6124D"/>
    <w:rsid w:val="00E67ECA"/>
    <w:rsid w:val="00E93F8D"/>
    <w:rsid w:val="00E968CD"/>
    <w:rsid w:val="00EA54AA"/>
    <w:rsid w:val="00EB2573"/>
    <w:rsid w:val="00EB7424"/>
    <w:rsid w:val="00EC21D9"/>
    <w:rsid w:val="00ED2825"/>
    <w:rsid w:val="00ED7730"/>
    <w:rsid w:val="00EE5A0F"/>
    <w:rsid w:val="00EF05F1"/>
    <w:rsid w:val="00EF0FE3"/>
    <w:rsid w:val="00EF144A"/>
    <w:rsid w:val="00EF2266"/>
    <w:rsid w:val="00EF318C"/>
    <w:rsid w:val="00EF4132"/>
    <w:rsid w:val="00F01125"/>
    <w:rsid w:val="00F013C6"/>
    <w:rsid w:val="00F05E02"/>
    <w:rsid w:val="00F1431A"/>
    <w:rsid w:val="00F2140C"/>
    <w:rsid w:val="00F22F45"/>
    <w:rsid w:val="00F2331E"/>
    <w:rsid w:val="00F24751"/>
    <w:rsid w:val="00F25E81"/>
    <w:rsid w:val="00F30356"/>
    <w:rsid w:val="00F325BC"/>
    <w:rsid w:val="00F33DE2"/>
    <w:rsid w:val="00F413F5"/>
    <w:rsid w:val="00F44713"/>
    <w:rsid w:val="00F474E9"/>
    <w:rsid w:val="00F503A4"/>
    <w:rsid w:val="00F50B6B"/>
    <w:rsid w:val="00F51BA2"/>
    <w:rsid w:val="00F530A2"/>
    <w:rsid w:val="00F601D7"/>
    <w:rsid w:val="00F6086C"/>
    <w:rsid w:val="00F61F89"/>
    <w:rsid w:val="00F6765F"/>
    <w:rsid w:val="00F67EAC"/>
    <w:rsid w:val="00F7174A"/>
    <w:rsid w:val="00F75550"/>
    <w:rsid w:val="00F8304B"/>
    <w:rsid w:val="00F8385D"/>
    <w:rsid w:val="00F95A14"/>
    <w:rsid w:val="00FA7D95"/>
    <w:rsid w:val="00FB1C19"/>
    <w:rsid w:val="00FC1F05"/>
    <w:rsid w:val="00FC333A"/>
    <w:rsid w:val="00FD189B"/>
    <w:rsid w:val="00FE0176"/>
    <w:rsid w:val="00FE1AA1"/>
    <w:rsid w:val="00FE1E66"/>
    <w:rsid w:val="00FE323D"/>
    <w:rsid w:val="00FE7B5E"/>
    <w:rsid w:val="00FF19BC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E12B7"/>
  <w15:docId w15:val="{D3B947E3-81C8-4762-9CFD-8F57EC8C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aliases w:val="Numbered - 1"/>
    <w:basedOn w:val="Normal"/>
    <w:next w:val="Normal"/>
    <w:qFormat/>
    <w:rsid w:val="003322EA"/>
    <w:pPr>
      <w:keepNext/>
      <w:keepLines/>
      <w:widowControl w:val="0"/>
      <w:spacing w:before="240" w:after="240"/>
      <w:outlineLvl w:val="0"/>
    </w:pPr>
    <w:rPr>
      <w:b/>
      <w:kern w:val="28"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rsid w:val="00CF2A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Arial">
    <w:name w:val="Style Arial"/>
    <w:basedOn w:val="Normal"/>
    <w:rsid w:val="002246CA"/>
    <w:pPr>
      <w:spacing w:after="120"/>
    </w:pPr>
    <w:rPr>
      <w:rFonts w:cs="Arial"/>
      <w:sz w:val="28"/>
      <w:szCs w:val="20"/>
      <w:lang w:eastAsia="en-US"/>
    </w:rPr>
  </w:style>
  <w:style w:type="paragraph" w:customStyle="1" w:styleId="Default">
    <w:name w:val="Default"/>
    <w:rsid w:val="00CD0D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fESOutNumbered">
    <w:name w:val="DfESOutNumbered"/>
    <w:basedOn w:val="Normal"/>
    <w:rsid w:val="00FE323D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sz w:val="22"/>
      <w:szCs w:val="20"/>
      <w:lang w:eastAsia="en-US"/>
    </w:rPr>
  </w:style>
  <w:style w:type="paragraph" w:styleId="BodyTextIndent">
    <w:name w:val="Body Text Indent"/>
    <w:basedOn w:val="Normal"/>
    <w:rsid w:val="003D08B1"/>
    <w:pPr>
      <w:tabs>
        <w:tab w:val="left" w:pos="360"/>
      </w:tabs>
      <w:spacing w:after="120"/>
      <w:ind w:left="360" w:hanging="360"/>
    </w:pPr>
    <w:rPr>
      <w:sz w:val="22"/>
      <w:szCs w:val="20"/>
      <w:lang w:val="en-US" w:eastAsia="en-US"/>
    </w:rPr>
  </w:style>
  <w:style w:type="character" w:styleId="Strong">
    <w:name w:val="Strong"/>
    <w:qFormat/>
    <w:rsid w:val="00D46204"/>
    <w:rPr>
      <w:b/>
      <w:bCs/>
    </w:rPr>
  </w:style>
  <w:style w:type="paragraph" w:styleId="BodyText">
    <w:name w:val="Body Text"/>
    <w:basedOn w:val="Normal"/>
    <w:rsid w:val="003322EA"/>
    <w:pPr>
      <w:spacing w:after="120"/>
    </w:pPr>
  </w:style>
  <w:style w:type="character" w:customStyle="1" w:styleId="endsenrhsennumparatext">
    <w:name w:val="ends enrhs ennumparatext"/>
    <w:basedOn w:val="DefaultParagraphFont"/>
    <w:rsid w:val="004503C6"/>
  </w:style>
  <w:style w:type="character" w:styleId="Hyperlink">
    <w:name w:val="Hyperlink"/>
    <w:rsid w:val="004503C6"/>
    <w:rPr>
      <w:color w:val="0000FF"/>
      <w:u w:val="single"/>
    </w:rPr>
  </w:style>
  <w:style w:type="paragraph" w:styleId="Revision">
    <w:name w:val="Revision"/>
    <w:hidden/>
    <w:uiPriority w:val="99"/>
    <w:semiHidden/>
    <w:rsid w:val="003044B1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44B1"/>
    <w:rPr>
      <w:rFonts w:ascii="Arial" w:hAnsi="Arial"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BF75F9"/>
    <w:pPr>
      <w:ind w:left="720"/>
      <w:contextualSpacing/>
    </w:pPr>
  </w:style>
  <w:style w:type="paragraph" w:customStyle="1" w:styleId="DfESOutNumbered1">
    <w:name w:val="DfESOutNumbered1"/>
    <w:basedOn w:val="Normal"/>
    <w:qFormat/>
    <w:rsid w:val="0070714B"/>
    <w:pPr>
      <w:numPr>
        <w:numId w:val="45"/>
      </w:numPr>
      <w:spacing w:after="240" w:line="288" w:lineRule="auto"/>
    </w:pPr>
    <w:rPr>
      <w:color w:val="0D0D0D" w:themeColor="text1" w:themeTint="F2"/>
    </w:rPr>
  </w:style>
  <w:style w:type="character" w:customStyle="1" w:styleId="FooterChar">
    <w:name w:val="Footer Char"/>
    <w:basedOn w:val="DefaultParagraphFont"/>
    <w:link w:val="Footer"/>
    <w:uiPriority w:val="99"/>
    <w:rsid w:val="00446ED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B0DBABED20646B5BB11340AE54F35" ma:contentTypeVersion="4" ma:contentTypeDescription="Create a new document." ma:contentTypeScope="" ma:versionID="eeeae95b53d6a7304da2a07ef16cc25d">
  <xsd:schema xmlns:xsd="http://www.w3.org/2001/XMLSchema" xmlns:xs="http://www.w3.org/2001/XMLSchema" xmlns:p="http://schemas.microsoft.com/office/2006/metadata/properties" xmlns:ns2="f22d7286-dd96-43f1-addf-1aa01b239435" targetNamespace="http://schemas.microsoft.com/office/2006/metadata/properties" ma:root="true" ma:fieldsID="a870a2636d0698960508e5df23e07fb8" ns2:_="">
    <xsd:import namespace="f22d7286-dd96-43f1-addf-1aa01b239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7286-dd96-43f1-addf-1aa01b239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03C5-F282-4609-833A-44166D262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B2725-6F08-4B7F-92AA-A5D1707C5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7286-dd96-43f1-addf-1aa01b239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1FE0B-31F8-46BB-9703-BBDDF52CC73F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f22d7286-dd96-43f1-addf-1aa01b23943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348D37-69E8-4A2C-9B26-FB9824C1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Schools and Families CMBM – July 2010</vt:lpstr>
    </vt:vector>
  </TitlesOfParts>
  <Company>London Borough of Tower Hamlets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Falling Roll Fund</dc:title>
  <dc:creator>David Tully</dc:creator>
  <cp:lastModifiedBy>Phillip Nduoyo</cp:lastModifiedBy>
  <cp:revision>11</cp:revision>
  <cp:lastPrinted>2019-02-27T11:30:00Z</cp:lastPrinted>
  <dcterms:created xsi:type="dcterms:W3CDTF">2019-02-22T10:50:00Z</dcterms:created>
  <dcterms:modified xsi:type="dcterms:W3CDTF">2021-01-13T21:22:00Z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0x010100ACBB0DBABED20646B5BB11340AE54F35</vt:lpwstr>
  </property>
  <property fmtid="{D5CDD505-2E9C-101B-9397-08002B2CF9AE}" pid="3" name="Order">
    <vt:r8>3161400</vt:r8>
  </property>
</Properties>
</file>