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146A" w14:textId="37023193" w:rsidR="00D004CC" w:rsidRPr="00E75A22" w:rsidRDefault="00B52AB3" w:rsidP="00E75A22">
      <w:pPr>
        <w:spacing w:before="60" w:after="60" w:line="276" w:lineRule="auto"/>
        <w:jc w:val="center"/>
        <w:rPr>
          <w:b/>
        </w:rPr>
      </w:pPr>
    </w:p>
    <w:p w14:paraId="7DA8128A" w14:textId="2FE1D136" w:rsidR="00DC217B" w:rsidRPr="008E3D68" w:rsidRDefault="00DC217B" w:rsidP="00DC217B">
      <w:pPr>
        <w:pStyle w:val="BodyTextIndent"/>
        <w:pBdr>
          <w:top w:val="single" w:sz="4" w:space="1" w:color="auto"/>
          <w:left w:val="single" w:sz="4" w:space="4" w:color="auto"/>
          <w:bottom w:val="single" w:sz="4" w:space="1" w:color="auto"/>
          <w:right w:val="single" w:sz="4" w:space="4" w:color="auto"/>
        </w:pBdr>
        <w:tabs>
          <w:tab w:val="clear" w:pos="360"/>
        </w:tabs>
        <w:ind w:left="0" w:firstLine="0"/>
        <w:jc w:val="both"/>
        <w:rPr>
          <w:b/>
          <w:sz w:val="32"/>
          <w:szCs w:val="32"/>
        </w:rPr>
      </w:pPr>
      <w:r>
        <w:rPr>
          <w:b/>
          <w:sz w:val="32"/>
          <w:szCs w:val="32"/>
        </w:rPr>
        <w:t>AGENDA ITEM</w:t>
      </w:r>
      <w:r w:rsidR="002E1D73">
        <w:rPr>
          <w:b/>
          <w:sz w:val="32"/>
          <w:szCs w:val="32"/>
        </w:rPr>
        <w:t xml:space="preserve"> 06</w:t>
      </w:r>
    </w:p>
    <w:p w14:paraId="33DC2E4C" w14:textId="77777777" w:rsidR="00DC217B" w:rsidRDefault="00DC217B" w:rsidP="00DC217B">
      <w:pPr>
        <w:rPr>
          <w:b/>
        </w:rPr>
      </w:pPr>
    </w:p>
    <w:p w14:paraId="20E8DE52" w14:textId="5DC2EA19" w:rsidR="00DC217B" w:rsidRPr="000C654F" w:rsidRDefault="00DC217B" w:rsidP="00AC3061">
      <w:pPr>
        <w:pStyle w:val="BodyTextIndent"/>
        <w:pBdr>
          <w:top w:val="single" w:sz="4" w:space="1" w:color="auto"/>
          <w:left w:val="single" w:sz="4" w:space="4" w:color="auto"/>
          <w:bottom w:val="single" w:sz="4" w:space="1" w:color="auto"/>
          <w:right w:val="single" w:sz="4" w:space="4" w:color="auto"/>
        </w:pBdr>
        <w:tabs>
          <w:tab w:val="clear" w:pos="360"/>
        </w:tabs>
        <w:ind w:left="0" w:firstLine="0"/>
        <w:rPr>
          <w:rStyle w:val="Heading1Char"/>
        </w:rPr>
      </w:pPr>
      <w:r w:rsidRPr="003D08B1">
        <w:rPr>
          <w:b/>
          <w:sz w:val="32"/>
          <w:szCs w:val="32"/>
        </w:rPr>
        <w:t xml:space="preserve">Title of report: </w:t>
      </w:r>
      <w:r w:rsidRPr="000C654F">
        <w:rPr>
          <w:rStyle w:val="Heading1Char"/>
        </w:rPr>
        <w:t>High Needs Funding Block Review and Recommendations for 2018-20</w:t>
      </w:r>
    </w:p>
    <w:p w14:paraId="20A5B8EC" w14:textId="77777777" w:rsidR="00DC217B" w:rsidRDefault="00DC217B" w:rsidP="00DC217B">
      <w:pPr>
        <w:rPr>
          <w:b/>
          <w:u w:val="single"/>
        </w:rPr>
      </w:pPr>
    </w:p>
    <w:p w14:paraId="10B3F401" w14:textId="045081DB" w:rsidR="00DC217B" w:rsidRPr="007F598E" w:rsidRDefault="00DC217B" w:rsidP="00DC217B">
      <w:pPr>
        <w:pBdr>
          <w:top w:val="single" w:sz="4" w:space="1" w:color="auto"/>
          <w:left w:val="single" w:sz="4" w:space="4" w:color="auto"/>
          <w:bottom w:val="single" w:sz="4" w:space="1" w:color="auto"/>
          <w:right w:val="single" w:sz="4" w:space="4" w:color="auto"/>
        </w:pBdr>
      </w:pPr>
      <w:r>
        <w:rPr>
          <w:b/>
        </w:rPr>
        <w:t xml:space="preserve">Author of the paper: Christine McInnes </w:t>
      </w:r>
    </w:p>
    <w:p w14:paraId="62A47BAA" w14:textId="77777777" w:rsidR="00DC217B" w:rsidRDefault="00DC217B" w:rsidP="00DC217B"/>
    <w:p w14:paraId="5B291687" w14:textId="5F07C7D0" w:rsidR="00DC217B" w:rsidRPr="007F598E" w:rsidRDefault="00DC217B" w:rsidP="00DC217B">
      <w:pPr>
        <w:pBdr>
          <w:top w:val="single" w:sz="4" w:space="1" w:color="auto"/>
          <w:left w:val="single" w:sz="4" w:space="4" w:color="auto"/>
          <w:bottom w:val="single" w:sz="4" w:space="1" w:color="auto"/>
          <w:right w:val="single" w:sz="4" w:space="4" w:color="auto"/>
        </w:pBdr>
      </w:pPr>
      <w:r>
        <w:rPr>
          <w:b/>
        </w:rPr>
        <w:t xml:space="preserve">Officer to present the paper to Schools Forum: </w:t>
      </w:r>
      <w:r w:rsidR="00C7105E">
        <w:rPr>
          <w:b/>
        </w:rPr>
        <w:t xml:space="preserve">Christine McInnes </w:t>
      </w:r>
    </w:p>
    <w:p w14:paraId="525216DA" w14:textId="77777777" w:rsidR="00DC217B" w:rsidRDefault="00DC217B" w:rsidP="00DC217B"/>
    <w:p w14:paraId="324392EC" w14:textId="77777777" w:rsidR="00DC217B" w:rsidRDefault="00DC217B" w:rsidP="00DC217B">
      <w:pPr>
        <w:pBdr>
          <w:top w:val="single" w:sz="4" w:space="1" w:color="auto"/>
          <w:left w:val="single" w:sz="4" w:space="4" w:color="auto"/>
          <w:bottom w:val="single" w:sz="4" w:space="1" w:color="auto"/>
          <w:right w:val="single" w:sz="4" w:space="4" w:color="auto"/>
        </w:pBdr>
        <w:rPr>
          <w:b/>
        </w:rPr>
      </w:pPr>
      <w:r>
        <w:rPr>
          <w:b/>
        </w:rPr>
        <w:t>Details on who has been consulted with on this paper to date:</w:t>
      </w:r>
    </w:p>
    <w:p w14:paraId="65682686" w14:textId="650B8F5E" w:rsidR="00DC217B" w:rsidRDefault="00DC217B" w:rsidP="00DC217B">
      <w:pPr>
        <w:pBdr>
          <w:top w:val="single" w:sz="4" w:space="1" w:color="auto"/>
          <w:left w:val="single" w:sz="4" w:space="4" w:color="auto"/>
          <w:bottom w:val="single" w:sz="4" w:space="1" w:color="auto"/>
          <w:right w:val="single" w:sz="4" w:space="4" w:color="auto"/>
        </w:pBdr>
      </w:pPr>
      <w:r>
        <w:t>Sailesh Patel, Terry Bryan, Children’s Services DLT</w:t>
      </w:r>
    </w:p>
    <w:p w14:paraId="679AC4C2" w14:textId="77777777" w:rsidR="00DC217B" w:rsidRPr="002A3321" w:rsidRDefault="00DC217B" w:rsidP="00DC217B">
      <w:pPr>
        <w:pBdr>
          <w:top w:val="single" w:sz="4" w:space="1" w:color="auto"/>
          <w:left w:val="single" w:sz="4" w:space="4" w:color="auto"/>
          <w:bottom w:val="single" w:sz="4" w:space="1" w:color="auto"/>
          <w:right w:val="single" w:sz="4" w:space="4" w:color="auto"/>
        </w:pBdr>
      </w:pPr>
      <w:r w:rsidRPr="002A3321">
        <w:t xml:space="preserve"> </w:t>
      </w:r>
    </w:p>
    <w:p w14:paraId="377B3DC3" w14:textId="77777777" w:rsidR="00DC217B" w:rsidRDefault="00DC217B" w:rsidP="00DC217B">
      <w:pPr>
        <w:spacing w:after="120"/>
        <w:rPr>
          <w:b/>
        </w:rPr>
      </w:pPr>
    </w:p>
    <w:p w14:paraId="0DFD4247" w14:textId="77777777" w:rsidR="00DC217B" w:rsidRPr="000C654F" w:rsidRDefault="00DC217B" w:rsidP="000C654F">
      <w:pPr>
        <w:pStyle w:val="Heading2"/>
      </w:pPr>
      <w:r w:rsidRPr="000C654F">
        <w:t>Executive Summary</w:t>
      </w:r>
    </w:p>
    <w:p w14:paraId="45F17C86" w14:textId="2634005B" w:rsidR="00AC3061" w:rsidRDefault="00DC217B" w:rsidP="00DC217B">
      <w:pPr>
        <w:pBdr>
          <w:top w:val="single" w:sz="4" w:space="1" w:color="auto"/>
          <w:left w:val="single" w:sz="4" w:space="2" w:color="auto"/>
          <w:bottom w:val="single" w:sz="4" w:space="1" w:color="auto"/>
          <w:right w:val="single" w:sz="4" w:space="1" w:color="auto"/>
        </w:pBdr>
        <w:spacing w:after="120"/>
      </w:pPr>
      <w:r w:rsidRPr="00DC217B">
        <w:t xml:space="preserve">The high needs funding block (HNFB) allocation from the </w:t>
      </w:r>
      <w:r w:rsidR="004B6C3F">
        <w:t>Education Funding Agency</w:t>
      </w:r>
      <w:r w:rsidRPr="00DC217B">
        <w:t xml:space="preserve"> provides the bulk of funding for high </w:t>
      </w:r>
      <w:r w:rsidR="00571785">
        <w:t>needs</w:t>
      </w:r>
      <w:r w:rsidRPr="00DC217B">
        <w:t xml:space="preserve"> provision</w:t>
      </w:r>
      <w:r w:rsidR="00571785">
        <w:t xml:space="preserve"> for children and young people with special educational needs or disabilities (SEND)</w:t>
      </w:r>
      <w:r w:rsidRPr="00DC217B">
        <w:t xml:space="preserve"> in Tower Hamlets. The HNFB is changing </w:t>
      </w:r>
      <w:r w:rsidR="00571785">
        <w:t>alongside</w:t>
      </w:r>
      <w:r w:rsidRPr="00DC217B">
        <w:t xml:space="preserve"> </w:t>
      </w:r>
      <w:bookmarkStart w:id="0" w:name="_GoBack"/>
      <w:bookmarkEnd w:id="0"/>
      <w:r w:rsidRPr="00DC217B">
        <w:t xml:space="preserve">the schools </w:t>
      </w:r>
      <w:r w:rsidR="00571785">
        <w:t>National Funding Formula</w:t>
      </w:r>
      <w:r w:rsidR="009D236E">
        <w:t xml:space="preserve"> as part of the government’s reform of education funding</w:t>
      </w:r>
      <w:r w:rsidRPr="00DC217B">
        <w:t xml:space="preserve">. </w:t>
      </w:r>
    </w:p>
    <w:p w14:paraId="04BC8F5B" w14:textId="704D1711" w:rsidR="00DC217B" w:rsidRPr="00DC217B" w:rsidRDefault="00DB4BE3" w:rsidP="00DC217B">
      <w:pPr>
        <w:pBdr>
          <w:top w:val="single" w:sz="4" w:space="1" w:color="auto"/>
          <w:left w:val="single" w:sz="4" w:space="2" w:color="auto"/>
          <w:bottom w:val="single" w:sz="4" w:space="1" w:color="auto"/>
          <w:right w:val="single" w:sz="4" w:space="1" w:color="auto"/>
        </w:pBdr>
        <w:spacing w:after="120"/>
      </w:pPr>
      <w:r>
        <w:t xml:space="preserve">The need for changes in the Tower Hamlets SEND system was identified through an external review of SEND which concluded in December 2016 and </w:t>
      </w:r>
      <w:r w:rsidR="009D236E">
        <w:t xml:space="preserve">the </w:t>
      </w:r>
      <w:r w:rsidR="00AC3061">
        <w:t>findings</w:t>
      </w:r>
      <w:r>
        <w:t xml:space="preserve"> informed the development of a new draft SEND strategy which will be published later this year. </w:t>
      </w:r>
      <w:r w:rsidR="00172627">
        <w:t xml:space="preserve">The </w:t>
      </w:r>
      <w:r>
        <w:t xml:space="preserve">strategic </w:t>
      </w:r>
      <w:r w:rsidR="00AC3061">
        <w:t>changes which will follow the p</w:t>
      </w:r>
      <w:r>
        <w:t xml:space="preserve">ublication of the new strategy, </w:t>
      </w:r>
      <w:r w:rsidR="00172627">
        <w:t>change</w:t>
      </w:r>
      <w:r>
        <w:t>s</w:t>
      </w:r>
      <w:r w:rsidR="00172627">
        <w:t xml:space="preserve"> in </w:t>
      </w:r>
      <w:r>
        <w:t xml:space="preserve">national </w:t>
      </w:r>
      <w:r w:rsidR="00172627">
        <w:t xml:space="preserve">funding, along with </w:t>
      </w:r>
      <w:r w:rsidR="00DC217B" w:rsidRPr="00DC217B">
        <w:t xml:space="preserve">a historic pattern of up to 1% </w:t>
      </w:r>
      <w:r w:rsidR="00571785">
        <w:t>annual</w:t>
      </w:r>
      <w:r w:rsidR="00DC217B" w:rsidRPr="00DC217B">
        <w:t xml:space="preserve"> overspend</w:t>
      </w:r>
      <w:r w:rsidR="00172627">
        <w:t xml:space="preserve"> </w:t>
      </w:r>
      <w:r w:rsidR="00DC217B" w:rsidRPr="00DC217B">
        <w:t>on the HNFB in Tower Hamlets</w:t>
      </w:r>
      <w:r w:rsidR="00172627">
        <w:t>,</w:t>
      </w:r>
      <w:r w:rsidR="00DC217B" w:rsidRPr="00DC217B">
        <w:t xml:space="preserve"> led to the initiation of </w:t>
      </w:r>
      <w:r w:rsidR="00AC3061">
        <w:t xml:space="preserve">the </w:t>
      </w:r>
      <w:r w:rsidR="00DC217B" w:rsidRPr="00DC217B">
        <w:t xml:space="preserve">review </w:t>
      </w:r>
      <w:r w:rsidR="00AC3061">
        <w:t xml:space="preserve">of the current use of funding </w:t>
      </w:r>
      <w:r w:rsidR="00DC217B" w:rsidRPr="00DC217B">
        <w:t xml:space="preserve">with a group of </w:t>
      </w:r>
      <w:r w:rsidR="00AC3061">
        <w:t>school leaders, mainly headteachers but also a Chair of Governors</w:t>
      </w:r>
      <w:r w:rsidR="00DC217B" w:rsidRPr="00DC217B">
        <w:t>.</w:t>
      </w:r>
      <w:r w:rsidR="00465227">
        <w:t xml:space="preserve"> Whilst </w:t>
      </w:r>
      <w:r w:rsidR="00136B37">
        <w:t xml:space="preserve">the work of the group was to identify potential savings, </w:t>
      </w:r>
      <w:r w:rsidR="00465227">
        <w:t xml:space="preserve">the group also took the opportunity to assess and comment on re-investing a proportion of the savings to better meet current rather than historical needs. </w:t>
      </w:r>
    </w:p>
    <w:p w14:paraId="4DA7E98F" w14:textId="18F75F24" w:rsidR="00DC217B" w:rsidRPr="00DC217B" w:rsidRDefault="00DC217B" w:rsidP="00DC217B">
      <w:pPr>
        <w:pBdr>
          <w:top w:val="single" w:sz="4" w:space="1" w:color="auto"/>
          <w:left w:val="single" w:sz="4" w:space="2" w:color="auto"/>
          <w:bottom w:val="single" w:sz="4" w:space="1" w:color="auto"/>
          <w:right w:val="single" w:sz="4" w:space="1" w:color="auto"/>
        </w:pBdr>
        <w:spacing w:after="120"/>
      </w:pPr>
      <w:r w:rsidRPr="00DC217B">
        <w:t xml:space="preserve">This report sets out </w:t>
      </w:r>
      <w:r w:rsidR="00FE15D1">
        <w:t>the</w:t>
      </w:r>
      <w:r w:rsidRPr="00DC217B">
        <w:t xml:space="preserve"> proposal for changes to commence in 2018-19</w:t>
      </w:r>
      <w:r w:rsidR="00FE15D1">
        <w:t xml:space="preserve">, based on </w:t>
      </w:r>
      <w:r w:rsidR="00FE15D1" w:rsidRPr="00DC217B">
        <w:t xml:space="preserve">the recommendations and principles devised by the </w:t>
      </w:r>
      <w:r w:rsidR="00FE15D1">
        <w:t>High Needs Funding Review Group</w:t>
      </w:r>
      <w:r w:rsidR="00DB4BE3">
        <w:t xml:space="preserve"> within the context of the new </w:t>
      </w:r>
      <w:r w:rsidR="009D236E">
        <w:t xml:space="preserve">Tower Hamlets SEND </w:t>
      </w:r>
      <w:r w:rsidR="00DB4BE3">
        <w:t>strategy</w:t>
      </w:r>
      <w:r w:rsidRPr="00DC217B">
        <w:t xml:space="preserve">. The Review Group’s </w:t>
      </w:r>
      <w:r w:rsidR="00FE15D1">
        <w:t xml:space="preserve">full </w:t>
      </w:r>
      <w:r w:rsidRPr="00DC217B">
        <w:t xml:space="preserve">recommendations </w:t>
      </w:r>
      <w:r w:rsidR="00FE15D1">
        <w:t>(</w:t>
      </w:r>
      <w:r w:rsidR="00AC3061">
        <w:t>see</w:t>
      </w:r>
      <w:r w:rsidR="009D236E">
        <w:t xml:space="preserve"> the</w:t>
      </w:r>
      <w:r w:rsidR="00AC3061">
        <w:t xml:space="preserve"> </w:t>
      </w:r>
      <w:r w:rsidR="00FE15D1">
        <w:t>Annex</w:t>
      </w:r>
      <w:r w:rsidR="00D03DB2">
        <w:t xml:space="preserve"> which also includes key data</w:t>
      </w:r>
      <w:r w:rsidR="00FE15D1">
        <w:t xml:space="preserve">) </w:t>
      </w:r>
      <w:r w:rsidRPr="00DC217B">
        <w:t xml:space="preserve">have been reported to the Children’s Services </w:t>
      </w:r>
      <w:r w:rsidR="00FE15D1">
        <w:t xml:space="preserve">Leadership Team, who </w:t>
      </w:r>
      <w:r w:rsidR="008F24E6">
        <w:t>supports</w:t>
      </w:r>
      <w:r w:rsidRPr="00DC217B">
        <w:t xml:space="preserve"> them. The views of Schools Forum are sought about the proposals and </w:t>
      </w:r>
      <w:r w:rsidR="009D236E">
        <w:t xml:space="preserve">on </w:t>
      </w:r>
      <w:r w:rsidRPr="00DC217B">
        <w:t xml:space="preserve">how </w:t>
      </w:r>
      <w:r w:rsidR="009D236E">
        <w:t xml:space="preserve">the </w:t>
      </w:r>
      <w:r w:rsidRPr="00DC217B">
        <w:t>Forum wishes to be kept informed about progress with the changes</w:t>
      </w:r>
      <w:r w:rsidR="00FE15D1">
        <w:t xml:space="preserve"> through the year ahead</w:t>
      </w:r>
      <w:r w:rsidRPr="00DC217B">
        <w:t>.</w:t>
      </w:r>
    </w:p>
    <w:p w14:paraId="429629B3" w14:textId="77777777" w:rsidR="00DC217B" w:rsidRPr="0082261C" w:rsidRDefault="00DC217B" w:rsidP="00DC217B">
      <w:pPr>
        <w:jc w:val="both"/>
        <w:rPr>
          <w:b/>
          <w:color w:val="FF0000"/>
        </w:rPr>
      </w:pPr>
    </w:p>
    <w:p w14:paraId="7FA2E19C" w14:textId="025BA08E" w:rsidR="00E75A22" w:rsidRPr="00FE15D1" w:rsidRDefault="00FE15D1" w:rsidP="00E75A22">
      <w:pPr>
        <w:spacing w:before="60" w:after="60" w:line="276" w:lineRule="auto"/>
        <w:rPr>
          <w:b/>
          <w:u w:val="single"/>
        </w:rPr>
      </w:pPr>
      <w:r w:rsidRPr="00FE15D1">
        <w:rPr>
          <w:b/>
          <w:u w:val="single"/>
        </w:rPr>
        <w:t>Details of</w:t>
      </w:r>
      <w:r w:rsidR="00E75A22" w:rsidRPr="00FE15D1">
        <w:rPr>
          <w:b/>
          <w:u w:val="single"/>
        </w:rPr>
        <w:t xml:space="preserve"> recommendations</w:t>
      </w:r>
      <w:r w:rsidRPr="00FE15D1">
        <w:rPr>
          <w:b/>
          <w:u w:val="single"/>
        </w:rPr>
        <w:t xml:space="preserve"> and timescales:</w:t>
      </w:r>
    </w:p>
    <w:p w14:paraId="26B61B07" w14:textId="54002FE5" w:rsidR="00E75A22" w:rsidRDefault="00A73A48" w:rsidP="00A73A48">
      <w:pPr>
        <w:pStyle w:val="ListParagraph"/>
        <w:numPr>
          <w:ilvl w:val="0"/>
          <w:numId w:val="2"/>
        </w:numPr>
        <w:spacing w:before="60" w:after="60" w:line="276" w:lineRule="auto"/>
      </w:pPr>
      <w:r>
        <w:t>That the Tower Hamlets high needs funding block principles and recommendations are reviewed and commented on by the Forum.</w:t>
      </w:r>
    </w:p>
    <w:p w14:paraId="65BE7134" w14:textId="102D9656" w:rsidR="00A73A48" w:rsidRDefault="00A73A48" w:rsidP="00A73A48">
      <w:pPr>
        <w:pStyle w:val="ListParagraph"/>
        <w:numPr>
          <w:ilvl w:val="0"/>
          <w:numId w:val="2"/>
        </w:numPr>
        <w:spacing w:before="60" w:after="60" w:line="276" w:lineRule="auto"/>
      </w:pPr>
      <w:r>
        <w:t xml:space="preserve">Comment </w:t>
      </w:r>
      <w:r w:rsidR="00FE15D1">
        <w:t xml:space="preserve">made </w:t>
      </w:r>
      <w:r>
        <w:t>on the proposed</w:t>
      </w:r>
      <w:r w:rsidR="001D4113">
        <w:t xml:space="preserve"> changes and anything the Forum considers the </w:t>
      </w:r>
      <w:r w:rsidR="00FE15D1">
        <w:t>local authority</w:t>
      </w:r>
      <w:r w:rsidR="001D4113">
        <w:t xml:space="preserve"> should take into account when taking them forward.</w:t>
      </w:r>
    </w:p>
    <w:p w14:paraId="67D61D18" w14:textId="14D7ECD1" w:rsidR="001D4113" w:rsidRDefault="001D4113" w:rsidP="00A73A48">
      <w:pPr>
        <w:pStyle w:val="ListParagraph"/>
        <w:numPr>
          <w:ilvl w:val="0"/>
          <w:numId w:val="2"/>
        </w:numPr>
        <w:spacing w:before="60" w:after="60" w:line="276" w:lineRule="auto"/>
      </w:pPr>
      <w:r>
        <w:t xml:space="preserve">The </w:t>
      </w:r>
      <w:r w:rsidR="003358E3">
        <w:t xml:space="preserve">proposed </w:t>
      </w:r>
      <w:r w:rsidR="00FE15D1">
        <w:t xml:space="preserve">changes for 2018-2020 </w:t>
      </w:r>
      <w:r>
        <w:t>are:</w:t>
      </w:r>
    </w:p>
    <w:p w14:paraId="1C270D65" w14:textId="63A96031" w:rsidR="001D4113" w:rsidRDefault="001D4113" w:rsidP="001D4113">
      <w:pPr>
        <w:pStyle w:val="ListParagraph"/>
        <w:numPr>
          <w:ilvl w:val="1"/>
          <w:numId w:val="2"/>
        </w:numPr>
        <w:spacing w:before="60" w:after="60" w:line="276" w:lineRule="auto"/>
      </w:pPr>
      <w:r>
        <w:lastRenderedPageBreak/>
        <w:t>To reduce the size of the budget retained by the LBTH</w:t>
      </w:r>
      <w:r w:rsidR="00D97E28">
        <w:t xml:space="preserve"> from the HNFB</w:t>
      </w:r>
      <w:r>
        <w:t>.</w:t>
      </w:r>
    </w:p>
    <w:p w14:paraId="6FB68FD8" w14:textId="77777777" w:rsidR="00465227" w:rsidRDefault="00465227" w:rsidP="001D4113">
      <w:pPr>
        <w:pStyle w:val="ListParagraph"/>
        <w:numPr>
          <w:ilvl w:val="1"/>
          <w:numId w:val="2"/>
        </w:numPr>
        <w:spacing w:before="60" w:after="60" w:line="276" w:lineRule="auto"/>
      </w:pPr>
      <w:r>
        <w:t xml:space="preserve">To expand the number of special school places to accommodate an additional 120 students by 2021 in areas of identified special need (through specialist pupil place planning) </w:t>
      </w:r>
    </w:p>
    <w:p w14:paraId="3A92958E" w14:textId="45CB581D" w:rsidR="001D4113" w:rsidRDefault="001D4113" w:rsidP="001D4113">
      <w:pPr>
        <w:pStyle w:val="ListParagraph"/>
        <w:numPr>
          <w:ilvl w:val="1"/>
          <w:numId w:val="2"/>
        </w:numPr>
        <w:spacing w:before="60" w:after="60" w:line="276" w:lineRule="auto"/>
      </w:pPr>
      <w:r>
        <w:t xml:space="preserve">To undertake a review of the specialist </w:t>
      </w:r>
      <w:r w:rsidR="00D97E28">
        <w:t>social, emotional and mental health (</w:t>
      </w:r>
      <w:r>
        <w:t>SEMH</w:t>
      </w:r>
      <w:r w:rsidR="00D97E28">
        <w:t>)</w:t>
      </w:r>
      <w:r>
        <w:t xml:space="preserve"> schools and places in order to establish a sustainable provision.</w:t>
      </w:r>
    </w:p>
    <w:p w14:paraId="65FA32DB" w14:textId="1091EBA1" w:rsidR="001D4113" w:rsidRDefault="001D4113" w:rsidP="001D4113">
      <w:pPr>
        <w:pStyle w:val="ListParagraph"/>
        <w:numPr>
          <w:ilvl w:val="1"/>
          <w:numId w:val="2"/>
        </w:numPr>
        <w:spacing w:before="60" w:after="60" w:line="276" w:lineRule="auto"/>
      </w:pPr>
      <w:r>
        <w:t xml:space="preserve">To review the </w:t>
      </w:r>
      <w:r w:rsidR="00D97E28">
        <w:t xml:space="preserve">current specialist </w:t>
      </w:r>
      <w:r>
        <w:t>resource bases in school and ensure more equitable top-up funding and a greater responsiveness to future SEND need.</w:t>
      </w:r>
    </w:p>
    <w:p w14:paraId="382165CE" w14:textId="053C2037" w:rsidR="001D4113" w:rsidRDefault="001D4113" w:rsidP="00FE15D1">
      <w:pPr>
        <w:pStyle w:val="ListParagraph"/>
        <w:numPr>
          <w:ilvl w:val="1"/>
          <w:numId w:val="2"/>
        </w:numPr>
        <w:spacing w:before="60" w:after="60" w:line="276" w:lineRule="auto"/>
      </w:pPr>
      <w:r>
        <w:t xml:space="preserve">For the </w:t>
      </w:r>
      <w:r w:rsidR="00D97E28">
        <w:t>Fair Access Panel (</w:t>
      </w:r>
      <w:r>
        <w:t>FAP</w:t>
      </w:r>
      <w:r w:rsidR="00D97E28">
        <w:t>)</w:t>
      </w:r>
      <w:r>
        <w:t xml:space="preserve"> Review to report on ways to reduce the </w:t>
      </w:r>
      <w:r w:rsidR="00FE15D1">
        <w:t xml:space="preserve">proportion of pupils </w:t>
      </w:r>
      <w:r w:rsidR="00973739">
        <w:t xml:space="preserve">and their length of stay </w:t>
      </w:r>
      <w:r w:rsidR="00FE15D1">
        <w:t xml:space="preserve">in </w:t>
      </w:r>
      <w:r w:rsidR="00EE350B">
        <w:t>alternative provision (</w:t>
      </w:r>
      <w:r w:rsidR="00FE15D1">
        <w:t>AP</w:t>
      </w:r>
      <w:r w:rsidR="00EE350B">
        <w:t>)</w:t>
      </w:r>
      <w:r w:rsidR="00FE15D1">
        <w:t xml:space="preserve"> </w:t>
      </w:r>
      <w:r w:rsidR="00973739">
        <w:t xml:space="preserve">as well as </w:t>
      </w:r>
      <w:r w:rsidR="00FE15D1">
        <w:t xml:space="preserve">the </w:t>
      </w:r>
      <w:r>
        <w:t>size of the allocation for AP from the HNFB.</w:t>
      </w:r>
    </w:p>
    <w:p w14:paraId="4ADF6356" w14:textId="02694CE6" w:rsidR="00FE15D1" w:rsidRDefault="00FE15D1" w:rsidP="00D03DB2">
      <w:pPr>
        <w:pStyle w:val="ListParagraph"/>
        <w:spacing w:before="60" w:after="60" w:line="276" w:lineRule="auto"/>
        <w:ind w:left="1440"/>
      </w:pPr>
    </w:p>
    <w:p w14:paraId="3337B10A" w14:textId="77777777" w:rsidR="00E75A22" w:rsidRDefault="00906F50" w:rsidP="00571785">
      <w:pPr>
        <w:spacing w:before="60" w:after="60" w:line="276" w:lineRule="auto"/>
        <w:ind w:firstLine="360"/>
        <w:rPr>
          <w:u w:val="single"/>
        </w:rPr>
      </w:pPr>
      <w:r>
        <w:rPr>
          <w:u w:val="single"/>
        </w:rPr>
        <w:t>Reasons for recommendations</w:t>
      </w:r>
    </w:p>
    <w:p w14:paraId="2245DBA5" w14:textId="488968AE" w:rsidR="00995F4E" w:rsidRDefault="00A73A48" w:rsidP="00C7105E">
      <w:pPr>
        <w:pStyle w:val="ListParagraph"/>
        <w:numPr>
          <w:ilvl w:val="0"/>
          <w:numId w:val="19"/>
        </w:numPr>
        <w:spacing w:before="60" w:after="60" w:line="276" w:lineRule="auto"/>
      </w:pPr>
      <w:r>
        <w:t xml:space="preserve">The principles </w:t>
      </w:r>
      <w:r w:rsidR="00571785">
        <w:t xml:space="preserve">developed by the High Needs Funding Review Group </w:t>
      </w:r>
      <w:r>
        <w:t xml:space="preserve">provide </w:t>
      </w:r>
      <w:r w:rsidR="00571785">
        <w:t>a values-base</w:t>
      </w:r>
      <w:r>
        <w:t xml:space="preserve"> for future decision-making about the </w:t>
      </w:r>
      <w:r w:rsidR="00571785">
        <w:t>use</w:t>
      </w:r>
      <w:r>
        <w:t xml:space="preserve"> of the </w:t>
      </w:r>
      <w:r w:rsidR="00571785">
        <w:t>HNFB</w:t>
      </w:r>
      <w:r>
        <w:t xml:space="preserve"> and should inform a transparent approach to</w:t>
      </w:r>
      <w:r w:rsidR="00571785">
        <w:t xml:space="preserve"> budgeting that will</w:t>
      </w:r>
      <w:r>
        <w:t xml:space="preserve"> be overseen by a new SEND Board</w:t>
      </w:r>
      <w:r w:rsidR="00DB4BE3">
        <w:t xml:space="preserve"> which will also drive the implementation of the new </w:t>
      </w:r>
      <w:r w:rsidR="00995F4E">
        <w:t xml:space="preserve">strategy. </w:t>
      </w:r>
    </w:p>
    <w:p w14:paraId="6FA55328" w14:textId="7BC4DA9A" w:rsidR="00C3225A" w:rsidRDefault="00995F4E" w:rsidP="006516FD">
      <w:pPr>
        <w:pStyle w:val="ListParagraph"/>
        <w:numPr>
          <w:ilvl w:val="0"/>
          <w:numId w:val="19"/>
        </w:numPr>
        <w:spacing w:before="60" w:after="60" w:line="276" w:lineRule="auto"/>
      </w:pPr>
      <w:r>
        <w:t>One</w:t>
      </w:r>
      <w:r w:rsidR="00A73A48">
        <w:t xml:space="preserve"> of these principles is to achieve balanced expenditure from the HNFB by 2020-21. </w:t>
      </w:r>
      <w:r w:rsidR="001D4113">
        <w:t>Urgent action is needed to</w:t>
      </w:r>
      <w:r w:rsidR="00A73A48">
        <w:t xml:space="preserve"> </w:t>
      </w:r>
      <w:r w:rsidR="001D4113">
        <w:t xml:space="preserve">reduce expenditure to achieve this. The proposals </w:t>
      </w:r>
      <w:r w:rsidR="00EE350B">
        <w:t xml:space="preserve">in this paper </w:t>
      </w:r>
      <w:r w:rsidR="00A73A48">
        <w:t xml:space="preserve">take into account </w:t>
      </w:r>
      <w:r w:rsidR="00D03DB2">
        <w:t xml:space="preserve">the </w:t>
      </w:r>
      <w:r w:rsidR="00571785">
        <w:t>expected increases in the number</w:t>
      </w:r>
      <w:r w:rsidR="00A73A48">
        <w:t xml:space="preserve"> of children and young people with SEND</w:t>
      </w:r>
      <w:r w:rsidR="00D03DB2">
        <w:t xml:space="preserve"> and establish a clearer relationship between funding and evidence of pupil need. </w:t>
      </w:r>
      <w:r w:rsidR="00C3225A">
        <w:br w:type="page"/>
      </w:r>
    </w:p>
    <w:p w14:paraId="34742AD4" w14:textId="61F61C8E" w:rsidR="00906F50" w:rsidRDefault="00C357F9" w:rsidP="00C357F9">
      <w:pPr>
        <w:pStyle w:val="ListParagraph"/>
        <w:numPr>
          <w:ilvl w:val="0"/>
          <w:numId w:val="4"/>
        </w:numPr>
        <w:spacing w:before="60" w:after="60" w:line="276" w:lineRule="auto"/>
        <w:rPr>
          <w:b/>
        </w:rPr>
      </w:pPr>
      <w:r>
        <w:rPr>
          <w:b/>
        </w:rPr>
        <w:lastRenderedPageBreak/>
        <w:t>INTRODUCTION</w:t>
      </w:r>
    </w:p>
    <w:p w14:paraId="6638EF29" w14:textId="0B0D65B9" w:rsidR="00022960" w:rsidRDefault="001B755F" w:rsidP="00022960">
      <w:pPr>
        <w:spacing w:before="60" w:after="120" w:line="276" w:lineRule="auto"/>
        <w:ind w:left="710"/>
      </w:pPr>
      <w:r>
        <w:t xml:space="preserve">1.1 </w:t>
      </w:r>
      <w:r w:rsidR="00C357F9">
        <w:t>The report summarises the financial challenges for high needs funding in Tower Hamlets for the period 2017 to 2021, together with the financial basis for the proposed changes, informed by the work of the High Needs Funding Review Group.</w:t>
      </w:r>
      <w:r w:rsidR="00C2091E">
        <w:t xml:space="preserve"> D</w:t>
      </w:r>
      <w:r w:rsidR="00C357F9">
        <w:t>etails of the proposed changes to commence in 2018 are set out</w:t>
      </w:r>
      <w:r w:rsidR="00C2091E">
        <w:t xml:space="preserve"> along with the </w:t>
      </w:r>
      <w:r w:rsidR="008F24E6">
        <w:t xml:space="preserve">recommendations </w:t>
      </w:r>
      <w:r w:rsidR="00C357F9">
        <w:t>of th</w:t>
      </w:r>
      <w:r w:rsidR="00C3225A">
        <w:t>e High Needs Funding Review Group.</w:t>
      </w:r>
      <w:r w:rsidR="003E1DC1">
        <w:t xml:space="preserve"> </w:t>
      </w:r>
    </w:p>
    <w:p w14:paraId="1C2F15C7" w14:textId="48D56299" w:rsidR="001B755F" w:rsidRPr="00022960" w:rsidRDefault="00022960" w:rsidP="00022960">
      <w:pPr>
        <w:spacing w:before="60" w:after="120" w:line="276" w:lineRule="auto"/>
        <w:ind w:left="710"/>
        <w:rPr>
          <w:lang w:val="en"/>
        </w:rPr>
      </w:pPr>
      <w:r>
        <w:t xml:space="preserve">1.2 </w:t>
      </w:r>
      <w:r w:rsidR="00C3225A">
        <w:t xml:space="preserve">The </w:t>
      </w:r>
      <w:r w:rsidR="00AC3061">
        <w:t xml:space="preserve">Education </w:t>
      </w:r>
      <w:r w:rsidR="00981F59">
        <w:t xml:space="preserve">Skills and </w:t>
      </w:r>
      <w:r w:rsidR="00AC3061">
        <w:t xml:space="preserve">Funding Agency </w:t>
      </w:r>
      <w:r w:rsidR="00C3225A">
        <w:t xml:space="preserve"> states</w:t>
      </w:r>
      <w:r w:rsidR="00C2091E">
        <w:t xml:space="preserve"> </w:t>
      </w:r>
      <w:r w:rsidR="00AC3061">
        <w:t xml:space="preserve">in the </w:t>
      </w:r>
      <w:r w:rsidR="00AC3061" w:rsidRPr="00D03DB2">
        <w:rPr>
          <w:i/>
          <w:lang w:val="en"/>
        </w:rPr>
        <w:t>High needs funding: operational guide 2017 to 2018</w:t>
      </w:r>
      <w:r w:rsidR="00AC3061">
        <w:t xml:space="preserve"> </w:t>
      </w:r>
      <w:r w:rsidR="00C2091E">
        <w:t>that</w:t>
      </w:r>
      <w:r w:rsidR="00C3225A">
        <w:t xml:space="preserve"> high needs funding  </w:t>
      </w:r>
      <w:r w:rsidR="001B755F" w:rsidRPr="00022960">
        <w:rPr>
          <w:lang w:val="en"/>
        </w:rPr>
        <w:t>“…supports provision for pupils and students with special educational needs and disabilities (SEND) from their early years to 25…Local authorities should use their high needs budget to provide the most appropriate support package for an individual with SEND in a range of settings, taking account of parental and student choice, whilst avoiding perverse incentives to over-identify high needs pupils and students. High needs funding is also intended to support good quality alternative provision for pupils who cannot receive their education in schools.”</w:t>
      </w:r>
    </w:p>
    <w:p w14:paraId="121A87D9" w14:textId="5A81A730" w:rsidR="00C3225A" w:rsidRDefault="00AC3061" w:rsidP="00AC3061">
      <w:pPr>
        <w:spacing w:before="60" w:after="120" w:line="276" w:lineRule="auto"/>
        <w:ind w:left="710"/>
      </w:pPr>
      <w:r>
        <w:t>1.</w:t>
      </w:r>
      <w:r w:rsidR="00022960">
        <w:t>3</w:t>
      </w:r>
      <w:r>
        <w:t xml:space="preserve"> </w:t>
      </w:r>
      <w:r w:rsidR="00C3225A">
        <w:t>A new formula for the HNFB is being introduced from April 2018, alongside the national funding formula for schools. In the past, there has been some flexibility for the Council to agree with Schools Forum to subsidise the HNFB from</w:t>
      </w:r>
      <w:r w:rsidR="00C2091E">
        <w:t xml:space="preserve"> the</w:t>
      </w:r>
      <w:r w:rsidR="00C3225A">
        <w:t xml:space="preserve"> </w:t>
      </w:r>
      <w:r w:rsidR="00981F59">
        <w:t>direct schools grant (DSG)</w:t>
      </w:r>
      <w:r w:rsidR="00C3225A">
        <w:t xml:space="preserve">, but the new arrangements </w:t>
      </w:r>
      <w:r w:rsidR="001B755F">
        <w:t xml:space="preserve">reduce this flexibility and </w:t>
      </w:r>
      <w:r w:rsidR="00C2091E" w:rsidRPr="00A53CB2">
        <w:t xml:space="preserve">make this </w:t>
      </w:r>
      <w:r w:rsidR="005C14CB">
        <w:t>option</w:t>
      </w:r>
      <w:r w:rsidR="00C2091E">
        <w:t xml:space="preserve"> </w:t>
      </w:r>
      <w:r w:rsidR="00C3225A">
        <w:t xml:space="preserve">less appropriate. </w:t>
      </w:r>
    </w:p>
    <w:p w14:paraId="1EDA402A" w14:textId="4D26C74F" w:rsidR="00C3225A" w:rsidRDefault="00AC3061" w:rsidP="00AC3061">
      <w:pPr>
        <w:spacing w:before="60" w:after="120" w:line="276" w:lineRule="auto"/>
        <w:ind w:left="710"/>
      </w:pPr>
      <w:r>
        <w:t xml:space="preserve">1.4 </w:t>
      </w:r>
      <w:r w:rsidR="00C3225A">
        <w:t xml:space="preserve">The gross allocation of the HNFB from the DfE to Tower Hamlets for 2017-18 is £46.08 million. </w:t>
      </w:r>
      <w:r>
        <w:t xml:space="preserve">The </w:t>
      </w:r>
      <w:r w:rsidR="00C3225A">
        <w:t xml:space="preserve">Annex </w:t>
      </w:r>
      <w:r w:rsidR="005C14CB">
        <w:t xml:space="preserve">includes a summary of </w:t>
      </w:r>
      <w:r w:rsidR="00C3225A">
        <w:t>how the high needs funding has been deployed in Tower Hamlets in 2017-18 and indicates an anticipated overspend in the region of £1.5 million. Under the new formula, the gross HNFB for 2018-19 will increase to £48</w:t>
      </w:r>
      <w:r w:rsidR="00981F59">
        <w:t>.</w:t>
      </w:r>
      <w:r w:rsidR="00C3225A">
        <w:t>524</w:t>
      </w:r>
      <w:r w:rsidR="00981F59">
        <w:t xml:space="preserve"> million</w:t>
      </w:r>
      <w:r w:rsidR="005C14CB">
        <w:t>.</w:t>
      </w:r>
      <w:r w:rsidR="006516FD">
        <w:t xml:space="preserve"> A summary of the financial information including e</w:t>
      </w:r>
      <w:r w:rsidR="00C3225A">
        <w:t>stimate</w:t>
      </w:r>
      <w:r w:rsidR="006516FD">
        <w:t>d</w:t>
      </w:r>
      <w:r w:rsidR="00C3225A">
        <w:t xml:space="preserve"> </w:t>
      </w:r>
      <w:r w:rsidR="006516FD">
        <w:t xml:space="preserve">funding </w:t>
      </w:r>
      <w:r w:rsidR="00C3225A">
        <w:t xml:space="preserve">for subsequent years, based on </w:t>
      </w:r>
      <w:r w:rsidR="00981F59">
        <w:t xml:space="preserve">indicative </w:t>
      </w:r>
      <w:r w:rsidR="00C3225A">
        <w:t xml:space="preserve">0.5% </w:t>
      </w:r>
      <w:r w:rsidR="00981F59">
        <w:t xml:space="preserve">per annum </w:t>
      </w:r>
      <w:r w:rsidR="00C3225A">
        <w:t>growth</w:t>
      </w:r>
      <w:r w:rsidR="00C2091E">
        <w:t xml:space="preserve">, </w:t>
      </w:r>
      <w:r w:rsidR="00C3225A">
        <w:t>are set out</w:t>
      </w:r>
      <w:r w:rsidR="004F680C">
        <w:t xml:space="preserve"> </w:t>
      </w:r>
      <w:r w:rsidR="006516FD">
        <w:t>in Table 1 on page 5.</w:t>
      </w:r>
      <w:r w:rsidR="00C3225A">
        <w:t xml:space="preserve"> </w:t>
      </w:r>
    </w:p>
    <w:p w14:paraId="35DC44CE" w14:textId="7255C458" w:rsidR="00C3225A" w:rsidRDefault="00022960" w:rsidP="00022960">
      <w:pPr>
        <w:pStyle w:val="ListParagraph"/>
        <w:spacing w:before="60" w:after="120" w:line="276" w:lineRule="auto"/>
        <w:ind w:left="788"/>
        <w:contextualSpacing w:val="0"/>
      </w:pPr>
      <w:r>
        <w:t xml:space="preserve">1.5 </w:t>
      </w:r>
      <w:r w:rsidR="00C3225A">
        <w:t xml:space="preserve">Whilst the increase for 2018-19 </w:t>
      </w:r>
      <w:r w:rsidR="00981F59">
        <w:t xml:space="preserve">will </w:t>
      </w:r>
      <w:r w:rsidR="00C3225A">
        <w:t xml:space="preserve">help to alleviate immediate </w:t>
      </w:r>
      <w:r w:rsidR="00AF404C">
        <w:t xml:space="preserve">funding </w:t>
      </w:r>
      <w:r w:rsidR="00C3225A">
        <w:t>pressures</w:t>
      </w:r>
      <w:r w:rsidR="00981F59">
        <w:t xml:space="preserve"> in Tower Hamlets</w:t>
      </w:r>
      <w:r w:rsidR="00C3225A">
        <w:t xml:space="preserve">, </w:t>
      </w:r>
      <w:r w:rsidR="006516FD">
        <w:t xml:space="preserve">the information in </w:t>
      </w:r>
      <w:r w:rsidR="00C3225A">
        <w:t xml:space="preserve">Table 1 </w:t>
      </w:r>
      <w:r w:rsidR="006516FD" w:rsidRPr="00C7105E">
        <w:rPr>
          <w:b/>
        </w:rPr>
        <w:t>Column</w:t>
      </w:r>
      <w:r w:rsidR="00981F59" w:rsidRPr="00C7105E">
        <w:rPr>
          <w:b/>
        </w:rPr>
        <w:t xml:space="preserve"> A</w:t>
      </w:r>
      <w:r w:rsidR="006516FD">
        <w:t xml:space="preserve"> shows the potential size of the overspend year</w:t>
      </w:r>
      <w:r w:rsidR="00981F59">
        <w:t>-</w:t>
      </w:r>
      <w:r w:rsidR="006516FD">
        <w:t>on</w:t>
      </w:r>
      <w:r w:rsidR="00981F59">
        <w:t>-</w:t>
      </w:r>
      <w:r w:rsidR="006516FD">
        <w:t>year should no changes be made</w:t>
      </w:r>
      <w:r w:rsidR="004F680C">
        <w:t>,</w:t>
      </w:r>
      <w:r w:rsidR="006516FD">
        <w:t xml:space="preserve"> </w:t>
      </w:r>
      <w:r w:rsidR="00A90998">
        <w:t xml:space="preserve">which provides </w:t>
      </w:r>
      <w:r w:rsidR="006516FD">
        <w:t xml:space="preserve">a strong rationale for the need to </w:t>
      </w:r>
      <w:r w:rsidR="00AF404C">
        <w:t xml:space="preserve">reduce spending in the medium and long term, to ensure there is sufficient resource and support for the </w:t>
      </w:r>
      <w:r w:rsidR="00C3225A">
        <w:t>increasing population of children and young people</w:t>
      </w:r>
      <w:r w:rsidR="00A90998">
        <w:t xml:space="preserve"> with SEND</w:t>
      </w:r>
      <w:r w:rsidR="00C3225A">
        <w:t xml:space="preserve">. </w:t>
      </w:r>
    </w:p>
    <w:p w14:paraId="679BE63F" w14:textId="34228B7A" w:rsidR="00906F50" w:rsidRPr="00022960" w:rsidRDefault="00022960" w:rsidP="00022960">
      <w:pPr>
        <w:spacing w:before="60" w:after="120" w:line="276" w:lineRule="auto"/>
        <w:rPr>
          <w:b/>
        </w:rPr>
      </w:pPr>
      <w:r>
        <w:rPr>
          <w:b/>
        </w:rPr>
        <w:t xml:space="preserve">2. </w:t>
      </w:r>
      <w:r w:rsidR="00C3225A" w:rsidRPr="00022960">
        <w:rPr>
          <w:b/>
        </w:rPr>
        <w:t>HIGH NEEDS FUNDING FINANCIAL POSITION 2017 – 2021</w:t>
      </w:r>
    </w:p>
    <w:p w14:paraId="4086BEE0" w14:textId="685134D0" w:rsidR="006516FD" w:rsidRDefault="00022960" w:rsidP="00022960">
      <w:pPr>
        <w:spacing w:before="60" w:after="120" w:line="276" w:lineRule="auto"/>
        <w:ind w:left="710"/>
      </w:pPr>
      <w:r>
        <w:t xml:space="preserve">2.1 </w:t>
      </w:r>
      <w:r w:rsidR="00D84C54">
        <w:t xml:space="preserve">Table 1 summarises </w:t>
      </w:r>
    </w:p>
    <w:p w14:paraId="6723AAD0" w14:textId="5F5A69F0" w:rsidR="006516FD" w:rsidRDefault="006516FD" w:rsidP="006516FD">
      <w:pPr>
        <w:spacing w:before="60" w:after="120" w:line="276" w:lineRule="auto"/>
        <w:ind w:left="1440" w:hanging="730"/>
      </w:pPr>
      <w:r>
        <w:t>*</w:t>
      </w:r>
      <w:r>
        <w:tab/>
      </w:r>
      <w:r w:rsidR="00D84C54">
        <w:t>the current</w:t>
      </w:r>
      <w:r w:rsidR="00D223C9">
        <w:t xml:space="preserve"> financial position and challenge for the </w:t>
      </w:r>
      <w:r w:rsidR="008F24E6">
        <w:t>HNFB</w:t>
      </w:r>
      <w:r w:rsidR="00A90998">
        <w:t xml:space="preserve">; </w:t>
      </w:r>
      <w:r w:rsidR="005C14CB">
        <w:t>the indicative savings being aimed for by making various cha</w:t>
      </w:r>
      <w:r>
        <w:t>n</w:t>
      </w:r>
      <w:r w:rsidR="005C14CB">
        <w:t>ges</w:t>
      </w:r>
      <w:r w:rsidR="00A90998">
        <w:t>,</w:t>
      </w:r>
    </w:p>
    <w:p w14:paraId="4FC103FE" w14:textId="53F60199" w:rsidR="006516FD" w:rsidRDefault="006516FD" w:rsidP="006516FD">
      <w:pPr>
        <w:spacing w:before="60" w:after="120" w:line="276" w:lineRule="auto"/>
        <w:ind w:left="1440" w:hanging="730"/>
      </w:pPr>
      <w:r>
        <w:t xml:space="preserve">* </w:t>
      </w:r>
      <w:r>
        <w:tab/>
        <w:t>the</w:t>
      </w:r>
      <w:r w:rsidR="005C14CB">
        <w:t xml:space="preserve"> intended sums for re-investment in SEND priorities identified in the </w:t>
      </w:r>
      <w:r w:rsidR="00A90998">
        <w:t xml:space="preserve">new </w:t>
      </w:r>
      <w:r w:rsidR="005C14CB">
        <w:t>SEND Strategy</w:t>
      </w:r>
      <w:r>
        <w:t>,</w:t>
      </w:r>
    </w:p>
    <w:p w14:paraId="6661E374" w14:textId="0EE7217F" w:rsidR="006516FD" w:rsidRDefault="006516FD" w:rsidP="006516FD">
      <w:pPr>
        <w:spacing w:before="60" w:after="60" w:line="276" w:lineRule="auto"/>
        <w:ind w:left="710"/>
      </w:pPr>
      <w:r>
        <w:t>taking an increasing number of children and young people attending special schools and the place payments for them into account.</w:t>
      </w:r>
    </w:p>
    <w:p w14:paraId="3221443C" w14:textId="233D19F3" w:rsidR="00136B37" w:rsidRDefault="00136B37" w:rsidP="006516FD">
      <w:pPr>
        <w:spacing w:before="60" w:after="120" w:line="276" w:lineRule="auto"/>
        <w:ind w:left="1440" w:hanging="730"/>
      </w:pPr>
    </w:p>
    <w:p w14:paraId="4956DE34" w14:textId="2A9F13B3" w:rsidR="001114B6" w:rsidRDefault="00E257EB" w:rsidP="00022960">
      <w:pPr>
        <w:spacing w:before="60" w:after="120" w:line="276" w:lineRule="auto"/>
        <w:ind w:left="710"/>
      </w:pPr>
      <w:r w:rsidRPr="00D03DB2">
        <w:rPr>
          <w:b/>
        </w:rPr>
        <w:t>Column</w:t>
      </w:r>
      <w:r w:rsidR="008F24E6" w:rsidRPr="00D03DB2">
        <w:rPr>
          <w:b/>
        </w:rPr>
        <w:t xml:space="preserve"> </w:t>
      </w:r>
      <w:r w:rsidRPr="00D03DB2">
        <w:rPr>
          <w:b/>
        </w:rPr>
        <w:t>A</w:t>
      </w:r>
      <w:r>
        <w:t xml:space="preserve"> shows </w:t>
      </w:r>
      <w:r w:rsidR="008F24E6">
        <w:t>a</w:t>
      </w:r>
      <w:r>
        <w:t xml:space="preserve"> p</w:t>
      </w:r>
      <w:r w:rsidR="00D223C9">
        <w:t>otential</w:t>
      </w:r>
      <w:r>
        <w:t xml:space="preserve"> </w:t>
      </w:r>
      <w:r w:rsidR="00D223C9">
        <w:t xml:space="preserve">overspend </w:t>
      </w:r>
      <w:r>
        <w:t>of</w:t>
      </w:r>
      <w:r w:rsidR="00AA2072">
        <w:t xml:space="preserve"> up to</w:t>
      </w:r>
      <w:r w:rsidR="00AF404C">
        <w:t xml:space="preserve"> </w:t>
      </w:r>
      <w:r w:rsidR="00D223C9">
        <w:t>£5 million by 2020-21</w:t>
      </w:r>
      <w:r>
        <w:t xml:space="preserve">, should no changes be made to </w:t>
      </w:r>
      <w:r w:rsidR="00A90998">
        <w:t xml:space="preserve">the HNFB’s </w:t>
      </w:r>
      <w:r>
        <w:t>deployment.</w:t>
      </w:r>
    </w:p>
    <w:p w14:paraId="5203BFDF" w14:textId="30FFC075" w:rsidR="00D223C9" w:rsidRDefault="00022960" w:rsidP="00022960">
      <w:pPr>
        <w:spacing w:before="60" w:after="60" w:line="276" w:lineRule="auto"/>
        <w:ind w:left="710"/>
      </w:pPr>
      <w:r>
        <w:t xml:space="preserve">2.2 </w:t>
      </w:r>
      <w:r w:rsidR="00E257EB" w:rsidRPr="00D03DB2">
        <w:rPr>
          <w:b/>
        </w:rPr>
        <w:t xml:space="preserve">Column </w:t>
      </w:r>
      <w:r w:rsidR="00D223C9" w:rsidRPr="00D03DB2">
        <w:rPr>
          <w:b/>
        </w:rPr>
        <w:t>B</w:t>
      </w:r>
      <w:r w:rsidR="00D223C9">
        <w:t xml:space="preserve"> sets out changes should the local authority and schools succeed </w:t>
      </w:r>
      <w:r w:rsidR="000D5AC6">
        <w:t>in</w:t>
      </w:r>
      <w:r w:rsidR="00D223C9">
        <w:t xml:space="preserve"> </w:t>
      </w:r>
      <w:r w:rsidR="000D5AC6">
        <w:t>reducing</w:t>
      </w:r>
      <w:r w:rsidR="00D223C9">
        <w:t xml:space="preserve"> the rate of growth</w:t>
      </w:r>
      <w:r w:rsidR="00720DF4">
        <w:t xml:space="preserve"> in</w:t>
      </w:r>
      <w:r w:rsidR="00D223C9">
        <w:t xml:space="preserve"> the number of pupils with an education, health and care (EHC) plan. Current growth projections are for the numbers</w:t>
      </w:r>
      <w:r w:rsidR="006516FD">
        <w:t xml:space="preserve"> of pupils</w:t>
      </w:r>
      <w:r w:rsidR="00D223C9">
        <w:t xml:space="preserve"> with an EHC plan increasing by 5.6% per annum</w:t>
      </w:r>
      <w:r w:rsidR="00720DF4">
        <w:t>. T</w:t>
      </w:r>
      <w:r w:rsidR="00D223C9">
        <w:t>he aim</w:t>
      </w:r>
      <w:r w:rsidR="00720DF4">
        <w:t xml:space="preserve"> is </w:t>
      </w:r>
      <w:r w:rsidR="00D223C9">
        <w:t>to reduce th</w:t>
      </w:r>
      <w:r w:rsidR="00136B37">
        <w:t>e annual</w:t>
      </w:r>
      <w:r w:rsidR="006516FD">
        <w:t xml:space="preserve"> </w:t>
      </w:r>
      <w:r w:rsidR="00136B37">
        <w:t xml:space="preserve">increase </w:t>
      </w:r>
      <w:r w:rsidR="006516FD">
        <w:t xml:space="preserve">by 3.6% </w:t>
      </w:r>
      <w:r w:rsidR="00D223C9">
        <w:t>to 2% per annum</w:t>
      </w:r>
      <w:r w:rsidR="00A90998">
        <w:t xml:space="preserve"> by 2020</w:t>
      </w:r>
      <w:r w:rsidR="00720DF4">
        <w:t>, through early intervention</w:t>
      </w:r>
      <w:r w:rsidR="006516FD">
        <w:t xml:space="preserve"> as well as more rigorous </w:t>
      </w:r>
      <w:r w:rsidR="00A90998">
        <w:t xml:space="preserve">EHC </w:t>
      </w:r>
      <w:r w:rsidR="006516FD">
        <w:t>needs assessment</w:t>
      </w:r>
      <w:r w:rsidR="00720DF4">
        <w:t>.</w:t>
      </w:r>
      <w:r w:rsidR="00D223C9">
        <w:t xml:space="preserve"> </w:t>
      </w:r>
    </w:p>
    <w:p w14:paraId="6B3D8E48" w14:textId="0E45218A" w:rsidR="00C3225A" w:rsidRDefault="00022960" w:rsidP="00022960">
      <w:pPr>
        <w:spacing w:before="60" w:after="60" w:line="276" w:lineRule="auto"/>
        <w:ind w:left="710"/>
        <w:sectPr w:rsidR="00C3225A" w:rsidSect="001D15A6">
          <w:footerReference w:type="even" r:id="rId11"/>
          <w:footerReference w:type="default" r:id="rId12"/>
          <w:pgSz w:w="11901" w:h="16817"/>
          <w:pgMar w:top="1247" w:right="1134" w:bottom="1304" w:left="1134" w:header="720" w:footer="720" w:gutter="0"/>
          <w:cols w:space="720"/>
          <w:docGrid w:linePitch="360"/>
        </w:sectPr>
      </w:pPr>
      <w:r>
        <w:t xml:space="preserve">2.3 </w:t>
      </w:r>
      <w:r w:rsidR="00E257EB" w:rsidRPr="004F680C">
        <w:rPr>
          <w:b/>
        </w:rPr>
        <w:t xml:space="preserve">Column </w:t>
      </w:r>
      <w:r w:rsidR="00D223C9" w:rsidRPr="004F680C">
        <w:rPr>
          <w:b/>
        </w:rPr>
        <w:t>C</w:t>
      </w:r>
      <w:r w:rsidR="00D223C9">
        <w:t xml:space="preserve"> outlines the financial position should further </w:t>
      </w:r>
      <w:r w:rsidR="00720DF4">
        <w:t xml:space="preserve">proposals </w:t>
      </w:r>
      <w:r w:rsidR="00D223C9">
        <w:t>be implemented over the period 2018 – 2021. Details</w:t>
      </w:r>
      <w:r w:rsidR="00172627">
        <w:t xml:space="preserve"> of these proposals</w:t>
      </w:r>
      <w:r w:rsidR="00D223C9">
        <w:t xml:space="preserve"> are set out in section </w:t>
      </w:r>
      <w:r w:rsidR="00172627">
        <w:t>3</w:t>
      </w:r>
      <w:r w:rsidR="00D223C9">
        <w:t>, below</w:t>
      </w:r>
      <w:r w:rsidR="00720DF4">
        <w:t xml:space="preserve">. </w:t>
      </w:r>
      <w:r w:rsidR="004F680C">
        <w:t xml:space="preserve">In 2018-19, the proposal is to make savings against funding retained by the LA for the delivery of services and undertake detailed reviews to scope how savings could be made in the other identified areas. This will take place within a context of implementation of the new SEND </w:t>
      </w:r>
      <w:r w:rsidR="00A90998">
        <w:t>S</w:t>
      </w:r>
      <w:r w:rsidR="004F680C">
        <w:t>trategy</w:t>
      </w:r>
      <w:r w:rsidR="006E3267">
        <w:t xml:space="preserve"> as well as the consolidation of the new </w:t>
      </w:r>
      <w:r w:rsidR="00A90998">
        <w:t xml:space="preserve">EHC needs </w:t>
      </w:r>
      <w:r w:rsidR="006E3267">
        <w:t xml:space="preserve">assessment materials and processes which will assist in achieving </w:t>
      </w:r>
      <w:r w:rsidR="00995F4E">
        <w:t>earlier</w:t>
      </w:r>
      <w:r w:rsidR="006E3267">
        <w:t xml:space="preserve"> identification and intervention as well as a reduction in EHC</w:t>
      </w:r>
      <w:r w:rsidR="00A90998">
        <w:t xml:space="preserve"> plan</w:t>
      </w:r>
      <w:r w:rsidR="006E3267">
        <w:t>s</w:t>
      </w:r>
      <w:r w:rsidR="00995F4E">
        <w:t>.</w:t>
      </w:r>
      <w:r w:rsidR="007439A4">
        <w:t xml:space="preserve"> Finally, </w:t>
      </w:r>
      <w:r w:rsidR="004F680C" w:rsidRPr="004F680C">
        <w:rPr>
          <w:b/>
        </w:rPr>
        <w:t>C</w:t>
      </w:r>
      <w:r w:rsidR="007439A4" w:rsidRPr="004F680C">
        <w:rPr>
          <w:b/>
        </w:rPr>
        <w:t>olumn</w:t>
      </w:r>
      <w:r w:rsidR="005B3016" w:rsidRPr="004F680C">
        <w:rPr>
          <w:b/>
        </w:rPr>
        <w:t xml:space="preserve"> D</w:t>
      </w:r>
      <w:r w:rsidR="005B3016">
        <w:t>, shows the anticipated, gross HNFB allocation from the DfE. Those for 2017-18 and 2018-19 are known amounts. This figure is the total before sums are deducted by the Education Skills and Funding Agency for amounts such as post-16 places and places at academies.</w:t>
      </w:r>
      <w:r w:rsidR="00D223C9">
        <w:t xml:space="preserve"> </w:t>
      </w:r>
    </w:p>
    <w:p w14:paraId="40774479" w14:textId="6969E3CF" w:rsidR="00C3225A" w:rsidRDefault="00415B50" w:rsidP="001114B6">
      <w:pPr>
        <w:spacing w:before="60" w:after="60" w:line="276" w:lineRule="auto"/>
        <w:rPr>
          <w:b/>
        </w:rPr>
      </w:pPr>
      <w:r w:rsidRPr="00415B50">
        <w:rPr>
          <w:b/>
        </w:rPr>
        <w:lastRenderedPageBreak/>
        <w:t xml:space="preserve">TABLE 1 </w:t>
      </w:r>
      <w:r>
        <w:rPr>
          <w:b/>
        </w:rPr>
        <w:t>–</w:t>
      </w:r>
      <w:r w:rsidRPr="00415B50">
        <w:rPr>
          <w:b/>
        </w:rPr>
        <w:t xml:space="preserve"> </w:t>
      </w:r>
      <w:r>
        <w:rPr>
          <w:b/>
        </w:rPr>
        <w:t xml:space="preserve">Summary of financial information </w:t>
      </w:r>
    </w:p>
    <w:p w14:paraId="1E55663A" w14:textId="77777777" w:rsidR="00415B50" w:rsidRPr="00415B50" w:rsidRDefault="00415B50" w:rsidP="001114B6">
      <w:pPr>
        <w:spacing w:before="60" w:after="60" w:line="276" w:lineRule="auto"/>
        <w:rPr>
          <w:b/>
        </w:rPr>
      </w:pPr>
    </w:p>
    <w:tbl>
      <w:tblPr>
        <w:tblStyle w:val="TableGrid"/>
        <w:tblW w:w="15416" w:type="dxa"/>
        <w:tblLook w:val="04A0" w:firstRow="1" w:lastRow="0" w:firstColumn="1" w:lastColumn="0" w:noHBand="0" w:noVBand="1"/>
      </w:tblPr>
      <w:tblGrid>
        <w:gridCol w:w="959"/>
        <w:gridCol w:w="1134"/>
        <w:gridCol w:w="1417"/>
        <w:gridCol w:w="1276"/>
        <w:gridCol w:w="1558"/>
        <w:gridCol w:w="1275"/>
        <w:gridCol w:w="1580"/>
        <w:gridCol w:w="1114"/>
        <w:gridCol w:w="1275"/>
        <w:gridCol w:w="1134"/>
        <w:gridCol w:w="1276"/>
        <w:gridCol w:w="1418"/>
      </w:tblGrid>
      <w:tr w:rsidR="00415B50" w14:paraId="06981683" w14:textId="77777777" w:rsidTr="00EB2D10">
        <w:tc>
          <w:tcPr>
            <w:tcW w:w="959" w:type="dxa"/>
            <w:tcBorders>
              <w:right w:val="single" w:sz="18" w:space="0" w:color="auto"/>
            </w:tcBorders>
          </w:tcPr>
          <w:p w14:paraId="32B25C32" w14:textId="2CE4D285" w:rsidR="009B2D30" w:rsidRPr="009B2D30" w:rsidRDefault="009B2D30" w:rsidP="00A6125E">
            <w:pPr>
              <w:spacing w:before="60" w:after="60" w:line="276" w:lineRule="auto"/>
              <w:jc w:val="center"/>
              <w:rPr>
                <w:b/>
                <w:sz w:val="18"/>
                <w:szCs w:val="18"/>
              </w:rPr>
            </w:pPr>
          </w:p>
        </w:tc>
        <w:tc>
          <w:tcPr>
            <w:tcW w:w="1134" w:type="dxa"/>
            <w:tcBorders>
              <w:top w:val="single" w:sz="18" w:space="0" w:color="auto"/>
              <w:left w:val="single" w:sz="18" w:space="0" w:color="auto"/>
            </w:tcBorders>
          </w:tcPr>
          <w:p w14:paraId="1E65C407" w14:textId="7EF70EC9" w:rsidR="009B2D30" w:rsidRPr="00951505" w:rsidRDefault="009B2D30" w:rsidP="00A6125E">
            <w:pPr>
              <w:spacing w:before="60" w:after="60" w:line="276" w:lineRule="auto"/>
              <w:jc w:val="center"/>
              <w:rPr>
                <w:b/>
                <w:sz w:val="18"/>
                <w:szCs w:val="18"/>
                <w:u w:val="single"/>
              </w:rPr>
            </w:pPr>
            <w:r w:rsidRPr="00951505">
              <w:rPr>
                <w:b/>
                <w:sz w:val="18"/>
                <w:szCs w:val="18"/>
                <w:u w:val="single"/>
              </w:rPr>
              <w:t xml:space="preserve">Column A. </w:t>
            </w:r>
          </w:p>
          <w:p w14:paraId="1D53629F" w14:textId="10BFDB55" w:rsidR="009B2D30" w:rsidRPr="009B2D30" w:rsidRDefault="009B2D30" w:rsidP="00A6125E">
            <w:pPr>
              <w:spacing w:before="60" w:after="60" w:line="276" w:lineRule="auto"/>
              <w:jc w:val="center"/>
              <w:rPr>
                <w:sz w:val="18"/>
                <w:szCs w:val="18"/>
              </w:rPr>
            </w:pPr>
            <w:r w:rsidRPr="009B2D30">
              <w:rPr>
                <w:b/>
                <w:sz w:val="18"/>
                <w:szCs w:val="18"/>
              </w:rPr>
              <w:t>Total spending  if no changes</w:t>
            </w:r>
            <w:r w:rsidR="009B736E">
              <w:rPr>
                <w:b/>
                <w:sz w:val="18"/>
                <w:szCs w:val="18"/>
              </w:rPr>
              <w:t xml:space="preserve"> are made </w:t>
            </w:r>
          </w:p>
        </w:tc>
        <w:tc>
          <w:tcPr>
            <w:tcW w:w="1417" w:type="dxa"/>
            <w:tcBorders>
              <w:top w:val="single" w:sz="18" w:space="0" w:color="auto"/>
            </w:tcBorders>
          </w:tcPr>
          <w:p w14:paraId="42002B74" w14:textId="2F13FCEA" w:rsidR="009B2D30" w:rsidRPr="009B2D30" w:rsidRDefault="009B2D30" w:rsidP="005B3016">
            <w:pPr>
              <w:spacing w:before="60" w:after="60" w:line="276" w:lineRule="auto"/>
              <w:jc w:val="center"/>
              <w:rPr>
                <w:sz w:val="18"/>
                <w:szCs w:val="18"/>
              </w:rPr>
            </w:pPr>
            <w:r w:rsidRPr="009B2D30">
              <w:rPr>
                <w:sz w:val="18"/>
                <w:szCs w:val="18"/>
              </w:rPr>
              <w:t>Potential overspend against expected EFA funding</w:t>
            </w:r>
            <w:r>
              <w:rPr>
                <w:sz w:val="18"/>
                <w:szCs w:val="18"/>
              </w:rPr>
              <w:t xml:space="preserve"> (Column D)</w:t>
            </w:r>
          </w:p>
        </w:tc>
        <w:tc>
          <w:tcPr>
            <w:tcW w:w="1276" w:type="dxa"/>
            <w:tcBorders>
              <w:top w:val="single" w:sz="18" w:space="0" w:color="auto"/>
              <w:bottom w:val="single" w:sz="6" w:space="0" w:color="auto"/>
              <w:right w:val="single" w:sz="18" w:space="0" w:color="auto"/>
            </w:tcBorders>
          </w:tcPr>
          <w:p w14:paraId="6A280A52" w14:textId="46FAFC18" w:rsidR="009B736E" w:rsidRDefault="009B2D30" w:rsidP="005B3016">
            <w:pPr>
              <w:spacing w:before="60" w:after="60" w:line="276" w:lineRule="auto"/>
              <w:jc w:val="center"/>
              <w:rPr>
                <w:sz w:val="18"/>
                <w:szCs w:val="18"/>
              </w:rPr>
            </w:pPr>
            <w:r w:rsidRPr="009B2D30">
              <w:rPr>
                <w:sz w:val="18"/>
                <w:szCs w:val="18"/>
              </w:rPr>
              <w:t>Increase</w:t>
            </w:r>
            <w:r w:rsidR="00951505">
              <w:rPr>
                <w:sz w:val="18"/>
                <w:szCs w:val="18"/>
              </w:rPr>
              <w:t xml:space="preserve"> in costs</w:t>
            </w:r>
            <w:r w:rsidRPr="009B2D30">
              <w:rPr>
                <w:sz w:val="18"/>
                <w:szCs w:val="18"/>
              </w:rPr>
              <w:t xml:space="preserve"> due to </w:t>
            </w:r>
          </w:p>
          <w:p w14:paraId="7F87B264" w14:textId="25A60288" w:rsidR="009B2D30" w:rsidRPr="009B2D30" w:rsidRDefault="009B2D30" w:rsidP="005B3016">
            <w:pPr>
              <w:spacing w:before="60" w:after="60" w:line="276" w:lineRule="auto"/>
              <w:jc w:val="center"/>
              <w:rPr>
                <w:sz w:val="18"/>
                <w:szCs w:val="18"/>
              </w:rPr>
            </w:pPr>
            <w:r w:rsidRPr="009B2D30">
              <w:rPr>
                <w:sz w:val="18"/>
                <w:szCs w:val="18"/>
              </w:rPr>
              <w:t>new EHC</w:t>
            </w:r>
            <w:r w:rsidR="00A90998">
              <w:rPr>
                <w:sz w:val="18"/>
                <w:szCs w:val="18"/>
              </w:rPr>
              <w:t xml:space="preserve"> plan</w:t>
            </w:r>
            <w:r w:rsidRPr="009B2D30">
              <w:rPr>
                <w:sz w:val="18"/>
                <w:szCs w:val="18"/>
              </w:rPr>
              <w:t>s</w:t>
            </w:r>
            <w:r w:rsidR="00951505">
              <w:rPr>
                <w:sz w:val="18"/>
                <w:szCs w:val="18"/>
              </w:rPr>
              <w:t xml:space="preserve"> at current rate of increase</w:t>
            </w:r>
          </w:p>
        </w:tc>
        <w:tc>
          <w:tcPr>
            <w:tcW w:w="1558" w:type="dxa"/>
            <w:tcBorders>
              <w:top w:val="single" w:sz="18" w:space="0" w:color="auto"/>
              <w:right w:val="single" w:sz="4" w:space="0" w:color="auto"/>
            </w:tcBorders>
          </w:tcPr>
          <w:p w14:paraId="102DEDB5" w14:textId="20A2CE5B" w:rsidR="009B2D30" w:rsidRPr="009B2D30" w:rsidRDefault="009B2D30" w:rsidP="00A6125E">
            <w:pPr>
              <w:spacing w:before="60" w:after="60" w:line="276" w:lineRule="auto"/>
              <w:jc w:val="center"/>
              <w:rPr>
                <w:b/>
                <w:sz w:val="18"/>
                <w:szCs w:val="18"/>
              </w:rPr>
            </w:pPr>
            <w:r w:rsidRPr="00951505">
              <w:rPr>
                <w:b/>
                <w:sz w:val="18"/>
                <w:szCs w:val="18"/>
                <w:u w:val="single"/>
              </w:rPr>
              <w:t>Column B.</w:t>
            </w:r>
            <w:r w:rsidRPr="009B2D30">
              <w:rPr>
                <w:b/>
                <w:sz w:val="18"/>
                <w:szCs w:val="18"/>
              </w:rPr>
              <w:t xml:space="preserve"> Total </w:t>
            </w:r>
            <w:r w:rsidR="00951505">
              <w:rPr>
                <w:b/>
                <w:sz w:val="18"/>
                <w:szCs w:val="18"/>
              </w:rPr>
              <w:t>predicted spending when there is</w:t>
            </w:r>
            <w:r w:rsidRPr="009B2D30">
              <w:rPr>
                <w:b/>
                <w:sz w:val="18"/>
                <w:szCs w:val="18"/>
              </w:rPr>
              <w:t xml:space="preserve"> reduce</w:t>
            </w:r>
            <w:r w:rsidR="00951505">
              <w:rPr>
                <w:b/>
                <w:sz w:val="18"/>
                <w:szCs w:val="18"/>
              </w:rPr>
              <w:t>d</w:t>
            </w:r>
            <w:r w:rsidRPr="009B2D30">
              <w:rPr>
                <w:b/>
                <w:sz w:val="18"/>
                <w:szCs w:val="18"/>
              </w:rPr>
              <w:t xml:space="preserve"> increase in demand</w:t>
            </w:r>
            <w:r w:rsidR="00951505">
              <w:rPr>
                <w:b/>
                <w:sz w:val="18"/>
                <w:szCs w:val="18"/>
              </w:rPr>
              <w:t xml:space="preserve"> from new EHC</w:t>
            </w:r>
            <w:r w:rsidR="00A90998">
              <w:rPr>
                <w:b/>
                <w:sz w:val="18"/>
                <w:szCs w:val="18"/>
              </w:rPr>
              <w:t xml:space="preserve"> plans</w:t>
            </w:r>
          </w:p>
        </w:tc>
        <w:tc>
          <w:tcPr>
            <w:tcW w:w="1275" w:type="dxa"/>
            <w:tcBorders>
              <w:top w:val="single" w:sz="18" w:space="0" w:color="auto"/>
              <w:left w:val="single" w:sz="4" w:space="0" w:color="auto"/>
              <w:right w:val="single" w:sz="18" w:space="0" w:color="auto"/>
            </w:tcBorders>
          </w:tcPr>
          <w:p w14:paraId="3A3DFA6E" w14:textId="2C6DF865" w:rsidR="009B2D30" w:rsidRPr="009B2D30" w:rsidRDefault="00951505" w:rsidP="005B3016">
            <w:pPr>
              <w:spacing w:before="60" w:after="60" w:line="276" w:lineRule="auto"/>
              <w:jc w:val="center"/>
              <w:rPr>
                <w:sz w:val="18"/>
                <w:szCs w:val="18"/>
              </w:rPr>
            </w:pPr>
            <w:r>
              <w:rPr>
                <w:sz w:val="18"/>
                <w:szCs w:val="18"/>
              </w:rPr>
              <w:t xml:space="preserve">Increase in costs due to new EHCPs if </w:t>
            </w:r>
            <w:r w:rsidR="00415B50">
              <w:rPr>
                <w:sz w:val="18"/>
                <w:szCs w:val="18"/>
              </w:rPr>
              <w:t>%age reduction</w:t>
            </w:r>
            <w:r>
              <w:rPr>
                <w:sz w:val="18"/>
                <w:szCs w:val="18"/>
              </w:rPr>
              <w:t xml:space="preserve"> target met</w:t>
            </w:r>
          </w:p>
        </w:tc>
        <w:tc>
          <w:tcPr>
            <w:tcW w:w="1580" w:type="dxa"/>
            <w:tcBorders>
              <w:top w:val="single" w:sz="18" w:space="0" w:color="auto"/>
              <w:left w:val="single" w:sz="18" w:space="0" w:color="auto"/>
              <w:right w:val="single" w:sz="4" w:space="0" w:color="auto"/>
            </w:tcBorders>
          </w:tcPr>
          <w:p w14:paraId="7CDBBF79" w14:textId="77777777" w:rsidR="00951505" w:rsidRDefault="009B2D30" w:rsidP="00951505">
            <w:pPr>
              <w:spacing w:before="60" w:after="60" w:line="276" w:lineRule="auto"/>
              <w:jc w:val="center"/>
              <w:rPr>
                <w:b/>
                <w:sz w:val="18"/>
                <w:szCs w:val="18"/>
              </w:rPr>
            </w:pPr>
            <w:r w:rsidRPr="00951505">
              <w:rPr>
                <w:b/>
                <w:sz w:val="18"/>
                <w:szCs w:val="18"/>
                <w:u w:val="single"/>
              </w:rPr>
              <w:t>Column C.</w:t>
            </w:r>
            <w:r w:rsidRPr="009B2D30">
              <w:rPr>
                <w:b/>
                <w:sz w:val="18"/>
                <w:szCs w:val="18"/>
              </w:rPr>
              <w:t xml:space="preserve"> </w:t>
            </w:r>
          </w:p>
          <w:p w14:paraId="6E9D2D87" w14:textId="06F700D2" w:rsidR="00951505" w:rsidRDefault="009B2D30" w:rsidP="00951505">
            <w:pPr>
              <w:spacing w:before="60" w:after="60" w:line="276" w:lineRule="auto"/>
              <w:jc w:val="center"/>
              <w:rPr>
                <w:b/>
                <w:sz w:val="18"/>
                <w:szCs w:val="18"/>
              </w:rPr>
            </w:pPr>
            <w:r w:rsidRPr="009B2D30">
              <w:rPr>
                <w:b/>
                <w:sz w:val="18"/>
                <w:szCs w:val="18"/>
              </w:rPr>
              <w:t>Total</w:t>
            </w:r>
            <w:r w:rsidR="00951505">
              <w:rPr>
                <w:b/>
                <w:sz w:val="18"/>
                <w:szCs w:val="18"/>
              </w:rPr>
              <w:t xml:space="preserve"> </w:t>
            </w:r>
            <w:r w:rsidR="00A90998">
              <w:rPr>
                <w:b/>
                <w:sz w:val="18"/>
                <w:szCs w:val="18"/>
              </w:rPr>
              <w:t>p</w:t>
            </w:r>
            <w:r w:rsidR="00951505">
              <w:rPr>
                <w:b/>
                <w:sz w:val="18"/>
                <w:szCs w:val="18"/>
              </w:rPr>
              <w:t>redicted</w:t>
            </w:r>
          </w:p>
          <w:p w14:paraId="53F7CFFB" w14:textId="4CE73129" w:rsidR="009B2D30" w:rsidRPr="009B2D30" w:rsidRDefault="00951505" w:rsidP="00A90998">
            <w:pPr>
              <w:spacing w:before="60" w:after="60" w:line="276" w:lineRule="auto"/>
              <w:jc w:val="center"/>
              <w:rPr>
                <w:sz w:val="18"/>
                <w:szCs w:val="18"/>
              </w:rPr>
            </w:pPr>
            <w:r>
              <w:rPr>
                <w:b/>
                <w:sz w:val="18"/>
                <w:szCs w:val="18"/>
              </w:rPr>
              <w:t xml:space="preserve"> spending </w:t>
            </w:r>
            <w:r w:rsidR="009B2D30" w:rsidRPr="009B2D30">
              <w:rPr>
                <w:b/>
                <w:sz w:val="18"/>
                <w:szCs w:val="18"/>
              </w:rPr>
              <w:t xml:space="preserve"> if </w:t>
            </w:r>
            <w:r>
              <w:rPr>
                <w:b/>
                <w:sz w:val="18"/>
                <w:szCs w:val="18"/>
              </w:rPr>
              <w:t xml:space="preserve">all </w:t>
            </w:r>
            <w:r w:rsidR="009B2D30" w:rsidRPr="009B2D30">
              <w:rPr>
                <w:b/>
                <w:sz w:val="18"/>
                <w:szCs w:val="18"/>
              </w:rPr>
              <w:t xml:space="preserve">proposed </w:t>
            </w:r>
            <w:r>
              <w:rPr>
                <w:b/>
                <w:sz w:val="18"/>
                <w:szCs w:val="18"/>
              </w:rPr>
              <w:t>recommendations are implemented</w:t>
            </w:r>
            <w:r w:rsidR="009B2D30" w:rsidRPr="009B2D30">
              <w:rPr>
                <w:b/>
                <w:sz w:val="18"/>
                <w:szCs w:val="18"/>
              </w:rPr>
              <w:t xml:space="preserve"> </w:t>
            </w:r>
          </w:p>
        </w:tc>
        <w:tc>
          <w:tcPr>
            <w:tcW w:w="1114" w:type="dxa"/>
            <w:tcBorders>
              <w:top w:val="single" w:sz="18" w:space="0" w:color="auto"/>
              <w:left w:val="single" w:sz="4" w:space="0" w:color="auto"/>
            </w:tcBorders>
          </w:tcPr>
          <w:p w14:paraId="77B95A3C" w14:textId="7AC61F0E" w:rsidR="00951505" w:rsidRDefault="00951505" w:rsidP="00A6125E">
            <w:pPr>
              <w:spacing w:before="60" w:after="60" w:line="276" w:lineRule="auto"/>
              <w:jc w:val="center"/>
              <w:rPr>
                <w:sz w:val="18"/>
                <w:szCs w:val="18"/>
              </w:rPr>
            </w:pPr>
            <w:r>
              <w:rPr>
                <w:sz w:val="18"/>
                <w:szCs w:val="18"/>
              </w:rPr>
              <w:t>Predicted s</w:t>
            </w:r>
            <w:r w:rsidR="009B2D30" w:rsidRPr="009B2D30">
              <w:rPr>
                <w:sz w:val="18"/>
                <w:szCs w:val="18"/>
              </w:rPr>
              <w:t>avings</w:t>
            </w:r>
            <w:r>
              <w:rPr>
                <w:sz w:val="18"/>
                <w:szCs w:val="18"/>
              </w:rPr>
              <w:t xml:space="preserve"> from</w:t>
            </w:r>
            <w:r w:rsidR="009B2D30" w:rsidRPr="009B2D30">
              <w:rPr>
                <w:sz w:val="18"/>
                <w:szCs w:val="18"/>
              </w:rPr>
              <w:t xml:space="preserve"> </w:t>
            </w:r>
            <w:r>
              <w:rPr>
                <w:sz w:val="18"/>
                <w:szCs w:val="18"/>
              </w:rPr>
              <w:t>budget currently retained by the LA</w:t>
            </w:r>
          </w:p>
          <w:p w14:paraId="4F4870B1" w14:textId="775CA467" w:rsidR="009B2D30" w:rsidRPr="009B2D30" w:rsidRDefault="009B2D30" w:rsidP="00951505">
            <w:pPr>
              <w:spacing w:before="60" w:after="60" w:line="276" w:lineRule="auto"/>
              <w:jc w:val="center"/>
              <w:rPr>
                <w:sz w:val="18"/>
                <w:szCs w:val="18"/>
              </w:rPr>
            </w:pPr>
          </w:p>
        </w:tc>
        <w:tc>
          <w:tcPr>
            <w:tcW w:w="1275" w:type="dxa"/>
            <w:tcBorders>
              <w:top w:val="single" w:sz="18" w:space="0" w:color="auto"/>
            </w:tcBorders>
          </w:tcPr>
          <w:p w14:paraId="377E0F45" w14:textId="77777777" w:rsidR="00951505" w:rsidRDefault="00951505" w:rsidP="00A6125E">
            <w:pPr>
              <w:spacing w:before="60" w:after="60" w:line="276" w:lineRule="auto"/>
              <w:jc w:val="center"/>
              <w:rPr>
                <w:sz w:val="18"/>
                <w:szCs w:val="18"/>
              </w:rPr>
            </w:pPr>
            <w:r>
              <w:rPr>
                <w:sz w:val="18"/>
                <w:szCs w:val="18"/>
              </w:rPr>
              <w:t xml:space="preserve">Predicted </w:t>
            </w:r>
          </w:p>
          <w:p w14:paraId="5E40B9EA" w14:textId="20CEA03D" w:rsidR="00951505" w:rsidRDefault="00951505" w:rsidP="00A6125E">
            <w:pPr>
              <w:spacing w:before="60" w:after="60" w:line="276" w:lineRule="auto"/>
              <w:jc w:val="center"/>
              <w:rPr>
                <w:sz w:val="18"/>
                <w:szCs w:val="18"/>
              </w:rPr>
            </w:pPr>
            <w:r>
              <w:rPr>
                <w:sz w:val="18"/>
                <w:szCs w:val="18"/>
              </w:rPr>
              <w:t>Savings</w:t>
            </w:r>
          </w:p>
          <w:p w14:paraId="363C1ECD" w14:textId="74294010" w:rsidR="00951505" w:rsidRDefault="00951505" w:rsidP="00A6125E">
            <w:pPr>
              <w:spacing w:before="60" w:after="60" w:line="276" w:lineRule="auto"/>
              <w:jc w:val="center"/>
              <w:rPr>
                <w:sz w:val="18"/>
                <w:szCs w:val="18"/>
              </w:rPr>
            </w:pPr>
            <w:r>
              <w:rPr>
                <w:sz w:val="18"/>
                <w:szCs w:val="18"/>
              </w:rPr>
              <w:t xml:space="preserve"> from resource </w:t>
            </w:r>
          </w:p>
          <w:p w14:paraId="31E61A1B" w14:textId="77777777" w:rsidR="00951505" w:rsidRDefault="00951505" w:rsidP="00951505">
            <w:pPr>
              <w:spacing w:before="60" w:after="60" w:line="276" w:lineRule="auto"/>
              <w:jc w:val="center"/>
              <w:rPr>
                <w:sz w:val="18"/>
                <w:szCs w:val="18"/>
              </w:rPr>
            </w:pPr>
            <w:r>
              <w:rPr>
                <w:sz w:val="18"/>
                <w:szCs w:val="18"/>
              </w:rPr>
              <w:t xml:space="preserve">base </w:t>
            </w:r>
          </w:p>
          <w:p w14:paraId="29180B32" w14:textId="63843E65" w:rsidR="009B2D30" w:rsidRPr="009B2D30" w:rsidRDefault="00951505" w:rsidP="00951505">
            <w:pPr>
              <w:spacing w:before="60" w:after="60" w:line="276" w:lineRule="auto"/>
              <w:jc w:val="center"/>
              <w:rPr>
                <w:sz w:val="18"/>
                <w:szCs w:val="18"/>
              </w:rPr>
            </w:pPr>
            <w:r>
              <w:rPr>
                <w:sz w:val="18"/>
                <w:szCs w:val="18"/>
              </w:rPr>
              <w:t xml:space="preserve">review </w:t>
            </w:r>
          </w:p>
        </w:tc>
        <w:tc>
          <w:tcPr>
            <w:tcW w:w="1134" w:type="dxa"/>
            <w:tcBorders>
              <w:top w:val="single" w:sz="18" w:space="0" w:color="auto"/>
            </w:tcBorders>
          </w:tcPr>
          <w:p w14:paraId="55EDB93B" w14:textId="77777777" w:rsidR="00951505" w:rsidRDefault="00951505" w:rsidP="00A6125E">
            <w:pPr>
              <w:spacing w:before="60" w:after="60" w:line="276" w:lineRule="auto"/>
              <w:jc w:val="center"/>
              <w:rPr>
                <w:sz w:val="18"/>
                <w:szCs w:val="18"/>
              </w:rPr>
            </w:pPr>
            <w:r>
              <w:rPr>
                <w:sz w:val="18"/>
                <w:szCs w:val="18"/>
              </w:rPr>
              <w:t>Predicted</w:t>
            </w:r>
          </w:p>
          <w:p w14:paraId="635A988F" w14:textId="77777777" w:rsidR="00951505" w:rsidRDefault="00951505" w:rsidP="00A6125E">
            <w:pPr>
              <w:spacing w:before="60" w:after="60" w:line="276" w:lineRule="auto"/>
              <w:jc w:val="center"/>
              <w:rPr>
                <w:sz w:val="18"/>
                <w:szCs w:val="18"/>
              </w:rPr>
            </w:pPr>
            <w:r>
              <w:rPr>
                <w:sz w:val="18"/>
                <w:szCs w:val="18"/>
              </w:rPr>
              <w:t xml:space="preserve"> savings </w:t>
            </w:r>
          </w:p>
          <w:p w14:paraId="5A990D82" w14:textId="77777777" w:rsidR="00951505" w:rsidRDefault="00951505" w:rsidP="00A6125E">
            <w:pPr>
              <w:spacing w:before="60" w:after="60" w:line="276" w:lineRule="auto"/>
              <w:jc w:val="center"/>
              <w:rPr>
                <w:sz w:val="18"/>
                <w:szCs w:val="18"/>
              </w:rPr>
            </w:pPr>
            <w:r>
              <w:rPr>
                <w:sz w:val="18"/>
                <w:szCs w:val="18"/>
              </w:rPr>
              <w:t>from</w:t>
            </w:r>
          </w:p>
          <w:p w14:paraId="1974EE37" w14:textId="77777777" w:rsidR="00951505" w:rsidRDefault="00951505" w:rsidP="00A6125E">
            <w:pPr>
              <w:spacing w:before="60" w:after="60" w:line="276" w:lineRule="auto"/>
              <w:jc w:val="center"/>
              <w:rPr>
                <w:sz w:val="18"/>
                <w:szCs w:val="18"/>
              </w:rPr>
            </w:pPr>
            <w:r>
              <w:rPr>
                <w:sz w:val="18"/>
                <w:szCs w:val="18"/>
              </w:rPr>
              <w:t xml:space="preserve"> SEMH </w:t>
            </w:r>
          </w:p>
          <w:p w14:paraId="0C23F497" w14:textId="35E38368" w:rsidR="00951505" w:rsidRDefault="00951505" w:rsidP="00A6125E">
            <w:pPr>
              <w:spacing w:before="60" w:after="60" w:line="276" w:lineRule="auto"/>
              <w:jc w:val="center"/>
              <w:rPr>
                <w:sz w:val="18"/>
                <w:szCs w:val="18"/>
              </w:rPr>
            </w:pPr>
            <w:r>
              <w:rPr>
                <w:sz w:val="18"/>
                <w:szCs w:val="18"/>
              </w:rPr>
              <w:t xml:space="preserve">review </w:t>
            </w:r>
          </w:p>
          <w:p w14:paraId="1A724F4A" w14:textId="1758ED04" w:rsidR="009B2D30" w:rsidRPr="009B2D30" w:rsidRDefault="009B2D30" w:rsidP="00A6125E">
            <w:pPr>
              <w:spacing w:before="60" w:after="60" w:line="276" w:lineRule="auto"/>
              <w:jc w:val="center"/>
              <w:rPr>
                <w:sz w:val="18"/>
                <w:szCs w:val="18"/>
              </w:rPr>
            </w:pPr>
          </w:p>
        </w:tc>
        <w:tc>
          <w:tcPr>
            <w:tcW w:w="1276" w:type="dxa"/>
            <w:tcBorders>
              <w:top w:val="single" w:sz="18" w:space="0" w:color="auto"/>
              <w:right w:val="single" w:sz="18" w:space="0" w:color="auto"/>
            </w:tcBorders>
          </w:tcPr>
          <w:p w14:paraId="2E58805B" w14:textId="4989688D" w:rsidR="009B2D30" w:rsidRPr="009B2D30" w:rsidRDefault="00951505" w:rsidP="00951505">
            <w:pPr>
              <w:spacing w:before="60" w:after="60" w:line="276" w:lineRule="auto"/>
              <w:jc w:val="center"/>
              <w:rPr>
                <w:sz w:val="18"/>
                <w:szCs w:val="18"/>
              </w:rPr>
            </w:pPr>
            <w:r>
              <w:rPr>
                <w:sz w:val="18"/>
                <w:szCs w:val="18"/>
              </w:rPr>
              <w:t xml:space="preserve">Potential amount for re-investment in SEND system </w:t>
            </w:r>
            <w:r w:rsidR="009B2D30" w:rsidRPr="009B2D30">
              <w:rPr>
                <w:sz w:val="18"/>
                <w:szCs w:val="18"/>
              </w:rPr>
              <w:t>**</w:t>
            </w:r>
          </w:p>
        </w:tc>
        <w:tc>
          <w:tcPr>
            <w:tcW w:w="1418" w:type="dxa"/>
            <w:tcBorders>
              <w:top w:val="single" w:sz="18" w:space="0" w:color="auto"/>
              <w:left w:val="single" w:sz="18" w:space="0" w:color="auto"/>
              <w:right w:val="single" w:sz="18" w:space="0" w:color="auto"/>
            </w:tcBorders>
          </w:tcPr>
          <w:p w14:paraId="1C8071BD" w14:textId="4588A901" w:rsidR="009B2D30" w:rsidRPr="009B2D30" w:rsidRDefault="009B2D30" w:rsidP="00A6125E">
            <w:pPr>
              <w:spacing w:before="60" w:after="60" w:line="276" w:lineRule="auto"/>
              <w:jc w:val="center"/>
              <w:rPr>
                <w:b/>
                <w:i/>
                <w:sz w:val="18"/>
                <w:szCs w:val="18"/>
              </w:rPr>
            </w:pPr>
            <w:r w:rsidRPr="00415B50">
              <w:rPr>
                <w:b/>
                <w:i/>
                <w:sz w:val="18"/>
                <w:szCs w:val="18"/>
                <w:u w:val="single"/>
              </w:rPr>
              <w:t>Column D.</w:t>
            </w:r>
            <w:r w:rsidRPr="009B2D30">
              <w:rPr>
                <w:b/>
                <w:i/>
                <w:sz w:val="18"/>
                <w:szCs w:val="18"/>
              </w:rPr>
              <w:t xml:space="preserve"> Projected DfE gross HNFB allocation</w:t>
            </w:r>
          </w:p>
        </w:tc>
      </w:tr>
      <w:tr w:rsidR="00415B50" w14:paraId="09BC6D35" w14:textId="77777777" w:rsidTr="00EB2D10">
        <w:tc>
          <w:tcPr>
            <w:tcW w:w="959" w:type="dxa"/>
            <w:tcBorders>
              <w:right w:val="single" w:sz="18" w:space="0" w:color="auto"/>
            </w:tcBorders>
          </w:tcPr>
          <w:p w14:paraId="13A45192" w14:textId="5A6B000C" w:rsidR="009B2D30" w:rsidRPr="009B2D30" w:rsidRDefault="009B2D30" w:rsidP="00A6125E">
            <w:pPr>
              <w:spacing w:before="60" w:after="60" w:line="276" w:lineRule="auto"/>
              <w:rPr>
                <w:sz w:val="18"/>
                <w:szCs w:val="18"/>
              </w:rPr>
            </w:pPr>
            <w:r w:rsidRPr="009B2D30">
              <w:rPr>
                <w:sz w:val="18"/>
                <w:szCs w:val="18"/>
              </w:rPr>
              <w:t>2017-18</w:t>
            </w:r>
          </w:p>
        </w:tc>
        <w:tc>
          <w:tcPr>
            <w:tcW w:w="1134" w:type="dxa"/>
            <w:tcBorders>
              <w:left w:val="single" w:sz="18" w:space="0" w:color="auto"/>
            </w:tcBorders>
          </w:tcPr>
          <w:p w14:paraId="16EC3633" w14:textId="1CE1982A" w:rsidR="009B2D30" w:rsidRPr="009B2D30" w:rsidRDefault="009B2D30" w:rsidP="00A6125E">
            <w:pPr>
              <w:spacing w:before="60" w:after="60" w:line="276" w:lineRule="auto"/>
              <w:jc w:val="center"/>
              <w:rPr>
                <w:sz w:val="18"/>
                <w:szCs w:val="18"/>
              </w:rPr>
            </w:pPr>
            <w:r w:rsidRPr="009B2D30">
              <w:rPr>
                <w:rFonts w:ascii="Calibri" w:eastAsia="Times New Roman" w:hAnsi="Calibri"/>
                <w:b/>
                <w:color w:val="000000"/>
                <w:sz w:val="18"/>
                <w:szCs w:val="18"/>
              </w:rPr>
              <w:t>£48,063,141</w:t>
            </w:r>
          </w:p>
        </w:tc>
        <w:tc>
          <w:tcPr>
            <w:tcW w:w="1417" w:type="dxa"/>
          </w:tcPr>
          <w:p w14:paraId="797A3939" w14:textId="03E238FF" w:rsidR="009B2D30" w:rsidRPr="009B2D30" w:rsidRDefault="009B2D30" w:rsidP="00A6125E">
            <w:pPr>
              <w:spacing w:before="60" w:after="60" w:line="276" w:lineRule="auto"/>
              <w:jc w:val="center"/>
              <w:rPr>
                <w:sz w:val="18"/>
                <w:szCs w:val="18"/>
              </w:rPr>
            </w:pPr>
            <w:r>
              <w:rPr>
                <w:sz w:val="18"/>
                <w:szCs w:val="18"/>
              </w:rPr>
              <w:t>£1</w:t>
            </w:r>
            <w:r w:rsidR="009B736E">
              <w:rPr>
                <w:sz w:val="18"/>
                <w:szCs w:val="18"/>
              </w:rPr>
              <w:t>,</w:t>
            </w:r>
            <w:r>
              <w:rPr>
                <w:sz w:val="18"/>
                <w:szCs w:val="18"/>
              </w:rPr>
              <w:t>983</w:t>
            </w:r>
            <w:r w:rsidR="009B736E">
              <w:rPr>
                <w:sz w:val="18"/>
                <w:szCs w:val="18"/>
              </w:rPr>
              <w:t>,</w:t>
            </w:r>
            <w:r>
              <w:rPr>
                <w:sz w:val="18"/>
                <w:szCs w:val="18"/>
              </w:rPr>
              <w:t>141</w:t>
            </w:r>
          </w:p>
        </w:tc>
        <w:tc>
          <w:tcPr>
            <w:tcW w:w="1276" w:type="dxa"/>
            <w:tcBorders>
              <w:top w:val="single" w:sz="6" w:space="0" w:color="auto"/>
              <w:bottom w:val="single" w:sz="6" w:space="0" w:color="auto"/>
              <w:right w:val="single" w:sz="18" w:space="0" w:color="auto"/>
            </w:tcBorders>
          </w:tcPr>
          <w:p w14:paraId="21DA0770" w14:textId="403474AA" w:rsidR="009B2D30" w:rsidRPr="009B2D30" w:rsidRDefault="00A90998" w:rsidP="00A6125E">
            <w:pPr>
              <w:spacing w:before="60" w:after="60" w:line="276" w:lineRule="auto"/>
              <w:jc w:val="center"/>
              <w:rPr>
                <w:sz w:val="18"/>
                <w:szCs w:val="18"/>
              </w:rPr>
            </w:pPr>
            <w:r>
              <w:rPr>
                <w:sz w:val="18"/>
                <w:szCs w:val="18"/>
              </w:rPr>
              <w:t>-</w:t>
            </w:r>
          </w:p>
        </w:tc>
        <w:tc>
          <w:tcPr>
            <w:tcW w:w="1558" w:type="dxa"/>
            <w:tcBorders>
              <w:right w:val="single" w:sz="4" w:space="0" w:color="auto"/>
            </w:tcBorders>
          </w:tcPr>
          <w:p w14:paraId="512F41DF" w14:textId="151844F2" w:rsidR="009B2D30" w:rsidRPr="009B2D30" w:rsidRDefault="009B2D30" w:rsidP="00A6125E">
            <w:pPr>
              <w:spacing w:before="60" w:after="60" w:line="276" w:lineRule="auto"/>
              <w:jc w:val="center"/>
              <w:rPr>
                <w:sz w:val="18"/>
                <w:szCs w:val="18"/>
              </w:rPr>
            </w:pPr>
            <w:r w:rsidRPr="009B2D30">
              <w:rPr>
                <w:rFonts w:ascii="Calibri" w:eastAsia="Times New Roman" w:hAnsi="Calibri"/>
                <w:color w:val="000000"/>
                <w:sz w:val="18"/>
                <w:szCs w:val="18"/>
              </w:rPr>
              <w:t>-</w:t>
            </w:r>
          </w:p>
        </w:tc>
        <w:tc>
          <w:tcPr>
            <w:tcW w:w="1275" w:type="dxa"/>
            <w:tcBorders>
              <w:left w:val="single" w:sz="4" w:space="0" w:color="auto"/>
              <w:bottom w:val="single" w:sz="4" w:space="0" w:color="auto"/>
              <w:right w:val="single" w:sz="18" w:space="0" w:color="auto"/>
            </w:tcBorders>
          </w:tcPr>
          <w:p w14:paraId="1A54DEE1" w14:textId="4D04EE1A" w:rsidR="009B2D30" w:rsidRPr="009B2D30" w:rsidRDefault="009B2D30" w:rsidP="00A6125E">
            <w:pPr>
              <w:spacing w:before="60" w:after="60" w:line="276" w:lineRule="auto"/>
              <w:jc w:val="center"/>
              <w:rPr>
                <w:sz w:val="18"/>
                <w:szCs w:val="18"/>
              </w:rPr>
            </w:pPr>
            <w:r w:rsidRPr="009B2D30">
              <w:rPr>
                <w:sz w:val="18"/>
                <w:szCs w:val="18"/>
              </w:rPr>
              <w:t>-</w:t>
            </w:r>
          </w:p>
        </w:tc>
        <w:tc>
          <w:tcPr>
            <w:tcW w:w="1580" w:type="dxa"/>
            <w:tcBorders>
              <w:left w:val="single" w:sz="18" w:space="0" w:color="auto"/>
              <w:bottom w:val="single" w:sz="4" w:space="0" w:color="auto"/>
              <w:right w:val="single" w:sz="4" w:space="0" w:color="auto"/>
            </w:tcBorders>
          </w:tcPr>
          <w:p w14:paraId="4BD08118" w14:textId="376C67DD" w:rsidR="009B2D30" w:rsidRPr="009B2D30" w:rsidRDefault="00A90998" w:rsidP="00A6125E">
            <w:pPr>
              <w:spacing w:before="60" w:after="60" w:line="276" w:lineRule="auto"/>
              <w:jc w:val="center"/>
              <w:rPr>
                <w:sz w:val="18"/>
                <w:szCs w:val="18"/>
              </w:rPr>
            </w:pPr>
            <w:r>
              <w:rPr>
                <w:sz w:val="18"/>
                <w:szCs w:val="18"/>
              </w:rPr>
              <w:t>-</w:t>
            </w:r>
          </w:p>
        </w:tc>
        <w:tc>
          <w:tcPr>
            <w:tcW w:w="1114" w:type="dxa"/>
            <w:tcBorders>
              <w:left w:val="single" w:sz="4" w:space="0" w:color="auto"/>
              <w:bottom w:val="single" w:sz="4" w:space="0" w:color="auto"/>
            </w:tcBorders>
          </w:tcPr>
          <w:p w14:paraId="580E1D9D" w14:textId="54D95569" w:rsidR="009B2D30" w:rsidRPr="009B2D30" w:rsidRDefault="00A90998" w:rsidP="00A6125E">
            <w:pPr>
              <w:spacing w:before="60" w:after="60" w:line="276" w:lineRule="auto"/>
              <w:jc w:val="center"/>
              <w:rPr>
                <w:sz w:val="18"/>
                <w:szCs w:val="18"/>
              </w:rPr>
            </w:pPr>
            <w:r>
              <w:rPr>
                <w:sz w:val="18"/>
                <w:szCs w:val="18"/>
              </w:rPr>
              <w:t>-</w:t>
            </w:r>
          </w:p>
        </w:tc>
        <w:tc>
          <w:tcPr>
            <w:tcW w:w="1275" w:type="dxa"/>
            <w:tcBorders>
              <w:bottom w:val="single" w:sz="4" w:space="0" w:color="auto"/>
            </w:tcBorders>
          </w:tcPr>
          <w:p w14:paraId="3092F1D1" w14:textId="30AE8BF7" w:rsidR="009B2D30" w:rsidRPr="009B2D30" w:rsidRDefault="00A90998" w:rsidP="00A6125E">
            <w:pPr>
              <w:spacing w:before="60" w:after="60" w:line="276" w:lineRule="auto"/>
              <w:jc w:val="center"/>
              <w:rPr>
                <w:sz w:val="18"/>
                <w:szCs w:val="18"/>
              </w:rPr>
            </w:pPr>
            <w:r>
              <w:rPr>
                <w:sz w:val="18"/>
                <w:szCs w:val="18"/>
              </w:rPr>
              <w:t>-</w:t>
            </w:r>
          </w:p>
        </w:tc>
        <w:tc>
          <w:tcPr>
            <w:tcW w:w="1134" w:type="dxa"/>
            <w:tcBorders>
              <w:bottom w:val="single" w:sz="4" w:space="0" w:color="auto"/>
            </w:tcBorders>
          </w:tcPr>
          <w:p w14:paraId="1053BA57" w14:textId="333C4F02" w:rsidR="009B2D30" w:rsidRPr="009B2D30" w:rsidRDefault="00A90998" w:rsidP="00A6125E">
            <w:pPr>
              <w:spacing w:before="60" w:after="60" w:line="276" w:lineRule="auto"/>
              <w:jc w:val="center"/>
              <w:rPr>
                <w:sz w:val="18"/>
                <w:szCs w:val="18"/>
              </w:rPr>
            </w:pPr>
            <w:r>
              <w:rPr>
                <w:sz w:val="18"/>
                <w:szCs w:val="18"/>
              </w:rPr>
              <w:t>-</w:t>
            </w:r>
          </w:p>
        </w:tc>
        <w:tc>
          <w:tcPr>
            <w:tcW w:w="1276" w:type="dxa"/>
            <w:tcBorders>
              <w:bottom w:val="single" w:sz="4" w:space="0" w:color="auto"/>
              <w:right w:val="single" w:sz="18" w:space="0" w:color="auto"/>
            </w:tcBorders>
          </w:tcPr>
          <w:p w14:paraId="77206628" w14:textId="2BAFD61F" w:rsidR="009B2D30" w:rsidRPr="009B2D30" w:rsidRDefault="00A90998" w:rsidP="00A6125E">
            <w:pPr>
              <w:spacing w:before="60" w:after="60" w:line="276" w:lineRule="auto"/>
              <w:jc w:val="center"/>
              <w:rPr>
                <w:sz w:val="18"/>
                <w:szCs w:val="18"/>
              </w:rPr>
            </w:pPr>
            <w:r>
              <w:rPr>
                <w:sz w:val="18"/>
                <w:szCs w:val="18"/>
              </w:rPr>
              <w:t>-</w:t>
            </w:r>
          </w:p>
        </w:tc>
        <w:tc>
          <w:tcPr>
            <w:tcW w:w="1418" w:type="dxa"/>
            <w:tcBorders>
              <w:left w:val="single" w:sz="18" w:space="0" w:color="auto"/>
              <w:bottom w:val="single" w:sz="4" w:space="0" w:color="auto"/>
              <w:right w:val="single" w:sz="18" w:space="0" w:color="auto"/>
            </w:tcBorders>
          </w:tcPr>
          <w:p w14:paraId="4EF78BD6" w14:textId="77777777" w:rsidR="009B2D30" w:rsidRPr="009B2D30" w:rsidRDefault="009B2D30" w:rsidP="00A6125E">
            <w:pPr>
              <w:spacing w:before="60" w:after="60" w:line="276" w:lineRule="auto"/>
              <w:jc w:val="center"/>
              <w:rPr>
                <w:rFonts w:ascii="Calibri" w:eastAsia="Times New Roman" w:hAnsi="Calibri"/>
                <w:i/>
                <w:color w:val="000000"/>
                <w:sz w:val="18"/>
                <w:szCs w:val="18"/>
              </w:rPr>
            </w:pPr>
            <w:r w:rsidRPr="009B2D30">
              <w:rPr>
                <w:rFonts w:ascii="Calibri" w:eastAsia="Times New Roman" w:hAnsi="Calibri"/>
                <w:i/>
                <w:color w:val="000000"/>
                <w:sz w:val="18"/>
                <w:szCs w:val="18"/>
              </w:rPr>
              <w:t>£46,080,000</w:t>
            </w:r>
          </w:p>
        </w:tc>
      </w:tr>
      <w:tr w:rsidR="003F3EB4" w14:paraId="70E5A42E" w14:textId="77777777" w:rsidTr="00EB2D10">
        <w:tc>
          <w:tcPr>
            <w:tcW w:w="959" w:type="dxa"/>
            <w:tcBorders>
              <w:right w:val="single" w:sz="18" w:space="0" w:color="auto"/>
            </w:tcBorders>
          </w:tcPr>
          <w:p w14:paraId="1CB64347" w14:textId="77777777" w:rsidR="003F3EB4" w:rsidRPr="009B2D30" w:rsidRDefault="003F3EB4" w:rsidP="00A6125E">
            <w:pPr>
              <w:spacing w:before="60" w:after="60" w:line="276" w:lineRule="auto"/>
              <w:rPr>
                <w:sz w:val="18"/>
                <w:szCs w:val="18"/>
              </w:rPr>
            </w:pPr>
            <w:r w:rsidRPr="009B2D30">
              <w:rPr>
                <w:sz w:val="18"/>
                <w:szCs w:val="18"/>
              </w:rPr>
              <w:t>2018-19</w:t>
            </w:r>
          </w:p>
        </w:tc>
        <w:tc>
          <w:tcPr>
            <w:tcW w:w="1134" w:type="dxa"/>
            <w:tcBorders>
              <w:left w:val="single" w:sz="18" w:space="0" w:color="auto"/>
            </w:tcBorders>
          </w:tcPr>
          <w:p w14:paraId="22936486" w14:textId="1597419A" w:rsidR="003F3EB4" w:rsidRPr="009B2D30" w:rsidRDefault="003F3EB4" w:rsidP="00A6125E">
            <w:pPr>
              <w:spacing w:before="60" w:after="60" w:line="276" w:lineRule="auto"/>
              <w:jc w:val="center"/>
              <w:rPr>
                <w:sz w:val="18"/>
                <w:szCs w:val="18"/>
              </w:rPr>
            </w:pPr>
            <w:r w:rsidRPr="009B2D30">
              <w:rPr>
                <w:rFonts w:ascii="Calibri" w:eastAsia="Times New Roman" w:hAnsi="Calibri"/>
                <w:b/>
                <w:color w:val="000000"/>
                <w:sz w:val="18"/>
                <w:szCs w:val="18"/>
              </w:rPr>
              <w:t>£49,962,241</w:t>
            </w:r>
          </w:p>
        </w:tc>
        <w:tc>
          <w:tcPr>
            <w:tcW w:w="1417" w:type="dxa"/>
          </w:tcPr>
          <w:p w14:paraId="46881677" w14:textId="5DF398D4" w:rsidR="003F3EB4" w:rsidRPr="009B2D30" w:rsidRDefault="003F3EB4" w:rsidP="00A6125E">
            <w:pPr>
              <w:spacing w:before="60" w:after="60" w:line="276" w:lineRule="auto"/>
              <w:jc w:val="center"/>
              <w:rPr>
                <w:sz w:val="18"/>
                <w:szCs w:val="18"/>
              </w:rPr>
            </w:pPr>
            <w:r>
              <w:rPr>
                <w:sz w:val="18"/>
                <w:szCs w:val="18"/>
              </w:rPr>
              <w:t>£1,438,241</w:t>
            </w:r>
          </w:p>
        </w:tc>
        <w:tc>
          <w:tcPr>
            <w:tcW w:w="1276" w:type="dxa"/>
            <w:tcBorders>
              <w:top w:val="single" w:sz="6" w:space="0" w:color="auto"/>
              <w:bottom w:val="single" w:sz="6" w:space="0" w:color="auto"/>
              <w:right w:val="single" w:sz="18" w:space="0" w:color="auto"/>
            </w:tcBorders>
          </w:tcPr>
          <w:p w14:paraId="173FB70A" w14:textId="60F2327F" w:rsidR="003F3EB4" w:rsidRPr="009B2D30" w:rsidRDefault="003F3EB4" w:rsidP="00A6125E">
            <w:pPr>
              <w:spacing w:before="60" w:after="60" w:line="276" w:lineRule="auto"/>
              <w:jc w:val="center"/>
              <w:rPr>
                <w:sz w:val="18"/>
                <w:szCs w:val="18"/>
              </w:rPr>
            </w:pPr>
            <w:r w:rsidRPr="009B2D30">
              <w:rPr>
                <w:sz w:val="18"/>
                <w:szCs w:val="18"/>
              </w:rPr>
              <w:t>£1,894,100</w:t>
            </w:r>
          </w:p>
        </w:tc>
        <w:tc>
          <w:tcPr>
            <w:tcW w:w="1558" w:type="dxa"/>
            <w:tcBorders>
              <w:right w:val="single" w:sz="4" w:space="0" w:color="auto"/>
            </w:tcBorders>
          </w:tcPr>
          <w:p w14:paraId="7AE8C5D2" w14:textId="5F19AC96" w:rsidR="003F3EB4" w:rsidRPr="009B2D30" w:rsidRDefault="003F3EB4" w:rsidP="00A6125E">
            <w:pPr>
              <w:spacing w:before="60" w:after="60" w:line="276" w:lineRule="auto"/>
              <w:jc w:val="center"/>
              <w:rPr>
                <w:sz w:val="18"/>
                <w:szCs w:val="18"/>
              </w:rPr>
            </w:pPr>
            <w:r w:rsidRPr="009B2D30">
              <w:rPr>
                <w:rFonts w:ascii="Calibri" w:eastAsia="Times New Roman" w:hAnsi="Calibri"/>
                <w:b/>
                <w:color w:val="000000"/>
                <w:sz w:val="18"/>
                <w:szCs w:val="18"/>
              </w:rPr>
              <w:t>£49,662,241</w:t>
            </w:r>
          </w:p>
        </w:tc>
        <w:tc>
          <w:tcPr>
            <w:tcW w:w="1275" w:type="dxa"/>
            <w:tcBorders>
              <w:top w:val="single" w:sz="4" w:space="0" w:color="auto"/>
              <w:left w:val="single" w:sz="4" w:space="0" w:color="auto"/>
              <w:bottom w:val="single" w:sz="4" w:space="0" w:color="auto"/>
              <w:right w:val="single" w:sz="4" w:space="0" w:color="auto"/>
            </w:tcBorders>
          </w:tcPr>
          <w:p w14:paraId="5F26B741" w14:textId="1CFEED78" w:rsidR="003F3EB4" w:rsidRPr="009B2D30" w:rsidRDefault="003F3EB4" w:rsidP="00A6125E">
            <w:pPr>
              <w:spacing w:before="60" w:after="60" w:line="276" w:lineRule="auto"/>
              <w:jc w:val="center"/>
              <w:rPr>
                <w:sz w:val="18"/>
                <w:szCs w:val="18"/>
              </w:rPr>
            </w:pPr>
            <w:r w:rsidRPr="009B2D30">
              <w:rPr>
                <w:sz w:val="18"/>
                <w:szCs w:val="18"/>
              </w:rPr>
              <w:t>£1,594,100</w:t>
            </w:r>
          </w:p>
        </w:tc>
        <w:tc>
          <w:tcPr>
            <w:tcW w:w="1580" w:type="dxa"/>
            <w:tcBorders>
              <w:top w:val="single" w:sz="4" w:space="0" w:color="auto"/>
              <w:left w:val="single" w:sz="4" w:space="0" w:color="auto"/>
              <w:bottom w:val="single" w:sz="4" w:space="0" w:color="auto"/>
              <w:right w:val="single" w:sz="4" w:space="0" w:color="auto"/>
            </w:tcBorders>
          </w:tcPr>
          <w:p w14:paraId="15FFB25E" w14:textId="000722A8" w:rsidR="003F3EB4" w:rsidRPr="009B2D30" w:rsidRDefault="003F3EB4" w:rsidP="00A6125E">
            <w:pPr>
              <w:spacing w:before="60" w:after="60" w:line="276" w:lineRule="auto"/>
              <w:jc w:val="center"/>
              <w:rPr>
                <w:sz w:val="18"/>
                <w:szCs w:val="18"/>
              </w:rPr>
            </w:pPr>
            <w:r w:rsidRPr="009B2D30">
              <w:rPr>
                <w:b/>
                <w:sz w:val="18"/>
                <w:szCs w:val="18"/>
              </w:rPr>
              <w:t>£48,862,241</w:t>
            </w:r>
          </w:p>
        </w:tc>
        <w:tc>
          <w:tcPr>
            <w:tcW w:w="1114" w:type="dxa"/>
            <w:tcBorders>
              <w:top w:val="single" w:sz="4" w:space="0" w:color="auto"/>
              <w:left w:val="single" w:sz="4" w:space="0" w:color="auto"/>
              <w:bottom w:val="single" w:sz="4" w:space="0" w:color="auto"/>
              <w:right w:val="single" w:sz="4" w:space="0" w:color="auto"/>
            </w:tcBorders>
          </w:tcPr>
          <w:p w14:paraId="2511DD35" w14:textId="18F54FB6" w:rsidR="003F3EB4" w:rsidRPr="009B2D30" w:rsidRDefault="003F3EB4" w:rsidP="00A6125E">
            <w:pPr>
              <w:spacing w:before="60" w:after="60" w:line="276" w:lineRule="auto"/>
              <w:jc w:val="center"/>
              <w:rPr>
                <w:sz w:val="18"/>
                <w:szCs w:val="18"/>
              </w:rPr>
            </w:pPr>
            <w:r w:rsidRPr="009B2D30">
              <w:rPr>
                <w:sz w:val="18"/>
                <w:szCs w:val="18"/>
              </w:rPr>
              <w:t>£800,000</w:t>
            </w:r>
          </w:p>
        </w:tc>
        <w:tc>
          <w:tcPr>
            <w:tcW w:w="1275" w:type="dxa"/>
            <w:tcBorders>
              <w:top w:val="single" w:sz="4" w:space="0" w:color="auto"/>
              <w:left w:val="single" w:sz="4" w:space="0" w:color="auto"/>
              <w:bottom w:val="single" w:sz="4" w:space="0" w:color="auto"/>
              <w:right w:val="single" w:sz="4" w:space="0" w:color="auto"/>
            </w:tcBorders>
          </w:tcPr>
          <w:p w14:paraId="2772C3BA" w14:textId="77777777" w:rsidR="003F3EB4" w:rsidRPr="009B2D30" w:rsidRDefault="003F3EB4" w:rsidP="00D223C9">
            <w:pPr>
              <w:spacing w:before="60" w:after="60" w:line="276" w:lineRule="auto"/>
              <w:jc w:val="center"/>
              <w:rPr>
                <w:sz w:val="18"/>
                <w:szCs w:val="18"/>
              </w:rPr>
            </w:pPr>
            <w:r w:rsidRPr="009B2D30">
              <w:rPr>
                <w:sz w:val="18"/>
                <w:szCs w:val="18"/>
              </w:rPr>
              <w:t>£0 (review phase)</w:t>
            </w:r>
          </w:p>
        </w:tc>
        <w:tc>
          <w:tcPr>
            <w:tcW w:w="1134" w:type="dxa"/>
            <w:tcBorders>
              <w:top w:val="single" w:sz="4" w:space="0" w:color="auto"/>
              <w:left w:val="single" w:sz="4" w:space="0" w:color="auto"/>
              <w:bottom w:val="single" w:sz="4" w:space="0" w:color="auto"/>
              <w:right w:val="single" w:sz="4" w:space="0" w:color="auto"/>
            </w:tcBorders>
          </w:tcPr>
          <w:p w14:paraId="78CB8BFC" w14:textId="7BB89DAF" w:rsidR="003F3EB4" w:rsidRPr="009B2D30" w:rsidRDefault="00EB2D10" w:rsidP="00D223C9">
            <w:pPr>
              <w:spacing w:before="60" w:after="60" w:line="276" w:lineRule="auto"/>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9656435" w14:textId="7486392F" w:rsidR="003F3EB4" w:rsidRPr="009B2D30" w:rsidRDefault="00EB2D10" w:rsidP="00D223C9">
            <w:pPr>
              <w:spacing w:before="60" w:after="60" w:line="276" w:lineRule="auto"/>
              <w:jc w:val="center"/>
              <w:rPr>
                <w:sz w:val="18"/>
                <w:szCs w:val="18"/>
              </w:rPr>
            </w:pPr>
            <w:r>
              <w:rPr>
                <w:sz w:val="18"/>
                <w:szCs w:val="18"/>
              </w:rPr>
              <w:t>0</w:t>
            </w:r>
          </w:p>
        </w:tc>
        <w:tc>
          <w:tcPr>
            <w:tcW w:w="1418" w:type="dxa"/>
            <w:tcBorders>
              <w:top w:val="single" w:sz="4" w:space="0" w:color="auto"/>
              <w:left w:val="single" w:sz="4" w:space="0" w:color="auto"/>
              <w:bottom w:val="single" w:sz="4" w:space="0" w:color="auto"/>
              <w:right w:val="single" w:sz="4" w:space="0" w:color="auto"/>
            </w:tcBorders>
          </w:tcPr>
          <w:p w14:paraId="221DEBA4" w14:textId="77777777" w:rsidR="003F3EB4" w:rsidRPr="009B2D30" w:rsidRDefault="003F3EB4" w:rsidP="00A6125E">
            <w:pPr>
              <w:spacing w:before="60" w:after="60" w:line="276" w:lineRule="auto"/>
              <w:jc w:val="center"/>
              <w:rPr>
                <w:sz w:val="18"/>
                <w:szCs w:val="18"/>
              </w:rPr>
            </w:pPr>
            <w:r w:rsidRPr="009B2D30">
              <w:rPr>
                <w:rFonts w:ascii="Calibri" w:eastAsia="Times New Roman" w:hAnsi="Calibri"/>
                <w:i/>
                <w:color w:val="000000"/>
                <w:sz w:val="18"/>
                <w:szCs w:val="18"/>
              </w:rPr>
              <w:t>£48,524,000</w:t>
            </w:r>
          </w:p>
        </w:tc>
      </w:tr>
      <w:tr w:rsidR="00415B50" w14:paraId="1C0147B7" w14:textId="77777777" w:rsidTr="00EB2D10">
        <w:tc>
          <w:tcPr>
            <w:tcW w:w="959" w:type="dxa"/>
            <w:tcBorders>
              <w:right w:val="single" w:sz="18" w:space="0" w:color="auto"/>
            </w:tcBorders>
          </w:tcPr>
          <w:p w14:paraId="34D85BFE" w14:textId="77777777" w:rsidR="009B2D30" w:rsidRPr="009B2D30" w:rsidRDefault="009B2D30" w:rsidP="00A6125E">
            <w:pPr>
              <w:spacing w:before="60" w:after="60" w:line="276" w:lineRule="auto"/>
              <w:rPr>
                <w:sz w:val="18"/>
                <w:szCs w:val="18"/>
              </w:rPr>
            </w:pPr>
            <w:r w:rsidRPr="009B2D30">
              <w:rPr>
                <w:sz w:val="18"/>
                <w:szCs w:val="18"/>
              </w:rPr>
              <w:t>2019-2020</w:t>
            </w:r>
          </w:p>
        </w:tc>
        <w:tc>
          <w:tcPr>
            <w:tcW w:w="1134" w:type="dxa"/>
            <w:tcBorders>
              <w:left w:val="single" w:sz="18" w:space="0" w:color="auto"/>
            </w:tcBorders>
          </w:tcPr>
          <w:p w14:paraId="665B7AA6" w14:textId="66BC6937" w:rsidR="009B2D30" w:rsidRPr="009B2D30" w:rsidRDefault="009B2D30" w:rsidP="00A6125E">
            <w:pPr>
              <w:spacing w:before="60" w:after="60" w:line="276" w:lineRule="auto"/>
              <w:jc w:val="center"/>
              <w:rPr>
                <w:sz w:val="18"/>
                <w:szCs w:val="18"/>
              </w:rPr>
            </w:pPr>
            <w:r w:rsidRPr="009B2D30">
              <w:rPr>
                <w:rFonts w:ascii="Calibri" w:eastAsia="Times New Roman" w:hAnsi="Calibri"/>
                <w:b/>
                <w:color w:val="000000"/>
                <w:sz w:val="18"/>
                <w:szCs w:val="18"/>
              </w:rPr>
              <w:t>£52,442,274</w:t>
            </w:r>
          </w:p>
        </w:tc>
        <w:tc>
          <w:tcPr>
            <w:tcW w:w="1417" w:type="dxa"/>
          </w:tcPr>
          <w:p w14:paraId="47856EDB" w14:textId="653AEA1C" w:rsidR="009B2D30" w:rsidRPr="009B2D30" w:rsidRDefault="009B736E" w:rsidP="00A6125E">
            <w:pPr>
              <w:spacing w:before="60" w:after="60" w:line="276" w:lineRule="auto"/>
              <w:jc w:val="center"/>
              <w:rPr>
                <w:sz w:val="18"/>
                <w:szCs w:val="18"/>
              </w:rPr>
            </w:pPr>
            <w:r>
              <w:rPr>
                <w:sz w:val="18"/>
                <w:szCs w:val="18"/>
              </w:rPr>
              <w:t>£3,495,274</w:t>
            </w:r>
          </w:p>
        </w:tc>
        <w:tc>
          <w:tcPr>
            <w:tcW w:w="1276" w:type="dxa"/>
            <w:tcBorders>
              <w:top w:val="single" w:sz="6" w:space="0" w:color="auto"/>
              <w:bottom w:val="single" w:sz="6" w:space="0" w:color="auto"/>
              <w:right w:val="single" w:sz="18" w:space="0" w:color="auto"/>
            </w:tcBorders>
          </w:tcPr>
          <w:p w14:paraId="6B4DECAC" w14:textId="6DD2B562" w:rsidR="009B2D30" w:rsidRPr="009B2D30" w:rsidRDefault="009B2D30" w:rsidP="00A6125E">
            <w:pPr>
              <w:spacing w:before="60" w:after="60" w:line="276" w:lineRule="auto"/>
              <w:jc w:val="center"/>
              <w:rPr>
                <w:sz w:val="18"/>
                <w:szCs w:val="18"/>
              </w:rPr>
            </w:pPr>
            <w:r w:rsidRPr="009B2D30">
              <w:rPr>
                <w:sz w:val="18"/>
                <w:szCs w:val="18"/>
              </w:rPr>
              <w:t>£4,374,133</w:t>
            </w:r>
          </w:p>
        </w:tc>
        <w:tc>
          <w:tcPr>
            <w:tcW w:w="1558" w:type="dxa"/>
            <w:tcBorders>
              <w:right w:val="single" w:sz="4" w:space="0" w:color="auto"/>
            </w:tcBorders>
          </w:tcPr>
          <w:p w14:paraId="657C8449" w14:textId="76FEEAED" w:rsidR="009B2D30" w:rsidRPr="009B2D30" w:rsidRDefault="009B2D30" w:rsidP="00A6125E">
            <w:pPr>
              <w:spacing w:before="60" w:after="60" w:line="276" w:lineRule="auto"/>
              <w:jc w:val="center"/>
              <w:rPr>
                <w:sz w:val="18"/>
                <w:szCs w:val="18"/>
              </w:rPr>
            </w:pPr>
            <w:r w:rsidRPr="009B2D30">
              <w:rPr>
                <w:rFonts w:ascii="Calibri" w:eastAsia="Times New Roman" w:hAnsi="Calibri"/>
                <w:b/>
                <w:color w:val="000000"/>
                <w:sz w:val="18"/>
                <w:szCs w:val="18"/>
              </w:rPr>
              <w:t>£51,623,143</w:t>
            </w:r>
          </w:p>
        </w:tc>
        <w:tc>
          <w:tcPr>
            <w:tcW w:w="1275" w:type="dxa"/>
            <w:tcBorders>
              <w:top w:val="single" w:sz="4" w:space="0" w:color="auto"/>
              <w:left w:val="single" w:sz="4" w:space="0" w:color="auto"/>
              <w:right w:val="single" w:sz="18" w:space="0" w:color="auto"/>
            </w:tcBorders>
          </w:tcPr>
          <w:p w14:paraId="12F1E3CC" w14:textId="4EF9F017" w:rsidR="009B2D30" w:rsidRPr="009B2D30" w:rsidRDefault="009B2D30" w:rsidP="00A6125E">
            <w:pPr>
              <w:spacing w:before="60" w:after="60" w:line="276" w:lineRule="auto"/>
              <w:jc w:val="center"/>
              <w:rPr>
                <w:sz w:val="18"/>
                <w:szCs w:val="18"/>
              </w:rPr>
            </w:pPr>
            <w:r w:rsidRPr="009B2D30">
              <w:rPr>
                <w:sz w:val="18"/>
                <w:szCs w:val="18"/>
              </w:rPr>
              <w:t>£3,555,002</w:t>
            </w:r>
          </w:p>
        </w:tc>
        <w:tc>
          <w:tcPr>
            <w:tcW w:w="1580" w:type="dxa"/>
            <w:tcBorders>
              <w:top w:val="single" w:sz="4" w:space="0" w:color="auto"/>
              <w:left w:val="single" w:sz="18" w:space="0" w:color="auto"/>
              <w:right w:val="single" w:sz="4" w:space="0" w:color="auto"/>
            </w:tcBorders>
          </w:tcPr>
          <w:p w14:paraId="469521CC" w14:textId="2CC942C0" w:rsidR="009B2D30" w:rsidRPr="009B2D30" w:rsidRDefault="009B2D30" w:rsidP="00A6125E">
            <w:pPr>
              <w:spacing w:before="60" w:after="60" w:line="276" w:lineRule="auto"/>
              <w:jc w:val="center"/>
              <w:rPr>
                <w:sz w:val="18"/>
                <w:szCs w:val="18"/>
              </w:rPr>
            </w:pPr>
            <w:r w:rsidRPr="009B2D30">
              <w:rPr>
                <w:b/>
                <w:sz w:val="18"/>
                <w:szCs w:val="18"/>
              </w:rPr>
              <w:t>£49,473,143</w:t>
            </w:r>
          </w:p>
        </w:tc>
        <w:tc>
          <w:tcPr>
            <w:tcW w:w="1114" w:type="dxa"/>
            <w:tcBorders>
              <w:top w:val="single" w:sz="4" w:space="0" w:color="auto"/>
              <w:left w:val="single" w:sz="4" w:space="0" w:color="auto"/>
            </w:tcBorders>
          </w:tcPr>
          <w:p w14:paraId="380BB31F" w14:textId="0D6A6AF0" w:rsidR="009B2D30" w:rsidRPr="009B2D30" w:rsidRDefault="009B2D30" w:rsidP="00A6125E">
            <w:pPr>
              <w:spacing w:before="60" w:after="60" w:line="276" w:lineRule="auto"/>
              <w:jc w:val="center"/>
              <w:rPr>
                <w:sz w:val="18"/>
                <w:szCs w:val="18"/>
              </w:rPr>
            </w:pPr>
            <w:r w:rsidRPr="009B2D30">
              <w:rPr>
                <w:sz w:val="18"/>
                <w:szCs w:val="18"/>
              </w:rPr>
              <w:t>£1,800,000</w:t>
            </w:r>
          </w:p>
        </w:tc>
        <w:tc>
          <w:tcPr>
            <w:tcW w:w="1275" w:type="dxa"/>
            <w:tcBorders>
              <w:top w:val="single" w:sz="4" w:space="0" w:color="auto"/>
            </w:tcBorders>
          </w:tcPr>
          <w:p w14:paraId="33E37E62" w14:textId="77777777" w:rsidR="009B2D30" w:rsidRPr="009B2D30" w:rsidRDefault="009B2D30" w:rsidP="00A6125E">
            <w:pPr>
              <w:spacing w:before="60" w:after="60" w:line="276" w:lineRule="auto"/>
              <w:jc w:val="center"/>
              <w:rPr>
                <w:sz w:val="18"/>
                <w:szCs w:val="18"/>
              </w:rPr>
            </w:pPr>
            <w:r w:rsidRPr="009B2D30">
              <w:rPr>
                <w:sz w:val="18"/>
                <w:szCs w:val="18"/>
              </w:rPr>
              <w:t>£250,000</w:t>
            </w:r>
          </w:p>
        </w:tc>
        <w:tc>
          <w:tcPr>
            <w:tcW w:w="1134" w:type="dxa"/>
            <w:tcBorders>
              <w:top w:val="single" w:sz="4" w:space="0" w:color="auto"/>
            </w:tcBorders>
          </w:tcPr>
          <w:p w14:paraId="39745270" w14:textId="77777777" w:rsidR="009B2D30" w:rsidRPr="009B2D30" w:rsidRDefault="009B2D30" w:rsidP="00A6125E">
            <w:pPr>
              <w:spacing w:before="60" w:after="60" w:line="276" w:lineRule="auto"/>
              <w:jc w:val="center"/>
              <w:rPr>
                <w:sz w:val="18"/>
                <w:szCs w:val="18"/>
              </w:rPr>
            </w:pPr>
            <w:r w:rsidRPr="009B2D30">
              <w:rPr>
                <w:sz w:val="18"/>
                <w:szCs w:val="18"/>
              </w:rPr>
              <w:t>£750,000</w:t>
            </w:r>
          </w:p>
        </w:tc>
        <w:tc>
          <w:tcPr>
            <w:tcW w:w="1276" w:type="dxa"/>
            <w:tcBorders>
              <w:top w:val="single" w:sz="4" w:space="0" w:color="auto"/>
              <w:right w:val="single" w:sz="18" w:space="0" w:color="auto"/>
            </w:tcBorders>
          </w:tcPr>
          <w:p w14:paraId="3E8B6E8D" w14:textId="77777777" w:rsidR="009B2D30" w:rsidRPr="009B2D30" w:rsidRDefault="009B2D30" w:rsidP="00A6125E">
            <w:pPr>
              <w:spacing w:before="60" w:after="60" w:line="276" w:lineRule="auto"/>
              <w:jc w:val="center"/>
              <w:rPr>
                <w:sz w:val="18"/>
                <w:szCs w:val="18"/>
              </w:rPr>
            </w:pPr>
            <w:r w:rsidRPr="009B2D30">
              <w:rPr>
                <w:sz w:val="18"/>
                <w:szCs w:val="18"/>
              </w:rPr>
              <w:t>£650,000</w:t>
            </w:r>
          </w:p>
        </w:tc>
        <w:tc>
          <w:tcPr>
            <w:tcW w:w="1418" w:type="dxa"/>
            <w:tcBorders>
              <w:top w:val="single" w:sz="4" w:space="0" w:color="auto"/>
              <w:left w:val="single" w:sz="18" w:space="0" w:color="auto"/>
              <w:right w:val="single" w:sz="18" w:space="0" w:color="auto"/>
            </w:tcBorders>
          </w:tcPr>
          <w:p w14:paraId="1D9298EC" w14:textId="77777777" w:rsidR="009B2D30" w:rsidRPr="009B2D30" w:rsidRDefault="009B2D30" w:rsidP="00A6125E">
            <w:pPr>
              <w:spacing w:before="60" w:after="60" w:line="276" w:lineRule="auto"/>
              <w:jc w:val="center"/>
              <w:rPr>
                <w:sz w:val="18"/>
                <w:szCs w:val="18"/>
              </w:rPr>
            </w:pPr>
            <w:r w:rsidRPr="009B2D30">
              <w:rPr>
                <w:rFonts w:ascii="Calibri" w:eastAsia="Times New Roman" w:hAnsi="Calibri"/>
                <w:i/>
                <w:color w:val="000000"/>
                <w:sz w:val="18"/>
                <w:szCs w:val="18"/>
              </w:rPr>
              <w:t>£48,974,000</w:t>
            </w:r>
          </w:p>
        </w:tc>
      </w:tr>
      <w:tr w:rsidR="00415B50" w14:paraId="7F21073E" w14:textId="77777777" w:rsidTr="00EB2D10">
        <w:tc>
          <w:tcPr>
            <w:tcW w:w="959" w:type="dxa"/>
            <w:tcBorders>
              <w:right w:val="single" w:sz="18" w:space="0" w:color="auto"/>
            </w:tcBorders>
          </w:tcPr>
          <w:p w14:paraId="7828F0DF" w14:textId="77777777" w:rsidR="009B2D30" w:rsidRPr="009B2D30" w:rsidRDefault="009B2D30" w:rsidP="00A6125E">
            <w:pPr>
              <w:spacing w:before="60" w:after="60" w:line="276" w:lineRule="auto"/>
              <w:rPr>
                <w:sz w:val="18"/>
                <w:szCs w:val="18"/>
              </w:rPr>
            </w:pPr>
            <w:r w:rsidRPr="009B2D30">
              <w:rPr>
                <w:sz w:val="18"/>
                <w:szCs w:val="18"/>
              </w:rPr>
              <w:t>2020-2021</w:t>
            </w:r>
          </w:p>
        </w:tc>
        <w:tc>
          <w:tcPr>
            <w:tcW w:w="1134" w:type="dxa"/>
            <w:tcBorders>
              <w:left w:val="single" w:sz="18" w:space="0" w:color="auto"/>
              <w:bottom w:val="single" w:sz="18" w:space="0" w:color="auto"/>
            </w:tcBorders>
          </w:tcPr>
          <w:p w14:paraId="024CCAD2" w14:textId="651D4CA1" w:rsidR="009B2D30" w:rsidRPr="009B2D30" w:rsidRDefault="009B2D30" w:rsidP="00A6125E">
            <w:pPr>
              <w:spacing w:before="60" w:after="60" w:line="276" w:lineRule="auto"/>
              <w:jc w:val="center"/>
              <w:rPr>
                <w:sz w:val="18"/>
                <w:szCs w:val="18"/>
              </w:rPr>
            </w:pPr>
            <w:r w:rsidRPr="009B2D30">
              <w:rPr>
                <w:rFonts w:ascii="Calibri" w:eastAsia="Times New Roman" w:hAnsi="Calibri"/>
                <w:b/>
                <w:color w:val="000000"/>
                <w:sz w:val="18"/>
                <w:szCs w:val="18"/>
              </w:rPr>
              <w:t>£54,402,082</w:t>
            </w:r>
          </w:p>
        </w:tc>
        <w:tc>
          <w:tcPr>
            <w:tcW w:w="1417" w:type="dxa"/>
            <w:tcBorders>
              <w:bottom w:val="single" w:sz="18" w:space="0" w:color="auto"/>
            </w:tcBorders>
          </w:tcPr>
          <w:p w14:paraId="7E705353" w14:textId="20341FFF" w:rsidR="009B2D30" w:rsidRPr="009B2D30" w:rsidRDefault="009B736E" w:rsidP="00A6125E">
            <w:pPr>
              <w:spacing w:before="60" w:after="60" w:line="276" w:lineRule="auto"/>
              <w:jc w:val="center"/>
              <w:rPr>
                <w:sz w:val="18"/>
                <w:szCs w:val="18"/>
              </w:rPr>
            </w:pPr>
            <w:r>
              <w:rPr>
                <w:sz w:val="18"/>
                <w:szCs w:val="18"/>
              </w:rPr>
              <w:t>£5,002,082</w:t>
            </w:r>
          </w:p>
        </w:tc>
        <w:tc>
          <w:tcPr>
            <w:tcW w:w="1276" w:type="dxa"/>
            <w:tcBorders>
              <w:top w:val="single" w:sz="6" w:space="0" w:color="auto"/>
              <w:bottom w:val="single" w:sz="18" w:space="0" w:color="auto"/>
              <w:right w:val="single" w:sz="18" w:space="0" w:color="auto"/>
            </w:tcBorders>
          </w:tcPr>
          <w:p w14:paraId="55ADA075" w14:textId="64FAA3F1" w:rsidR="009B2D30" w:rsidRPr="009B2D30" w:rsidRDefault="009B2D30" w:rsidP="00A6125E">
            <w:pPr>
              <w:spacing w:before="60" w:after="60" w:line="276" w:lineRule="auto"/>
              <w:jc w:val="center"/>
              <w:rPr>
                <w:sz w:val="18"/>
                <w:szCs w:val="18"/>
              </w:rPr>
            </w:pPr>
            <w:r w:rsidRPr="009B2D30">
              <w:rPr>
                <w:sz w:val="18"/>
                <w:szCs w:val="18"/>
              </w:rPr>
              <w:t>£6,333,941</w:t>
            </w:r>
          </w:p>
        </w:tc>
        <w:tc>
          <w:tcPr>
            <w:tcW w:w="1558" w:type="dxa"/>
            <w:tcBorders>
              <w:bottom w:val="single" w:sz="18" w:space="0" w:color="auto"/>
              <w:right w:val="single" w:sz="4" w:space="0" w:color="auto"/>
            </w:tcBorders>
          </w:tcPr>
          <w:p w14:paraId="1545A654" w14:textId="2C8790A4" w:rsidR="009B2D30" w:rsidRPr="009B2D30" w:rsidRDefault="009B2D30" w:rsidP="00A6125E">
            <w:pPr>
              <w:spacing w:before="60" w:after="60" w:line="276" w:lineRule="auto"/>
              <w:jc w:val="center"/>
              <w:rPr>
                <w:sz w:val="18"/>
                <w:szCs w:val="18"/>
              </w:rPr>
            </w:pPr>
            <w:r w:rsidRPr="009B2D30">
              <w:rPr>
                <w:rFonts w:ascii="Calibri" w:eastAsia="Times New Roman" w:hAnsi="Calibri"/>
                <w:b/>
                <w:color w:val="000000"/>
                <w:sz w:val="18"/>
                <w:szCs w:val="18"/>
              </w:rPr>
              <w:t>£52,382,770</w:t>
            </w:r>
          </w:p>
        </w:tc>
        <w:tc>
          <w:tcPr>
            <w:tcW w:w="1275" w:type="dxa"/>
            <w:tcBorders>
              <w:left w:val="single" w:sz="4" w:space="0" w:color="auto"/>
              <w:bottom w:val="single" w:sz="18" w:space="0" w:color="auto"/>
              <w:right w:val="single" w:sz="18" w:space="0" w:color="auto"/>
            </w:tcBorders>
          </w:tcPr>
          <w:p w14:paraId="4F07DA46" w14:textId="74EBCDDE" w:rsidR="009B2D30" w:rsidRPr="009B2D30" w:rsidRDefault="009B2D30" w:rsidP="00A6125E">
            <w:pPr>
              <w:spacing w:before="60" w:after="60" w:line="276" w:lineRule="auto"/>
              <w:jc w:val="center"/>
              <w:rPr>
                <w:sz w:val="18"/>
                <w:szCs w:val="18"/>
              </w:rPr>
            </w:pPr>
            <w:r w:rsidRPr="009B2D30">
              <w:rPr>
                <w:sz w:val="18"/>
                <w:szCs w:val="18"/>
              </w:rPr>
              <w:t>£4,314,629</w:t>
            </w:r>
          </w:p>
        </w:tc>
        <w:tc>
          <w:tcPr>
            <w:tcW w:w="1580" w:type="dxa"/>
            <w:tcBorders>
              <w:left w:val="single" w:sz="18" w:space="0" w:color="auto"/>
              <w:bottom w:val="single" w:sz="18" w:space="0" w:color="auto"/>
              <w:right w:val="single" w:sz="4" w:space="0" w:color="auto"/>
            </w:tcBorders>
          </w:tcPr>
          <w:p w14:paraId="11E22635" w14:textId="401290AD" w:rsidR="009B2D30" w:rsidRPr="009B2D30" w:rsidRDefault="009B2D30" w:rsidP="00A6125E">
            <w:pPr>
              <w:spacing w:before="60" w:after="60" w:line="276" w:lineRule="auto"/>
              <w:jc w:val="center"/>
              <w:rPr>
                <w:sz w:val="18"/>
                <w:szCs w:val="18"/>
              </w:rPr>
            </w:pPr>
            <w:r w:rsidRPr="009B2D30">
              <w:rPr>
                <w:b/>
                <w:sz w:val="18"/>
                <w:szCs w:val="18"/>
              </w:rPr>
              <w:t>£48,882,770</w:t>
            </w:r>
          </w:p>
        </w:tc>
        <w:tc>
          <w:tcPr>
            <w:tcW w:w="1114" w:type="dxa"/>
            <w:tcBorders>
              <w:left w:val="single" w:sz="4" w:space="0" w:color="auto"/>
              <w:bottom w:val="single" w:sz="18" w:space="0" w:color="auto"/>
            </w:tcBorders>
          </w:tcPr>
          <w:p w14:paraId="6A2A6718" w14:textId="623E7A2E" w:rsidR="009B2D30" w:rsidRPr="009B2D30" w:rsidRDefault="009B2D30" w:rsidP="00A6125E">
            <w:pPr>
              <w:spacing w:before="60" w:after="60" w:line="276" w:lineRule="auto"/>
              <w:jc w:val="center"/>
              <w:rPr>
                <w:sz w:val="18"/>
                <w:szCs w:val="18"/>
              </w:rPr>
            </w:pPr>
            <w:r w:rsidRPr="009B2D30">
              <w:rPr>
                <w:sz w:val="18"/>
                <w:szCs w:val="18"/>
              </w:rPr>
              <w:t>£2,800,000</w:t>
            </w:r>
          </w:p>
        </w:tc>
        <w:tc>
          <w:tcPr>
            <w:tcW w:w="1275" w:type="dxa"/>
            <w:tcBorders>
              <w:bottom w:val="single" w:sz="18" w:space="0" w:color="auto"/>
            </w:tcBorders>
          </w:tcPr>
          <w:p w14:paraId="77C1FA07" w14:textId="77777777" w:rsidR="009B2D30" w:rsidRPr="009B2D30" w:rsidRDefault="009B2D30" w:rsidP="00A6125E">
            <w:pPr>
              <w:spacing w:before="60" w:after="60" w:line="276" w:lineRule="auto"/>
              <w:jc w:val="center"/>
              <w:rPr>
                <w:sz w:val="18"/>
                <w:szCs w:val="18"/>
              </w:rPr>
            </w:pPr>
            <w:r w:rsidRPr="009B2D30">
              <w:rPr>
                <w:sz w:val="18"/>
                <w:szCs w:val="18"/>
              </w:rPr>
              <w:t>£500,000</w:t>
            </w:r>
          </w:p>
        </w:tc>
        <w:tc>
          <w:tcPr>
            <w:tcW w:w="1134" w:type="dxa"/>
            <w:tcBorders>
              <w:bottom w:val="single" w:sz="18" w:space="0" w:color="auto"/>
            </w:tcBorders>
          </w:tcPr>
          <w:p w14:paraId="67A1D77A" w14:textId="77777777" w:rsidR="009B2D30" w:rsidRPr="009B2D30" w:rsidRDefault="009B2D30" w:rsidP="00A6125E">
            <w:pPr>
              <w:spacing w:before="60" w:after="60" w:line="276" w:lineRule="auto"/>
              <w:jc w:val="center"/>
              <w:rPr>
                <w:sz w:val="18"/>
                <w:szCs w:val="18"/>
              </w:rPr>
            </w:pPr>
            <w:r w:rsidRPr="009B2D30">
              <w:rPr>
                <w:sz w:val="18"/>
                <w:szCs w:val="18"/>
              </w:rPr>
              <w:t>£1,100,000</w:t>
            </w:r>
          </w:p>
        </w:tc>
        <w:tc>
          <w:tcPr>
            <w:tcW w:w="1276" w:type="dxa"/>
            <w:tcBorders>
              <w:bottom w:val="single" w:sz="18" w:space="0" w:color="auto"/>
              <w:right w:val="single" w:sz="18" w:space="0" w:color="auto"/>
            </w:tcBorders>
          </w:tcPr>
          <w:p w14:paraId="46D443C1" w14:textId="77777777" w:rsidR="009B2D30" w:rsidRPr="009B2D30" w:rsidRDefault="009B2D30" w:rsidP="00A6125E">
            <w:pPr>
              <w:spacing w:before="60" w:after="60" w:line="276" w:lineRule="auto"/>
              <w:jc w:val="center"/>
              <w:rPr>
                <w:sz w:val="18"/>
                <w:szCs w:val="18"/>
              </w:rPr>
            </w:pPr>
            <w:r w:rsidRPr="009B2D30">
              <w:rPr>
                <w:sz w:val="18"/>
                <w:szCs w:val="18"/>
              </w:rPr>
              <w:t>£900,000</w:t>
            </w:r>
          </w:p>
        </w:tc>
        <w:tc>
          <w:tcPr>
            <w:tcW w:w="1418" w:type="dxa"/>
            <w:tcBorders>
              <w:left w:val="single" w:sz="18" w:space="0" w:color="auto"/>
              <w:bottom w:val="single" w:sz="18" w:space="0" w:color="auto"/>
              <w:right w:val="single" w:sz="18" w:space="0" w:color="auto"/>
            </w:tcBorders>
          </w:tcPr>
          <w:p w14:paraId="7A6B3D71" w14:textId="77777777" w:rsidR="009B2D30" w:rsidRPr="009B2D30" w:rsidRDefault="009B2D30" w:rsidP="00A6125E">
            <w:pPr>
              <w:spacing w:before="60" w:after="60" w:line="276" w:lineRule="auto"/>
              <w:jc w:val="center"/>
              <w:rPr>
                <w:sz w:val="18"/>
                <w:szCs w:val="18"/>
              </w:rPr>
            </w:pPr>
            <w:r w:rsidRPr="009B2D30">
              <w:rPr>
                <w:rFonts w:ascii="Calibri" w:eastAsia="Times New Roman" w:hAnsi="Calibri"/>
                <w:i/>
                <w:color w:val="000000"/>
                <w:sz w:val="18"/>
                <w:szCs w:val="18"/>
              </w:rPr>
              <w:t>£49,400,000</w:t>
            </w:r>
          </w:p>
        </w:tc>
      </w:tr>
    </w:tbl>
    <w:p w14:paraId="675BB6A8" w14:textId="77777777" w:rsidR="005B3016" w:rsidRDefault="005B3016" w:rsidP="00906F50">
      <w:pPr>
        <w:spacing w:before="60" w:after="60" w:line="276" w:lineRule="auto"/>
        <w:sectPr w:rsidR="005B3016" w:rsidSect="00C3225A">
          <w:pgSz w:w="16817" w:h="11901" w:orient="landscape"/>
          <w:pgMar w:top="1191" w:right="1304" w:bottom="1191" w:left="1304" w:header="720" w:footer="720" w:gutter="0"/>
          <w:cols w:space="720"/>
          <w:docGrid w:linePitch="360"/>
        </w:sectPr>
      </w:pPr>
    </w:p>
    <w:p w14:paraId="526C8FF3" w14:textId="4D3F735F" w:rsidR="00906F50" w:rsidRPr="00022960" w:rsidRDefault="00022960" w:rsidP="00022960">
      <w:pPr>
        <w:spacing w:before="60" w:after="60" w:line="276" w:lineRule="auto"/>
        <w:rPr>
          <w:b/>
        </w:rPr>
      </w:pPr>
      <w:r>
        <w:rPr>
          <w:b/>
        </w:rPr>
        <w:lastRenderedPageBreak/>
        <w:t>3.</w:t>
      </w:r>
      <w:r w:rsidR="00415B50">
        <w:rPr>
          <w:b/>
        </w:rPr>
        <w:t xml:space="preserve"> </w:t>
      </w:r>
      <w:r w:rsidR="00C3225A" w:rsidRPr="00022960">
        <w:rPr>
          <w:b/>
        </w:rPr>
        <w:t>PROPOSALS FOR 2018-20</w:t>
      </w:r>
    </w:p>
    <w:p w14:paraId="312C25E2" w14:textId="0C9F9983" w:rsidR="001173BD" w:rsidRDefault="00022960" w:rsidP="001173BD">
      <w:pPr>
        <w:pStyle w:val="ListParagraph"/>
        <w:spacing w:before="60" w:after="120" w:line="276" w:lineRule="auto"/>
        <w:ind w:left="788"/>
        <w:contextualSpacing w:val="0"/>
      </w:pPr>
      <w:r>
        <w:t>3.1</w:t>
      </w:r>
      <w:r w:rsidR="001173BD">
        <w:t xml:space="preserve"> The numbers of pupils in </w:t>
      </w:r>
      <w:r w:rsidR="00A90998">
        <w:t>Tower Hamlets</w:t>
      </w:r>
      <w:r w:rsidR="001173BD">
        <w:t xml:space="preserve"> are increasing and therefore we can expect the number of pupils with SEN</w:t>
      </w:r>
      <w:r w:rsidR="00A90998">
        <w:t>D</w:t>
      </w:r>
      <w:r w:rsidR="001173BD">
        <w:t xml:space="preserve"> to also increase</w:t>
      </w:r>
      <w:r w:rsidR="00995F4E">
        <w:t xml:space="preserve">. Whilst </w:t>
      </w:r>
      <w:r w:rsidR="00A90998">
        <w:t>work is underway</w:t>
      </w:r>
      <w:r w:rsidR="00995F4E">
        <w:t xml:space="preserve"> to reduce the annual increase in EHC</w:t>
      </w:r>
      <w:r w:rsidR="00A90998">
        <w:t xml:space="preserve"> plan</w:t>
      </w:r>
      <w:r w:rsidR="00995F4E">
        <w:t xml:space="preserve">s through a variety of means, </w:t>
      </w:r>
      <w:r w:rsidR="00A90998">
        <w:t xml:space="preserve">projections </w:t>
      </w:r>
      <w:r w:rsidR="00995F4E">
        <w:t xml:space="preserve">commissioned by the council from a specialist company that looked at </w:t>
      </w:r>
      <w:r w:rsidR="00A90998">
        <w:t xml:space="preserve">the </w:t>
      </w:r>
      <w:r w:rsidR="001173BD">
        <w:t xml:space="preserve">overall </w:t>
      </w:r>
      <w:r w:rsidR="00A90998">
        <w:t xml:space="preserve">pupil </w:t>
      </w:r>
      <w:r w:rsidR="001173BD">
        <w:t xml:space="preserve">population and specific, SEND </w:t>
      </w:r>
      <w:r w:rsidR="00A90998">
        <w:t>populations</w:t>
      </w:r>
      <w:r w:rsidR="001173BD">
        <w:t xml:space="preserve">, </w:t>
      </w:r>
      <w:r w:rsidR="00995F4E">
        <w:t xml:space="preserve">showed </w:t>
      </w:r>
      <w:r w:rsidR="001173BD">
        <w:t>the need for more capacity within local special schools</w:t>
      </w:r>
      <w:r w:rsidR="00995F4E">
        <w:t xml:space="preserve">. </w:t>
      </w:r>
      <w:r w:rsidR="001173BD">
        <w:t>The proposal is to have 60 more places available from Sept 2019 and a further 60 from Sept 2021</w:t>
      </w:r>
      <w:r w:rsidR="00995F4E">
        <w:t xml:space="preserve"> to minimise the need for pupils to be placed in out of borough placements. </w:t>
      </w:r>
      <w:r w:rsidR="001173BD">
        <w:t>The cost of top-up and place payments for these children is included in the financial estimates in Table 1 and a capital grant of £3.54 million has been secured to support changes to school buildings.</w:t>
      </w:r>
    </w:p>
    <w:p w14:paraId="02B18244" w14:textId="6B38959B" w:rsidR="005B3016" w:rsidRDefault="00995F4E" w:rsidP="00022960">
      <w:pPr>
        <w:spacing w:before="60" w:after="120" w:line="276" w:lineRule="auto"/>
        <w:ind w:left="710"/>
      </w:pPr>
      <w:r>
        <w:t xml:space="preserve">3.2 </w:t>
      </w:r>
      <w:r w:rsidR="00415B50">
        <w:t xml:space="preserve">The </w:t>
      </w:r>
      <w:r w:rsidR="00A90998">
        <w:t xml:space="preserve">local authority </w:t>
      </w:r>
      <w:r w:rsidR="00415B50">
        <w:t xml:space="preserve">currently retains </w:t>
      </w:r>
      <w:r w:rsidR="005B3016">
        <w:t>£4.</w:t>
      </w:r>
      <w:r w:rsidR="00FF5522">
        <w:t xml:space="preserve">791 million </w:t>
      </w:r>
      <w:r w:rsidR="00415B50">
        <w:t xml:space="preserve">of the HNFB which contributes to the Support for Learning Service, the SEN team and the Educational Psychology Service. Some of this funding has to be retained to ensure the </w:t>
      </w:r>
      <w:r w:rsidR="00A90998">
        <w:t xml:space="preserve">local authority </w:t>
      </w:r>
      <w:r w:rsidR="00415B50">
        <w:t>can fulfil statutory requirement</w:t>
      </w:r>
      <w:r w:rsidR="00A90998">
        <w:t>s,</w:t>
      </w:r>
      <w:r w:rsidR="00415B50">
        <w:t xml:space="preserve"> but it is proposed to reduce the retained amount to</w:t>
      </w:r>
      <w:r w:rsidR="00FF5522">
        <w:t xml:space="preserve"> </w:t>
      </w:r>
      <w:r w:rsidR="00415B50">
        <w:t>circa</w:t>
      </w:r>
      <w:r w:rsidR="00FF5522">
        <w:t xml:space="preserve"> £1.990 million by 2021. </w:t>
      </w:r>
      <w:r w:rsidR="00243355">
        <w:t xml:space="preserve">It is </w:t>
      </w:r>
      <w:r w:rsidR="00415B50">
        <w:t xml:space="preserve">anticipated this can be achieved </w:t>
      </w:r>
      <w:proofErr w:type="gramStart"/>
      <w:r w:rsidR="00415B50">
        <w:t xml:space="preserve">through </w:t>
      </w:r>
      <w:r w:rsidR="002F7E54">
        <w:t xml:space="preserve"> scrutinising</w:t>
      </w:r>
      <w:proofErr w:type="gramEnd"/>
      <w:r w:rsidR="002F7E54">
        <w:t xml:space="preserve"> expenditure to remove certain, ‘historic’ spending and to increasingly move services to being bought-in by schools to support their pupils with SEND</w:t>
      </w:r>
      <w:r w:rsidR="001173BD">
        <w:t xml:space="preserve"> through Service Level Agreements</w:t>
      </w:r>
      <w:r w:rsidR="002F7E54">
        <w:t>.</w:t>
      </w:r>
    </w:p>
    <w:p w14:paraId="148B6125" w14:textId="5FD2AF11" w:rsidR="002F7E54" w:rsidRDefault="00022960" w:rsidP="00022960">
      <w:pPr>
        <w:spacing w:before="60" w:after="120" w:line="276" w:lineRule="auto"/>
        <w:ind w:left="710"/>
      </w:pPr>
      <w:r>
        <w:t>3.</w:t>
      </w:r>
      <w:r w:rsidR="00995F4E">
        <w:t>3</w:t>
      </w:r>
      <w:r>
        <w:t xml:space="preserve"> </w:t>
      </w:r>
      <w:r w:rsidR="001173BD">
        <w:t xml:space="preserve">The </w:t>
      </w:r>
      <w:r w:rsidR="003C3A77">
        <w:t xml:space="preserve">local authority </w:t>
      </w:r>
      <w:r w:rsidR="001173BD">
        <w:t xml:space="preserve">currently </w:t>
      </w:r>
      <w:r w:rsidR="003C3A77">
        <w:t>supports</w:t>
      </w:r>
      <w:r w:rsidR="001173BD">
        <w:t xml:space="preserve"> resource bases </w:t>
      </w:r>
      <w:r w:rsidR="00C10949">
        <w:t xml:space="preserve">in seven mainstream schools </w:t>
      </w:r>
      <w:r w:rsidR="001173BD">
        <w:t xml:space="preserve">with a significant variation in the level of </w:t>
      </w:r>
      <w:r w:rsidR="00C10949">
        <w:t xml:space="preserve">per pupil </w:t>
      </w:r>
      <w:r w:rsidR="001173BD">
        <w:t>funding between them. It is proposed t</w:t>
      </w:r>
      <w:r w:rsidR="002F7E54">
        <w:t>o undertak</w:t>
      </w:r>
      <w:r w:rsidR="00571785">
        <w:t xml:space="preserve">e a review of the </w:t>
      </w:r>
      <w:r w:rsidR="00172627">
        <w:t xml:space="preserve">funding for </w:t>
      </w:r>
      <w:r w:rsidR="00571785">
        <w:t>resource bases</w:t>
      </w:r>
      <w:r w:rsidR="00172627">
        <w:t xml:space="preserve"> with</w:t>
      </w:r>
      <w:r w:rsidR="002F7E54">
        <w:t xml:space="preserve"> local headteachers. The aim is to achieve parity of funding </w:t>
      </w:r>
      <w:r w:rsidR="00571785">
        <w:t>between</w:t>
      </w:r>
      <w:r w:rsidR="002F7E54">
        <w:t xml:space="preserve"> resource bases and to develop a process to </w:t>
      </w:r>
      <w:r w:rsidR="00571785">
        <w:t>better</w:t>
      </w:r>
      <w:r w:rsidR="002F7E54">
        <w:t xml:space="preserve"> align </w:t>
      </w:r>
      <w:r w:rsidR="008F24E6">
        <w:t>the</w:t>
      </w:r>
      <w:r w:rsidR="001173BD">
        <w:t xml:space="preserve"> provision </w:t>
      </w:r>
      <w:r w:rsidR="002F7E54">
        <w:t xml:space="preserve">to </w:t>
      </w:r>
      <w:r w:rsidR="001173BD">
        <w:t xml:space="preserve">evidence of </w:t>
      </w:r>
      <w:r w:rsidR="002F7E54">
        <w:t xml:space="preserve">SEND need in Tower Hamlets. </w:t>
      </w:r>
      <w:r w:rsidR="008F24E6">
        <w:t>This should result in m</w:t>
      </w:r>
      <w:r w:rsidR="002F7E54">
        <w:t>ore effective use of the funding for resource bases across Tower Hamlets. Any savings achieved will be reinvested to maintain the number of children and young people with an EHC plan supported in resource bases.</w:t>
      </w:r>
    </w:p>
    <w:p w14:paraId="56BB67C0" w14:textId="30930E12" w:rsidR="002F7E54" w:rsidRDefault="00022960" w:rsidP="00C10949">
      <w:pPr>
        <w:pStyle w:val="ListParagraph"/>
        <w:spacing w:before="60" w:after="120" w:line="276" w:lineRule="auto"/>
        <w:ind w:left="709"/>
        <w:contextualSpacing w:val="0"/>
      </w:pPr>
      <w:r>
        <w:t>3.</w:t>
      </w:r>
      <w:r w:rsidR="00995F4E">
        <w:t>4</w:t>
      </w:r>
      <w:r>
        <w:t xml:space="preserve"> </w:t>
      </w:r>
      <w:r w:rsidR="00FE5C27">
        <w:t>The HNFB Review Group identified that the school offer for children and young people with severe social, emotional and mental health (SEMH) needs is fragmented</w:t>
      </w:r>
      <w:r w:rsidR="001173BD">
        <w:t xml:space="preserve"> with a variety of approaches being used</w:t>
      </w:r>
      <w:r w:rsidR="00FE5C27">
        <w:t xml:space="preserve">. </w:t>
      </w:r>
      <w:r w:rsidR="001173BD">
        <w:t>It is proposed a</w:t>
      </w:r>
      <w:r w:rsidR="00FE5C27">
        <w:t xml:space="preserve"> review </w:t>
      </w:r>
      <w:r w:rsidR="001173BD">
        <w:t xml:space="preserve">is </w:t>
      </w:r>
      <w:r w:rsidR="00FE5C27">
        <w:t xml:space="preserve">carried out that will </w:t>
      </w:r>
      <w:r w:rsidR="001173BD">
        <w:t xml:space="preserve">also look at </w:t>
      </w:r>
      <w:r w:rsidR="00FE5C27">
        <w:t xml:space="preserve">aspects of alternative provision and </w:t>
      </w:r>
      <w:r w:rsidR="001173BD">
        <w:t>C</w:t>
      </w:r>
      <w:r w:rsidR="00FE5C27">
        <w:t xml:space="preserve">hildren’s </w:t>
      </w:r>
      <w:r w:rsidR="001173BD">
        <w:t>S</w:t>
      </w:r>
      <w:r w:rsidR="00FE5C27">
        <w:t xml:space="preserve">ocial </w:t>
      </w:r>
      <w:r w:rsidR="001173BD">
        <w:t>C</w:t>
      </w:r>
      <w:r w:rsidR="00FE5C27">
        <w:t xml:space="preserve">are’s need for residential placements for </w:t>
      </w:r>
      <w:r w:rsidR="00C10949">
        <w:t xml:space="preserve">the </w:t>
      </w:r>
      <w:r w:rsidR="00FE5C27">
        <w:t>small numbers of very vulnerable children and young people. It is anticipated that savings to the HNFB can be achieved as a result of some high cost placements being funded with social care.</w:t>
      </w:r>
    </w:p>
    <w:p w14:paraId="31C53B93" w14:textId="77777777" w:rsidR="00995F4E" w:rsidRDefault="00022960" w:rsidP="00C7105E">
      <w:pPr>
        <w:spacing w:before="60" w:after="120" w:line="276" w:lineRule="auto"/>
        <w:ind w:left="709"/>
      </w:pPr>
      <w:r>
        <w:t>3.</w:t>
      </w:r>
      <w:r w:rsidR="00995F4E">
        <w:t>5</w:t>
      </w:r>
      <w:r>
        <w:t xml:space="preserve"> </w:t>
      </w:r>
      <w:r w:rsidR="00FE5C27">
        <w:t xml:space="preserve">The HNFB Review Group </w:t>
      </w:r>
      <w:r w:rsidR="00571785">
        <w:t>observed</w:t>
      </w:r>
      <w:r w:rsidR="00FE5C27">
        <w:t xml:space="preserve"> that </w:t>
      </w:r>
      <w:r w:rsidR="00571785">
        <w:t xml:space="preserve">a relatively large proportion </w:t>
      </w:r>
      <w:r w:rsidR="00FE5C27">
        <w:t xml:space="preserve">of the </w:t>
      </w:r>
      <w:r w:rsidR="00571785">
        <w:t>HNFB</w:t>
      </w:r>
      <w:r w:rsidR="00FE5C27">
        <w:t xml:space="preserve"> supports learning for those in alternative provision (AP). </w:t>
      </w:r>
      <w:r w:rsidR="00D77436">
        <w:t xml:space="preserve">The fact that </w:t>
      </w:r>
      <w:r w:rsidR="00FE5C27">
        <w:t xml:space="preserve">Tower Hamlets has a larger proportion of students in AP than in similar local authorities, </w:t>
      </w:r>
      <w:r w:rsidR="00571785">
        <w:t>i</w:t>
      </w:r>
      <w:r w:rsidR="00D77436">
        <w:t>s</w:t>
      </w:r>
      <w:r w:rsidR="00FE5C27">
        <w:t xml:space="preserve"> </w:t>
      </w:r>
      <w:r w:rsidR="00D77436">
        <w:t xml:space="preserve">part of the rationale </w:t>
      </w:r>
      <w:r w:rsidR="00571785">
        <w:t>for</w:t>
      </w:r>
      <w:r w:rsidR="00D77436">
        <w:t xml:space="preserve"> the Fair Access Panel (FAP)</w:t>
      </w:r>
      <w:r w:rsidR="00FE5C27">
        <w:t xml:space="preserve"> </w:t>
      </w:r>
      <w:r w:rsidR="008F24E6">
        <w:t xml:space="preserve">undertaking a </w:t>
      </w:r>
      <w:r w:rsidR="00D77436">
        <w:t xml:space="preserve">review of AP. The FAP review </w:t>
      </w:r>
      <w:r w:rsidR="001173BD">
        <w:t>will consider how a</w:t>
      </w:r>
      <w:r w:rsidR="00995F4E">
        <w:t xml:space="preserve"> </w:t>
      </w:r>
      <w:r w:rsidR="00D77436">
        <w:t xml:space="preserve">higher number of students </w:t>
      </w:r>
      <w:r w:rsidR="001173BD">
        <w:t xml:space="preserve">can </w:t>
      </w:r>
      <w:proofErr w:type="gramStart"/>
      <w:r w:rsidR="001173BD">
        <w:t xml:space="preserve">be </w:t>
      </w:r>
      <w:r w:rsidR="00D77436">
        <w:t xml:space="preserve"> supported</w:t>
      </w:r>
      <w:proofErr w:type="gramEnd"/>
      <w:r w:rsidR="00D77436">
        <w:t xml:space="preserve"> on </w:t>
      </w:r>
      <w:r w:rsidR="008F24E6">
        <w:t xml:space="preserve">alternative </w:t>
      </w:r>
      <w:r w:rsidR="00D77436">
        <w:t>pro</w:t>
      </w:r>
      <w:r w:rsidR="004B5AED">
        <w:t xml:space="preserve">grammes </w:t>
      </w:r>
      <w:r w:rsidR="008F24E6">
        <w:t>within</w:t>
      </w:r>
      <w:r w:rsidR="004B5AED">
        <w:t xml:space="preserve"> mainstream</w:t>
      </w:r>
      <w:r w:rsidR="008F24E6">
        <w:t xml:space="preserve"> schools</w:t>
      </w:r>
      <w:r w:rsidR="004B5AED">
        <w:t>,</w:t>
      </w:r>
      <w:r w:rsidR="00D77436">
        <w:t xml:space="preserve"> </w:t>
      </w:r>
      <w:r w:rsidR="001173BD">
        <w:t xml:space="preserve">reduce the number of </w:t>
      </w:r>
      <w:r w:rsidR="00D77436">
        <w:t>referrals to the FAP</w:t>
      </w:r>
      <w:r w:rsidR="004B5AED">
        <w:t xml:space="preserve"> and reduc</w:t>
      </w:r>
      <w:r w:rsidR="001173BD">
        <w:t>e</w:t>
      </w:r>
      <w:r w:rsidR="004B5AED">
        <w:t xml:space="preserve"> the </w:t>
      </w:r>
      <w:r w:rsidR="004B5AED">
        <w:lastRenderedPageBreak/>
        <w:t>average length of time students remain in AP</w:t>
      </w:r>
      <w:r w:rsidR="00D77436">
        <w:t>. Its proposals will be put to Schools Forum for consultation in due course</w:t>
      </w:r>
    </w:p>
    <w:p w14:paraId="0B598924" w14:textId="77777777" w:rsidR="00995F4E" w:rsidRDefault="00995F4E" w:rsidP="00995F4E"/>
    <w:p w14:paraId="280F979A" w14:textId="768B3EB5" w:rsidR="00906F50" w:rsidRPr="00022960" w:rsidRDefault="00022960" w:rsidP="00995F4E">
      <w:pPr>
        <w:rPr>
          <w:b/>
        </w:rPr>
      </w:pPr>
      <w:r>
        <w:rPr>
          <w:b/>
        </w:rPr>
        <w:t xml:space="preserve">4. </w:t>
      </w:r>
      <w:r w:rsidR="00C3225A" w:rsidRPr="00022960">
        <w:rPr>
          <w:b/>
        </w:rPr>
        <w:t xml:space="preserve">WORK OF THE HNFB REVIEW GROUP </w:t>
      </w:r>
    </w:p>
    <w:p w14:paraId="7937A9D6" w14:textId="148F9BCA" w:rsidR="00906F50" w:rsidRDefault="00022960" w:rsidP="00022960">
      <w:pPr>
        <w:spacing w:before="60" w:after="120" w:line="276" w:lineRule="auto"/>
        <w:ind w:left="710"/>
      </w:pPr>
      <w:r>
        <w:t xml:space="preserve">4.1 </w:t>
      </w:r>
      <w:r w:rsidR="00E20049">
        <w:t>The High Needs Funding Review Group worked with officers from the local authority during autumn term 2017.</w:t>
      </w:r>
      <w:r w:rsidR="00D2528A">
        <w:t xml:space="preserve"> The membership consisted of headteachers and senior leaders from schools and colleges in Tower Hamlets, as nominated by the respective </w:t>
      </w:r>
      <w:r w:rsidR="001D15A6">
        <w:t xml:space="preserve">phase </w:t>
      </w:r>
      <w:r w:rsidR="00D2528A">
        <w:t>consultative groups.</w:t>
      </w:r>
    </w:p>
    <w:p w14:paraId="4AD219A3" w14:textId="0142DE6C" w:rsidR="00931456" w:rsidRDefault="00022960" w:rsidP="00022960">
      <w:pPr>
        <w:spacing w:before="60" w:after="60" w:line="276" w:lineRule="auto"/>
        <w:ind w:left="710"/>
      </w:pPr>
      <w:r>
        <w:t xml:space="preserve">4.2 </w:t>
      </w:r>
      <w:r w:rsidR="00D2528A">
        <w:t xml:space="preserve">The group supported officers from the local authority to develop ways to present complex information about high needs funding to better assist strategic recommendations and decision-making. The group was of the view that a set of principles should be agreed </w:t>
      </w:r>
      <w:r w:rsidR="008E310B">
        <w:t xml:space="preserve">to </w:t>
      </w:r>
      <w:r w:rsidR="00D2528A">
        <w:t xml:space="preserve">inform the current and any future review of high needs funding in Tower Hamlets (see: Annex). The group also produced 10 recommendations that have been reported to Children’s Services </w:t>
      </w:r>
      <w:r w:rsidR="008E310B">
        <w:t>Leadership Team</w:t>
      </w:r>
      <w:r w:rsidR="00D2528A">
        <w:t>. Subsequent discussions have resulted in this proposals paper.</w:t>
      </w:r>
      <w:bookmarkStart w:id="1" w:name="_gjdgxs" w:colFirst="0" w:colLast="0"/>
      <w:bookmarkEnd w:id="1"/>
    </w:p>
    <w:sectPr w:rsidR="00931456" w:rsidSect="005B3016">
      <w:pgSz w:w="11901" w:h="16817"/>
      <w:pgMar w:top="1304" w:right="1191" w:bottom="1304"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56BE" w14:textId="77777777" w:rsidR="00A622CB" w:rsidRDefault="00A622CB" w:rsidP="00647A9B">
      <w:r>
        <w:separator/>
      </w:r>
    </w:p>
  </w:endnote>
  <w:endnote w:type="continuationSeparator" w:id="0">
    <w:p w14:paraId="3AA6DF92" w14:textId="77777777" w:rsidR="00A622CB" w:rsidRDefault="00A622CB" w:rsidP="0064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E6EE9" w14:textId="77777777" w:rsidR="00647A9B" w:rsidRDefault="00647A9B" w:rsidP="008D5FA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6B5451" w14:textId="77777777" w:rsidR="00647A9B" w:rsidRDefault="00647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0379"/>
      <w:docPartObj>
        <w:docPartGallery w:val="Page Numbers (Bottom of Page)"/>
        <w:docPartUnique/>
      </w:docPartObj>
    </w:sdtPr>
    <w:sdtContent>
      <w:sdt>
        <w:sdtPr>
          <w:id w:val="-1769616900"/>
          <w:docPartObj>
            <w:docPartGallery w:val="Page Numbers (Top of Page)"/>
            <w:docPartUnique/>
          </w:docPartObj>
        </w:sdtPr>
        <w:sdtContent>
          <w:p w14:paraId="79355FFC" w14:textId="7743D4C1" w:rsidR="00B52AB3" w:rsidRDefault="00B52AB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7FE80D" w14:textId="37CA6142" w:rsidR="00647A9B" w:rsidRDefault="00647A9B" w:rsidP="001D15A6">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F4BFB" w14:textId="77777777" w:rsidR="00A622CB" w:rsidRDefault="00A622CB" w:rsidP="00647A9B">
      <w:r>
        <w:separator/>
      </w:r>
    </w:p>
  </w:footnote>
  <w:footnote w:type="continuationSeparator" w:id="0">
    <w:p w14:paraId="2A4860E8" w14:textId="77777777" w:rsidR="00A622CB" w:rsidRDefault="00A622CB" w:rsidP="0064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B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E62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D14BA"/>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908FF"/>
    <w:multiLevelType w:val="hybridMultilevel"/>
    <w:tmpl w:val="112A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40FA8"/>
    <w:multiLevelType w:val="hybridMultilevel"/>
    <w:tmpl w:val="BB1EFE6A"/>
    <w:lvl w:ilvl="0" w:tplc="3E0CDF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127751"/>
    <w:multiLevelType w:val="hybridMultilevel"/>
    <w:tmpl w:val="74E26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296112"/>
    <w:multiLevelType w:val="multilevel"/>
    <w:tmpl w:val="880826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3A10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25689"/>
    <w:multiLevelType w:val="multilevel"/>
    <w:tmpl w:val="3CDC120C"/>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DB1183A"/>
    <w:multiLevelType w:val="multilevel"/>
    <w:tmpl w:val="48B60424"/>
    <w:lvl w:ilvl="0">
      <w:start w:val="1"/>
      <w:numFmt w:val="decimal"/>
      <w:lvlText w:val="%1."/>
      <w:lvlJc w:val="left"/>
      <w:pPr>
        <w:ind w:left="360" w:firstLine="0"/>
      </w:pPr>
    </w:lvl>
    <w:lvl w:ilvl="1">
      <w:start w:val="1"/>
      <w:numFmt w:val="bullet"/>
      <w:lvlText w:val="▪"/>
      <w:lvlJc w:val="left"/>
      <w:pPr>
        <w:ind w:left="1136"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313E4AF5"/>
    <w:multiLevelType w:val="hybridMultilevel"/>
    <w:tmpl w:val="D7F6A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AF23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397147"/>
    <w:multiLevelType w:val="hybridMultilevel"/>
    <w:tmpl w:val="EC3EA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409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A5695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692369"/>
    <w:multiLevelType w:val="hybridMultilevel"/>
    <w:tmpl w:val="55421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C371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7E1D8C"/>
    <w:multiLevelType w:val="multilevel"/>
    <w:tmpl w:val="733C6226"/>
    <w:lvl w:ilvl="0">
      <w:start w:val="1"/>
      <w:numFmt w:val="decimal"/>
      <w:lvlText w:val="%1"/>
      <w:lvlJc w:val="left"/>
      <w:pPr>
        <w:ind w:left="580" w:hanging="580"/>
      </w:pPr>
      <w:rPr>
        <w:rFonts w:hint="default"/>
      </w:rPr>
    </w:lvl>
    <w:lvl w:ilvl="1">
      <w:start w:val="1"/>
      <w:numFmt w:val="decimal"/>
      <w:lvlText w:val="%1.%2"/>
      <w:lvlJc w:val="left"/>
      <w:pPr>
        <w:ind w:left="1431" w:hanging="5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7E82131A"/>
    <w:multiLevelType w:val="hybridMultilevel"/>
    <w:tmpl w:val="EB28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5"/>
  </w:num>
  <w:num w:numId="4">
    <w:abstractNumId w:val="14"/>
  </w:num>
  <w:num w:numId="5">
    <w:abstractNumId w:val="12"/>
  </w:num>
  <w:num w:numId="6">
    <w:abstractNumId w:val="18"/>
  </w:num>
  <w:num w:numId="7">
    <w:abstractNumId w:val="9"/>
  </w:num>
  <w:num w:numId="8">
    <w:abstractNumId w:val="6"/>
  </w:num>
  <w:num w:numId="9">
    <w:abstractNumId w:val="5"/>
  </w:num>
  <w:num w:numId="10">
    <w:abstractNumId w:val="1"/>
  </w:num>
  <w:num w:numId="11">
    <w:abstractNumId w:val="17"/>
  </w:num>
  <w:num w:numId="12">
    <w:abstractNumId w:val="2"/>
  </w:num>
  <w:num w:numId="13">
    <w:abstractNumId w:val="11"/>
  </w:num>
  <w:num w:numId="14">
    <w:abstractNumId w:val="13"/>
  </w:num>
  <w:num w:numId="15">
    <w:abstractNumId w:val="16"/>
  </w:num>
  <w:num w:numId="16">
    <w:abstractNumId w:val="7"/>
  </w:num>
  <w:num w:numId="17">
    <w:abstractNumId w:val="0"/>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A22"/>
    <w:rsid w:val="00022960"/>
    <w:rsid w:val="000C654F"/>
    <w:rsid w:val="000D5AC6"/>
    <w:rsid w:val="000D7648"/>
    <w:rsid w:val="000E18CC"/>
    <w:rsid w:val="001114B6"/>
    <w:rsid w:val="001173BD"/>
    <w:rsid w:val="00136B37"/>
    <w:rsid w:val="0016193D"/>
    <w:rsid w:val="00172627"/>
    <w:rsid w:val="001A66D9"/>
    <w:rsid w:val="001B755F"/>
    <w:rsid w:val="001D15A6"/>
    <w:rsid w:val="001D4113"/>
    <w:rsid w:val="00243355"/>
    <w:rsid w:val="002A7400"/>
    <w:rsid w:val="002B4362"/>
    <w:rsid w:val="002E1D73"/>
    <w:rsid w:val="002F7E54"/>
    <w:rsid w:val="003358E3"/>
    <w:rsid w:val="003C3A77"/>
    <w:rsid w:val="003E0CA9"/>
    <w:rsid w:val="003E1DC1"/>
    <w:rsid w:val="003F3EB4"/>
    <w:rsid w:val="00415B50"/>
    <w:rsid w:val="00465227"/>
    <w:rsid w:val="004B5AED"/>
    <w:rsid w:val="004B6C3F"/>
    <w:rsid w:val="004F680C"/>
    <w:rsid w:val="00571785"/>
    <w:rsid w:val="00587419"/>
    <w:rsid w:val="005B3016"/>
    <w:rsid w:val="005B79E4"/>
    <w:rsid w:val="005C14CB"/>
    <w:rsid w:val="00647A9B"/>
    <w:rsid w:val="006516FD"/>
    <w:rsid w:val="006E3267"/>
    <w:rsid w:val="00720DF4"/>
    <w:rsid w:val="007439A4"/>
    <w:rsid w:val="00850066"/>
    <w:rsid w:val="008B0CCD"/>
    <w:rsid w:val="008E310B"/>
    <w:rsid w:val="008F24E6"/>
    <w:rsid w:val="00905C52"/>
    <w:rsid w:val="00906F50"/>
    <w:rsid w:val="00931456"/>
    <w:rsid w:val="00951505"/>
    <w:rsid w:val="00973739"/>
    <w:rsid w:val="00981F59"/>
    <w:rsid w:val="00995F4E"/>
    <w:rsid w:val="009B2D30"/>
    <w:rsid w:val="009B736E"/>
    <w:rsid w:val="009D236E"/>
    <w:rsid w:val="00A4173E"/>
    <w:rsid w:val="00A53CB2"/>
    <w:rsid w:val="00A622CB"/>
    <w:rsid w:val="00A73A48"/>
    <w:rsid w:val="00A90998"/>
    <w:rsid w:val="00AA2072"/>
    <w:rsid w:val="00AC3061"/>
    <w:rsid w:val="00AF404C"/>
    <w:rsid w:val="00B52AB3"/>
    <w:rsid w:val="00BE08AB"/>
    <w:rsid w:val="00C10949"/>
    <w:rsid w:val="00C2091E"/>
    <w:rsid w:val="00C3225A"/>
    <w:rsid w:val="00C357F9"/>
    <w:rsid w:val="00C7105E"/>
    <w:rsid w:val="00C82772"/>
    <w:rsid w:val="00D03DB2"/>
    <w:rsid w:val="00D223C9"/>
    <w:rsid w:val="00D2528A"/>
    <w:rsid w:val="00D77436"/>
    <w:rsid w:val="00D84C54"/>
    <w:rsid w:val="00D97E28"/>
    <w:rsid w:val="00DB4BE3"/>
    <w:rsid w:val="00DC217B"/>
    <w:rsid w:val="00E20049"/>
    <w:rsid w:val="00E257EB"/>
    <w:rsid w:val="00E55E75"/>
    <w:rsid w:val="00E75A22"/>
    <w:rsid w:val="00EB2D10"/>
    <w:rsid w:val="00EE350B"/>
    <w:rsid w:val="00EF4EFC"/>
    <w:rsid w:val="00F8466F"/>
    <w:rsid w:val="00FA1896"/>
    <w:rsid w:val="00FE15D1"/>
    <w:rsid w:val="00FE5C27"/>
    <w:rsid w:val="00FF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468F"/>
  <w14:defaultImageDpi w14:val="32767"/>
  <w15:docId w15:val="{B67D4997-7647-4E2E-BFDD-F9A2B170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Indent"/>
    <w:next w:val="Normal"/>
    <w:link w:val="Heading1Char"/>
    <w:uiPriority w:val="9"/>
    <w:qFormat/>
    <w:rsid w:val="000C654F"/>
    <w:pPr>
      <w:pBdr>
        <w:top w:val="single" w:sz="4" w:space="1" w:color="auto"/>
        <w:left w:val="single" w:sz="4" w:space="4" w:color="auto"/>
        <w:bottom w:val="single" w:sz="4" w:space="1" w:color="auto"/>
        <w:right w:val="single" w:sz="4" w:space="4" w:color="auto"/>
      </w:pBdr>
      <w:tabs>
        <w:tab w:val="clear" w:pos="360"/>
      </w:tabs>
      <w:ind w:left="0" w:firstLine="0"/>
      <w:outlineLvl w:val="0"/>
    </w:pPr>
    <w:rPr>
      <w:b/>
      <w:bCs/>
      <w:sz w:val="32"/>
      <w:szCs w:val="28"/>
    </w:rPr>
  </w:style>
  <w:style w:type="paragraph" w:styleId="Heading2">
    <w:name w:val="heading 2"/>
    <w:basedOn w:val="Normal"/>
    <w:next w:val="Normal"/>
    <w:link w:val="Heading2Char"/>
    <w:uiPriority w:val="9"/>
    <w:unhideWhenUsed/>
    <w:qFormat/>
    <w:rsid w:val="000C654F"/>
    <w:pPr>
      <w:pBdr>
        <w:top w:val="single" w:sz="4" w:space="1" w:color="auto"/>
        <w:left w:val="single" w:sz="4" w:space="2" w:color="auto"/>
        <w:bottom w:val="single" w:sz="4" w:space="1" w:color="auto"/>
        <w:right w:val="single" w:sz="4" w:space="1" w:color="auto"/>
      </w:pBdr>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F50"/>
    <w:pPr>
      <w:ind w:left="720"/>
      <w:contextualSpacing/>
    </w:pPr>
  </w:style>
  <w:style w:type="table" w:styleId="TableGrid">
    <w:name w:val="Table Grid"/>
    <w:basedOn w:val="TableNormal"/>
    <w:uiPriority w:val="39"/>
    <w:rsid w:val="00D8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47A9B"/>
    <w:pPr>
      <w:tabs>
        <w:tab w:val="center" w:pos="4513"/>
        <w:tab w:val="right" w:pos="9026"/>
      </w:tabs>
    </w:pPr>
  </w:style>
  <w:style w:type="character" w:customStyle="1" w:styleId="FooterChar">
    <w:name w:val="Footer Char"/>
    <w:basedOn w:val="DefaultParagraphFont"/>
    <w:link w:val="Footer"/>
    <w:uiPriority w:val="99"/>
    <w:rsid w:val="00647A9B"/>
  </w:style>
  <w:style w:type="character" w:styleId="PageNumber">
    <w:name w:val="page number"/>
    <w:basedOn w:val="DefaultParagraphFont"/>
    <w:uiPriority w:val="99"/>
    <w:semiHidden/>
    <w:unhideWhenUsed/>
    <w:rsid w:val="00647A9B"/>
  </w:style>
  <w:style w:type="paragraph" w:styleId="BodyTextIndent">
    <w:name w:val="Body Text Indent"/>
    <w:basedOn w:val="Normal"/>
    <w:link w:val="BodyTextIndentChar"/>
    <w:uiPriority w:val="99"/>
    <w:rsid w:val="00DC217B"/>
    <w:pPr>
      <w:tabs>
        <w:tab w:val="left" w:pos="360"/>
      </w:tabs>
      <w:spacing w:after="120"/>
      <w:ind w:left="360" w:hanging="360"/>
    </w:pPr>
    <w:rPr>
      <w:rFonts w:ascii="Arial" w:eastAsia="Times New Roman" w:hAnsi="Arial" w:cs="Times New Roman"/>
      <w:sz w:val="22"/>
      <w:szCs w:val="20"/>
      <w:lang w:val="en-US"/>
    </w:rPr>
  </w:style>
  <w:style w:type="character" w:customStyle="1" w:styleId="BodyTextIndentChar">
    <w:name w:val="Body Text Indent Char"/>
    <w:basedOn w:val="DefaultParagraphFont"/>
    <w:link w:val="BodyTextIndent"/>
    <w:uiPriority w:val="99"/>
    <w:rsid w:val="00DC217B"/>
    <w:rPr>
      <w:rFonts w:ascii="Arial" w:eastAsia="Times New Roman" w:hAnsi="Arial" w:cs="Times New Roman"/>
      <w:sz w:val="22"/>
      <w:szCs w:val="20"/>
      <w:lang w:val="en-US"/>
    </w:rPr>
  </w:style>
  <w:style w:type="paragraph" w:styleId="Header">
    <w:name w:val="header"/>
    <w:basedOn w:val="Normal"/>
    <w:link w:val="HeaderChar"/>
    <w:uiPriority w:val="99"/>
    <w:unhideWhenUsed/>
    <w:rsid w:val="00EF4EFC"/>
    <w:pPr>
      <w:tabs>
        <w:tab w:val="center" w:pos="4513"/>
        <w:tab w:val="right" w:pos="9026"/>
      </w:tabs>
    </w:pPr>
  </w:style>
  <w:style w:type="character" w:customStyle="1" w:styleId="HeaderChar">
    <w:name w:val="Header Char"/>
    <w:basedOn w:val="DefaultParagraphFont"/>
    <w:link w:val="Header"/>
    <w:uiPriority w:val="99"/>
    <w:rsid w:val="00EF4EFC"/>
  </w:style>
  <w:style w:type="paragraph" w:styleId="BalloonText">
    <w:name w:val="Balloon Text"/>
    <w:basedOn w:val="Normal"/>
    <w:link w:val="BalloonTextChar"/>
    <w:uiPriority w:val="99"/>
    <w:semiHidden/>
    <w:unhideWhenUsed/>
    <w:rsid w:val="00F846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466F"/>
    <w:rPr>
      <w:rFonts w:ascii="Times New Roman" w:hAnsi="Times New Roman" w:cs="Times New Roman"/>
      <w:sz w:val="18"/>
      <w:szCs w:val="18"/>
    </w:rPr>
  </w:style>
  <w:style w:type="paragraph" w:styleId="Revision">
    <w:name w:val="Revision"/>
    <w:hidden/>
    <w:uiPriority w:val="99"/>
    <w:semiHidden/>
    <w:rsid w:val="00F8466F"/>
  </w:style>
  <w:style w:type="paragraph" w:styleId="NormalWeb">
    <w:name w:val="Normal (Web)"/>
    <w:basedOn w:val="Normal"/>
    <w:uiPriority w:val="99"/>
    <w:semiHidden/>
    <w:unhideWhenUsed/>
    <w:rsid w:val="001B755F"/>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0C654F"/>
    <w:rPr>
      <w:rFonts w:ascii="Arial" w:eastAsia="Times New Roman" w:hAnsi="Arial" w:cs="Times New Roman"/>
      <w:b/>
      <w:bCs/>
      <w:sz w:val="32"/>
      <w:szCs w:val="28"/>
      <w:lang w:val="en-US"/>
    </w:rPr>
  </w:style>
  <w:style w:type="character" w:customStyle="1" w:styleId="Heading2Char">
    <w:name w:val="Heading 2 Char"/>
    <w:basedOn w:val="DefaultParagraphFont"/>
    <w:link w:val="Heading2"/>
    <w:uiPriority w:val="9"/>
    <w:rsid w:val="000C654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04246">
      <w:bodyDiv w:val="1"/>
      <w:marLeft w:val="0"/>
      <w:marRight w:val="0"/>
      <w:marTop w:val="0"/>
      <w:marBottom w:val="0"/>
      <w:divBdr>
        <w:top w:val="none" w:sz="0" w:space="0" w:color="auto"/>
        <w:left w:val="none" w:sz="0" w:space="0" w:color="auto"/>
        <w:bottom w:val="none" w:sz="0" w:space="0" w:color="auto"/>
        <w:right w:val="none" w:sz="0" w:space="0" w:color="auto"/>
      </w:divBdr>
    </w:div>
    <w:div w:id="732391507">
      <w:bodyDiv w:val="1"/>
      <w:marLeft w:val="0"/>
      <w:marRight w:val="0"/>
      <w:marTop w:val="0"/>
      <w:marBottom w:val="0"/>
      <w:divBdr>
        <w:top w:val="none" w:sz="0" w:space="0" w:color="auto"/>
        <w:left w:val="none" w:sz="0" w:space="0" w:color="auto"/>
        <w:bottom w:val="none" w:sz="0" w:space="0" w:color="auto"/>
        <w:right w:val="none" w:sz="0" w:space="0" w:color="auto"/>
      </w:divBdr>
    </w:div>
    <w:div w:id="805583930">
      <w:bodyDiv w:val="1"/>
      <w:marLeft w:val="0"/>
      <w:marRight w:val="0"/>
      <w:marTop w:val="0"/>
      <w:marBottom w:val="0"/>
      <w:divBdr>
        <w:top w:val="none" w:sz="0" w:space="0" w:color="auto"/>
        <w:left w:val="none" w:sz="0" w:space="0" w:color="auto"/>
        <w:bottom w:val="none" w:sz="0" w:space="0" w:color="auto"/>
        <w:right w:val="none" w:sz="0" w:space="0" w:color="auto"/>
      </w:divBdr>
      <w:divsChild>
        <w:div w:id="1822579856">
          <w:marLeft w:val="0"/>
          <w:marRight w:val="0"/>
          <w:marTop w:val="0"/>
          <w:marBottom w:val="0"/>
          <w:divBdr>
            <w:top w:val="none" w:sz="0" w:space="0" w:color="auto"/>
            <w:left w:val="none" w:sz="0" w:space="0" w:color="auto"/>
            <w:bottom w:val="none" w:sz="0" w:space="0" w:color="auto"/>
            <w:right w:val="none" w:sz="0" w:space="0" w:color="auto"/>
          </w:divBdr>
          <w:divsChild>
            <w:div w:id="179583910">
              <w:marLeft w:val="0"/>
              <w:marRight w:val="0"/>
              <w:marTop w:val="0"/>
              <w:marBottom w:val="0"/>
              <w:divBdr>
                <w:top w:val="none" w:sz="0" w:space="0" w:color="auto"/>
                <w:left w:val="none" w:sz="0" w:space="0" w:color="auto"/>
                <w:bottom w:val="none" w:sz="0" w:space="0" w:color="auto"/>
                <w:right w:val="none" w:sz="0" w:space="0" w:color="auto"/>
              </w:divBdr>
              <w:divsChild>
                <w:div w:id="1094782984">
                  <w:marLeft w:val="0"/>
                  <w:marRight w:val="0"/>
                  <w:marTop w:val="0"/>
                  <w:marBottom w:val="0"/>
                  <w:divBdr>
                    <w:top w:val="none" w:sz="0" w:space="0" w:color="auto"/>
                    <w:left w:val="none" w:sz="0" w:space="0" w:color="auto"/>
                    <w:bottom w:val="none" w:sz="0" w:space="0" w:color="auto"/>
                    <w:right w:val="none" w:sz="0" w:space="0" w:color="auto"/>
                  </w:divBdr>
                  <w:divsChild>
                    <w:div w:id="2052806233">
                      <w:marLeft w:val="0"/>
                      <w:marRight w:val="0"/>
                      <w:marTop w:val="0"/>
                      <w:marBottom w:val="0"/>
                      <w:divBdr>
                        <w:top w:val="none" w:sz="0" w:space="0" w:color="auto"/>
                        <w:left w:val="none" w:sz="0" w:space="0" w:color="auto"/>
                        <w:bottom w:val="none" w:sz="0" w:space="0" w:color="auto"/>
                        <w:right w:val="none" w:sz="0" w:space="0" w:color="auto"/>
                      </w:divBdr>
                      <w:divsChild>
                        <w:div w:id="28383707">
                          <w:marLeft w:val="0"/>
                          <w:marRight w:val="0"/>
                          <w:marTop w:val="0"/>
                          <w:marBottom w:val="0"/>
                          <w:divBdr>
                            <w:top w:val="none" w:sz="0" w:space="0" w:color="auto"/>
                            <w:left w:val="none" w:sz="0" w:space="0" w:color="auto"/>
                            <w:bottom w:val="none" w:sz="0" w:space="0" w:color="auto"/>
                            <w:right w:val="none" w:sz="0" w:space="0" w:color="auto"/>
                          </w:divBdr>
                          <w:divsChild>
                            <w:div w:id="4701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22102">
      <w:bodyDiv w:val="1"/>
      <w:marLeft w:val="0"/>
      <w:marRight w:val="0"/>
      <w:marTop w:val="0"/>
      <w:marBottom w:val="0"/>
      <w:divBdr>
        <w:top w:val="none" w:sz="0" w:space="0" w:color="auto"/>
        <w:left w:val="none" w:sz="0" w:space="0" w:color="auto"/>
        <w:bottom w:val="none" w:sz="0" w:space="0" w:color="auto"/>
        <w:right w:val="none" w:sz="0" w:space="0" w:color="auto"/>
      </w:divBdr>
    </w:div>
    <w:div w:id="1856193254">
      <w:bodyDiv w:val="1"/>
      <w:marLeft w:val="0"/>
      <w:marRight w:val="0"/>
      <w:marTop w:val="0"/>
      <w:marBottom w:val="0"/>
      <w:divBdr>
        <w:top w:val="none" w:sz="0" w:space="0" w:color="auto"/>
        <w:left w:val="none" w:sz="0" w:space="0" w:color="auto"/>
        <w:bottom w:val="none" w:sz="0" w:space="0" w:color="auto"/>
        <w:right w:val="none" w:sz="0" w:space="0" w:color="auto"/>
      </w:divBdr>
    </w:div>
    <w:div w:id="2013146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1927-431B-4093-AFAF-22BD2EAC3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39E69-C251-4BF6-9656-EF0542D1434C}">
  <ds:schemaRefs>
    <ds:schemaRef ds:uri="http://schemas.microsoft.com/sharepoint/v3/contenttype/forms"/>
  </ds:schemaRefs>
</ds:datastoreItem>
</file>

<file path=customXml/itemProps3.xml><?xml version="1.0" encoding="utf-8"?>
<ds:datastoreItem xmlns:ds="http://schemas.openxmlformats.org/officeDocument/2006/customXml" ds:itemID="{2B5FF3D0-650E-4949-A5CE-35BCF2EE3E92}">
  <ds:schemaRef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f22d7286-dd96-43f1-addf-1aa01b239435"/>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061B5F95-2247-4FDD-9B58-A178D0E1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Chrow Solutions Ltd</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Needs Funding Block Review and Recommendations for 2018-20</dc:title>
  <dc:creator>Chris Owen</dc:creator>
  <cp:lastModifiedBy>Phillip Nduoyo</cp:lastModifiedBy>
  <cp:revision>10</cp:revision>
  <dcterms:created xsi:type="dcterms:W3CDTF">2018-01-10T15:24:00Z</dcterms:created>
  <dcterms:modified xsi:type="dcterms:W3CDTF">2021-01-13T21:26:00Z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3161800</vt:r8>
  </property>
</Properties>
</file>