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C7125" w14:textId="1FF74E0E" w:rsidR="003B3AEF" w:rsidRPr="00C353A6" w:rsidRDefault="00933FF4" w:rsidP="00C353A6">
      <w:pPr>
        <w:jc w:val="center"/>
        <w:rPr>
          <w:sz w:val="36"/>
          <w:szCs w:val="36"/>
        </w:rPr>
      </w:pPr>
      <w:r w:rsidRPr="00C353A6">
        <w:rPr>
          <w:sz w:val="36"/>
          <w:szCs w:val="36"/>
        </w:rPr>
        <w:t>AGENDA ITEM</w:t>
      </w:r>
      <w:r w:rsidR="00F629D8">
        <w:rPr>
          <w:sz w:val="36"/>
          <w:szCs w:val="36"/>
        </w:rPr>
        <w:t xml:space="preserve"> </w:t>
      </w:r>
      <w:r w:rsidR="008754AC">
        <w:rPr>
          <w:sz w:val="36"/>
          <w:szCs w:val="36"/>
        </w:rPr>
        <w:t>4</w:t>
      </w:r>
    </w:p>
    <w:p w14:paraId="3242CD15" w14:textId="77777777" w:rsidR="00933FF4" w:rsidRPr="00933FF4" w:rsidRDefault="00933FF4" w:rsidP="00933FF4">
      <w:pPr>
        <w:jc w:val="center"/>
        <w:rPr>
          <w:b/>
          <w:sz w:val="32"/>
          <w:szCs w:val="32"/>
        </w:rPr>
      </w:pPr>
    </w:p>
    <w:p w14:paraId="09196C8F" w14:textId="32F5EFA5" w:rsidR="003B3AEF" w:rsidRPr="0004045E" w:rsidRDefault="004B7D19" w:rsidP="0004045E">
      <w:pPr>
        <w:pStyle w:val="BodyTextIndent"/>
        <w:tabs>
          <w:tab w:val="clear" w:pos="360"/>
        </w:tabs>
        <w:ind w:left="0" w:firstLine="0"/>
        <w:jc w:val="both"/>
        <w:rPr>
          <w:b/>
          <w:bCs/>
          <w:sz w:val="32"/>
          <w:szCs w:val="32"/>
        </w:rPr>
      </w:pPr>
      <w:r w:rsidRPr="5DEB1779">
        <w:rPr>
          <w:b/>
          <w:bCs/>
          <w:sz w:val="32"/>
          <w:szCs w:val="32"/>
        </w:rPr>
        <w:t xml:space="preserve">Title of report: </w:t>
      </w:r>
      <w:r w:rsidR="00607D34" w:rsidRPr="4A842167">
        <w:rPr>
          <w:b/>
          <w:sz w:val="32"/>
          <w:szCs w:val="32"/>
        </w:rPr>
        <w:t xml:space="preserve">DSG </w:t>
      </w:r>
      <w:r w:rsidR="009C7AE7">
        <w:rPr>
          <w:b/>
          <w:sz w:val="32"/>
          <w:szCs w:val="32"/>
        </w:rPr>
        <w:t>Monitoring</w:t>
      </w:r>
      <w:r w:rsidR="007E333C">
        <w:rPr>
          <w:b/>
          <w:sz w:val="32"/>
          <w:szCs w:val="32"/>
        </w:rPr>
        <w:t xml:space="preserve"> Period 5</w:t>
      </w:r>
      <w:r w:rsidR="008754AC">
        <w:rPr>
          <w:b/>
          <w:sz w:val="32"/>
          <w:szCs w:val="32"/>
        </w:rPr>
        <w:t xml:space="preserve"> </w:t>
      </w:r>
    </w:p>
    <w:p w14:paraId="28DD7FB3" w14:textId="77777777" w:rsidR="002968A5" w:rsidRDefault="002968A5" w:rsidP="00933FF4">
      <w:pPr>
        <w:rPr>
          <w:b/>
          <w:bCs/>
        </w:rPr>
      </w:pPr>
    </w:p>
    <w:p w14:paraId="1770CEB4" w14:textId="730CC00E" w:rsidR="009C7AE7" w:rsidRDefault="005408C7" w:rsidP="00933FF4">
      <w:pPr>
        <w:rPr>
          <w:b/>
          <w:bCs/>
        </w:rPr>
      </w:pPr>
      <w:r>
        <w:rPr>
          <w:b/>
          <w:bCs/>
        </w:rPr>
        <w:t xml:space="preserve">Date Prepared: </w:t>
      </w:r>
      <w:r w:rsidR="007E333C">
        <w:rPr>
          <w:b/>
          <w:bCs/>
        </w:rPr>
        <w:t>14</w:t>
      </w:r>
      <w:r>
        <w:rPr>
          <w:b/>
          <w:bCs/>
        </w:rPr>
        <w:t xml:space="preserve"> September 202</w:t>
      </w:r>
      <w:r w:rsidR="007E333C">
        <w:rPr>
          <w:b/>
          <w:bCs/>
        </w:rPr>
        <w:t>6</w:t>
      </w:r>
    </w:p>
    <w:p w14:paraId="1D3A9BA5" w14:textId="77777777" w:rsidR="005408C7" w:rsidRDefault="005408C7" w:rsidP="00933FF4">
      <w:pPr>
        <w:rPr>
          <w:b/>
          <w:bCs/>
        </w:rPr>
      </w:pPr>
    </w:p>
    <w:p w14:paraId="63FF9367" w14:textId="36D4D3ED" w:rsidR="005408C7" w:rsidRDefault="005408C7" w:rsidP="00933FF4">
      <w:pPr>
        <w:rPr>
          <w:b/>
          <w:bCs/>
        </w:rPr>
      </w:pPr>
      <w:r>
        <w:rPr>
          <w:b/>
          <w:bCs/>
        </w:rPr>
        <w:t xml:space="preserve">Date to present </w:t>
      </w:r>
      <w:r w:rsidR="003F3433">
        <w:rPr>
          <w:b/>
          <w:bCs/>
        </w:rPr>
        <w:t xml:space="preserve">paper to Schools Forum: </w:t>
      </w:r>
      <w:r w:rsidR="007E333C">
        <w:rPr>
          <w:b/>
          <w:bCs/>
        </w:rPr>
        <w:t>7</w:t>
      </w:r>
      <w:r w:rsidR="003F3433">
        <w:rPr>
          <w:b/>
          <w:bCs/>
        </w:rPr>
        <w:t xml:space="preserve"> October 202</w:t>
      </w:r>
      <w:r w:rsidR="007E333C">
        <w:rPr>
          <w:b/>
          <w:bCs/>
        </w:rPr>
        <w:t>6</w:t>
      </w:r>
    </w:p>
    <w:p w14:paraId="41568753" w14:textId="77777777" w:rsidR="009C7AE7" w:rsidRDefault="009C7AE7" w:rsidP="00933FF4">
      <w:pPr>
        <w:rPr>
          <w:b/>
          <w:bCs/>
        </w:rPr>
      </w:pPr>
    </w:p>
    <w:p w14:paraId="05C488A5" w14:textId="24BA3526" w:rsidR="003B3AEF" w:rsidRPr="00C353A6" w:rsidRDefault="002511E5" w:rsidP="00933FF4">
      <w:pPr>
        <w:rPr>
          <w:b/>
          <w:bCs/>
        </w:rPr>
      </w:pPr>
      <w:r w:rsidRPr="00C353A6">
        <w:rPr>
          <w:b/>
          <w:bCs/>
        </w:rPr>
        <w:t xml:space="preserve">Author of the </w:t>
      </w:r>
      <w:r w:rsidR="00295350" w:rsidRPr="00C353A6">
        <w:rPr>
          <w:b/>
          <w:bCs/>
        </w:rPr>
        <w:t>paper:</w:t>
      </w:r>
      <w:r w:rsidR="00822694">
        <w:rPr>
          <w:b/>
          <w:bCs/>
        </w:rPr>
        <w:t xml:space="preserve"> </w:t>
      </w:r>
      <w:r w:rsidR="007E333C" w:rsidRPr="007E333C">
        <w:rPr>
          <w:b/>
          <w:bCs/>
        </w:rPr>
        <w:t>Kudzi Mambara</w:t>
      </w:r>
    </w:p>
    <w:p w14:paraId="19EFC765" w14:textId="623DD80E" w:rsidR="002511E5" w:rsidRDefault="00822694" w:rsidP="00933FF4">
      <w:pPr>
        <w:rPr>
          <w:b/>
          <w:bCs/>
        </w:rPr>
      </w:pPr>
      <w:r>
        <w:rPr>
          <w:b/>
          <w:bCs/>
        </w:rPr>
        <w:t xml:space="preserve"> </w:t>
      </w:r>
    </w:p>
    <w:p w14:paraId="0028BFD3" w14:textId="52C8FAA8" w:rsidR="007E333C" w:rsidRDefault="003B3AEF" w:rsidP="00933FF4">
      <w:pPr>
        <w:rPr>
          <w:b/>
          <w:bCs/>
        </w:rPr>
      </w:pPr>
      <w:r w:rsidRPr="5DEB1779">
        <w:rPr>
          <w:b/>
          <w:bCs/>
        </w:rPr>
        <w:t xml:space="preserve">Officer to present the paper to Schools Forum: </w:t>
      </w:r>
      <w:r w:rsidR="007E333C">
        <w:rPr>
          <w:b/>
          <w:bCs/>
        </w:rPr>
        <w:t>Kudzi Mambara</w:t>
      </w:r>
    </w:p>
    <w:p w14:paraId="1B97B2B2" w14:textId="77777777" w:rsidR="00F91A57" w:rsidRPr="00CB5A97" w:rsidRDefault="00F91A57" w:rsidP="00933FF4"/>
    <w:p w14:paraId="4FB3A3C7" w14:textId="056EDE07" w:rsidR="00DF798C" w:rsidRPr="002D58EE" w:rsidRDefault="00DC3AD7" w:rsidP="002D58EE">
      <w:pPr>
        <w:rPr>
          <w:rFonts w:cs="Arial"/>
          <w:b/>
        </w:rPr>
      </w:pPr>
      <w:r>
        <w:rPr>
          <w:rFonts w:cs="Arial"/>
          <w:b/>
        </w:rPr>
        <w:t>Consultation has taken place with relevant Education, SEND and Finance services in preparing this report.</w:t>
      </w:r>
    </w:p>
    <w:p w14:paraId="1FF065DD" w14:textId="77777777" w:rsidR="0070580B" w:rsidRDefault="0070580B" w:rsidP="0073208F">
      <w:pPr>
        <w:pStyle w:val="ListParagraph"/>
        <w:ind w:left="567"/>
        <w:jc w:val="both"/>
      </w:pPr>
    </w:p>
    <w:p w14:paraId="041A8D55" w14:textId="58700B8A" w:rsidR="007E333C" w:rsidRDefault="007E333C" w:rsidP="004B1BD4">
      <w:pPr>
        <w:pStyle w:val="Heading2"/>
        <w:numPr>
          <w:ilvl w:val="0"/>
          <w:numId w:val="17"/>
        </w:numPr>
        <w:ind w:left="851" w:hanging="851"/>
        <w:rPr>
          <w:rFonts w:ascii="Arial" w:hAnsi="Arial" w:cs="Arial"/>
          <w:b/>
          <w:bCs/>
          <w:color w:val="000000" w:themeColor="text1"/>
          <w:sz w:val="24"/>
          <w:szCs w:val="24"/>
        </w:rPr>
      </w:pPr>
      <w:r>
        <w:rPr>
          <w:rFonts w:ascii="Arial" w:hAnsi="Arial" w:cs="Arial"/>
          <w:b/>
          <w:bCs/>
          <w:color w:val="000000" w:themeColor="text1"/>
          <w:sz w:val="24"/>
          <w:szCs w:val="24"/>
        </w:rPr>
        <w:t>Introduction</w:t>
      </w:r>
    </w:p>
    <w:p w14:paraId="6142331F" w14:textId="77777777" w:rsidR="004B1BD4" w:rsidRPr="004B1BD4" w:rsidRDefault="004B1BD4" w:rsidP="004B1BD4"/>
    <w:p w14:paraId="15FDA7FF" w14:textId="43EA92D4" w:rsidR="000D45F7" w:rsidRDefault="004B1BD4" w:rsidP="000D45F7">
      <w:pPr>
        <w:pStyle w:val="ListParagraph"/>
        <w:numPr>
          <w:ilvl w:val="1"/>
          <w:numId w:val="26"/>
        </w:numPr>
        <w:spacing w:after="120"/>
        <w:jc w:val="both"/>
        <w:rPr>
          <w:rFonts w:cs="Arial"/>
        </w:rPr>
      </w:pPr>
      <w:r w:rsidRPr="00161D57">
        <w:rPr>
          <w:rFonts w:cs="Arial"/>
        </w:rPr>
        <w:t>The</w:t>
      </w:r>
      <w:r w:rsidR="000D45F7">
        <w:rPr>
          <w:rFonts w:cs="Arial"/>
        </w:rPr>
        <w:t xml:space="preserve"> </w:t>
      </w:r>
      <w:r w:rsidR="000D45F7" w:rsidRPr="000D45F7">
        <w:rPr>
          <w:rFonts w:cs="Arial"/>
        </w:rPr>
        <w:t>Dedicated Schools Grant (DSG) is distributed by the Department for Education (DfE) in accordance with a nationally determined funding formula. The grant is allocated to local authorities through four funding blocks: the Schools Block (SB), Early Years Block (EYB), High Needs Block (HNB), and the Central Schools Services Block (CSSB).</w:t>
      </w:r>
    </w:p>
    <w:p w14:paraId="06132AA9" w14:textId="77777777" w:rsidR="000D45F7" w:rsidRPr="000D45F7" w:rsidRDefault="000D45F7" w:rsidP="000D45F7">
      <w:pPr>
        <w:spacing w:after="120"/>
        <w:jc w:val="both"/>
        <w:rPr>
          <w:rFonts w:cs="Arial"/>
        </w:rPr>
      </w:pPr>
    </w:p>
    <w:p w14:paraId="6435BE52" w14:textId="78FE2561" w:rsidR="0055191C" w:rsidRPr="000D45F7" w:rsidRDefault="004B1BD4" w:rsidP="000D45F7">
      <w:pPr>
        <w:pStyle w:val="ListParagraph"/>
        <w:numPr>
          <w:ilvl w:val="1"/>
          <w:numId w:val="26"/>
        </w:numPr>
        <w:spacing w:after="120"/>
        <w:jc w:val="both"/>
      </w:pPr>
      <w:r>
        <w:t xml:space="preserve">This </w:t>
      </w:r>
      <w:r w:rsidR="000D45F7" w:rsidRPr="000D45F7">
        <w:t>paper provides a breakdown of the projected expenditure forecast for the Dedicated Schools Grant (DSG) for FY 2026/27. Financial pressures are primarily concentrated within the High Needs Block (HNB), driven by increasing demand for Education, Health and Care Plans (EHCPs), rising costs of specialist placements, and insufficient funding to meet the increasingly complex needs of pupils.</w:t>
      </w:r>
    </w:p>
    <w:p w14:paraId="4C66B1DB" w14:textId="77777777" w:rsidR="0055191C" w:rsidRPr="007E333C" w:rsidRDefault="0055191C" w:rsidP="007E333C"/>
    <w:p w14:paraId="79719C6E" w14:textId="09C72346" w:rsidR="0055191C" w:rsidRPr="0055191C" w:rsidRDefault="00D35866" w:rsidP="0055191C">
      <w:pPr>
        <w:pStyle w:val="Heading2"/>
        <w:numPr>
          <w:ilvl w:val="0"/>
          <w:numId w:val="17"/>
        </w:numPr>
        <w:ind w:left="851" w:hanging="851"/>
        <w:rPr>
          <w:rFonts w:ascii="Arial" w:hAnsi="Arial" w:cs="Arial"/>
          <w:b/>
          <w:bCs/>
          <w:color w:val="000000" w:themeColor="text1"/>
          <w:sz w:val="24"/>
          <w:szCs w:val="24"/>
        </w:rPr>
      </w:pPr>
      <w:r>
        <w:rPr>
          <w:rFonts w:ascii="Arial" w:hAnsi="Arial" w:cs="Arial"/>
          <w:b/>
          <w:bCs/>
          <w:color w:val="000000" w:themeColor="text1"/>
          <w:sz w:val="24"/>
          <w:szCs w:val="24"/>
        </w:rPr>
        <w:t>Year End DSG Balances</w:t>
      </w:r>
    </w:p>
    <w:p w14:paraId="2A9E8F13" w14:textId="77777777" w:rsidR="00D35866" w:rsidRPr="00D35866" w:rsidRDefault="00D35866" w:rsidP="00D35866"/>
    <w:tbl>
      <w:tblPr>
        <w:tblW w:w="7900" w:type="dxa"/>
        <w:tblInd w:w="726" w:type="dxa"/>
        <w:tblLook w:val="04A0" w:firstRow="1" w:lastRow="0" w:firstColumn="1" w:lastColumn="0" w:noHBand="0" w:noVBand="1"/>
      </w:tblPr>
      <w:tblGrid>
        <w:gridCol w:w="2621"/>
        <w:gridCol w:w="1072"/>
        <w:gridCol w:w="945"/>
        <w:gridCol w:w="1152"/>
        <w:gridCol w:w="945"/>
        <w:gridCol w:w="943"/>
        <w:gridCol w:w="222"/>
      </w:tblGrid>
      <w:tr w:rsidR="0055191C" w:rsidRPr="0055191C" w14:paraId="03199C54" w14:textId="77777777" w:rsidTr="000D45F7">
        <w:trPr>
          <w:gridAfter w:val="1"/>
          <w:wAfter w:w="222" w:type="dxa"/>
          <w:trHeight w:val="288"/>
        </w:trPr>
        <w:tc>
          <w:tcPr>
            <w:tcW w:w="2621" w:type="dxa"/>
            <w:vMerge w:val="restart"/>
            <w:tcBorders>
              <w:top w:val="single" w:sz="4" w:space="0" w:color="000000"/>
              <w:left w:val="single" w:sz="4" w:space="0" w:color="000000"/>
              <w:bottom w:val="single" w:sz="8" w:space="0" w:color="000000"/>
              <w:right w:val="single" w:sz="8" w:space="0" w:color="000000"/>
            </w:tcBorders>
            <w:shd w:val="clear" w:color="000000" w:fill="C0E6F5"/>
            <w:vAlign w:val="center"/>
            <w:hideMark/>
          </w:tcPr>
          <w:p w14:paraId="47040B09" w14:textId="77777777" w:rsidR="0055191C" w:rsidRPr="0055191C" w:rsidRDefault="0055191C" w:rsidP="0055191C">
            <w:pPr>
              <w:rPr>
                <w:rFonts w:cs="Arial"/>
                <w:sz w:val="22"/>
                <w:szCs w:val="22"/>
              </w:rPr>
            </w:pPr>
            <w:r w:rsidRPr="0055191C">
              <w:rPr>
                <w:rFonts w:cs="Arial"/>
                <w:sz w:val="22"/>
                <w:szCs w:val="22"/>
              </w:rPr>
              <w:t>All figures in £m </w:t>
            </w:r>
          </w:p>
        </w:tc>
        <w:tc>
          <w:tcPr>
            <w:tcW w:w="1072" w:type="dxa"/>
            <w:vMerge w:val="restart"/>
            <w:tcBorders>
              <w:top w:val="single" w:sz="4" w:space="0" w:color="000000"/>
              <w:left w:val="single" w:sz="8" w:space="0" w:color="000000"/>
              <w:bottom w:val="single" w:sz="8" w:space="0" w:color="000000"/>
              <w:right w:val="single" w:sz="8" w:space="0" w:color="000000"/>
            </w:tcBorders>
            <w:shd w:val="clear" w:color="000000" w:fill="C0E6F5"/>
            <w:vAlign w:val="center"/>
            <w:hideMark/>
          </w:tcPr>
          <w:p w14:paraId="01284106" w14:textId="77777777" w:rsidR="0055191C" w:rsidRPr="0055191C" w:rsidRDefault="0055191C" w:rsidP="0055191C">
            <w:pPr>
              <w:jc w:val="center"/>
              <w:rPr>
                <w:rFonts w:cs="Arial"/>
                <w:b/>
                <w:bCs/>
                <w:sz w:val="22"/>
                <w:szCs w:val="22"/>
              </w:rPr>
            </w:pPr>
            <w:r w:rsidRPr="0055191C">
              <w:rPr>
                <w:rFonts w:cs="Arial"/>
                <w:b/>
                <w:bCs/>
                <w:sz w:val="22"/>
                <w:szCs w:val="22"/>
              </w:rPr>
              <w:t>Schools Block</w:t>
            </w:r>
            <w:r w:rsidRPr="0055191C">
              <w:rPr>
                <w:rFonts w:cs="Arial"/>
                <w:sz w:val="22"/>
                <w:szCs w:val="22"/>
              </w:rPr>
              <w:t> </w:t>
            </w:r>
          </w:p>
        </w:tc>
        <w:tc>
          <w:tcPr>
            <w:tcW w:w="945" w:type="dxa"/>
            <w:vMerge w:val="restart"/>
            <w:tcBorders>
              <w:top w:val="single" w:sz="4" w:space="0" w:color="000000"/>
              <w:left w:val="single" w:sz="8" w:space="0" w:color="000000"/>
              <w:bottom w:val="single" w:sz="8" w:space="0" w:color="000000"/>
              <w:right w:val="single" w:sz="8" w:space="0" w:color="000000"/>
            </w:tcBorders>
            <w:shd w:val="clear" w:color="000000" w:fill="C0E6F5"/>
            <w:vAlign w:val="center"/>
            <w:hideMark/>
          </w:tcPr>
          <w:p w14:paraId="0053341D" w14:textId="77777777" w:rsidR="0055191C" w:rsidRPr="0055191C" w:rsidRDefault="0055191C" w:rsidP="0055191C">
            <w:pPr>
              <w:jc w:val="center"/>
              <w:rPr>
                <w:rFonts w:cs="Arial"/>
                <w:b/>
                <w:bCs/>
                <w:sz w:val="22"/>
                <w:szCs w:val="22"/>
              </w:rPr>
            </w:pPr>
            <w:r w:rsidRPr="0055191C">
              <w:rPr>
                <w:rFonts w:cs="Arial"/>
                <w:b/>
                <w:bCs/>
                <w:sz w:val="22"/>
                <w:szCs w:val="22"/>
              </w:rPr>
              <w:t>Early years Block</w:t>
            </w:r>
            <w:r w:rsidRPr="0055191C">
              <w:rPr>
                <w:rFonts w:cs="Arial"/>
                <w:sz w:val="22"/>
                <w:szCs w:val="22"/>
              </w:rPr>
              <w:t> </w:t>
            </w:r>
          </w:p>
        </w:tc>
        <w:tc>
          <w:tcPr>
            <w:tcW w:w="1152" w:type="dxa"/>
            <w:vMerge w:val="restart"/>
            <w:tcBorders>
              <w:top w:val="single" w:sz="4" w:space="0" w:color="000000"/>
              <w:left w:val="single" w:sz="8" w:space="0" w:color="000000"/>
              <w:bottom w:val="single" w:sz="8" w:space="0" w:color="000000"/>
              <w:right w:val="single" w:sz="8" w:space="0" w:color="000000"/>
            </w:tcBorders>
            <w:shd w:val="clear" w:color="000000" w:fill="C0E6F5"/>
            <w:vAlign w:val="center"/>
            <w:hideMark/>
          </w:tcPr>
          <w:p w14:paraId="1302E11B" w14:textId="77777777" w:rsidR="0055191C" w:rsidRPr="0055191C" w:rsidRDefault="0055191C" w:rsidP="0055191C">
            <w:pPr>
              <w:jc w:val="center"/>
              <w:rPr>
                <w:rFonts w:cs="Arial"/>
                <w:b/>
                <w:bCs/>
                <w:sz w:val="22"/>
                <w:szCs w:val="22"/>
              </w:rPr>
            </w:pPr>
            <w:r w:rsidRPr="0055191C">
              <w:rPr>
                <w:rFonts w:cs="Arial"/>
                <w:b/>
                <w:bCs/>
                <w:sz w:val="22"/>
                <w:szCs w:val="22"/>
              </w:rPr>
              <w:t>Central Schools Services Block </w:t>
            </w:r>
            <w:r w:rsidRPr="0055191C">
              <w:rPr>
                <w:rFonts w:cs="Arial"/>
                <w:sz w:val="22"/>
                <w:szCs w:val="22"/>
              </w:rPr>
              <w:t> </w:t>
            </w:r>
          </w:p>
        </w:tc>
        <w:tc>
          <w:tcPr>
            <w:tcW w:w="945" w:type="dxa"/>
            <w:vMerge w:val="restart"/>
            <w:tcBorders>
              <w:top w:val="single" w:sz="4" w:space="0" w:color="000000"/>
              <w:left w:val="single" w:sz="8" w:space="0" w:color="000000"/>
              <w:bottom w:val="single" w:sz="8" w:space="0" w:color="000000"/>
              <w:right w:val="single" w:sz="8" w:space="0" w:color="000000"/>
            </w:tcBorders>
            <w:shd w:val="clear" w:color="000000" w:fill="C0E6F5"/>
            <w:vAlign w:val="center"/>
            <w:hideMark/>
          </w:tcPr>
          <w:p w14:paraId="708279FF" w14:textId="77777777" w:rsidR="0055191C" w:rsidRPr="0055191C" w:rsidRDefault="0055191C" w:rsidP="0055191C">
            <w:pPr>
              <w:jc w:val="center"/>
              <w:rPr>
                <w:rFonts w:cs="Arial"/>
                <w:b/>
                <w:bCs/>
                <w:sz w:val="22"/>
                <w:szCs w:val="22"/>
              </w:rPr>
            </w:pPr>
            <w:r w:rsidRPr="0055191C">
              <w:rPr>
                <w:rFonts w:cs="Arial"/>
                <w:b/>
                <w:bCs/>
                <w:sz w:val="22"/>
                <w:szCs w:val="22"/>
              </w:rPr>
              <w:t>High needs Block</w:t>
            </w:r>
            <w:r w:rsidRPr="0055191C">
              <w:rPr>
                <w:rFonts w:cs="Arial"/>
                <w:sz w:val="22"/>
                <w:szCs w:val="22"/>
              </w:rPr>
              <w:t> </w:t>
            </w:r>
          </w:p>
        </w:tc>
        <w:tc>
          <w:tcPr>
            <w:tcW w:w="943" w:type="dxa"/>
            <w:vMerge w:val="restart"/>
            <w:tcBorders>
              <w:top w:val="single" w:sz="4" w:space="0" w:color="000000"/>
              <w:left w:val="single" w:sz="8" w:space="0" w:color="000000"/>
              <w:bottom w:val="single" w:sz="8" w:space="0" w:color="000000"/>
              <w:right w:val="single" w:sz="4" w:space="0" w:color="000000"/>
            </w:tcBorders>
            <w:shd w:val="clear" w:color="000000" w:fill="C0E6F5"/>
            <w:vAlign w:val="center"/>
            <w:hideMark/>
          </w:tcPr>
          <w:p w14:paraId="588F0E04" w14:textId="77777777" w:rsidR="0055191C" w:rsidRPr="0055191C" w:rsidRDefault="0055191C" w:rsidP="0055191C">
            <w:pPr>
              <w:jc w:val="center"/>
              <w:rPr>
                <w:rFonts w:cs="Arial"/>
                <w:b/>
                <w:bCs/>
                <w:sz w:val="22"/>
                <w:szCs w:val="22"/>
              </w:rPr>
            </w:pPr>
            <w:r w:rsidRPr="0055191C">
              <w:rPr>
                <w:rFonts w:cs="Arial"/>
                <w:b/>
                <w:bCs/>
                <w:sz w:val="22"/>
                <w:szCs w:val="22"/>
              </w:rPr>
              <w:t>Total </w:t>
            </w:r>
            <w:r w:rsidRPr="0055191C">
              <w:rPr>
                <w:rFonts w:cs="Arial"/>
                <w:sz w:val="22"/>
                <w:szCs w:val="22"/>
              </w:rPr>
              <w:t> </w:t>
            </w:r>
          </w:p>
        </w:tc>
      </w:tr>
      <w:tr w:rsidR="0055191C" w:rsidRPr="0055191C" w14:paraId="76EA5FC2" w14:textId="77777777" w:rsidTr="000D45F7">
        <w:trPr>
          <w:trHeight w:val="288"/>
        </w:trPr>
        <w:tc>
          <w:tcPr>
            <w:tcW w:w="2621" w:type="dxa"/>
            <w:vMerge/>
            <w:tcBorders>
              <w:top w:val="single" w:sz="4" w:space="0" w:color="000000"/>
              <w:left w:val="single" w:sz="4" w:space="0" w:color="000000"/>
              <w:bottom w:val="single" w:sz="8" w:space="0" w:color="000000"/>
              <w:right w:val="single" w:sz="8" w:space="0" w:color="000000"/>
            </w:tcBorders>
            <w:vAlign w:val="center"/>
            <w:hideMark/>
          </w:tcPr>
          <w:p w14:paraId="088EF313" w14:textId="77777777" w:rsidR="0055191C" w:rsidRPr="0055191C" w:rsidRDefault="0055191C" w:rsidP="0055191C">
            <w:pPr>
              <w:rPr>
                <w:rFonts w:cs="Arial"/>
                <w:sz w:val="22"/>
                <w:szCs w:val="22"/>
              </w:rPr>
            </w:pPr>
          </w:p>
        </w:tc>
        <w:tc>
          <w:tcPr>
            <w:tcW w:w="1072" w:type="dxa"/>
            <w:vMerge/>
            <w:tcBorders>
              <w:top w:val="single" w:sz="4" w:space="0" w:color="000000"/>
              <w:left w:val="single" w:sz="8" w:space="0" w:color="000000"/>
              <w:bottom w:val="single" w:sz="8" w:space="0" w:color="000000"/>
              <w:right w:val="single" w:sz="8" w:space="0" w:color="000000"/>
            </w:tcBorders>
            <w:vAlign w:val="center"/>
            <w:hideMark/>
          </w:tcPr>
          <w:p w14:paraId="6F0FC7FD" w14:textId="77777777" w:rsidR="0055191C" w:rsidRPr="0055191C" w:rsidRDefault="0055191C" w:rsidP="0055191C">
            <w:pPr>
              <w:rPr>
                <w:rFonts w:cs="Arial"/>
                <w:b/>
                <w:bCs/>
                <w:sz w:val="22"/>
                <w:szCs w:val="22"/>
              </w:rPr>
            </w:pPr>
          </w:p>
        </w:tc>
        <w:tc>
          <w:tcPr>
            <w:tcW w:w="945" w:type="dxa"/>
            <w:vMerge/>
            <w:tcBorders>
              <w:top w:val="single" w:sz="4" w:space="0" w:color="000000"/>
              <w:left w:val="single" w:sz="8" w:space="0" w:color="000000"/>
              <w:bottom w:val="single" w:sz="8" w:space="0" w:color="000000"/>
              <w:right w:val="single" w:sz="8" w:space="0" w:color="000000"/>
            </w:tcBorders>
            <w:vAlign w:val="center"/>
            <w:hideMark/>
          </w:tcPr>
          <w:p w14:paraId="4B782C90" w14:textId="77777777" w:rsidR="0055191C" w:rsidRPr="0055191C" w:rsidRDefault="0055191C" w:rsidP="0055191C">
            <w:pPr>
              <w:rPr>
                <w:rFonts w:cs="Arial"/>
                <w:b/>
                <w:bCs/>
                <w:sz w:val="22"/>
                <w:szCs w:val="22"/>
              </w:rPr>
            </w:pPr>
          </w:p>
        </w:tc>
        <w:tc>
          <w:tcPr>
            <w:tcW w:w="1152" w:type="dxa"/>
            <w:vMerge/>
            <w:tcBorders>
              <w:top w:val="single" w:sz="4" w:space="0" w:color="000000"/>
              <w:left w:val="single" w:sz="8" w:space="0" w:color="000000"/>
              <w:bottom w:val="single" w:sz="8" w:space="0" w:color="000000"/>
              <w:right w:val="single" w:sz="8" w:space="0" w:color="000000"/>
            </w:tcBorders>
            <w:vAlign w:val="center"/>
            <w:hideMark/>
          </w:tcPr>
          <w:p w14:paraId="5C525E03" w14:textId="77777777" w:rsidR="0055191C" w:rsidRPr="0055191C" w:rsidRDefault="0055191C" w:rsidP="0055191C">
            <w:pPr>
              <w:rPr>
                <w:rFonts w:cs="Arial"/>
                <w:b/>
                <w:bCs/>
                <w:sz w:val="22"/>
                <w:szCs w:val="22"/>
              </w:rPr>
            </w:pPr>
          </w:p>
        </w:tc>
        <w:tc>
          <w:tcPr>
            <w:tcW w:w="945" w:type="dxa"/>
            <w:vMerge/>
            <w:tcBorders>
              <w:top w:val="single" w:sz="4" w:space="0" w:color="000000"/>
              <w:left w:val="single" w:sz="8" w:space="0" w:color="000000"/>
              <w:bottom w:val="single" w:sz="8" w:space="0" w:color="000000"/>
              <w:right w:val="single" w:sz="8" w:space="0" w:color="000000"/>
            </w:tcBorders>
            <w:vAlign w:val="center"/>
            <w:hideMark/>
          </w:tcPr>
          <w:p w14:paraId="5EED80CA" w14:textId="77777777" w:rsidR="0055191C" w:rsidRPr="0055191C" w:rsidRDefault="0055191C" w:rsidP="0055191C">
            <w:pPr>
              <w:rPr>
                <w:rFonts w:cs="Arial"/>
                <w:b/>
                <w:bCs/>
                <w:sz w:val="22"/>
                <w:szCs w:val="22"/>
              </w:rPr>
            </w:pPr>
          </w:p>
        </w:tc>
        <w:tc>
          <w:tcPr>
            <w:tcW w:w="943" w:type="dxa"/>
            <w:vMerge/>
            <w:tcBorders>
              <w:top w:val="single" w:sz="4" w:space="0" w:color="000000"/>
              <w:left w:val="single" w:sz="8" w:space="0" w:color="000000"/>
              <w:bottom w:val="single" w:sz="8" w:space="0" w:color="000000"/>
              <w:right w:val="single" w:sz="4" w:space="0" w:color="000000"/>
            </w:tcBorders>
            <w:vAlign w:val="center"/>
            <w:hideMark/>
          </w:tcPr>
          <w:p w14:paraId="5872AE35" w14:textId="77777777" w:rsidR="0055191C" w:rsidRPr="0055191C" w:rsidRDefault="0055191C" w:rsidP="0055191C">
            <w:pPr>
              <w:rPr>
                <w:rFonts w:cs="Arial"/>
                <w:b/>
                <w:bCs/>
                <w:sz w:val="22"/>
                <w:szCs w:val="22"/>
              </w:rPr>
            </w:pPr>
          </w:p>
        </w:tc>
        <w:tc>
          <w:tcPr>
            <w:tcW w:w="222" w:type="dxa"/>
            <w:tcBorders>
              <w:top w:val="nil"/>
              <w:left w:val="nil"/>
              <w:bottom w:val="nil"/>
              <w:right w:val="nil"/>
            </w:tcBorders>
            <w:noWrap/>
            <w:vAlign w:val="bottom"/>
            <w:hideMark/>
          </w:tcPr>
          <w:p w14:paraId="42920584" w14:textId="77777777" w:rsidR="0055191C" w:rsidRPr="0055191C" w:rsidRDefault="0055191C" w:rsidP="0055191C">
            <w:pPr>
              <w:jc w:val="center"/>
              <w:rPr>
                <w:rFonts w:cs="Arial"/>
                <w:b/>
                <w:bCs/>
                <w:sz w:val="22"/>
                <w:szCs w:val="22"/>
              </w:rPr>
            </w:pPr>
          </w:p>
        </w:tc>
      </w:tr>
      <w:tr w:rsidR="0055191C" w:rsidRPr="0055191C" w14:paraId="6700EC2E" w14:textId="77777777" w:rsidTr="000D45F7">
        <w:trPr>
          <w:trHeight w:val="516"/>
        </w:trPr>
        <w:tc>
          <w:tcPr>
            <w:tcW w:w="2621" w:type="dxa"/>
            <w:vMerge/>
            <w:tcBorders>
              <w:top w:val="single" w:sz="4" w:space="0" w:color="000000"/>
              <w:left w:val="single" w:sz="4" w:space="0" w:color="000000"/>
              <w:bottom w:val="single" w:sz="8" w:space="0" w:color="000000"/>
              <w:right w:val="single" w:sz="8" w:space="0" w:color="000000"/>
            </w:tcBorders>
            <w:vAlign w:val="center"/>
            <w:hideMark/>
          </w:tcPr>
          <w:p w14:paraId="18688845" w14:textId="77777777" w:rsidR="0055191C" w:rsidRPr="0055191C" w:rsidRDefault="0055191C" w:rsidP="0055191C">
            <w:pPr>
              <w:rPr>
                <w:rFonts w:cs="Arial"/>
                <w:sz w:val="22"/>
                <w:szCs w:val="22"/>
              </w:rPr>
            </w:pPr>
          </w:p>
        </w:tc>
        <w:tc>
          <w:tcPr>
            <w:tcW w:w="1072" w:type="dxa"/>
            <w:vMerge/>
            <w:tcBorders>
              <w:top w:val="single" w:sz="4" w:space="0" w:color="000000"/>
              <w:left w:val="single" w:sz="8" w:space="0" w:color="000000"/>
              <w:bottom w:val="single" w:sz="8" w:space="0" w:color="000000"/>
              <w:right w:val="single" w:sz="8" w:space="0" w:color="000000"/>
            </w:tcBorders>
            <w:vAlign w:val="center"/>
            <w:hideMark/>
          </w:tcPr>
          <w:p w14:paraId="7D407D07" w14:textId="77777777" w:rsidR="0055191C" w:rsidRPr="0055191C" w:rsidRDefault="0055191C" w:rsidP="0055191C">
            <w:pPr>
              <w:rPr>
                <w:rFonts w:cs="Arial"/>
                <w:b/>
                <w:bCs/>
                <w:sz w:val="22"/>
                <w:szCs w:val="22"/>
              </w:rPr>
            </w:pPr>
          </w:p>
        </w:tc>
        <w:tc>
          <w:tcPr>
            <w:tcW w:w="945" w:type="dxa"/>
            <w:vMerge/>
            <w:tcBorders>
              <w:top w:val="single" w:sz="4" w:space="0" w:color="000000"/>
              <w:left w:val="single" w:sz="8" w:space="0" w:color="000000"/>
              <w:bottom w:val="single" w:sz="8" w:space="0" w:color="000000"/>
              <w:right w:val="single" w:sz="8" w:space="0" w:color="000000"/>
            </w:tcBorders>
            <w:vAlign w:val="center"/>
            <w:hideMark/>
          </w:tcPr>
          <w:p w14:paraId="2E097E10" w14:textId="77777777" w:rsidR="0055191C" w:rsidRPr="0055191C" w:rsidRDefault="0055191C" w:rsidP="0055191C">
            <w:pPr>
              <w:rPr>
                <w:rFonts w:cs="Arial"/>
                <w:b/>
                <w:bCs/>
                <w:sz w:val="22"/>
                <w:szCs w:val="22"/>
              </w:rPr>
            </w:pPr>
          </w:p>
        </w:tc>
        <w:tc>
          <w:tcPr>
            <w:tcW w:w="1152" w:type="dxa"/>
            <w:vMerge/>
            <w:tcBorders>
              <w:top w:val="single" w:sz="4" w:space="0" w:color="000000"/>
              <w:left w:val="single" w:sz="8" w:space="0" w:color="000000"/>
              <w:bottom w:val="single" w:sz="8" w:space="0" w:color="000000"/>
              <w:right w:val="single" w:sz="8" w:space="0" w:color="000000"/>
            </w:tcBorders>
            <w:vAlign w:val="center"/>
            <w:hideMark/>
          </w:tcPr>
          <w:p w14:paraId="3D3603DB" w14:textId="77777777" w:rsidR="0055191C" w:rsidRPr="0055191C" w:rsidRDefault="0055191C" w:rsidP="0055191C">
            <w:pPr>
              <w:rPr>
                <w:rFonts w:cs="Arial"/>
                <w:b/>
                <w:bCs/>
                <w:sz w:val="22"/>
                <w:szCs w:val="22"/>
              </w:rPr>
            </w:pPr>
          </w:p>
        </w:tc>
        <w:tc>
          <w:tcPr>
            <w:tcW w:w="945" w:type="dxa"/>
            <w:vMerge/>
            <w:tcBorders>
              <w:top w:val="single" w:sz="4" w:space="0" w:color="000000"/>
              <w:left w:val="single" w:sz="8" w:space="0" w:color="000000"/>
              <w:bottom w:val="single" w:sz="8" w:space="0" w:color="000000"/>
              <w:right w:val="single" w:sz="8" w:space="0" w:color="000000"/>
            </w:tcBorders>
            <w:vAlign w:val="center"/>
            <w:hideMark/>
          </w:tcPr>
          <w:p w14:paraId="5C3EAC71" w14:textId="77777777" w:rsidR="0055191C" w:rsidRPr="0055191C" w:rsidRDefault="0055191C" w:rsidP="0055191C">
            <w:pPr>
              <w:rPr>
                <w:rFonts w:cs="Arial"/>
                <w:b/>
                <w:bCs/>
                <w:sz w:val="22"/>
                <w:szCs w:val="22"/>
              </w:rPr>
            </w:pPr>
          </w:p>
        </w:tc>
        <w:tc>
          <w:tcPr>
            <w:tcW w:w="943" w:type="dxa"/>
            <w:vMerge/>
            <w:tcBorders>
              <w:top w:val="single" w:sz="4" w:space="0" w:color="000000"/>
              <w:left w:val="single" w:sz="8" w:space="0" w:color="000000"/>
              <w:bottom w:val="single" w:sz="8" w:space="0" w:color="000000"/>
              <w:right w:val="single" w:sz="4" w:space="0" w:color="000000"/>
            </w:tcBorders>
            <w:vAlign w:val="center"/>
            <w:hideMark/>
          </w:tcPr>
          <w:p w14:paraId="6B6A5A9E" w14:textId="77777777" w:rsidR="0055191C" w:rsidRPr="0055191C" w:rsidRDefault="0055191C" w:rsidP="0055191C">
            <w:pPr>
              <w:rPr>
                <w:rFonts w:cs="Arial"/>
                <w:b/>
                <w:bCs/>
                <w:sz w:val="22"/>
                <w:szCs w:val="22"/>
              </w:rPr>
            </w:pPr>
          </w:p>
        </w:tc>
        <w:tc>
          <w:tcPr>
            <w:tcW w:w="222" w:type="dxa"/>
            <w:tcBorders>
              <w:top w:val="nil"/>
              <w:left w:val="nil"/>
              <w:bottom w:val="nil"/>
              <w:right w:val="nil"/>
            </w:tcBorders>
            <w:noWrap/>
            <w:vAlign w:val="bottom"/>
            <w:hideMark/>
          </w:tcPr>
          <w:p w14:paraId="6A234AFE" w14:textId="77777777" w:rsidR="0055191C" w:rsidRPr="0055191C" w:rsidRDefault="0055191C" w:rsidP="0055191C">
            <w:pPr>
              <w:rPr>
                <w:rFonts w:ascii="Times New Roman" w:hAnsi="Times New Roman"/>
                <w:sz w:val="20"/>
                <w:szCs w:val="20"/>
              </w:rPr>
            </w:pPr>
          </w:p>
        </w:tc>
      </w:tr>
      <w:tr w:rsidR="0055191C" w:rsidRPr="0055191C" w14:paraId="162BAC02" w14:textId="77777777" w:rsidTr="000D45F7">
        <w:trPr>
          <w:trHeight w:val="564"/>
        </w:trPr>
        <w:tc>
          <w:tcPr>
            <w:tcW w:w="2621" w:type="dxa"/>
            <w:tcBorders>
              <w:top w:val="nil"/>
              <w:left w:val="single" w:sz="4" w:space="0" w:color="000000"/>
              <w:bottom w:val="single" w:sz="8" w:space="0" w:color="000000"/>
              <w:right w:val="single" w:sz="8" w:space="0" w:color="000000"/>
            </w:tcBorders>
            <w:shd w:val="clear" w:color="000000" w:fill="F2F2F2"/>
            <w:vAlign w:val="center"/>
            <w:hideMark/>
          </w:tcPr>
          <w:p w14:paraId="29718EDB" w14:textId="77777777" w:rsidR="0055191C" w:rsidRPr="0055191C" w:rsidRDefault="0055191C" w:rsidP="0055191C">
            <w:pPr>
              <w:rPr>
                <w:rFonts w:cs="Arial"/>
                <w:b/>
                <w:bCs/>
                <w:sz w:val="22"/>
                <w:szCs w:val="22"/>
              </w:rPr>
            </w:pPr>
            <w:r w:rsidRPr="0055191C">
              <w:rPr>
                <w:rFonts w:cs="Arial"/>
                <w:b/>
                <w:bCs/>
                <w:sz w:val="22"/>
                <w:szCs w:val="22"/>
              </w:rPr>
              <w:t>Opening deficit balance 2026/27</w:t>
            </w:r>
            <w:r w:rsidRPr="0055191C">
              <w:rPr>
                <w:rFonts w:cs="Arial"/>
                <w:sz w:val="22"/>
                <w:szCs w:val="22"/>
              </w:rPr>
              <w:t> </w:t>
            </w:r>
          </w:p>
        </w:tc>
        <w:tc>
          <w:tcPr>
            <w:tcW w:w="1072" w:type="dxa"/>
            <w:tcBorders>
              <w:top w:val="nil"/>
              <w:left w:val="nil"/>
              <w:bottom w:val="single" w:sz="8" w:space="0" w:color="000000"/>
              <w:right w:val="single" w:sz="8" w:space="0" w:color="000000"/>
            </w:tcBorders>
            <w:shd w:val="clear" w:color="000000" w:fill="F2F2F2"/>
            <w:vAlign w:val="center"/>
            <w:hideMark/>
          </w:tcPr>
          <w:p w14:paraId="048241DA" w14:textId="77777777" w:rsidR="0055191C" w:rsidRPr="0055191C" w:rsidRDefault="0055191C" w:rsidP="0055191C">
            <w:pPr>
              <w:jc w:val="center"/>
              <w:rPr>
                <w:rFonts w:cs="Arial"/>
                <w:b/>
                <w:bCs/>
                <w:sz w:val="22"/>
                <w:szCs w:val="22"/>
              </w:rPr>
            </w:pPr>
            <w:r w:rsidRPr="0055191C">
              <w:rPr>
                <w:rFonts w:cs="Arial"/>
                <w:b/>
                <w:bCs/>
                <w:sz w:val="22"/>
                <w:szCs w:val="22"/>
              </w:rPr>
              <w:t xml:space="preserve">0.0 </w:t>
            </w:r>
          </w:p>
        </w:tc>
        <w:tc>
          <w:tcPr>
            <w:tcW w:w="945" w:type="dxa"/>
            <w:tcBorders>
              <w:top w:val="nil"/>
              <w:left w:val="nil"/>
              <w:bottom w:val="single" w:sz="8" w:space="0" w:color="000000"/>
              <w:right w:val="single" w:sz="8" w:space="0" w:color="000000"/>
            </w:tcBorders>
            <w:shd w:val="clear" w:color="000000" w:fill="F2F2F2"/>
            <w:vAlign w:val="center"/>
            <w:hideMark/>
          </w:tcPr>
          <w:p w14:paraId="1424F6F4" w14:textId="77777777" w:rsidR="0055191C" w:rsidRPr="0055191C" w:rsidRDefault="0055191C" w:rsidP="0055191C">
            <w:pPr>
              <w:jc w:val="center"/>
              <w:rPr>
                <w:rFonts w:cs="Arial"/>
                <w:b/>
                <w:bCs/>
                <w:sz w:val="22"/>
                <w:szCs w:val="22"/>
              </w:rPr>
            </w:pPr>
            <w:r w:rsidRPr="0055191C">
              <w:rPr>
                <w:rFonts w:cs="Arial"/>
                <w:b/>
                <w:bCs/>
                <w:sz w:val="22"/>
                <w:szCs w:val="22"/>
              </w:rPr>
              <w:t>0.0 </w:t>
            </w:r>
          </w:p>
        </w:tc>
        <w:tc>
          <w:tcPr>
            <w:tcW w:w="1152" w:type="dxa"/>
            <w:tcBorders>
              <w:top w:val="nil"/>
              <w:left w:val="nil"/>
              <w:bottom w:val="single" w:sz="8" w:space="0" w:color="000000"/>
              <w:right w:val="single" w:sz="8" w:space="0" w:color="000000"/>
            </w:tcBorders>
            <w:shd w:val="clear" w:color="000000" w:fill="F2F2F2"/>
            <w:vAlign w:val="center"/>
            <w:hideMark/>
          </w:tcPr>
          <w:p w14:paraId="6922AF4D" w14:textId="77777777" w:rsidR="0055191C" w:rsidRPr="0055191C" w:rsidRDefault="0055191C" w:rsidP="0055191C">
            <w:pPr>
              <w:jc w:val="center"/>
              <w:rPr>
                <w:rFonts w:cs="Arial"/>
                <w:b/>
                <w:bCs/>
                <w:sz w:val="22"/>
                <w:szCs w:val="22"/>
              </w:rPr>
            </w:pPr>
            <w:r w:rsidRPr="0055191C">
              <w:rPr>
                <w:rFonts w:cs="Arial"/>
                <w:b/>
                <w:bCs/>
                <w:sz w:val="22"/>
                <w:szCs w:val="22"/>
              </w:rPr>
              <w:t xml:space="preserve">0.0 </w:t>
            </w:r>
          </w:p>
        </w:tc>
        <w:tc>
          <w:tcPr>
            <w:tcW w:w="945" w:type="dxa"/>
            <w:tcBorders>
              <w:top w:val="nil"/>
              <w:left w:val="nil"/>
              <w:bottom w:val="single" w:sz="8" w:space="0" w:color="000000"/>
              <w:right w:val="single" w:sz="8" w:space="0" w:color="000000"/>
            </w:tcBorders>
            <w:shd w:val="clear" w:color="000000" w:fill="F2F2F2"/>
            <w:vAlign w:val="center"/>
            <w:hideMark/>
          </w:tcPr>
          <w:p w14:paraId="72AC13CE" w14:textId="77777777" w:rsidR="0055191C" w:rsidRPr="0055191C" w:rsidRDefault="0055191C" w:rsidP="0055191C">
            <w:pPr>
              <w:jc w:val="center"/>
              <w:rPr>
                <w:rFonts w:cs="Arial"/>
                <w:b/>
                <w:bCs/>
                <w:sz w:val="22"/>
                <w:szCs w:val="22"/>
              </w:rPr>
            </w:pPr>
            <w:r w:rsidRPr="0055191C">
              <w:rPr>
                <w:rFonts w:cs="Arial"/>
                <w:b/>
                <w:bCs/>
                <w:sz w:val="22"/>
                <w:szCs w:val="22"/>
              </w:rPr>
              <w:t xml:space="preserve">35.2 </w:t>
            </w:r>
          </w:p>
        </w:tc>
        <w:tc>
          <w:tcPr>
            <w:tcW w:w="943" w:type="dxa"/>
            <w:tcBorders>
              <w:top w:val="nil"/>
              <w:left w:val="nil"/>
              <w:bottom w:val="single" w:sz="8" w:space="0" w:color="000000"/>
              <w:right w:val="single" w:sz="8" w:space="0" w:color="000000"/>
            </w:tcBorders>
            <w:shd w:val="clear" w:color="000000" w:fill="F2F2F2"/>
            <w:vAlign w:val="center"/>
            <w:hideMark/>
          </w:tcPr>
          <w:p w14:paraId="4E80C92F" w14:textId="77777777" w:rsidR="0055191C" w:rsidRPr="0055191C" w:rsidRDefault="0055191C" w:rsidP="0055191C">
            <w:pPr>
              <w:jc w:val="center"/>
              <w:rPr>
                <w:rFonts w:cs="Arial"/>
                <w:b/>
                <w:bCs/>
                <w:sz w:val="22"/>
                <w:szCs w:val="22"/>
              </w:rPr>
            </w:pPr>
            <w:r w:rsidRPr="0055191C">
              <w:rPr>
                <w:rFonts w:cs="Arial"/>
                <w:b/>
                <w:bCs/>
                <w:sz w:val="22"/>
                <w:szCs w:val="22"/>
              </w:rPr>
              <w:t xml:space="preserve">35.2 </w:t>
            </w:r>
          </w:p>
        </w:tc>
        <w:tc>
          <w:tcPr>
            <w:tcW w:w="222" w:type="dxa"/>
            <w:vAlign w:val="center"/>
            <w:hideMark/>
          </w:tcPr>
          <w:p w14:paraId="3DB2F9F3" w14:textId="77777777" w:rsidR="0055191C" w:rsidRPr="0055191C" w:rsidRDefault="0055191C" w:rsidP="0055191C">
            <w:pPr>
              <w:rPr>
                <w:rFonts w:ascii="Times New Roman" w:hAnsi="Times New Roman"/>
                <w:sz w:val="20"/>
                <w:szCs w:val="20"/>
              </w:rPr>
            </w:pPr>
          </w:p>
        </w:tc>
      </w:tr>
      <w:tr w:rsidR="0055191C" w:rsidRPr="0055191C" w14:paraId="19AE296A" w14:textId="77777777" w:rsidTr="000D45F7">
        <w:trPr>
          <w:trHeight w:val="564"/>
        </w:trPr>
        <w:tc>
          <w:tcPr>
            <w:tcW w:w="2621" w:type="dxa"/>
            <w:tcBorders>
              <w:top w:val="nil"/>
              <w:left w:val="single" w:sz="4" w:space="0" w:color="000000"/>
              <w:bottom w:val="single" w:sz="8" w:space="0" w:color="000000"/>
              <w:right w:val="single" w:sz="8" w:space="0" w:color="000000"/>
            </w:tcBorders>
            <w:shd w:val="clear" w:color="000000" w:fill="FFFFFF"/>
            <w:vAlign w:val="center"/>
            <w:hideMark/>
          </w:tcPr>
          <w:p w14:paraId="24727C34" w14:textId="77777777" w:rsidR="0055191C" w:rsidRPr="0055191C" w:rsidRDefault="0055191C" w:rsidP="0055191C">
            <w:pPr>
              <w:rPr>
                <w:rFonts w:cs="Arial"/>
                <w:sz w:val="22"/>
                <w:szCs w:val="22"/>
              </w:rPr>
            </w:pPr>
            <w:r w:rsidRPr="0055191C">
              <w:rPr>
                <w:rFonts w:cs="Arial"/>
                <w:sz w:val="22"/>
                <w:szCs w:val="22"/>
              </w:rPr>
              <w:t>In-year DSG (surplus) / deficit </w:t>
            </w:r>
          </w:p>
        </w:tc>
        <w:tc>
          <w:tcPr>
            <w:tcW w:w="1072" w:type="dxa"/>
            <w:tcBorders>
              <w:top w:val="nil"/>
              <w:left w:val="nil"/>
              <w:bottom w:val="single" w:sz="8" w:space="0" w:color="000000"/>
              <w:right w:val="single" w:sz="8" w:space="0" w:color="000000"/>
            </w:tcBorders>
            <w:shd w:val="clear" w:color="000000" w:fill="FFFFFF"/>
            <w:vAlign w:val="center"/>
            <w:hideMark/>
          </w:tcPr>
          <w:p w14:paraId="5713A890" w14:textId="18DFF585" w:rsidR="0055191C" w:rsidRPr="0055191C" w:rsidRDefault="0055191C" w:rsidP="0055191C">
            <w:pPr>
              <w:jc w:val="center"/>
              <w:rPr>
                <w:rFonts w:cs="Arial"/>
                <w:sz w:val="22"/>
                <w:szCs w:val="22"/>
              </w:rPr>
            </w:pPr>
            <w:r w:rsidRPr="0055191C">
              <w:rPr>
                <w:rFonts w:cs="Arial"/>
                <w:color w:val="FF0000"/>
                <w:sz w:val="22"/>
                <w:szCs w:val="22"/>
              </w:rPr>
              <w:t xml:space="preserve"> (</w:t>
            </w:r>
            <w:r w:rsidR="00543C98">
              <w:rPr>
                <w:rFonts w:cs="Arial"/>
                <w:color w:val="FF0000"/>
                <w:sz w:val="22"/>
                <w:szCs w:val="22"/>
              </w:rPr>
              <w:t>1</w:t>
            </w:r>
            <w:r w:rsidRPr="0055191C">
              <w:rPr>
                <w:rFonts w:cs="Arial"/>
                <w:color w:val="FF0000"/>
                <w:sz w:val="22"/>
                <w:szCs w:val="22"/>
              </w:rPr>
              <w:t>.</w:t>
            </w:r>
            <w:r w:rsidR="00543C98">
              <w:rPr>
                <w:rFonts w:cs="Arial"/>
                <w:color w:val="FF0000"/>
                <w:sz w:val="22"/>
                <w:szCs w:val="22"/>
              </w:rPr>
              <w:t>3</w:t>
            </w:r>
            <w:r w:rsidRPr="0055191C">
              <w:rPr>
                <w:rFonts w:cs="Arial"/>
                <w:color w:val="FF0000"/>
                <w:sz w:val="22"/>
                <w:szCs w:val="22"/>
              </w:rPr>
              <w:t>)</w:t>
            </w:r>
          </w:p>
        </w:tc>
        <w:tc>
          <w:tcPr>
            <w:tcW w:w="945" w:type="dxa"/>
            <w:tcBorders>
              <w:top w:val="nil"/>
              <w:left w:val="nil"/>
              <w:bottom w:val="single" w:sz="8" w:space="0" w:color="000000"/>
              <w:right w:val="single" w:sz="8" w:space="0" w:color="000000"/>
            </w:tcBorders>
            <w:shd w:val="clear" w:color="000000" w:fill="FFFFFF"/>
            <w:vAlign w:val="center"/>
            <w:hideMark/>
          </w:tcPr>
          <w:p w14:paraId="283675B4" w14:textId="77777777" w:rsidR="0055191C" w:rsidRPr="0055191C" w:rsidRDefault="0055191C" w:rsidP="0055191C">
            <w:pPr>
              <w:jc w:val="center"/>
              <w:rPr>
                <w:rFonts w:cs="Arial"/>
                <w:sz w:val="22"/>
                <w:szCs w:val="22"/>
              </w:rPr>
            </w:pPr>
            <w:r w:rsidRPr="0055191C">
              <w:rPr>
                <w:rFonts w:cs="Arial"/>
                <w:sz w:val="22"/>
                <w:szCs w:val="22"/>
              </w:rPr>
              <w:t>0.0 </w:t>
            </w:r>
          </w:p>
        </w:tc>
        <w:tc>
          <w:tcPr>
            <w:tcW w:w="1152" w:type="dxa"/>
            <w:tcBorders>
              <w:top w:val="nil"/>
              <w:left w:val="nil"/>
              <w:bottom w:val="single" w:sz="8" w:space="0" w:color="000000"/>
              <w:right w:val="single" w:sz="8" w:space="0" w:color="000000"/>
            </w:tcBorders>
            <w:shd w:val="clear" w:color="000000" w:fill="FFFFFF"/>
            <w:vAlign w:val="center"/>
            <w:hideMark/>
          </w:tcPr>
          <w:p w14:paraId="4C4E489E" w14:textId="77777777" w:rsidR="0055191C" w:rsidRPr="0055191C" w:rsidRDefault="0055191C" w:rsidP="0055191C">
            <w:pPr>
              <w:jc w:val="center"/>
              <w:rPr>
                <w:rFonts w:cs="Arial"/>
                <w:sz w:val="22"/>
                <w:szCs w:val="22"/>
              </w:rPr>
            </w:pPr>
            <w:r w:rsidRPr="0055191C">
              <w:rPr>
                <w:rFonts w:cs="Arial"/>
                <w:sz w:val="22"/>
                <w:szCs w:val="22"/>
              </w:rPr>
              <w:t>0.0 </w:t>
            </w:r>
          </w:p>
        </w:tc>
        <w:tc>
          <w:tcPr>
            <w:tcW w:w="945" w:type="dxa"/>
            <w:tcBorders>
              <w:top w:val="nil"/>
              <w:left w:val="nil"/>
              <w:bottom w:val="single" w:sz="8" w:space="0" w:color="000000"/>
              <w:right w:val="single" w:sz="8" w:space="0" w:color="000000"/>
            </w:tcBorders>
            <w:shd w:val="clear" w:color="000000" w:fill="FFFFFF"/>
            <w:vAlign w:val="center"/>
            <w:hideMark/>
          </w:tcPr>
          <w:p w14:paraId="7244A126" w14:textId="7D0524FA" w:rsidR="0055191C" w:rsidRPr="0055191C" w:rsidRDefault="0055191C" w:rsidP="0055191C">
            <w:pPr>
              <w:jc w:val="center"/>
              <w:rPr>
                <w:rFonts w:cs="Arial"/>
                <w:sz w:val="22"/>
                <w:szCs w:val="22"/>
              </w:rPr>
            </w:pPr>
            <w:r w:rsidRPr="0055191C">
              <w:rPr>
                <w:rFonts w:cs="Arial"/>
                <w:sz w:val="22"/>
                <w:szCs w:val="22"/>
              </w:rPr>
              <w:t>31.</w:t>
            </w:r>
            <w:r w:rsidR="00543C98">
              <w:rPr>
                <w:rFonts w:cs="Arial"/>
                <w:sz w:val="22"/>
                <w:szCs w:val="22"/>
              </w:rPr>
              <w:t>2</w:t>
            </w:r>
            <w:r w:rsidRPr="0055191C">
              <w:rPr>
                <w:rFonts w:cs="Arial"/>
                <w:sz w:val="22"/>
                <w:szCs w:val="22"/>
              </w:rPr>
              <w:t xml:space="preserve"> </w:t>
            </w:r>
          </w:p>
        </w:tc>
        <w:tc>
          <w:tcPr>
            <w:tcW w:w="943" w:type="dxa"/>
            <w:tcBorders>
              <w:top w:val="nil"/>
              <w:left w:val="nil"/>
              <w:bottom w:val="single" w:sz="8" w:space="0" w:color="000000"/>
              <w:right w:val="single" w:sz="8" w:space="0" w:color="000000"/>
            </w:tcBorders>
            <w:shd w:val="clear" w:color="000000" w:fill="FFFFFF"/>
            <w:vAlign w:val="center"/>
            <w:hideMark/>
          </w:tcPr>
          <w:p w14:paraId="4DE72125" w14:textId="52D9103C" w:rsidR="0055191C" w:rsidRPr="0055191C" w:rsidRDefault="00CE5845" w:rsidP="0055191C">
            <w:pPr>
              <w:jc w:val="center"/>
              <w:rPr>
                <w:rFonts w:cs="Arial"/>
                <w:sz w:val="22"/>
                <w:szCs w:val="22"/>
              </w:rPr>
            </w:pPr>
            <w:r>
              <w:rPr>
                <w:rFonts w:cs="Arial"/>
                <w:sz w:val="22"/>
                <w:szCs w:val="22"/>
              </w:rPr>
              <w:t>30</w:t>
            </w:r>
            <w:r w:rsidR="0055191C" w:rsidRPr="0055191C">
              <w:rPr>
                <w:rFonts w:cs="Arial"/>
                <w:sz w:val="22"/>
                <w:szCs w:val="22"/>
              </w:rPr>
              <w:t>.</w:t>
            </w:r>
            <w:r>
              <w:rPr>
                <w:rFonts w:cs="Arial"/>
                <w:sz w:val="22"/>
                <w:szCs w:val="22"/>
              </w:rPr>
              <w:t>0</w:t>
            </w:r>
            <w:r w:rsidR="0055191C" w:rsidRPr="0055191C">
              <w:rPr>
                <w:rFonts w:cs="Arial"/>
                <w:sz w:val="22"/>
                <w:szCs w:val="22"/>
              </w:rPr>
              <w:t xml:space="preserve"> </w:t>
            </w:r>
          </w:p>
        </w:tc>
        <w:tc>
          <w:tcPr>
            <w:tcW w:w="222" w:type="dxa"/>
            <w:vAlign w:val="center"/>
            <w:hideMark/>
          </w:tcPr>
          <w:p w14:paraId="36EF6979" w14:textId="77777777" w:rsidR="0055191C" w:rsidRPr="0055191C" w:rsidRDefault="0055191C" w:rsidP="0055191C">
            <w:pPr>
              <w:rPr>
                <w:rFonts w:ascii="Times New Roman" w:hAnsi="Times New Roman"/>
                <w:sz w:val="20"/>
                <w:szCs w:val="20"/>
              </w:rPr>
            </w:pPr>
          </w:p>
        </w:tc>
      </w:tr>
      <w:tr w:rsidR="0055191C" w:rsidRPr="0055191C" w14:paraId="13795FE1" w14:textId="77777777" w:rsidTr="000D45F7">
        <w:trPr>
          <w:trHeight w:val="564"/>
        </w:trPr>
        <w:tc>
          <w:tcPr>
            <w:tcW w:w="2621" w:type="dxa"/>
            <w:tcBorders>
              <w:top w:val="nil"/>
              <w:left w:val="single" w:sz="4" w:space="0" w:color="000000"/>
              <w:bottom w:val="single" w:sz="4" w:space="0" w:color="000000"/>
              <w:right w:val="single" w:sz="8" w:space="0" w:color="000000"/>
            </w:tcBorders>
            <w:shd w:val="clear" w:color="000000" w:fill="F2F2F2"/>
            <w:vAlign w:val="center"/>
            <w:hideMark/>
          </w:tcPr>
          <w:p w14:paraId="497794E9" w14:textId="77777777" w:rsidR="0055191C" w:rsidRPr="0055191C" w:rsidRDefault="0055191C" w:rsidP="0055191C">
            <w:pPr>
              <w:rPr>
                <w:rFonts w:cs="Arial"/>
                <w:b/>
                <w:bCs/>
                <w:sz w:val="22"/>
                <w:szCs w:val="22"/>
              </w:rPr>
            </w:pPr>
            <w:r w:rsidRPr="0055191C">
              <w:rPr>
                <w:rFonts w:cs="Arial"/>
                <w:b/>
                <w:bCs/>
                <w:sz w:val="22"/>
                <w:szCs w:val="22"/>
              </w:rPr>
              <w:t>Closing deficit balance 2026/27</w:t>
            </w:r>
            <w:r w:rsidRPr="0055191C">
              <w:rPr>
                <w:rFonts w:cs="Arial"/>
                <w:sz w:val="22"/>
                <w:szCs w:val="22"/>
              </w:rPr>
              <w:t> </w:t>
            </w:r>
          </w:p>
        </w:tc>
        <w:tc>
          <w:tcPr>
            <w:tcW w:w="1072" w:type="dxa"/>
            <w:tcBorders>
              <w:top w:val="nil"/>
              <w:left w:val="nil"/>
              <w:bottom w:val="single" w:sz="8" w:space="0" w:color="000000"/>
              <w:right w:val="single" w:sz="8" w:space="0" w:color="000000"/>
            </w:tcBorders>
            <w:shd w:val="clear" w:color="000000" w:fill="F2F2F2"/>
            <w:vAlign w:val="center"/>
            <w:hideMark/>
          </w:tcPr>
          <w:p w14:paraId="0B987A7A" w14:textId="043E0AFE" w:rsidR="0055191C" w:rsidRPr="0055191C" w:rsidRDefault="0055191C" w:rsidP="0055191C">
            <w:pPr>
              <w:jc w:val="center"/>
              <w:rPr>
                <w:rFonts w:cs="Arial"/>
                <w:b/>
                <w:bCs/>
                <w:sz w:val="22"/>
                <w:szCs w:val="22"/>
              </w:rPr>
            </w:pPr>
            <w:r w:rsidRPr="0055191C">
              <w:rPr>
                <w:rFonts w:cs="Arial"/>
                <w:b/>
                <w:bCs/>
                <w:color w:val="FF0000"/>
                <w:sz w:val="22"/>
                <w:szCs w:val="22"/>
              </w:rPr>
              <w:t xml:space="preserve"> (</w:t>
            </w:r>
            <w:r w:rsidR="00F82ADF">
              <w:rPr>
                <w:rFonts w:cs="Arial"/>
                <w:b/>
                <w:bCs/>
                <w:color w:val="FF0000"/>
                <w:sz w:val="22"/>
                <w:szCs w:val="22"/>
              </w:rPr>
              <w:t>1</w:t>
            </w:r>
            <w:r w:rsidRPr="0055191C">
              <w:rPr>
                <w:rFonts w:cs="Arial"/>
                <w:b/>
                <w:bCs/>
                <w:color w:val="FF0000"/>
                <w:sz w:val="22"/>
                <w:szCs w:val="22"/>
              </w:rPr>
              <w:t>.</w:t>
            </w:r>
            <w:r w:rsidR="00F82ADF">
              <w:rPr>
                <w:rFonts w:cs="Arial"/>
                <w:b/>
                <w:bCs/>
                <w:color w:val="FF0000"/>
                <w:sz w:val="22"/>
                <w:szCs w:val="22"/>
              </w:rPr>
              <w:t>3</w:t>
            </w:r>
            <w:r w:rsidRPr="0055191C">
              <w:rPr>
                <w:rFonts w:cs="Arial"/>
                <w:b/>
                <w:bCs/>
                <w:color w:val="FF0000"/>
                <w:sz w:val="22"/>
                <w:szCs w:val="22"/>
              </w:rPr>
              <w:t>)</w:t>
            </w:r>
          </w:p>
        </w:tc>
        <w:tc>
          <w:tcPr>
            <w:tcW w:w="945" w:type="dxa"/>
            <w:tcBorders>
              <w:top w:val="nil"/>
              <w:left w:val="nil"/>
              <w:bottom w:val="single" w:sz="8" w:space="0" w:color="000000"/>
              <w:right w:val="single" w:sz="8" w:space="0" w:color="000000"/>
            </w:tcBorders>
            <w:shd w:val="clear" w:color="000000" w:fill="F2F2F2"/>
            <w:vAlign w:val="center"/>
            <w:hideMark/>
          </w:tcPr>
          <w:p w14:paraId="739F46E6" w14:textId="77777777" w:rsidR="0055191C" w:rsidRPr="0055191C" w:rsidRDefault="0055191C" w:rsidP="0055191C">
            <w:pPr>
              <w:jc w:val="center"/>
              <w:rPr>
                <w:rFonts w:cs="Arial"/>
                <w:b/>
                <w:bCs/>
                <w:sz w:val="22"/>
                <w:szCs w:val="22"/>
              </w:rPr>
            </w:pPr>
            <w:r w:rsidRPr="0055191C">
              <w:rPr>
                <w:rFonts w:cs="Arial"/>
                <w:b/>
                <w:bCs/>
                <w:sz w:val="22"/>
                <w:szCs w:val="22"/>
              </w:rPr>
              <w:t xml:space="preserve">0.0 </w:t>
            </w:r>
          </w:p>
        </w:tc>
        <w:tc>
          <w:tcPr>
            <w:tcW w:w="1152" w:type="dxa"/>
            <w:tcBorders>
              <w:top w:val="nil"/>
              <w:left w:val="nil"/>
              <w:bottom w:val="single" w:sz="8" w:space="0" w:color="000000"/>
              <w:right w:val="single" w:sz="8" w:space="0" w:color="000000"/>
            </w:tcBorders>
            <w:shd w:val="clear" w:color="000000" w:fill="F2F2F2"/>
            <w:vAlign w:val="center"/>
            <w:hideMark/>
          </w:tcPr>
          <w:p w14:paraId="406FE8AE" w14:textId="77777777" w:rsidR="0055191C" w:rsidRPr="0055191C" w:rsidRDefault="0055191C" w:rsidP="0055191C">
            <w:pPr>
              <w:jc w:val="center"/>
              <w:rPr>
                <w:rFonts w:cs="Arial"/>
                <w:b/>
                <w:bCs/>
                <w:sz w:val="22"/>
                <w:szCs w:val="22"/>
              </w:rPr>
            </w:pPr>
            <w:r w:rsidRPr="0055191C">
              <w:rPr>
                <w:rFonts w:cs="Arial"/>
                <w:b/>
                <w:bCs/>
                <w:sz w:val="22"/>
                <w:szCs w:val="22"/>
              </w:rPr>
              <w:t xml:space="preserve">0.0 </w:t>
            </w:r>
          </w:p>
        </w:tc>
        <w:tc>
          <w:tcPr>
            <w:tcW w:w="945" w:type="dxa"/>
            <w:tcBorders>
              <w:top w:val="nil"/>
              <w:left w:val="nil"/>
              <w:bottom w:val="single" w:sz="8" w:space="0" w:color="000000"/>
              <w:right w:val="single" w:sz="8" w:space="0" w:color="000000"/>
            </w:tcBorders>
            <w:shd w:val="clear" w:color="000000" w:fill="F2F2F2"/>
            <w:vAlign w:val="center"/>
            <w:hideMark/>
          </w:tcPr>
          <w:p w14:paraId="203E3042" w14:textId="3479A282" w:rsidR="0055191C" w:rsidRPr="0055191C" w:rsidRDefault="0055191C" w:rsidP="0055191C">
            <w:pPr>
              <w:jc w:val="center"/>
              <w:rPr>
                <w:rFonts w:cs="Arial"/>
                <w:b/>
                <w:bCs/>
                <w:sz w:val="22"/>
                <w:szCs w:val="22"/>
              </w:rPr>
            </w:pPr>
            <w:r w:rsidRPr="0055191C">
              <w:rPr>
                <w:rFonts w:cs="Arial"/>
                <w:b/>
                <w:bCs/>
                <w:sz w:val="22"/>
                <w:szCs w:val="22"/>
              </w:rPr>
              <w:t>6</w:t>
            </w:r>
            <w:r w:rsidR="00F82ADF">
              <w:rPr>
                <w:rFonts w:cs="Arial"/>
                <w:b/>
                <w:bCs/>
                <w:sz w:val="22"/>
                <w:szCs w:val="22"/>
              </w:rPr>
              <w:t>6</w:t>
            </w:r>
            <w:r w:rsidRPr="0055191C">
              <w:rPr>
                <w:rFonts w:cs="Arial"/>
                <w:b/>
                <w:bCs/>
                <w:sz w:val="22"/>
                <w:szCs w:val="22"/>
              </w:rPr>
              <w:t>.</w:t>
            </w:r>
            <w:r w:rsidR="00F82ADF">
              <w:rPr>
                <w:rFonts w:cs="Arial"/>
                <w:b/>
                <w:bCs/>
                <w:sz w:val="22"/>
                <w:szCs w:val="22"/>
              </w:rPr>
              <w:t>4</w:t>
            </w:r>
            <w:r w:rsidRPr="0055191C">
              <w:rPr>
                <w:rFonts w:cs="Arial"/>
                <w:b/>
                <w:bCs/>
                <w:sz w:val="22"/>
                <w:szCs w:val="22"/>
              </w:rPr>
              <w:t xml:space="preserve"> </w:t>
            </w:r>
          </w:p>
        </w:tc>
        <w:tc>
          <w:tcPr>
            <w:tcW w:w="943" w:type="dxa"/>
            <w:tcBorders>
              <w:top w:val="nil"/>
              <w:left w:val="nil"/>
              <w:bottom w:val="single" w:sz="8" w:space="0" w:color="000000"/>
              <w:right w:val="single" w:sz="8" w:space="0" w:color="000000"/>
            </w:tcBorders>
            <w:shd w:val="clear" w:color="000000" w:fill="F2F2F2"/>
            <w:vAlign w:val="center"/>
            <w:hideMark/>
          </w:tcPr>
          <w:p w14:paraId="0CCE0DAD" w14:textId="6171B3F8" w:rsidR="0055191C" w:rsidRPr="0055191C" w:rsidRDefault="0055191C" w:rsidP="0055191C">
            <w:pPr>
              <w:jc w:val="center"/>
              <w:rPr>
                <w:rFonts w:cs="Arial"/>
                <w:b/>
                <w:bCs/>
                <w:sz w:val="22"/>
                <w:szCs w:val="22"/>
              </w:rPr>
            </w:pPr>
            <w:r w:rsidRPr="0055191C">
              <w:rPr>
                <w:rFonts w:cs="Arial"/>
                <w:b/>
                <w:bCs/>
                <w:sz w:val="22"/>
                <w:szCs w:val="22"/>
              </w:rPr>
              <w:t>6</w:t>
            </w:r>
            <w:r w:rsidR="00320357">
              <w:rPr>
                <w:rFonts w:cs="Arial"/>
                <w:b/>
                <w:bCs/>
                <w:sz w:val="22"/>
                <w:szCs w:val="22"/>
              </w:rPr>
              <w:t>5</w:t>
            </w:r>
            <w:r w:rsidRPr="0055191C">
              <w:rPr>
                <w:rFonts w:cs="Arial"/>
                <w:b/>
                <w:bCs/>
                <w:sz w:val="22"/>
                <w:szCs w:val="22"/>
              </w:rPr>
              <w:t>.</w:t>
            </w:r>
            <w:r w:rsidR="00320357">
              <w:rPr>
                <w:rFonts w:cs="Arial"/>
                <w:b/>
                <w:bCs/>
                <w:sz w:val="22"/>
                <w:szCs w:val="22"/>
              </w:rPr>
              <w:t>2</w:t>
            </w:r>
            <w:r w:rsidRPr="0055191C">
              <w:rPr>
                <w:rFonts w:cs="Arial"/>
                <w:b/>
                <w:bCs/>
                <w:sz w:val="22"/>
                <w:szCs w:val="22"/>
              </w:rPr>
              <w:t xml:space="preserve"> </w:t>
            </w:r>
          </w:p>
        </w:tc>
        <w:tc>
          <w:tcPr>
            <w:tcW w:w="222" w:type="dxa"/>
            <w:vAlign w:val="center"/>
            <w:hideMark/>
          </w:tcPr>
          <w:p w14:paraId="57EF5414" w14:textId="77777777" w:rsidR="0055191C" w:rsidRPr="0055191C" w:rsidRDefault="0055191C" w:rsidP="0055191C">
            <w:pPr>
              <w:rPr>
                <w:rFonts w:ascii="Times New Roman" w:hAnsi="Times New Roman"/>
                <w:sz w:val="20"/>
                <w:szCs w:val="20"/>
              </w:rPr>
            </w:pPr>
          </w:p>
        </w:tc>
      </w:tr>
    </w:tbl>
    <w:p w14:paraId="28B681D6" w14:textId="77777777" w:rsidR="0070580B" w:rsidRPr="00161D57" w:rsidRDefault="0070580B" w:rsidP="0070580B">
      <w:pPr>
        <w:pStyle w:val="ListParagraph"/>
        <w:ind w:left="360"/>
        <w:rPr>
          <w:rFonts w:cs="Arial"/>
          <w:b/>
          <w:bCs/>
        </w:rPr>
      </w:pPr>
    </w:p>
    <w:p w14:paraId="78556F9B" w14:textId="77777777" w:rsidR="00270BB3" w:rsidRPr="00270BB3" w:rsidRDefault="00270BB3" w:rsidP="00270BB3">
      <w:pPr>
        <w:pStyle w:val="ListParagraph"/>
        <w:numPr>
          <w:ilvl w:val="0"/>
          <w:numId w:val="26"/>
        </w:numPr>
        <w:spacing w:after="120"/>
        <w:jc w:val="both"/>
        <w:rPr>
          <w:rFonts w:cs="Arial"/>
          <w:vanish/>
        </w:rPr>
      </w:pPr>
    </w:p>
    <w:p w14:paraId="352F204F" w14:textId="77777777" w:rsidR="00270BB3" w:rsidRPr="00270BB3" w:rsidRDefault="00270BB3" w:rsidP="00270BB3">
      <w:pPr>
        <w:pStyle w:val="ListParagraph"/>
        <w:numPr>
          <w:ilvl w:val="0"/>
          <w:numId w:val="26"/>
        </w:numPr>
        <w:spacing w:after="120"/>
        <w:jc w:val="both"/>
        <w:rPr>
          <w:rFonts w:cs="Arial"/>
          <w:vanish/>
        </w:rPr>
      </w:pPr>
    </w:p>
    <w:p w14:paraId="18D85C7F" w14:textId="77777777" w:rsidR="00F855B5" w:rsidRPr="00F30574" w:rsidRDefault="00F855B5" w:rsidP="00F30574">
      <w:pPr>
        <w:pStyle w:val="ListParagraph"/>
        <w:spacing w:after="120"/>
        <w:jc w:val="both"/>
        <w:rPr>
          <w:rFonts w:cs="Arial"/>
        </w:rPr>
      </w:pPr>
    </w:p>
    <w:p w14:paraId="27F2F15B" w14:textId="080CE7F9" w:rsidR="00F855B5" w:rsidRPr="000B430F" w:rsidRDefault="008D35D3" w:rsidP="000B430F">
      <w:pPr>
        <w:pStyle w:val="ListParagraph"/>
        <w:numPr>
          <w:ilvl w:val="1"/>
          <w:numId w:val="26"/>
        </w:numPr>
        <w:spacing w:after="120"/>
        <w:jc w:val="both"/>
        <w:rPr>
          <w:rFonts w:cs="Arial"/>
        </w:rPr>
      </w:pPr>
      <w:r>
        <w:rPr>
          <w:rFonts w:cs="Arial"/>
        </w:rPr>
        <w:lastRenderedPageBreak/>
        <w:t>The</w:t>
      </w:r>
      <w:r w:rsidR="000B430F" w:rsidRPr="000B430F">
        <w:rPr>
          <w:rFonts w:cs="Arial"/>
        </w:rPr>
        <w:t xml:space="preserve"> DSG is currently projecting an in-year overspend of £30m, primarily within the High Needs Block. This reflects ongoing growth in demand for SEND support, including an increase in the number and complexity of EHCPs, higher top-up funding requirements, and rising placement costs, alongside inflationary and contractual fee uplifts. Compared with the 2025/26 outturn, High Needs expenditure is forecast to increase by approximately £8.0m. This reflects sustained growth in demand for SEND provision, including an increase in the number and complexity of EHCPs, greater use of specialist placements, higher top-up funding requirements, and ongoing inflationary and contractual cost pressures.</w:t>
      </w:r>
    </w:p>
    <w:p w14:paraId="0D2284BF" w14:textId="2E22021B" w:rsidR="00F855B5" w:rsidRDefault="00F855B5" w:rsidP="002D29FE">
      <w:pPr>
        <w:pStyle w:val="ListParagraph"/>
        <w:spacing w:after="120"/>
        <w:jc w:val="both"/>
        <w:rPr>
          <w:rFonts w:cs="Arial"/>
        </w:rPr>
      </w:pPr>
    </w:p>
    <w:p w14:paraId="03A64730" w14:textId="3F612703" w:rsidR="00A51F65" w:rsidRDefault="00A51F65" w:rsidP="00A51F65">
      <w:pPr>
        <w:pStyle w:val="ListParagraph"/>
        <w:numPr>
          <w:ilvl w:val="1"/>
          <w:numId w:val="26"/>
        </w:numPr>
        <w:spacing w:after="120"/>
        <w:jc w:val="both"/>
        <w:rPr>
          <w:rFonts w:cs="Arial"/>
        </w:rPr>
      </w:pPr>
      <w:r w:rsidRPr="00A51F65">
        <w:rPr>
          <w:rFonts w:cs="Arial"/>
        </w:rPr>
        <w:t xml:space="preserve">The cumulative Dedicated Schools Grant (DSG) deficit is currently projected to reach </w:t>
      </w:r>
      <w:r w:rsidRPr="000D45F7">
        <w:rPr>
          <w:rFonts w:cs="Arial"/>
        </w:rPr>
        <w:t>£6</w:t>
      </w:r>
      <w:r w:rsidR="00320357">
        <w:rPr>
          <w:rFonts w:cs="Arial"/>
        </w:rPr>
        <w:t>5.2</w:t>
      </w:r>
      <w:r w:rsidRPr="000D45F7">
        <w:rPr>
          <w:rFonts w:cs="Arial"/>
        </w:rPr>
        <w:t xml:space="preserve"> million by 31 March 2027</w:t>
      </w:r>
      <w:r w:rsidRPr="00A51F65">
        <w:rPr>
          <w:rFonts w:cs="Arial"/>
        </w:rPr>
        <w:t>. In accordance with the statutory override, the deficit is held separately in an unusable reserve and does not currently impact the Council’s General Fund balance. However, the underlying High Needs Block remains significantly overspent and, without effective intervention to reduce demand and expenditure, the cumulative deficit is expected to continue increasing, as illustrated in the graph below.</w:t>
      </w:r>
    </w:p>
    <w:p w14:paraId="7678165A" w14:textId="3D69DE22" w:rsidR="000D45F7" w:rsidRDefault="000D45F7" w:rsidP="000D45F7">
      <w:pPr>
        <w:spacing w:after="120"/>
        <w:jc w:val="both"/>
        <w:rPr>
          <w:rFonts w:cs="Arial"/>
        </w:rPr>
      </w:pPr>
      <w:r>
        <w:rPr>
          <w:rFonts w:cs="Arial"/>
        </w:rPr>
        <w:t xml:space="preserve">            </w:t>
      </w:r>
      <w:r w:rsidRPr="00A51F65">
        <w:rPr>
          <w:rFonts w:cs="Arial"/>
          <w:noProof/>
        </w:rPr>
        <w:drawing>
          <wp:inline distT="0" distB="0" distL="0" distR="0" wp14:anchorId="293F5324" wp14:editId="06661089">
            <wp:extent cx="3657600" cy="2202823"/>
            <wp:effectExtent l="0" t="0" r="0" b="6985"/>
            <wp:docPr id="2121754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9529" cy="2216030"/>
                    </a:xfrm>
                    <a:prstGeom prst="rect">
                      <a:avLst/>
                    </a:prstGeom>
                    <a:noFill/>
                    <a:ln>
                      <a:noFill/>
                    </a:ln>
                  </pic:spPr>
                </pic:pic>
              </a:graphicData>
            </a:graphic>
          </wp:inline>
        </w:drawing>
      </w:r>
    </w:p>
    <w:p w14:paraId="5C1E88E1" w14:textId="77777777" w:rsidR="000D45F7" w:rsidRPr="000D45F7" w:rsidRDefault="000D45F7" w:rsidP="000D45F7">
      <w:pPr>
        <w:spacing w:after="120"/>
        <w:jc w:val="both"/>
        <w:rPr>
          <w:rFonts w:cs="Arial"/>
        </w:rPr>
      </w:pPr>
    </w:p>
    <w:p w14:paraId="1D05B802" w14:textId="60F041FA" w:rsidR="00A51F65" w:rsidRDefault="00A51F65" w:rsidP="00A51F65">
      <w:pPr>
        <w:pStyle w:val="ListParagraph"/>
        <w:numPr>
          <w:ilvl w:val="1"/>
          <w:numId w:val="26"/>
        </w:numPr>
        <w:spacing w:after="120"/>
        <w:jc w:val="both"/>
        <w:rPr>
          <w:rFonts w:cs="Arial"/>
        </w:rPr>
      </w:pPr>
      <w:r w:rsidRPr="00A51F65">
        <w:rPr>
          <w:rFonts w:cs="Arial"/>
        </w:rPr>
        <w:t xml:space="preserve">The Council has submitted its Local SEND Reform Plan to the Department for Education (DfE), but approval remains outstanding. Subject to approval, the Council would be eligible to receive a High Needs Stability Grant equivalent to </w:t>
      </w:r>
      <w:r w:rsidRPr="000D45F7">
        <w:rPr>
          <w:rFonts w:cs="Arial"/>
        </w:rPr>
        <w:t xml:space="preserve">90% of its eligible DSG deficit as </w:t>
      </w:r>
      <w:proofErr w:type="gramStart"/>
      <w:r w:rsidRPr="000D45F7">
        <w:rPr>
          <w:rFonts w:cs="Arial"/>
        </w:rPr>
        <w:t>at</w:t>
      </w:r>
      <w:proofErr w:type="gramEnd"/>
      <w:r w:rsidRPr="000D45F7">
        <w:rPr>
          <w:rFonts w:cs="Arial"/>
        </w:rPr>
        <w:t xml:space="preserve"> 31 March 2026</w:t>
      </w:r>
      <w:r w:rsidRPr="00A51F65">
        <w:rPr>
          <w:rFonts w:cs="Arial"/>
        </w:rPr>
        <w:t xml:space="preserve">. Based on the reported 2025/26 deficit of </w:t>
      </w:r>
      <w:r w:rsidRPr="000D45F7">
        <w:rPr>
          <w:rFonts w:cs="Arial"/>
        </w:rPr>
        <w:t>£35.</w:t>
      </w:r>
      <w:r w:rsidR="000D45F7">
        <w:rPr>
          <w:rFonts w:cs="Arial"/>
        </w:rPr>
        <w:t>2</w:t>
      </w:r>
      <w:r w:rsidRPr="000D45F7">
        <w:rPr>
          <w:rFonts w:cs="Arial"/>
        </w:rPr>
        <w:t xml:space="preserve"> million</w:t>
      </w:r>
      <w:r w:rsidRPr="00A51F65">
        <w:rPr>
          <w:rFonts w:cs="Arial"/>
        </w:rPr>
        <w:t xml:space="preserve">, the indicative grant would be </w:t>
      </w:r>
      <w:r w:rsidRPr="000D45F7">
        <w:rPr>
          <w:rFonts w:cs="Arial"/>
        </w:rPr>
        <w:t>£3</w:t>
      </w:r>
      <w:r w:rsidR="000D45F7">
        <w:rPr>
          <w:rFonts w:cs="Arial"/>
        </w:rPr>
        <w:t>1</w:t>
      </w:r>
      <w:r w:rsidRPr="000D45F7">
        <w:rPr>
          <w:rFonts w:cs="Arial"/>
        </w:rPr>
        <w:t>.</w:t>
      </w:r>
      <w:r w:rsidR="00EA7D96">
        <w:rPr>
          <w:rFonts w:cs="Arial"/>
        </w:rPr>
        <w:t>7</w:t>
      </w:r>
      <w:r w:rsidRPr="000D45F7">
        <w:rPr>
          <w:rFonts w:cs="Arial"/>
        </w:rPr>
        <w:t xml:space="preserve"> million</w:t>
      </w:r>
      <w:r w:rsidRPr="00A51F65">
        <w:rPr>
          <w:rFonts w:cs="Arial"/>
        </w:rPr>
        <w:t xml:space="preserve">. Applying this to the projected £64.0 million balance would reduce the forecast cumulative deficit </w:t>
      </w:r>
      <w:proofErr w:type="gramStart"/>
      <w:r w:rsidRPr="00A51F65">
        <w:rPr>
          <w:rFonts w:cs="Arial"/>
        </w:rPr>
        <w:t>at</w:t>
      </w:r>
      <w:proofErr w:type="gramEnd"/>
      <w:r w:rsidRPr="00A51F65">
        <w:rPr>
          <w:rFonts w:cs="Arial"/>
        </w:rPr>
        <w:t xml:space="preserve"> 31 March 2027 to approximately </w:t>
      </w:r>
      <w:r w:rsidRPr="000D45F7">
        <w:rPr>
          <w:rFonts w:cs="Arial"/>
        </w:rPr>
        <w:t>£3</w:t>
      </w:r>
      <w:r w:rsidR="00E82183">
        <w:rPr>
          <w:rFonts w:cs="Arial"/>
        </w:rPr>
        <w:t>3</w:t>
      </w:r>
      <w:r w:rsidRPr="000D45F7">
        <w:rPr>
          <w:rFonts w:cs="Arial"/>
        </w:rPr>
        <w:t>.</w:t>
      </w:r>
      <w:r w:rsidR="00E82183">
        <w:rPr>
          <w:rFonts w:cs="Arial"/>
        </w:rPr>
        <w:t>5</w:t>
      </w:r>
      <w:r w:rsidRPr="000D45F7">
        <w:rPr>
          <w:rFonts w:cs="Arial"/>
        </w:rPr>
        <w:t xml:space="preserve"> million</w:t>
      </w:r>
      <w:r w:rsidRPr="00A51F65">
        <w:rPr>
          <w:rFonts w:cs="Arial"/>
        </w:rPr>
        <w:t xml:space="preserve">. This calculation remains indicative because the DfE will determine the eligible deficit after considering the final accounts and excluding any expenditure it considers ineligible. </w:t>
      </w:r>
    </w:p>
    <w:p w14:paraId="66D9EFFE" w14:textId="77777777" w:rsidR="000D45F7" w:rsidRPr="000D45F7" w:rsidRDefault="000D45F7" w:rsidP="000D45F7">
      <w:pPr>
        <w:spacing w:after="120"/>
        <w:jc w:val="both"/>
        <w:rPr>
          <w:rFonts w:cs="Arial"/>
        </w:rPr>
      </w:pPr>
    </w:p>
    <w:p w14:paraId="7F70E7B5" w14:textId="51AA2A70" w:rsidR="00A51F65" w:rsidRPr="00A51F65" w:rsidRDefault="00A51F65" w:rsidP="00A51F65">
      <w:pPr>
        <w:pStyle w:val="ListParagraph"/>
        <w:numPr>
          <w:ilvl w:val="1"/>
          <w:numId w:val="26"/>
        </w:numPr>
        <w:spacing w:after="120"/>
        <w:jc w:val="both"/>
        <w:rPr>
          <w:rFonts w:cs="Arial"/>
        </w:rPr>
      </w:pPr>
      <w:r w:rsidRPr="00A51F65">
        <w:rPr>
          <w:rFonts w:cs="Arial"/>
        </w:rPr>
        <w:t xml:space="preserve">The </w:t>
      </w:r>
      <w:r w:rsidR="000D45F7" w:rsidRPr="000D45F7">
        <w:rPr>
          <w:rFonts w:cs="Arial"/>
        </w:rPr>
        <w:t xml:space="preserve">High Needs Stability </w:t>
      </w:r>
      <w:r w:rsidRPr="00A51F65">
        <w:rPr>
          <w:rFonts w:cs="Arial"/>
        </w:rPr>
        <w:t xml:space="preserve">grant must be used exclusively to extinguish the eligible DSG deficit recognised </w:t>
      </w:r>
      <w:proofErr w:type="gramStart"/>
      <w:r w:rsidRPr="00A51F65">
        <w:rPr>
          <w:rFonts w:cs="Arial"/>
        </w:rPr>
        <w:t>at</w:t>
      </w:r>
      <w:proofErr w:type="gramEnd"/>
      <w:r w:rsidRPr="00A51F65">
        <w:rPr>
          <w:rFonts w:cs="Arial"/>
        </w:rPr>
        <w:t xml:space="preserve"> 31 March 2026; it does not provide funding for further deficits arising after that date. The Government has not yet clarified how additional DSG deficits accumulated from 2026/27 onwards will ultimately be addressed. Consequently, the Stability Grant would substantially reduce the historic deficit but would not resolve the continuing structural pressure within the High Needs Block.</w:t>
      </w:r>
    </w:p>
    <w:p w14:paraId="5B9122F5" w14:textId="77777777" w:rsidR="0070580B" w:rsidRPr="00161D57" w:rsidRDefault="0070580B" w:rsidP="0070580B">
      <w:pPr>
        <w:pStyle w:val="ListParagraph"/>
        <w:autoSpaceDE w:val="0"/>
        <w:autoSpaceDN w:val="0"/>
        <w:adjustRightInd w:val="0"/>
        <w:ind w:left="426"/>
        <w:rPr>
          <w:rFonts w:cs="Arial"/>
          <w:color w:val="000000"/>
        </w:rPr>
      </w:pPr>
    </w:p>
    <w:p w14:paraId="2642DB77" w14:textId="77777777" w:rsidR="005C3ACF" w:rsidRPr="00161D57" w:rsidRDefault="005C3ACF" w:rsidP="0070580B">
      <w:pPr>
        <w:pStyle w:val="ListParagraph"/>
        <w:autoSpaceDE w:val="0"/>
        <w:autoSpaceDN w:val="0"/>
        <w:adjustRightInd w:val="0"/>
        <w:ind w:left="426"/>
        <w:rPr>
          <w:rFonts w:cs="Arial"/>
          <w:color w:val="000000"/>
        </w:rPr>
      </w:pPr>
    </w:p>
    <w:p w14:paraId="7AE89311" w14:textId="0F13B3D0" w:rsidR="00C97075" w:rsidRDefault="006C2A4E" w:rsidP="00C97075">
      <w:pPr>
        <w:pStyle w:val="ListParagraph"/>
        <w:numPr>
          <w:ilvl w:val="0"/>
          <w:numId w:val="26"/>
        </w:numPr>
        <w:spacing w:after="120"/>
        <w:ind w:left="709" w:hanging="709"/>
        <w:jc w:val="both"/>
        <w:rPr>
          <w:rFonts w:cs="Arial"/>
          <w:b/>
          <w:bCs/>
          <w:color w:val="000000"/>
        </w:rPr>
      </w:pPr>
      <w:bookmarkStart w:id="0" w:name="_Hlk48735191"/>
      <w:r w:rsidRPr="00161D57">
        <w:rPr>
          <w:rFonts w:cs="Arial"/>
          <w:b/>
          <w:bCs/>
          <w:color w:val="000000"/>
        </w:rPr>
        <w:t xml:space="preserve">DSG </w:t>
      </w:r>
      <w:r w:rsidR="00B02F7D" w:rsidRPr="00161D57">
        <w:rPr>
          <w:rFonts w:cs="Arial"/>
          <w:b/>
          <w:bCs/>
          <w:color w:val="000000"/>
        </w:rPr>
        <w:t>Forecast for 202</w:t>
      </w:r>
      <w:r w:rsidR="00EA7D96">
        <w:rPr>
          <w:rFonts w:cs="Arial"/>
          <w:b/>
          <w:bCs/>
          <w:color w:val="000000"/>
        </w:rPr>
        <w:t>6</w:t>
      </w:r>
      <w:r w:rsidR="00B02F7D" w:rsidRPr="00161D57">
        <w:rPr>
          <w:rFonts w:cs="Arial"/>
          <w:b/>
          <w:bCs/>
          <w:color w:val="000000"/>
        </w:rPr>
        <w:t>-2</w:t>
      </w:r>
      <w:r w:rsidR="00EA7D96">
        <w:rPr>
          <w:rFonts w:cs="Arial"/>
          <w:b/>
          <w:bCs/>
          <w:color w:val="000000"/>
        </w:rPr>
        <w:t>7</w:t>
      </w:r>
    </w:p>
    <w:p w14:paraId="4FF703BE" w14:textId="77777777" w:rsidR="00C97075" w:rsidRDefault="00C97075" w:rsidP="00C97075">
      <w:pPr>
        <w:pStyle w:val="ListParagraph"/>
        <w:spacing w:after="120"/>
        <w:ind w:left="709"/>
        <w:jc w:val="both"/>
        <w:rPr>
          <w:rFonts w:cs="Arial"/>
          <w:b/>
          <w:bCs/>
          <w:color w:val="000000"/>
        </w:rPr>
      </w:pPr>
    </w:p>
    <w:p w14:paraId="05EE398D" w14:textId="02159B3E" w:rsidR="001F05B8" w:rsidRPr="00EA7D96" w:rsidRDefault="001F05B8" w:rsidP="00EA7D96">
      <w:pPr>
        <w:pStyle w:val="ListParagraph"/>
        <w:numPr>
          <w:ilvl w:val="1"/>
          <w:numId w:val="26"/>
        </w:numPr>
        <w:spacing w:after="120"/>
        <w:jc w:val="both"/>
        <w:rPr>
          <w:rFonts w:cs="Arial"/>
        </w:rPr>
      </w:pPr>
      <w:r w:rsidRPr="00C97075">
        <w:rPr>
          <w:rFonts w:cs="Arial"/>
        </w:rPr>
        <w:t>The</w:t>
      </w:r>
      <w:r w:rsidR="00EA7D96" w:rsidRPr="00EA7D96">
        <w:rPr>
          <w:rFonts w:cs="Arial"/>
        </w:rPr>
        <w:t xml:space="preserve"> table below sets out the Dedicated Schools Grant (DSG) budget for 2026/27, the projected year-end outturn position, and the forecast variance against budget as at the end of August 2026 (Period 5).</w:t>
      </w:r>
    </w:p>
    <w:p w14:paraId="1F227F10" w14:textId="77777777" w:rsidR="001F05B8" w:rsidRPr="00161D57" w:rsidRDefault="001F05B8" w:rsidP="001F05B8">
      <w:pPr>
        <w:pStyle w:val="ListParagraph"/>
        <w:ind w:left="567" w:hanging="567"/>
        <w:jc w:val="both"/>
        <w:rPr>
          <w:rFonts w:eastAsiaTheme="minorEastAsia" w:cs="Arial"/>
          <w:b/>
          <w:bCs/>
          <w:color w:val="319B31"/>
        </w:rPr>
      </w:pPr>
    </w:p>
    <w:p w14:paraId="7AD2D97B" w14:textId="6DC32142" w:rsidR="001F05B8" w:rsidRDefault="001F05B8" w:rsidP="00F93EA6">
      <w:pPr>
        <w:pStyle w:val="ListParagraph"/>
        <w:ind w:left="709"/>
        <w:jc w:val="both"/>
        <w:rPr>
          <w:rFonts w:cs="Arial"/>
        </w:rPr>
      </w:pPr>
    </w:p>
    <w:tbl>
      <w:tblPr>
        <w:tblW w:w="8820" w:type="dxa"/>
        <w:tblLook w:val="04A0" w:firstRow="1" w:lastRow="0" w:firstColumn="1" w:lastColumn="0" w:noHBand="0" w:noVBand="1"/>
      </w:tblPr>
      <w:tblGrid>
        <w:gridCol w:w="4180"/>
        <w:gridCol w:w="1220"/>
        <w:gridCol w:w="1720"/>
        <w:gridCol w:w="1700"/>
      </w:tblGrid>
      <w:tr w:rsidR="0033512B" w:rsidRPr="0033512B" w14:paraId="71F88ECD" w14:textId="77777777" w:rsidTr="0033512B">
        <w:trPr>
          <w:trHeight w:val="1428"/>
        </w:trPr>
        <w:tc>
          <w:tcPr>
            <w:tcW w:w="4180" w:type="dxa"/>
            <w:tcBorders>
              <w:top w:val="single" w:sz="8" w:space="0" w:color="auto"/>
              <w:left w:val="single" w:sz="8" w:space="0" w:color="auto"/>
              <w:bottom w:val="nil"/>
              <w:right w:val="single" w:sz="8" w:space="0" w:color="auto"/>
            </w:tcBorders>
            <w:shd w:val="clear" w:color="000000" w:fill="DBE5F1"/>
            <w:vAlign w:val="center"/>
            <w:hideMark/>
          </w:tcPr>
          <w:p w14:paraId="3C526269" w14:textId="77777777" w:rsidR="0033512B" w:rsidRPr="0033512B" w:rsidRDefault="0033512B" w:rsidP="0033512B">
            <w:pPr>
              <w:rPr>
                <w:rFonts w:cs="Arial"/>
                <w:b/>
                <w:bCs/>
                <w:color w:val="000000"/>
              </w:rPr>
            </w:pPr>
            <w:r w:rsidRPr="0033512B">
              <w:rPr>
                <w:rFonts w:cs="Arial"/>
                <w:b/>
                <w:bCs/>
              </w:rPr>
              <w:t>DSG Block</w:t>
            </w:r>
          </w:p>
        </w:tc>
        <w:tc>
          <w:tcPr>
            <w:tcW w:w="1220" w:type="dxa"/>
            <w:tcBorders>
              <w:top w:val="single" w:sz="8" w:space="0" w:color="auto"/>
              <w:left w:val="nil"/>
              <w:bottom w:val="nil"/>
              <w:right w:val="single" w:sz="8" w:space="0" w:color="auto"/>
            </w:tcBorders>
            <w:shd w:val="clear" w:color="000000" w:fill="DBE5F1"/>
            <w:vAlign w:val="center"/>
            <w:hideMark/>
          </w:tcPr>
          <w:p w14:paraId="3F962558" w14:textId="77777777" w:rsidR="0033512B" w:rsidRPr="0033512B" w:rsidRDefault="0033512B" w:rsidP="0033512B">
            <w:pPr>
              <w:jc w:val="center"/>
              <w:rPr>
                <w:rFonts w:cs="Arial"/>
                <w:b/>
                <w:bCs/>
                <w:color w:val="000000"/>
              </w:rPr>
            </w:pPr>
            <w:r w:rsidRPr="0033512B">
              <w:rPr>
                <w:rFonts w:cs="Arial"/>
                <w:b/>
                <w:bCs/>
              </w:rPr>
              <w:t>Budget</w:t>
            </w:r>
          </w:p>
        </w:tc>
        <w:tc>
          <w:tcPr>
            <w:tcW w:w="1720" w:type="dxa"/>
            <w:tcBorders>
              <w:top w:val="single" w:sz="8" w:space="0" w:color="auto"/>
              <w:left w:val="nil"/>
              <w:bottom w:val="nil"/>
              <w:right w:val="single" w:sz="8" w:space="0" w:color="auto"/>
            </w:tcBorders>
            <w:shd w:val="clear" w:color="000000" w:fill="DBE5F1"/>
            <w:vAlign w:val="center"/>
            <w:hideMark/>
          </w:tcPr>
          <w:p w14:paraId="7E237A94" w14:textId="77777777" w:rsidR="0033512B" w:rsidRPr="0033512B" w:rsidRDefault="0033512B" w:rsidP="0033512B">
            <w:pPr>
              <w:jc w:val="center"/>
              <w:rPr>
                <w:rFonts w:cs="Arial"/>
                <w:b/>
                <w:bCs/>
                <w:color w:val="000000"/>
              </w:rPr>
            </w:pPr>
            <w:r w:rsidRPr="0033512B">
              <w:rPr>
                <w:rFonts w:cs="Arial"/>
                <w:b/>
                <w:bCs/>
              </w:rPr>
              <w:t>Projected Forecast to Year End</w:t>
            </w:r>
          </w:p>
        </w:tc>
        <w:tc>
          <w:tcPr>
            <w:tcW w:w="1700" w:type="dxa"/>
            <w:tcBorders>
              <w:top w:val="single" w:sz="8" w:space="0" w:color="auto"/>
              <w:left w:val="nil"/>
              <w:bottom w:val="nil"/>
              <w:right w:val="single" w:sz="8" w:space="0" w:color="auto"/>
            </w:tcBorders>
            <w:shd w:val="clear" w:color="000000" w:fill="DBE5F1"/>
            <w:vAlign w:val="center"/>
            <w:hideMark/>
          </w:tcPr>
          <w:p w14:paraId="32228943" w14:textId="77777777" w:rsidR="0033512B" w:rsidRPr="0033512B" w:rsidRDefault="0033512B" w:rsidP="0033512B">
            <w:pPr>
              <w:jc w:val="center"/>
              <w:rPr>
                <w:rFonts w:cs="Arial"/>
                <w:b/>
                <w:bCs/>
                <w:color w:val="000000"/>
              </w:rPr>
            </w:pPr>
            <w:r w:rsidRPr="0033512B">
              <w:rPr>
                <w:rFonts w:cs="Arial"/>
                <w:b/>
                <w:bCs/>
              </w:rPr>
              <w:t>Projected Deficit / (</w:t>
            </w:r>
            <w:proofErr w:type="gramStart"/>
            <w:r w:rsidRPr="0033512B">
              <w:rPr>
                <w:rFonts w:cs="Arial"/>
                <w:b/>
                <w:bCs/>
              </w:rPr>
              <w:t>Surplus)  at</w:t>
            </w:r>
            <w:proofErr w:type="gramEnd"/>
            <w:r w:rsidRPr="0033512B">
              <w:rPr>
                <w:rFonts w:cs="Arial"/>
                <w:b/>
                <w:bCs/>
              </w:rPr>
              <w:t xml:space="preserve"> Year End</w:t>
            </w:r>
          </w:p>
        </w:tc>
      </w:tr>
      <w:tr w:rsidR="0033512B" w:rsidRPr="0033512B" w14:paraId="220EFDEE" w14:textId="77777777" w:rsidTr="0033512B">
        <w:trPr>
          <w:trHeight w:val="324"/>
        </w:trPr>
        <w:tc>
          <w:tcPr>
            <w:tcW w:w="4180" w:type="dxa"/>
            <w:tcBorders>
              <w:top w:val="nil"/>
              <w:left w:val="single" w:sz="8" w:space="0" w:color="auto"/>
              <w:bottom w:val="single" w:sz="8" w:space="0" w:color="auto"/>
              <w:right w:val="single" w:sz="8" w:space="0" w:color="auto"/>
            </w:tcBorders>
            <w:shd w:val="clear" w:color="000000" w:fill="DBE5F1"/>
            <w:vAlign w:val="center"/>
            <w:hideMark/>
          </w:tcPr>
          <w:p w14:paraId="678B48E7" w14:textId="77777777" w:rsidR="0033512B" w:rsidRPr="0033512B" w:rsidRDefault="0033512B" w:rsidP="0033512B">
            <w:pPr>
              <w:rPr>
                <w:rFonts w:cs="Arial"/>
                <w:b/>
                <w:bCs/>
                <w:color w:val="000000"/>
              </w:rPr>
            </w:pPr>
            <w:r w:rsidRPr="0033512B">
              <w:rPr>
                <w:rFonts w:cs="Arial"/>
                <w:b/>
                <w:bCs/>
                <w:color w:val="000000"/>
              </w:rPr>
              <w:t> </w:t>
            </w:r>
          </w:p>
        </w:tc>
        <w:tc>
          <w:tcPr>
            <w:tcW w:w="1220" w:type="dxa"/>
            <w:tcBorders>
              <w:top w:val="nil"/>
              <w:left w:val="nil"/>
              <w:bottom w:val="single" w:sz="8" w:space="0" w:color="auto"/>
              <w:right w:val="single" w:sz="8" w:space="0" w:color="auto"/>
            </w:tcBorders>
            <w:shd w:val="clear" w:color="000000" w:fill="DBE5F1"/>
            <w:vAlign w:val="center"/>
            <w:hideMark/>
          </w:tcPr>
          <w:p w14:paraId="6578BEA0" w14:textId="77777777" w:rsidR="0033512B" w:rsidRPr="0033512B" w:rsidRDefault="0033512B" w:rsidP="0033512B">
            <w:pPr>
              <w:jc w:val="center"/>
              <w:rPr>
                <w:rFonts w:cs="Arial"/>
                <w:b/>
                <w:bCs/>
                <w:color w:val="000000"/>
              </w:rPr>
            </w:pPr>
            <w:r w:rsidRPr="0033512B">
              <w:rPr>
                <w:rFonts w:cs="Arial"/>
                <w:b/>
                <w:bCs/>
              </w:rPr>
              <w:t>£m</w:t>
            </w:r>
          </w:p>
        </w:tc>
        <w:tc>
          <w:tcPr>
            <w:tcW w:w="1720" w:type="dxa"/>
            <w:tcBorders>
              <w:top w:val="nil"/>
              <w:left w:val="nil"/>
              <w:bottom w:val="single" w:sz="8" w:space="0" w:color="auto"/>
              <w:right w:val="single" w:sz="8" w:space="0" w:color="auto"/>
            </w:tcBorders>
            <w:shd w:val="clear" w:color="000000" w:fill="DBE5F1"/>
            <w:vAlign w:val="center"/>
            <w:hideMark/>
          </w:tcPr>
          <w:p w14:paraId="6435F1DD" w14:textId="77777777" w:rsidR="0033512B" w:rsidRPr="0033512B" w:rsidRDefault="0033512B" w:rsidP="0033512B">
            <w:pPr>
              <w:jc w:val="center"/>
              <w:rPr>
                <w:rFonts w:cs="Arial"/>
                <w:b/>
                <w:bCs/>
                <w:color w:val="000000"/>
              </w:rPr>
            </w:pPr>
            <w:r w:rsidRPr="0033512B">
              <w:rPr>
                <w:rFonts w:cs="Arial"/>
                <w:b/>
                <w:bCs/>
              </w:rPr>
              <w:t>£m</w:t>
            </w:r>
          </w:p>
        </w:tc>
        <w:tc>
          <w:tcPr>
            <w:tcW w:w="1700" w:type="dxa"/>
            <w:tcBorders>
              <w:top w:val="nil"/>
              <w:left w:val="nil"/>
              <w:bottom w:val="single" w:sz="8" w:space="0" w:color="auto"/>
              <w:right w:val="single" w:sz="8" w:space="0" w:color="auto"/>
            </w:tcBorders>
            <w:shd w:val="clear" w:color="000000" w:fill="DBE5F1"/>
            <w:vAlign w:val="center"/>
            <w:hideMark/>
          </w:tcPr>
          <w:p w14:paraId="048CA127" w14:textId="77777777" w:rsidR="0033512B" w:rsidRPr="0033512B" w:rsidRDefault="0033512B" w:rsidP="0033512B">
            <w:pPr>
              <w:jc w:val="center"/>
              <w:rPr>
                <w:rFonts w:cs="Arial"/>
                <w:b/>
                <w:bCs/>
                <w:color w:val="000000"/>
              </w:rPr>
            </w:pPr>
            <w:r w:rsidRPr="0033512B">
              <w:rPr>
                <w:rFonts w:cs="Arial"/>
                <w:b/>
                <w:bCs/>
              </w:rPr>
              <w:t>£m</w:t>
            </w:r>
          </w:p>
        </w:tc>
      </w:tr>
      <w:tr w:rsidR="0033512B" w:rsidRPr="0033512B" w14:paraId="43A6C223" w14:textId="77777777" w:rsidTr="0033512B">
        <w:trPr>
          <w:trHeight w:val="312"/>
        </w:trPr>
        <w:tc>
          <w:tcPr>
            <w:tcW w:w="4180" w:type="dxa"/>
            <w:tcBorders>
              <w:top w:val="nil"/>
              <w:left w:val="single" w:sz="4" w:space="0" w:color="000000"/>
              <w:bottom w:val="single" w:sz="8" w:space="0" w:color="000000"/>
              <w:right w:val="single" w:sz="8" w:space="0" w:color="000000"/>
            </w:tcBorders>
            <w:shd w:val="clear" w:color="000000" w:fill="FFFFFF"/>
            <w:vAlign w:val="center"/>
            <w:hideMark/>
          </w:tcPr>
          <w:p w14:paraId="3430661C" w14:textId="77777777" w:rsidR="0033512B" w:rsidRPr="0033512B" w:rsidRDefault="0033512B" w:rsidP="0033512B">
            <w:pPr>
              <w:rPr>
                <w:rFonts w:cs="Arial"/>
              </w:rPr>
            </w:pPr>
            <w:r w:rsidRPr="0033512B">
              <w:rPr>
                <w:rFonts w:cs="Arial"/>
              </w:rPr>
              <w:t>Schools Block</w:t>
            </w:r>
          </w:p>
        </w:tc>
        <w:tc>
          <w:tcPr>
            <w:tcW w:w="1220" w:type="dxa"/>
            <w:tcBorders>
              <w:top w:val="nil"/>
              <w:left w:val="nil"/>
              <w:bottom w:val="single" w:sz="8" w:space="0" w:color="000000"/>
              <w:right w:val="single" w:sz="8" w:space="0" w:color="000000"/>
            </w:tcBorders>
            <w:shd w:val="clear" w:color="000000" w:fill="FFFFFF"/>
            <w:vAlign w:val="center"/>
            <w:hideMark/>
          </w:tcPr>
          <w:p w14:paraId="3FCA010F" w14:textId="77777777" w:rsidR="0033512B" w:rsidRPr="0033512B" w:rsidRDefault="0033512B" w:rsidP="0033512B">
            <w:pPr>
              <w:jc w:val="center"/>
              <w:rPr>
                <w:rFonts w:cs="Arial"/>
              </w:rPr>
            </w:pPr>
            <w:r w:rsidRPr="0033512B">
              <w:rPr>
                <w:rFonts w:cs="Arial"/>
              </w:rPr>
              <w:t xml:space="preserve">205.4 </w:t>
            </w:r>
          </w:p>
        </w:tc>
        <w:tc>
          <w:tcPr>
            <w:tcW w:w="1720" w:type="dxa"/>
            <w:tcBorders>
              <w:top w:val="nil"/>
              <w:left w:val="nil"/>
              <w:bottom w:val="single" w:sz="8" w:space="0" w:color="000000"/>
              <w:right w:val="single" w:sz="8" w:space="0" w:color="000000"/>
            </w:tcBorders>
            <w:shd w:val="clear" w:color="000000" w:fill="FFFFFF"/>
            <w:vAlign w:val="center"/>
            <w:hideMark/>
          </w:tcPr>
          <w:p w14:paraId="439781D4" w14:textId="77777777" w:rsidR="0033512B" w:rsidRPr="0033512B" w:rsidRDefault="0033512B" w:rsidP="0033512B">
            <w:pPr>
              <w:jc w:val="center"/>
              <w:rPr>
                <w:rFonts w:cs="Arial"/>
              </w:rPr>
            </w:pPr>
            <w:r w:rsidRPr="0033512B">
              <w:rPr>
                <w:rFonts w:cs="Arial"/>
              </w:rPr>
              <w:t xml:space="preserve">204.1 </w:t>
            </w:r>
          </w:p>
        </w:tc>
        <w:tc>
          <w:tcPr>
            <w:tcW w:w="1700" w:type="dxa"/>
            <w:tcBorders>
              <w:top w:val="nil"/>
              <w:left w:val="nil"/>
              <w:bottom w:val="single" w:sz="8" w:space="0" w:color="000000"/>
              <w:right w:val="single" w:sz="8" w:space="0" w:color="000000"/>
            </w:tcBorders>
            <w:shd w:val="clear" w:color="000000" w:fill="FFFFFF"/>
            <w:vAlign w:val="center"/>
            <w:hideMark/>
          </w:tcPr>
          <w:p w14:paraId="265C72A4" w14:textId="77777777" w:rsidR="0033512B" w:rsidRPr="0033512B" w:rsidRDefault="0033512B" w:rsidP="0033512B">
            <w:pPr>
              <w:jc w:val="center"/>
              <w:rPr>
                <w:rFonts w:cs="Arial"/>
              </w:rPr>
            </w:pPr>
            <w:r w:rsidRPr="0033512B">
              <w:rPr>
                <w:rFonts w:cs="Arial"/>
                <w:color w:val="FF0000"/>
              </w:rPr>
              <w:t xml:space="preserve"> (1.3)</w:t>
            </w:r>
          </w:p>
        </w:tc>
      </w:tr>
      <w:tr w:rsidR="0033512B" w:rsidRPr="0033512B" w14:paraId="37922787" w14:textId="77777777" w:rsidTr="0033512B">
        <w:trPr>
          <w:trHeight w:val="312"/>
        </w:trPr>
        <w:tc>
          <w:tcPr>
            <w:tcW w:w="4180" w:type="dxa"/>
            <w:tcBorders>
              <w:top w:val="nil"/>
              <w:left w:val="single" w:sz="4" w:space="0" w:color="000000"/>
              <w:bottom w:val="single" w:sz="8" w:space="0" w:color="000000"/>
              <w:right w:val="single" w:sz="8" w:space="0" w:color="000000"/>
            </w:tcBorders>
            <w:shd w:val="clear" w:color="000000" w:fill="FFFFFF"/>
            <w:vAlign w:val="center"/>
            <w:hideMark/>
          </w:tcPr>
          <w:p w14:paraId="6F729A45" w14:textId="77777777" w:rsidR="0033512B" w:rsidRPr="0033512B" w:rsidRDefault="0033512B" w:rsidP="0033512B">
            <w:pPr>
              <w:rPr>
                <w:rFonts w:cs="Arial"/>
              </w:rPr>
            </w:pPr>
            <w:r w:rsidRPr="0033512B">
              <w:rPr>
                <w:rFonts w:cs="Arial"/>
              </w:rPr>
              <w:t>Central Schools and Services Block</w:t>
            </w:r>
          </w:p>
        </w:tc>
        <w:tc>
          <w:tcPr>
            <w:tcW w:w="1220" w:type="dxa"/>
            <w:tcBorders>
              <w:top w:val="nil"/>
              <w:left w:val="nil"/>
              <w:bottom w:val="single" w:sz="8" w:space="0" w:color="000000"/>
              <w:right w:val="single" w:sz="8" w:space="0" w:color="000000"/>
            </w:tcBorders>
            <w:shd w:val="clear" w:color="000000" w:fill="FFFFFF"/>
            <w:vAlign w:val="center"/>
            <w:hideMark/>
          </w:tcPr>
          <w:p w14:paraId="1A9535F1" w14:textId="77777777" w:rsidR="0033512B" w:rsidRPr="0033512B" w:rsidRDefault="0033512B" w:rsidP="0033512B">
            <w:pPr>
              <w:jc w:val="center"/>
              <w:rPr>
                <w:rFonts w:cs="Arial"/>
              </w:rPr>
            </w:pPr>
            <w:r w:rsidRPr="0033512B">
              <w:rPr>
                <w:rFonts w:cs="Arial"/>
              </w:rPr>
              <w:t xml:space="preserve">3.2 </w:t>
            </w:r>
          </w:p>
        </w:tc>
        <w:tc>
          <w:tcPr>
            <w:tcW w:w="1720" w:type="dxa"/>
            <w:tcBorders>
              <w:top w:val="nil"/>
              <w:left w:val="nil"/>
              <w:bottom w:val="single" w:sz="8" w:space="0" w:color="000000"/>
              <w:right w:val="single" w:sz="8" w:space="0" w:color="000000"/>
            </w:tcBorders>
            <w:shd w:val="clear" w:color="000000" w:fill="FFFFFF"/>
            <w:vAlign w:val="center"/>
            <w:hideMark/>
          </w:tcPr>
          <w:p w14:paraId="69430F2D" w14:textId="77777777" w:rsidR="0033512B" w:rsidRPr="0033512B" w:rsidRDefault="0033512B" w:rsidP="0033512B">
            <w:pPr>
              <w:jc w:val="center"/>
              <w:rPr>
                <w:rFonts w:cs="Arial"/>
              </w:rPr>
            </w:pPr>
            <w:r w:rsidRPr="0033512B">
              <w:rPr>
                <w:rFonts w:cs="Arial"/>
              </w:rPr>
              <w:t xml:space="preserve">3.2 </w:t>
            </w:r>
          </w:p>
        </w:tc>
        <w:tc>
          <w:tcPr>
            <w:tcW w:w="1700" w:type="dxa"/>
            <w:tcBorders>
              <w:top w:val="nil"/>
              <w:left w:val="nil"/>
              <w:bottom w:val="single" w:sz="8" w:space="0" w:color="000000"/>
              <w:right w:val="single" w:sz="8" w:space="0" w:color="000000"/>
            </w:tcBorders>
            <w:shd w:val="clear" w:color="000000" w:fill="FFFFFF"/>
            <w:vAlign w:val="center"/>
            <w:hideMark/>
          </w:tcPr>
          <w:p w14:paraId="4CAA2D21" w14:textId="77777777" w:rsidR="0033512B" w:rsidRPr="0033512B" w:rsidRDefault="0033512B" w:rsidP="0033512B">
            <w:pPr>
              <w:jc w:val="center"/>
              <w:rPr>
                <w:rFonts w:cs="Arial"/>
              </w:rPr>
            </w:pPr>
            <w:r w:rsidRPr="0033512B">
              <w:rPr>
                <w:rFonts w:cs="Arial"/>
              </w:rPr>
              <w:t xml:space="preserve">0.0 </w:t>
            </w:r>
          </w:p>
        </w:tc>
      </w:tr>
      <w:tr w:rsidR="0033512B" w:rsidRPr="0033512B" w14:paraId="1B766FAB" w14:textId="77777777" w:rsidTr="0033512B">
        <w:trPr>
          <w:trHeight w:val="312"/>
        </w:trPr>
        <w:tc>
          <w:tcPr>
            <w:tcW w:w="4180" w:type="dxa"/>
            <w:tcBorders>
              <w:top w:val="nil"/>
              <w:left w:val="single" w:sz="4" w:space="0" w:color="000000"/>
              <w:bottom w:val="single" w:sz="8" w:space="0" w:color="000000"/>
              <w:right w:val="single" w:sz="8" w:space="0" w:color="000000"/>
            </w:tcBorders>
            <w:shd w:val="clear" w:color="000000" w:fill="FFFFFF"/>
            <w:vAlign w:val="center"/>
            <w:hideMark/>
          </w:tcPr>
          <w:p w14:paraId="7D032607" w14:textId="77777777" w:rsidR="0033512B" w:rsidRPr="0033512B" w:rsidRDefault="0033512B" w:rsidP="0033512B">
            <w:pPr>
              <w:rPr>
                <w:rFonts w:cs="Arial"/>
              </w:rPr>
            </w:pPr>
            <w:r w:rsidRPr="0033512B">
              <w:rPr>
                <w:rFonts w:cs="Arial"/>
              </w:rPr>
              <w:t>High Needs Block</w:t>
            </w:r>
          </w:p>
        </w:tc>
        <w:tc>
          <w:tcPr>
            <w:tcW w:w="1220" w:type="dxa"/>
            <w:tcBorders>
              <w:top w:val="nil"/>
              <w:left w:val="nil"/>
              <w:bottom w:val="single" w:sz="8" w:space="0" w:color="000000"/>
              <w:right w:val="single" w:sz="8" w:space="0" w:color="000000"/>
            </w:tcBorders>
            <w:shd w:val="clear" w:color="000000" w:fill="FFFFFF"/>
            <w:vAlign w:val="center"/>
            <w:hideMark/>
          </w:tcPr>
          <w:p w14:paraId="7CD6DF63" w14:textId="77777777" w:rsidR="0033512B" w:rsidRPr="0033512B" w:rsidRDefault="0033512B" w:rsidP="0033512B">
            <w:pPr>
              <w:jc w:val="center"/>
              <w:rPr>
                <w:rFonts w:cs="Arial"/>
              </w:rPr>
            </w:pPr>
            <w:r w:rsidRPr="0033512B">
              <w:rPr>
                <w:rFonts w:cs="Arial"/>
              </w:rPr>
              <w:t xml:space="preserve">89.9 </w:t>
            </w:r>
          </w:p>
        </w:tc>
        <w:tc>
          <w:tcPr>
            <w:tcW w:w="1720" w:type="dxa"/>
            <w:tcBorders>
              <w:top w:val="nil"/>
              <w:left w:val="nil"/>
              <w:bottom w:val="single" w:sz="8" w:space="0" w:color="000000"/>
              <w:right w:val="single" w:sz="8" w:space="0" w:color="000000"/>
            </w:tcBorders>
            <w:shd w:val="clear" w:color="000000" w:fill="FFFFFF"/>
            <w:vAlign w:val="center"/>
            <w:hideMark/>
          </w:tcPr>
          <w:p w14:paraId="5A44DB1D" w14:textId="77777777" w:rsidR="0033512B" w:rsidRPr="0033512B" w:rsidRDefault="0033512B" w:rsidP="0033512B">
            <w:pPr>
              <w:jc w:val="center"/>
              <w:rPr>
                <w:rFonts w:cs="Arial"/>
              </w:rPr>
            </w:pPr>
            <w:r w:rsidRPr="0033512B">
              <w:rPr>
                <w:rFonts w:cs="Arial"/>
              </w:rPr>
              <w:t xml:space="preserve">121.2 </w:t>
            </w:r>
          </w:p>
        </w:tc>
        <w:tc>
          <w:tcPr>
            <w:tcW w:w="1700" w:type="dxa"/>
            <w:tcBorders>
              <w:top w:val="nil"/>
              <w:left w:val="nil"/>
              <w:bottom w:val="single" w:sz="8" w:space="0" w:color="000000"/>
              <w:right w:val="single" w:sz="8" w:space="0" w:color="000000"/>
            </w:tcBorders>
            <w:shd w:val="clear" w:color="000000" w:fill="FFFFFF"/>
            <w:vAlign w:val="center"/>
            <w:hideMark/>
          </w:tcPr>
          <w:p w14:paraId="1E96D502" w14:textId="77777777" w:rsidR="0033512B" w:rsidRPr="0033512B" w:rsidRDefault="0033512B" w:rsidP="0033512B">
            <w:pPr>
              <w:jc w:val="center"/>
              <w:rPr>
                <w:rFonts w:cs="Arial"/>
              </w:rPr>
            </w:pPr>
            <w:r w:rsidRPr="0033512B">
              <w:rPr>
                <w:rFonts w:cs="Arial"/>
              </w:rPr>
              <w:t xml:space="preserve">31.2 </w:t>
            </w:r>
          </w:p>
        </w:tc>
      </w:tr>
      <w:tr w:rsidR="0033512B" w:rsidRPr="0033512B" w14:paraId="13C972F6" w14:textId="77777777" w:rsidTr="0033512B">
        <w:trPr>
          <w:trHeight w:val="312"/>
        </w:trPr>
        <w:tc>
          <w:tcPr>
            <w:tcW w:w="4180" w:type="dxa"/>
            <w:tcBorders>
              <w:top w:val="nil"/>
              <w:left w:val="single" w:sz="4" w:space="0" w:color="000000"/>
              <w:bottom w:val="single" w:sz="8" w:space="0" w:color="000000"/>
              <w:right w:val="single" w:sz="8" w:space="0" w:color="000000"/>
            </w:tcBorders>
            <w:shd w:val="clear" w:color="000000" w:fill="FFFFFF"/>
            <w:vAlign w:val="center"/>
            <w:hideMark/>
          </w:tcPr>
          <w:p w14:paraId="29A6A09B" w14:textId="77777777" w:rsidR="0033512B" w:rsidRPr="0033512B" w:rsidRDefault="0033512B" w:rsidP="0033512B">
            <w:pPr>
              <w:rPr>
                <w:rFonts w:cs="Arial"/>
              </w:rPr>
            </w:pPr>
            <w:r w:rsidRPr="0033512B">
              <w:rPr>
                <w:rFonts w:cs="Arial"/>
              </w:rPr>
              <w:t>Early Years Block</w:t>
            </w:r>
          </w:p>
        </w:tc>
        <w:tc>
          <w:tcPr>
            <w:tcW w:w="1220" w:type="dxa"/>
            <w:tcBorders>
              <w:top w:val="nil"/>
              <w:left w:val="nil"/>
              <w:bottom w:val="single" w:sz="8" w:space="0" w:color="000000"/>
              <w:right w:val="single" w:sz="8" w:space="0" w:color="000000"/>
            </w:tcBorders>
            <w:shd w:val="clear" w:color="000000" w:fill="FFFFFF"/>
            <w:vAlign w:val="center"/>
            <w:hideMark/>
          </w:tcPr>
          <w:p w14:paraId="786C1799" w14:textId="77777777" w:rsidR="0033512B" w:rsidRPr="0033512B" w:rsidRDefault="0033512B" w:rsidP="0033512B">
            <w:pPr>
              <w:jc w:val="center"/>
              <w:rPr>
                <w:rFonts w:cs="Arial"/>
              </w:rPr>
            </w:pPr>
            <w:r w:rsidRPr="0033512B">
              <w:rPr>
                <w:rFonts w:cs="Arial"/>
              </w:rPr>
              <w:t xml:space="preserve">50.6 </w:t>
            </w:r>
          </w:p>
        </w:tc>
        <w:tc>
          <w:tcPr>
            <w:tcW w:w="1720" w:type="dxa"/>
            <w:tcBorders>
              <w:top w:val="nil"/>
              <w:left w:val="nil"/>
              <w:bottom w:val="single" w:sz="8" w:space="0" w:color="000000"/>
              <w:right w:val="single" w:sz="8" w:space="0" w:color="000000"/>
            </w:tcBorders>
            <w:shd w:val="clear" w:color="000000" w:fill="FFFFFF"/>
            <w:vAlign w:val="center"/>
            <w:hideMark/>
          </w:tcPr>
          <w:p w14:paraId="65D238BF" w14:textId="77777777" w:rsidR="0033512B" w:rsidRPr="0033512B" w:rsidRDefault="0033512B" w:rsidP="0033512B">
            <w:pPr>
              <w:jc w:val="center"/>
              <w:rPr>
                <w:rFonts w:cs="Arial"/>
              </w:rPr>
            </w:pPr>
            <w:r w:rsidRPr="0033512B">
              <w:rPr>
                <w:rFonts w:cs="Arial"/>
              </w:rPr>
              <w:t xml:space="preserve">50.6 </w:t>
            </w:r>
          </w:p>
        </w:tc>
        <w:tc>
          <w:tcPr>
            <w:tcW w:w="1700" w:type="dxa"/>
            <w:tcBorders>
              <w:top w:val="nil"/>
              <w:left w:val="nil"/>
              <w:bottom w:val="single" w:sz="8" w:space="0" w:color="000000"/>
              <w:right w:val="single" w:sz="8" w:space="0" w:color="000000"/>
            </w:tcBorders>
            <w:shd w:val="clear" w:color="000000" w:fill="FFFFFF"/>
            <w:vAlign w:val="center"/>
            <w:hideMark/>
          </w:tcPr>
          <w:p w14:paraId="4CD7F471" w14:textId="77777777" w:rsidR="0033512B" w:rsidRPr="0033512B" w:rsidRDefault="0033512B" w:rsidP="0033512B">
            <w:pPr>
              <w:jc w:val="center"/>
              <w:rPr>
                <w:rFonts w:cs="Arial"/>
              </w:rPr>
            </w:pPr>
            <w:r w:rsidRPr="0033512B">
              <w:rPr>
                <w:rFonts w:cs="Arial"/>
              </w:rPr>
              <w:t xml:space="preserve">0.0 </w:t>
            </w:r>
          </w:p>
        </w:tc>
      </w:tr>
      <w:tr w:rsidR="0033512B" w:rsidRPr="0033512B" w14:paraId="6A205F81" w14:textId="77777777" w:rsidTr="0033512B">
        <w:trPr>
          <w:trHeight w:val="324"/>
        </w:trPr>
        <w:tc>
          <w:tcPr>
            <w:tcW w:w="4180" w:type="dxa"/>
            <w:tcBorders>
              <w:top w:val="nil"/>
              <w:left w:val="single" w:sz="4" w:space="0" w:color="000000"/>
              <w:bottom w:val="single" w:sz="8" w:space="0" w:color="000000"/>
              <w:right w:val="single" w:sz="8" w:space="0" w:color="000000"/>
            </w:tcBorders>
            <w:shd w:val="clear" w:color="000000" w:fill="D9D9D9"/>
            <w:vAlign w:val="center"/>
            <w:hideMark/>
          </w:tcPr>
          <w:p w14:paraId="324C0E07" w14:textId="77777777" w:rsidR="0033512B" w:rsidRPr="0033512B" w:rsidRDefault="0033512B" w:rsidP="0033512B">
            <w:pPr>
              <w:rPr>
                <w:rFonts w:cs="Arial"/>
                <w:b/>
                <w:bCs/>
              </w:rPr>
            </w:pPr>
            <w:r w:rsidRPr="0033512B">
              <w:rPr>
                <w:rFonts w:cs="Arial"/>
                <w:b/>
                <w:bCs/>
              </w:rPr>
              <w:t>Total DSG</w:t>
            </w:r>
          </w:p>
        </w:tc>
        <w:tc>
          <w:tcPr>
            <w:tcW w:w="1220" w:type="dxa"/>
            <w:tcBorders>
              <w:top w:val="nil"/>
              <w:left w:val="nil"/>
              <w:bottom w:val="single" w:sz="8" w:space="0" w:color="000000"/>
              <w:right w:val="single" w:sz="8" w:space="0" w:color="000000"/>
            </w:tcBorders>
            <w:shd w:val="clear" w:color="000000" w:fill="D9D9D9"/>
            <w:vAlign w:val="center"/>
            <w:hideMark/>
          </w:tcPr>
          <w:p w14:paraId="2AC2E109" w14:textId="77777777" w:rsidR="0033512B" w:rsidRPr="0033512B" w:rsidRDefault="0033512B" w:rsidP="0033512B">
            <w:pPr>
              <w:jc w:val="center"/>
              <w:rPr>
                <w:rFonts w:cs="Arial"/>
                <w:b/>
                <w:bCs/>
              </w:rPr>
            </w:pPr>
            <w:r w:rsidRPr="0033512B">
              <w:rPr>
                <w:rFonts w:cs="Arial"/>
                <w:b/>
                <w:bCs/>
              </w:rPr>
              <w:t xml:space="preserve">349.1 </w:t>
            </w:r>
          </w:p>
        </w:tc>
        <w:tc>
          <w:tcPr>
            <w:tcW w:w="1720" w:type="dxa"/>
            <w:tcBorders>
              <w:top w:val="nil"/>
              <w:left w:val="nil"/>
              <w:bottom w:val="single" w:sz="8" w:space="0" w:color="000000"/>
              <w:right w:val="single" w:sz="8" w:space="0" w:color="000000"/>
            </w:tcBorders>
            <w:shd w:val="clear" w:color="000000" w:fill="D9D9D9"/>
            <w:vAlign w:val="center"/>
            <w:hideMark/>
          </w:tcPr>
          <w:p w14:paraId="113FDC7B" w14:textId="77777777" w:rsidR="0033512B" w:rsidRPr="0033512B" w:rsidRDefault="0033512B" w:rsidP="0033512B">
            <w:pPr>
              <w:jc w:val="center"/>
              <w:rPr>
                <w:rFonts w:cs="Arial"/>
                <w:b/>
                <w:bCs/>
              </w:rPr>
            </w:pPr>
            <w:r w:rsidRPr="0033512B">
              <w:rPr>
                <w:rFonts w:cs="Arial"/>
                <w:b/>
                <w:bCs/>
              </w:rPr>
              <w:t xml:space="preserve">379.1 </w:t>
            </w:r>
          </w:p>
        </w:tc>
        <w:tc>
          <w:tcPr>
            <w:tcW w:w="1700" w:type="dxa"/>
            <w:tcBorders>
              <w:top w:val="nil"/>
              <w:left w:val="nil"/>
              <w:bottom w:val="single" w:sz="8" w:space="0" w:color="000000"/>
              <w:right w:val="single" w:sz="8" w:space="0" w:color="000000"/>
            </w:tcBorders>
            <w:shd w:val="clear" w:color="000000" w:fill="D9D9D9"/>
            <w:vAlign w:val="center"/>
            <w:hideMark/>
          </w:tcPr>
          <w:p w14:paraId="59FA15BA" w14:textId="77777777" w:rsidR="0033512B" w:rsidRPr="0033512B" w:rsidRDefault="0033512B" w:rsidP="0033512B">
            <w:pPr>
              <w:jc w:val="center"/>
              <w:rPr>
                <w:rFonts w:cs="Arial"/>
                <w:b/>
                <w:bCs/>
              </w:rPr>
            </w:pPr>
            <w:r w:rsidRPr="0033512B">
              <w:rPr>
                <w:rFonts w:cs="Arial"/>
                <w:b/>
                <w:bCs/>
              </w:rPr>
              <w:t xml:space="preserve">30.0 </w:t>
            </w:r>
          </w:p>
        </w:tc>
      </w:tr>
    </w:tbl>
    <w:p w14:paraId="1C2F237D" w14:textId="77777777" w:rsidR="00EA7D96" w:rsidRDefault="00EA7D96" w:rsidP="00F93EA6">
      <w:pPr>
        <w:pStyle w:val="ListParagraph"/>
        <w:ind w:left="709"/>
        <w:jc w:val="both"/>
        <w:rPr>
          <w:rFonts w:cs="Arial"/>
        </w:rPr>
      </w:pPr>
    </w:p>
    <w:p w14:paraId="3C1142AF" w14:textId="77777777" w:rsidR="00F93EA6" w:rsidRPr="00161D57" w:rsidRDefault="00F93EA6" w:rsidP="00F93EA6">
      <w:pPr>
        <w:pStyle w:val="ListParagraph"/>
        <w:ind w:left="709"/>
        <w:jc w:val="both"/>
        <w:rPr>
          <w:rFonts w:cs="Arial"/>
        </w:rPr>
      </w:pPr>
    </w:p>
    <w:p w14:paraId="492DCFB7" w14:textId="2FE86CD7" w:rsidR="005C28AD" w:rsidRPr="00A00D34" w:rsidRDefault="003F6D13" w:rsidP="00A00D34">
      <w:pPr>
        <w:pStyle w:val="ListParagraph"/>
        <w:numPr>
          <w:ilvl w:val="1"/>
          <w:numId w:val="26"/>
        </w:numPr>
        <w:ind w:left="709" w:hanging="709"/>
        <w:jc w:val="both"/>
        <w:rPr>
          <w:rFonts w:cs="Arial"/>
        </w:rPr>
      </w:pPr>
      <w:r w:rsidRPr="0026731E">
        <w:rPr>
          <w:rFonts w:cs="Arial"/>
          <w:b/>
          <w:bCs/>
        </w:rPr>
        <w:t>Schools Block</w:t>
      </w:r>
    </w:p>
    <w:p w14:paraId="39221BDC" w14:textId="38DE81B9" w:rsidR="0026731E" w:rsidRDefault="00940DD4" w:rsidP="005C28AD">
      <w:pPr>
        <w:pStyle w:val="ListParagraph"/>
        <w:ind w:left="709"/>
        <w:jc w:val="both"/>
        <w:rPr>
          <w:rFonts w:cs="Arial"/>
        </w:rPr>
      </w:pPr>
      <w:r>
        <w:rPr>
          <w:rFonts w:cs="Arial"/>
        </w:rPr>
        <w:t xml:space="preserve">There is a projected </w:t>
      </w:r>
      <w:r w:rsidRPr="003E1627">
        <w:rPr>
          <w:rFonts w:cs="Arial"/>
        </w:rPr>
        <w:t>underspend of £</w:t>
      </w:r>
      <w:r w:rsidR="008078DF">
        <w:rPr>
          <w:rFonts w:cs="Arial"/>
        </w:rPr>
        <w:t>1</w:t>
      </w:r>
      <w:r w:rsidRPr="003E1627">
        <w:rPr>
          <w:rFonts w:cs="Arial"/>
        </w:rPr>
        <w:t>.</w:t>
      </w:r>
      <w:r w:rsidR="008078DF">
        <w:rPr>
          <w:rFonts w:cs="Arial"/>
        </w:rPr>
        <w:t>3</w:t>
      </w:r>
      <w:r>
        <w:rPr>
          <w:rFonts w:cs="Arial"/>
        </w:rPr>
        <w:t xml:space="preserve"> million</w:t>
      </w:r>
      <w:r w:rsidR="00A73CD8">
        <w:rPr>
          <w:rFonts w:cs="Arial"/>
        </w:rPr>
        <w:t xml:space="preserve"> wholly attributable to the Growth Fund.</w:t>
      </w:r>
    </w:p>
    <w:p w14:paraId="752F5A28" w14:textId="77777777" w:rsidR="0026731E" w:rsidRDefault="0026731E" w:rsidP="0026731E">
      <w:pPr>
        <w:pStyle w:val="ListParagraph"/>
        <w:ind w:left="709"/>
        <w:jc w:val="both"/>
        <w:rPr>
          <w:rFonts w:cs="Arial"/>
        </w:rPr>
      </w:pPr>
    </w:p>
    <w:p w14:paraId="16126529" w14:textId="2C1554E4" w:rsidR="005B3B08" w:rsidRPr="00A00D34" w:rsidRDefault="0026731E" w:rsidP="00A00D34">
      <w:pPr>
        <w:pStyle w:val="ListParagraph"/>
        <w:numPr>
          <w:ilvl w:val="1"/>
          <w:numId w:val="26"/>
        </w:numPr>
        <w:ind w:left="709" w:hanging="709"/>
        <w:jc w:val="both"/>
        <w:rPr>
          <w:rFonts w:cs="Arial"/>
        </w:rPr>
      </w:pPr>
      <w:r w:rsidRPr="005E04D9">
        <w:rPr>
          <w:rFonts w:cs="Arial"/>
          <w:b/>
          <w:bCs/>
        </w:rPr>
        <w:t>Central Schools and Services Block</w:t>
      </w:r>
    </w:p>
    <w:p w14:paraId="118B2D54" w14:textId="59511152" w:rsidR="005E04D9" w:rsidRDefault="005E04D9" w:rsidP="005B3B08">
      <w:pPr>
        <w:pStyle w:val="ListParagraph"/>
        <w:ind w:left="709"/>
        <w:jc w:val="both"/>
        <w:rPr>
          <w:rFonts w:cs="Arial"/>
        </w:rPr>
      </w:pPr>
      <w:r>
        <w:rPr>
          <w:rFonts w:cs="Arial"/>
        </w:rPr>
        <w:t>The Central Schools and Services Block is projected to spend to budget.</w:t>
      </w:r>
    </w:p>
    <w:p w14:paraId="2356B234" w14:textId="77777777" w:rsidR="005E04D9" w:rsidRPr="005E04D9" w:rsidRDefault="005E04D9" w:rsidP="005E04D9">
      <w:pPr>
        <w:pStyle w:val="ListParagraph"/>
        <w:rPr>
          <w:rFonts w:cs="Arial"/>
        </w:rPr>
      </w:pPr>
    </w:p>
    <w:p w14:paraId="29732BAD" w14:textId="77777777" w:rsidR="00B115A7" w:rsidRPr="00B115A7" w:rsidRDefault="009E47C3" w:rsidP="00B115A7">
      <w:pPr>
        <w:pStyle w:val="ListParagraph"/>
        <w:numPr>
          <w:ilvl w:val="1"/>
          <w:numId w:val="26"/>
        </w:numPr>
        <w:ind w:left="709" w:hanging="709"/>
        <w:jc w:val="both"/>
        <w:rPr>
          <w:rFonts w:cs="Arial"/>
        </w:rPr>
      </w:pPr>
      <w:r w:rsidRPr="0053063A">
        <w:rPr>
          <w:rFonts w:cs="Arial"/>
          <w:b/>
          <w:bCs/>
        </w:rPr>
        <w:t>High N</w:t>
      </w:r>
      <w:r w:rsidR="009D2D1C" w:rsidRPr="0053063A">
        <w:rPr>
          <w:rFonts w:cs="Arial"/>
          <w:b/>
          <w:bCs/>
        </w:rPr>
        <w:t>eeds Block</w:t>
      </w:r>
    </w:p>
    <w:p w14:paraId="33315F5A" w14:textId="7CA4E07E" w:rsidR="004F409A" w:rsidRDefault="00735C2E" w:rsidP="007E6C49">
      <w:pPr>
        <w:pStyle w:val="ListParagraph"/>
        <w:ind w:left="709"/>
        <w:jc w:val="both"/>
      </w:pPr>
      <w:r w:rsidRPr="00735C2E">
        <w:t>The forecast overspend of £31.2 million on the High Needs Block is primarily driven by sustained growth in demand for SEND provision and support. Key cost pressures include the expansion of local specialist provision, including new ARPs, continued growth in the Phoenix Project, increasing numbers of pupils with EHCPs, and rising demand for specialist placements and associated support services. These pressures have been compounded by inflationary increases in staffing and provider costs, the increasing complexity of need among children and young people, and a funding gap between growth in High Needs expenditure and available grant funding. Collectively, these factors have contributed to the projected overspend position.</w:t>
      </w:r>
      <w:r w:rsidR="002054EB">
        <w:t xml:space="preserve"> </w:t>
      </w:r>
    </w:p>
    <w:p w14:paraId="63AFCDD3" w14:textId="77777777" w:rsidR="00680E3C" w:rsidRDefault="00680E3C" w:rsidP="007E6C49">
      <w:pPr>
        <w:pStyle w:val="ListParagraph"/>
        <w:ind w:left="709"/>
        <w:jc w:val="both"/>
      </w:pPr>
    </w:p>
    <w:p w14:paraId="628E01AB" w14:textId="03F01925" w:rsidR="009176D9" w:rsidRPr="00680E3C" w:rsidRDefault="00680E3C" w:rsidP="00680E3C">
      <w:pPr>
        <w:pStyle w:val="ListParagraph"/>
        <w:ind w:left="709"/>
        <w:jc w:val="both"/>
        <w:rPr>
          <w:rFonts w:cs="Arial"/>
        </w:rPr>
      </w:pPr>
      <w:r w:rsidRPr="00680E3C">
        <w:rPr>
          <w:rFonts w:cs="Arial"/>
        </w:rPr>
        <w:t>Mitigating actions will be delivered through the Local SEND Reform Plan, focusing on earlier intervention, stronger inclusive practice and increased local provision. These measures are intended to improve outcomes and slow the growth in High Needs expenditure; further detail will be provided as the plan is approved and implemented.</w:t>
      </w:r>
    </w:p>
    <w:p w14:paraId="0823D02C" w14:textId="77777777" w:rsidR="004F409A" w:rsidRPr="00161D57" w:rsidRDefault="004F409A" w:rsidP="004F409A">
      <w:pPr>
        <w:pStyle w:val="ListParagraph"/>
        <w:ind w:left="567"/>
        <w:jc w:val="both"/>
        <w:rPr>
          <w:rFonts w:cs="Arial"/>
        </w:rPr>
      </w:pPr>
    </w:p>
    <w:p w14:paraId="6E598AF7" w14:textId="767B3C05" w:rsidR="005B3B08" w:rsidRDefault="005D6BF4" w:rsidP="00785420">
      <w:pPr>
        <w:pStyle w:val="ListParagraph"/>
        <w:numPr>
          <w:ilvl w:val="1"/>
          <w:numId w:val="26"/>
        </w:numPr>
        <w:ind w:left="709" w:hanging="709"/>
        <w:jc w:val="both"/>
        <w:rPr>
          <w:rFonts w:cs="Arial"/>
        </w:rPr>
      </w:pPr>
      <w:r w:rsidRPr="00DA3A4D">
        <w:rPr>
          <w:rFonts w:cs="Arial"/>
          <w:b/>
          <w:bCs/>
        </w:rPr>
        <w:t>Early Years Block</w:t>
      </w:r>
    </w:p>
    <w:p w14:paraId="6DF5E0A1" w14:textId="77777777" w:rsidR="00B45E7F" w:rsidRDefault="00B45E7F" w:rsidP="00B45E7F">
      <w:pPr>
        <w:pStyle w:val="ListParagraph"/>
        <w:ind w:left="709"/>
        <w:jc w:val="both"/>
        <w:rPr>
          <w:rFonts w:cs="Arial"/>
          <w:b/>
          <w:bCs/>
        </w:rPr>
      </w:pPr>
    </w:p>
    <w:p w14:paraId="479EF5BE" w14:textId="5A08136B" w:rsidR="002A5BE3" w:rsidRPr="002A5BE3" w:rsidRDefault="00785420" w:rsidP="003670C8">
      <w:pPr>
        <w:pStyle w:val="ListParagraph"/>
        <w:ind w:left="709"/>
        <w:jc w:val="both"/>
        <w:rPr>
          <w:rFonts w:cs="Arial"/>
        </w:rPr>
      </w:pPr>
      <w:r>
        <w:rPr>
          <w:rFonts w:cs="Arial"/>
        </w:rPr>
        <w:t>The Early Years Block is projected to spend to budget.</w:t>
      </w:r>
      <w:bookmarkEnd w:id="0"/>
    </w:p>
    <w:sectPr w:rsidR="002A5BE3" w:rsidRPr="002A5BE3" w:rsidSect="00F32C7A">
      <w:footerReference w:type="default" r:id="rId12"/>
      <w:headerReference w:type="first" r:id="rId13"/>
      <w:footerReference w:type="first" r:id="rId14"/>
      <w:pgSz w:w="11906" w:h="16838" w:code="9"/>
      <w:pgMar w:top="1440" w:right="1274" w:bottom="1440" w:left="1276" w:header="720" w:footer="85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45DEA" w14:textId="77777777" w:rsidR="00A054C0" w:rsidRDefault="00A054C0">
      <w:r>
        <w:separator/>
      </w:r>
    </w:p>
  </w:endnote>
  <w:endnote w:type="continuationSeparator" w:id="0">
    <w:p w14:paraId="5F249456" w14:textId="77777777" w:rsidR="00A054C0" w:rsidRDefault="00A054C0">
      <w:r>
        <w:continuationSeparator/>
      </w:r>
    </w:p>
  </w:endnote>
  <w:endnote w:type="continuationNotice" w:id="1">
    <w:p w14:paraId="698770DD" w14:textId="77777777" w:rsidR="00A054C0" w:rsidRDefault="00A054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693171"/>
      <w:docPartObj>
        <w:docPartGallery w:val="Page Numbers (Bottom of Page)"/>
        <w:docPartUnique/>
      </w:docPartObj>
    </w:sdtPr>
    <w:sdtEndPr>
      <w:rPr>
        <w:noProof/>
      </w:rPr>
    </w:sdtEndPr>
    <w:sdtContent>
      <w:p w14:paraId="21B27BD1" w14:textId="06CE8B49" w:rsidR="0086240E" w:rsidRDefault="008624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3F54D3" w14:textId="77777777" w:rsidR="0086240E" w:rsidRDefault="00862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15395"/>
      <w:docPartObj>
        <w:docPartGallery w:val="Page Numbers (Bottom of Page)"/>
        <w:docPartUnique/>
      </w:docPartObj>
    </w:sdtPr>
    <w:sdtEndPr>
      <w:rPr>
        <w:noProof/>
      </w:rPr>
    </w:sdtEndPr>
    <w:sdtContent>
      <w:p w14:paraId="7413E2D2" w14:textId="53631DB6" w:rsidR="00C353A6" w:rsidRDefault="00C353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64D9B3" w14:textId="77777777" w:rsidR="0086240E" w:rsidRDefault="00862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769C2" w14:textId="77777777" w:rsidR="00A054C0" w:rsidRDefault="00A054C0">
      <w:r>
        <w:separator/>
      </w:r>
    </w:p>
  </w:footnote>
  <w:footnote w:type="continuationSeparator" w:id="0">
    <w:p w14:paraId="3EAF4421" w14:textId="77777777" w:rsidR="00A054C0" w:rsidRDefault="00A054C0">
      <w:r>
        <w:continuationSeparator/>
      </w:r>
    </w:p>
  </w:footnote>
  <w:footnote w:type="continuationNotice" w:id="1">
    <w:p w14:paraId="6A37607C" w14:textId="77777777" w:rsidR="00A054C0" w:rsidRDefault="00A054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F707" w14:textId="7000DBAB" w:rsidR="00883BFB" w:rsidRDefault="00883BFB">
    <w:pPr>
      <w:pStyle w:val="Header"/>
    </w:pPr>
    <w:r w:rsidRPr="00883BFB">
      <w:rPr>
        <w:rFonts w:ascii="Times New Roman" w:hAnsi="Times New Roman"/>
        <w:noProof/>
        <w:szCs w:val="20"/>
      </w:rPr>
      <w:drawing>
        <wp:anchor distT="0" distB="0" distL="114300" distR="114300" simplePos="0" relativeHeight="251658240" behindDoc="0" locked="0" layoutInCell="1" allowOverlap="1" wp14:anchorId="6BF81060" wp14:editId="0D8BA24E">
          <wp:simplePos x="0" y="0"/>
          <wp:positionH relativeFrom="column">
            <wp:posOffset>939800</wp:posOffset>
          </wp:positionH>
          <wp:positionV relativeFrom="paragraph">
            <wp:posOffset>-342900</wp:posOffset>
          </wp:positionV>
          <wp:extent cx="5731510" cy="1152525"/>
          <wp:effectExtent l="0" t="0" r="2540" b="9525"/>
          <wp:wrapThrough wrapText="bothSides">
            <wp:wrapPolygon edited="0">
              <wp:start x="0" y="0"/>
              <wp:lineTo x="0" y="21421"/>
              <wp:lineTo x="21538" y="21421"/>
              <wp:lineTo x="21538" y="0"/>
              <wp:lineTo x="0" y="0"/>
            </wp:wrapPolygon>
          </wp:wrapThrough>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525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C19CA"/>
    <w:multiLevelType w:val="hybridMultilevel"/>
    <w:tmpl w:val="29806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500FC"/>
    <w:multiLevelType w:val="hybridMultilevel"/>
    <w:tmpl w:val="DB4A2D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B27EA9"/>
    <w:multiLevelType w:val="hybridMultilevel"/>
    <w:tmpl w:val="F8D2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748E1"/>
    <w:multiLevelType w:val="multilevel"/>
    <w:tmpl w:val="44AE43A2"/>
    <w:lvl w:ilvl="0">
      <w:start w:val="1"/>
      <w:numFmt w:val="decimal"/>
      <w:lvlRestart w:val="0"/>
      <w:pStyle w:val="DfESOutNumbered"/>
      <w:lvlText w:val="%1."/>
      <w:lvlJc w:val="left"/>
      <w:pPr>
        <w:tabs>
          <w:tab w:val="num" w:pos="720"/>
        </w:tabs>
      </w:pPr>
      <w:rPr>
        <w:rFonts w:cs="Times New Roman"/>
      </w:rPr>
    </w:lvl>
    <w:lvl w:ilvl="1">
      <w:start w:val="1"/>
      <w:numFmt w:val="lowerLetter"/>
      <w:lvlText w:val="%2."/>
      <w:lvlJc w:val="left"/>
      <w:pPr>
        <w:tabs>
          <w:tab w:val="num" w:pos="1440"/>
        </w:tabs>
        <w:ind w:left="1440" w:hanging="720"/>
      </w:pPr>
      <w:rPr>
        <w:rFonts w:cs="Times New Roman"/>
      </w:rPr>
    </w:lvl>
    <w:lvl w:ilvl="2">
      <w:start w:val="1"/>
      <w:numFmt w:val="lowerRoman"/>
      <w:lvlText w:val="%3)"/>
      <w:lvlJc w:val="left"/>
      <w:pPr>
        <w:tabs>
          <w:tab w:val="num" w:pos="2160"/>
        </w:tabs>
        <w:ind w:left="2160" w:hanging="720"/>
      </w:pPr>
      <w:rPr>
        <w:rFonts w:cs="Times New Roman"/>
      </w:rPr>
    </w:lvl>
    <w:lvl w:ilvl="3">
      <w:start w:val="1"/>
      <w:numFmt w:val="lowerLetter"/>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lowerRoman"/>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lowerLetter"/>
      <w:lvlText w:val="%8."/>
      <w:lvlJc w:val="left"/>
      <w:pPr>
        <w:tabs>
          <w:tab w:val="num" w:pos="5760"/>
        </w:tabs>
        <w:ind w:left="5760" w:hanging="720"/>
      </w:pPr>
      <w:rPr>
        <w:rFonts w:cs="Times New Roman"/>
      </w:rPr>
    </w:lvl>
    <w:lvl w:ilvl="8">
      <w:start w:val="1"/>
      <w:numFmt w:val="lowerRoman"/>
      <w:lvlText w:val="%9."/>
      <w:lvlJc w:val="left"/>
      <w:pPr>
        <w:tabs>
          <w:tab w:val="num" w:pos="6480"/>
        </w:tabs>
        <w:ind w:left="6480" w:hanging="720"/>
      </w:pPr>
      <w:rPr>
        <w:rFonts w:cs="Times New Roman"/>
      </w:rPr>
    </w:lvl>
  </w:abstractNum>
  <w:abstractNum w:abstractNumId="4" w15:restartNumberingAfterBreak="0">
    <w:nsid w:val="1B554CB6"/>
    <w:multiLevelType w:val="multilevel"/>
    <w:tmpl w:val="746CC27C"/>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bCs/>
        <w:color w:val="auto"/>
      </w:rPr>
    </w:lvl>
    <w:lvl w:ilvl="2">
      <w:start w:val="1"/>
      <w:numFmt w:val="decimal"/>
      <w:lvlText w:val="%1.%2.%3."/>
      <w:lvlJc w:val="left"/>
      <w:pPr>
        <w:ind w:left="50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4AA4EA0"/>
    <w:multiLevelType w:val="hybridMultilevel"/>
    <w:tmpl w:val="2E20E0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68C0C64"/>
    <w:multiLevelType w:val="hybridMultilevel"/>
    <w:tmpl w:val="07BAC78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291A1399"/>
    <w:multiLevelType w:val="multilevel"/>
    <w:tmpl w:val="1A6CFA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1172AF"/>
    <w:multiLevelType w:val="hybridMultilevel"/>
    <w:tmpl w:val="EF0C24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2577ADB"/>
    <w:multiLevelType w:val="multilevel"/>
    <w:tmpl w:val="E8746B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1F7A51"/>
    <w:multiLevelType w:val="hybridMultilevel"/>
    <w:tmpl w:val="A68A8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30040B"/>
    <w:multiLevelType w:val="hybridMultilevel"/>
    <w:tmpl w:val="95F4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C725B"/>
    <w:multiLevelType w:val="hybridMultilevel"/>
    <w:tmpl w:val="457E5058"/>
    <w:lvl w:ilvl="0" w:tplc="524CC7C4">
      <w:numFmt w:val="bullet"/>
      <w:lvlText w:val="-"/>
      <w:lvlJc w:val="left"/>
      <w:pPr>
        <w:ind w:left="720" w:hanging="360"/>
      </w:pPr>
      <w:rPr>
        <w:rFonts w:ascii="Calibri" w:eastAsia="Times New Roman" w:hAnsi="Calibri" w:cs="Calibri" w:hint="default"/>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350FD5"/>
    <w:multiLevelType w:val="multilevel"/>
    <w:tmpl w:val="35AE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AB16FA"/>
    <w:multiLevelType w:val="hybridMultilevel"/>
    <w:tmpl w:val="6FDA7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631C76"/>
    <w:multiLevelType w:val="hybridMultilevel"/>
    <w:tmpl w:val="2D323190"/>
    <w:lvl w:ilvl="0" w:tplc="5768B76C">
      <w:numFmt w:val="bullet"/>
      <w:lvlText w:val="-"/>
      <w:lvlJc w:val="left"/>
      <w:pPr>
        <w:ind w:left="1080" w:hanging="360"/>
      </w:pPr>
      <w:rPr>
        <w:rFonts w:ascii="Calibri" w:eastAsia="Times New Roman" w:hAnsi="Calibri" w:cs="Calibri" w:hint="default"/>
        <w:color w:val="000000"/>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5B02D42"/>
    <w:multiLevelType w:val="hybridMultilevel"/>
    <w:tmpl w:val="3F4A7E4E"/>
    <w:lvl w:ilvl="0" w:tplc="51F497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DF921CC"/>
    <w:multiLevelType w:val="hybridMultilevel"/>
    <w:tmpl w:val="A6FA787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4F2E5586"/>
    <w:multiLevelType w:val="hybridMultilevel"/>
    <w:tmpl w:val="943669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A275A47"/>
    <w:multiLevelType w:val="multilevel"/>
    <w:tmpl w:val="311EB9AC"/>
    <w:lvl w:ilvl="0">
      <w:start w:val="1"/>
      <w:numFmt w:val="decimal"/>
      <w:lvlText w:val="%1."/>
      <w:lvlJc w:val="left"/>
      <w:pPr>
        <w:ind w:left="720" w:hanging="720"/>
      </w:pPr>
      <w:rPr>
        <w:rFonts w:hint="default"/>
        <w:b/>
        <w:bCs/>
        <w:i w:val="0"/>
        <w:iCs w:val="0"/>
      </w:rPr>
    </w:lvl>
    <w:lvl w:ilvl="1">
      <w:start w:val="1"/>
      <w:numFmt w:val="decimal"/>
      <w:isLgl/>
      <w:lvlText w:val="%1.%2"/>
      <w:lvlJc w:val="left"/>
      <w:pPr>
        <w:ind w:left="720" w:hanging="720"/>
      </w:pPr>
      <w:rPr>
        <w:rFonts w:hint="default"/>
        <w:b w:val="0"/>
        <w:bCs w:val="0"/>
        <w:i w:val="0"/>
        <w:i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A7D3358"/>
    <w:multiLevelType w:val="hybridMultilevel"/>
    <w:tmpl w:val="D8DE7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821B91"/>
    <w:multiLevelType w:val="hybridMultilevel"/>
    <w:tmpl w:val="92E613A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E691A69"/>
    <w:multiLevelType w:val="multilevel"/>
    <w:tmpl w:val="311EB9AC"/>
    <w:lvl w:ilvl="0">
      <w:start w:val="1"/>
      <w:numFmt w:val="decimal"/>
      <w:lvlText w:val="%1."/>
      <w:lvlJc w:val="left"/>
      <w:pPr>
        <w:ind w:left="720" w:hanging="720"/>
      </w:pPr>
      <w:rPr>
        <w:rFonts w:hint="default"/>
        <w:b/>
        <w:bCs/>
        <w:i w:val="0"/>
        <w:iCs w:val="0"/>
      </w:rPr>
    </w:lvl>
    <w:lvl w:ilvl="1">
      <w:start w:val="1"/>
      <w:numFmt w:val="decimal"/>
      <w:isLgl/>
      <w:lvlText w:val="%1.%2"/>
      <w:lvlJc w:val="left"/>
      <w:pPr>
        <w:ind w:left="720" w:hanging="720"/>
      </w:pPr>
      <w:rPr>
        <w:rFonts w:hint="default"/>
        <w:b w:val="0"/>
        <w:bCs w:val="0"/>
        <w:i w:val="0"/>
        <w:i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1C92A1B"/>
    <w:multiLevelType w:val="multilevel"/>
    <w:tmpl w:val="FE5A8718"/>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6A7F02"/>
    <w:multiLevelType w:val="hybridMultilevel"/>
    <w:tmpl w:val="C09A4C6A"/>
    <w:lvl w:ilvl="0" w:tplc="49A6DBB8">
      <w:start w:val="1"/>
      <w:numFmt w:val="decimal"/>
      <w:lvlText w:val="%1."/>
      <w:lvlJc w:val="left"/>
      <w:pPr>
        <w:ind w:left="360" w:hanging="360"/>
      </w:pPr>
      <w:rPr>
        <w:rFonts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7085FD2"/>
    <w:multiLevelType w:val="multilevel"/>
    <w:tmpl w:val="95626326"/>
    <w:lvl w:ilvl="0">
      <w:start w:val="4"/>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D116732"/>
    <w:multiLevelType w:val="hybridMultilevel"/>
    <w:tmpl w:val="7D30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D37609"/>
    <w:multiLevelType w:val="multilevel"/>
    <w:tmpl w:val="311EB9AC"/>
    <w:lvl w:ilvl="0">
      <w:start w:val="1"/>
      <w:numFmt w:val="decimal"/>
      <w:lvlText w:val="%1."/>
      <w:lvlJc w:val="left"/>
      <w:pPr>
        <w:ind w:left="1080" w:hanging="720"/>
      </w:pPr>
      <w:rPr>
        <w:rFonts w:hint="default"/>
        <w:b/>
        <w:bCs/>
        <w:i w:val="0"/>
        <w:iCs w:val="0"/>
      </w:rPr>
    </w:lvl>
    <w:lvl w:ilvl="1">
      <w:start w:val="1"/>
      <w:numFmt w:val="decimal"/>
      <w:isLgl/>
      <w:lvlText w:val="%1.%2"/>
      <w:lvlJc w:val="left"/>
      <w:pPr>
        <w:ind w:left="1080" w:hanging="720"/>
      </w:pPr>
      <w:rPr>
        <w:rFonts w:hint="default"/>
        <w:b w:val="0"/>
        <w:bCs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AE16CAC"/>
    <w:multiLevelType w:val="hybridMultilevel"/>
    <w:tmpl w:val="88C6A1B8"/>
    <w:lvl w:ilvl="0" w:tplc="08090017">
      <w:start w:val="1"/>
      <w:numFmt w:val="lowerLetter"/>
      <w:lvlText w:val="%1)"/>
      <w:lvlJc w:val="left"/>
      <w:pPr>
        <w:tabs>
          <w:tab w:val="num" w:pos="360"/>
        </w:tabs>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7C580768"/>
    <w:multiLevelType w:val="hybridMultilevel"/>
    <w:tmpl w:val="A5A67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DAD2CFC"/>
    <w:multiLevelType w:val="multilevel"/>
    <w:tmpl w:val="637CFC8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2344927">
    <w:abstractNumId w:val="28"/>
  </w:num>
  <w:num w:numId="2" w16cid:durableId="859008117">
    <w:abstractNumId w:val="3"/>
  </w:num>
  <w:num w:numId="3" w16cid:durableId="1128940347">
    <w:abstractNumId w:val="2"/>
  </w:num>
  <w:num w:numId="4" w16cid:durableId="961350845">
    <w:abstractNumId w:val="26"/>
  </w:num>
  <w:num w:numId="5" w16cid:durableId="2112582821">
    <w:abstractNumId w:val="0"/>
  </w:num>
  <w:num w:numId="6" w16cid:durableId="826749769">
    <w:abstractNumId w:val="29"/>
  </w:num>
  <w:num w:numId="7" w16cid:durableId="711808934">
    <w:abstractNumId w:val="21"/>
  </w:num>
  <w:num w:numId="8" w16cid:durableId="1755011723">
    <w:abstractNumId w:val="14"/>
  </w:num>
  <w:num w:numId="9" w16cid:durableId="168646490">
    <w:abstractNumId w:val="5"/>
  </w:num>
  <w:num w:numId="10" w16cid:durableId="584847387">
    <w:abstractNumId w:val="11"/>
  </w:num>
  <w:num w:numId="11" w16cid:durableId="269240368">
    <w:abstractNumId w:val="4"/>
  </w:num>
  <w:num w:numId="12" w16cid:durableId="688799310">
    <w:abstractNumId w:val="6"/>
  </w:num>
  <w:num w:numId="13" w16cid:durableId="433979666">
    <w:abstractNumId w:val="1"/>
  </w:num>
  <w:num w:numId="14" w16cid:durableId="1935017388">
    <w:abstractNumId w:val="17"/>
  </w:num>
  <w:num w:numId="15" w16cid:durableId="1560676493">
    <w:abstractNumId w:val="10"/>
  </w:num>
  <w:num w:numId="16" w16cid:durableId="833644862">
    <w:abstractNumId w:val="16"/>
  </w:num>
  <w:num w:numId="17" w16cid:durableId="1679307371">
    <w:abstractNumId w:val="30"/>
  </w:num>
  <w:num w:numId="18" w16cid:durableId="1709406665">
    <w:abstractNumId w:val="13"/>
  </w:num>
  <w:num w:numId="19" w16cid:durableId="47539915">
    <w:abstractNumId w:val="9"/>
  </w:num>
  <w:num w:numId="20" w16cid:durableId="813182328">
    <w:abstractNumId w:val="25"/>
  </w:num>
  <w:num w:numId="21" w16cid:durableId="1776166047">
    <w:abstractNumId w:val="12"/>
  </w:num>
  <w:num w:numId="22" w16cid:durableId="525096245">
    <w:abstractNumId w:val="15"/>
  </w:num>
  <w:num w:numId="23" w16cid:durableId="593055344">
    <w:abstractNumId w:val="20"/>
  </w:num>
  <w:num w:numId="24" w16cid:durableId="1753429963">
    <w:abstractNumId w:val="8"/>
  </w:num>
  <w:num w:numId="25" w16cid:durableId="514343126">
    <w:abstractNumId w:val="24"/>
  </w:num>
  <w:num w:numId="26" w16cid:durableId="1419016064">
    <w:abstractNumId w:val="22"/>
  </w:num>
  <w:num w:numId="27" w16cid:durableId="460614143">
    <w:abstractNumId w:val="27"/>
  </w:num>
  <w:num w:numId="28" w16cid:durableId="722994316">
    <w:abstractNumId w:val="19"/>
  </w:num>
  <w:num w:numId="29" w16cid:durableId="498346932">
    <w:abstractNumId w:val="7"/>
  </w:num>
  <w:num w:numId="30" w16cid:durableId="1205171973">
    <w:abstractNumId w:val="18"/>
  </w:num>
  <w:num w:numId="31" w16cid:durableId="516627307">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AC3"/>
    <w:rsid w:val="000031CE"/>
    <w:rsid w:val="000039AD"/>
    <w:rsid w:val="000055C6"/>
    <w:rsid w:val="00005D31"/>
    <w:rsid w:val="00011A38"/>
    <w:rsid w:val="000164EC"/>
    <w:rsid w:val="0002125B"/>
    <w:rsid w:val="0002180D"/>
    <w:rsid w:val="00023434"/>
    <w:rsid w:val="00025F55"/>
    <w:rsid w:val="000261CC"/>
    <w:rsid w:val="00026A03"/>
    <w:rsid w:val="000339DC"/>
    <w:rsid w:val="0004045E"/>
    <w:rsid w:val="00041E9D"/>
    <w:rsid w:val="00042CDD"/>
    <w:rsid w:val="00044126"/>
    <w:rsid w:val="00046FCB"/>
    <w:rsid w:val="00050213"/>
    <w:rsid w:val="0005284B"/>
    <w:rsid w:val="00054F48"/>
    <w:rsid w:val="00060FED"/>
    <w:rsid w:val="000649F8"/>
    <w:rsid w:val="0007195F"/>
    <w:rsid w:val="0007256E"/>
    <w:rsid w:val="000770D5"/>
    <w:rsid w:val="00077299"/>
    <w:rsid w:val="000813DA"/>
    <w:rsid w:val="00083BBE"/>
    <w:rsid w:val="0008668C"/>
    <w:rsid w:val="000879FB"/>
    <w:rsid w:val="00090CBA"/>
    <w:rsid w:val="00092F33"/>
    <w:rsid w:val="000931A2"/>
    <w:rsid w:val="00095CEF"/>
    <w:rsid w:val="000A1CF7"/>
    <w:rsid w:val="000A6EEE"/>
    <w:rsid w:val="000A7872"/>
    <w:rsid w:val="000A78CA"/>
    <w:rsid w:val="000B09D9"/>
    <w:rsid w:val="000B24B2"/>
    <w:rsid w:val="000B430F"/>
    <w:rsid w:val="000B62AF"/>
    <w:rsid w:val="000C12F6"/>
    <w:rsid w:val="000C1387"/>
    <w:rsid w:val="000C2B76"/>
    <w:rsid w:val="000C494D"/>
    <w:rsid w:val="000C55F2"/>
    <w:rsid w:val="000D2210"/>
    <w:rsid w:val="000D23BD"/>
    <w:rsid w:val="000D3037"/>
    <w:rsid w:val="000D45F7"/>
    <w:rsid w:val="000D529C"/>
    <w:rsid w:val="000D6C01"/>
    <w:rsid w:val="000D6ECC"/>
    <w:rsid w:val="000D6FF5"/>
    <w:rsid w:val="000D7FE8"/>
    <w:rsid w:val="000E153F"/>
    <w:rsid w:val="000E5EAC"/>
    <w:rsid w:val="000E6B40"/>
    <w:rsid w:val="000E74C9"/>
    <w:rsid w:val="000E7C2D"/>
    <w:rsid w:val="000F02CD"/>
    <w:rsid w:val="000F0BCB"/>
    <w:rsid w:val="000F10FE"/>
    <w:rsid w:val="000F23A4"/>
    <w:rsid w:val="000F6CE8"/>
    <w:rsid w:val="000F6DEB"/>
    <w:rsid w:val="000F77A1"/>
    <w:rsid w:val="000F7FF0"/>
    <w:rsid w:val="00101397"/>
    <w:rsid w:val="00102CEB"/>
    <w:rsid w:val="00106EA4"/>
    <w:rsid w:val="00107D64"/>
    <w:rsid w:val="00107E40"/>
    <w:rsid w:val="0011276D"/>
    <w:rsid w:val="00115BAD"/>
    <w:rsid w:val="00115CC1"/>
    <w:rsid w:val="00117547"/>
    <w:rsid w:val="00123518"/>
    <w:rsid w:val="00123BD5"/>
    <w:rsid w:val="00124860"/>
    <w:rsid w:val="00124892"/>
    <w:rsid w:val="00126BF1"/>
    <w:rsid w:val="0013087F"/>
    <w:rsid w:val="001320A2"/>
    <w:rsid w:val="00133AC3"/>
    <w:rsid w:val="0013583F"/>
    <w:rsid w:val="001370C6"/>
    <w:rsid w:val="0013750C"/>
    <w:rsid w:val="00137E81"/>
    <w:rsid w:val="00143114"/>
    <w:rsid w:val="001445AD"/>
    <w:rsid w:val="00146529"/>
    <w:rsid w:val="00146B40"/>
    <w:rsid w:val="001479AD"/>
    <w:rsid w:val="0015158B"/>
    <w:rsid w:val="00151AD1"/>
    <w:rsid w:val="00152F4B"/>
    <w:rsid w:val="0015671B"/>
    <w:rsid w:val="001617F7"/>
    <w:rsid w:val="00161D57"/>
    <w:rsid w:val="00163032"/>
    <w:rsid w:val="00163648"/>
    <w:rsid w:val="001637DD"/>
    <w:rsid w:val="001638D3"/>
    <w:rsid w:val="001659C6"/>
    <w:rsid w:val="0017032B"/>
    <w:rsid w:val="00171274"/>
    <w:rsid w:val="001761E9"/>
    <w:rsid w:val="0017674E"/>
    <w:rsid w:val="00177800"/>
    <w:rsid w:val="001778B8"/>
    <w:rsid w:val="00180B04"/>
    <w:rsid w:val="001810FE"/>
    <w:rsid w:val="0018448F"/>
    <w:rsid w:val="00184A94"/>
    <w:rsid w:val="001852E5"/>
    <w:rsid w:val="001878D8"/>
    <w:rsid w:val="0019143A"/>
    <w:rsid w:val="001919B1"/>
    <w:rsid w:val="00192D3C"/>
    <w:rsid w:val="001938B0"/>
    <w:rsid w:val="00196CF1"/>
    <w:rsid w:val="00197666"/>
    <w:rsid w:val="001A09E1"/>
    <w:rsid w:val="001A2014"/>
    <w:rsid w:val="001A2886"/>
    <w:rsid w:val="001A3845"/>
    <w:rsid w:val="001A61AA"/>
    <w:rsid w:val="001A6830"/>
    <w:rsid w:val="001A73BF"/>
    <w:rsid w:val="001A74CC"/>
    <w:rsid w:val="001B1591"/>
    <w:rsid w:val="001B17FD"/>
    <w:rsid w:val="001B259F"/>
    <w:rsid w:val="001B4E89"/>
    <w:rsid w:val="001B5D5A"/>
    <w:rsid w:val="001B7088"/>
    <w:rsid w:val="001C209A"/>
    <w:rsid w:val="001C3659"/>
    <w:rsid w:val="001C48A1"/>
    <w:rsid w:val="001C4EFA"/>
    <w:rsid w:val="001C6F21"/>
    <w:rsid w:val="001D4DD6"/>
    <w:rsid w:val="001D6BA4"/>
    <w:rsid w:val="001E1422"/>
    <w:rsid w:val="001E4116"/>
    <w:rsid w:val="001E472B"/>
    <w:rsid w:val="001E5B90"/>
    <w:rsid w:val="001E5D8F"/>
    <w:rsid w:val="001E7624"/>
    <w:rsid w:val="001F05B8"/>
    <w:rsid w:val="001F2908"/>
    <w:rsid w:val="001F3545"/>
    <w:rsid w:val="001F661F"/>
    <w:rsid w:val="00200347"/>
    <w:rsid w:val="00203198"/>
    <w:rsid w:val="00203597"/>
    <w:rsid w:val="00203EAA"/>
    <w:rsid w:val="002051AB"/>
    <w:rsid w:val="00205496"/>
    <w:rsid w:val="002054EB"/>
    <w:rsid w:val="002078E3"/>
    <w:rsid w:val="00213744"/>
    <w:rsid w:val="002167D2"/>
    <w:rsid w:val="00216D68"/>
    <w:rsid w:val="002204ED"/>
    <w:rsid w:val="00221150"/>
    <w:rsid w:val="00221B84"/>
    <w:rsid w:val="00221FB0"/>
    <w:rsid w:val="0022295B"/>
    <w:rsid w:val="00223C9A"/>
    <w:rsid w:val="002246CA"/>
    <w:rsid w:val="002251FE"/>
    <w:rsid w:val="0022573B"/>
    <w:rsid w:val="00225E8D"/>
    <w:rsid w:val="0022611B"/>
    <w:rsid w:val="0022632C"/>
    <w:rsid w:val="00227C8E"/>
    <w:rsid w:val="0023028E"/>
    <w:rsid w:val="00231641"/>
    <w:rsid w:val="00231AB4"/>
    <w:rsid w:val="00241252"/>
    <w:rsid w:val="002427BF"/>
    <w:rsid w:val="00244303"/>
    <w:rsid w:val="002452BF"/>
    <w:rsid w:val="00246223"/>
    <w:rsid w:val="0024629A"/>
    <w:rsid w:val="00246829"/>
    <w:rsid w:val="00250468"/>
    <w:rsid w:val="002511E5"/>
    <w:rsid w:val="00253B34"/>
    <w:rsid w:val="00254D42"/>
    <w:rsid w:val="00254D79"/>
    <w:rsid w:val="00255AF0"/>
    <w:rsid w:val="00255B22"/>
    <w:rsid w:val="00255B4E"/>
    <w:rsid w:val="0025632D"/>
    <w:rsid w:val="0025736A"/>
    <w:rsid w:val="00261F6B"/>
    <w:rsid w:val="002623C7"/>
    <w:rsid w:val="002636ED"/>
    <w:rsid w:val="002640E1"/>
    <w:rsid w:val="00264249"/>
    <w:rsid w:val="00264B6C"/>
    <w:rsid w:val="0026505F"/>
    <w:rsid w:val="0026731E"/>
    <w:rsid w:val="002703A6"/>
    <w:rsid w:val="00270BB3"/>
    <w:rsid w:val="00273AC3"/>
    <w:rsid w:val="00274783"/>
    <w:rsid w:val="002779F6"/>
    <w:rsid w:val="002843FB"/>
    <w:rsid w:val="00286B72"/>
    <w:rsid w:val="00287DBD"/>
    <w:rsid w:val="0029022D"/>
    <w:rsid w:val="00291476"/>
    <w:rsid w:val="0029323C"/>
    <w:rsid w:val="002942EC"/>
    <w:rsid w:val="00294E1F"/>
    <w:rsid w:val="00295350"/>
    <w:rsid w:val="002958F1"/>
    <w:rsid w:val="00295A55"/>
    <w:rsid w:val="002968A5"/>
    <w:rsid w:val="002A0D9E"/>
    <w:rsid w:val="002A1BF1"/>
    <w:rsid w:val="002A1F3F"/>
    <w:rsid w:val="002A493D"/>
    <w:rsid w:val="002A5BE3"/>
    <w:rsid w:val="002A5FBF"/>
    <w:rsid w:val="002A69DC"/>
    <w:rsid w:val="002B32E8"/>
    <w:rsid w:val="002B4713"/>
    <w:rsid w:val="002B4791"/>
    <w:rsid w:val="002B6C1C"/>
    <w:rsid w:val="002D29FE"/>
    <w:rsid w:val="002D515E"/>
    <w:rsid w:val="002D55C3"/>
    <w:rsid w:val="002D58EE"/>
    <w:rsid w:val="002D7915"/>
    <w:rsid w:val="002E27CC"/>
    <w:rsid w:val="002E57C7"/>
    <w:rsid w:val="002F55A8"/>
    <w:rsid w:val="002F6FBC"/>
    <w:rsid w:val="00300DF2"/>
    <w:rsid w:val="0030490E"/>
    <w:rsid w:val="00305F74"/>
    <w:rsid w:val="00306179"/>
    <w:rsid w:val="003061B1"/>
    <w:rsid w:val="00306353"/>
    <w:rsid w:val="00307098"/>
    <w:rsid w:val="00307B81"/>
    <w:rsid w:val="0031090B"/>
    <w:rsid w:val="003115CD"/>
    <w:rsid w:val="0031268C"/>
    <w:rsid w:val="00316412"/>
    <w:rsid w:val="00320357"/>
    <w:rsid w:val="00322E4D"/>
    <w:rsid w:val="00325AE4"/>
    <w:rsid w:val="00326E03"/>
    <w:rsid w:val="003301FE"/>
    <w:rsid w:val="003322EA"/>
    <w:rsid w:val="003345A8"/>
    <w:rsid w:val="0033512B"/>
    <w:rsid w:val="0034258A"/>
    <w:rsid w:val="00346D9A"/>
    <w:rsid w:val="0035001D"/>
    <w:rsid w:val="003512C7"/>
    <w:rsid w:val="0035185E"/>
    <w:rsid w:val="00351F12"/>
    <w:rsid w:val="00352768"/>
    <w:rsid w:val="003531BB"/>
    <w:rsid w:val="003536FC"/>
    <w:rsid w:val="003564B6"/>
    <w:rsid w:val="00361F94"/>
    <w:rsid w:val="003629DA"/>
    <w:rsid w:val="00364BE2"/>
    <w:rsid w:val="00365C22"/>
    <w:rsid w:val="00365E3C"/>
    <w:rsid w:val="003670C8"/>
    <w:rsid w:val="00367965"/>
    <w:rsid w:val="00371393"/>
    <w:rsid w:val="003754E3"/>
    <w:rsid w:val="00381684"/>
    <w:rsid w:val="00382B3F"/>
    <w:rsid w:val="0038332C"/>
    <w:rsid w:val="0039134E"/>
    <w:rsid w:val="003920CB"/>
    <w:rsid w:val="00394DEA"/>
    <w:rsid w:val="00397511"/>
    <w:rsid w:val="003A12A4"/>
    <w:rsid w:val="003A14A2"/>
    <w:rsid w:val="003A7452"/>
    <w:rsid w:val="003B16A3"/>
    <w:rsid w:val="003B2548"/>
    <w:rsid w:val="003B3AEF"/>
    <w:rsid w:val="003B3B0E"/>
    <w:rsid w:val="003B656F"/>
    <w:rsid w:val="003B700C"/>
    <w:rsid w:val="003B7621"/>
    <w:rsid w:val="003C1879"/>
    <w:rsid w:val="003C1DE3"/>
    <w:rsid w:val="003C4300"/>
    <w:rsid w:val="003C622E"/>
    <w:rsid w:val="003D08B1"/>
    <w:rsid w:val="003D0EBB"/>
    <w:rsid w:val="003D3995"/>
    <w:rsid w:val="003D435E"/>
    <w:rsid w:val="003D731D"/>
    <w:rsid w:val="003E00BB"/>
    <w:rsid w:val="003E1627"/>
    <w:rsid w:val="003E1CA1"/>
    <w:rsid w:val="003E61A9"/>
    <w:rsid w:val="003E6E46"/>
    <w:rsid w:val="003F3433"/>
    <w:rsid w:val="003F5D94"/>
    <w:rsid w:val="003F6281"/>
    <w:rsid w:val="003F6D13"/>
    <w:rsid w:val="00404DAF"/>
    <w:rsid w:val="004056A4"/>
    <w:rsid w:val="00405741"/>
    <w:rsid w:val="00405B39"/>
    <w:rsid w:val="0041038E"/>
    <w:rsid w:val="00410D37"/>
    <w:rsid w:val="00411AA9"/>
    <w:rsid w:val="004130DB"/>
    <w:rsid w:val="00413BDA"/>
    <w:rsid w:val="00414466"/>
    <w:rsid w:val="00414FDB"/>
    <w:rsid w:val="00420766"/>
    <w:rsid w:val="00421266"/>
    <w:rsid w:val="00421504"/>
    <w:rsid w:val="004256EA"/>
    <w:rsid w:val="004277FE"/>
    <w:rsid w:val="00432144"/>
    <w:rsid w:val="004323CB"/>
    <w:rsid w:val="0043348C"/>
    <w:rsid w:val="00433877"/>
    <w:rsid w:val="004342D6"/>
    <w:rsid w:val="00434EDA"/>
    <w:rsid w:val="004402FA"/>
    <w:rsid w:val="00441930"/>
    <w:rsid w:val="00444C0E"/>
    <w:rsid w:val="00445236"/>
    <w:rsid w:val="00446519"/>
    <w:rsid w:val="004478AE"/>
    <w:rsid w:val="00451CF7"/>
    <w:rsid w:val="004529FF"/>
    <w:rsid w:val="00452FA3"/>
    <w:rsid w:val="004571CC"/>
    <w:rsid w:val="00457528"/>
    <w:rsid w:val="00457C65"/>
    <w:rsid w:val="00463EB4"/>
    <w:rsid w:val="00464D42"/>
    <w:rsid w:val="00465C26"/>
    <w:rsid w:val="00466C73"/>
    <w:rsid w:val="004705A1"/>
    <w:rsid w:val="00472A92"/>
    <w:rsid w:val="00476A3C"/>
    <w:rsid w:val="0048219E"/>
    <w:rsid w:val="004838C5"/>
    <w:rsid w:val="0048399E"/>
    <w:rsid w:val="004862AC"/>
    <w:rsid w:val="004862E0"/>
    <w:rsid w:val="00486492"/>
    <w:rsid w:val="00490FA7"/>
    <w:rsid w:val="00491DC6"/>
    <w:rsid w:val="00492604"/>
    <w:rsid w:val="00493052"/>
    <w:rsid w:val="00494313"/>
    <w:rsid w:val="00496F1C"/>
    <w:rsid w:val="004A0F22"/>
    <w:rsid w:val="004A11B0"/>
    <w:rsid w:val="004A1E4C"/>
    <w:rsid w:val="004A2E13"/>
    <w:rsid w:val="004A2E94"/>
    <w:rsid w:val="004A4B6E"/>
    <w:rsid w:val="004A64C6"/>
    <w:rsid w:val="004B1220"/>
    <w:rsid w:val="004B1BD4"/>
    <w:rsid w:val="004B2762"/>
    <w:rsid w:val="004B347E"/>
    <w:rsid w:val="004B3FC5"/>
    <w:rsid w:val="004B6ED7"/>
    <w:rsid w:val="004B7D19"/>
    <w:rsid w:val="004B7D3B"/>
    <w:rsid w:val="004C10C9"/>
    <w:rsid w:val="004C3B01"/>
    <w:rsid w:val="004C66F0"/>
    <w:rsid w:val="004C7C67"/>
    <w:rsid w:val="004D03E3"/>
    <w:rsid w:val="004D1C4B"/>
    <w:rsid w:val="004D27CE"/>
    <w:rsid w:val="004D4AA6"/>
    <w:rsid w:val="004D4FF7"/>
    <w:rsid w:val="004D5594"/>
    <w:rsid w:val="004D7527"/>
    <w:rsid w:val="004D79DD"/>
    <w:rsid w:val="004D7D73"/>
    <w:rsid w:val="004E357D"/>
    <w:rsid w:val="004E7170"/>
    <w:rsid w:val="004F409A"/>
    <w:rsid w:val="004F6589"/>
    <w:rsid w:val="004F67E3"/>
    <w:rsid w:val="00500576"/>
    <w:rsid w:val="00501776"/>
    <w:rsid w:val="00504A1F"/>
    <w:rsid w:val="0050651C"/>
    <w:rsid w:val="0050671F"/>
    <w:rsid w:val="0050719C"/>
    <w:rsid w:val="00510168"/>
    <w:rsid w:val="005112CE"/>
    <w:rsid w:val="00512519"/>
    <w:rsid w:val="00513EBD"/>
    <w:rsid w:val="00517934"/>
    <w:rsid w:val="0052127C"/>
    <w:rsid w:val="0053007E"/>
    <w:rsid w:val="005301D7"/>
    <w:rsid w:val="0053063A"/>
    <w:rsid w:val="0053384C"/>
    <w:rsid w:val="00534464"/>
    <w:rsid w:val="00537774"/>
    <w:rsid w:val="005400C7"/>
    <w:rsid w:val="0054015A"/>
    <w:rsid w:val="00540291"/>
    <w:rsid w:val="005404BE"/>
    <w:rsid w:val="005408C7"/>
    <w:rsid w:val="00542B00"/>
    <w:rsid w:val="00543C98"/>
    <w:rsid w:val="00545A21"/>
    <w:rsid w:val="0055191C"/>
    <w:rsid w:val="005520F5"/>
    <w:rsid w:val="00552A9D"/>
    <w:rsid w:val="00555C39"/>
    <w:rsid w:val="00557BAC"/>
    <w:rsid w:val="005638F5"/>
    <w:rsid w:val="00565F48"/>
    <w:rsid w:val="005673C2"/>
    <w:rsid w:val="00567913"/>
    <w:rsid w:val="00571B84"/>
    <w:rsid w:val="005723CA"/>
    <w:rsid w:val="00572E2A"/>
    <w:rsid w:val="00573A52"/>
    <w:rsid w:val="00580113"/>
    <w:rsid w:val="00581CFC"/>
    <w:rsid w:val="005824FC"/>
    <w:rsid w:val="00582A23"/>
    <w:rsid w:val="005840FC"/>
    <w:rsid w:val="005843ED"/>
    <w:rsid w:val="00584A63"/>
    <w:rsid w:val="00587998"/>
    <w:rsid w:val="00587FAC"/>
    <w:rsid w:val="005909E9"/>
    <w:rsid w:val="005923CC"/>
    <w:rsid w:val="005934AD"/>
    <w:rsid w:val="005937F4"/>
    <w:rsid w:val="00594723"/>
    <w:rsid w:val="00596421"/>
    <w:rsid w:val="0059662E"/>
    <w:rsid w:val="00597EE4"/>
    <w:rsid w:val="005A04AF"/>
    <w:rsid w:val="005A152C"/>
    <w:rsid w:val="005A1E97"/>
    <w:rsid w:val="005A2910"/>
    <w:rsid w:val="005A29F4"/>
    <w:rsid w:val="005A2D18"/>
    <w:rsid w:val="005A3C4D"/>
    <w:rsid w:val="005A3F24"/>
    <w:rsid w:val="005A4229"/>
    <w:rsid w:val="005A4B24"/>
    <w:rsid w:val="005B36F3"/>
    <w:rsid w:val="005B3B08"/>
    <w:rsid w:val="005B488F"/>
    <w:rsid w:val="005B71A8"/>
    <w:rsid w:val="005C0D40"/>
    <w:rsid w:val="005C1322"/>
    <w:rsid w:val="005C28AD"/>
    <w:rsid w:val="005C2C39"/>
    <w:rsid w:val="005C3ACF"/>
    <w:rsid w:val="005C6C38"/>
    <w:rsid w:val="005D0E2D"/>
    <w:rsid w:val="005D57DA"/>
    <w:rsid w:val="005D61F5"/>
    <w:rsid w:val="005D6A71"/>
    <w:rsid w:val="005D6BF4"/>
    <w:rsid w:val="005E04D9"/>
    <w:rsid w:val="005E090C"/>
    <w:rsid w:val="005E0B4A"/>
    <w:rsid w:val="005E18A0"/>
    <w:rsid w:val="005E6861"/>
    <w:rsid w:val="005E73D8"/>
    <w:rsid w:val="005E7F7D"/>
    <w:rsid w:val="005F14CE"/>
    <w:rsid w:val="005F1CE0"/>
    <w:rsid w:val="005F26CE"/>
    <w:rsid w:val="005F399C"/>
    <w:rsid w:val="005F5DFA"/>
    <w:rsid w:val="005F7ECB"/>
    <w:rsid w:val="006016D4"/>
    <w:rsid w:val="00605CDF"/>
    <w:rsid w:val="0060737E"/>
    <w:rsid w:val="006077E0"/>
    <w:rsid w:val="00607D34"/>
    <w:rsid w:val="006100DA"/>
    <w:rsid w:val="00611F9B"/>
    <w:rsid w:val="00612905"/>
    <w:rsid w:val="006134FA"/>
    <w:rsid w:val="00613717"/>
    <w:rsid w:val="00614512"/>
    <w:rsid w:val="0061485C"/>
    <w:rsid w:val="00615E88"/>
    <w:rsid w:val="006215AA"/>
    <w:rsid w:val="00626E54"/>
    <w:rsid w:val="00627670"/>
    <w:rsid w:val="0063000B"/>
    <w:rsid w:val="0063063F"/>
    <w:rsid w:val="006331F0"/>
    <w:rsid w:val="00635364"/>
    <w:rsid w:val="006370C7"/>
    <w:rsid w:val="00640535"/>
    <w:rsid w:val="006413E6"/>
    <w:rsid w:val="00645430"/>
    <w:rsid w:val="0064560E"/>
    <w:rsid w:val="00646554"/>
    <w:rsid w:val="00646D3B"/>
    <w:rsid w:val="00650C89"/>
    <w:rsid w:val="00651DAF"/>
    <w:rsid w:val="0065202F"/>
    <w:rsid w:val="00652E8A"/>
    <w:rsid w:val="00653479"/>
    <w:rsid w:val="00661156"/>
    <w:rsid w:val="00663B55"/>
    <w:rsid w:val="00666073"/>
    <w:rsid w:val="00666C61"/>
    <w:rsid w:val="006706BB"/>
    <w:rsid w:val="006706D9"/>
    <w:rsid w:val="00671CCB"/>
    <w:rsid w:val="0067369D"/>
    <w:rsid w:val="00673DA1"/>
    <w:rsid w:val="00674AD4"/>
    <w:rsid w:val="006802FE"/>
    <w:rsid w:val="0068060C"/>
    <w:rsid w:val="00680E3C"/>
    <w:rsid w:val="0068212D"/>
    <w:rsid w:val="00686C23"/>
    <w:rsid w:val="00690411"/>
    <w:rsid w:val="00690471"/>
    <w:rsid w:val="00690BB3"/>
    <w:rsid w:val="00691AAE"/>
    <w:rsid w:val="00692D59"/>
    <w:rsid w:val="00693E7A"/>
    <w:rsid w:val="00695F0A"/>
    <w:rsid w:val="00697436"/>
    <w:rsid w:val="0069748F"/>
    <w:rsid w:val="006A078D"/>
    <w:rsid w:val="006A1261"/>
    <w:rsid w:val="006A32EB"/>
    <w:rsid w:val="006A34F9"/>
    <w:rsid w:val="006A48F8"/>
    <w:rsid w:val="006A62CE"/>
    <w:rsid w:val="006B68FA"/>
    <w:rsid w:val="006B69E8"/>
    <w:rsid w:val="006C1E39"/>
    <w:rsid w:val="006C2A4E"/>
    <w:rsid w:val="006C30D5"/>
    <w:rsid w:val="006C34B5"/>
    <w:rsid w:val="006C3E43"/>
    <w:rsid w:val="006C5A10"/>
    <w:rsid w:val="006C63CE"/>
    <w:rsid w:val="006C6470"/>
    <w:rsid w:val="006C75C1"/>
    <w:rsid w:val="006C7A55"/>
    <w:rsid w:val="006D478E"/>
    <w:rsid w:val="006D5261"/>
    <w:rsid w:val="006D6469"/>
    <w:rsid w:val="006D64E4"/>
    <w:rsid w:val="006E32DC"/>
    <w:rsid w:val="006E4295"/>
    <w:rsid w:val="006E4D4F"/>
    <w:rsid w:val="006E6773"/>
    <w:rsid w:val="006E6E13"/>
    <w:rsid w:val="006F0F02"/>
    <w:rsid w:val="006F119E"/>
    <w:rsid w:val="006F1734"/>
    <w:rsid w:val="006F19C4"/>
    <w:rsid w:val="006F2AAB"/>
    <w:rsid w:val="006F2E0C"/>
    <w:rsid w:val="006F44CE"/>
    <w:rsid w:val="006F4CE3"/>
    <w:rsid w:val="00700A94"/>
    <w:rsid w:val="00700E8D"/>
    <w:rsid w:val="0070112F"/>
    <w:rsid w:val="00702980"/>
    <w:rsid w:val="0070308B"/>
    <w:rsid w:val="007032A6"/>
    <w:rsid w:val="0070580B"/>
    <w:rsid w:val="0071067E"/>
    <w:rsid w:val="0071199C"/>
    <w:rsid w:val="00713A80"/>
    <w:rsid w:val="0071531E"/>
    <w:rsid w:val="00715428"/>
    <w:rsid w:val="00715E7F"/>
    <w:rsid w:val="00715F88"/>
    <w:rsid w:val="0072267D"/>
    <w:rsid w:val="00722B95"/>
    <w:rsid w:val="00723665"/>
    <w:rsid w:val="007245AD"/>
    <w:rsid w:val="00724C59"/>
    <w:rsid w:val="00725004"/>
    <w:rsid w:val="007254B1"/>
    <w:rsid w:val="00727022"/>
    <w:rsid w:val="00727E6B"/>
    <w:rsid w:val="0073115E"/>
    <w:rsid w:val="0073156E"/>
    <w:rsid w:val="0073208F"/>
    <w:rsid w:val="00734345"/>
    <w:rsid w:val="0073475B"/>
    <w:rsid w:val="00735C2E"/>
    <w:rsid w:val="0073697C"/>
    <w:rsid w:val="007420EE"/>
    <w:rsid w:val="00742ACC"/>
    <w:rsid w:val="007443D5"/>
    <w:rsid w:val="00744C03"/>
    <w:rsid w:val="0074574C"/>
    <w:rsid w:val="0075189C"/>
    <w:rsid w:val="007536BC"/>
    <w:rsid w:val="00753F23"/>
    <w:rsid w:val="00753F5C"/>
    <w:rsid w:val="00754A70"/>
    <w:rsid w:val="00756E82"/>
    <w:rsid w:val="00757B9F"/>
    <w:rsid w:val="00762922"/>
    <w:rsid w:val="00763D75"/>
    <w:rsid w:val="00764D51"/>
    <w:rsid w:val="007654C8"/>
    <w:rsid w:val="007676EE"/>
    <w:rsid w:val="007731C8"/>
    <w:rsid w:val="00774579"/>
    <w:rsid w:val="00775B48"/>
    <w:rsid w:val="007766FD"/>
    <w:rsid w:val="00776CAA"/>
    <w:rsid w:val="00777C75"/>
    <w:rsid w:val="00781D32"/>
    <w:rsid w:val="007830A0"/>
    <w:rsid w:val="007835A7"/>
    <w:rsid w:val="00785420"/>
    <w:rsid w:val="00785635"/>
    <w:rsid w:val="007868EC"/>
    <w:rsid w:val="00787C74"/>
    <w:rsid w:val="00793F85"/>
    <w:rsid w:val="00794BA9"/>
    <w:rsid w:val="00795B01"/>
    <w:rsid w:val="007976AC"/>
    <w:rsid w:val="00797C2F"/>
    <w:rsid w:val="007A0400"/>
    <w:rsid w:val="007A417B"/>
    <w:rsid w:val="007B0E4D"/>
    <w:rsid w:val="007B1595"/>
    <w:rsid w:val="007B267B"/>
    <w:rsid w:val="007C0701"/>
    <w:rsid w:val="007C0808"/>
    <w:rsid w:val="007C3603"/>
    <w:rsid w:val="007C5374"/>
    <w:rsid w:val="007C5969"/>
    <w:rsid w:val="007C693F"/>
    <w:rsid w:val="007D15CC"/>
    <w:rsid w:val="007D183D"/>
    <w:rsid w:val="007D1C3E"/>
    <w:rsid w:val="007D253B"/>
    <w:rsid w:val="007D3E13"/>
    <w:rsid w:val="007D695C"/>
    <w:rsid w:val="007D6F8C"/>
    <w:rsid w:val="007E30F1"/>
    <w:rsid w:val="007E333C"/>
    <w:rsid w:val="007E6C49"/>
    <w:rsid w:val="007F1F70"/>
    <w:rsid w:val="007F25A5"/>
    <w:rsid w:val="007F3C18"/>
    <w:rsid w:val="007F442C"/>
    <w:rsid w:val="007F598E"/>
    <w:rsid w:val="007F68E4"/>
    <w:rsid w:val="00800A7E"/>
    <w:rsid w:val="00800CDD"/>
    <w:rsid w:val="00800D22"/>
    <w:rsid w:val="008016EC"/>
    <w:rsid w:val="0080587B"/>
    <w:rsid w:val="008059CF"/>
    <w:rsid w:val="008078DF"/>
    <w:rsid w:val="00811614"/>
    <w:rsid w:val="00815CE2"/>
    <w:rsid w:val="00816478"/>
    <w:rsid w:val="00816807"/>
    <w:rsid w:val="00816C93"/>
    <w:rsid w:val="00816F02"/>
    <w:rsid w:val="0082163E"/>
    <w:rsid w:val="00821A96"/>
    <w:rsid w:val="00822694"/>
    <w:rsid w:val="00822F8E"/>
    <w:rsid w:val="0082686D"/>
    <w:rsid w:val="00830781"/>
    <w:rsid w:val="008311F6"/>
    <w:rsid w:val="00832669"/>
    <w:rsid w:val="008337A8"/>
    <w:rsid w:val="00833A23"/>
    <w:rsid w:val="00833F71"/>
    <w:rsid w:val="0083401A"/>
    <w:rsid w:val="008374E0"/>
    <w:rsid w:val="00837A60"/>
    <w:rsid w:val="008412AF"/>
    <w:rsid w:val="008415CA"/>
    <w:rsid w:val="00842079"/>
    <w:rsid w:val="00842A36"/>
    <w:rsid w:val="00843696"/>
    <w:rsid w:val="00843CA0"/>
    <w:rsid w:val="0084413C"/>
    <w:rsid w:val="0084419D"/>
    <w:rsid w:val="00844D87"/>
    <w:rsid w:val="00844EFC"/>
    <w:rsid w:val="00847E1A"/>
    <w:rsid w:val="008519C8"/>
    <w:rsid w:val="00851B78"/>
    <w:rsid w:val="00851E63"/>
    <w:rsid w:val="00853377"/>
    <w:rsid w:val="0085360B"/>
    <w:rsid w:val="00853979"/>
    <w:rsid w:val="00853D65"/>
    <w:rsid w:val="008551AC"/>
    <w:rsid w:val="0086103F"/>
    <w:rsid w:val="008612D5"/>
    <w:rsid w:val="0086240E"/>
    <w:rsid w:val="00862649"/>
    <w:rsid w:val="0086287B"/>
    <w:rsid w:val="00863DDF"/>
    <w:rsid w:val="00864A20"/>
    <w:rsid w:val="00865EB7"/>
    <w:rsid w:val="0086682F"/>
    <w:rsid w:val="0087027F"/>
    <w:rsid w:val="00870AB5"/>
    <w:rsid w:val="00871172"/>
    <w:rsid w:val="00875173"/>
    <w:rsid w:val="008754AC"/>
    <w:rsid w:val="00876D9E"/>
    <w:rsid w:val="00883BFB"/>
    <w:rsid w:val="00884588"/>
    <w:rsid w:val="00884B12"/>
    <w:rsid w:val="00884F15"/>
    <w:rsid w:val="008859CF"/>
    <w:rsid w:val="00885C96"/>
    <w:rsid w:val="00887A6A"/>
    <w:rsid w:val="008918D0"/>
    <w:rsid w:val="00893CD7"/>
    <w:rsid w:val="00894B4D"/>
    <w:rsid w:val="00895015"/>
    <w:rsid w:val="0089520D"/>
    <w:rsid w:val="0089533B"/>
    <w:rsid w:val="00895ACF"/>
    <w:rsid w:val="00896233"/>
    <w:rsid w:val="00897094"/>
    <w:rsid w:val="008A0721"/>
    <w:rsid w:val="008A13C3"/>
    <w:rsid w:val="008A3C5C"/>
    <w:rsid w:val="008A44F3"/>
    <w:rsid w:val="008A752B"/>
    <w:rsid w:val="008A7EA8"/>
    <w:rsid w:val="008B3720"/>
    <w:rsid w:val="008B7AEB"/>
    <w:rsid w:val="008C0499"/>
    <w:rsid w:val="008C0B93"/>
    <w:rsid w:val="008C10D0"/>
    <w:rsid w:val="008C1863"/>
    <w:rsid w:val="008C2594"/>
    <w:rsid w:val="008C4572"/>
    <w:rsid w:val="008C5F26"/>
    <w:rsid w:val="008D158A"/>
    <w:rsid w:val="008D17E2"/>
    <w:rsid w:val="008D29B6"/>
    <w:rsid w:val="008D35D3"/>
    <w:rsid w:val="008D3826"/>
    <w:rsid w:val="008D56F3"/>
    <w:rsid w:val="008D5F8E"/>
    <w:rsid w:val="008D634E"/>
    <w:rsid w:val="008D651A"/>
    <w:rsid w:val="008E3BB6"/>
    <w:rsid w:val="008E3D68"/>
    <w:rsid w:val="008E4D27"/>
    <w:rsid w:val="008E5951"/>
    <w:rsid w:val="008E620B"/>
    <w:rsid w:val="008E7125"/>
    <w:rsid w:val="008E75A7"/>
    <w:rsid w:val="008E7EB7"/>
    <w:rsid w:val="008F2F2A"/>
    <w:rsid w:val="008F308F"/>
    <w:rsid w:val="008F4037"/>
    <w:rsid w:val="008F509E"/>
    <w:rsid w:val="008F58AA"/>
    <w:rsid w:val="00901921"/>
    <w:rsid w:val="00901D67"/>
    <w:rsid w:val="0090215F"/>
    <w:rsid w:val="00902B91"/>
    <w:rsid w:val="00905AA3"/>
    <w:rsid w:val="0091068B"/>
    <w:rsid w:val="00910C13"/>
    <w:rsid w:val="009164C8"/>
    <w:rsid w:val="009176D9"/>
    <w:rsid w:val="00922F7A"/>
    <w:rsid w:val="00923CFE"/>
    <w:rsid w:val="009307DD"/>
    <w:rsid w:val="009324CE"/>
    <w:rsid w:val="009333EF"/>
    <w:rsid w:val="00933FF4"/>
    <w:rsid w:val="009340B4"/>
    <w:rsid w:val="00936C71"/>
    <w:rsid w:val="00937126"/>
    <w:rsid w:val="009376B7"/>
    <w:rsid w:val="009378DD"/>
    <w:rsid w:val="00940B24"/>
    <w:rsid w:val="00940DD4"/>
    <w:rsid w:val="0095646E"/>
    <w:rsid w:val="009632BA"/>
    <w:rsid w:val="009633C9"/>
    <w:rsid w:val="00967D19"/>
    <w:rsid w:val="00970A4A"/>
    <w:rsid w:val="00971B06"/>
    <w:rsid w:val="00974443"/>
    <w:rsid w:val="00974A50"/>
    <w:rsid w:val="00976FDF"/>
    <w:rsid w:val="00977FE3"/>
    <w:rsid w:val="009824F0"/>
    <w:rsid w:val="00982C1A"/>
    <w:rsid w:val="009854D7"/>
    <w:rsid w:val="00985875"/>
    <w:rsid w:val="009871CA"/>
    <w:rsid w:val="0099412A"/>
    <w:rsid w:val="009942D7"/>
    <w:rsid w:val="00994461"/>
    <w:rsid w:val="00994863"/>
    <w:rsid w:val="00995DF8"/>
    <w:rsid w:val="009A3152"/>
    <w:rsid w:val="009A6B26"/>
    <w:rsid w:val="009B0E9E"/>
    <w:rsid w:val="009B2729"/>
    <w:rsid w:val="009B5F87"/>
    <w:rsid w:val="009C195B"/>
    <w:rsid w:val="009C1B4B"/>
    <w:rsid w:val="009C6A63"/>
    <w:rsid w:val="009C7AE7"/>
    <w:rsid w:val="009D02BA"/>
    <w:rsid w:val="009D102D"/>
    <w:rsid w:val="009D16E8"/>
    <w:rsid w:val="009D22C3"/>
    <w:rsid w:val="009D2D1C"/>
    <w:rsid w:val="009D30F4"/>
    <w:rsid w:val="009E1DA5"/>
    <w:rsid w:val="009E2CE1"/>
    <w:rsid w:val="009E38B3"/>
    <w:rsid w:val="009E422F"/>
    <w:rsid w:val="009E47C3"/>
    <w:rsid w:val="009E5D5A"/>
    <w:rsid w:val="009E5E0D"/>
    <w:rsid w:val="009F09E1"/>
    <w:rsid w:val="009F13F7"/>
    <w:rsid w:val="009F2321"/>
    <w:rsid w:val="009F23E8"/>
    <w:rsid w:val="009F3DBE"/>
    <w:rsid w:val="009F567C"/>
    <w:rsid w:val="009F7730"/>
    <w:rsid w:val="00A00D34"/>
    <w:rsid w:val="00A021D0"/>
    <w:rsid w:val="00A0264B"/>
    <w:rsid w:val="00A054C0"/>
    <w:rsid w:val="00A0568F"/>
    <w:rsid w:val="00A05C82"/>
    <w:rsid w:val="00A0631F"/>
    <w:rsid w:val="00A119C4"/>
    <w:rsid w:val="00A11C8C"/>
    <w:rsid w:val="00A136A7"/>
    <w:rsid w:val="00A21A67"/>
    <w:rsid w:val="00A2517F"/>
    <w:rsid w:val="00A26126"/>
    <w:rsid w:val="00A270FB"/>
    <w:rsid w:val="00A31B1F"/>
    <w:rsid w:val="00A32FB7"/>
    <w:rsid w:val="00A34330"/>
    <w:rsid w:val="00A3450A"/>
    <w:rsid w:val="00A35DC5"/>
    <w:rsid w:val="00A36065"/>
    <w:rsid w:val="00A3612E"/>
    <w:rsid w:val="00A3769A"/>
    <w:rsid w:val="00A37C37"/>
    <w:rsid w:val="00A4191B"/>
    <w:rsid w:val="00A41FDD"/>
    <w:rsid w:val="00A4204B"/>
    <w:rsid w:val="00A46BC0"/>
    <w:rsid w:val="00A506EF"/>
    <w:rsid w:val="00A50D2C"/>
    <w:rsid w:val="00A51F65"/>
    <w:rsid w:val="00A548ED"/>
    <w:rsid w:val="00A5513D"/>
    <w:rsid w:val="00A60DE3"/>
    <w:rsid w:val="00A642BF"/>
    <w:rsid w:val="00A6624F"/>
    <w:rsid w:val="00A67F16"/>
    <w:rsid w:val="00A70471"/>
    <w:rsid w:val="00A70D06"/>
    <w:rsid w:val="00A715B4"/>
    <w:rsid w:val="00A718FC"/>
    <w:rsid w:val="00A71B62"/>
    <w:rsid w:val="00A73CD8"/>
    <w:rsid w:val="00A7607A"/>
    <w:rsid w:val="00A762B7"/>
    <w:rsid w:val="00A76AC6"/>
    <w:rsid w:val="00A774DE"/>
    <w:rsid w:val="00A7781C"/>
    <w:rsid w:val="00A833FE"/>
    <w:rsid w:val="00A8661F"/>
    <w:rsid w:val="00A8672B"/>
    <w:rsid w:val="00A86869"/>
    <w:rsid w:val="00A869BA"/>
    <w:rsid w:val="00A9242E"/>
    <w:rsid w:val="00A92C66"/>
    <w:rsid w:val="00A96630"/>
    <w:rsid w:val="00AA1EDE"/>
    <w:rsid w:val="00AA2398"/>
    <w:rsid w:val="00AB4D79"/>
    <w:rsid w:val="00AB5A44"/>
    <w:rsid w:val="00AB7124"/>
    <w:rsid w:val="00AC0A02"/>
    <w:rsid w:val="00AC15D3"/>
    <w:rsid w:val="00AC36C7"/>
    <w:rsid w:val="00AC38DA"/>
    <w:rsid w:val="00AC481F"/>
    <w:rsid w:val="00AC5485"/>
    <w:rsid w:val="00AC6C51"/>
    <w:rsid w:val="00AC74F5"/>
    <w:rsid w:val="00AC7E50"/>
    <w:rsid w:val="00AC7F7F"/>
    <w:rsid w:val="00AD34DC"/>
    <w:rsid w:val="00AD3B31"/>
    <w:rsid w:val="00AD467E"/>
    <w:rsid w:val="00AD6347"/>
    <w:rsid w:val="00AD63CE"/>
    <w:rsid w:val="00AD6A4F"/>
    <w:rsid w:val="00AE0B95"/>
    <w:rsid w:val="00AE2D02"/>
    <w:rsid w:val="00AE3F0D"/>
    <w:rsid w:val="00AF29ED"/>
    <w:rsid w:val="00AF2C5D"/>
    <w:rsid w:val="00AF4619"/>
    <w:rsid w:val="00AF5725"/>
    <w:rsid w:val="00AF5AC9"/>
    <w:rsid w:val="00AF72A6"/>
    <w:rsid w:val="00B006AA"/>
    <w:rsid w:val="00B00BFF"/>
    <w:rsid w:val="00B024C4"/>
    <w:rsid w:val="00B02F7D"/>
    <w:rsid w:val="00B03668"/>
    <w:rsid w:val="00B05C9E"/>
    <w:rsid w:val="00B115A7"/>
    <w:rsid w:val="00B13C22"/>
    <w:rsid w:val="00B13EFC"/>
    <w:rsid w:val="00B1514D"/>
    <w:rsid w:val="00B156F5"/>
    <w:rsid w:val="00B1657C"/>
    <w:rsid w:val="00B17274"/>
    <w:rsid w:val="00B17350"/>
    <w:rsid w:val="00B221F9"/>
    <w:rsid w:val="00B22D20"/>
    <w:rsid w:val="00B23D6A"/>
    <w:rsid w:val="00B265D3"/>
    <w:rsid w:val="00B341E8"/>
    <w:rsid w:val="00B35C52"/>
    <w:rsid w:val="00B363EA"/>
    <w:rsid w:val="00B3658A"/>
    <w:rsid w:val="00B376E0"/>
    <w:rsid w:val="00B4153F"/>
    <w:rsid w:val="00B42738"/>
    <w:rsid w:val="00B42912"/>
    <w:rsid w:val="00B432E2"/>
    <w:rsid w:val="00B44484"/>
    <w:rsid w:val="00B45E7F"/>
    <w:rsid w:val="00B477AA"/>
    <w:rsid w:val="00B51BA6"/>
    <w:rsid w:val="00B52078"/>
    <w:rsid w:val="00B57F41"/>
    <w:rsid w:val="00B57FF0"/>
    <w:rsid w:val="00B60546"/>
    <w:rsid w:val="00B60671"/>
    <w:rsid w:val="00B61F72"/>
    <w:rsid w:val="00B62473"/>
    <w:rsid w:val="00B629AF"/>
    <w:rsid w:val="00B65728"/>
    <w:rsid w:val="00B676D3"/>
    <w:rsid w:val="00B7111E"/>
    <w:rsid w:val="00B71EEA"/>
    <w:rsid w:val="00B72BE2"/>
    <w:rsid w:val="00B735C6"/>
    <w:rsid w:val="00B7462A"/>
    <w:rsid w:val="00B74988"/>
    <w:rsid w:val="00B74FB8"/>
    <w:rsid w:val="00B77246"/>
    <w:rsid w:val="00B7752A"/>
    <w:rsid w:val="00B81017"/>
    <w:rsid w:val="00B83052"/>
    <w:rsid w:val="00B8485C"/>
    <w:rsid w:val="00B84A17"/>
    <w:rsid w:val="00B86D60"/>
    <w:rsid w:val="00B87DE5"/>
    <w:rsid w:val="00B91F4A"/>
    <w:rsid w:val="00B92689"/>
    <w:rsid w:val="00B92B3E"/>
    <w:rsid w:val="00B9353B"/>
    <w:rsid w:val="00BA26D0"/>
    <w:rsid w:val="00BA47E9"/>
    <w:rsid w:val="00BA7A33"/>
    <w:rsid w:val="00BA7C70"/>
    <w:rsid w:val="00BB00C3"/>
    <w:rsid w:val="00BB0A45"/>
    <w:rsid w:val="00BB2F65"/>
    <w:rsid w:val="00BB3AE3"/>
    <w:rsid w:val="00BB44BA"/>
    <w:rsid w:val="00BB4758"/>
    <w:rsid w:val="00BC23C9"/>
    <w:rsid w:val="00BC25DB"/>
    <w:rsid w:val="00BC3C8E"/>
    <w:rsid w:val="00BC4AE2"/>
    <w:rsid w:val="00BC510D"/>
    <w:rsid w:val="00BC53DE"/>
    <w:rsid w:val="00BC689D"/>
    <w:rsid w:val="00BD06F1"/>
    <w:rsid w:val="00BD085B"/>
    <w:rsid w:val="00BD1077"/>
    <w:rsid w:val="00BD13D2"/>
    <w:rsid w:val="00BD2D22"/>
    <w:rsid w:val="00BD2F97"/>
    <w:rsid w:val="00BD64A1"/>
    <w:rsid w:val="00BE1FCE"/>
    <w:rsid w:val="00BE6962"/>
    <w:rsid w:val="00BE6AB7"/>
    <w:rsid w:val="00BE7B39"/>
    <w:rsid w:val="00BF12DE"/>
    <w:rsid w:val="00BF1DDF"/>
    <w:rsid w:val="00BF2D8A"/>
    <w:rsid w:val="00BF3D67"/>
    <w:rsid w:val="00BF4A85"/>
    <w:rsid w:val="00BF53EF"/>
    <w:rsid w:val="00BF6E7C"/>
    <w:rsid w:val="00BF73B5"/>
    <w:rsid w:val="00C0093A"/>
    <w:rsid w:val="00C025E6"/>
    <w:rsid w:val="00C040F5"/>
    <w:rsid w:val="00C04763"/>
    <w:rsid w:val="00C0797B"/>
    <w:rsid w:val="00C12ABE"/>
    <w:rsid w:val="00C1448D"/>
    <w:rsid w:val="00C14546"/>
    <w:rsid w:val="00C15F7A"/>
    <w:rsid w:val="00C1620E"/>
    <w:rsid w:val="00C1635C"/>
    <w:rsid w:val="00C20835"/>
    <w:rsid w:val="00C2337A"/>
    <w:rsid w:val="00C23743"/>
    <w:rsid w:val="00C26020"/>
    <w:rsid w:val="00C32ED2"/>
    <w:rsid w:val="00C33269"/>
    <w:rsid w:val="00C338CE"/>
    <w:rsid w:val="00C33AB2"/>
    <w:rsid w:val="00C34BB6"/>
    <w:rsid w:val="00C34E3E"/>
    <w:rsid w:val="00C353A6"/>
    <w:rsid w:val="00C36824"/>
    <w:rsid w:val="00C369C2"/>
    <w:rsid w:val="00C36C03"/>
    <w:rsid w:val="00C37D1C"/>
    <w:rsid w:val="00C4577C"/>
    <w:rsid w:val="00C51271"/>
    <w:rsid w:val="00C53C3E"/>
    <w:rsid w:val="00C55838"/>
    <w:rsid w:val="00C56941"/>
    <w:rsid w:val="00C576DF"/>
    <w:rsid w:val="00C57B44"/>
    <w:rsid w:val="00C60DF6"/>
    <w:rsid w:val="00C617F8"/>
    <w:rsid w:val="00C64541"/>
    <w:rsid w:val="00C64FA1"/>
    <w:rsid w:val="00C66ADE"/>
    <w:rsid w:val="00C67665"/>
    <w:rsid w:val="00C679E6"/>
    <w:rsid w:val="00C67A30"/>
    <w:rsid w:val="00C67FDD"/>
    <w:rsid w:val="00C70637"/>
    <w:rsid w:val="00C74493"/>
    <w:rsid w:val="00C775B9"/>
    <w:rsid w:val="00C80C88"/>
    <w:rsid w:val="00C81B0D"/>
    <w:rsid w:val="00C82252"/>
    <w:rsid w:val="00C830C5"/>
    <w:rsid w:val="00C84FD1"/>
    <w:rsid w:val="00C868C2"/>
    <w:rsid w:val="00C8712C"/>
    <w:rsid w:val="00C906C2"/>
    <w:rsid w:val="00C90FFA"/>
    <w:rsid w:val="00C948B3"/>
    <w:rsid w:val="00C95133"/>
    <w:rsid w:val="00C97075"/>
    <w:rsid w:val="00CA009F"/>
    <w:rsid w:val="00CA4964"/>
    <w:rsid w:val="00CB23F6"/>
    <w:rsid w:val="00CB3111"/>
    <w:rsid w:val="00CB458A"/>
    <w:rsid w:val="00CB5A97"/>
    <w:rsid w:val="00CB79B1"/>
    <w:rsid w:val="00CC3237"/>
    <w:rsid w:val="00CC3A17"/>
    <w:rsid w:val="00CC5309"/>
    <w:rsid w:val="00CC5FBC"/>
    <w:rsid w:val="00CD0D8A"/>
    <w:rsid w:val="00CD412C"/>
    <w:rsid w:val="00CD560C"/>
    <w:rsid w:val="00CE25C5"/>
    <w:rsid w:val="00CE2918"/>
    <w:rsid w:val="00CE29FC"/>
    <w:rsid w:val="00CE306C"/>
    <w:rsid w:val="00CE4522"/>
    <w:rsid w:val="00CE5845"/>
    <w:rsid w:val="00CF11EF"/>
    <w:rsid w:val="00CF121E"/>
    <w:rsid w:val="00CF1CF1"/>
    <w:rsid w:val="00CF341E"/>
    <w:rsid w:val="00CF3636"/>
    <w:rsid w:val="00CF36A1"/>
    <w:rsid w:val="00CF55B1"/>
    <w:rsid w:val="00D01B8B"/>
    <w:rsid w:val="00D059BD"/>
    <w:rsid w:val="00D12975"/>
    <w:rsid w:val="00D1423D"/>
    <w:rsid w:val="00D2018A"/>
    <w:rsid w:val="00D215A1"/>
    <w:rsid w:val="00D2305A"/>
    <w:rsid w:val="00D23DF4"/>
    <w:rsid w:val="00D23E62"/>
    <w:rsid w:val="00D25A3A"/>
    <w:rsid w:val="00D270A0"/>
    <w:rsid w:val="00D271C3"/>
    <w:rsid w:val="00D2769E"/>
    <w:rsid w:val="00D31677"/>
    <w:rsid w:val="00D34E4C"/>
    <w:rsid w:val="00D35866"/>
    <w:rsid w:val="00D36DF3"/>
    <w:rsid w:val="00D37306"/>
    <w:rsid w:val="00D37CAC"/>
    <w:rsid w:val="00D405F6"/>
    <w:rsid w:val="00D41132"/>
    <w:rsid w:val="00D4220A"/>
    <w:rsid w:val="00D42643"/>
    <w:rsid w:val="00D45746"/>
    <w:rsid w:val="00D45A83"/>
    <w:rsid w:val="00D46204"/>
    <w:rsid w:val="00D51007"/>
    <w:rsid w:val="00D52052"/>
    <w:rsid w:val="00D54712"/>
    <w:rsid w:val="00D55991"/>
    <w:rsid w:val="00D5776F"/>
    <w:rsid w:val="00D57CF1"/>
    <w:rsid w:val="00D60070"/>
    <w:rsid w:val="00D62A1F"/>
    <w:rsid w:val="00D65370"/>
    <w:rsid w:val="00D65D0B"/>
    <w:rsid w:val="00D67797"/>
    <w:rsid w:val="00D67851"/>
    <w:rsid w:val="00D702AB"/>
    <w:rsid w:val="00D74D27"/>
    <w:rsid w:val="00D76549"/>
    <w:rsid w:val="00D76C27"/>
    <w:rsid w:val="00D80304"/>
    <w:rsid w:val="00D80A0A"/>
    <w:rsid w:val="00D81BF6"/>
    <w:rsid w:val="00D86424"/>
    <w:rsid w:val="00D903C5"/>
    <w:rsid w:val="00D957DD"/>
    <w:rsid w:val="00D97200"/>
    <w:rsid w:val="00D97296"/>
    <w:rsid w:val="00D97BD8"/>
    <w:rsid w:val="00DA01FA"/>
    <w:rsid w:val="00DA0BF3"/>
    <w:rsid w:val="00DA1EDC"/>
    <w:rsid w:val="00DA22DF"/>
    <w:rsid w:val="00DA33CB"/>
    <w:rsid w:val="00DA3A4D"/>
    <w:rsid w:val="00DA3BAF"/>
    <w:rsid w:val="00DA6401"/>
    <w:rsid w:val="00DA6AB3"/>
    <w:rsid w:val="00DB212B"/>
    <w:rsid w:val="00DB3C20"/>
    <w:rsid w:val="00DB5723"/>
    <w:rsid w:val="00DB63FE"/>
    <w:rsid w:val="00DC08F4"/>
    <w:rsid w:val="00DC3112"/>
    <w:rsid w:val="00DC3AD7"/>
    <w:rsid w:val="00DC4E3F"/>
    <w:rsid w:val="00DC5FA6"/>
    <w:rsid w:val="00DC6B70"/>
    <w:rsid w:val="00DD0408"/>
    <w:rsid w:val="00DD39B8"/>
    <w:rsid w:val="00DD6DC0"/>
    <w:rsid w:val="00DD78E1"/>
    <w:rsid w:val="00DE4592"/>
    <w:rsid w:val="00DE630D"/>
    <w:rsid w:val="00DE7B2D"/>
    <w:rsid w:val="00DF5B28"/>
    <w:rsid w:val="00DF798C"/>
    <w:rsid w:val="00E01E9A"/>
    <w:rsid w:val="00E02ADF"/>
    <w:rsid w:val="00E069A2"/>
    <w:rsid w:val="00E077A1"/>
    <w:rsid w:val="00E14102"/>
    <w:rsid w:val="00E164F0"/>
    <w:rsid w:val="00E16D56"/>
    <w:rsid w:val="00E21E4C"/>
    <w:rsid w:val="00E221C2"/>
    <w:rsid w:val="00E22596"/>
    <w:rsid w:val="00E267F3"/>
    <w:rsid w:val="00E31B50"/>
    <w:rsid w:val="00E332A9"/>
    <w:rsid w:val="00E3342C"/>
    <w:rsid w:val="00E337C3"/>
    <w:rsid w:val="00E33B9F"/>
    <w:rsid w:val="00E34CAB"/>
    <w:rsid w:val="00E36F58"/>
    <w:rsid w:val="00E37E7D"/>
    <w:rsid w:val="00E4575A"/>
    <w:rsid w:val="00E47329"/>
    <w:rsid w:val="00E51019"/>
    <w:rsid w:val="00E52E99"/>
    <w:rsid w:val="00E534E8"/>
    <w:rsid w:val="00E56071"/>
    <w:rsid w:val="00E56D6F"/>
    <w:rsid w:val="00E6124D"/>
    <w:rsid w:val="00E65EAE"/>
    <w:rsid w:val="00E679E5"/>
    <w:rsid w:val="00E7152D"/>
    <w:rsid w:val="00E717B4"/>
    <w:rsid w:val="00E72058"/>
    <w:rsid w:val="00E72191"/>
    <w:rsid w:val="00E73695"/>
    <w:rsid w:val="00E82183"/>
    <w:rsid w:val="00E86163"/>
    <w:rsid w:val="00E90A54"/>
    <w:rsid w:val="00E91769"/>
    <w:rsid w:val="00E95D67"/>
    <w:rsid w:val="00E968CD"/>
    <w:rsid w:val="00E96B93"/>
    <w:rsid w:val="00EA1221"/>
    <w:rsid w:val="00EA1C80"/>
    <w:rsid w:val="00EA3656"/>
    <w:rsid w:val="00EA3863"/>
    <w:rsid w:val="00EA3D97"/>
    <w:rsid w:val="00EA4B82"/>
    <w:rsid w:val="00EA7336"/>
    <w:rsid w:val="00EA785E"/>
    <w:rsid w:val="00EA7D96"/>
    <w:rsid w:val="00EB43AA"/>
    <w:rsid w:val="00EB552F"/>
    <w:rsid w:val="00EB5C45"/>
    <w:rsid w:val="00EB5DCB"/>
    <w:rsid w:val="00EB7424"/>
    <w:rsid w:val="00EC10FC"/>
    <w:rsid w:val="00EC1BFE"/>
    <w:rsid w:val="00EC21D9"/>
    <w:rsid w:val="00EC34C7"/>
    <w:rsid w:val="00ED15AD"/>
    <w:rsid w:val="00ED1A9B"/>
    <w:rsid w:val="00EE08DD"/>
    <w:rsid w:val="00EE3BD4"/>
    <w:rsid w:val="00EE5A0F"/>
    <w:rsid w:val="00EF05F1"/>
    <w:rsid w:val="00EF2266"/>
    <w:rsid w:val="00EF318C"/>
    <w:rsid w:val="00EF4132"/>
    <w:rsid w:val="00EF7AE5"/>
    <w:rsid w:val="00F013C6"/>
    <w:rsid w:val="00F03911"/>
    <w:rsid w:val="00F05E02"/>
    <w:rsid w:val="00F10788"/>
    <w:rsid w:val="00F1406B"/>
    <w:rsid w:val="00F1431A"/>
    <w:rsid w:val="00F15BA1"/>
    <w:rsid w:val="00F16B59"/>
    <w:rsid w:val="00F178E9"/>
    <w:rsid w:val="00F22F45"/>
    <w:rsid w:val="00F2331E"/>
    <w:rsid w:val="00F23D39"/>
    <w:rsid w:val="00F2462F"/>
    <w:rsid w:val="00F25477"/>
    <w:rsid w:val="00F254D7"/>
    <w:rsid w:val="00F254E2"/>
    <w:rsid w:val="00F25E81"/>
    <w:rsid w:val="00F30356"/>
    <w:rsid w:val="00F30574"/>
    <w:rsid w:val="00F3058E"/>
    <w:rsid w:val="00F3089A"/>
    <w:rsid w:val="00F32C7A"/>
    <w:rsid w:val="00F33DE2"/>
    <w:rsid w:val="00F367CD"/>
    <w:rsid w:val="00F36950"/>
    <w:rsid w:val="00F36F74"/>
    <w:rsid w:val="00F419DC"/>
    <w:rsid w:val="00F44713"/>
    <w:rsid w:val="00F467A3"/>
    <w:rsid w:val="00F474E9"/>
    <w:rsid w:val="00F503A4"/>
    <w:rsid w:val="00F503E7"/>
    <w:rsid w:val="00F50B6B"/>
    <w:rsid w:val="00F51BA2"/>
    <w:rsid w:val="00F528E3"/>
    <w:rsid w:val="00F529D7"/>
    <w:rsid w:val="00F530A2"/>
    <w:rsid w:val="00F55D03"/>
    <w:rsid w:val="00F601D7"/>
    <w:rsid w:val="00F60EC7"/>
    <w:rsid w:val="00F612B9"/>
    <w:rsid w:val="00F61A33"/>
    <w:rsid w:val="00F61F89"/>
    <w:rsid w:val="00F629D8"/>
    <w:rsid w:val="00F62AA0"/>
    <w:rsid w:val="00F62BD7"/>
    <w:rsid w:val="00F63519"/>
    <w:rsid w:val="00F64D39"/>
    <w:rsid w:val="00F65CD2"/>
    <w:rsid w:val="00F6765F"/>
    <w:rsid w:val="00F67EAC"/>
    <w:rsid w:val="00F726C6"/>
    <w:rsid w:val="00F75550"/>
    <w:rsid w:val="00F814E5"/>
    <w:rsid w:val="00F81AE5"/>
    <w:rsid w:val="00F82ADF"/>
    <w:rsid w:val="00F8304B"/>
    <w:rsid w:val="00F83532"/>
    <w:rsid w:val="00F855B5"/>
    <w:rsid w:val="00F85969"/>
    <w:rsid w:val="00F87A01"/>
    <w:rsid w:val="00F90455"/>
    <w:rsid w:val="00F91A57"/>
    <w:rsid w:val="00F91B58"/>
    <w:rsid w:val="00F93EA6"/>
    <w:rsid w:val="00F94AC7"/>
    <w:rsid w:val="00F95619"/>
    <w:rsid w:val="00FA42BB"/>
    <w:rsid w:val="00FA549C"/>
    <w:rsid w:val="00FB06D3"/>
    <w:rsid w:val="00FB0D80"/>
    <w:rsid w:val="00FB21CD"/>
    <w:rsid w:val="00FB5259"/>
    <w:rsid w:val="00FB5B4F"/>
    <w:rsid w:val="00FC17C0"/>
    <w:rsid w:val="00FC1F05"/>
    <w:rsid w:val="00FC31F0"/>
    <w:rsid w:val="00FC333A"/>
    <w:rsid w:val="00FC75BC"/>
    <w:rsid w:val="00FD1C96"/>
    <w:rsid w:val="00FD2097"/>
    <w:rsid w:val="00FD5864"/>
    <w:rsid w:val="00FD709A"/>
    <w:rsid w:val="00FE0176"/>
    <w:rsid w:val="00FE2F22"/>
    <w:rsid w:val="00FE323D"/>
    <w:rsid w:val="00FE3979"/>
    <w:rsid w:val="00FE4F10"/>
    <w:rsid w:val="00FE677B"/>
    <w:rsid w:val="00FF0E42"/>
    <w:rsid w:val="00FF6D53"/>
    <w:rsid w:val="0190F80D"/>
    <w:rsid w:val="07832CAB"/>
    <w:rsid w:val="0F26D96F"/>
    <w:rsid w:val="15E69286"/>
    <w:rsid w:val="18C7DCCD"/>
    <w:rsid w:val="1B792ABC"/>
    <w:rsid w:val="1C23C685"/>
    <w:rsid w:val="1DEA92A0"/>
    <w:rsid w:val="22086057"/>
    <w:rsid w:val="34D5DD47"/>
    <w:rsid w:val="36239875"/>
    <w:rsid w:val="3D378B28"/>
    <w:rsid w:val="42313CE2"/>
    <w:rsid w:val="465E9585"/>
    <w:rsid w:val="479C78EE"/>
    <w:rsid w:val="4A842167"/>
    <w:rsid w:val="5DEB1779"/>
    <w:rsid w:val="607588E2"/>
    <w:rsid w:val="62C75A34"/>
    <w:rsid w:val="67E50457"/>
    <w:rsid w:val="72B0A672"/>
    <w:rsid w:val="7369B435"/>
    <w:rsid w:val="7D0B1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392436"/>
  <w15:docId w15:val="{4C02BE47-C0A7-40B5-A3E8-719D4860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4E8"/>
    <w:rPr>
      <w:rFonts w:ascii="Arial" w:hAnsi="Arial"/>
      <w:sz w:val="24"/>
      <w:szCs w:val="24"/>
    </w:rPr>
  </w:style>
  <w:style w:type="paragraph" w:styleId="Heading1">
    <w:name w:val="heading 1"/>
    <w:aliases w:val="Numbered - 1"/>
    <w:basedOn w:val="Normal"/>
    <w:next w:val="Normal"/>
    <w:link w:val="Heading1Char"/>
    <w:uiPriority w:val="99"/>
    <w:qFormat/>
    <w:rsid w:val="003322EA"/>
    <w:pPr>
      <w:keepNext/>
      <w:keepLines/>
      <w:widowControl w:val="0"/>
      <w:spacing w:before="240" w:after="240"/>
      <w:outlineLvl w:val="0"/>
    </w:pPr>
    <w:rPr>
      <w:b/>
      <w:kern w:val="28"/>
      <w:sz w:val="22"/>
      <w:szCs w:val="20"/>
      <w:lang w:eastAsia="en-US"/>
    </w:rPr>
  </w:style>
  <w:style w:type="paragraph" w:styleId="Heading2">
    <w:name w:val="heading 2"/>
    <w:basedOn w:val="Normal"/>
    <w:next w:val="Normal"/>
    <w:link w:val="Heading2Char"/>
    <w:unhideWhenUsed/>
    <w:qFormat/>
    <w:locked/>
    <w:rsid w:val="0070580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uiPriority w:val="9"/>
    <w:rsid w:val="004373AE"/>
    <w:rPr>
      <w:rFonts w:asciiTheme="majorHAnsi" w:eastAsiaTheme="majorEastAsia" w:hAnsiTheme="majorHAnsi" w:cstheme="majorBidi"/>
      <w:b/>
      <w:bCs/>
      <w:kern w:val="32"/>
      <w:sz w:val="32"/>
      <w:szCs w:val="32"/>
    </w:rPr>
  </w:style>
  <w:style w:type="table" w:styleId="TableGrid">
    <w:name w:val="Table Grid"/>
    <w:basedOn w:val="TableNormal"/>
    <w:rsid w:val="00E534E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534E8"/>
    <w:pPr>
      <w:tabs>
        <w:tab w:val="center" w:pos="4153"/>
        <w:tab w:val="right" w:pos="8306"/>
      </w:tabs>
    </w:pPr>
  </w:style>
  <w:style w:type="character" w:customStyle="1" w:styleId="HeaderChar">
    <w:name w:val="Header Char"/>
    <w:basedOn w:val="DefaultParagraphFont"/>
    <w:link w:val="Header"/>
    <w:uiPriority w:val="99"/>
    <w:semiHidden/>
    <w:rsid w:val="004373AE"/>
    <w:rPr>
      <w:rFonts w:ascii="Arial" w:hAnsi="Arial"/>
      <w:sz w:val="24"/>
      <w:szCs w:val="24"/>
    </w:rPr>
  </w:style>
  <w:style w:type="paragraph" w:styleId="Footer">
    <w:name w:val="footer"/>
    <w:basedOn w:val="Normal"/>
    <w:link w:val="FooterChar"/>
    <w:uiPriority w:val="99"/>
    <w:rsid w:val="00E534E8"/>
    <w:pPr>
      <w:tabs>
        <w:tab w:val="center" w:pos="4153"/>
        <w:tab w:val="right" w:pos="8306"/>
      </w:tabs>
    </w:pPr>
  </w:style>
  <w:style w:type="character" w:customStyle="1" w:styleId="FooterChar">
    <w:name w:val="Footer Char"/>
    <w:basedOn w:val="DefaultParagraphFont"/>
    <w:link w:val="Footer"/>
    <w:uiPriority w:val="99"/>
    <w:locked/>
    <w:rsid w:val="000F7FF0"/>
    <w:rPr>
      <w:rFonts w:ascii="Arial" w:hAnsi="Arial" w:cs="Times New Roman"/>
      <w:sz w:val="24"/>
      <w:szCs w:val="24"/>
    </w:rPr>
  </w:style>
  <w:style w:type="character" w:styleId="PageNumber">
    <w:name w:val="page number"/>
    <w:basedOn w:val="DefaultParagraphFont"/>
    <w:uiPriority w:val="99"/>
    <w:rsid w:val="00E534E8"/>
    <w:rPr>
      <w:rFonts w:cs="Times New Roman"/>
    </w:rPr>
  </w:style>
  <w:style w:type="paragraph" w:styleId="BalloonText">
    <w:name w:val="Balloon Text"/>
    <w:basedOn w:val="Normal"/>
    <w:link w:val="BalloonTextChar"/>
    <w:uiPriority w:val="99"/>
    <w:semiHidden/>
    <w:rsid w:val="00E534E8"/>
    <w:rPr>
      <w:rFonts w:ascii="Tahoma" w:hAnsi="Tahoma" w:cs="Tahoma"/>
      <w:sz w:val="16"/>
      <w:szCs w:val="16"/>
    </w:rPr>
  </w:style>
  <w:style w:type="character" w:customStyle="1" w:styleId="BalloonTextChar">
    <w:name w:val="Balloon Text Char"/>
    <w:basedOn w:val="DefaultParagraphFont"/>
    <w:link w:val="BalloonText"/>
    <w:uiPriority w:val="99"/>
    <w:semiHidden/>
    <w:rsid w:val="004373AE"/>
    <w:rPr>
      <w:sz w:val="0"/>
      <w:szCs w:val="0"/>
    </w:rPr>
  </w:style>
  <w:style w:type="paragraph" w:customStyle="1" w:styleId="StyleArial">
    <w:name w:val="Style Arial"/>
    <w:basedOn w:val="Normal"/>
    <w:uiPriority w:val="99"/>
    <w:rsid w:val="002246CA"/>
    <w:pPr>
      <w:spacing w:after="120"/>
    </w:pPr>
    <w:rPr>
      <w:rFonts w:cs="Arial"/>
      <w:sz w:val="28"/>
      <w:szCs w:val="20"/>
      <w:lang w:eastAsia="en-US"/>
    </w:rPr>
  </w:style>
  <w:style w:type="paragraph" w:customStyle="1" w:styleId="Default">
    <w:name w:val="Default"/>
    <w:uiPriority w:val="99"/>
    <w:rsid w:val="00CD0D8A"/>
    <w:pPr>
      <w:autoSpaceDE w:val="0"/>
      <w:autoSpaceDN w:val="0"/>
      <w:adjustRightInd w:val="0"/>
    </w:pPr>
    <w:rPr>
      <w:color w:val="000000"/>
      <w:sz w:val="24"/>
      <w:szCs w:val="24"/>
    </w:rPr>
  </w:style>
  <w:style w:type="paragraph" w:customStyle="1" w:styleId="DfESOutNumbered">
    <w:name w:val="DfESOutNumbered"/>
    <w:basedOn w:val="Normal"/>
    <w:uiPriority w:val="99"/>
    <w:rsid w:val="00FE323D"/>
    <w:pPr>
      <w:widowControl w:val="0"/>
      <w:numPr>
        <w:numId w:val="2"/>
      </w:numPr>
      <w:overflowPunct w:val="0"/>
      <w:autoSpaceDE w:val="0"/>
      <w:autoSpaceDN w:val="0"/>
      <w:adjustRightInd w:val="0"/>
      <w:spacing w:after="240"/>
      <w:textAlignment w:val="baseline"/>
    </w:pPr>
    <w:rPr>
      <w:rFonts w:cs="Arial"/>
      <w:sz w:val="22"/>
      <w:szCs w:val="20"/>
      <w:lang w:eastAsia="en-US"/>
    </w:rPr>
  </w:style>
  <w:style w:type="paragraph" w:styleId="BodyTextIndent">
    <w:name w:val="Body Text Indent"/>
    <w:basedOn w:val="Normal"/>
    <w:link w:val="BodyTextIndentChar"/>
    <w:uiPriority w:val="99"/>
    <w:rsid w:val="003D08B1"/>
    <w:pPr>
      <w:tabs>
        <w:tab w:val="left" w:pos="360"/>
      </w:tabs>
      <w:spacing w:after="120"/>
      <w:ind w:left="360" w:hanging="360"/>
    </w:pPr>
    <w:rPr>
      <w:sz w:val="22"/>
      <w:szCs w:val="20"/>
      <w:lang w:val="en-US" w:eastAsia="en-US"/>
    </w:rPr>
  </w:style>
  <w:style w:type="character" w:customStyle="1" w:styleId="BodyTextIndentChar">
    <w:name w:val="Body Text Indent Char"/>
    <w:basedOn w:val="DefaultParagraphFont"/>
    <w:link w:val="BodyTextIndent"/>
    <w:uiPriority w:val="99"/>
    <w:semiHidden/>
    <w:rsid w:val="004373AE"/>
    <w:rPr>
      <w:rFonts w:ascii="Arial" w:hAnsi="Arial"/>
      <w:sz w:val="24"/>
      <w:szCs w:val="24"/>
    </w:rPr>
  </w:style>
  <w:style w:type="character" w:styleId="Strong">
    <w:name w:val="Strong"/>
    <w:basedOn w:val="DefaultParagraphFont"/>
    <w:uiPriority w:val="99"/>
    <w:qFormat/>
    <w:rsid w:val="00D46204"/>
    <w:rPr>
      <w:rFonts w:cs="Times New Roman"/>
      <w:b/>
      <w:bCs/>
    </w:rPr>
  </w:style>
  <w:style w:type="paragraph" w:styleId="BodyText">
    <w:name w:val="Body Text"/>
    <w:basedOn w:val="Normal"/>
    <w:link w:val="BodyTextChar"/>
    <w:uiPriority w:val="99"/>
    <w:rsid w:val="003322EA"/>
    <w:pPr>
      <w:spacing w:after="120"/>
    </w:pPr>
  </w:style>
  <w:style w:type="character" w:customStyle="1" w:styleId="BodyTextChar">
    <w:name w:val="Body Text Char"/>
    <w:basedOn w:val="DefaultParagraphFont"/>
    <w:link w:val="BodyText"/>
    <w:uiPriority w:val="99"/>
    <w:semiHidden/>
    <w:rsid w:val="004373AE"/>
    <w:rPr>
      <w:rFonts w:ascii="Arial" w:hAnsi="Arial"/>
      <w:sz w:val="24"/>
      <w:szCs w:val="24"/>
    </w:r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List Paragraph11"/>
    <w:basedOn w:val="Normal"/>
    <w:uiPriority w:val="34"/>
    <w:qFormat/>
    <w:rsid w:val="004838C5"/>
    <w:pPr>
      <w:ind w:left="720"/>
      <w:contextualSpacing/>
    </w:pPr>
  </w:style>
  <w:style w:type="table" w:customStyle="1" w:styleId="TableGrid1">
    <w:name w:val="Table Grid1"/>
    <w:basedOn w:val="TableNormal"/>
    <w:next w:val="TableGrid"/>
    <w:uiPriority w:val="59"/>
    <w:rsid w:val="00AA1ED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77C"/>
    <w:rPr>
      <w:sz w:val="16"/>
      <w:szCs w:val="16"/>
    </w:rPr>
  </w:style>
  <w:style w:type="paragraph" w:styleId="CommentText">
    <w:name w:val="annotation text"/>
    <w:basedOn w:val="Normal"/>
    <w:link w:val="CommentTextChar"/>
    <w:uiPriority w:val="99"/>
    <w:unhideWhenUsed/>
    <w:rsid w:val="00C4577C"/>
    <w:rPr>
      <w:sz w:val="20"/>
      <w:szCs w:val="20"/>
    </w:rPr>
  </w:style>
  <w:style w:type="character" w:customStyle="1" w:styleId="CommentTextChar">
    <w:name w:val="Comment Text Char"/>
    <w:basedOn w:val="DefaultParagraphFont"/>
    <w:link w:val="CommentText"/>
    <w:uiPriority w:val="99"/>
    <w:rsid w:val="00C4577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4577C"/>
    <w:rPr>
      <w:b/>
      <w:bCs/>
    </w:rPr>
  </w:style>
  <w:style w:type="character" w:customStyle="1" w:styleId="CommentSubjectChar">
    <w:name w:val="Comment Subject Char"/>
    <w:basedOn w:val="CommentTextChar"/>
    <w:link w:val="CommentSubject"/>
    <w:uiPriority w:val="99"/>
    <w:semiHidden/>
    <w:rsid w:val="00C4577C"/>
    <w:rPr>
      <w:rFonts w:ascii="Arial" w:hAnsi="Arial"/>
      <w:b/>
      <w:bCs/>
      <w:sz w:val="20"/>
      <w:szCs w:val="20"/>
    </w:rPr>
  </w:style>
  <w:style w:type="paragraph" w:styleId="NormalWeb">
    <w:name w:val="Normal (Web)"/>
    <w:basedOn w:val="Normal"/>
    <w:uiPriority w:val="99"/>
    <w:semiHidden/>
    <w:unhideWhenUsed/>
    <w:rsid w:val="00FB5B4F"/>
    <w:pPr>
      <w:spacing w:before="100" w:beforeAutospacing="1" w:after="100" w:afterAutospacing="1"/>
    </w:pPr>
    <w:rPr>
      <w:rFonts w:ascii="Times New Roman" w:hAnsi="Times New Roman"/>
    </w:rPr>
  </w:style>
  <w:style w:type="table" w:styleId="GridTable2-Accent5">
    <w:name w:val="Grid Table 2 Accent 5"/>
    <w:basedOn w:val="TableNormal"/>
    <w:uiPriority w:val="47"/>
    <w:rsid w:val="00722B95"/>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itle">
    <w:name w:val="Title"/>
    <w:basedOn w:val="Normal"/>
    <w:next w:val="Normal"/>
    <w:link w:val="TitleChar"/>
    <w:qFormat/>
    <w:locked/>
    <w:rsid w:val="00C353A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353A6"/>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rsid w:val="0070580B"/>
    <w:rPr>
      <w:rFonts w:asciiTheme="majorHAnsi" w:eastAsiaTheme="majorEastAsia" w:hAnsiTheme="majorHAnsi" w:cstheme="majorBidi"/>
      <w:color w:val="365F91" w:themeColor="accent1" w:themeShade="BF"/>
      <w:sz w:val="26"/>
      <w:szCs w:val="26"/>
    </w:rPr>
  </w:style>
  <w:style w:type="paragraph" w:customStyle="1" w:styleId="Headersfooters">
    <w:name w:val="Headers &amp; footers"/>
    <w:basedOn w:val="Title"/>
    <w:link w:val="HeadersfootersChar"/>
    <w:qFormat/>
    <w:rsid w:val="0070580B"/>
    <w:pPr>
      <w:contextualSpacing w:val="0"/>
    </w:pPr>
    <w:rPr>
      <w:rFonts w:ascii="Arial" w:hAnsi="Arial" w:cs="Arial"/>
      <w:bCs/>
      <w:noProof/>
      <w:sz w:val="20"/>
    </w:rPr>
  </w:style>
  <w:style w:type="character" w:customStyle="1" w:styleId="HeadersfootersChar">
    <w:name w:val="Headers &amp; footers Char"/>
    <w:basedOn w:val="TitleChar"/>
    <w:link w:val="Headersfooters"/>
    <w:rsid w:val="0070580B"/>
    <w:rPr>
      <w:rFonts w:ascii="Arial" w:eastAsiaTheme="majorEastAsia" w:hAnsi="Arial" w:cs="Arial"/>
      <w:bCs/>
      <w:noProof/>
      <w:spacing w:val="-10"/>
      <w:kern w:val="28"/>
      <w:sz w:val="20"/>
      <w:szCs w:val="56"/>
    </w:rPr>
  </w:style>
  <w:style w:type="paragraph" w:styleId="NoSpacing">
    <w:name w:val="No Spacing"/>
    <w:uiPriority w:val="1"/>
    <w:qFormat/>
    <w:rsid w:val="001F05B8"/>
    <w:rPr>
      <w:rFonts w:ascii="Arial" w:hAnsi="Arial"/>
      <w:sz w:val="24"/>
      <w:szCs w:val="24"/>
    </w:rPr>
  </w:style>
  <w:style w:type="character" w:styleId="Hyperlink">
    <w:name w:val="Hyperlink"/>
    <w:basedOn w:val="DefaultParagraphFont"/>
    <w:uiPriority w:val="99"/>
    <w:unhideWhenUsed/>
    <w:rsid w:val="00A51F65"/>
    <w:rPr>
      <w:color w:val="0000FF" w:themeColor="hyperlink"/>
      <w:u w:val="single"/>
    </w:rPr>
  </w:style>
  <w:style w:type="character" w:styleId="UnresolvedMention">
    <w:name w:val="Unresolved Mention"/>
    <w:basedOn w:val="DefaultParagraphFont"/>
    <w:uiPriority w:val="99"/>
    <w:semiHidden/>
    <w:unhideWhenUsed/>
    <w:rsid w:val="00A51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327">
      <w:bodyDiv w:val="1"/>
      <w:marLeft w:val="0"/>
      <w:marRight w:val="0"/>
      <w:marTop w:val="0"/>
      <w:marBottom w:val="0"/>
      <w:divBdr>
        <w:top w:val="none" w:sz="0" w:space="0" w:color="auto"/>
        <w:left w:val="none" w:sz="0" w:space="0" w:color="auto"/>
        <w:bottom w:val="none" w:sz="0" w:space="0" w:color="auto"/>
        <w:right w:val="none" w:sz="0" w:space="0" w:color="auto"/>
      </w:divBdr>
    </w:div>
    <w:div w:id="55858401">
      <w:bodyDiv w:val="1"/>
      <w:marLeft w:val="0"/>
      <w:marRight w:val="0"/>
      <w:marTop w:val="0"/>
      <w:marBottom w:val="0"/>
      <w:divBdr>
        <w:top w:val="none" w:sz="0" w:space="0" w:color="auto"/>
        <w:left w:val="none" w:sz="0" w:space="0" w:color="auto"/>
        <w:bottom w:val="none" w:sz="0" w:space="0" w:color="auto"/>
        <w:right w:val="none" w:sz="0" w:space="0" w:color="auto"/>
      </w:divBdr>
    </w:div>
    <w:div w:id="101850300">
      <w:bodyDiv w:val="1"/>
      <w:marLeft w:val="0"/>
      <w:marRight w:val="0"/>
      <w:marTop w:val="0"/>
      <w:marBottom w:val="0"/>
      <w:divBdr>
        <w:top w:val="none" w:sz="0" w:space="0" w:color="auto"/>
        <w:left w:val="none" w:sz="0" w:space="0" w:color="auto"/>
        <w:bottom w:val="none" w:sz="0" w:space="0" w:color="auto"/>
        <w:right w:val="none" w:sz="0" w:space="0" w:color="auto"/>
      </w:divBdr>
    </w:div>
    <w:div w:id="216162216">
      <w:bodyDiv w:val="1"/>
      <w:marLeft w:val="0"/>
      <w:marRight w:val="0"/>
      <w:marTop w:val="0"/>
      <w:marBottom w:val="0"/>
      <w:divBdr>
        <w:top w:val="none" w:sz="0" w:space="0" w:color="auto"/>
        <w:left w:val="none" w:sz="0" w:space="0" w:color="auto"/>
        <w:bottom w:val="none" w:sz="0" w:space="0" w:color="auto"/>
        <w:right w:val="none" w:sz="0" w:space="0" w:color="auto"/>
      </w:divBdr>
      <w:divsChild>
        <w:div w:id="530342846">
          <w:marLeft w:val="0"/>
          <w:marRight w:val="0"/>
          <w:marTop w:val="0"/>
          <w:marBottom w:val="0"/>
          <w:divBdr>
            <w:top w:val="none" w:sz="0" w:space="0" w:color="auto"/>
            <w:left w:val="none" w:sz="0" w:space="0" w:color="auto"/>
            <w:bottom w:val="none" w:sz="0" w:space="0" w:color="auto"/>
            <w:right w:val="none" w:sz="0" w:space="0" w:color="auto"/>
          </w:divBdr>
          <w:divsChild>
            <w:div w:id="68085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9487">
      <w:marLeft w:val="0"/>
      <w:marRight w:val="0"/>
      <w:marTop w:val="0"/>
      <w:marBottom w:val="0"/>
      <w:divBdr>
        <w:top w:val="none" w:sz="0" w:space="0" w:color="auto"/>
        <w:left w:val="none" w:sz="0" w:space="0" w:color="auto"/>
        <w:bottom w:val="none" w:sz="0" w:space="0" w:color="auto"/>
        <w:right w:val="none" w:sz="0" w:space="0" w:color="auto"/>
      </w:divBdr>
      <w:divsChild>
        <w:div w:id="2009399500">
          <w:marLeft w:val="0"/>
          <w:marRight w:val="0"/>
          <w:marTop w:val="0"/>
          <w:marBottom w:val="0"/>
          <w:divBdr>
            <w:top w:val="none" w:sz="0" w:space="0" w:color="auto"/>
            <w:left w:val="none" w:sz="0" w:space="0" w:color="auto"/>
            <w:bottom w:val="none" w:sz="0" w:space="0" w:color="auto"/>
            <w:right w:val="none" w:sz="0" w:space="0" w:color="auto"/>
          </w:divBdr>
        </w:div>
      </w:divsChild>
    </w:div>
    <w:div w:id="241567866">
      <w:bodyDiv w:val="1"/>
      <w:marLeft w:val="0"/>
      <w:marRight w:val="0"/>
      <w:marTop w:val="0"/>
      <w:marBottom w:val="0"/>
      <w:divBdr>
        <w:top w:val="none" w:sz="0" w:space="0" w:color="auto"/>
        <w:left w:val="none" w:sz="0" w:space="0" w:color="auto"/>
        <w:bottom w:val="none" w:sz="0" w:space="0" w:color="auto"/>
        <w:right w:val="none" w:sz="0" w:space="0" w:color="auto"/>
      </w:divBdr>
    </w:div>
    <w:div w:id="343824346">
      <w:bodyDiv w:val="1"/>
      <w:marLeft w:val="0"/>
      <w:marRight w:val="0"/>
      <w:marTop w:val="0"/>
      <w:marBottom w:val="0"/>
      <w:divBdr>
        <w:top w:val="none" w:sz="0" w:space="0" w:color="auto"/>
        <w:left w:val="none" w:sz="0" w:space="0" w:color="auto"/>
        <w:bottom w:val="none" w:sz="0" w:space="0" w:color="auto"/>
        <w:right w:val="none" w:sz="0" w:space="0" w:color="auto"/>
      </w:divBdr>
    </w:div>
    <w:div w:id="350960575">
      <w:bodyDiv w:val="1"/>
      <w:marLeft w:val="0"/>
      <w:marRight w:val="0"/>
      <w:marTop w:val="0"/>
      <w:marBottom w:val="0"/>
      <w:divBdr>
        <w:top w:val="none" w:sz="0" w:space="0" w:color="auto"/>
        <w:left w:val="none" w:sz="0" w:space="0" w:color="auto"/>
        <w:bottom w:val="none" w:sz="0" w:space="0" w:color="auto"/>
        <w:right w:val="none" w:sz="0" w:space="0" w:color="auto"/>
      </w:divBdr>
    </w:div>
    <w:div w:id="353927043">
      <w:bodyDiv w:val="1"/>
      <w:marLeft w:val="0"/>
      <w:marRight w:val="0"/>
      <w:marTop w:val="0"/>
      <w:marBottom w:val="0"/>
      <w:divBdr>
        <w:top w:val="none" w:sz="0" w:space="0" w:color="auto"/>
        <w:left w:val="none" w:sz="0" w:space="0" w:color="auto"/>
        <w:bottom w:val="none" w:sz="0" w:space="0" w:color="auto"/>
        <w:right w:val="none" w:sz="0" w:space="0" w:color="auto"/>
      </w:divBdr>
    </w:div>
    <w:div w:id="389964278">
      <w:bodyDiv w:val="1"/>
      <w:marLeft w:val="0"/>
      <w:marRight w:val="0"/>
      <w:marTop w:val="0"/>
      <w:marBottom w:val="0"/>
      <w:divBdr>
        <w:top w:val="none" w:sz="0" w:space="0" w:color="auto"/>
        <w:left w:val="none" w:sz="0" w:space="0" w:color="auto"/>
        <w:bottom w:val="none" w:sz="0" w:space="0" w:color="auto"/>
        <w:right w:val="none" w:sz="0" w:space="0" w:color="auto"/>
      </w:divBdr>
    </w:div>
    <w:div w:id="408356801">
      <w:bodyDiv w:val="1"/>
      <w:marLeft w:val="0"/>
      <w:marRight w:val="0"/>
      <w:marTop w:val="0"/>
      <w:marBottom w:val="0"/>
      <w:divBdr>
        <w:top w:val="none" w:sz="0" w:space="0" w:color="auto"/>
        <w:left w:val="none" w:sz="0" w:space="0" w:color="auto"/>
        <w:bottom w:val="none" w:sz="0" w:space="0" w:color="auto"/>
        <w:right w:val="none" w:sz="0" w:space="0" w:color="auto"/>
      </w:divBdr>
    </w:div>
    <w:div w:id="418722092">
      <w:bodyDiv w:val="1"/>
      <w:marLeft w:val="0"/>
      <w:marRight w:val="0"/>
      <w:marTop w:val="0"/>
      <w:marBottom w:val="0"/>
      <w:divBdr>
        <w:top w:val="none" w:sz="0" w:space="0" w:color="auto"/>
        <w:left w:val="none" w:sz="0" w:space="0" w:color="auto"/>
        <w:bottom w:val="none" w:sz="0" w:space="0" w:color="auto"/>
        <w:right w:val="none" w:sz="0" w:space="0" w:color="auto"/>
      </w:divBdr>
    </w:div>
    <w:div w:id="439952982">
      <w:bodyDiv w:val="1"/>
      <w:marLeft w:val="0"/>
      <w:marRight w:val="0"/>
      <w:marTop w:val="0"/>
      <w:marBottom w:val="0"/>
      <w:divBdr>
        <w:top w:val="none" w:sz="0" w:space="0" w:color="auto"/>
        <w:left w:val="none" w:sz="0" w:space="0" w:color="auto"/>
        <w:bottom w:val="none" w:sz="0" w:space="0" w:color="auto"/>
        <w:right w:val="none" w:sz="0" w:space="0" w:color="auto"/>
      </w:divBdr>
    </w:div>
    <w:div w:id="445778068">
      <w:bodyDiv w:val="1"/>
      <w:marLeft w:val="0"/>
      <w:marRight w:val="0"/>
      <w:marTop w:val="0"/>
      <w:marBottom w:val="0"/>
      <w:divBdr>
        <w:top w:val="none" w:sz="0" w:space="0" w:color="auto"/>
        <w:left w:val="none" w:sz="0" w:space="0" w:color="auto"/>
        <w:bottom w:val="none" w:sz="0" w:space="0" w:color="auto"/>
        <w:right w:val="none" w:sz="0" w:space="0" w:color="auto"/>
      </w:divBdr>
    </w:div>
    <w:div w:id="521747246">
      <w:marLeft w:val="0"/>
      <w:marRight w:val="0"/>
      <w:marTop w:val="0"/>
      <w:marBottom w:val="0"/>
      <w:divBdr>
        <w:top w:val="none" w:sz="0" w:space="0" w:color="auto"/>
        <w:left w:val="none" w:sz="0" w:space="0" w:color="auto"/>
        <w:bottom w:val="none" w:sz="0" w:space="0" w:color="auto"/>
        <w:right w:val="none" w:sz="0" w:space="0" w:color="auto"/>
      </w:divBdr>
      <w:divsChild>
        <w:div w:id="2073695778">
          <w:marLeft w:val="0"/>
          <w:marRight w:val="0"/>
          <w:marTop w:val="0"/>
          <w:marBottom w:val="0"/>
          <w:divBdr>
            <w:top w:val="none" w:sz="0" w:space="0" w:color="auto"/>
            <w:left w:val="none" w:sz="0" w:space="0" w:color="auto"/>
            <w:bottom w:val="none" w:sz="0" w:space="0" w:color="auto"/>
            <w:right w:val="none" w:sz="0" w:space="0" w:color="auto"/>
          </w:divBdr>
        </w:div>
      </w:divsChild>
    </w:div>
    <w:div w:id="544146613">
      <w:bodyDiv w:val="1"/>
      <w:marLeft w:val="0"/>
      <w:marRight w:val="0"/>
      <w:marTop w:val="0"/>
      <w:marBottom w:val="0"/>
      <w:divBdr>
        <w:top w:val="none" w:sz="0" w:space="0" w:color="auto"/>
        <w:left w:val="none" w:sz="0" w:space="0" w:color="auto"/>
        <w:bottom w:val="none" w:sz="0" w:space="0" w:color="auto"/>
        <w:right w:val="none" w:sz="0" w:space="0" w:color="auto"/>
      </w:divBdr>
    </w:div>
    <w:div w:id="551037041">
      <w:bodyDiv w:val="1"/>
      <w:marLeft w:val="0"/>
      <w:marRight w:val="0"/>
      <w:marTop w:val="0"/>
      <w:marBottom w:val="0"/>
      <w:divBdr>
        <w:top w:val="none" w:sz="0" w:space="0" w:color="auto"/>
        <w:left w:val="none" w:sz="0" w:space="0" w:color="auto"/>
        <w:bottom w:val="none" w:sz="0" w:space="0" w:color="auto"/>
        <w:right w:val="none" w:sz="0" w:space="0" w:color="auto"/>
      </w:divBdr>
    </w:div>
    <w:div w:id="556164253">
      <w:marLeft w:val="0"/>
      <w:marRight w:val="0"/>
      <w:marTop w:val="0"/>
      <w:marBottom w:val="0"/>
      <w:divBdr>
        <w:top w:val="none" w:sz="0" w:space="0" w:color="auto"/>
        <w:left w:val="none" w:sz="0" w:space="0" w:color="auto"/>
        <w:bottom w:val="none" w:sz="0" w:space="0" w:color="auto"/>
        <w:right w:val="none" w:sz="0" w:space="0" w:color="auto"/>
      </w:divBdr>
      <w:divsChild>
        <w:div w:id="1507095834">
          <w:marLeft w:val="0"/>
          <w:marRight w:val="0"/>
          <w:marTop w:val="0"/>
          <w:marBottom w:val="0"/>
          <w:divBdr>
            <w:top w:val="none" w:sz="0" w:space="0" w:color="auto"/>
            <w:left w:val="none" w:sz="0" w:space="0" w:color="auto"/>
            <w:bottom w:val="none" w:sz="0" w:space="0" w:color="auto"/>
            <w:right w:val="none" w:sz="0" w:space="0" w:color="auto"/>
          </w:divBdr>
        </w:div>
      </w:divsChild>
    </w:div>
    <w:div w:id="556361537">
      <w:marLeft w:val="0"/>
      <w:marRight w:val="0"/>
      <w:marTop w:val="0"/>
      <w:marBottom w:val="0"/>
      <w:divBdr>
        <w:top w:val="none" w:sz="0" w:space="0" w:color="auto"/>
        <w:left w:val="none" w:sz="0" w:space="0" w:color="auto"/>
        <w:bottom w:val="none" w:sz="0" w:space="0" w:color="auto"/>
        <w:right w:val="none" w:sz="0" w:space="0" w:color="auto"/>
      </w:divBdr>
      <w:divsChild>
        <w:div w:id="1205096464">
          <w:marLeft w:val="0"/>
          <w:marRight w:val="0"/>
          <w:marTop w:val="0"/>
          <w:marBottom w:val="0"/>
          <w:divBdr>
            <w:top w:val="none" w:sz="0" w:space="0" w:color="auto"/>
            <w:left w:val="none" w:sz="0" w:space="0" w:color="auto"/>
            <w:bottom w:val="none" w:sz="0" w:space="0" w:color="auto"/>
            <w:right w:val="none" w:sz="0" w:space="0" w:color="auto"/>
          </w:divBdr>
        </w:div>
      </w:divsChild>
    </w:div>
    <w:div w:id="566767925">
      <w:bodyDiv w:val="1"/>
      <w:marLeft w:val="0"/>
      <w:marRight w:val="0"/>
      <w:marTop w:val="0"/>
      <w:marBottom w:val="0"/>
      <w:divBdr>
        <w:top w:val="none" w:sz="0" w:space="0" w:color="auto"/>
        <w:left w:val="none" w:sz="0" w:space="0" w:color="auto"/>
        <w:bottom w:val="none" w:sz="0" w:space="0" w:color="auto"/>
        <w:right w:val="none" w:sz="0" w:space="0" w:color="auto"/>
      </w:divBdr>
    </w:div>
    <w:div w:id="600797495">
      <w:bodyDiv w:val="1"/>
      <w:marLeft w:val="0"/>
      <w:marRight w:val="0"/>
      <w:marTop w:val="0"/>
      <w:marBottom w:val="0"/>
      <w:divBdr>
        <w:top w:val="none" w:sz="0" w:space="0" w:color="auto"/>
        <w:left w:val="none" w:sz="0" w:space="0" w:color="auto"/>
        <w:bottom w:val="none" w:sz="0" w:space="0" w:color="auto"/>
        <w:right w:val="none" w:sz="0" w:space="0" w:color="auto"/>
      </w:divBdr>
    </w:div>
    <w:div w:id="608243764">
      <w:bodyDiv w:val="1"/>
      <w:marLeft w:val="0"/>
      <w:marRight w:val="0"/>
      <w:marTop w:val="0"/>
      <w:marBottom w:val="0"/>
      <w:divBdr>
        <w:top w:val="none" w:sz="0" w:space="0" w:color="auto"/>
        <w:left w:val="none" w:sz="0" w:space="0" w:color="auto"/>
        <w:bottom w:val="none" w:sz="0" w:space="0" w:color="auto"/>
        <w:right w:val="none" w:sz="0" w:space="0" w:color="auto"/>
      </w:divBdr>
    </w:div>
    <w:div w:id="615331853">
      <w:bodyDiv w:val="1"/>
      <w:marLeft w:val="0"/>
      <w:marRight w:val="0"/>
      <w:marTop w:val="0"/>
      <w:marBottom w:val="0"/>
      <w:divBdr>
        <w:top w:val="none" w:sz="0" w:space="0" w:color="auto"/>
        <w:left w:val="none" w:sz="0" w:space="0" w:color="auto"/>
        <w:bottom w:val="none" w:sz="0" w:space="0" w:color="auto"/>
        <w:right w:val="none" w:sz="0" w:space="0" w:color="auto"/>
      </w:divBdr>
    </w:div>
    <w:div w:id="704020346">
      <w:bodyDiv w:val="1"/>
      <w:marLeft w:val="0"/>
      <w:marRight w:val="0"/>
      <w:marTop w:val="0"/>
      <w:marBottom w:val="0"/>
      <w:divBdr>
        <w:top w:val="none" w:sz="0" w:space="0" w:color="auto"/>
        <w:left w:val="none" w:sz="0" w:space="0" w:color="auto"/>
        <w:bottom w:val="none" w:sz="0" w:space="0" w:color="auto"/>
        <w:right w:val="none" w:sz="0" w:space="0" w:color="auto"/>
      </w:divBdr>
    </w:div>
    <w:div w:id="766197728">
      <w:bodyDiv w:val="1"/>
      <w:marLeft w:val="0"/>
      <w:marRight w:val="0"/>
      <w:marTop w:val="0"/>
      <w:marBottom w:val="0"/>
      <w:divBdr>
        <w:top w:val="none" w:sz="0" w:space="0" w:color="auto"/>
        <w:left w:val="none" w:sz="0" w:space="0" w:color="auto"/>
        <w:bottom w:val="none" w:sz="0" w:space="0" w:color="auto"/>
        <w:right w:val="none" w:sz="0" w:space="0" w:color="auto"/>
      </w:divBdr>
    </w:div>
    <w:div w:id="811752674">
      <w:marLeft w:val="0"/>
      <w:marRight w:val="0"/>
      <w:marTop w:val="0"/>
      <w:marBottom w:val="0"/>
      <w:divBdr>
        <w:top w:val="none" w:sz="0" w:space="0" w:color="auto"/>
        <w:left w:val="none" w:sz="0" w:space="0" w:color="auto"/>
        <w:bottom w:val="none" w:sz="0" w:space="0" w:color="auto"/>
        <w:right w:val="none" w:sz="0" w:space="0" w:color="auto"/>
      </w:divBdr>
      <w:divsChild>
        <w:div w:id="1975988419">
          <w:marLeft w:val="0"/>
          <w:marRight w:val="0"/>
          <w:marTop w:val="0"/>
          <w:marBottom w:val="0"/>
          <w:divBdr>
            <w:top w:val="none" w:sz="0" w:space="0" w:color="auto"/>
            <w:left w:val="none" w:sz="0" w:space="0" w:color="auto"/>
            <w:bottom w:val="none" w:sz="0" w:space="0" w:color="auto"/>
            <w:right w:val="none" w:sz="0" w:space="0" w:color="auto"/>
          </w:divBdr>
        </w:div>
      </w:divsChild>
    </w:div>
    <w:div w:id="822043081">
      <w:bodyDiv w:val="1"/>
      <w:marLeft w:val="0"/>
      <w:marRight w:val="0"/>
      <w:marTop w:val="0"/>
      <w:marBottom w:val="0"/>
      <w:divBdr>
        <w:top w:val="none" w:sz="0" w:space="0" w:color="auto"/>
        <w:left w:val="none" w:sz="0" w:space="0" w:color="auto"/>
        <w:bottom w:val="none" w:sz="0" w:space="0" w:color="auto"/>
        <w:right w:val="none" w:sz="0" w:space="0" w:color="auto"/>
      </w:divBdr>
    </w:div>
    <w:div w:id="874005774">
      <w:bodyDiv w:val="1"/>
      <w:marLeft w:val="0"/>
      <w:marRight w:val="0"/>
      <w:marTop w:val="0"/>
      <w:marBottom w:val="0"/>
      <w:divBdr>
        <w:top w:val="none" w:sz="0" w:space="0" w:color="auto"/>
        <w:left w:val="none" w:sz="0" w:space="0" w:color="auto"/>
        <w:bottom w:val="none" w:sz="0" w:space="0" w:color="auto"/>
        <w:right w:val="none" w:sz="0" w:space="0" w:color="auto"/>
      </w:divBdr>
    </w:div>
    <w:div w:id="874733511">
      <w:marLeft w:val="0"/>
      <w:marRight w:val="0"/>
      <w:marTop w:val="0"/>
      <w:marBottom w:val="0"/>
      <w:divBdr>
        <w:top w:val="none" w:sz="0" w:space="0" w:color="auto"/>
        <w:left w:val="none" w:sz="0" w:space="0" w:color="auto"/>
        <w:bottom w:val="none" w:sz="0" w:space="0" w:color="auto"/>
        <w:right w:val="none" w:sz="0" w:space="0" w:color="auto"/>
      </w:divBdr>
      <w:divsChild>
        <w:div w:id="571933280">
          <w:marLeft w:val="0"/>
          <w:marRight w:val="0"/>
          <w:marTop w:val="0"/>
          <w:marBottom w:val="0"/>
          <w:divBdr>
            <w:top w:val="none" w:sz="0" w:space="0" w:color="auto"/>
            <w:left w:val="none" w:sz="0" w:space="0" w:color="auto"/>
            <w:bottom w:val="none" w:sz="0" w:space="0" w:color="auto"/>
            <w:right w:val="none" w:sz="0" w:space="0" w:color="auto"/>
          </w:divBdr>
        </w:div>
      </w:divsChild>
    </w:div>
    <w:div w:id="893933984">
      <w:bodyDiv w:val="1"/>
      <w:marLeft w:val="0"/>
      <w:marRight w:val="0"/>
      <w:marTop w:val="0"/>
      <w:marBottom w:val="0"/>
      <w:divBdr>
        <w:top w:val="none" w:sz="0" w:space="0" w:color="auto"/>
        <w:left w:val="none" w:sz="0" w:space="0" w:color="auto"/>
        <w:bottom w:val="none" w:sz="0" w:space="0" w:color="auto"/>
        <w:right w:val="none" w:sz="0" w:space="0" w:color="auto"/>
      </w:divBdr>
    </w:div>
    <w:div w:id="918751932">
      <w:marLeft w:val="0"/>
      <w:marRight w:val="0"/>
      <w:marTop w:val="0"/>
      <w:marBottom w:val="0"/>
      <w:divBdr>
        <w:top w:val="none" w:sz="0" w:space="0" w:color="auto"/>
        <w:left w:val="none" w:sz="0" w:space="0" w:color="auto"/>
        <w:bottom w:val="none" w:sz="0" w:space="0" w:color="auto"/>
        <w:right w:val="none" w:sz="0" w:space="0" w:color="auto"/>
      </w:divBdr>
      <w:divsChild>
        <w:div w:id="1672023382">
          <w:marLeft w:val="0"/>
          <w:marRight w:val="0"/>
          <w:marTop w:val="0"/>
          <w:marBottom w:val="0"/>
          <w:divBdr>
            <w:top w:val="none" w:sz="0" w:space="0" w:color="auto"/>
            <w:left w:val="none" w:sz="0" w:space="0" w:color="auto"/>
            <w:bottom w:val="none" w:sz="0" w:space="0" w:color="auto"/>
            <w:right w:val="none" w:sz="0" w:space="0" w:color="auto"/>
          </w:divBdr>
        </w:div>
      </w:divsChild>
    </w:div>
    <w:div w:id="936521166">
      <w:bodyDiv w:val="1"/>
      <w:marLeft w:val="0"/>
      <w:marRight w:val="0"/>
      <w:marTop w:val="0"/>
      <w:marBottom w:val="0"/>
      <w:divBdr>
        <w:top w:val="none" w:sz="0" w:space="0" w:color="auto"/>
        <w:left w:val="none" w:sz="0" w:space="0" w:color="auto"/>
        <w:bottom w:val="none" w:sz="0" w:space="0" w:color="auto"/>
        <w:right w:val="none" w:sz="0" w:space="0" w:color="auto"/>
      </w:divBdr>
    </w:div>
    <w:div w:id="951129034">
      <w:bodyDiv w:val="1"/>
      <w:marLeft w:val="0"/>
      <w:marRight w:val="0"/>
      <w:marTop w:val="0"/>
      <w:marBottom w:val="0"/>
      <w:divBdr>
        <w:top w:val="none" w:sz="0" w:space="0" w:color="auto"/>
        <w:left w:val="none" w:sz="0" w:space="0" w:color="auto"/>
        <w:bottom w:val="none" w:sz="0" w:space="0" w:color="auto"/>
        <w:right w:val="none" w:sz="0" w:space="0" w:color="auto"/>
      </w:divBdr>
    </w:div>
    <w:div w:id="953053821">
      <w:marLeft w:val="0"/>
      <w:marRight w:val="0"/>
      <w:marTop w:val="0"/>
      <w:marBottom w:val="0"/>
      <w:divBdr>
        <w:top w:val="none" w:sz="0" w:space="0" w:color="auto"/>
        <w:left w:val="none" w:sz="0" w:space="0" w:color="auto"/>
        <w:bottom w:val="none" w:sz="0" w:space="0" w:color="auto"/>
        <w:right w:val="none" w:sz="0" w:space="0" w:color="auto"/>
      </w:divBdr>
      <w:divsChild>
        <w:div w:id="1107651499">
          <w:marLeft w:val="0"/>
          <w:marRight w:val="0"/>
          <w:marTop w:val="0"/>
          <w:marBottom w:val="0"/>
          <w:divBdr>
            <w:top w:val="none" w:sz="0" w:space="0" w:color="auto"/>
            <w:left w:val="none" w:sz="0" w:space="0" w:color="auto"/>
            <w:bottom w:val="none" w:sz="0" w:space="0" w:color="auto"/>
            <w:right w:val="none" w:sz="0" w:space="0" w:color="auto"/>
          </w:divBdr>
        </w:div>
      </w:divsChild>
    </w:div>
    <w:div w:id="957024075">
      <w:marLeft w:val="0"/>
      <w:marRight w:val="0"/>
      <w:marTop w:val="0"/>
      <w:marBottom w:val="0"/>
      <w:divBdr>
        <w:top w:val="none" w:sz="0" w:space="0" w:color="auto"/>
        <w:left w:val="none" w:sz="0" w:space="0" w:color="auto"/>
        <w:bottom w:val="none" w:sz="0" w:space="0" w:color="auto"/>
        <w:right w:val="none" w:sz="0" w:space="0" w:color="auto"/>
      </w:divBdr>
    </w:div>
    <w:div w:id="957024076">
      <w:marLeft w:val="0"/>
      <w:marRight w:val="0"/>
      <w:marTop w:val="0"/>
      <w:marBottom w:val="0"/>
      <w:divBdr>
        <w:top w:val="none" w:sz="0" w:space="0" w:color="auto"/>
        <w:left w:val="none" w:sz="0" w:space="0" w:color="auto"/>
        <w:bottom w:val="none" w:sz="0" w:space="0" w:color="auto"/>
        <w:right w:val="none" w:sz="0" w:space="0" w:color="auto"/>
      </w:divBdr>
    </w:div>
    <w:div w:id="957024077">
      <w:marLeft w:val="0"/>
      <w:marRight w:val="0"/>
      <w:marTop w:val="0"/>
      <w:marBottom w:val="0"/>
      <w:divBdr>
        <w:top w:val="none" w:sz="0" w:space="0" w:color="auto"/>
        <w:left w:val="none" w:sz="0" w:space="0" w:color="auto"/>
        <w:bottom w:val="none" w:sz="0" w:space="0" w:color="auto"/>
        <w:right w:val="none" w:sz="0" w:space="0" w:color="auto"/>
      </w:divBdr>
    </w:div>
    <w:div w:id="957024078">
      <w:marLeft w:val="0"/>
      <w:marRight w:val="0"/>
      <w:marTop w:val="0"/>
      <w:marBottom w:val="0"/>
      <w:divBdr>
        <w:top w:val="none" w:sz="0" w:space="0" w:color="auto"/>
        <w:left w:val="none" w:sz="0" w:space="0" w:color="auto"/>
        <w:bottom w:val="none" w:sz="0" w:space="0" w:color="auto"/>
        <w:right w:val="none" w:sz="0" w:space="0" w:color="auto"/>
      </w:divBdr>
    </w:div>
    <w:div w:id="957024079">
      <w:marLeft w:val="0"/>
      <w:marRight w:val="0"/>
      <w:marTop w:val="0"/>
      <w:marBottom w:val="0"/>
      <w:divBdr>
        <w:top w:val="none" w:sz="0" w:space="0" w:color="auto"/>
        <w:left w:val="none" w:sz="0" w:space="0" w:color="auto"/>
        <w:bottom w:val="none" w:sz="0" w:space="0" w:color="auto"/>
        <w:right w:val="none" w:sz="0" w:space="0" w:color="auto"/>
      </w:divBdr>
    </w:div>
    <w:div w:id="957024080">
      <w:marLeft w:val="0"/>
      <w:marRight w:val="0"/>
      <w:marTop w:val="0"/>
      <w:marBottom w:val="0"/>
      <w:divBdr>
        <w:top w:val="none" w:sz="0" w:space="0" w:color="auto"/>
        <w:left w:val="none" w:sz="0" w:space="0" w:color="auto"/>
        <w:bottom w:val="none" w:sz="0" w:space="0" w:color="auto"/>
        <w:right w:val="none" w:sz="0" w:space="0" w:color="auto"/>
      </w:divBdr>
    </w:div>
    <w:div w:id="957024081">
      <w:marLeft w:val="0"/>
      <w:marRight w:val="0"/>
      <w:marTop w:val="0"/>
      <w:marBottom w:val="0"/>
      <w:divBdr>
        <w:top w:val="none" w:sz="0" w:space="0" w:color="auto"/>
        <w:left w:val="none" w:sz="0" w:space="0" w:color="auto"/>
        <w:bottom w:val="none" w:sz="0" w:space="0" w:color="auto"/>
        <w:right w:val="none" w:sz="0" w:space="0" w:color="auto"/>
      </w:divBdr>
    </w:div>
    <w:div w:id="957024082">
      <w:marLeft w:val="0"/>
      <w:marRight w:val="0"/>
      <w:marTop w:val="0"/>
      <w:marBottom w:val="0"/>
      <w:divBdr>
        <w:top w:val="none" w:sz="0" w:space="0" w:color="auto"/>
        <w:left w:val="none" w:sz="0" w:space="0" w:color="auto"/>
        <w:bottom w:val="none" w:sz="0" w:space="0" w:color="auto"/>
        <w:right w:val="none" w:sz="0" w:space="0" w:color="auto"/>
      </w:divBdr>
    </w:div>
    <w:div w:id="957024083">
      <w:marLeft w:val="0"/>
      <w:marRight w:val="0"/>
      <w:marTop w:val="0"/>
      <w:marBottom w:val="0"/>
      <w:divBdr>
        <w:top w:val="none" w:sz="0" w:space="0" w:color="auto"/>
        <w:left w:val="none" w:sz="0" w:space="0" w:color="auto"/>
        <w:bottom w:val="none" w:sz="0" w:space="0" w:color="auto"/>
        <w:right w:val="none" w:sz="0" w:space="0" w:color="auto"/>
      </w:divBdr>
    </w:div>
    <w:div w:id="957024084">
      <w:marLeft w:val="0"/>
      <w:marRight w:val="0"/>
      <w:marTop w:val="0"/>
      <w:marBottom w:val="0"/>
      <w:divBdr>
        <w:top w:val="none" w:sz="0" w:space="0" w:color="auto"/>
        <w:left w:val="none" w:sz="0" w:space="0" w:color="auto"/>
        <w:bottom w:val="none" w:sz="0" w:space="0" w:color="auto"/>
        <w:right w:val="none" w:sz="0" w:space="0" w:color="auto"/>
      </w:divBdr>
    </w:div>
    <w:div w:id="957024085">
      <w:marLeft w:val="0"/>
      <w:marRight w:val="0"/>
      <w:marTop w:val="0"/>
      <w:marBottom w:val="0"/>
      <w:divBdr>
        <w:top w:val="none" w:sz="0" w:space="0" w:color="auto"/>
        <w:left w:val="none" w:sz="0" w:space="0" w:color="auto"/>
        <w:bottom w:val="none" w:sz="0" w:space="0" w:color="auto"/>
        <w:right w:val="none" w:sz="0" w:space="0" w:color="auto"/>
      </w:divBdr>
    </w:div>
    <w:div w:id="957024086">
      <w:marLeft w:val="0"/>
      <w:marRight w:val="0"/>
      <w:marTop w:val="0"/>
      <w:marBottom w:val="0"/>
      <w:divBdr>
        <w:top w:val="none" w:sz="0" w:space="0" w:color="auto"/>
        <w:left w:val="none" w:sz="0" w:space="0" w:color="auto"/>
        <w:bottom w:val="none" w:sz="0" w:space="0" w:color="auto"/>
        <w:right w:val="none" w:sz="0" w:space="0" w:color="auto"/>
      </w:divBdr>
    </w:div>
    <w:div w:id="957024087">
      <w:marLeft w:val="0"/>
      <w:marRight w:val="0"/>
      <w:marTop w:val="0"/>
      <w:marBottom w:val="0"/>
      <w:divBdr>
        <w:top w:val="none" w:sz="0" w:space="0" w:color="auto"/>
        <w:left w:val="none" w:sz="0" w:space="0" w:color="auto"/>
        <w:bottom w:val="none" w:sz="0" w:space="0" w:color="auto"/>
        <w:right w:val="none" w:sz="0" w:space="0" w:color="auto"/>
      </w:divBdr>
    </w:div>
    <w:div w:id="957024088">
      <w:marLeft w:val="0"/>
      <w:marRight w:val="0"/>
      <w:marTop w:val="0"/>
      <w:marBottom w:val="0"/>
      <w:divBdr>
        <w:top w:val="none" w:sz="0" w:space="0" w:color="auto"/>
        <w:left w:val="none" w:sz="0" w:space="0" w:color="auto"/>
        <w:bottom w:val="none" w:sz="0" w:space="0" w:color="auto"/>
        <w:right w:val="none" w:sz="0" w:space="0" w:color="auto"/>
      </w:divBdr>
    </w:div>
    <w:div w:id="957024089">
      <w:marLeft w:val="0"/>
      <w:marRight w:val="0"/>
      <w:marTop w:val="0"/>
      <w:marBottom w:val="0"/>
      <w:divBdr>
        <w:top w:val="none" w:sz="0" w:space="0" w:color="auto"/>
        <w:left w:val="none" w:sz="0" w:space="0" w:color="auto"/>
        <w:bottom w:val="none" w:sz="0" w:space="0" w:color="auto"/>
        <w:right w:val="none" w:sz="0" w:space="0" w:color="auto"/>
      </w:divBdr>
    </w:div>
    <w:div w:id="958532898">
      <w:bodyDiv w:val="1"/>
      <w:marLeft w:val="0"/>
      <w:marRight w:val="0"/>
      <w:marTop w:val="0"/>
      <w:marBottom w:val="0"/>
      <w:divBdr>
        <w:top w:val="none" w:sz="0" w:space="0" w:color="auto"/>
        <w:left w:val="none" w:sz="0" w:space="0" w:color="auto"/>
        <w:bottom w:val="none" w:sz="0" w:space="0" w:color="auto"/>
        <w:right w:val="none" w:sz="0" w:space="0" w:color="auto"/>
      </w:divBdr>
    </w:div>
    <w:div w:id="987706221">
      <w:marLeft w:val="0"/>
      <w:marRight w:val="0"/>
      <w:marTop w:val="0"/>
      <w:marBottom w:val="0"/>
      <w:divBdr>
        <w:top w:val="none" w:sz="0" w:space="0" w:color="auto"/>
        <w:left w:val="none" w:sz="0" w:space="0" w:color="auto"/>
        <w:bottom w:val="none" w:sz="0" w:space="0" w:color="auto"/>
        <w:right w:val="none" w:sz="0" w:space="0" w:color="auto"/>
      </w:divBdr>
      <w:divsChild>
        <w:div w:id="2004624968">
          <w:marLeft w:val="0"/>
          <w:marRight w:val="0"/>
          <w:marTop w:val="0"/>
          <w:marBottom w:val="0"/>
          <w:divBdr>
            <w:top w:val="none" w:sz="0" w:space="0" w:color="auto"/>
            <w:left w:val="none" w:sz="0" w:space="0" w:color="auto"/>
            <w:bottom w:val="none" w:sz="0" w:space="0" w:color="auto"/>
            <w:right w:val="none" w:sz="0" w:space="0" w:color="auto"/>
          </w:divBdr>
        </w:div>
      </w:divsChild>
    </w:div>
    <w:div w:id="1007824830">
      <w:marLeft w:val="0"/>
      <w:marRight w:val="0"/>
      <w:marTop w:val="0"/>
      <w:marBottom w:val="0"/>
      <w:divBdr>
        <w:top w:val="none" w:sz="0" w:space="0" w:color="auto"/>
        <w:left w:val="none" w:sz="0" w:space="0" w:color="auto"/>
        <w:bottom w:val="none" w:sz="0" w:space="0" w:color="auto"/>
        <w:right w:val="none" w:sz="0" w:space="0" w:color="auto"/>
      </w:divBdr>
      <w:divsChild>
        <w:div w:id="2143226198">
          <w:marLeft w:val="0"/>
          <w:marRight w:val="0"/>
          <w:marTop w:val="0"/>
          <w:marBottom w:val="0"/>
          <w:divBdr>
            <w:top w:val="none" w:sz="0" w:space="0" w:color="auto"/>
            <w:left w:val="none" w:sz="0" w:space="0" w:color="auto"/>
            <w:bottom w:val="none" w:sz="0" w:space="0" w:color="auto"/>
            <w:right w:val="none" w:sz="0" w:space="0" w:color="auto"/>
          </w:divBdr>
        </w:div>
      </w:divsChild>
    </w:div>
    <w:div w:id="1064794734">
      <w:marLeft w:val="0"/>
      <w:marRight w:val="0"/>
      <w:marTop w:val="0"/>
      <w:marBottom w:val="0"/>
      <w:divBdr>
        <w:top w:val="none" w:sz="0" w:space="0" w:color="auto"/>
        <w:left w:val="none" w:sz="0" w:space="0" w:color="auto"/>
        <w:bottom w:val="none" w:sz="0" w:space="0" w:color="auto"/>
        <w:right w:val="none" w:sz="0" w:space="0" w:color="auto"/>
      </w:divBdr>
      <w:divsChild>
        <w:div w:id="1340933315">
          <w:marLeft w:val="0"/>
          <w:marRight w:val="0"/>
          <w:marTop w:val="0"/>
          <w:marBottom w:val="0"/>
          <w:divBdr>
            <w:top w:val="none" w:sz="0" w:space="0" w:color="auto"/>
            <w:left w:val="none" w:sz="0" w:space="0" w:color="auto"/>
            <w:bottom w:val="none" w:sz="0" w:space="0" w:color="auto"/>
            <w:right w:val="none" w:sz="0" w:space="0" w:color="auto"/>
          </w:divBdr>
        </w:div>
      </w:divsChild>
    </w:div>
    <w:div w:id="1083069953">
      <w:bodyDiv w:val="1"/>
      <w:marLeft w:val="0"/>
      <w:marRight w:val="0"/>
      <w:marTop w:val="0"/>
      <w:marBottom w:val="0"/>
      <w:divBdr>
        <w:top w:val="none" w:sz="0" w:space="0" w:color="auto"/>
        <w:left w:val="none" w:sz="0" w:space="0" w:color="auto"/>
        <w:bottom w:val="none" w:sz="0" w:space="0" w:color="auto"/>
        <w:right w:val="none" w:sz="0" w:space="0" w:color="auto"/>
      </w:divBdr>
    </w:div>
    <w:div w:id="1105006543">
      <w:marLeft w:val="0"/>
      <w:marRight w:val="0"/>
      <w:marTop w:val="0"/>
      <w:marBottom w:val="0"/>
      <w:divBdr>
        <w:top w:val="none" w:sz="0" w:space="0" w:color="auto"/>
        <w:left w:val="none" w:sz="0" w:space="0" w:color="auto"/>
        <w:bottom w:val="none" w:sz="0" w:space="0" w:color="auto"/>
        <w:right w:val="none" w:sz="0" w:space="0" w:color="auto"/>
      </w:divBdr>
      <w:divsChild>
        <w:div w:id="1664697857">
          <w:marLeft w:val="0"/>
          <w:marRight w:val="0"/>
          <w:marTop w:val="0"/>
          <w:marBottom w:val="0"/>
          <w:divBdr>
            <w:top w:val="none" w:sz="0" w:space="0" w:color="auto"/>
            <w:left w:val="none" w:sz="0" w:space="0" w:color="auto"/>
            <w:bottom w:val="none" w:sz="0" w:space="0" w:color="auto"/>
            <w:right w:val="none" w:sz="0" w:space="0" w:color="auto"/>
          </w:divBdr>
        </w:div>
      </w:divsChild>
    </w:div>
    <w:div w:id="1116679786">
      <w:bodyDiv w:val="1"/>
      <w:marLeft w:val="0"/>
      <w:marRight w:val="0"/>
      <w:marTop w:val="0"/>
      <w:marBottom w:val="0"/>
      <w:divBdr>
        <w:top w:val="none" w:sz="0" w:space="0" w:color="auto"/>
        <w:left w:val="none" w:sz="0" w:space="0" w:color="auto"/>
        <w:bottom w:val="none" w:sz="0" w:space="0" w:color="auto"/>
        <w:right w:val="none" w:sz="0" w:space="0" w:color="auto"/>
      </w:divBdr>
    </w:div>
    <w:div w:id="1129711288">
      <w:bodyDiv w:val="1"/>
      <w:marLeft w:val="0"/>
      <w:marRight w:val="0"/>
      <w:marTop w:val="0"/>
      <w:marBottom w:val="0"/>
      <w:divBdr>
        <w:top w:val="none" w:sz="0" w:space="0" w:color="auto"/>
        <w:left w:val="none" w:sz="0" w:space="0" w:color="auto"/>
        <w:bottom w:val="none" w:sz="0" w:space="0" w:color="auto"/>
        <w:right w:val="none" w:sz="0" w:space="0" w:color="auto"/>
      </w:divBdr>
    </w:div>
    <w:div w:id="1139150265">
      <w:bodyDiv w:val="1"/>
      <w:marLeft w:val="0"/>
      <w:marRight w:val="0"/>
      <w:marTop w:val="0"/>
      <w:marBottom w:val="0"/>
      <w:divBdr>
        <w:top w:val="none" w:sz="0" w:space="0" w:color="auto"/>
        <w:left w:val="none" w:sz="0" w:space="0" w:color="auto"/>
        <w:bottom w:val="none" w:sz="0" w:space="0" w:color="auto"/>
        <w:right w:val="none" w:sz="0" w:space="0" w:color="auto"/>
      </w:divBdr>
    </w:div>
    <w:div w:id="1157301297">
      <w:marLeft w:val="0"/>
      <w:marRight w:val="0"/>
      <w:marTop w:val="0"/>
      <w:marBottom w:val="0"/>
      <w:divBdr>
        <w:top w:val="none" w:sz="0" w:space="0" w:color="auto"/>
        <w:left w:val="none" w:sz="0" w:space="0" w:color="auto"/>
        <w:bottom w:val="none" w:sz="0" w:space="0" w:color="auto"/>
        <w:right w:val="none" w:sz="0" w:space="0" w:color="auto"/>
      </w:divBdr>
      <w:divsChild>
        <w:div w:id="1574271730">
          <w:marLeft w:val="0"/>
          <w:marRight w:val="0"/>
          <w:marTop w:val="0"/>
          <w:marBottom w:val="0"/>
          <w:divBdr>
            <w:top w:val="none" w:sz="0" w:space="0" w:color="auto"/>
            <w:left w:val="none" w:sz="0" w:space="0" w:color="auto"/>
            <w:bottom w:val="none" w:sz="0" w:space="0" w:color="auto"/>
            <w:right w:val="none" w:sz="0" w:space="0" w:color="auto"/>
          </w:divBdr>
        </w:div>
      </w:divsChild>
    </w:div>
    <w:div w:id="1243642803">
      <w:marLeft w:val="0"/>
      <w:marRight w:val="0"/>
      <w:marTop w:val="0"/>
      <w:marBottom w:val="0"/>
      <w:divBdr>
        <w:top w:val="none" w:sz="0" w:space="0" w:color="auto"/>
        <w:left w:val="none" w:sz="0" w:space="0" w:color="auto"/>
        <w:bottom w:val="none" w:sz="0" w:space="0" w:color="auto"/>
        <w:right w:val="none" w:sz="0" w:space="0" w:color="auto"/>
      </w:divBdr>
      <w:divsChild>
        <w:div w:id="1889419070">
          <w:marLeft w:val="0"/>
          <w:marRight w:val="0"/>
          <w:marTop w:val="0"/>
          <w:marBottom w:val="0"/>
          <w:divBdr>
            <w:top w:val="none" w:sz="0" w:space="0" w:color="auto"/>
            <w:left w:val="none" w:sz="0" w:space="0" w:color="auto"/>
            <w:bottom w:val="none" w:sz="0" w:space="0" w:color="auto"/>
            <w:right w:val="none" w:sz="0" w:space="0" w:color="auto"/>
          </w:divBdr>
        </w:div>
      </w:divsChild>
    </w:div>
    <w:div w:id="1262110590">
      <w:bodyDiv w:val="1"/>
      <w:marLeft w:val="0"/>
      <w:marRight w:val="0"/>
      <w:marTop w:val="0"/>
      <w:marBottom w:val="0"/>
      <w:divBdr>
        <w:top w:val="none" w:sz="0" w:space="0" w:color="auto"/>
        <w:left w:val="none" w:sz="0" w:space="0" w:color="auto"/>
        <w:bottom w:val="none" w:sz="0" w:space="0" w:color="auto"/>
        <w:right w:val="none" w:sz="0" w:space="0" w:color="auto"/>
      </w:divBdr>
    </w:div>
    <w:div w:id="1297181792">
      <w:marLeft w:val="0"/>
      <w:marRight w:val="0"/>
      <w:marTop w:val="0"/>
      <w:marBottom w:val="0"/>
      <w:divBdr>
        <w:top w:val="none" w:sz="0" w:space="0" w:color="auto"/>
        <w:left w:val="none" w:sz="0" w:space="0" w:color="auto"/>
        <w:bottom w:val="none" w:sz="0" w:space="0" w:color="auto"/>
        <w:right w:val="none" w:sz="0" w:space="0" w:color="auto"/>
      </w:divBdr>
      <w:divsChild>
        <w:div w:id="1428424002">
          <w:marLeft w:val="0"/>
          <w:marRight w:val="0"/>
          <w:marTop w:val="0"/>
          <w:marBottom w:val="0"/>
          <w:divBdr>
            <w:top w:val="none" w:sz="0" w:space="0" w:color="auto"/>
            <w:left w:val="none" w:sz="0" w:space="0" w:color="auto"/>
            <w:bottom w:val="none" w:sz="0" w:space="0" w:color="auto"/>
            <w:right w:val="none" w:sz="0" w:space="0" w:color="auto"/>
          </w:divBdr>
        </w:div>
      </w:divsChild>
    </w:div>
    <w:div w:id="1301955164">
      <w:bodyDiv w:val="1"/>
      <w:marLeft w:val="0"/>
      <w:marRight w:val="0"/>
      <w:marTop w:val="0"/>
      <w:marBottom w:val="0"/>
      <w:divBdr>
        <w:top w:val="none" w:sz="0" w:space="0" w:color="auto"/>
        <w:left w:val="none" w:sz="0" w:space="0" w:color="auto"/>
        <w:bottom w:val="none" w:sz="0" w:space="0" w:color="auto"/>
        <w:right w:val="none" w:sz="0" w:space="0" w:color="auto"/>
      </w:divBdr>
    </w:div>
    <w:div w:id="1302619218">
      <w:bodyDiv w:val="1"/>
      <w:marLeft w:val="0"/>
      <w:marRight w:val="0"/>
      <w:marTop w:val="0"/>
      <w:marBottom w:val="0"/>
      <w:divBdr>
        <w:top w:val="none" w:sz="0" w:space="0" w:color="auto"/>
        <w:left w:val="none" w:sz="0" w:space="0" w:color="auto"/>
        <w:bottom w:val="none" w:sz="0" w:space="0" w:color="auto"/>
        <w:right w:val="none" w:sz="0" w:space="0" w:color="auto"/>
      </w:divBdr>
    </w:div>
    <w:div w:id="1420371564">
      <w:marLeft w:val="0"/>
      <w:marRight w:val="0"/>
      <w:marTop w:val="0"/>
      <w:marBottom w:val="0"/>
      <w:divBdr>
        <w:top w:val="none" w:sz="0" w:space="0" w:color="auto"/>
        <w:left w:val="none" w:sz="0" w:space="0" w:color="auto"/>
        <w:bottom w:val="none" w:sz="0" w:space="0" w:color="auto"/>
        <w:right w:val="none" w:sz="0" w:space="0" w:color="auto"/>
      </w:divBdr>
      <w:divsChild>
        <w:div w:id="1353189729">
          <w:marLeft w:val="0"/>
          <w:marRight w:val="0"/>
          <w:marTop w:val="0"/>
          <w:marBottom w:val="0"/>
          <w:divBdr>
            <w:top w:val="none" w:sz="0" w:space="0" w:color="auto"/>
            <w:left w:val="none" w:sz="0" w:space="0" w:color="auto"/>
            <w:bottom w:val="none" w:sz="0" w:space="0" w:color="auto"/>
            <w:right w:val="none" w:sz="0" w:space="0" w:color="auto"/>
          </w:divBdr>
        </w:div>
      </w:divsChild>
    </w:div>
    <w:div w:id="1530875551">
      <w:marLeft w:val="0"/>
      <w:marRight w:val="0"/>
      <w:marTop w:val="0"/>
      <w:marBottom w:val="0"/>
      <w:divBdr>
        <w:top w:val="none" w:sz="0" w:space="0" w:color="auto"/>
        <w:left w:val="none" w:sz="0" w:space="0" w:color="auto"/>
        <w:bottom w:val="none" w:sz="0" w:space="0" w:color="auto"/>
        <w:right w:val="none" w:sz="0" w:space="0" w:color="auto"/>
      </w:divBdr>
      <w:divsChild>
        <w:div w:id="1754887295">
          <w:marLeft w:val="0"/>
          <w:marRight w:val="0"/>
          <w:marTop w:val="0"/>
          <w:marBottom w:val="0"/>
          <w:divBdr>
            <w:top w:val="none" w:sz="0" w:space="0" w:color="auto"/>
            <w:left w:val="none" w:sz="0" w:space="0" w:color="auto"/>
            <w:bottom w:val="none" w:sz="0" w:space="0" w:color="auto"/>
            <w:right w:val="none" w:sz="0" w:space="0" w:color="auto"/>
          </w:divBdr>
        </w:div>
      </w:divsChild>
    </w:div>
    <w:div w:id="1550409867">
      <w:marLeft w:val="0"/>
      <w:marRight w:val="0"/>
      <w:marTop w:val="0"/>
      <w:marBottom w:val="0"/>
      <w:divBdr>
        <w:top w:val="none" w:sz="0" w:space="0" w:color="auto"/>
        <w:left w:val="none" w:sz="0" w:space="0" w:color="auto"/>
        <w:bottom w:val="none" w:sz="0" w:space="0" w:color="auto"/>
        <w:right w:val="none" w:sz="0" w:space="0" w:color="auto"/>
      </w:divBdr>
      <w:divsChild>
        <w:div w:id="1272204919">
          <w:marLeft w:val="0"/>
          <w:marRight w:val="0"/>
          <w:marTop w:val="0"/>
          <w:marBottom w:val="0"/>
          <w:divBdr>
            <w:top w:val="none" w:sz="0" w:space="0" w:color="auto"/>
            <w:left w:val="none" w:sz="0" w:space="0" w:color="auto"/>
            <w:bottom w:val="none" w:sz="0" w:space="0" w:color="auto"/>
            <w:right w:val="none" w:sz="0" w:space="0" w:color="auto"/>
          </w:divBdr>
        </w:div>
      </w:divsChild>
    </w:div>
    <w:div w:id="1552381313">
      <w:bodyDiv w:val="1"/>
      <w:marLeft w:val="0"/>
      <w:marRight w:val="0"/>
      <w:marTop w:val="0"/>
      <w:marBottom w:val="0"/>
      <w:divBdr>
        <w:top w:val="none" w:sz="0" w:space="0" w:color="auto"/>
        <w:left w:val="none" w:sz="0" w:space="0" w:color="auto"/>
        <w:bottom w:val="none" w:sz="0" w:space="0" w:color="auto"/>
        <w:right w:val="none" w:sz="0" w:space="0" w:color="auto"/>
      </w:divBdr>
    </w:div>
    <w:div w:id="1585263470">
      <w:bodyDiv w:val="1"/>
      <w:marLeft w:val="0"/>
      <w:marRight w:val="0"/>
      <w:marTop w:val="0"/>
      <w:marBottom w:val="0"/>
      <w:divBdr>
        <w:top w:val="none" w:sz="0" w:space="0" w:color="auto"/>
        <w:left w:val="none" w:sz="0" w:space="0" w:color="auto"/>
        <w:bottom w:val="none" w:sz="0" w:space="0" w:color="auto"/>
        <w:right w:val="none" w:sz="0" w:space="0" w:color="auto"/>
      </w:divBdr>
    </w:div>
    <w:div w:id="1604797396">
      <w:bodyDiv w:val="1"/>
      <w:marLeft w:val="0"/>
      <w:marRight w:val="0"/>
      <w:marTop w:val="0"/>
      <w:marBottom w:val="0"/>
      <w:divBdr>
        <w:top w:val="none" w:sz="0" w:space="0" w:color="auto"/>
        <w:left w:val="none" w:sz="0" w:space="0" w:color="auto"/>
        <w:bottom w:val="none" w:sz="0" w:space="0" w:color="auto"/>
        <w:right w:val="none" w:sz="0" w:space="0" w:color="auto"/>
      </w:divBdr>
    </w:div>
    <w:div w:id="1609963934">
      <w:marLeft w:val="0"/>
      <w:marRight w:val="0"/>
      <w:marTop w:val="0"/>
      <w:marBottom w:val="0"/>
      <w:divBdr>
        <w:top w:val="none" w:sz="0" w:space="0" w:color="auto"/>
        <w:left w:val="none" w:sz="0" w:space="0" w:color="auto"/>
        <w:bottom w:val="none" w:sz="0" w:space="0" w:color="auto"/>
        <w:right w:val="none" w:sz="0" w:space="0" w:color="auto"/>
      </w:divBdr>
      <w:divsChild>
        <w:div w:id="979767703">
          <w:marLeft w:val="0"/>
          <w:marRight w:val="0"/>
          <w:marTop w:val="0"/>
          <w:marBottom w:val="0"/>
          <w:divBdr>
            <w:top w:val="none" w:sz="0" w:space="0" w:color="auto"/>
            <w:left w:val="none" w:sz="0" w:space="0" w:color="auto"/>
            <w:bottom w:val="none" w:sz="0" w:space="0" w:color="auto"/>
            <w:right w:val="none" w:sz="0" w:space="0" w:color="auto"/>
          </w:divBdr>
        </w:div>
      </w:divsChild>
    </w:div>
    <w:div w:id="1665665379">
      <w:bodyDiv w:val="1"/>
      <w:marLeft w:val="0"/>
      <w:marRight w:val="0"/>
      <w:marTop w:val="0"/>
      <w:marBottom w:val="0"/>
      <w:divBdr>
        <w:top w:val="none" w:sz="0" w:space="0" w:color="auto"/>
        <w:left w:val="none" w:sz="0" w:space="0" w:color="auto"/>
        <w:bottom w:val="none" w:sz="0" w:space="0" w:color="auto"/>
        <w:right w:val="none" w:sz="0" w:space="0" w:color="auto"/>
      </w:divBdr>
    </w:div>
    <w:div w:id="1695109413">
      <w:bodyDiv w:val="1"/>
      <w:marLeft w:val="0"/>
      <w:marRight w:val="0"/>
      <w:marTop w:val="0"/>
      <w:marBottom w:val="0"/>
      <w:divBdr>
        <w:top w:val="none" w:sz="0" w:space="0" w:color="auto"/>
        <w:left w:val="none" w:sz="0" w:space="0" w:color="auto"/>
        <w:bottom w:val="none" w:sz="0" w:space="0" w:color="auto"/>
        <w:right w:val="none" w:sz="0" w:space="0" w:color="auto"/>
      </w:divBdr>
    </w:div>
    <w:div w:id="1739136220">
      <w:marLeft w:val="0"/>
      <w:marRight w:val="0"/>
      <w:marTop w:val="0"/>
      <w:marBottom w:val="0"/>
      <w:divBdr>
        <w:top w:val="none" w:sz="0" w:space="0" w:color="auto"/>
        <w:left w:val="none" w:sz="0" w:space="0" w:color="auto"/>
        <w:bottom w:val="none" w:sz="0" w:space="0" w:color="auto"/>
        <w:right w:val="none" w:sz="0" w:space="0" w:color="auto"/>
      </w:divBdr>
      <w:divsChild>
        <w:div w:id="337729708">
          <w:marLeft w:val="0"/>
          <w:marRight w:val="0"/>
          <w:marTop w:val="0"/>
          <w:marBottom w:val="0"/>
          <w:divBdr>
            <w:top w:val="none" w:sz="0" w:space="0" w:color="auto"/>
            <w:left w:val="none" w:sz="0" w:space="0" w:color="auto"/>
            <w:bottom w:val="none" w:sz="0" w:space="0" w:color="auto"/>
            <w:right w:val="none" w:sz="0" w:space="0" w:color="auto"/>
          </w:divBdr>
        </w:div>
      </w:divsChild>
    </w:div>
    <w:div w:id="1752847436">
      <w:marLeft w:val="0"/>
      <w:marRight w:val="0"/>
      <w:marTop w:val="0"/>
      <w:marBottom w:val="0"/>
      <w:divBdr>
        <w:top w:val="none" w:sz="0" w:space="0" w:color="auto"/>
        <w:left w:val="none" w:sz="0" w:space="0" w:color="auto"/>
        <w:bottom w:val="none" w:sz="0" w:space="0" w:color="auto"/>
        <w:right w:val="none" w:sz="0" w:space="0" w:color="auto"/>
      </w:divBdr>
      <w:divsChild>
        <w:div w:id="1713463025">
          <w:marLeft w:val="0"/>
          <w:marRight w:val="0"/>
          <w:marTop w:val="0"/>
          <w:marBottom w:val="0"/>
          <w:divBdr>
            <w:top w:val="none" w:sz="0" w:space="0" w:color="auto"/>
            <w:left w:val="none" w:sz="0" w:space="0" w:color="auto"/>
            <w:bottom w:val="none" w:sz="0" w:space="0" w:color="auto"/>
            <w:right w:val="none" w:sz="0" w:space="0" w:color="auto"/>
          </w:divBdr>
        </w:div>
      </w:divsChild>
    </w:div>
    <w:div w:id="1799840486">
      <w:bodyDiv w:val="1"/>
      <w:marLeft w:val="0"/>
      <w:marRight w:val="0"/>
      <w:marTop w:val="0"/>
      <w:marBottom w:val="0"/>
      <w:divBdr>
        <w:top w:val="none" w:sz="0" w:space="0" w:color="auto"/>
        <w:left w:val="none" w:sz="0" w:space="0" w:color="auto"/>
        <w:bottom w:val="none" w:sz="0" w:space="0" w:color="auto"/>
        <w:right w:val="none" w:sz="0" w:space="0" w:color="auto"/>
      </w:divBdr>
    </w:div>
    <w:div w:id="1799950952">
      <w:bodyDiv w:val="1"/>
      <w:marLeft w:val="0"/>
      <w:marRight w:val="0"/>
      <w:marTop w:val="0"/>
      <w:marBottom w:val="0"/>
      <w:divBdr>
        <w:top w:val="none" w:sz="0" w:space="0" w:color="auto"/>
        <w:left w:val="none" w:sz="0" w:space="0" w:color="auto"/>
        <w:bottom w:val="none" w:sz="0" w:space="0" w:color="auto"/>
        <w:right w:val="none" w:sz="0" w:space="0" w:color="auto"/>
      </w:divBdr>
    </w:div>
    <w:div w:id="1801070935">
      <w:bodyDiv w:val="1"/>
      <w:marLeft w:val="0"/>
      <w:marRight w:val="0"/>
      <w:marTop w:val="0"/>
      <w:marBottom w:val="0"/>
      <w:divBdr>
        <w:top w:val="none" w:sz="0" w:space="0" w:color="auto"/>
        <w:left w:val="none" w:sz="0" w:space="0" w:color="auto"/>
        <w:bottom w:val="none" w:sz="0" w:space="0" w:color="auto"/>
        <w:right w:val="none" w:sz="0" w:space="0" w:color="auto"/>
      </w:divBdr>
    </w:div>
    <w:div w:id="1819303817">
      <w:bodyDiv w:val="1"/>
      <w:marLeft w:val="0"/>
      <w:marRight w:val="0"/>
      <w:marTop w:val="0"/>
      <w:marBottom w:val="0"/>
      <w:divBdr>
        <w:top w:val="none" w:sz="0" w:space="0" w:color="auto"/>
        <w:left w:val="none" w:sz="0" w:space="0" w:color="auto"/>
        <w:bottom w:val="none" w:sz="0" w:space="0" w:color="auto"/>
        <w:right w:val="none" w:sz="0" w:space="0" w:color="auto"/>
      </w:divBdr>
    </w:div>
    <w:div w:id="1825733363">
      <w:marLeft w:val="0"/>
      <w:marRight w:val="0"/>
      <w:marTop w:val="0"/>
      <w:marBottom w:val="0"/>
      <w:divBdr>
        <w:top w:val="none" w:sz="0" w:space="0" w:color="auto"/>
        <w:left w:val="none" w:sz="0" w:space="0" w:color="auto"/>
        <w:bottom w:val="none" w:sz="0" w:space="0" w:color="auto"/>
        <w:right w:val="none" w:sz="0" w:space="0" w:color="auto"/>
      </w:divBdr>
      <w:divsChild>
        <w:div w:id="872111170">
          <w:marLeft w:val="0"/>
          <w:marRight w:val="0"/>
          <w:marTop w:val="0"/>
          <w:marBottom w:val="0"/>
          <w:divBdr>
            <w:top w:val="none" w:sz="0" w:space="0" w:color="auto"/>
            <w:left w:val="none" w:sz="0" w:space="0" w:color="auto"/>
            <w:bottom w:val="none" w:sz="0" w:space="0" w:color="auto"/>
            <w:right w:val="none" w:sz="0" w:space="0" w:color="auto"/>
          </w:divBdr>
        </w:div>
      </w:divsChild>
    </w:div>
    <w:div w:id="1829322114">
      <w:bodyDiv w:val="1"/>
      <w:marLeft w:val="0"/>
      <w:marRight w:val="0"/>
      <w:marTop w:val="0"/>
      <w:marBottom w:val="0"/>
      <w:divBdr>
        <w:top w:val="none" w:sz="0" w:space="0" w:color="auto"/>
        <w:left w:val="none" w:sz="0" w:space="0" w:color="auto"/>
        <w:bottom w:val="none" w:sz="0" w:space="0" w:color="auto"/>
        <w:right w:val="none" w:sz="0" w:space="0" w:color="auto"/>
      </w:divBdr>
    </w:div>
    <w:div w:id="1843082610">
      <w:bodyDiv w:val="1"/>
      <w:marLeft w:val="0"/>
      <w:marRight w:val="0"/>
      <w:marTop w:val="0"/>
      <w:marBottom w:val="0"/>
      <w:divBdr>
        <w:top w:val="none" w:sz="0" w:space="0" w:color="auto"/>
        <w:left w:val="none" w:sz="0" w:space="0" w:color="auto"/>
        <w:bottom w:val="none" w:sz="0" w:space="0" w:color="auto"/>
        <w:right w:val="none" w:sz="0" w:space="0" w:color="auto"/>
      </w:divBdr>
    </w:div>
    <w:div w:id="1853912147">
      <w:bodyDiv w:val="1"/>
      <w:marLeft w:val="0"/>
      <w:marRight w:val="0"/>
      <w:marTop w:val="0"/>
      <w:marBottom w:val="0"/>
      <w:divBdr>
        <w:top w:val="none" w:sz="0" w:space="0" w:color="auto"/>
        <w:left w:val="none" w:sz="0" w:space="0" w:color="auto"/>
        <w:bottom w:val="none" w:sz="0" w:space="0" w:color="auto"/>
        <w:right w:val="none" w:sz="0" w:space="0" w:color="auto"/>
      </w:divBdr>
    </w:div>
    <w:div w:id="1882011703">
      <w:bodyDiv w:val="1"/>
      <w:marLeft w:val="0"/>
      <w:marRight w:val="0"/>
      <w:marTop w:val="0"/>
      <w:marBottom w:val="0"/>
      <w:divBdr>
        <w:top w:val="none" w:sz="0" w:space="0" w:color="auto"/>
        <w:left w:val="none" w:sz="0" w:space="0" w:color="auto"/>
        <w:bottom w:val="none" w:sz="0" w:space="0" w:color="auto"/>
        <w:right w:val="none" w:sz="0" w:space="0" w:color="auto"/>
      </w:divBdr>
    </w:div>
    <w:div w:id="1891377283">
      <w:bodyDiv w:val="1"/>
      <w:marLeft w:val="0"/>
      <w:marRight w:val="0"/>
      <w:marTop w:val="0"/>
      <w:marBottom w:val="0"/>
      <w:divBdr>
        <w:top w:val="none" w:sz="0" w:space="0" w:color="auto"/>
        <w:left w:val="none" w:sz="0" w:space="0" w:color="auto"/>
        <w:bottom w:val="none" w:sz="0" w:space="0" w:color="auto"/>
        <w:right w:val="none" w:sz="0" w:space="0" w:color="auto"/>
      </w:divBdr>
    </w:div>
    <w:div w:id="1901477713">
      <w:bodyDiv w:val="1"/>
      <w:marLeft w:val="0"/>
      <w:marRight w:val="0"/>
      <w:marTop w:val="0"/>
      <w:marBottom w:val="0"/>
      <w:divBdr>
        <w:top w:val="none" w:sz="0" w:space="0" w:color="auto"/>
        <w:left w:val="none" w:sz="0" w:space="0" w:color="auto"/>
        <w:bottom w:val="none" w:sz="0" w:space="0" w:color="auto"/>
        <w:right w:val="none" w:sz="0" w:space="0" w:color="auto"/>
      </w:divBdr>
    </w:div>
    <w:div w:id="1995833409">
      <w:bodyDiv w:val="1"/>
      <w:marLeft w:val="0"/>
      <w:marRight w:val="0"/>
      <w:marTop w:val="0"/>
      <w:marBottom w:val="0"/>
      <w:divBdr>
        <w:top w:val="none" w:sz="0" w:space="0" w:color="auto"/>
        <w:left w:val="none" w:sz="0" w:space="0" w:color="auto"/>
        <w:bottom w:val="none" w:sz="0" w:space="0" w:color="auto"/>
        <w:right w:val="none" w:sz="0" w:space="0" w:color="auto"/>
      </w:divBdr>
    </w:div>
    <w:div w:id="2021420350">
      <w:bodyDiv w:val="1"/>
      <w:marLeft w:val="0"/>
      <w:marRight w:val="0"/>
      <w:marTop w:val="0"/>
      <w:marBottom w:val="0"/>
      <w:divBdr>
        <w:top w:val="none" w:sz="0" w:space="0" w:color="auto"/>
        <w:left w:val="none" w:sz="0" w:space="0" w:color="auto"/>
        <w:bottom w:val="none" w:sz="0" w:space="0" w:color="auto"/>
        <w:right w:val="none" w:sz="0" w:space="0" w:color="auto"/>
      </w:divBdr>
    </w:div>
    <w:div w:id="2088765254">
      <w:bodyDiv w:val="1"/>
      <w:marLeft w:val="0"/>
      <w:marRight w:val="0"/>
      <w:marTop w:val="0"/>
      <w:marBottom w:val="0"/>
      <w:divBdr>
        <w:top w:val="none" w:sz="0" w:space="0" w:color="auto"/>
        <w:left w:val="none" w:sz="0" w:space="0" w:color="auto"/>
        <w:bottom w:val="none" w:sz="0" w:space="0" w:color="auto"/>
        <w:right w:val="none" w:sz="0" w:space="0" w:color="auto"/>
      </w:divBdr>
    </w:div>
    <w:div w:id="2126995454">
      <w:marLeft w:val="0"/>
      <w:marRight w:val="0"/>
      <w:marTop w:val="0"/>
      <w:marBottom w:val="0"/>
      <w:divBdr>
        <w:top w:val="none" w:sz="0" w:space="0" w:color="auto"/>
        <w:left w:val="none" w:sz="0" w:space="0" w:color="auto"/>
        <w:bottom w:val="none" w:sz="0" w:space="0" w:color="auto"/>
        <w:right w:val="none" w:sz="0" w:space="0" w:color="auto"/>
      </w:divBdr>
      <w:divsChild>
        <w:div w:id="32193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5ACFA63E171B4796BB76CE18D9E99A" ma:contentTypeVersion="14" ma:contentTypeDescription="Create a new document." ma:contentTypeScope="" ma:versionID="64e1d61dd2026e8b48acff0bd826518b">
  <xsd:schema xmlns:xsd="http://www.w3.org/2001/XMLSchema" xmlns:xs="http://www.w3.org/2001/XMLSchema" xmlns:p="http://schemas.microsoft.com/office/2006/metadata/properties" xmlns:ns2="30d79745-92fc-4b4e-a213-f975f2a6d945" xmlns:ns3="56dd2197-b210-47fb-97e9-4b8d7abdc0bc" targetNamespace="http://schemas.microsoft.com/office/2006/metadata/properties" ma:root="true" ma:fieldsID="0f0611980e988c893bd06832b16632b5" ns2:_="" ns3:_="">
    <xsd:import namespace="30d79745-92fc-4b4e-a213-f975f2a6d945"/>
    <xsd:import namespace="56dd2197-b210-47fb-97e9-4b8d7abdc0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79745-92fc-4b4e-a213-f975f2a6d94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8753e4-6763-4ccc-a875-b7474a820090}" ma:internalName="TaxCatchAll" ma:showField="CatchAllData" ma:web="30d79745-92fc-4b4e-a213-f975f2a6d9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d2197-b210-47fb-97e9-4b8d7abdc0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0d79745-92fc-4b4e-a213-f975f2a6d945" xsi:nil="true"/>
    <lcf76f155ced4ddcb4097134ff3c332f xmlns="56dd2197-b210-47fb-97e9-4b8d7abdc0b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C1DB67-EB6F-45DD-A4F2-BD4A2FB2C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79745-92fc-4b4e-a213-f975f2a6d945"/>
    <ds:schemaRef ds:uri="56dd2197-b210-47fb-97e9-4b8d7abdc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0E6F4B-E6AC-4916-B7C0-F05BBEA28AA9}">
  <ds:schemaRefs>
    <ds:schemaRef ds:uri="http://schemas.microsoft.com/office/2006/metadata/properties"/>
    <ds:schemaRef ds:uri="http://schemas.microsoft.com/office/infopath/2007/PartnerControls"/>
    <ds:schemaRef ds:uri="30d79745-92fc-4b4e-a213-f975f2a6d945"/>
    <ds:schemaRef ds:uri="56dd2197-b210-47fb-97e9-4b8d7abdc0bc"/>
  </ds:schemaRefs>
</ds:datastoreItem>
</file>

<file path=customXml/itemProps3.xml><?xml version="1.0" encoding="utf-8"?>
<ds:datastoreItem xmlns:ds="http://schemas.openxmlformats.org/officeDocument/2006/customXml" ds:itemID="{5E1FE425-D26A-4774-8DBB-474784AC8BCD}">
  <ds:schemaRefs>
    <ds:schemaRef ds:uri="http://schemas.openxmlformats.org/officeDocument/2006/bibliography"/>
  </ds:schemaRefs>
</ds:datastoreItem>
</file>

<file path=customXml/itemProps4.xml><?xml version="1.0" encoding="utf-8"?>
<ds:datastoreItem xmlns:ds="http://schemas.openxmlformats.org/officeDocument/2006/customXml" ds:itemID="{A2A51D67-1DF6-46BA-A546-3630BF22C073}">
  <ds:schemaRefs>
    <ds:schemaRef ds:uri="http://schemas.microsoft.com/sharepoint/v3/contenttype/forms"/>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364</TotalTime>
  <Pages>3</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School balances and DSG outturn 2024-25</vt:lpstr>
    </vt:vector>
  </TitlesOfParts>
  <Company>London Borough of Tower Hamlets</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balances and DSG outturn 2024-25</dc:title>
  <dc:creator>David Tully</dc:creator>
  <cp:lastModifiedBy>Kudzi Mambara</cp:lastModifiedBy>
  <cp:revision>43</cp:revision>
  <cp:lastPrinted>2019-06-12T14:32:00Z</cp:lastPrinted>
  <dcterms:created xsi:type="dcterms:W3CDTF">2026-09-15T17:23:00Z</dcterms:created>
  <dcterms:modified xsi:type="dcterms:W3CDTF">2026-09-23T08:29:00Z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0x010100615ACFA63E171B4796BB76CE18D9E99A</vt:lpwstr>
  </property>
  <property fmtid="{D5CDD505-2E9C-101B-9397-08002B2CF9AE}" pid="3" name="Order">
    <vt:r8>6048200</vt:r8>
  </property>
  <property fmtid="{D5CDD505-2E9C-101B-9397-08002B2CF9AE}" pid="4" name="MediaServiceImageTags">
    <vt:lpwstr/>
  </property>
</Properties>
</file>