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E460C" w14:textId="04D75497" w:rsidR="00AA79F3" w:rsidRPr="007C4F08" w:rsidRDefault="00000000" w:rsidP="000D1038">
      <w:pPr>
        <w:pStyle w:val="Title"/>
        <w:jc w:val="center"/>
      </w:pPr>
      <w:sdt>
        <w:sdtPr>
          <w:alias w:val="Title"/>
          <w:tag w:val=""/>
          <w:id w:val="1960826847"/>
          <w:placeholder>
            <w:docPart w:val="7A8D457499A043A886AD5923AC85325C"/>
          </w:placeholder>
          <w:dataBinding w:prefixMappings="xmlns:ns0='http://purl.org/dc/elements/1.1/' xmlns:ns1='http://schemas.openxmlformats.org/package/2006/metadata/core-properties' " w:xpath="/ns1:coreProperties[1]/ns0:title[1]" w:storeItemID="{6C3C8BC8-F283-45AE-878A-BAB7291924A1}"/>
          <w:text/>
        </w:sdtPr>
        <w:sdtContent>
          <w:r w:rsidR="00072946">
            <w:t xml:space="preserve">School Sustainability </w:t>
          </w:r>
          <w:r w:rsidR="000D69D3">
            <w:t>and</w:t>
          </w:r>
          <w:r w:rsidR="00072946">
            <w:t xml:space="preserve"> Sufficiency</w:t>
          </w:r>
        </w:sdtContent>
      </w:sdt>
    </w:p>
    <w:p w14:paraId="2AC24CBA" w14:textId="3323B6F2" w:rsidR="001D5881" w:rsidRPr="00BE6FB3" w:rsidRDefault="00A643E6" w:rsidP="000D1038">
      <w:pPr>
        <w:pStyle w:val="Heading1"/>
        <w:jc w:val="center"/>
      </w:pPr>
      <w:r>
        <w:t xml:space="preserve">De-Delegated </w:t>
      </w:r>
      <w:r w:rsidR="00072946">
        <w:t>Contingency Fund</w:t>
      </w:r>
      <w:r>
        <w:t>ing</w:t>
      </w:r>
    </w:p>
    <w:p w14:paraId="7B063AA8" w14:textId="77777777" w:rsidR="001D5881" w:rsidRDefault="001D5881" w:rsidP="001D5881">
      <w:pPr>
        <w:pStyle w:val="Heading2"/>
      </w:pPr>
    </w:p>
    <w:p w14:paraId="39053CFD" w14:textId="303965BD" w:rsidR="001D5881" w:rsidRPr="00BE6FB3" w:rsidRDefault="00C26FA1" w:rsidP="001D5881">
      <w:pPr>
        <w:pStyle w:val="Heading2"/>
      </w:pPr>
      <w:r>
        <w:t xml:space="preserve">School Organisation Strategy Group </w:t>
      </w:r>
      <w:r w:rsidR="00783B02">
        <w:t>Activity 2024-25</w:t>
      </w:r>
    </w:p>
    <w:p w14:paraId="1901766D" w14:textId="77777777" w:rsidR="001D5881" w:rsidRPr="00C26FA1" w:rsidRDefault="001D5881" w:rsidP="001D5881"/>
    <w:p w14:paraId="3658C1FB" w14:textId="48658500" w:rsidR="00D4170D" w:rsidRPr="00C26FA1" w:rsidRDefault="002777D7" w:rsidP="00D4170D">
      <w:pPr>
        <w:rPr>
          <w:color w:val="000000" w:themeColor="text1"/>
        </w:rPr>
      </w:pPr>
      <w:r>
        <w:rPr>
          <w:color w:val="000000" w:themeColor="text1"/>
        </w:rPr>
        <w:t>Schools Forum ha</w:t>
      </w:r>
      <w:r w:rsidR="00986595">
        <w:rPr>
          <w:color w:val="000000" w:themeColor="text1"/>
        </w:rPr>
        <w:t>s asked for an update</w:t>
      </w:r>
      <w:r w:rsidR="00D01CB5">
        <w:rPr>
          <w:color w:val="000000" w:themeColor="text1"/>
        </w:rPr>
        <w:t xml:space="preserve"> on</w:t>
      </w:r>
      <w:r w:rsidR="00986595">
        <w:rPr>
          <w:color w:val="000000" w:themeColor="text1"/>
        </w:rPr>
        <w:t xml:space="preserve"> </w:t>
      </w:r>
      <w:r w:rsidR="00C26FA1">
        <w:rPr>
          <w:color w:val="000000" w:themeColor="text1"/>
        </w:rPr>
        <w:t xml:space="preserve">Successful </w:t>
      </w:r>
      <w:r w:rsidR="00D4170D" w:rsidRPr="00C26FA1">
        <w:rPr>
          <w:color w:val="000000" w:themeColor="text1"/>
        </w:rPr>
        <w:t>Contingency funded work during 2024-25</w:t>
      </w:r>
      <w:r w:rsidR="00986595">
        <w:rPr>
          <w:color w:val="000000" w:themeColor="text1"/>
        </w:rPr>
        <w:t>.  This</w:t>
      </w:r>
      <w:r w:rsidR="00D4170D" w:rsidRPr="00C26FA1">
        <w:rPr>
          <w:color w:val="000000" w:themeColor="text1"/>
        </w:rPr>
        <w:t xml:space="preserve"> has included:</w:t>
      </w:r>
    </w:p>
    <w:p w14:paraId="6905D82A" w14:textId="77777777" w:rsidR="00C26FA1" w:rsidRPr="00830DEC" w:rsidRDefault="00D4170D" w:rsidP="00C26FA1">
      <w:pPr>
        <w:pStyle w:val="ListParagraph"/>
        <w:numPr>
          <w:ilvl w:val="0"/>
          <w:numId w:val="2"/>
        </w:numPr>
        <w:rPr>
          <w:rFonts w:ascii="Arial" w:eastAsia="Aptos" w:hAnsi="Arial" w:cs="Arial"/>
          <w:color w:val="000000" w:themeColor="text1"/>
        </w:rPr>
      </w:pPr>
      <w:r w:rsidRPr="00C26FA1">
        <w:rPr>
          <w:rFonts w:ascii="Arial" w:hAnsi="Arial" w:cs="Arial"/>
          <w:color w:val="000000" w:themeColor="text1"/>
        </w:rPr>
        <w:t>Finding Ways Forward conferences</w:t>
      </w:r>
      <w:r w:rsidR="00C26FA1" w:rsidRPr="00C26FA1">
        <w:rPr>
          <w:rFonts w:ascii="Arial" w:hAnsi="Arial" w:cs="Arial"/>
          <w:color w:val="000000" w:themeColor="text1"/>
        </w:rPr>
        <w:t>, including phase sessions and planning areas sessions</w:t>
      </w:r>
    </w:p>
    <w:p w14:paraId="457D930D" w14:textId="6146F111" w:rsidR="00830DEC" w:rsidRPr="00C26FA1" w:rsidRDefault="00830DEC" w:rsidP="00C26FA1">
      <w:pPr>
        <w:pStyle w:val="ListParagraph"/>
        <w:numPr>
          <w:ilvl w:val="0"/>
          <w:numId w:val="2"/>
        </w:numPr>
        <w:rPr>
          <w:rFonts w:ascii="Arial" w:eastAsia="Aptos" w:hAnsi="Arial" w:cs="Arial"/>
          <w:color w:val="000000" w:themeColor="text1"/>
        </w:rPr>
      </w:pPr>
      <w:r>
        <w:rPr>
          <w:rFonts w:ascii="Arial" w:hAnsi="Arial" w:cs="Arial"/>
          <w:color w:val="000000" w:themeColor="text1"/>
        </w:rPr>
        <w:t>Creation and development of toolkits</w:t>
      </w:r>
      <w:r w:rsidR="00B10D01">
        <w:rPr>
          <w:rFonts w:ascii="Arial" w:hAnsi="Arial" w:cs="Arial"/>
          <w:color w:val="000000" w:themeColor="text1"/>
        </w:rPr>
        <w:t xml:space="preserve"> and guidance </w:t>
      </w:r>
      <w:r w:rsidR="007633E6">
        <w:rPr>
          <w:rFonts w:ascii="Arial" w:hAnsi="Arial" w:cs="Arial"/>
          <w:color w:val="000000" w:themeColor="text1"/>
        </w:rPr>
        <w:t>for organisational change</w:t>
      </w:r>
      <w:r w:rsidR="00A36F10">
        <w:rPr>
          <w:rFonts w:ascii="Arial" w:hAnsi="Arial" w:cs="Arial"/>
          <w:color w:val="000000" w:themeColor="text1"/>
        </w:rPr>
        <w:t xml:space="preserve">, </w:t>
      </w:r>
      <w:r w:rsidR="007633E6">
        <w:rPr>
          <w:rFonts w:ascii="Arial" w:hAnsi="Arial" w:cs="Arial"/>
          <w:color w:val="000000" w:themeColor="text1"/>
        </w:rPr>
        <w:t xml:space="preserve">developing </w:t>
      </w:r>
      <w:r w:rsidR="003258C6">
        <w:rPr>
          <w:rFonts w:ascii="Arial" w:hAnsi="Arial" w:cs="Arial"/>
          <w:color w:val="000000" w:themeColor="text1"/>
        </w:rPr>
        <w:t>partnerships PAN reductions</w:t>
      </w:r>
    </w:p>
    <w:p w14:paraId="06C4F839" w14:textId="029F07A7" w:rsidR="00C26FA1" w:rsidRPr="00C26FA1" w:rsidRDefault="00C26FA1" w:rsidP="00C26FA1">
      <w:pPr>
        <w:pStyle w:val="ListParagraph"/>
        <w:numPr>
          <w:ilvl w:val="0"/>
          <w:numId w:val="2"/>
        </w:numPr>
        <w:rPr>
          <w:rFonts w:ascii="Arial" w:eastAsia="Aptos" w:hAnsi="Arial" w:cs="Arial"/>
          <w:color w:val="000000" w:themeColor="text1"/>
        </w:rPr>
      </w:pPr>
      <w:r>
        <w:rPr>
          <w:rFonts w:ascii="Arial" w:eastAsia="Aptos" w:hAnsi="Arial" w:cs="Arial"/>
          <w:color w:val="000000" w:themeColor="text1"/>
        </w:rPr>
        <w:t>S</w:t>
      </w:r>
      <w:r w:rsidRPr="00C26FA1">
        <w:rPr>
          <w:rFonts w:ascii="Arial" w:eastAsia="Aptos" w:hAnsi="Arial" w:cs="Arial"/>
          <w:color w:val="000000" w:themeColor="text1"/>
        </w:rPr>
        <w:t>chools supported</w:t>
      </w:r>
      <w:r>
        <w:rPr>
          <w:rFonts w:ascii="Arial" w:eastAsia="Aptos" w:hAnsi="Arial" w:cs="Arial"/>
          <w:color w:val="000000" w:themeColor="text1"/>
        </w:rPr>
        <w:t xml:space="preserve"> to submit </w:t>
      </w:r>
      <w:r w:rsidRPr="00C26FA1">
        <w:rPr>
          <w:rFonts w:ascii="Arial" w:eastAsia="Aptos" w:hAnsi="Arial" w:cs="Arial"/>
          <w:color w:val="000000" w:themeColor="text1"/>
        </w:rPr>
        <w:t xml:space="preserve">permanent PAN reduction expressions of interest </w:t>
      </w:r>
      <w:r>
        <w:rPr>
          <w:rFonts w:ascii="Arial" w:eastAsia="Aptos" w:hAnsi="Arial" w:cs="Arial"/>
          <w:color w:val="000000" w:themeColor="text1"/>
        </w:rPr>
        <w:t xml:space="preserve">and </w:t>
      </w:r>
      <w:r w:rsidRPr="00C26FA1">
        <w:rPr>
          <w:rFonts w:ascii="Arial" w:eastAsia="Aptos" w:hAnsi="Arial" w:cs="Arial"/>
          <w:color w:val="000000" w:themeColor="text1"/>
        </w:rPr>
        <w:t>capping requests</w:t>
      </w:r>
    </w:p>
    <w:p w14:paraId="1FB92DBF" w14:textId="74047CE9" w:rsidR="00C26FA1" w:rsidRPr="00C26FA1" w:rsidRDefault="00C26FA1" w:rsidP="00C26FA1">
      <w:pPr>
        <w:pStyle w:val="ListParagraph"/>
        <w:numPr>
          <w:ilvl w:val="0"/>
          <w:numId w:val="2"/>
        </w:numPr>
        <w:rPr>
          <w:rFonts w:ascii="Arial" w:eastAsia="Aptos" w:hAnsi="Arial" w:cs="Arial"/>
          <w:color w:val="000000" w:themeColor="text1"/>
        </w:rPr>
      </w:pPr>
      <w:r w:rsidRPr="00C26FA1">
        <w:rPr>
          <w:rFonts w:ascii="Arial" w:eastAsia="Aptos" w:hAnsi="Arial" w:cs="Arial"/>
          <w:color w:val="000000" w:themeColor="text1"/>
        </w:rPr>
        <w:t>Proactive conversations initiated</w:t>
      </w:r>
      <w:r>
        <w:rPr>
          <w:rFonts w:ascii="Arial" w:eastAsia="Aptos" w:hAnsi="Arial" w:cs="Arial"/>
          <w:color w:val="000000" w:themeColor="text1"/>
        </w:rPr>
        <w:t xml:space="preserve"> and facilitated</w:t>
      </w:r>
      <w:r w:rsidRPr="00C26FA1">
        <w:rPr>
          <w:rFonts w:ascii="Arial" w:eastAsia="Aptos" w:hAnsi="Arial" w:cs="Arial"/>
          <w:color w:val="000000" w:themeColor="text1"/>
        </w:rPr>
        <w:t xml:space="preserve">; secondary schools collegiate EOI proposal,  groups of </w:t>
      </w:r>
      <w:r w:rsidR="00132768" w:rsidRPr="00C26FA1">
        <w:rPr>
          <w:rFonts w:ascii="Arial" w:eastAsia="Aptos" w:hAnsi="Arial" w:cs="Arial"/>
          <w:color w:val="000000" w:themeColor="text1"/>
        </w:rPr>
        <w:t>schools’</w:t>
      </w:r>
      <w:r w:rsidRPr="00C26FA1">
        <w:rPr>
          <w:rFonts w:ascii="Arial" w:eastAsia="Aptos" w:hAnsi="Arial" w:cs="Arial"/>
          <w:color w:val="000000" w:themeColor="text1"/>
        </w:rPr>
        <w:t xml:space="preserve"> partnerships, Executive Headteacher arrangements developed and arrangements to support vulnerable schools with sustainable futures.</w:t>
      </w:r>
    </w:p>
    <w:p w14:paraId="39BC8001" w14:textId="77777777" w:rsidR="00D4170D" w:rsidRPr="00C26FA1" w:rsidRDefault="00D4170D" w:rsidP="00C26FA1">
      <w:pPr>
        <w:pStyle w:val="ListParagraph"/>
        <w:numPr>
          <w:ilvl w:val="0"/>
          <w:numId w:val="2"/>
        </w:numPr>
        <w:rPr>
          <w:rFonts w:ascii="Arial" w:eastAsia="Aptos" w:hAnsi="Arial" w:cs="Arial"/>
          <w:color w:val="000000" w:themeColor="text1"/>
        </w:rPr>
      </w:pPr>
      <w:r w:rsidRPr="00C26FA1">
        <w:rPr>
          <w:rFonts w:ascii="Arial" w:eastAsia="Aptos" w:hAnsi="Arial" w:cs="Arial"/>
          <w:color w:val="000000" w:themeColor="text1"/>
        </w:rPr>
        <w:t xml:space="preserve">The Amalgamation of Rachel Keeling and Globe Schools </w:t>
      </w:r>
    </w:p>
    <w:p w14:paraId="66A0302F" w14:textId="4802F4C2" w:rsidR="00D4170D" w:rsidRDefault="00D4170D" w:rsidP="00C26FA1">
      <w:pPr>
        <w:pStyle w:val="ListParagraph"/>
        <w:numPr>
          <w:ilvl w:val="0"/>
          <w:numId w:val="2"/>
        </w:numPr>
        <w:rPr>
          <w:rFonts w:ascii="Arial" w:eastAsia="Aptos" w:hAnsi="Arial" w:cs="Arial"/>
          <w:color w:val="000000" w:themeColor="text1"/>
        </w:rPr>
      </w:pPr>
      <w:r w:rsidRPr="00C26FA1">
        <w:rPr>
          <w:rFonts w:ascii="Arial" w:eastAsia="Aptos" w:hAnsi="Arial" w:cs="Arial"/>
          <w:color w:val="000000" w:themeColor="text1"/>
        </w:rPr>
        <w:t>Federation of Children’s House and Old Palace Schools</w:t>
      </w:r>
    </w:p>
    <w:p w14:paraId="4FE6FC7C" w14:textId="26EE3393" w:rsidR="00C26FA1" w:rsidRPr="00C26FA1" w:rsidRDefault="00C26FA1" w:rsidP="00C26FA1">
      <w:pPr>
        <w:pStyle w:val="ListParagraph"/>
        <w:numPr>
          <w:ilvl w:val="0"/>
          <w:numId w:val="2"/>
        </w:numPr>
        <w:rPr>
          <w:rFonts w:ascii="Arial" w:eastAsia="Aptos" w:hAnsi="Arial" w:cs="Arial"/>
          <w:color w:val="000000" w:themeColor="text1"/>
        </w:rPr>
      </w:pPr>
      <w:r w:rsidRPr="00C26FA1">
        <w:rPr>
          <w:rFonts w:ascii="Arial" w:eastAsia="Aptos" w:hAnsi="Arial" w:cs="Arial"/>
          <w:color w:val="000000" w:themeColor="text1"/>
        </w:rPr>
        <w:t>7 schools applied for LDA</w:t>
      </w:r>
    </w:p>
    <w:p w14:paraId="485BF44A" w14:textId="46614F00" w:rsidR="00D4170D" w:rsidRPr="00C26FA1" w:rsidRDefault="00D4170D" w:rsidP="00C26FA1">
      <w:pPr>
        <w:pStyle w:val="ListParagraph"/>
        <w:numPr>
          <w:ilvl w:val="0"/>
          <w:numId w:val="2"/>
        </w:numPr>
        <w:rPr>
          <w:rFonts w:ascii="Arial" w:eastAsia="Aptos" w:hAnsi="Arial" w:cs="Arial"/>
          <w:color w:val="000000" w:themeColor="text1"/>
        </w:rPr>
      </w:pPr>
      <w:r w:rsidRPr="00C26FA1">
        <w:rPr>
          <w:rFonts w:ascii="Arial" w:eastAsia="Aptos" w:hAnsi="Arial" w:cs="Arial"/>
          <w:color w:val="000000" w:themeColor="text1"/>
        </w:rPr>
        <w:t>7 further schools will be applying for Licensed Deficits</w:t>
      </w:r>
    </w:p>
    <w:p w14:paraId="0737FAED" w14:textId="7F8338C9" w:rsidR="00D4170D" w:rsidRPr="00C26FA1" w:rsidRDefault="00D4170D" w:rsidP="00C26FA1">
      <w:pPr>
        <w:pStyle w:val="ListParagraph"/>
        <w:numPr>
          <w:ilvl w:val="0"/>
          <w:numId w:val="2"/>
        </w:numPr>
        <w:rPr>
          <w:rFonts w:ascii="Arial" w:eastAsia="Aptos" w:hAnsi="Arial" w:cs="Arial"/>
          <w:color w:val="000000" w:themeColor="text1"/>
        </w:rPr>
      </w:pPr>
      <w:r w:rsidRPr="00C26FA1">
        <w:rPr>
          <w:rFonts w:ascii="Arial" w:eastAsia="Aptos" w:hAnsi="Arial" w:cs="Arial"/>
          <w:color w:val="000000" w:themeColor="text1"/>
        </w:rPr>
        <w:t>An annual delivery plan for SOSG work has been established</w:t>
      </w:r>
      <w:r w:rsidR="00871EE6">
        <w:rPr>
          <w:rFonts w:ascii="Arial" w:eastAsia="Aptos" w:hAnsi="Arial" w:cs="Arial"/>
          <w:color w:val="000000" w:themeColor="text1"/>
        </w:rPr>
        <w:t xml:space="preserve">, Dr </w:t>
      </w:r>
      <w:r w:rsidRPr="00C26FA1">
        <w:rPr>
          <w:rFonts w:ascii="Arial" w:eastAsia="Aptos" w:hAnsi="Arial" w:cs="Arial"/>
          <w:color w:val="000000" w:themeColor="text1"/>
        </w:rPr>
        <w:t xml:space="preserve">Helen Jenner </w:t>
      </w:r>
      <w:r w:rsidR="00871EE6">
        <w:rPr>
          <w:rFonts w:ascii="Arial" w:eastAsia="Aptos" w:hAnsi="Arial" w:cs="Arial"/>
          <w:color w:val="000000" w:themeColor="text1"/>
        </w:rPr>
        <w:t>to</w:t>
      </w:r>
      <w:r w:rsidRPr="00C26FA1">
        <w:rPr>
          <w:rFonts w:ascii="Arial" w:eastAsia="Aptos" w:hAnsi="Arial" w:cs="Arial"/>
          <w:color w:val="000000" w:themeColor="text1"/>
        </w:rPr>
        <w:t xml:space="preserve"> sit on the</w:t>
      </w:r>
      <w:r w:rsidR="00871EE6">
        <w:rPr>
          <w:rFonts w:ascii="Arial" w:eastAsia="Aptos" w:hAnsi="Arial" w:cs="Arial"/>
          <w:color w:val="000000" w:themeColor="text1"/>
        </w:rPr>
        <w:t xml:space="preserve"> School Organisation Strategy group as in independent advisor</w:t>
      </w:r>
    </w:p>
    <w:p w14:paraId="1B683A3A" w14:textId="6F247959" w:rsidR="00DF3C2C" w:rsidRDefault="00DF3C2C" w:rsidP="00D4170D">
      <w:pPr>
        <w:spacing w:line="259" w:lineRule="auto"/>
      </w:pPr>
    </w:p>
    <w:p w14:paraId="1C60E30C" w14:textId="578B2A3C" w:rsidR="00C26FA1" w:rsidRPr="00BE6FB3" w:rsidRDefault="00C26FA1" w:rsidP="00C26FA1">
      <w:pPr>
        <w:pStyle w:val="Heading2"/>
      </w:pPr>
      <w:r>
        <w:t>Licensed Deficit Application Project</w:t>
      </w:r>
    </w:p>
    <w:p w14:paraId="4BF2F6E9" w14:textId="77777777" w:rsidR="00C26FA1" w:rsidRPr="00C26FA1" w:rsidRDefault="00C26FA1" w:rsidP="00C26FA1"/>
    <w:p w14:paraId="49CBD6A6" w14:textId="416712AF" w:rsidR="00C26FA1" w:rsidRPr="00CE1674" w:rsidRDefault="00072946" w:rsidP="00017436">
      <w:pPr>
        <w:spacing w:after="240"/>
        <w:ind w:right="601"/>
      </w:pPr>
      <w:r w:rsidRPr="00CE1674">
        <w:rPr>
          <w:rFonts w:eastAsia="Arial"/>
          <w:noProof/>
        </w:rPr>
        <w:t xml:space="preserve">The Licensed Deficit Aplication Project (LDAP) continues to support schools that may be in financially vulnerable position, providing financial assurance for any Licensed Deficit Applications, and that budget processes are robust in line with Schools Financial Value Standards (SFVS). </w:t>
      </w:r>
      <w:r w:rsidR="00124B58">
        <w:rPr>
          <w:rFonts w:eastAsia="Arial"/>
          <w:noProof/>
        </w:rPr>
        <w:t xml:space="preserve">The project requires continued support from the </w:t>
      </w:r>
      <w:r w:rsidR="00D35DFF">
        <w:rPr>
          <w:rFonts w:eastAsia="Arial"/>
          <w:noProof/>
        </w:rPr>
        <w:t>independent consultants</w:t>
      </w:r>
      <w:r w:rsidR="002B5E39">
        <w:rPr>
          <w:rFonts w:eastAsia="Arial"/>
          <w:noProof/>
        </w:rPr>
        <w:t xml:space="preserve"> to ensure success</w:t>
      </w:r>
      <w:r w:rsidR="00F95B30">
        <w:rPr>
          <w:rFonts w:eastAsia="Arial"/>
          <w:noProof/>
        </w:rPr>
        <w:t xml:space="preserve"> through finaincaial sustainabbilty</w:t>
      </w:r>
      <w:r w:rsidR="00D35DFF">
        <w:rPr>
          <w:rFonts w:eastAsia="Arial"/>
          <w:noProof/>
        </w:rPr>
        <w:t xml:space="preserve">. </w:t>
      </w:r>
      <w:r w:rsidRPr="00CE1674">
        <w:rPr>
          <w:rFonts w:eastAsia="Arial"/>
          <w:noProof/>
        </w:rPr>
        <w:t>T</w:t>
      </w:r>
      <w:r w:rsidR="00C26FA1" w:rsidRPr="00CE1674">
        <w:t>his support focuses on:</w:t>
      </w:r>
    </w:p>
    <w:p w14:paraId="2ABF25DB" w14:textId="1437FBCE" w:rsidR="00C26FA1" w:rsidRPr="00CE1674" w:rsidRDefault="00C26FA1" w:rsidP="00C26FA1">
      <w:pPr>
        <w:spacing w:after="0"/>
      </w:pPr>
      <w:r w:rsidRPr="00CE1674">
        <w:rPr>
          <w:b/>
          <w:bCs/>
        </w:rPr>
        <w:t>School Organisation &amp; Strategy</w:t>
      </w:r>
    </w:p>
    <w:p w14:paraId="021C0207" w14:textId="77777777" w:rsidR="00C26FA1" w:rsidRPr="00CE1674" w:rsidRDefault="00C26FA1" w:rsidP="00C26FA1">
      <w:pPr>
        <w:pStyle w:val="ListParagraph"/>
        <w:numPr>
          <w:ilvl w:val="0"/>
          <w:numId w:val="3"/>
        </w:numPr>
        <w:spacing w:line="259" w:lineRule="auto"/>
        <w:rPr>
          <w:rFonts w:ascii="Arial" w:hAnsi="Arial" w:cs="Arial"/>
        </w:rPr>
      </w:pPr>
      <w:r w:rsidRPr="00CE1674">
        <w:rPr>
          <w:rFonts w:ascii="Arial" w:hAnsi="Arial" w:cs="Arial"/>
        </w:rPr>
        <w:t>Guidance on reducing spending with minimum effect to teaching or pupil outcomes.</w:t>
      </w:r>
    </w:p>
    <w:p w14:paraId="07867441" w14:textId="77777777" w:rsidR="00C26FA1" w:rsidRPr="00CE1674" w:rsidRDefault="00C26FA1" w:rsidP="00C26FA1">
      <w:pPr>
        <w:pStyle w:val="ListParagraph"/>
        <w:numPr>
          <w:ilvl w:val="0"/>
          <w:numId w:val="3"/>
        </w:numPr>
        <w:spacing w:line="259" w:lineRule="auto"/>
        <w:rPr>
          <w:rFonts w:ascii="Arial" w:hAnsi="Arial" w:cs="Arial"/>
        </w:rPr>
      </w:pPr>
      <w:r w:rsidRPr="00CE1674">
        <w:rPr>
          <w:rFonts w:ascii="Arial" w:hAnsi="Arial" w:cs="Arial"/>
        </w:rPr>
        <w:t>Helping schools plan strategically to meet Licensed Deficit Agreements (LDA) or avoid deficit altogether.</w:t>
      </w:r>
    </w:p>
    <w:p w14:paraId="4C268D73" w14:textId="77777777" w:rsidR="00C26FA1" w:rsidRPr="00CE1674" w:rsidRDefault="00C26FA1" w:rsidP="00C26FA1">
      <w:pPr>
        <w:pStyle w:val="ListParagraph"/>
        <w:numPr>
          <w:ilvl w:val="0"/>
          <w:numId w:val="3"/>
        </w:numPr>
        <w:spacing w:line="259" w:lineRule="auto"/>
        <w:rPr>
          <w:rFonts w:ascii="Arial" w:hAnsi="Arial" w:cs="Arial"/>
        </w:rPr>
      </w:pPr>
      <w:r w:rsidRPr="00CE1674">
        <w:rPr>
          <w:rFonts w:ascii="Arial" w:hAnsi="Arial" w:cs="Arial"/>
        </w:rPr>
        <w:t>Reviewing SRMA reports to identify key recommendations.</w:t>
      </w:r>
    </w:p>
    <w:p w14:paraId="498947B1" w14:textId="7FD20909" w:rsidR="00830DEC" w:rsidRPr="00CE1674" w:rsidRDefault="00830DEC" w:rsidP="00C26FA1">
      <w:pPr>
        <w:pStyle w:val="ListParagraph"/>
        <w:numPr>
          <w:ilvl w:val="0"/>
          <w:numId w:val="3"/>
        </w:numPr>
        <w:spacing w:line="259" w:lineRule="auto"/>
        <w:rPr>
          <w:rFonts w:ascii="Arial" w:hAnsi="Arial" w:cs="Arial"/>
        </w:rPr>
      </w:pPr>
      <w:r w:rsidRPr="00CE1674">
        <w:rPr>
          <w:rFonts w:ascii="Arial" w:hAnsi="Arial" w:cs="Arial"/>
        </w:rPr>
        <w:t xml:space="preserve">Advice and support to implement </w:t>
      </w:r>
      <w:r w:rsidR="00A16800" w:rsidRPr="00CE1674">
        <w:rPr>
          <w:rFonts w:ascii="Arial" w:hAnsi="Arial" w:cs="Arial"/>
        </w:rPr>
        <w:t>organisational change (</w:t>
      </w:r>
      <w:r w:rsidR="00D63515" w:rsidRPr="00CE1674">
        <w:rPr>
          <w:rFonts w:ascii="Arial" w:hAnsi="Arial" w:cs="Arial"/>
        </w:rPr>
        <w:t>e.g.</w:t>
      </w:r>
      <w:r w:rsidR="00A16800" w:rsidRPr="00CE1674">
        <w:rPr>
          <w:rFonts w:ascii="Arial" w:hAnsi="Arial" w:cs="Arial"/>
        </w:rPr>
        <w:t xml:space="preserve"> partnerships)</w:t>
      </w:r>
    </w:p>
    <w:p w14:paraId="49922254" w14:textId="38710A65" w:rsidR="00A16800" w:rsidRPr="00CE1674" w:rsidRDefault="00AB049E" w:rsidP="00C26FA1">
      <w:pPr>
        <w:pStyle w:val="ListParagraph"/>
        <w:numPr>
          <w:ilvl w:val="0"/>
          <w:numId w:val="3"/>
        </w:numPr>
        <w:spacing w:line="259" w:lineRule="auto"/>
        <w:rPr>
          <w:rFonts w:ascii="Arial" w:hAnsi="Arial" w:cs="Arial"/>
        </w:rPr>
      </w:pPr>
      <w:r w:rsidRPr="00CE1674">
        <w:rPr>
          <w:rFonts w:ascii="Arial" w:hAnsi="Arial" w:cs="Arial"/>
        </w:rPr>
        <w:t xml:space="preserve">Advice and guidance around changes to </w:t>
      </w:r>
      <w:r w:rsidR="00F4765F" w:rsidRPr="00CE1674">
        <w:rPr>
          <w:rFonts w:ascii="Arial" w:hAnsi="Arial" w:cs="Arial"/>
        </w:rPr>
        <w:t xml:space="preserve">teaching and staffing models </w:t>
      </w:r>
      <w:r w:rsidR="00793A25" w:rsidRPr="00CE1674">
        <w:rPr>
          <w:rFonts w:ascii="Arial" w:hAnsi="Arial" w:cs="Arial"/>
        </w:rPr>
        <w:t>aligned</w:t>
      </w:r>
      <w:r w:rsidR="00F4765F" w:rsidRPr="00CE1674">
        <w:rPr>
          <w:rFonts w:ascii="Arial" w:hAnsi="Arial" w:cs="Arial"/>
        </w:rPr>
        <w:t xml:space="preserve"> to curriculum models. </w:t>
      </w:r>
    </w:p>
    <w:p w14:paraId="144C2225" w14:textId="3E75EB8B" w:rsidR="00F4765F" w:rsidRDefault="00F4765F" w:rsidP="00C26FA1">
      <w:pPr>
        <w:pStyle w:val="ListParagraph"/>
        <w:numPr>
          <w:ilvl w:val="0"/>
          <w:numId w:val="3"/>
        </w:numPr>
        <w:spacing w:line="259" w:lineRule="auto"/>
        <w:rPr>
          <w:rFonts w:ascii="Arial" w:hAnsi="Arial" w:cs="Arial"/>
        </w:rPr>
      </w:pPr>
      <w:r w:rsidRPr="00CE1674">
        <w:rPr>
          <w:rFonts w:ascii="Arial" w:hAnsi="Arial" w:cs="Arial"/>
        </w:rPr>
        <w:t xml:space="preserve">Support </w:t>
      </w:r>
      <w:r w:rsidR="00793A25" w:rsidRPr="00CE1674">
        <w:rPr>
          <w:rFonts w:ascii="Arial" w:hAnsi="Arial" w:cs="Arial"/>
        </w:rPr>
        <w:t xml:space="preserve">with new potential income streams. </w:t>
      </w:r>
    </w:p>
    <w:p w14:paraId="1C7FA820" w14:textId="77777777" w:rsidR="00793A25" w:rsidRPr="00CE1674" w:rsidRDefault="00C26FA1" w:rsidP="00793A25">
      <w:pPr>
        <w:spacing w:after="0"/>
        <w:rPr>
          <w:b/>
          <w:bCs/>
        </w:rPr>
      </w:pPr>
      <w:r w:rsidRPr="00CE1674">
        <w:rPr>
          <w:b/>
          <w:bCs/>
        </w:rPr>
        <w:lastRenderedPageBreak/>
        <w:t>Financial Analysis, Planning &amp; Modelling</w:t>
      </w:r>
    </w:p>
    <w:p w14:paraId="7EE07417" w14:textId="4FB63798" w:rsidR="00C26FA1" w:rsidRPr="00CE1674" w:rsidRDefault="00C26FA1" w:rsidP="00793A25">
      <w:pPr>
        <w:pStyle w:val="ListParagraph"/>
        <w:numPr>
          <w:ilvl w:val="0"/>
          <w:numId w:val="10"/>
        </w:numPr>
        <w:rPr>
          <w:rFonts w:ascii="Arial" w:hAnsi="Arial" w:cs="Arial"/>
        </w:rPr>
      </w:pPr>
      <w:r w:rsidRPr="00CE1674">
        <w:rPr>
          <w:rFonts w:ascii="Arial" w:hAnsi="Arial" w:cs="Arial"/>
        </w:rPr>
        <w:t>Support with financial risk modelling, sustainability, and changing pupil numbers.</w:t>
      </w:r>
    </w:p>
    <w:p w14:paraId="03D297E9" w14:textId="77777777" w:rsidR="00C26FA1" w:rsidRPr="00CE1674" w:rsidRDefault="00C26FA1" w:rsidP="00C26FA1">
      <w:pPr>
        <w:pStyle w:val="ListParagraph"/>
        <w:numPr>
          <w:ilvl w:val="0"/>
          <w:numId w:val="4"/>
        </w:numPr>
        <w:spacing w:line="259" w:lineRule="auto"/>
        <w:rPr>
          <w:rFonts w:ascii="Arial" w:hAnsi="Arial" w:cs="Arial"/>
        </w:rPr>
      </w:pPr>
      <w:r w:rsidRPr="00CE1674">
        <w:rPr>
          <w:rFonts w:ascii="Arial" w:hAnsi="Arial" w:cs="Arial"/>
        </w:rPr>
        <w:t>Budget planning and advice for returns and SFVS.</w:t>
      </w:r>
    </w:p>
    <w:p w14:paraId="411A7B5E" w14:textId="77777777" w:rsidR="00C26FA1" w:rsidRPr="00CE1674" w:rsidRDefault="00C26FA1" w:rsidP="00C26FA1">
      <w:pPr>
        <w:pStyle w:val="ListParagraph"/>
        <w:numPr>
          <w:ilvl w:val="0"/>
          <w:numId w:val="4"/>
        </w:numPr>
        <w:spacing w:line="259" w:lineRule="auto"/>
        <w:rPr>
          <w:rFonts w:ascii="Arial" w:hAnsi="Arial" w:cs="Arial"/>
        </w:rPr>
      </w:pPr>
      <w:r w:rsidRPr="00CE1674">
        <w:rPr>
          <w:rFonts w:ascii="Arial" w:hAnsi="Arial" w:cs="Arial"/>
        </w:rPr>
        <w:t>Guidance on Licensed Deficit Applications and Avoidance Plans.</w:t>
      </w:r>
    </w:p>
    <w:p w14:paraId="7E930B52" w14:textId="77777777" w:rsidR="00423980" w:rsidRPr="00CE1674" w:rsidRDefault="00423980" w:rsidP="00C26FA1">
      <w:pPr>
        <w:spacing w:after="0"/>
        <w:rPr>
          <w:b/>
          <w:bCs/>
        </w:rPr>
      </w:pPr>
    </w:p>
    <w:p w14:paraId="75D03749" w14:textId="386C692B" w:rsidR="00C26FA1" w:rsidRPr="00CE1674" w:rsidRDefault="00C26FA1" w:rsidP="00C26FA1">
      <w:pPr>
        <w:spacing w:after="0"/>
        <w:rPr>
          <w:b/>
          <w:bCs/>
        </w:rPr>
      </w:pPr>
      <w:r w:rsidRPr="00CE1674">
        <w:rPr>
          <w:b/>
          <w:bCs/>
        </w:rPr>
        <w:t>Financial &amp; Strategic Monitoring</w:t>
      </w:r>
    </w:p>
    <w:p w14:paraId="4FE5E713" w14:textId="77777777" w:rsidR="00C26FA1" w:rsidRPr="00CE1674" w:rsidRDefault="00C26FA1" w:rsidP="00C26FA1">
      <w:pPr>
        <w:pStyle w:val="ListParagraph"/>
        <w:numPr>
          <w:ilvl w:val="0"/>
          <w:numId w:val="5"/>
        </w:numPr>
        <w:spacing w:line="259" w:lineRule="auto"/>
        <w:rPr>
          <w:rFonts w:ascii="Arial" w:hAnsi="Arial" w:cs="Arial"/>
        </w:rPr>
      </w:pPr>
      <w:r w:rsidRPr="00CE1674">
        <w:rPr>
          <w:rFonts w:ascii="Arial" w:hAnsi="Arial" w:cs="Arial"/>
        </w:rPr>
        <w:t>Priority monitoring and guidance for schools in deficit.</w:t>
      </w:r>
    </w:p>
    <w:p w14:paraId="41DEB1F9" w14:textId="33B1DE5C" w:rsidR="00C26FA1" w:rsidRPr="00CE1674" w:rsidRDefault="00C26FA1" w:rsidP="00C26FA1">
      <w:pPr>
        <w:pStyle w:val="ListParagraph"/>
        <w:numPr>
          <w:ilvl w:val="0"/>
          <w:numId w:val="5"/>
        </w:numPr>
        <w:spacing w:line="259" w:lineRule="auto"/>
        <w:rPr>
          <w:rFonts w:ascii="Arial" w:hAnsi="Arial" w:cs="Arial"/>
        </w:rPr>
      </w:pPr>
      <w:r w:rsidRPr="00CE1674">
        <w:rPr>
          <w:rFonts w:ascii="Arial" w:hAnsi="Arial" w:cs="Arial"/>
        </w:rPr>
        <w:t xml:space="preserve">Monthly check-ins to track budgets, address </w:t>
      </w:r>
      <w:r w:rsidR="00D63515" w:rsidRPr="00CE1674">
        <w:rPr>
          <w:rFonts w:ascii="Arial" w:hAnsi="Arial" w:cs="Arial"/>
        </w:rPr>
        <w:t>overspends and</w:t>
      </w:r>
      <w:r w:rsidRPr="00CE1674">
        <w:rPr>
          <w:rFonts w:ascii="Arial" w:hAnsi="Arial" w:cs="Arial"/>
        </w:rPr>
        <w:t xml:space="preserve"> mitigate risks.</w:t>
      </w:r>
    </w:p>
    <w:p w14:paraId="175E70C8" w14:textId="77777777" w:rsidR="00C26FA1" w:rsidRPr="00CE1674" w:rsidRDefault="00C26FA1" w:rsidP="00C26FA1">
      <w:pPr>
        <w:pStyle w:val="ListParagraph"/>
        <w:numPr>
          <w:ilvl w:val="0"/>
          <w:numId w:val="5"/>
        </w:numPr>
        <w:spacing w:line="259" w:lineRule="auto"/>
        <w:rPr>
          <w:rFonts w:ascii="Arial" w:hAnsi="Arial" w:cs="Arial"/>
        </w:rPr>
      </w:pPr>
      <w:r w:rsidRPr="00CE1674">
        <w:rPr>
          <w:rFonts w:ascii="Arial" w:hAnsi="Arial" w:cs="Arial"/>
        </w:rPr>
        <w:t>Stronger financial monitoring, including budget profiling, cash flow, and project management.</w:t>
      </w:r>
    </w:p>
    <w:p w14:paraId="1D195B89" w14:textId="77777777" w:rsidR="00C26FA1" w:rsidRPr="00CE1674" w:rsidRDefault="00C26FA1" w:rsidP="00C26FA1">
      <w:pPr>
        <w:pStyle w:val="ListParagraph"/>
        <w:numPr>
          <w:ilvl w:val="0"/>
          <w:numId w:val="5"/>
        </w:numPr>
        <w:spacing w:line="259" w:lineRule="auto"/>
        <w:rPr>
          <w:rFonts w:ascii="Arial" w:hAnsi="Arial" w:cs="Arial"/>
        </w:rPr>
      </w:pPr>
      <w:r w:rsidRPr="00CE1674">
        <w:rPr>
          <w:rFonts w:ascii="Arial" w:hAnsi="Arial" w:cs="Arial"/>
        </w:rPr>
        <w:t>Detailed quarterly reviews to ensure spending is on track.</w:t>
      </w:r>
    </w:p>
    <w:p w14:paraId="70D9570E" w14:textId="77777777" w:rsidR="00C26FA1" w:rsidRPr="00CE1674" w:rsidRDefault="00C26FA1" w:rsidP="00C26FA1">
      <w:pPr>
        <w:spacing w:after="0"/>
      </w:pPr>
    </w:p>
    <w:p w14:paraId="254A16B8" w14:textId="2F4F9E9C" w:rsidR="00C26FA1" w:rsidRPr="00CE1674" w:rsidRDefault="00C26FA1" w:rsidP="00C26FA1">
      <w:pPr>
        <w:spacing w:after="0"/>
        <w:rPr>
          <w:b/>
          <w:bCs/>
        </w:rPr>
      </w:pPr>
      <w:r w:rsidRPr="00CE1674">
        <w:rPr>
          <w:b/>
          <w:bCs/>
        </w:rPr>
        <w:t>What Schools Experience</w:t>
      </w:r>
    </w:p>
    <w:p w14:paraId="26565960" w14:textId="77777777" w:rsidR="00C26FA1" w:rsidRPr="00CE1674" w:rsidRDefault="00C26FA1" w:rsidP="00C26FA1">
      <w:pPr>
        <w:pStyle w:val="ListParagraph"/>
        <w:numPr>
          <w:ilvl w:val="0"/>
          <w:numId w:val="6"/>
        </w:numPr>
        <w:spacing w:line="259" w:lineRule="auto"/>
        <w:rPr>
          <w:rFonts w:ascii="Arial" w:hAnsi="Arial" w:cs="Arial"/>
        </w:rPr>
      </w:pPr>
      <w:r w:rsidRPr="00CE1674">
        <w:rPr>
          <w:rFonts w:ascii="Arial" w:hAnsi="Arial" w:cs="Arial"/>
        </w:rPr>
        <w:t>Monthly review call/meeting (phone, team, or online).</w:t>
      </w:r>
    </w:p>
    <w:p w14:paraId="59AF8B1E" w14:textId="77777777" w:rsidR="00C26FA1" w:rsidRPr="00CE1674" w:rsidRDefault="00C26FA1" w:rsidP="00C26FA1">
      <w:pPr>
        <w:pStyle w:val="ListParagraph"/>
        <w:numPr>
          <w:ilvl w:val="0"/>
          <w:numId w:val="6"/>
        </w:numPr>
        <w:spacing w:line="259" w:lineRule="auto"/>
        <w:rPr>
          <w:rFonts w:ascii="Arial" w:hAnsi="Arial" w:cs="Arial"/>
        </w:rPr>
      </w:pPr>
      <w:r w:rsidRPr="00CE1674">
        <w:rPr>
          <w:rFonts w:ascii="Arial" w:hAnsi="Arial" w:cs="Arial"/>
        </w:rPr>
        <w:t>Termly detailed review to inform Governing Body reports.</w:t>
      </w:r>
    </w:p>
    <w:p w14:paraId="3E78F689" w14:textId="77777777" w:rsidR="00C26FA1" w:rsidRPr="00CE1674" w:rsidRDefault="00C26FA1" w:rsidP="00C26FA1">
      <w:pPr>
        <w:pStyle w:val="ListParagraph"/>
        <w:numPr>
          <w:ilvl w:val="0"/>
          <w:numId w:val="6"/>
        </w:numPr>
        <w:spacing w:line="259" w:lineRule="auto"/>
        <w:rPr>
          <w:rFonts w:ascii="Arial" w:hAnsi="Arial" w:cs="Arial"/>
        </w:rPr>
      </w:pPr>
      <w:r w:rsidRPr="00CE1674">
        <w:rPr>
          <w:rFonts w:ascii="Arial" w:hAnsi="Arial" w:cs="Arial"/>
        </w:rPr>
        <w:t>For deficit schools: monthly progress and termly review reports must go to the LDA Project Board.</w:t>
      </w:r>
    </w:p>
    <w:p w14:paraId="4196AA2E" w14:textId="77777777" w:rsidR="00C26FA1" w:rsidRPr="00CE1674" w:rsidRDefault="00C26FA1" w:rsidP="00C26FA1">
      <w:pPr>
        <w:pStyle w:val="ListParagraph"/>
        <w:numPr>
          <w:ilvl w:val="0"/>
          <w:numId w:val="6"/>
        </w:numPr>
        <w:spacing w:line="259" w:lineRule="auto"/>
        <w:rPr>
          <w:rFonts w:ascii="Arial" w:hAnsi="Arial" w:cs="Arial"/>
        </w:rPr>
      </w:pPr>
      <w:r w:rsidRPr="00CE1674">
        <w:rPr>
          <w:rFonts w:ascii="Arial" w:hAnsi="Arial" w:cs="Arial"/>
        </w:rPr>
        <w:t>Annual budget and strategy advice using DfE benchmarks.</w:t>
      </w:r>
    </w:p>
    <w:p w14:paraId="4C0B7A55" w14:textId="77777777" w:rsidR="00C26FA1" w:rsidRPr="00CE1674" w:rsidRDefault="00C26FA1" w:rsidP="00C26FA1">
      <w:pPr>
        <w:pStyle w:val="ListParagraph"/>
        <w:numPr>
          <w:ilvl w:val="0"/>
          <w:numId w:val="6"/>
        </w:numPr>
        <w:spacing w:line="259" w:lineRule="auto"/>
        <w:rPr>
          <w:rFonts w:ascii="Arial" w:hAnsi="Arial" w:cs="Arial"/>
        </w:rPr>
      </w:pPr>
      <w:r w:rsidRPr="00CE1674">
        <w:rPr>
          <w:rFonts w:ascii="Arial" w:hAnsi="Arial" w:cs="Arial"/>
        </w:rPr>
        <w:t>Coaching, mentoring, options appraisals, and project management (as agreed).</w:t>
      </w:r>
    </w:p>
    <w:p w14:paraId="6F60DDA0" w14:textId="77777777" w:rsidR="00C26FA1" w:rsidRPr="00CE1674" w:rsidRDefault="00C26FA1" w:rsidP="00C26FA1">
      <w:pPr>
        <w:pStyle w:val="ListParagraph"/>
        <w:numPr>
          <w:ilvl w:val="0"/>
          <w:numId w:val="6"/>
        </w:numPr>
        <w:spacing w:line="259" w:lineRule="auto"/>
        <w:rPr>
          <w:rFonts w:ascii="Arial" w:hAnsi="Arial" w:cs="Arial"/>
        </w:rPr>
      </w:pPr>
      <w:r w:rsidRPr="00CE1674">
        <w:rPr>
          <w:rFonts w:ascii="Arial" w:hAnsi="Arial" w:cs="Arial"/>
        </w:rPr>
        <w:t>Greater scrutiny of Quarterly Returns from the LDA Project Board.</w:t>
      </w:r>
    </w:p>
    <w:p w14:paraId="5D9D8A3E" w14:textId="77777777" w:rsidR="00E62831" w:rsidRDefault="00E62831" w:rsidP="00E62831">
      <w:pPr>
        <w:spacing w:after="0"/>
        <w:rPr>
          <w:b/>
          <w:bCs/>
        </w:rPr>
      </w:pPr>
    </w:p>
    <w:p w14:paraId="5859A877" w14:textId="02A3D895" w:rsidR="00D13465" w:rsidRDefault="00D13465" w:rsidP="00D13465">
      <w:pPr>
        <w:pStyle w:val="Heading2"/>
      </w:pPr>
      <w:r>
        <w:t>Timeline</w:t>
      </w:r>
    </w:p>
    <w:p w14:paraId="0C6EE8D5" w14:textId="77777777" w:rsidR="00D13465" w:rsidRPr="00E62831" w:rsidRDefault="00D13465" w:rsidP="00E62831">
      <w:pPr>
        <w:spacing w:after="0"/>
      </w:pPr>
    </w:p>
    <w:tbl>
      <w:tblPr>
        <w:tblStyle w:val="TableGrid"/>
        <w:tblW w:w="0" w:type="auto"/>
        <w:tblLook w:val="04A0" w:firstRow="1" w:lastRow="0" w:firstColumn="1" w:lastColumn="0" w:noHBand="0" w:noVBand="1"/>
      </w:tblPr>
      <w:tblGrid>
        <w:gridCol w:w="1955"/>
        <w:gridCol w:w="7061"/>
      </w:tblGrid>
      <w:tr w:rsidR="00D13465" w:rsidRPr="00365F8C" w14:paraId="645E063D" w14:textId="77777777" w:rsidTr="00D13465">
        <w:tc>
          <w:tcPr>
            <w:tcW w:w="1955" w:type="dxa"/>
          </w:tcPr>
          <w:p w14:paraId="66B0A25F" w14:textId="77777777" w:rsidR="00D13465" w:rsidRPr="00CE1674" w:rsidRDefault="00D13465" w:rsidP="00845A81">
            <w:pPr>
              <w:spacing w:after="240"/>
              <w:ind w:right="601"/>
              <w:rPr>
                <w:rFonts w:eastAsia="Arial"/>
                <w:noProof/>
                <w:sz w:val="20"/>
                <w:szCs w:val="20"/>
              </w:rPr>
            </w:pPr>
            <w:bookmarkStart w:id="0" w:name="_Toc183085058"/>
            <w:r w:rsidRPr="00CE1674">
              <w:rPr>
                <w:rFonts w:eastAsia="Arial"/>
                <w:noProof/>
                <w:sz w:val="20"/>
                <w:szCs w:val="20"/>
              </w:rPr>
              <w:t>June 2025</w:t>
            </w:r>
          </w:p>
        </w:tc>
        <w:tc>
          <w:tcPr>
            <w:tcW w:w="7061" w:type="dxa"/>
          </w:tcPr>
          <w:p w14:paraId="7A06F1AE" w14:textId="77777777" w:rsidR="00D13465" w:rsidRPr="00CE1674" w:rsidRDefault="00D13465" w:rsidP="00845A81">
            <w:pPr>
              <w:spacing w:after="240"/>
              <w:ind w:right="601"/>
              <w:rPr>
                <w:rFonts w:eastAsia="Arial"/>
                <w:noProof/>
                <w:sz w:val="20"/>
                <w:szCs w:val="20"/>
              </w:rPr>
            </w:pPr>
            <w:r w:rsidRPr="00CE1674">
              <w:rPr>
                <w:rFonts w:eastAsia="Arial"/>
                <w:noProof/>
                <w:sz w:val="20"/>
                <w:szCs w:val="20"/>
              </w:rPr>
              <w:t xml:space="preserve">24 further schools (including eight academies) have met one or more of the three SOSG ‘at risk’ triggers. </w:t>
            </w:r>
          </w:p>
          <w:p w14:paraId="6CFBF911" w14:textId="77777777" w:rsidR="00D13465" w:rsidRPr="00CE1674" w:rsidRDefault="00D13465" w:rsidP="00D13465">
            <w:pPr>
              <w:pStyle w:val="ListParagraph"/>
              <w:numPr>
                <w:ilvl w:val="0"/>
                <w:numId w:val="9"/>
              </w:numPr>
              <w:spacing w:line="276" w:lineRule="auto"/>
              <w:ind w:right="601"/>
              <w:rPr>
                <w:rFonts w:ascii="Arial" w:eastAsia="Arial" w:hAnsi="Arial" w:cs="Arial"/>
                <w:noProof/>
                <w:sz w:val="20"/>
                <w:szCs w:val="20"/>
              </w:rPr>
            </w:pPr>
            <w:r w:rsidRPr="00CE1674">
              <w:rPr>
                <w:rFonts w:ascii="Arial" w:eastAsia="Arial" w:hAnsi="Arial" w:cs="Arial"/>
                <w:noProof/>
                <w:sz w:val="20"/>
                <w:szCs w:val="20"/>
              </w:rPr>
              <w:t>the quality of education is below standard, as determined by an Ofsted key judgement of ‘requires improvement or inadequate’.</w:t>
            </w:r>
          </w:p>
          <w:p w14:paraId="198EFDC9" w14:textId="77777777" w:rsidR="00D13465" w:rsidRPr="00CE1674" w:rsidRDefault="00D13465" w:rsidP="00D13465">
            <w:pPr>
              <w:pStyle w:val="ListParagraph"/>
              <w:numPr>
                <w:ilvl w:val="0"/>
                <w:numId w:val="9"/>
              </w:numPr>
              <w:spacing w:line="276" w:lineRule="auto"/>
              <w:ind w:right="601"/>
              <w:rPr>
                <w:rFonts w:ascii="Arial" w:eastAsia="Arial" w:hAnsi="Arial" w:cs="Arial"/>
                <w:noProof/>
                <w:sz w:val="20"/>
                <w:szCs w:val="20"/>
              </w:rPr>
            </w:pPr>
            <w:r w:rsidRPr="00CE1674">
              <w:rPr>
                <w:rFonts w:ascii="Arial" w:eastAsia="Arial" w:hAnsi="Arial" w:cs="Arial"/>
                <w:noProof/>
                <w:sz w:val="20"/>
                <w:szCs w:val="20"/>
              </w:rPr>
              <w:t>In year income does not meet expenditure and school surpluses are reducing and will “run out” within the next three years, with no matching organisational change plan (or have already).</w:t>
            </w:r>
          </w:p>
          <w:p w14:paraId="264F94E8" w14:textId="17EB9D59" w:rsidR="00D13465" w:rsidRPr="00CE1674" w:rsidRDefault="00D13465" w:rsidP="00845A81">
            <w:pPr>
              <w:pStyle w:val="ListParagraph"/>
              <w:numPr>
                <w:ilvl w:val="0"/>
                <w:numId w:val="9"/>
              </w:numPr>
              <w:spacing w:after="240"/>
              <w:ind w:right="601"/>
              <w:rPr>
                <w:rFonts w:ascii="Arial" w:eastAsia="Arial" w:hAnsi="Arial" w:cs="Arial"/>
                <w:noProof/>
                <w:sz w:val="20"/>
                <w:szCs w:val="20"/>
              </w:rPr>
            </w:pPr>
            <w:r w:rsidRPr="00CE1674">
              <w:rPr>
                <w:rFonts w:ascii="Arial" w:eastAsia="Arial" w:hAnsi="Arial" w:cs="Arial"/>
                <w:noProof/>
                <w:sz w:val="20"/>
                <w:szCs w:val="20"/>
              </w:rPr>
              <w:t>More than two year groups have 15% + vacancies, or more than 35 vacancies in a 1 FE school</w:t>
            </w:r>
          </w:p>
          <w:p w14:paraId="215210DF" w14:textId="27DA9CCF" w:rsidR="00D13465" w:rsidRPr="00CE1674" w:rsidRDefault="00D13465" w:rsidP="00845A81">
            <w:pPr>
              <w:spacing w:after="240"/>
              <w:ind w:right="601"/>
              <w:rPr>
                <w:rFonts w:eastAsia="Arial"/>
                <w:noProof/>
                <w:sz w:val="20"/>
                <w:szCs w:val="20"/>
              </w:rPr>
            </w:pPr>
            <w:r w:rsidRPr="00CE1674">
              <w:rPr>
                <w:rFonts w:eastAsia="Arial"/>
                <w:noProof/>
                <w:sz w:val="20"/>
                <w:szCs w:val="20"/>
              </w:rPr>
              <w:t>LA early communications sent out highlighted risk, mitgation and sustainability planning.</w:t>
            </w:r>
          </w:p>
        </w:tc>
      </w:tr>
      <w:tr w:rsidR="00D13465" w:rsidRPr="00365F8C" w14:paraId="4754CB35" w14:textId="77777777" w:rsidTr="00D13465">
        <w:tc>
          <w:tcPr>
            <w:tcW w:w="1955" w:type="dxa"/>
          </w:tcPr>
          <w:p w14:paraId="6726DCB7" w14:textId="361EF2FD" w:rsidR="00D13465" w:rsidRPr="00CE1674" w:rsidRDefault="00D13465" w:rsidP="00D13465">
            <w:pPr>
              <w:spacing w:after="240"/>
              <w:ind w:right="601"/>
              <w:rPr>
                <w:rFonts w:eastAsia="Arial"/>
                <w:noProof/>
                <w:sz w:val="20"/>
                <w:szCs w:val="20"/>
              </w:rPr>
            </w:pPr>
            <w:r w:rsidRPr="00CE1674">
              <w:rPr>
                <w:rFonts w:eastAsia="Arial"/>
                <w:noProof/>
                <w:sz w:val="20"/>
                <w:szCs w:val="20"/>
              </w:rPr>
              <w:t>June – July 2025</w:t>
            </w:r>
          </w:p>
        </w:tc>
        <w:tc>
          <w:tcPr>
            <w:tcW w:w="7061" w:type="dxa"/>
          </w:tcPr>
          <w:p w14:paraId="37FAF0FE" w14:textId="77777777" w:rsidR="00D13465" w:rsidRPr="00CE1674" w:rsidRDefault="00D13465" w:rsidP="00D13465">
            <w:pPr>
              <w:spacing w:after="240"/>
              <w:ind w:right="601"/>
              <w:rPr>
                <w:rFonts w:eastAsia="Arial"/>
                <w:noProof/>
                <w:sz w:val="20"/>
                <w:szCs w:val="20"/>
                <w:lang w:val="en-US"/>
              </w:rPr>
            </w:pPr>
            <w:r w:rsidRPr="00CE1674">
              <w:rPr>
                <w:rFonts w:eastAsia="Arial"/>
                <w:noProof/>
                <w:sz w:val="20"/>
                <w:szCs w:val="20"/>
              </w:rPr>
              <w:t xml:space="preserve">Final list of three further schools </w:t>
            </w:r>
            <w:r w:rsidRPr="00CE1674">
              <w:rPr>
                <w:rFonts w:eastAsia="Arial"/>
                <w:noProof/>
                <w:sz w:val="20"/>
                <w:szCs w:val="20"/>
                <w:lang w:val="en-US"/>
              </w:rPr>
              <w:t xml:space="preserve">identifed as being ”at risk” following Year End outcomes and receipt of three year plans.  </w:t>
            </w:r>
          </w:p>
          <w:p w14:paraId="30FC23C8" w14:textId="736FA7A0" w:rsidR="00D13465" w:rsidRPr="00CE1674" w:rsidRDefault="00D13465" w:rsidP="00D13465">
            <w:pPr>
              <w:spacing w:after="240"/>
              <w:ind w:right="601"/>
              <w:rPr>
                <w:rFonts w:eastAsia="Arial"/>
                <w:noProof/>
                <w:sz w:val="20"/>
                <w:szCs w:val="20"/>
                <w:lang w:val="en-US"/>
              </w:rPr>
            </w:pPr>
            <w:r w:rsidRPr="00CE1674">
              <w:rPr>
                <w:rFonts w:eastAsia="Arial"/>
                <w:noProof/>
                <w:sz w:val="20"/>
                <w:szCs w:val="20"/>
                <w:lang w:val="en-US"/>
              </w:rPr>
              <w:t xml:space="preserve">LDAs confirmed by the LA. </w:t>
            </w:r>
          </w:p>
          <w:p w14:paraId="53F56B86" w14:textId="760D6CC0" w:rsidR="00D13465" w:rsidRPr="00CE1674" w:rsidRDefault="00D13465" w:rsidP="00D13465">
            <w:pPr>
              <w:spacing w:after="240"/>
              <w:ind w:right="601"/>
              <w:rPr>
                <w:rFonts w:eastAsia="Arial"/>
                <w:noProof/>
                <w:sz w:val="20"/>
                <w:szCs w:val="20"/>
                <w:lang w:val="en-US"/>
              </w:rPr>
            </w:pPr>
            <w:r w:rsidRPr="00CE1674">
              <w:rPr>
                <w:rFonts w:eastAsia="Arial"/>
                <w:noProof/>
                <w:sz w:val="20"/>
                <w:szCs w:val="20"/>
                <w:lang w:val="en-US"/>
              </w:rPr>
              <w:t xml:space="preserve">Those schools were informed that that LA is engaging consultants to arrange meetings with the schools to better understand their issues. </w:t>
            </w:r>
          </w:p>
          <w:p w14:paraId="58EE4187" w14:textId="77777777" w:rsidR="00D13465" w:rsidRPr="00CE1674" w:rsidRDefault="00D13465" w:rsidP="00D13465">
            <w:pPr>
              <w:spacing w:after="240"/>
              <w:ind w:right="601"/>
              <w:rPr>
                <w:rFonts w:eastAsia="Arial"/>
                <w:noProof/>
                <w:sz w:val="20"/>
                <w:szCs w:val="20"/>
              </w:rPr>
            </w:pPr>
          </w:p>
        </w:tc>
      </w:tr>
      <w:tr w:rsidR="00D13465" w:rsidRPr="00365F8C" w14:paraId="7256C66C" w14:textId="77777777" w:rsidTr="00D13465">
        <w:tc>
          <w:tcPr>
            <w:tcW w:w="1955" w:type="dxa"/>
          </w:tcPr>
          <w:p w14:paraId="377B2EBF" w14:textId="7F1347FC" w:rsidR="00D13465" w:rsidRPr="00CE1674" w:rsidRDefault="00D13465" w:rsidP="00845A81">
            <w:pPr>
              <w:spacing w:after="240"/>
              <w:ind w:right="601"/>
              <w:rPr>
                <w:rFonts w:eastAsia="Arial"/>
                <w:noProof/>
                <w:sz w:val="20"/>
                <w:szCs w:val="20"/>
              </w:rPr>
            </w:pPr>
            <w:r w:rsidRPr="00CE1674">
              <w:rPr>
                <w:rFonts w:eastAsia="Arial"/>
                <w:noProof/>
                <w:sz w:val="20"/>
                <w:szCs w:val="20"/>
              </w:rPr>
              <w:lastRenderedPageBreak/>
              <w:t>September 2025</w:t>
            </w:r>
          </w:p>
        </w:tc>
        <w:tc>
          <w:tcPr>
            <w:tcW w:w="7061" w:type="dxa"/>
          </w:tcPr>
          <w:p w14:paraId="0BBD2590" w14:textId="01900C78" w:rsidR="00D13465" w:rsidRPr="00CE1674" w:rsidRDefault="00D13465" w:rsidP="00845A81">
            <w:pPr>
              <w:spacing w:after="240"/>
              <w:ind w:right="601"/>
              <w:rPr>
                <w:rFonts w:eastAsia="Arial"/>
                <w:noProof/>
                <w:sz w:val="20"/>
                <w:szCs w:val="20"/>
              </w:rPr>
            </w:pPr>
            <w:r w:rsidRPr="00CE1674">
              <w:rPr>
                <w:rFonts w:eastAsia="Arial"/>
                <w:noProof/>
                <w:sz w:val="20"/>
                <w:szCs w:val="20"/>
              </w:rPr>
              <w:t xml:space="preserve">Submission of LDAs. </w:t>
            </w:r>
          </w:p>
        </w:tc>
      </w:tr>
      <w:tr w:rsidR="00072946" w:rsidRPr="00365F8C" w14:paraId="79D71FDA" w14:textId="77777777" w:rsidTr="00D13465">
        <w:tc>
          <w:tcPr>
            <w:tcW w:w="1955" w:type="dxa"/>
          </w:tcPr>
          <w:p w14:paraId="49B53599" w14:textId="5E3C23E7" w:rsidR="00072946" w:rsidRPr="00CE1674" w:rsidRDefault="00072946" w:rsidP="00845A81">
            <w:pPr>
              <w:spacing w:after="240"/>
              <w:ind w:right="601"/>
              <w:rPr>
                <w:rFonts w:eastAsia="Arial"/>
                <w:noProof/>
                <w:sz w:val="20"/>
                <w:szCs w:val="20"/>
              </w:rPr>
            </w:pPr>
            <w:r w:rsidRPr="00CE1674">
              <w:rPr>
                <w:rFonts w:eastAsia="Arial"/>
                <w:noProof/>
                <w:sz w:val="20"/>
                <w:szCs w:val="20"/>
              </w:rPr>
              <w:t>Novemeber / December 2025</w:t>
            </w:r>
          </w:p>
        </w:tc>
        <w:tc>
          <w:tcPr>
            <w:tcW w:w="7061" w:type="dxa"/>
          </w:tcPr>
          <w:p w14:paraId="47D60DAA" w14:textId="38E2D64E" w:rsidR="00072946" w:rsidRPr="00CE1674" w:rsidRDefault="00072946" w:rsidP="00845A81">
            <w:pPr>
              <w:spacing w:after="240"/>
              <w:ind w:right="601"/>
              <w:rPr>
                <w:rFonts w:eastAsia="Arial"/>
                <w:noProof/>
                <w:sz w:val="20"/>
                <w:szCs w:val="20"/>
              </w:rPr>
            </w:pPr>
            <w:r w:rsidRPr="00CE1674">
              <w:rPr>
                <w:rFonts w:eastAsia="Arial"/>
                <w:noProof/>
                <w:sz w:val="20"/>
                <w:szCs w:val="20"/>
              </w:rPr>
              <w:t>LA conducts further review of the 24 schools that previously met ‘at risk’ triggers and others following the autumn pupil census and Q2 returns.</w:t>
            </w:r>
          </w:p>
        </w:tc>
      </w:tr>
      <w:tr w:rsidR="00072946" w:rsidRPr="00365F8C" w14:paraId="3556A377" w14:textId="77777777" w:rsidTr="00D13465">
        <w:tc>
          <w:tcPr>
            <w:tcW w:w="1955" w:type="dxa"/>
          </w:tcPr>
          <w:p w14:paraId="17A66A3D" w14:textId="5DDE84F7" w:rsidR="00072946" w:rsidRPr="00CE1674" w:rsidRDefault="00072946" w:rsidP="00845A81">
            <w:pPr>
              <w:spacing w:after="240"/>
              <w:ind w:right="601"/>
              <w:rPr>
                <w:rFonts w:eastAsia="Arial"/>
                <w:noProof/>
                <w:sz w:val="20"/>
                <w:szCs w:val="20"/>
              </w:rPr>
            </w:pPr>
            <w:r w:rsidRPr="00CE1674">
              <w:rPr>
                <w:rFonts w:eastAsia="Arial"/>
                <w:noProof/>
                <w:sz w:val="20"/>
                <w:szCs w:val="20"/>
              </w:rPr>
              <w:t>Spring 2026</w:t>
            </w:r>
          </w:p>
        </w:tc>
        <w:tc>
          <w:tcPr>
            <w:tcW w:w="7061" w:type="dxa"/>
          </w:tcPr>
          <w:p w14:paraId="66466326" w14:textId="51CAB095" w:rsidR="00072946" w:rsidRPr="00CE1674" w:rsidRDefault="00072946" w:rsidP="00845A81">
            <w:pPr>
              <w:spacing w:after="240"/>
              <w:ind w:right="601"/>
              <w:rPr>
                <w:rFonts w:eastAsia="Arial"/>
                <w:noProof/>
                <w:sz w:val="20"/>
                <w:szCs w:val="20"/>
              </w:rPr>
            </w:pPr>
            <w:r w:rsidRPr="00CE1674">
              <w:rPr>
                <w:rFonts w:eastAsia="Arial"/>
                <w:noProof/>
                <w:sz w:val="20"/>
                <w:szCs w:val="20"/>
              </w:rPr>
              <w:t xml:space="preserve">LA to meet with schools causing continuing concern, schools provide risk assessment and recovery plans. </w:t>
            </w:r>
          </w:p>
        </w:tc>
      </w:tr>
    </w:tbl>
    <w:p w14:paraId="4F4C2E30" w14:textId="77777777" w:rsidR="00D13465" w:rsidRDefault="00D13465" w:rsidP="00423980">
      <w:pPr>
        <w:pStyle w:val="Heading2"/>
      </w:pPr>
    </w:p>
    <w:p w14:paraId="3D9C7468" w14:textId="77777777" w:rsidR="00D13465" w:rsidRDefault="00D13465" w:rsidP="00423980">
      <w:pPr>
        <w:pStyle w:val="Heading2"/>
      </w:pPr>
    </w:p>
    <w:p w14:paraId="6546BD2F" w14:textId="362A8443" w:rsidR="00423980" w:rsidRDefault="00423980" w:rsidP="00423980">
      <w:pPr>
        <w:pStyle w:val="Heading2"/>
      </w:pPr>
      <w:r>
        <w:t>Maintained Nurseries Project</w:t>
      </w:r>
      <w:bookmarkEnd w:id="0"/>
    </w:p>
    <w:p w14:paraId="360E1A8B" w14:textId="77777777" w:rsidR="00D13465" w:rsidRPr="00CE1674" w:rsidRDefault="00D13465" w:rsidP="00423980">
      <w:pPr>
        <w:rPr>
          <w:rFonts w:ascii="Century Gothic" w:eastAsia="Arial" w:hAnsi="Century Gothic"/>
          <w:noProof/>
        </w:rPr>
      </w:pPr>
    </w:p>
    <w:p w14:paraId="2B17E4D9" w14:textId="56FCA9E2" w:rsidR="00423980" w:rsidRPr="00CE1674" w:rsidRDefault="00423980" w:rsidP="00423980">
      <w:r w:rsidRPr="00CE1674">
        <w:t xml:space="preserve">There are now three maintained nursery schools in Tower Hamlets. </w:t>
      </w:r>
    </w:p>
    <w:p w14:paraId="4EB31D3E" w14:textId="5638E293" w:rsidR="00423980" w:rsidRPr="00CE1674" w:rsidRDefault="00D13465" w:rsidP="00423980">
      <w:pPr>
        <w:spacing w:after="0"/>
      </w:pPr>
      <w:r w:rsidRPr="00CE1674">
        <w:t xml:space="preserve">Of the three, two continue to </w:t>
      </w:r>
      <w:r w:rsidR="00423980" w:rsidRPr="00CE1674">
        <w:t>face significant challenges and consider themselves to be vulnerable,</w:t>
      </w:r>
      <w:r w:rsidRPr="00CE1674">
        <w:t xml:space="preserve"> with</w:t>
      </w:r>
      <w:r w:rsidR="00423980" w:rsidRPr="00CE1674">
        <w:t xml:space="preserve"> licensed deficits.  Nursery schools are being supported through the LD</w:t>
      </w:r>
      <w:r w:rsidRPr="00CE1674">
        <w:t>A Project</w:t>
      </w:r>
      <w:r w:rsidR="00423980" w:rsidRPr="00CE1674">
        <w:t xml:space="preserve"> to confirm robust budget processes and to consider </w:t>
      </w:r>
      <w:r w:rsidRPr="00CE1674">
        <w:t xml:space="preserve">organisational change and/or </w:t>
      </w:r>
      <w:r w:rsidR="00423980" w:rsidRPr="00CE1674">
        <w:t>new formal partnerships</w:t>
      </w:r>
      <w:r w:rsidRPr="00CE1674">
        <w:t xml:space="preserve"> </w:t>
      </w:r>
      <w:r w:rsidR="00423980" w:rsidRPr="00CE1674">
        <w:t>as the best solutions for their communities. This approach will ensure financial assurance and protect nursery provision into the future</w:t>
      </w:r>
      <w:r w:rsidRPr="00CE1674">
        <w:t>.  This includes</w:t>
      </w:r>
      <w:r w:rsidR="00423980" w:rsidRPr="00CE1674">
        <w:t>:</w:t>
      </w:r>
    </w:p>
    <w:p w14:paraId="4875A725" w14:textId="77777777" w:rsidR="00423980" w:rsidRPr="00CE1674" w:rsidRDefault="00423980" w:rsidP="00423980">
      <w:pPr>
        <w:spacing w:after="0"/>
      </w:pPr>
    </w:p>
    <w:p w14:paraId="5DD34596" w14:textId="2C279E35" w:rsidR="00423980" w:rsidRPr="00CE1674" w:rsidRDefault="00423980" w:rsidP="00423980">
      <w:pPr>
        <w:spacing w:after="0"/>
        <w:ind w:left="720" w:hanging="720"/>
        <w:rPr>
          <w:rFonts w:eastAsia="Arial"/>
          <w:noProof/>
        </w:rPr>
      </w:pPr>
      <w:r w:rsidRPr="00CE1674">
        <w:rPr>
          <w:rFonts w:eastAsia="Arial"/>
          <w:noProof/>
        </w:rPr>
        <w:t>•</w:t>
      </w:r>
      <w:r w:rsidRPr="00CE1674">
        <w:rPr>
          <w:rFonts w:eastAsia="Arial"/>
          <w:noProof/>
        </w:rPr>
        <w:tab/>
        <w:t xml:space="preserve">Columbia Market Nursery continuing to explore explore possible partnerships in the local area, including potential academy trust links, </w:t>
      </w:r>
      <w:r w:rsidR="00871EE6">
        <w:rPr>
          <w:rFonts w:eastAsia="Arial"/>
          <w:noProof/>
        </w:rPr>
        <w:t xml:space="preserve">or </w:t>
      </w:r>
      <w:r w:rsidRPr="00CE1674">
        <w:rPr>
          <w:rFonts w:eastAsia="Arial"/>
          <w:noProof/>
        </w:rPr>
        <w:t>a move int</w:t>
      </w:r>
      <w:r w:rsidR="00D13465" w:rsidRPr="00CE1674">
        <w:rPr>
          <w:rFonts w:eastAsia="Arial"/>
          <w:noProof/>
        </w:rPr>
        <w:t>o</w:t>
      </w:r>
      <w:r w:rsidRPr="00CE1674">
        <w:rPr>
          <w:rFonts w:eastAsia="Arial"/>
          <w:noProof/>
        </w:rPr>
        <w:t xml:space="preserve"> the PVI sect</w:t>
      </w:r>
      <w:r w:rsidR="00D13465" w:rsidRPr="00CE1674">
        <w:rPr>
          <w:rFonts w:eastAsia="Arial"/>
          <w:noProof/>
        </w:rPr>
        <w:t>or</w:t>
      </w:r>
    </w:p>
    <w:p w14:paraId="5C0EE0A2" w14:textId="30A814D2" w:rsidR="00C26FA1" w:rsidRPr="000D69D3" w:rsidRDefault="00423980" w:rsidP="000D69D3">
      <w:pPr>
        <w:spacing w:after="0"/>
        <w:ind w:left="720" w:hanging="720"/>
        <w:rPr>
          <w:rFonts w:eastAsia="Arial"/>
          <w:noProof/>
        </w:rPr>
      </w:pPr>
      <w:r w:rsidRPr="00CE1674">
        <w:rPr>
          <w:rFonts w:eastAsia="Arial"/>
          <w:noProof/>
        </w:rPr>
        <w:t>•</w:t>
      </w:r>
      <w:r w:rsidRPr="00CE1674">
        <w:rPr>
          <w:rFonts w:eastAsia="Arial"/>
          <w:noProof/>
        </w:rPr>
        <w:tab/>
        <w:t>Alice Model Nursery School continuing to explore possible partnership options</w:t>
      </w:r>
      <w:r w:rsidR="00D13465" w:rsidRPr="00CE1674">
        <w:rPr>
          <w:rFonts w:eastAsia="Arial"/>
          <w:noProof/>
        </w:rPr>
        <w:t xml:space="preserve"> with maintained </w:t>
      </w:r>
      <w:r w:rsidR="00871EE6">
        <w:rPr>
          <w:rFonts w:eastAsia="Arial"/>
          <w:noProof/>
        </w:rPr>
        <w:t xml:space="preserve">primary </w:t>
      </w:r>
      <w:r w:rsidR="00D13465" w:rsidRPr="00CE1674">
        <w:rPr>
          <w:rFonts w:eastAsia="Arial"/>
          <w:noProof/>
        </w:rPr>
        <w:t>schools</w:t>
      </w:r>
      <w:r w:rsidRPr="00CE1674">
        <w:rPr>
          <w:rFonts w:eastAsia="Arial"/>
          <w:noProof/>
        </w:rPr>
        <w:t>.</w:t>
      </w:r>
    </w:p>
    <w:p w14:paraId="7E20F45E" w14:textId="77777777" w:rsidR="00871EE6" w:rsidRDefault="00871EE6" w:rsidP="00C26FA1">
      <w:pPr>
        <w:spacing w:line="259" w:lineRule="auto"/>
      </w:pPr>
    </w:p>
    <w:p w14:paraId="274B0DF2" w14:textId="3B337802" w:rsidR="00F95B30" w:rsidRDefault="00F95B30" w:rsidP="000D69D3">
      <w:pPr>
        <w:pStyle w:val="Heading2"/>
      </w:pPr>
      <w:r>
        <w:t>Appendices</w:t>
      </w:r>
    </w:p>
    <w:p w14:paraId="37353111" w14:textId="1EF7E173" w:rsidR="00F95B30" w:rsidRPr="00F95B30" w:rsidRDefault="00F842B5" w:rsidP="00F95B30">
      <w:r>
        <w:t xml:space="preserve">Appendix 1 </w:t>
      </w:r>
      <w:r w:rsidR="00F95B30">
        <w:t xml:space="preserve">Consultant </w:t>
      </w:r>
      <w:r>
        <w:t>P</w:t>
      </w:r>
      <w:r w:rsidR="00F95B30">
        <w:t xml:space="preserve">rojected Costs </w:t>
      </w:r>
      <w:r>
        <w:t>V4</w:t>
      </w:r>
    </w:p>
    <w:sectPr w:rsidR="00F95B30" w:rsidRPr="00F95B30" w:rsidSect="00363A4D">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20839" w14:textId="77777777" w:rsidR="00BC2A0C" w:rsidRDefault="00BC2A0C" w:rsidP="00101F8B">
      <w:r>
        <w:separator/>
      </w:r>
    </w:p>
    <w:p w14:paraId="62124EA4" w14:textId="77777777" w:rsidR="00BC2A0C" w:rsidRDefault="00BC2A0C" w:rsidP="00101F8B"/>
    <w:p w14:paraId="735FE4E8" w14:textId="77777777" w:rsidR="00BC2A0C" w:rsidRDefault="00BC2A0C" w:rsidP="00101F8B"/>
    <w:p w14:paraId="40DD97BC" w14:textId="77777777" w:rsidR="00BC2A0C" w:rsidRDefault="00BC2A0C" w:rsidP="00101F8B"/>
    <w:p w14:paraId="1012E017" w14:textId="77777777" w:rsidR="00BC2A0C" w:rsidRDefault="00BC2A0C" w:rsidP="00101F8B"/>
    <w:p w14:paraId="3F2B8F33" w14:textId="77777777" w:rsidR="00BC2A0C" w:rsidRDefault="00BC2A0C" w:rsidP="00101F8B"/>
  </w:endnote>
  <w:endnote w:type="continuationSeparator" w:id="0">
    <w:p w14:paraId="6C1B9671" w14:textId="77777777" w:rsidR="00BC2A0C" w:rsidRDefault="00BC2A0C" w:rsidP="00101F8B">
      <w:r>
        <w:continuationSeparator/>
      </w:r>
    </w:p>
    <w:p w14:paraId="79676A1A" w14:textId="77777777" w:rsidR="00BC2A0C" w:rsidRDefault="00BC2A0C" w:rsidP="00101F8B"/>
    <w:p w14:paraId="0F5E6DCC" w14:textId="77777777" w:rsidR="00BC2A0C" w:rsidRDefault="00BC2A0C" w:rsidP="00101F8B"/>
    <w:p w14:paraId="34A6D273" w14:textId="77777777" w:rsidR="00BC2A0C" w:rsidRDefault="00BC2A0C" w:rsidP="00101F8B"/>
    <w:p w14:paraId="7EE4471C" w14:textId="77777777" w:rsidR="00BC2A0C" w:rsidRDefault="00BC2A0C" w:rsidP="00101F8B"/>
    <w:p w14:paraId="16890C5D" w14:textId="77777777" w:rsidR="00BC2A0C" w:rsidRDefault="00BC2A0C" w:rsidP="00101F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D7515" w14:textId="77777777" w:rsidR="00BC2A0C" w:rsidRDefault="00BC2A0C" w:rsidP="00101F8B">
      <w:r>
        <w:separator/>
      </w:r>
    </w:p>
    <w:p w14:paraId="6AD16C29" w14:textId="77777777" w:rsidR="00BC2A0C" w:rsidRDefault="00BC2A0C" w:rsidP="00101F8B"/>
    <w:p w14:paraId="7F2F504F" w14:textId="77777777" w:rsidR="00BC2A0C" w:rsidRDefault="00BC2A0C" w:rsidP="00101F8B"/>
    <w:p w14:paraId="5528EACC" w14:textId="77777777" w:rsidR="00BC2A0C" w:rsidRDefault="00BC2A0C" w:rsidP="00101F8B"/>
    <w:p w14:paraId="1DC476F1" w14:textId="77777777" w:rsidR="00BC2A0C" w:rsidRDefault="00BC2A0C" w:rsidP="00101F8B"/>
    <w:p w14:paraId="1513C56F" w14:textId="77777777" w:rsidR="00BC2A0C" w:rsidRDefault="00BC2A0C" w:rsidP="00101F8B"/>
  </w:footnote>
  <w:footnote w:type="continuationSeparator" w:id="0">
    <w:p w14:paraId="6FF7D1AD" w14:textId="77777777" w:rsidR="00BC2A0C" w:rsidRDefault="00BC2A0C" w:rsidP="00101F8B">
      <w:r>
        <w:continuationSeparator/>
      </w:r>
    </w:p>
    <w:p w14:paraId="1133CB5E" w14:textId="77777777" w:rsidR="00BC2A0C" w:rsidRDefault="00BC2A0C" w:rsidP="00101F8B"/>
    <w:p w14:paraId="0B0D8FD2" w14:textId="77777777" w:rsidR="00BC2A0C" w:rsidRDefault="00BC2A0C" w:rsidP="00101F8B"/>
    <w:p w14:paraId="22532762" w14:textId="77777777" w:rsidR="00BC2A0C" w:rsidRDefault="00BC2A0C" w:rsidP="00101F8B"/>
    <w:p w14:paraId="6B1AA800" w14:textId="77777777" w:rsidR="00BC2A0C" w:rsidRDefault="00BC2A0C" w:rsidP="00101F8B"/>
    <w:p w14:paraId="78ABFA30" w14:textId="77777777" w:rsidR="00BC2A0C" w:rsidRDefault="00BC2A0C" w:rsidP="00101F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236788552"/>
      <w:placeholder>
        <w:docPart w:val="492FDD029EBA414EBA389685C1224D77"/>
      </w:placeholder>
      <w:dataBinding w:prefixMappings="xmlns:ns0='http://purl.org/dc/elements/1.1/' xmlns:ns1='http://schemas.openxmlformats.org/package/2006/metadata/core-properties' " w:xpath="/ns1:coreProperties[1]/ns0:title[1]" w:storeItemID="{6C3C8BC8-F283-45AE-878A-BAB7291924A1}"/>
      <w:text/>
    </w:sdtPr>
    <w:sdtContent>
      <w:p w14:paraId="650719DE" w14:textId="28145FB3" w:rsidR="00F05C51" w:rsidRDefault="000D69D3">
        <w:pPr>
          <w:pStyle w:val="Header"/>
        </w:pPr>
        <w:r>
          <w:t>School Sustainability and Sufficiency</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6F02"/>
    <w:multiLevelType w:val="hybridMultilevel"/>
    <w:tmpl w:val="F5323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1628A"/>
    <w:multiLevelType w:val="hybridMultilevel"/>
    <w:tmpl w:val="0C940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C3770C"/>
    <w:multiLevelType w:val="hybridMultilevel"/>
    <w:tmpl w:val="4CB4F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204D1"/>
    <w:multiLevelType w:val="hybridMultilevel"/>
    <w:tmpl w:val="F612D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E8000C"/>
    <w:multiLevelType w:val="hybridMultilevel"/>
    <w:tmpl w:val="FC26D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835C81"/>
    <w:multiLevelType w:val="hybridMultilevel"/>
    <w:tmpl w:val="27DE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47497B"/>
    <w:multiLevelType w:val="hybridMultilevel"/>
    <w:tmpl w:val="7B12F8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945EC4"/>
    <w:multiLevelType w:val="hybridMultilevel"/>
    <w:tmpl w:val="C51EB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B20BD1"/>
    <w:multiLevelType w:val="hybridMultilevel"/>
    <w:tmpl w:val="0E74F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A258B1"/>
    <w:multiLevelType w:val="hybridMultilevel"/>
    <w:tmpl w:val="5A5E2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4382490">
    <w:abstractNumId w:val="2"/>
  </w:num>
  <w:num w:numId="2" w16cid:durableId="1549221083">
    <w:abstractNumId w:val="7"/>
  </w:num>
  <w:num w:numId="3" w16cid:durableId="1828088897">
    <w:abstractNumId w:val="4"/>
  </w:num>
  <w:num w:numId="4" w16cid:durableId="1622959350">
    <w:abstractNumId w:val="8"/>
  </w:num>
  <w:num w:numId="5" w16cid:durableId="1072194788">
    <w:abstractNumId w:val="5"/>
  </w:num>
  <w:num w:numId="6" w16cid:durableId="1251618014">
    <w:abstractNumId w:val="0"/>
  </w:num>
  <w:num w:numId="7" w16cid:durableId="322241127">
    <w:abstractNumId w:val="6"/>
  </w:num>
  <w:num w:numId="8" w16cid:durableId="1021056531">
    <w:abstractNumId w:val="1"/>
  </w:num>
  <w:num w:numId="9" w16cid:durableId="64500979">
    <w:abstractNumId w:val="9"/>
  </w:num>
  <w:num w:numId="10" w16cid:durableId="1075008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96"/>
    <w:rsid w:val="00017436"/>
    <w:rsid w:val="00070438"/>
    <w:rsid w:val="00072946"/>
    <w:rsid w:val="00080CA2"/>
    <w:rsid w:val="000A6597"/>
    <w:rsid w:val="000D1038"/>
    <w:rsid w:val="000D69D3"/>
    <w:rsid w:val="00101F8B"/>
    <w:rsid w:val="00114878"/>
    <w:rsid w:val="00124B58"/>
    <w:rsid w:val="0012520A"/>
    <w:rsid w:val="00132768"/>
    <w:rsid w:val="001357FA"/>
    <w:rsid w:val="001702A6"/>
    <w:rsid w:val="00173D7C"/>
    <w:rsid w:val="001D5881"/>
    <w:rsid w:val="00216D51"/>
    <w:rsid w:val="002609D8"/>
    <w:rsid w:val="002777D7"/>
    <w:rsid w:val="00284556"/>
    <w:rsid w:val="00297396"/>
    <w:rsid w:val="002B5E39"/>
    <w:rsid w:val="002C0105"/>
    <w:rsid w:val="003258C6"/>
    <w:rsid w:val="00363A4D"/>
    <w:rsid w:val="00423980"/>
    <w:rsid w:val="004362E7"/>
    <w:rsid w:val="004369A3"/>
    <w:rsid w:val="00534043"/>
    <w:rsid w:val="005E57A5"/>
    <w:rsid w:val="005F24B4"/>
    <w:rsid w:val="006A6700"/>
    <w:rsid w:val="00706F60"/>
    <w:rsid w:val="007604B3"/>
    <w:rsid w:val="007633E6"/>
    <w:rsid w:val="00774185"/>
    <w:rsid w:val="00783B02"/>
    <w:rsid w:val="00793A25"/>
    <w:rsid w:val="007B40D8"/>
    <w:rsid w:val="007C4F08"/>
    <w:rsid w:val="007C7CCE"/>
    <w:rsid w:val="007E1728"/>
    <w:rsid w:val="008158A3"/>
    <w:rsid w:val="00830DEC"/>
    <w:rsid w:val="00861D71"/>
    <w:rsid w:val="00871EE6"/>
    <w:rsid w:val="00880FFC"/>
    <w:rsid w:val="008B70E7"/>
    <w:rsid w:val="008D6F80"/>
    <w:rsid w:val="0093644A"/>
    <w:rsid w:val="00986595"/>
    <w:rsid w:val="00995896"/>
    <w:rsid w:val="009E4C47"/>
    <w:rsid w:val="00A16800"/>
    <w:rsid w:val="00A36F10"/>
    <w:rsid w:val="00A643E6"/>
    <w:rsid w:val="00AA6B8E"/>
    <w:rsid w:val="00AA79F3"/>
    <w:rsid w:val="00AB049E"/>
    <w:rsid w:val="00AB3D98"/>
    <w:rsid w:val="00AE3DB1"/>
    <w:rsid w:val="00B00094"/>
    <w:rsid w:val="00B10D01"/>
    <w:rsid w:val="00BA0597"/>
    <w:rsid w:val="00BA63ED"/>
    <w:rsid w:val="00BC2A0C"/>
    <w:rsid w:val="00BE6FB3"/>
    <w:rsid w:val="00C0093A"/>
    <w:rsid w:val="00C26FA1"/>
    <w:rsid w:val="00C967EF"/>
    <w:rsid w:val="00CC4CE1"/>
    <w:rsid w:val="00CE1674"/>
    <w:rsid w:val="00D01CB5"/>
    <w:rsid w:val="00D12072"/>
    <w:rsid w:val="00D13465"/>
    <w:rsid w:val="00D35DFF"/>
    <w:rsid w:val="00D4170D"/>
    <w:rsid w:val="00D63515"/>
    <w:rsid w:val="00D82CA3"/>
    <w:rsid w:val="00D9499F"/>
    <w:rsid w:val="00DA740D"/>
    <w:rsid w:val="00DC0596"/>
    <w:rsid w:val="00DF3C2C"/>
    <w:rsid w:val="00E056E4"/>
    <w:rsid w:val="00E5545F"/>
    <w:rsid w:val="00E60D14"/>
    <w:rsid w:val="00E62831"/>
    <w:rsid w:val="00F05C51"/>
    <w:rsid w:val="00F0755D"/>
    <w:rsid w:val="00F27FAC"/>
    <w:rsid w:val="00F4765F"/>
    <w:rsid w:val="00F5083F"/>
    <w:rsid w:val="00F81947"/>
    <w:rsid w:val="00F82AAB"/>
    <w:rsid w:val="00F842B5"/>
    <w:rsid w:val="00F95B30"/>
    <w:rsid w:val="00FD735E"/>
    <w:rsid w:val="00FE3068"/>
    <w:rsid w:val="00FF1C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2C817"/>
  <w15:chartTrackingRefBased/>
  <w15:docId w15:val="{7938D679-5EC0-4E09-AD93-A9599C8BB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F8B"/>
    <w:pPr>
      <w:spacing w:line="240" w:lineRule="auto"/>
    </w:pPr>
    <w:rPr>
      <w:rFonts w:ascii="Arial" w:eastAsiaTheme="minorEastAsia" w:hAnsi="Arial" w:cs="Arial"/>
      <w:sz w:val="24"/>
      <w:szCs w:val="24"/>
      <w:lang w:eastAsia="en-GB"/>
    </w:rPr>
  </w:style>
  <w:style w:type="paragraph" w:styleId="Heading1">
    <w:name w:val="heading 1"/>
    <w:basedOn w:val="Normal"/>
    <w:next w:val="Normal"/>
    <w:link w:val="Heading1Char"/>
    <w:uiPriority w:val="9"/>
    <w:qFormat/>
    <w:rsid w:val="00FE3068"/>
    <w:pPr>
      <w:spacing w:after="0"/>
      <w:outlineLvl w:val="0"/>
    </w:pPr>
    <w:rPr>
      <w:b/>
      <w:bCs/>
      <w:color w:val="0062AE"/>
      <w:sz w:val="32"/>
      <w:szCs w:val="36"/>
    </w:rPr>
  </w:style>
  <w:style w:type="paragraph" w:styleId="Heading2">
    <w:name w:val="heading 2"/>
    <w:basedOn w:val="Normal"/>
    <w:next w:val="Normal"/>
    <w:link w:val="Heading2Char"/>
    <w:uiPriority w:val="9"/>
    <w:unhideWhenUsed/>
    <w:qFormat/>
    <w:rsid w:val="00BE6FB3"/>
    <w:pPr>
      <w:spacing w:after="0"/>
      <w:outlineLvl w:val="1"/>
    </w:pPr>
    <w:rPr>
      <w:b/>
      <w:bCs/>
      <w:color w:val="319B3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596"/>
    <w:pPr>
      <w:tabs>
        <w:tab w:val="center" w:pos="4513"/>
        <w:tab w:val="right" w:pos="9026"/>
      </w:tabs>
      <w:spacing w:after="0"/>
    </w:pPr>
  </w:style>
  <w:style w:type="character" w:customStyle="1" w:styleId="HeaderChar">
    <w:name w:val="Header Char"/>
    <w:basedOn w:val="DefaultParagraphFont"/>
    <w:link w:val="Header"/>
    <w:uiPriority w:val="99"/>
    <w:rsid w:val="00DC0596"/>
  </w:style>
  <w:style w:type="paragraph" w:styleId="Footer">
    <w:name w:val="footer"/>
    <w:basedOn w:val="Normal"/>
    <w:link w:val="FooterChar"/>
    <w:uiPriority w:val="99"/>
    <w:unhideWhenUsed/>
    <w:rsid w:val="00DC0596"/>
    <w:pPr>
      <w:tabs>
        <w:tab w:val="center" w:pos="4513"/>
        <w:tab w:val="right" w:pos="9026"/>
      </w:tabs>
      <w:spacing w:after="0"/>
    </w:pPr>
  </w:style>
  <w:style w:type="character" w:customStyle="1" w:styleId="FooterChar">
    <w:name w:val="Footer Char"/>
    <w:basedOn w:val="DefaultParagraphFont"/>
    <w:link w:val="Footer"/>
    <w:uiPriority w:val="99"/>
    <w:rsid w:val="00DC0596"/>
  </w:style>
  <w:style w:type="character" w:styleId="PlaceholderText">
    <w:name w:val="Placeholder Text"/>
    <w:basedOn w:val="DefaultParagraphFont"/>
    <w:uiPriority w:val="99"/>
    <w:semiHidden/>
    <w:rsid w:val="00114878"/>
    <w:rPr>
      <w:color w:val="808080"/>
    </w:rPr>
  </w:style>
  <w:style w:type="character" w:customStyle="1" w:styleId="Heading1Char">
    <w:name w:val="Heading 1 Char"/>
    <w:basedOn w:val="DefaultParagraphFont"/>
    <w:link w:val="Heading1"/>
    <w:uiPriority w:val="9"/>
    <w:rsid w:val="00FE3068"/>
    <w:rPr>
      <w:rFonts w:ascii="Arial" w:eastAsiaTheme="minorEastAsia" w:hAnsi="Arial" w:cs="Arial"/>
      <w:b/>
      <w:bCs/>
      <w:color w:val="0062AE"/>
      <w:sz w:val="32"/>
      <w:szCs w:val="36"/>
      <w:lang w:eastAsia="en-GB"/>
    </w:rPr>
  </w:style>
  <w:style w:type="character" w:customStyle="1" w:styleId="Heading2Char">
    <w:name w:val="Heading 2 Char"/>
    <w:basedOn w:val="DefaultParagraphFont"/>
    <w:link w:val="Heading2"/>
    <w:uiPriority w:val="9"/>
    <w:rsid w:val="00BE6FB3"/>
    <w:rPr>
      <w:rFonts w:ascii="Arial" w:eastAsiaTheme="minorEastAsia" w:hAnsi="Arial" w:cs="Arial"/>
      <w:b/>
      <w:bCs/>
      <w:color w:val="319B31"/>
      <w:sz w:val="28"/>
      <w:szCs w:val="28"/>
      <w:lang w:eastAsia="en-GB"/>
    </w:rPr>
  </w:style>
  <w:style w:type="paragraph" w:styleId="Title">
    <w:name w:val="Title"/>
    <w:basedOn w:val="Normal"/>
    <w:next w:val="Normal"/>
    <w:link w:val="TitleChar"/>
    <w:uiPriority w:val="10"/>
    <w:qFormat/>
    <w:rsid w:val="00BE6FB3"/>
    <w:pPr>
      <w:spacing w:line="360" w:lineRule="auto"/>
    </w:pPr>
    <w:rPr>
      <w:rFonts w:eastAsia="Times New Roman"/>
      <w:b/>
      <w:bCs/>
      <w:noProof/>
      <w:color w:val="0062AE"/>
      <w:sz w:val="36"/>
      <w:szCs w:val="56"/>
    </w:rPr>
  </w:style>
  <w:style w:type="character" w:customStyle="1" w:styleId="TitleChar">
    <w:name w:val="Title Char"/>
    <w:basedOn w:val="DefaultParagraphFont"/>
    <w:link w:val="Title"/>
    <w:uiPriority w:val="10"/>
    <w:rsid w:val="00BE6FB3"/>
    <w:rPr>
      <w:rFonts w:ascii="Arial" w:eastAsia="Times New Roman" w:hAnsi="Arial" w:cs="Arial"/>
      <w:b/>
      <w:bCs/>
      <w:noProof/>
      <w:color w:val="0062AE"/>
      <w:sz w:val="36"/>
      <w:szCs w:val="56"/>
      <w:lang w:eastAsia="en-GB"/>
    </w:rPr>
  </w:style>
  <w:style w:type="paragraph" w:styleId="TOC1">
    <w:name w:val="toc 1"/>
    <w:basedOn w:val="Normal"/>
    <w:next w:val="Normal"/>
    <w:link w:val="TOC1Char"/>
    <w:autoRedefine/>
    <w:uiPriority w:val="39"/>
    <w:unhideWhenUsed/>
    <w:rsid w:val="008158A3"/>
    <w:pPr>
      <w:spacing w:after="100"/>
    </w:pPr>
  </w:style>
  <w:style w:type="paragraph" w:styleId="TOC2">
    <w:name w:val="toc 2"/>
    <w:basedOn w:val="Normal"/>
    <w:next w:val="Normal"/>
    <w:link w:val="TOC2Char"/>
    <w:autoRedefine/>
    <w:uiPriority w:val="39"/>
    <w:unhideWhenUsed/>
    <w:rsid w:val="008158A3"/>
    <w:pPr>
      <w:spacing w:after="100"/>
      <w:ind w:left="240"/>
    </w:pPr>
  </w:style>
  <w:style w:type="character" w:styleId="Hyperlink">
    <w:name w:val="Hyperlink"/>
    <w:basedOn w:val="DefaultParagraphFont"/>
    <w:uiPriority w:val="99"/>
    <w:unhideWhenUsed/>
    <w:rsid w:val="008158A3"/>
    <w:rPr>
      <w:color w:val="0563C1" w:themeColor="hyperlink"/>
      <w:u w:val="single"/>
    </w:rPr>
  </w:style>
  <w:style w:type="paragraph" w:styleId="TOCHeading">
    <w:name w:val="TOC Heading"/>
    <w:basedOn w:val="Heading1"/>
    <w:next w:val="Normal"/>
    <w:uiPriority w:val="39"/>
    <w:unhideWhenUsed/>
    <w:rsid w:val="008158A3"/>
    <w:pPr>
      <w:keepNext/>
      <w:keepLines/>
      <w:spacing w:before="240" w:line="259" w:lineRule="auto"/>
      <w:outlineLvl w:val="9"/>
    </w:pPr>
    <w:rPr>
      <w:rFonts w:asciiTheme="majorHAnsi" w:eastAsiaTheme="majorEastAsia" w:hAnsiTheme="majorHAnsi" w:cstheme="majorBidi"/>
      <w:b w:val="0"/>
      <w:bCs w:val="0"/>
      <w:color w:val="2F5496" w:themeColor="accent1" w:themeShade="BF"/>
      <w:szCs w:val="32"/>
      <w:lang w:val="en-US" w:eastAsia="en-US"/>
    </w:rPr>
  </w:style>
  <w:style w:type="paragraph" w:styleId="TOC3">
    <w:name w:val="toc 3"/>
    <w:basedOn w:val="Normal"/>
    <w:next w:val="Normal"/>
    <w:autoRedefine/>
    <w:uiPriority w:val="39"/>
    <w:unhideWhenUsed/>
    <w:rsid w:val="008158A3"/>
    <w:pPr>
      <w:spacing w:after="100"/>
      <w:ind w:left="440"/>
    </w:pPr>
    <w:rPr>
      <w:rFonts w:asciiTheme="minorHAnsi" w:hAnsiTheme="minorHAnsi" w:cs="Times New Roman"/>
      <w:sz w:val="22"/>
      <w:szCs w:val="22"/>
      <w:lang w:val="en-US"/>
    </w:rPr>
  </w:style>
  <w:style w:type="paragraph" w:styleId="NoSpacing">
    <w:name w:val="No Spacing"/>
    <w:uiPriority w:val="1"/>
    <w:rsid w:val="00534043"/>
    <w:pPr>
      <w:spacing w:after="0" w:line="240" w:lineRule="auto"/>
    </w:pPr>
    <w:rPr>
      <w:rFonts w:ascii="Arial" w:hAnsi="Arial" w:cs="Arial"/>
      <w:sz w:val="24"/>
      <w:szCs w:val="24"/>
    </w:rPr>
  </w:style>
  <w:style w:type="paragraph" w:styleId="Subtitle">
    <w:name w:val="Subtitle"/>
    <w:basedOn w:val="Normal"/>
    <w:next w:val="Normal"/>
    <w:link w:val="SubtitleChar"/>
    <w:uiPriority w:val="11"/>
    <w:qFormat/>
    <w:rsid w:val="00BE6FB3"/>
    <w:rPr>
      <w:rFonts w:eastAsia="Times New Roman"/>
      <w:b/>
      <w:noProof/>
      <w:color w:val="319B31"/>
      <w:sz w:val="28"/>
      <w:szCs w:val="48"/>
    </w:rPr>
  </w:style>
  <w:style w:type="character" w:customStyle="1" w:styleId="SubtitleChar">
    <w:name w:val="Subtitle Char"/>
    <w:basedOn w:val="DefaultParagraphFont"/>
    <w:link w:val="Subtitle"/>
    <w:uiPriority w:val="11"/>
    <w:rsid w:val="00BE6FB3"/>
    <w:rPr>
      <w:rFonts w:ascii="Arial" w:eastAsia="Times New Roman" w:hAnsi="Arial" w:cs="Arial"/>
      <w:b/>
      <w:noProof/>
      <w:color w:val="319B31"/>
      <w:sz w:val="28"/>
      <w:szCs w:val="48"/>
      <w:lang w:eastAsia="en-GB"/>
    </w:rPr>
  </w:style>
  <w:style w:type="paragraph" w:customStyle="1" w:styleId="Headersfooters">
    <w:name w:val="Headers &amp; footers"/>
    <w:basedOn w:val="Title"/>
    <w:link w:val="HeadersfootersChar"/>
    <w:qFormat/>
    <w:rsid w:val="00774185"/>
    <w:pPr>
      <w:spacing w:after="0" w:line="240" w:lineRule="auto"/>
    </w:pPr>
    <w:rPr>
      <w:b w:val="0"/>
      <w:color w:val="auto"/>
      <w:sz w:val="20"/>
    </w:rPr>
  </w:style>
  <w:style w:type="character" w:styleId="Emphasis">
    <w:name w:val="Emphasis"/>
    <w:basedOn w:val="DefaultParagraphFont"/>
    <w:uiPriority w:val="20"/>
    <w:rsid w:val="00774185"/>
    <w:rPr>
      <w:i/>
      <w:iCs/>
    </w:rPr>
  </w:style>
  <w:style w:type="character" w:customStyle="1" w:styleId="HeadersfootersChar">
    <w:name w:val="Headers &amp; footers Char"/>
    <w:basedOn w:val="TitleChar"/>
    <w:link w:val="Headersfooters"/>
    <w:rsid w:val="00774185"/>
    <w:rPr>
      <w:rFonts w:ascii="Arial" w:eastAsia="Times New Roman" w:hAnsi="Arial" w:cs="Arial"/>
      <w:b w:val="0"/>
      <w:bCs/>
      <w:noProof/>
      <w:color w:val="319B31"/>
      <w:sz w:val="20"/>
      <w:szCs w:val="56"/>
      <w:lang w:eastAsia="en-GB"/>
    </w:rPr>
  </w:style>
  <w:style w:type="paragraph" w:customStyle="1" w:styleId="ContentsMainHeading">
    <w:name w:val="Contents Main Heading"/>
    <w:basedOn w:val="TOC1"/>
    <w:link w:val="ContentsMainHeadingChar"/>
    <w:rsid w:val="00774185"/>
    <w:pPr>
      <w:tabs>
        <w:tab w:val="right" w:leader="dot" w:pos="9016"/>
      </w:tabs>
    </w:pPr>
    <w:rPr>
      <w:b/>
      <w:noProof/>
    </w:rPr>
  </w:style>
  <w:style w:type="paragraph" w:customStyle="1" w:styleId="ContentsSubHeading">
    <w:name w:val="Contents Sub Heading"/>
    <w:basedOn w:val="TOC2"/>
    <w:link w:val="ContentsSubHeadingChar"/>
    <w:rsid w:val="00080CA2"/>
    <w:pPr>
      <w:tabs>
        <w:tab w:val="right" w:leader="dot" w:pos="9016"/>
      </w:tabs>
    </w:pPr>
    <w:rPr>
      <w:noProof/>
    </w:rPr>
  </w:style>
  <w:style w:type="character" w:customStyle="1" w:styleId="TOC1Char">
    <w:name w:val="TOC 1 Char"/>
    <w:basedOn w:val="DefaultParagraphFont"/>
    <w:link w:val="TOC1"/>
    <w:uiPriority w:val="39"/>
    <w:rsid w:val="00774185"/>
    <w:rPr>
      <w:rFonts w:ascii="Arial" w:hAnsi="Arial" w:cs="Arial"/>
      <w:sz w:val="24"/>
      <w:szCs w:val="24"/>
    </w:rPr>
  </w:style>
  <w:style w:type="character" w:customStyle="1" w:styleId="ContentsMainHeadingChar">
    <w:name w:val="Contents Main Heading Char"/>
    <w:basedOn w:val="TOC1Char"/>
    <w:link w:val="ContentsMainHeading"/>
    <w:rsid w:val="00774185"/>
    <w:rPr>
      <w:rFonts w:ascii="Arial" w:hAnsi="Arial" w:cs="Arial"/>
      <w:b/>
      <w:noProof/>
      <w:sz w:val="24"/>
      <w:szCs w:val="24"/>
    </w:rPr>
  </w:style>
  <w:style w:type="character" w:customStyle="1" w:styleId="TOC2Char">
    <w:name w:val="TOC 2 Char"/>
    <w:basedOn w:val="DefaultParagraphFont"/>
    <w:link w:val="TOC2"/>
    <w:uiPriority w:val="39"/>
    <w:rsid w:val="00080CA2"/>
    <w:rPr>
      <w:rFonts w:ascii="Arial" w:hAnsi="Arial" w:cs="Arial"/>
      <w:sz w:val="24"/>
      <w:szCs w:val="24"/>
    </w:rPr>
  </w:style>
  <w:style w:type="character" w:customStyle="1" w:styleId="ContentsSubHeadingChar">
    <w:name w:val="Contents Sub Heading Char"/>
    <w:basedOn w:val="TOC2Char"/>
    <w:link w:val="ContentsSubHeading"/>
    <w:rsid w:val="00080CA2"/>
    <w:rPr>
      <w:rFonts w:ascii="Arial" w:hAnsi="Arial" w:cs="Arial"/>
      <w:noProof/>
      <w:sz w:val="24"/>
      <w:szCs w:val="24"/>
    </w:rPr>
  </w:style>
  <w:style w:type="paragraph" w:styleId="ListParagraph">
    <w:name w:val="List Paragraph"/>
    <w:basedOn w:val="Normal"/>
    <w:uiPriority w:val="34"/>
    <w:qFormat/>
    <w:rsid w:val="00D4170D"/>
    <w:pPr>
      <w:spacing w:after="0"/>
      <w:ind w:left="720"/>
      <w:contextualSpacing/>
    </w:pPr>
    <w:rPr>
      <w:rFonts w:asciiTheme="minorHAnsi" w:eastAsiaTheme="minorHAnsi" w:hAnsiTheme="minorHAnsi" w:cstheme="minorBidi"/>
      <w:kern w:val="2"/>
      <w:lang w:eastAsia="en-US"/>
      <w14:ligatures w14:val="standardContextual"/>
    </w:rPr>
  </w:style>
  <w:style w:type="table" w:styleId="TableGrid">
    <w:name w:val="Table Grid"/>
    <w:basedOn w:val="TableNormal"/>
    <w:uiPriority w:val="39"/>
    <w:rsid w:val="00D13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8D457499A043A886AD5923AC85325C"/>
        <w:category>
          <w:name w:val="General"/>
          <w:gallery w:val="placeholder"/>
        </w:category>
        <w:types>
          <w:type w:val="bbPlcHdr"/>
        </w:types>
        <w:behaviors>
          <w:behavior w:val="content"/>
        </w:behaviors>
        <w:guid w:val="{CC4CC1E2-2CA3-41E8-9B51-00DB76D7CAD9}"/>
      </w:docPartPr>
      <w:docPartBody>
        <w:p w:rsidR="00D107AD" w:rsidRDefault="00417A06">
          <w:r w:rsidRPr="00973D21">
            <w:rPr>
              <w:rStyle w:val="PlaceholderText"/>
            </w:rPr>
            <w:t>[Title]</w:t>
          </w:r>
        </w:p>
      </w:docPartBody>
    </w:docPart>
    <w:docPart>
      <w:docPartPr>
        <w:name w:val="492FDD029EBA414EBA389685C1224D77"/>
        <w:category>
          <w:name w:val="General"/>
          <w:gallery w:val="placeholder"/>
        </w:category>
        <w:types>
          <w:type w:val="bbPlcHdr"/>
        </w:types>
        <w:behaviors>
          <w:behavior w:val="content"/>
        </w:behaviors>
        <w:guid w:val="{8ED3A11E-8614-4B7C-93E2-C3F8BBC53C2E}"/>
      </w:docPartPr>
      <w:docPartBody>
        <w:p w:rsidR="00046BAA" w:rsidRDefault="00CE5774">
          <w:r w:rsidRPr="0032526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A06"/>
    <w:rsid w:val="00041023"/>
    <w:rsid w:val="00046BAA"/>
    <w:rsid w:val="00091707"/>
    <w:rsid w:val="00100206"/>
    <w:rsid w:val="0012520A"/>
    <w:rsid w:val="00141249"/>
    <w:rsid w:val="001A0130"/>
    <w:rsid w:val="00206673"/>
    <w:rsid w:val="00216D51"/>
    <w:rsid w:val="003873F8"/>
    <w:rsid w:val="00417A06"/>
    <w:rsid w:val="00944B7C"/>
    <w:rsid w:val="00AE3DB1"/>
    <w:rsid w:val="00C0093A"/>
    <w:rsid w:val="00CE5774"/>
    <w:rsid w:val="00D107AD"/>
    <w:rsid w:val="00FC5B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A06"/>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577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B2D883535EE64CBB9E265E445DFD17" ma:contentTypeVersion="17" ma:contentTypeDescription="Create a new document." ma:contentTypeScope="" ma:versionID="7943146fc0f322333ceca9aafc38276c">
  <xsd:schema xmlns:xsd="http://www.w3.org/2001/XMLSchema" xmlns:xs="http://www.w3.org/2001/XMLSchema" xmlns:p="http://schemas.microsoft.com/office/2006/metadata/properties" xmlns:ns2="54a0358b-ecfc-4e45-bc8c-71ba0bd8217c" xmlns:ns3="5f843945-7347-4826-a579-b398510b0974" targetNamespace="http://schemas.microsoft.com/office/2006/metadata/properties" ma:root="true" ma:fieldsID="650056a66ad2bb3e4920eed18ff366a7" ns2:_="" ns3:_="">
    <xsd:import namespace="54a0358b-ecfc-4e45-bc8c-71ba0bd8217c"/>
    <xsd:import namespace="5f843945-7347-4826-a579-b398510b09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0358b-ecfc-4e45-bc8c-71ba0bd821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843945-7347-4826-a579-b398510b09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3b74cb5-5b42-45d1-bf76-a12fd7c8e392}" ma:internalName="TaxCatchAll" ma:showField="CatchAllData" ma:web="5f843945-7347-4826-a579-b398510b0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4a0358b-ecfc-4e45-bc8c-71ba0bd8217c">
      <Terms xmlns="http://schemas.microsoft.com/office/infopath/2007/PartnerControls"/>
    </lcf76f155ced4ddcb4097134ff3c332f>
    <TaxCatchAll xmlns="5f843945-7347-4826-a579-b398510b0974"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82C5C8-701F-4BC8-94DA-6E330DC6A23B}">
  <ds:schemaRefs>
    <ds:schemaRef ds:uri="http://schemas.openxmlformats.org/officeDocument/2006/bibliography"/>
  </ds:schemaRefs>
</ds:datastoreItem>
</file>

<file path=customXml/itemProps3.xml><?xml version="1.0" encoding="utf-8"?>
<ds:datastoreItem xmlns:ds="http://schemas.openxmlformats.org/officeDocument/2006/customXml" ds:itemID="{9DA4D916-67CF-4FD3-8961-212603281293}">
  <ds:schemaRefs>
    <ds:schemaRef ds:uri="http://schemas.microsoft.com/sharepoint/v3/contenttype/forms"/>
  </ds:schemaRefs>
</ds:datastoreItem>
</file>

<file path=customXml/itemProps4.xml><?xml version="1.0" encoding="utf-8"?>
<ds:datastoreItem xmlns:ds="http://schemas.openxmlformats.org/officeDocument/2006/customXml" ds:itemID="{9CFFC67A-4041-46E6-AE9D-34E6BC90A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0358b-ecfc-4e45-bc8c-71ba0bd8217c"/>
    <ds:schemaRef ds:uri="5f843945-7347-4826-a579-b398510b0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535BB0-DC53-48EC-828C-DC21853A3766}">
  <ds:schemaRefs>
    <ds:schemaRef ds:uri="http://schemas.microsoft.com/office/2006/metadata/properties"/>
    <ds:schemaRef ds:uri="http://schemas.microsoft.com/office/infopath/2007/PartnerControls"/>
    <ds:schemaRef ds:uri="54a0358b-ecfc-4e45-bc8c-71ba0bd8217c"/>
    <ds:schemaRef ds:uri="5f843945-7347-4826-a579-b398510b0974"/>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Short Document Template</vt:lpstr>
    </vt:vector>
  </TitlesOfParts>
  <Company>Tower Hamlets</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Sustainability and Sufficiency</dc:title>
  <dc:subject>
  </dc:subject>
  <dc:creator>Mike Pickin</dc:creator>
  <cp:keywords>
  </cp:keywords>
  <dc:description>
  </dc:description>
  <cp:lastModifiedBy>Phillip Nduoyo</cp:lastModifiedBy>
  <cp:revision>33</cp:revision>
  <dcterms:created xsi:type="dcterms:W3CDTF">2025-09-19T14:56:00Z</dcterms:created>
  <dcterms:modified xsi:type="dcterms:W3CDTF">2025-10-03T15:37:00Z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0x01010057B2D883535EE64CBB9E265E445DFD17</vt:lpwstr>
  </property>
  <property fmtid="{D5CDD505-2E9C-101B-9397-08002B2CF9AE}" pid="3" name="MediaServiceImageTags">
    <vt:lpwstr/>
  </property>
</Properties>
</file>