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7125" w14:textId="4672B69D" w:rsidR="003B3AEF" w:rsidRPr="00C353A6" w:rsidRDefault="00933FF4" w:rsidP="00C353A6">
      <w:pPr>
        <w:jc w:val="center"/>
        <w:rPr>
          <w:sz w:val="36"/>
          <w:szCs w:val="36"/>
        </w:rPr>
      </w:pPr>
      <w:r w:rsidRPr="00C353A6">
        <w:rPr>
          <w:sz w:val="36"/>
          <w:szCs w:val="36"/>
        </w:rPr>
        <w:t>AGENDA ITEM</w:t>
      </w:r>
      <w:r w:rsidR="00F629D8">
        <w:rPr>
          <w:sz w:val="36"/>
          <w:szCs w:val="36"/>
        </w:rPr>
        <w:t xml:space="preserve"> </w:t>
      </w:r>
      <w:r w:rsidR="00244303">
        <w:rPr>
          <w:sz w:val="36"/>
          <w:szCs w:val="36"/>
        </w:rPr>
        <w:t>4</w:t>
      </w:r>
    </w:p>
    <w:p w14:paraId="3242CD15" w14:textId="77777777" w:rsidR="00933FF4" w:rsidRPr="00933FF4" w:rsidRDefault="00933FF4" w:rsidP="00933FF4">
      <w:pPr>
        <w:jc w:val="center"/>
        <w:rPr>
          <w:b/>
          <w:sz w:val="32"/>
          <w:szCs w:val="32"/>
        </w:rPr>
      </w:pPr>
    </w:p>
    <w:p w14:paraId="09196C8F" w14:textId="3B8472BA" w:rsidR="003B3AEF" w:rsidRPr="0004045E" w:rsidRDefault="004B7D19" w:rsidP="0004045E">
      <w:pPr>
        <w:pStyle w:val="BodyTextIndent"/>
        <w:tabs>
          <w:tab w:val="clear" w:pos="360"/>
        </w:tabs>
        <w:ind w:left="0" w:firstLine="0"/>
        <w:jc w:val="both"/>
        <w:rPr>
          <w:b/>
          <w:bCs/>
          <w:sz w:val="32"/>
          <w:szCs w:val="32"/>
        </w:rPr>
      </w:pPr>
      <w:r w:rsidRPr="5DEB1779">
        <w:rPr>
          <w:b/>
          <w:bCs/>
          <w:sz w:val="32"/>
          <w:szCs w:val="32"/>
        </w:rPr>
        <w:t xml:space="preserve">Title of report: </w:t>
      </w:r>
      <w:r w:rsidR="00607D34" w:rsidRPr="4A842167">
        <w:rPr>
          <w:b/>
          <w:sz w:val="32"/>
          <w:szCs w:val="32"/>
        </w:rPr>
        <w:t xml:space="preserve">DSG </w:t>
      </w:r>
      <w:r w:rsidR="009C7AE7">
        <w:rPr>
          <w:b/>
          <w:sz w:val="32"/>
          <w:szCs w:val="32"/>
        </w:rPr>
        <w:t>Monitoring</w:t>
      </w:r>
    </w:p>
    <w:p w14:paraId="28DD7FB3" w14:textId="77777777" w:rsidR="002968A5" w:rsidRDefault="002968A5" w:rsidP="00933FF4">
      <w:pPr>
        <w:rPr>
          <w:b/>
          <w:bCs/>
        </w:rPr>
      </w:pPr>
    </w:p>
    <w:p w14:paraId="1770CEB4" w14:textId="73ED328E" w:rsidR="009C7AE7" w:rsidRDefault="005408C7" w:rsidP="00933FF4">
      <w:pPr>
        <w:rPr>
          <w:b/>
          <w:bCs/>
        </w:rPr>
      </w:pPr>
      <w:r>
        <w:rPr>
          <w:b/>
          <w:bCs/>
        </w:rPr>
        <w:t>Date Prepared: 8 September 2025</w:t>
      </w:r>
    </w:p>
    <w:p w14:paraId="1D3A9BA5" w14:textId="77777777" w:rsidR="005408C7" w:rsidRDefault="005408C7" w:rsidP="00933FF4">
      <w:pPr>
        <w:rPr>
          <w:b/>
          <w:bCs/>
        </w:rPr>
      </w:pPr>
    </w:p>
    <w:p w14:paraId="63FF9367" w14:textId="4D8C89AF" w:rsidR="005408C7" w:rsidRDefault="005408C7" w:rsidP="00933FF4">
      <w:pPr>
        <w:rPr>
          <w:b/>
          <w:bCs/>
        </w:rPr>
      </w:pPr>
      <w:r>
        <w:rPr>
          <w:b/>
          <w:bCs/>
        </w:rPr>
        <w:t xml:space="preserve">Date to present </w:t>
      </w:r>
      <w:r w:rsidR="003F3433">
        <w:rPr>
          <w:b/>
          <w:bCs/>
        </w:rPr>
        <w:t>paper to Schools Forum: 8 October 2025</w:t>
      </w:r>
    </w:p>
    <w:p w14:paraId="41568753" w14:textId="77777777" w:rsidR="009C7AE7" w:rsidRDefault="009C7AE7" w:rsidP="00933FF4">
      <w:pPr>
        <w:rPr>
          <w:b/>
          <w:bCs/>
        </w:rPr>
      </w:pPr>
    </w:p>
    <w:p w14:paraId="05C488A5" w14:textId="5DB69A9E" w:rsidR="003B3AEF" w:rsidRPr="00C353A6" w:rsidRDefault="002511E5" w:rsidP="00933FF4">
      <w:pPr>
        <w:rPr>
          <w:b/>
          <w:bCs/>
        </w:rPr>
      </w:pPr>
      <w:r w:rsidRPr="00C353A6">
        <w:rPr>
          <w:b/>
          <w:bCs/>
        </w:rPr>
        <w:t xml:space="preserve">Author of the </w:t>
      </w:r>
      <w:r w:rsidR="00295350" w:rsidRPr="00C353A6">
        <w:rPr>
          <w:b/>
          <w:bCs/>
        </w:rPr>
        <w:t>paper:</w:t>
      </w:r>
      <w:r w:rsidR="00822694">
        <w:rPr>
          <w:b/>
          <w:bCs/>
        </w:rPr>
        <w:t xml:space="preserve"> Leslie Oosthuizen</w:t>
      </w:r>
    </w:p>
    <w:p w14:paraId="19EFC765" w14:textId="623DD80E" w:rsidR="002511E5" w:rsidRDefault="00822694" w:rsidP="00933FF4">
      <w:pPr>
        <w:rPr>
          <w:b/>
          <w:bCs/>
        </w:rPr>
      </w:pPr>
      <w:r>
        <w:rPr>
          <w:b/>
          <w:bCs/>
        </w:rPr>
        <w:t xml:space="preserve"> </w:t>
      </w:r>
    </w:p>
    <w:p w14:paraId="5FBAC801" w14:textId="2E47ADE7" w:rsidR="003B3AEF" w:rsidRDefault="003B3AEF" w:rsidP="00933FF4">
      <w:pPr>
        <w:rPr>
          <w:b/>
          <w:bCs/>
        </w:rPr>
      </w:pPr>
      <w:r w:rsidRPr="5DEB1779">
        <w:rPr>
          <w:b/>
          <w:bCs/>
        </w:rPr>
        <w:t xml:space="preserve">Officer to present the paper to Schools Forum: </w:t>
      </w:r>
      <w:r w:rsidR="00822694">
        <w:rPr>
          <w:b/>
          <w:bCs/>
        </w:rPr>
        <w:t>Leslie O</w:t>
      </w:r>
      <w:r w:rsidR="0068060C">
        <w:rPr>
          <w:b/>
          <w:bCs/>
        </w:rPr>
        <w:t>osthuizen</w:t>
      </w:r>
    </w:p>
    <w:p w14:paraId="1B97B2B2" w14:textId="77777777" w:rsidR="00F91A57" w:rsidRPr="00CB5A97" w:rsidRDefault="00F91A57" w:rsidP="00933FF4"/>
    <w:p w14:paraId="642FCB09" w14:textId="145D202A" w:rsidR="00346D9A" w:rsidRPr="004C13B7" w:rsidRDefault="00346D9A" w:rsidP="00346D9A">
      <w:pPr>
        <w:rPr>
          <w:rFonts w:cs="Arial"/>
          <w:b/>
        </w:rPr>
      </w:pPr>
      <w:r w:rsidRPr="004C13B7">
        <w:rPr>
          <w:rFonts w:cs="Arial"/>
          <w:b/>
        </w:rPr>
        <w:t>Details on who has been consulted with on this paper to date:</w:t>
      </w:r>
      <w:r w:rsidR="0068060C">
        <w:rPr>
          <w:rFonts w:cs="Arial"/>
          <w:b/>
        </w:rPr>
        <w:t xml:space="preserve"> </w:t>
      </w:r>
      <w:r w:rsidR="00815CE2">
        <w:rPr>
          <w:rFonts w:cs="Arial"/>
          <w:b/>
        </w:rPr>
        <w:t>Kudzi Mambara</w:t>
      </w:r>
    </w:p>
    <w:p w14:paraId="25AF1275" w14:textId="77777777" w:rsidR="003B3AEF" w:rsidRPr="00CB5A97" w:rsidRDefault="003B3AEF" w:rsidP="00933FF4">
      <w:pPr>
        <w:rPr>
          <w:highlight w:val="yellow"/>
        </w:rPr>
      </w:pPr>
    </w:p>
    <w:p w14:paraId="447A28A0" w14:textId="0BE1A001" w:rsidR="00200347" w:rsidRDefault="003B3AEF" w:rsidP="0004045E">
      <w:pPr>
        <w:spacing w:after="120"/>
        <w:rPr>
          <w:b/>
        </w:rPr>
      </w:pPr>
      <w:r w:rsidRPr="00CC3A17">
        <w:rPr>
          <w:b/>
        </w:rPr>
        <w:t>Executive Summary</w:t>
      </w:r>
      <w:r w:rsidR="000261CC">
        <w:rPr>
          <w:b/>
        </w:rPr>
        <w:t>:</w:t>
      </w:r>
    </w:p>
    <w:p w14:paraId="5DE10299" w14:textId="77777777" w:rsidR="002D55C3" w:rsidRDefault="002D55C3" w:rsidP="0004045E">
      <w:pPr>
        <w:spacing w:after="120"/>
        <w:rPr>
          <w:b/>
        </w:rPr>
      </w:pPr>
    </w:p>
    <w:p w14:paraId="6442E717" w14:textId="012AE928" w:rsidR="005937F4" w:rsidRPr="00D23599" w:rsidRDefault="005937F4" w:rsidP="005937F4">
      <w:pPr>
        <w:jc w:val="both"/>
        <w:rPr>
          <w:rFonts w:cs="Arial"/>
          <w:sz w:val="22"/>
          <w:szCs w:val="22"/>
        </w:rPr>
      </w:pPr>
      <w:r w:rsidRPr="00D23599">
        <w:rPr>
          <w:rFonts w:cs="Arial"/>
          <w:sz w:val="22"/>
          <w:szCs w:val="22"/>
        </w:rPr>
        <w:t xml:space="preserve">This report sets out the </w:t>
      </w:r>
      <w:r>
        <w:rPr>
          <w:rFonts w:cs="Arial"/>
          <w:sz w:val="22"/>
          <w:szCs w:val="22"/>
        </w:rPr>
        <w:t>Dedicated Schools Grant (DSG) projected forecast for 202</w:t>
      </w:r>
      <w:r w:rsidR="0073115E">
        <w:rPr>
          <w:rFonts w:cs="Arial"/>
          <w:sz w:val="22"/>
          <w:szCs w:val="22"/>
        </w:rPr>
        <w:t>5</w:t>
      </w:r>
      <w:r>
        <w:rPr>
          <w:rFonts w:cs="Arial"/>
          <w:sz w:val="22"/>
          <w:szCs w:val="22"/>
        </w:rPr>
        <w:t>-202</w:t>
      </w:r>
      <w:r w:rsidR="0073115E">
        <w:rPr>
          <w:rFonts w:cs="Arial"/>
          <w:sz w:val="22"/>
          <w:szCs w:val="22"/>
        </w:rPr>
        <w:t>6</w:t>
      </w:r>
      <w:r>
        <w:rPr>
          <w:rFonts w:cs="Arial"/>
          <w:sz w:val="22"/>
          <w:szCs w:val="22"/>
        </w:rPr>
        <w:t>.</w:t>
      </w:r>
    </w:p>
    <w:p w14:paraId="6DDBFC9B" w14:textId="77777777" w:rsidR="002636ED" w:rsidRDefault="002636ED" w:rsidP="00FB5259">
      <w:pPr>
        <w:jc w:val="both"/>
      </w:pPr>
    </w:p>
    <w:p w14:paraId="2836536D" w14:textId="77777777" w:rsidR="00FB5259" w:rsidRPr="00CC3A17" w:rsidRDefault="00FB5259" w:rsidP="00FB5259">
      <w:pPr>
        <w:jc w:val="both"/>
      </w:pPr>
      <w:r w:rsidRPr="00CC3A17">
        <w:t xml:space="preserve">The </w:t>
      </w:r>
      <w:r>
        <w:t xml:space="preserve">provisional position of the Dedicated Schools Grant (DSG) at the end of 2024-25 is an overspend of </w:t>
      </w:r>
      <w:r w:rsidRPr="000649F8">
        <w:t>£</w:t>
      </w:r>
      <w:r>
        <w:t xml:space="preserve">4.2 million from the budget position.  </w:t>
      </w:r>
    </w:p>
    <w:p w14:paraId="1BD2FAFE" w14:textId="77777777" w:rsidR="002D55C3" w:rsidRPr="0004045E" w:rsidRDefault="002D55C3" w:rsidP="0004045E">
      <w:pPr>
        <w:spacing w:after="120"/>
        <w:rPr>
          <w:b/>
        </w:rPr>
      </w:pPr>
    </w:p>
    <w:p w14:paraId="1D755107" w14:textId="77777777" w:rsidR="003B3AEF" w:rsidRPr="00CC3A17" w:rsidRDefault="003B3AEF" w:rsidP="00933FF4"/>
    <w:p w14:paraId="38B23749" w14:textId="77777777" w:rsidR="003B3AEF" w:rsidRPr="001F05B8" w:rsidRDefault="003B3AEF" w:rsidP="00933FF4">
      <w:pPr>
        <w:spacing w:after="120"/>
        <w:rPr>
          <w:b/>
        </w:rPr>
      </w:pPr>
      <w:r w:rsidRPr="001F05B8">
        <w:rPr>
          <w:b/>
        </w:rPr>
        <w:t xml:space="preserve">Details of recommendations and timescales for decisions: </w:t>
      </w:r>
    </w:p>
    <w:p w14:paraId="50CCF87C" w14:textId="77777777" w:rsidR="00D65370" w:rsidRPr="001F05B8" w:rsidRDefault="00D65370" w:rsidP="00933FF4">
      <w:pPr>
        <w:spacing w:after="120"/>
      </w:pPr>
    </w:p>
    <w:p w14:paraId="77A212B4" w14:textId="37FC7E8D" w:rsidR="00EA3656" w:rsidRPr="001F05B8" w:rsidRDefault="00EA3656" w:rsidP="00EA3656">
      <w:pPr>
        <w:spacing w:after="120"/>
        <w:rPr>
          <w:rFonts w:cs="Arial"/>
        </w:rPr>
      </w:pPr>
      <w:r w:rsidRPr="001F05B8">
        <w:rPr>
          <w:rFonts w:cs="Arial"/>
        </w:rPr>
        <w:t>Schools Forum was asked to note the outturn position at the Schools Forum meeting on 18</w:t>
      </w:r>
      <w:r w:rsidRPr="001F05B8">
        <w:rPr>
          <w:rFonts w:cs="Arial"/>
          <w:vertAlign w:val="superscript"/>
        </w:rPr>
        <w:t>th</w:t>
      </w:r>
      <w:r w:rsidRPr="001F05B8">
        <w:rPr>
          <w:rFonts w:cs="Arial"/>
        </w:rPr>
        <w:t xml:space="preserve"> June 2025.  This has been reported to the DfE and included in the Note to the Accounts year-end statement.</w:t>
      </w:r>
    </w:p>
    <w:p w14:paraId="1AA7BADA" w14:textId="5815A326" w:rsidR="00844D87" w:rsidRPr="001F05B8" w:rsidRDefault="00844D87" w:rsidP="00844D87">
      <w:pPr>
        <w:spacing w:after="120"/>
        <w:rPr>
          <w:rFonts w:cs="Arial"/>
        </w:rPr>
      </w:pPr>
      <w:r w:rsidRPr="001F05B8">
        <w:rPr>
          <w:rFonts w:cs="Arial"/>
        </w:rPr>
        <w:t>Schools Forum are asked to note the 2025-2026 DSG budget and the projected forecast to the year end.</w:t>
      </w:r>
    </w:p>
    <w:p w14:paraId="30717C64" w14:textId="77777777" w:rsidR="00382B3F" w:rsidRPr="001F05B8" w:rsidRDefault="00382B3F" w:rsidP="00221150">
      <w:pPr>
        <w:jc w:val="both"/>
      </w:pPr>
    </w:p>
    <w:p w14:paraId="51A2608A" w14:textId="77777777" w:rsidR="00DF798C" w:rsidRDefault="00DF798C" w:rsidP="0073208F">
      <w:pPr>
        <w:pStyle w:val="ListParagraph"/>
        <w:ind w:left="567"/>
        <w:jc w:val="both"/>
      </w:pPr>
    </w:p>
    <w:p w14:paraId="14ED8FC5" w14:textId="77777777" w:rsidR="0073208F" w:rsidRDefault="0073208F" w:rsidP="0073208F">
      <w:pPr>
        <w:pStyle w:val="ListParagraph"/>
        <w:ind w:left="567"/>
        <w:jc w:val="both"/>
      </w:pPr>
    </w:p>
    <w:p w14:paraId="37659473" w14:textId="77777777" w:rsidR="004323CB" w:rsidRDefault="004323CB" w:rsidP="0073208F">
      <w:pPr>
        <w:pStyle w:val="ListParagraph"/>
        <w:ind w:left="567"/>
        <w:jc w:val="both"/>
      </w:pPr>
    </w:p>
    <w:p w14:paraId="53BCC503" w14:textId="77777777" w:rsidR="004323CB" w:rsidRDefault="004323CB" w:rsidP="0073208F">
      <w:pPr>
        <w:pStyle w:val="ListParagraph"/>
        <w:ind w:left="567"/>
        <w:jc w:val="both"/>
      </w:pPr>
    </w:p>
    <w:p w14:paraId="004DE121" w14:textId="77777777" w:rsidR="004323CB" w:rsidRDefault="004323CB" w:rsidP="0073208F">
      <w:pPr>
        <w:pStyle w:val="ListParagraph"/>
        <w:ind w:left="567"/>
        <w:jc w:val="both"/>
      </w:pPr>
    </w:p>
    <w:p w14:paraId="2851378A" w14:textId="77777777" w:rsidR="004323CB" w:rsidRDefault="004323CB" w:rsidP="0073208F">
      <w:pPr>
        <w:pStyle w:val="ListParagraph"/>
        <w:ind w:left="567"/>
        <w:jc w:val="both"/>
      </w:pPr>
    </w:p>
    <w:p w14:paraId="78B128E4" w14:textId="77777777" w:rsidR="0073208F" w:rsidRDefault="0073208F" w:rsidP="0073208F">
      <w:pPr>
        <w:pStyle w:val="ListParagraph"/>
        <w:ind w:left="567"/>
        <w:jc w:val="both"/>
      </w:pPr>
    </w:p>
    <w:p w14:paraId="10A22C85" w14:textId="77777777" w:rsidR="0070580B" w:rsidRDefault="0070580B" w:rsidP="0073208F">
      <w:pPr>
        <w:pStyle w:val="ListParagraph"/>
        <w:ind w:left="567"/>
        <w:jc w:val="both"/>
      </w:pPr>
    </w:p>
    <w:p w14:paraId="6F541D08" w14:textId="77777777" w:rsidR="0070580B" w:rsidRDefault="0070580B" w:rsidP="0073208F">
      <w:pPr>
        <w:pStyle w:val="ListParagraph"/>
        <w:ind w:left="567"/>
        <w:jc w:val="both"/>
      </w:pPr>
    </w:p>
    <w:p w14:paraId="2E062987" w14:textId="77777777" w:rsidR="0070580B" w:rsidRDefault="0070580B" w:rsidP="0073208F">
      <w:pPr>
        <w:pStyle w:val="ListParagraph"/>
        <w:ind w:left="567"/>
        <w:jc w:val="both"/>
      </w:pPr>
    </w:p>
    <w:p w14:paraId="0A3D67D5" w14:textId="77777777" w:rsidR="00DF798C" w:rsidRDefault="00DF798C" w:rsidP="0073208F">
      <w:pPr>
        <w:pStyle w:val="ListParagraph"/>
        <w:ind w:left="567"/>
        <w:jc w:val="both"/>
      </w:pPr>
    </w:p>
    <w:p w14:paraId="4FB3A3C7" w14:textId="77777777" w:rsidR="00DF798C" w:rsidRDefault="00DF798C" w:rsidP="0073208F">
      <w:pPr>
        <w:pStyle w:val="ListParagraph"/>
        <w:ind w:left="567"/>
        <w:jc w:val="both"/>
      </w:pPr>
    </w:p>
    <w:p w14:paraId="1FF065DD" w14:textId="77777777" w:rsidR="0070580B" w:rsidRDefault="0070580B" w:rsidP="0073208F">
      <w:pPr>
        <w:pStyle w:val="ListParagraph"/>
        <w:ind w:left="567"/>
        <w:jc w:val="both"/>
      </w:pPr>
    </w:p>
    <w:p w14:paraId="6209B01F" w14:textId="77B6B083" w:rsidR="0070580B" w:rsidRPr="00DF798C" w:rsidRDefault="001A6830" w:rsidP="00D34E4C">
      <w:pPr>
        <w:pStyle w:val="Heading2"/>
        <w:numPr>
          <w:ilvl w:val="0"/>
          <w:numId w:val="17"/>
        </w:numPr>
        <w:ind w:left="851" w:hanging="851"/>
        <w:rPr>
          <w:rFonts w:ascii="Arial" w:hAnsi="Arial" w:cs="Arial"/>
          <w:b/>
          <w:bCs/>
          <w:color w:val="000000" w:themeColor="text1"/>
          <w:sz w:val="24"/>
          <w:szCs w:val="24"/>
        </w:rPr>
      </w:pPr>
      <w:r>
        <w:rPr>
          <w:rFonts w:ascii="Arial" w:hAnsi="Arial" w:cs="Arial"/>
          <w:b/>
          <w:bCs/>
          <w:color w:val="000000" w:themeColor="text1"/>
          <w:sz w:val="24"/>
          <w:szCs w:val="24"/>
        </w:rPr>
        <w:lastRenderedPageBreak/>
        <w:t xml:space="preserve">DSG </w:t>
      </w:r>
      <w:r w:rsidR="00D34E4C">
        <w:rPr>
          <w:rFonts w:ascii="Arial" w:hAnsi="Arial" w:cs="Arial"/>
          <w:b/>
          <w:bCs/>
          <w:color w:val="000000" w:themeColor="text1"/>
          <w:sz w:val="24"/>
          <w:szCs w:val="24"/>
        </w:rPr>
        <w:t>O</w:t>
      </w:r>
      <w:r>
        <w:rPr>
          <w:rFonts w:ascii="Arial" w:hAnsi="Arial" w:cs="Arial"/>
          <w:b/>
          <w:bCs/>
          <w:color w:val="000000" w:themeColor="text1"/>
          <w:sz w:val="24"/>
          <w:szCs w:val="24"/>
        </w:rPr>
        <w:t>utturn</w:t>
      </w:r>
      <w:r w:rsidR="00D34E4C">
        <w:rPr>
          <w:rFonts w:ascii="Arial" w:hAnsi="Arial" w:cs="Arial"/>
          <w:b/>
          <w:bCs/>
          <w:color w:val="000000" w:themeColor="text1"/>
          <w:sz w:val="24"/>
          <w:szCs w:val="24"/>
        </w:rPr>
        <w:t xml:space="preserve"> 2024-24</w:t>
      </w:r>
    </w:p>
    <w:p w14:paraId="28B681D6" w14:textId="77777777" w:rsidR="0070580B" w:rsidRPr="00161D57" w:rsidRDefault="0070580B" w:rsidP="0070580B">
      <w:pPr>
        <w:pStyle w:val="ListParagraph"/>
        <w:ind w:left="360"/>
        <w:rPr>
          <w:rFonts w:cs="Arial"/>
          <w:b/>
          <w:bCs/>
        </w:rPr>
      </w:pPr>
    </w:p>
    <w:p w14:paraId="7C9FA9C8" w14:textId="217B5597" w:rsidR="0070580B" w:rsidRPr="00161D57" w:rsidRDefault="00794BA9" w:rsidP="0070580B">
      <w:pPr>
        <w:pStyle w:val="ListParagraph"/>
        <w:numPr>
          <w:ilvl w:val="1"/>
          <w:numId w:val="26"/>
        </w:numPr>
        <w:spacing w:after="120"/>
        <w:ind w:left="709"/>
        <w:jc w:val="both"/>
        <w:rPr>
          <w:rFonts w:cs="Arial"/>
        </w:rPr>
      </w:pPr>
      <w:r w:rsidRPr="00161D57">
        <w:rPr>
          <w:rFonts w:cs="Arial"/>
        </w:rPr>
        <w:t>The Dedicated Schools Grant (DSG) is distributed by the Department for Educa</w:t>
      </w:r>
      <w:r w:rsidR="00DD6DC0" w:rsidRPr="00161D57">
        <w:rPr>
          <w:rFonts w:cs="Arial"/>
        </w:rPr>
        <w:t xml:space="preserve">tion (DFE) on a nation formulaic basis. </w:t>
      </w:r>
      <w:r w:rsidR="00AC6C51" w:rsidRPr="00161D57">
        <w:rPr>
          <w:rFonts w:cs="Arial"/>
        </w:rPr>
        <w:t>This specific grant is allocated to local authorities in four blocks: Schools Block (SB), Early Years Block (EYB), High Needs Block (HNB) and the Central Schools Services Block (CSSB).</w:t>
      </w:r>
    </w:p>
    <w:p w14:paraId="144162F5" w14:textId="77777777" w:rsidR="0070580B" w:rsidRPr="00161D57" w:rsidRDefault="0070580B" w:rsidP="0070580B">
      <w:pPr>
        <w:pStyle w:val="ListParagraph"/>
        <w:spacing w:after="120"/>
        <w:ind w:left="709"/>
        <w:jc w:val="both"/>
        <w:rPr>
          <w:rFonts w:cs="Arial"/>
        </w:rPr>
      </w:pPr>
    </w:p>
    <w:p w14:paraId="2A9A57FC" w14:textId="77777777" w:rsidR="00D5776F" w:rsidRPr="00161D57" w:rsidRDefault="00D5776F" w:rsidP="00D5776F">
      <w:pPr>
        <w:pStyle w:val="ListParagraph"/>
        <w:numPr>
          <w:ilvl w:val="1"/>
          <w:numId w:val="26"/>
        </w:numPr>
        <w:jc w:val="both"/>
        <w:rPr>
          <w:rFonts w:cs="Arial"/>
        </w:rPr>
      </w:pPr>
      <w:r w:rsidRPr="00161D57">
        <w:rPr>
          <w:rFonts w:cs="Arial"/>
        </w:rPr>
        <w:t>The outturn position is shown after deductions have been made for direct payments to academies, and no prior year balances are included.</w:t>
      </w:r>
    </w:p>
    <w:p w14:paraId="002D36B1" w14:textId="77777777" w:rsidR="003C622E" w:rsidRPr="00161D57" w:rsidRDefault="003C622E" w:rsidP="003C622E">
      <w:pPr>
        <w:jc w:val="both"/>
        <w:rPr>
          <w:rFonts w:cs="Arial"/>
        </w:rPr>
      </w:pPr>
    </w:p>
    <w:p w14:paraId="2B7E09E0" w14:textId="6F24F870" w:rsidR="0070580B" w:rsidRPr="00161D57" w:rsidRDefault="00D80304" w:rsidP="00D80304">
      <w:pPr>
        <w:pStyle w:val="ListParagraph"/>
        <w:numPr>
          <w:ilvl w:val="1"/>
          <w:numId w:val="26"/>
        </w:numPr>
        <w:jc w:val="both"/>
        <w:rPr>
          <w:rFonts w:cs="Arial"/>
        </w:rPr>
      </w:pPr>
      <w:r w:rsidRPr="00161D57">
        <w:rPr>
          <w:rFonts w:cs="Arial"/>
        </w:rPr>
        <w:t>The year-end DSG position excludes all the schools’ balances carried forward from previous years.  It reconciles to the annual allocation.  This was reported back to the DfE in the Section 151 Outturn Statement and feature in the Boroughs Note to the Accounts.</w:t>
      </w:r>
      <w:r w:rsidR="0070580B" w:rsidRPr="00161D57">
        <w:rPr>
          <w:rFonts w:cs="Arial"/>
        </w:rPr>
        <w:t xml:space="preserve">  </w:t>
      </w:r>
    </w:p>
    <w:p w14:paraId="1D4DAB0C" w14:textId="77777777" w:rsidR="0070580B" w:rsidRPr="00161D57" w:rsidRDefault="0070580B" w:rsidP="0070580B">
      <w:pPr>
        <w:pStyle w:val="ListParagraph"/>
        <w:spacing w:after="120"/>
        <w:ind w:left="709"/>
        <w:jc w:val="both"/>
        <w:rPr>
          <w:rFonts w:cs="Arial"/>
        </w:rPr>
      </w:pPr>
    </w:p>
    <w:tbl>
      <w:tblPr>
        <w:tblW w:w="9498" w:type="dxa"/>
        <w:tblInd w:w="-10" w:type="dxa"/>
        <w:tblLook w:val="04A0" w:firstRow="1" w:lastRow="0" w:firstColumn="1" w:lastColumn="0" w:noHBand="0" w:noVBand="1"/>
      </w:tblPr>
      <w:tblGrid>
        <w:gridCol w:w="4253"/>
        <w:gridCol w:w="1843"/>
        <w:gridCol w:w="1843"/>
        <w:gridCol w:w="1559"/>
      </w:tblGrid>
      <w:tr w:rsidR="006215AA" w:rsidRPr="00161D57" w14:paraId="3CA9276E" w14:textId="77777777" w:rsidTr="004D4AA6">
        <w:trPr>
          <w:trHeight w:val="613"/>
        </w:trPr>
        <w:tc>
          <w:tcPr>
            <w:tcW w:w="4253" w:type="dxa"/>
            <w:tcBorders>
              <w:top w:val="single" w:sz="8" w:space="0" w:color="auto"/>
              <w:left w:val="single" w:sz="8" w:space="0" w:color="auto"/>
              <w:bottom w:val="single" w:sz="4" w:space="0" w:color="auto"/>
              <w:right w:val="single" w:sz="4" w:space="0" w:color="000000"/>
            </w:tcBorders>
            <w:shd w:val="clear" w:color="000000" w:fill="D9E1F2"/>
            <w:vAlign w:val="center"/>
            <w:hideMark/>
          </w:tcPr>
          <w:p w14:paraId="0EDB4C5D" w14:textId="77777777" w:rsidR="006215AA" w:rsidRPr="00161D57" w:rsidRDefault="006215AA" w:rsidP="00962477">
            <w:pPr>
              <w:rPr>
                <w:rFonts w:cs="Arial"/>
                <w:b/>
                <w:bCs/>
              </w:rPr>
            </w:pPr>
            <w:r w:rsidRPr="00161D57">
              <w:rPr>
                <w:rFonts w:cs="Arial"/>
                <w:b/>
                <w:bCs/>
              </w:rPr>
              <w:t>Block</w:t>
            </w:r>
          </w:p>
        </w:tc>
        <w:tc>
          <w:tcPr>
            <w:tcW w:w="1843" w:type="dxa"/>
            <w:tcBorders>
              <w:top w:val="single" w:sz="8" w:space="0" w:color="auto"/>
              <w:left w:val="nil"/>
              <w:bottom w:val="single" w:sz="4" w:space="0" w:color="auto"/>
              <w:right w:val="single" w:sz="4" w:space="0" w:color="auto"/>
            </w:tcBorders>
            <w:shd w:val="clear" w:color="000000" w:fill="D9E1F2"/>
            <w:vAlign w:val="center"/>
            <w:hideMark/>
          </w:tcPr>
          <w:p w14:paraId="0E0D47F5" w14:textId="77777777" w:rsidR="006215AA" w:rsidRPr="00161D57" w:rsidRDefault="006215AA" w:rsidP="00962477">
            <w:pPr>
              <w:jc w:val="center"/>
              <w:rPr>
                <w:rFonts w:cs="Arial"/>
                <w:b/>
                <w:bCs/>
              </w:rPr>
            </w:pPr>
            <w:r w:rsidRPr="00161D57">
              <w:rPr>
                <w:rFonts w:cs="Arial"/>
                <w:b/>
                <w:bCs/>
              </w:rPr>
              <w:t>Allocated DSG funding £m</w:t>
            </w:r>
          </w:p>
        </w:tc>
        <w:tc>
          <w:tcPr>
            <w:tcW w:w="1843" w:type="dxa"/>
            <w:tcBorders>
              <w:top w:val="single" w:sz="8" w:space="0" w:color="auto"/>
              <w:left w:val="nil"/>
              <w:bottom w:val="single" w:sz="4" w:space="0" w:color="auto"/>
              <w:right w:val="single" w:sz="4" w:space="0" w:color="auto"/>
            </w:tcBorders>
            <w:shd w:val="clear" w:color="000000" w:fill="D9E1F2"/>
            <w:vAlign w:val="center"/>
            <w:hideMark/>
          </w:tcPr>
          <w:p w14:paraId="2E8E3003" w14:textId="77777777" w:rsidR="006215AA" w:rsidRPr="00161D57" w:rsidRDefault="006215AA" w:rsidP="00962477">
            <w:pPr>
              <w:jc w:val="center"/>
              <w:rPr>
                <w:rFonts w:cs="Arial"/>
                <w:b/>
                <w:bCs/>
              </w:rPr>
            </w:pPr>
            <w:r w:rsidRPr="00161D57">
              <w:rPr>
                <w:rFonts w:cs="Arial"/>
                <w:b/>
                <w:bCs/>
              </w:rPr>
              <w:t>Expenditure  £m</w:t>
            </w:r>
          </w:p>
        </w:tc>
        <w:tc>
          <w:tcPr>
            <w:tcW w:w="1559" w:type="dxa"/>
            <w:tcBorders>
              <w:top w:val="single" w:sz="8" w:space="0" w:color="auto"/>
              <w:left w:val="nil"/>
              <w:bottom w:val="single" w:sz="4" w:space="0" w:color="auto"/>
              <w:right w:val="single" w:sz="8" w:space="0" w:color="auto"/>
            </w:tcBorders>
            <w:shd w:val="clear" w:color="000000" w:fill="D9E1F2"/>
            <w:vAlign w:val="center"/>
            <w:hideMark/>
          </w:tcPr>
          <w:p w14:paraId="1FD4AACC" w14:textId="77777777" w:rsidR="006215AA" w:rsidRPr="00161D57" w:rsidRDefault="006215AA" w:rsidP="00962477">
            <w:pPr>
              <w:jc w:val="center"/>
              <w:rPr>
                <w:rFonts w:cs="Arial"/>
                <w:b/>
                <w:bCs/>
              </w:rPr>
            </w:pPr>
            <w:r w:rsidRPr="00161D57">
              <w:rPr>
                <w:rFonts w:cs="Arial"/>
                <w:b/>
                <w:bCs/>
              </w:rPr>
              <w:t>Net           £m</w:t>
            </w:r>
          </w:p>
        </w:tc>
      </w:tr>
      <w:tr w:rsidR="006215AA" w:rsidRPr="00161D57" w14:paraId="172615FC" w14:textId="77777777" w:rsidTr="004D4AA6">
        <w:trPr>
          <w:trHeight w:val="290"/>
        </w:trPr>
        <w:tc>
          <w:tcPr>
            <w:tcW w:w="425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05A8033" w14:textId="77777777" w:rsidR="006215AA" w:rsidRPr="00161D57" w:rsidRDefault="006215AA" w:rsidP="00962477">
            <w:pPr>
              <w:rPr>
                <w:rFonts w:cs="Arial"/>
              </w:rPr>
            </w:pPr>
            <w:r w:rsidRPr="00161D57">
              <w:rPr>
                <w:rFonts w:cs="Arial"/>
                <w:color w:val="000000"/>
              </w:rPr>
              <w:t xml:space="preserve">Schools block </w:t>
            </w:r>
          </w:p>
        </w:tc>
        <w:tc>
          <w:tcPr>
            <w:tcW w:w="1843" w:type="dxa"/>
            <w:tcBorders>
              <w:top w:val="single" w:sz="4" w:space="0" w:color="auto"/>
              <w:left w:val="nil"/>
              <w:bottom w:val="single" w:sz="4" w:space="0" w:color="auto"/>
              <w:right w:val="single" w:sz="4" w:space="0" w:color="auto"/>
            </w:tcBorders>
            <w:shd w:val="clear" w:color="000000" w:fill="auto"/>
            <w:noWrap/>
            <w:vAlign w:val="center"/>
            <w:hideMark/>
          </w:tcPr>
          <w:p w14:paraId="6AF50B2D" w14:textId="4B3C7312" w:rsidR="006215AA" w:rsidRPr="00161D57" w:rsidRDefault="006215AA" w:rsidP="00962477">
            <w:pPr>
              <w:jc w:val="center"/>
              <w:rPr>
                <w:rFonts w:cs="Arial"/>
                <w:color w:val="000000"/>
              </w:rPr>
            </w:pPr>
            <w:r w:rsidRPr="00161D57">
              <w:rPr>
                <w:rFonts w:cs="Arial"/>
                <w:color w:val="000000"/>
              </w:rPr>
              <w:t>20</w:t>
            </w:r>
            <w:r w:rsidR="00352768" w:rsidRPr="00161D57">
              <w:rPr>
                <w:rFonts w:cs="Arial"/>
                <w:color w:val="000000"/>
              </w:rPr>
              <w:t>8</w:t>
            </w:r>
            <w:r w:rsidR="00AD6347" w:rsidRPr="00161D57">
              <w:rPr>
                <w:rFonts w:cs="Arial"/>
                <w:color w:val="000000"/>
              </w:rPr>
              <w:t>.</w:t>
            </w:r>
            <w:r w:rsidR="00C775B9" w:rsidRPr="00161D57">
              <w:rPr>
                <w:rFonts w:cs="Arial"/>
                <w:color w:val="000000"/>
              </w:rPr>
              <w:t>3</w:t>
            </w:r>
          </w:p>
        </w:tc>
        <w:tc>
          <w:tcPr>
            <w:tcW w:w="1843" w:type="dxa"/>
            <w:tcBorders>
              <w:top w:val="single" w:sz="4" w:space="0" w:color="auto"/>
              <w:left w:val="nil"/>
              <w:bottom w:val="single" w:sz="4" w:space="0" w:color="auto"/>
              <w:right w:val="nil"/>
            </w:tcBorders>
            <w:noWrap/>
            <w:vAlign w:val="center"/>
            <w:hideMark/>
          </w:tcPr>
          <w:p w14:paraId="55BAB7B4" w14:textId="660A17E1" w:rsidR="006215AA" w:rsidRPr="00161D57" w:rsidRDefault="00BF2D8A" w:rsidP="00962477">
            <w:pPr>
              <w:jc w:val="center"/>
              <w:rPr>
                <w:rFonts w:cs="Arial"/>
              </w:rPr>
            </w:pPr>
            <w:r w:rsidRPr="00161D57">
              <w:rPr>
                <w:rFonts w:cs="Arial"/>
                <w:color w:val="000000"/>
              </w:rPr>
              <w:t>206.4</w:t>
            </w:r>
          </w:p>
        </w:tc>
        <w:tc>
          <w:tcPr>
            <w:tcW w:w="1559" w:type="dxa"/>
            <w:tcBorders>
              <w:top w:val="single" w:sz="4" w:space="0" w:color="auto"/>
              <w:left w:val="single" w:sz="4" w:space="0" w:color="auto"/>
              <w:bottom w:val="single" w:sz="4" w:space="0" w:color="auto"/>
              <w:right w:val="single" w:sz="8" w:space="0" w:color="auto"/>
            </w:tcBorders>
            <w:vAlign w:val="center"/>
            <w:hideMark/>
          </w:tcPr>
          <w:p w14:paraId="7726660E" w14:textId="5A99007D" w:rsidR="006215AA" w:rsidRPr="00161D57" w:rsidRDefault="00D1423D" w:rsidP="00962477">
            <w:pPr>
              <w:jc w:val="center"/>
              <w:rPr>
                <w:rFonts w:cs="Arial"/>
              </w:rPr>
            </w:pPr>
            <w:r w:rsidRPr="00161D57">
              <w:rPr>
                <w:rFonts w:cs="Arial"/>
              </w:rPr>
              <w:t>1.9</w:t>
            </w:r>
          </w:p>
        </w:tc>
      </w:tr>
      <w:tr w:rsidR="006215AA" w:rsidRPr="00161D57" w14:paraId="7A912D11" w14:textId="77777777" w:rsidTr="004D4AA6">
        <w:trPr>
          <w:trHeight w:val="290"/>
        </w:trPr>
        <w:tc>
          <w:tcPr>
            <w:tcW w:w="425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B26116E" w14:textId="77777777" w:rsidR="006215AA" w:rsidRPr="00161D57" w:rsidRDefault="006215AA" w:rsidP="00962477">
            <w:pPr>
              <w:rPr>
                <w:rFonts w:cs="Arial"/>
              </w:rPr>
            </w:pPr>
            <w:r w:rsidRPr="00161D57">
              <w:rPr>
                <w:rFonts w:cs="Arial"/>
                <w:color w:val="000000"/>
              </w:rPr>
              <w:t xml:space="preserve">Central school services block </w:t>
            </w:r>
          </w:p>
        </w:tc>
        <w:tc>
          <w:tcPr>
            <w:tcW w:w="1843" w:type="dxa"/>
            <w:tcBorders>
              <w:top w:val="single" w:sz="4" w:space="0" w:color="auto"/>
              <w:left w:val="nil"/>
              <w:bottom w:val="single" w:sz="4" w:space="0" w:color="auto"/>
              <w:right w:val="single" w:sz="4" w:space="0" w:color="auto"/>
            </w:tcBorders>
            <w:shd w:val="clear" w:color="000000" w:fill="auto"/>
            <w:noWrap/>
            <w:vAlign w:val="center"/>
            <w:hideMark/>
          </w:tcPr>
          <w:p w14:paraId="6E777B3B" w14:textId="1EB4632E" w:rsidR="006215AA" w:rsidRPr="00161D57" w:rsidRDefault="00AD6347" w:rsidP="00962477">
            <w:pPr>
              <w:jc w:val="center"/>
              <w:rPr>
                <w:rFonts w:cs="Arial"/>
                <w:color w:val="000000"/>
              </w:rPr>
            </w:pPr>
            <w:r w:rsidRPr="00161D57">
              <w:rPr>
                <w:rFonts w:cs="Arial"/>
                <w:color w:val="000000"/>
              </w:rPr>
              <w:t>2.5</w:t>
            </w:r>
          </w:p>
        </w:tc>
        <w:tc>
          <w:tcPr>
            <w:tcW w:w="1843" w:type="dxa"/>
            <w:tcBorders>
              <w:top w:val="single" w:sz="4" w:space="0" w:color="auto"/>
              <w:left w:val="nil"/>
              <w:bottom w:val="single" w:sz="4" w:space="0" w:color="auto"/>
              <w:right w:val="single" w:sz="4" w:space="0" w:color="auto"/>
            </w:tcBorders>
            <w:vAlign w:val="center"/>
            <w:hideMark/>
          </w:tcPr>
          <w:p w14:paraId="78BF7134" w14:textId="067C8AD3" w:rsidR="006215AA" w:rsidRPr="00161D57" w:rsidRDefault="00B4153F" w:rsidP="00962477">
            <w:pPr>
              <w:jc w:val="center"/>
              <w:rPr>
                <w:rFonts w:cs="Arial"/>
              </w:rPr>
            </w:pPr>
            <w:r w:rsidRPr="00161D57">
              <w:rPr>
                <w:rFonts w:cs="Arial"/>
                <w:color w:val="000000"/>
              </w:rPr>
              <w:t>2.5</w:t>
            </w:r>
          </w:p>
        </w:tc>
        <w:tc>
          <w:tcPr>
            <w:tcW w:w="1559" w:type="dxa"/>
            <w:tcBorders>
              <w:top w:val="single" w:sz="4" w:space="0" w:color="auto"/>
              <w:left w:val="nil"/>
              <w:bottom w:val="single" w:sz="4" w:space="0" w:color="auto"/>
              <w:right w:val="single" w:sz="8" w:space="0" w:color="auto"/>
            </w:tcBorders>
            <w:vAlign w:val="center"/>
            <w:hideMark/>
          </w:tcPr>
          <w:p w14:paraId="6366D1F2" w14:textId="49D80381" w:rsidR="006215AA" w:rsidRPr="00161D57" w:rsidRDefault="006215AA" w:rsidP="00962477">
            <w:pPr>
              <w:jc w:val="center"/>
              <w:rPr>
                <w:rFonts w:cs="Arial"/>
              </w:rPr>
            </w:pPr>
            <w:r w:rsidRPr="00161D57">
              <w:rPr>
                <w:rFonts w:cs="Arial"/>
              </w:rPr>
              <w:t>0.</w:t>
            </w:r>
            <w:r w:rsidR="00D1423D" w:rsidRPr="00161D57">
              <w:rPr>
                <w:rFonts w:cs="Arial"/>
              </w:rPr>
              <w:t>0</w:t>
            </w:r>
          </w:p>
        </w:tc>
      </w:tr>
      <w:tr w:rsidR="006215AA" w:rsidRPr="00161D57" w14:paraId="30AA58D5" w14:textId="77777777" w:rsidTr="004D4AA6">
        <w:trPr>
          <w:trHeight w:val="290"/>
        </w:trPr>
        <w:tc>
          <w:tcPr>
            <w:tcW w:w="425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7AE48E" w14:textId="77777777" w:rsidR="006215AA" w:rsidRPr="00161D57" w:rsidRDefault="006215AA" w:rsidP="00962477">
            <w:pPr>
              <w:rPr>
                <w:rFonts w:cs="Arial"/>
              </w:rPr>
            </w:pPr>
            <w:r w:rsidRPr="00161D57">
              <w:rPr>
                <w:rFonts w:cs="Arial"/>
                <w:color w:val="000000"/>
              </w:rPr>
              <w:t xml:space="preserve">High needs block </w:t>
            </w:r>
          </w:p>
        </w:tc>
        <w:tc>
          <w:tcPr>
            <w:tcW w:w="1843" w:type="dxa"/>
            <w:tcBorders>
              <w:top w:val="single" w:sz="4" w:space="0" w:color="auto"/>
              <w:left w:val="nil"/>
              <w:bottom w:val="single" w:sz="4" w:space="0" w:color="auto"/>
              <w:right w:val="single" w:sz="4" w:space="0" w:color="auto"/>
            </w:tcBorders>
            <w:shd w:val="clear" w:color="000000" w:fill="auto"/>
            <w:noWrap/>
            <w:vAlign w:val="center"/>
            <w:hideMark/>
          </w:tcPr>
          <w:p w14:paraId="3B9EED55" w14:textId="6F3F87E8" w:rsidR="006215AA" w:rsidRPr="00161D57" w:rsidRDefault="00AD6347" w:rsidP="00962477">
            <w:pPr>
              <w:jc w:val="center"/>
              <w:rPr>
                <w:rFonts w:cs="Arial"/>
                <w:color w:val="000000"/>
              </w:rPr>
            </w:pPr>
            <w:r w:rsidRPr="00161D57">
              <w:rPr>
                <w:rFonts w:cs="Arial"/>
              </w:rPr>
              <w:t>80.</w:t>
            </w:r>
            <w:r w:rsidR="00414466" w:rsidRPr="00161D57">
              <w:rPr>
                <w:rFonts w:cs="Arial"/>
              </w:rPr>
              <w:t>7</w:t>
            </w:r>
          </w:p>
        </w:tc>
        <w:tc>
          <w:tcPr>
            <w:tcW w:w="1843" w:type="dxa"/>
            <w:tcBorders>
              <w:top w:val="single" w:sz="4" w:space="0" w:color="auto"/>
              <w:left w:val="nil"/>
              <w:bottom w:val="single" w:sz="4" w:space="0" w:color="auto"/>
              <w:right w:val="single" w:sz="4" w:space="0" w:color="auto"/>
            </w:tcBorders>
            <w:vAlign w:val="center"/>
            <w:hideMark/>
          </w:tcPr>
          <w:p w14:paraId="5B03B63C" w14:textId="4FE9DAC3" w:rsidR="006215AA" w:rsidRPr="00161D57" w:rsidRDefault="00B4153F" w:rsidP="00962477">
            <w:pPr>
              <w:jc w:val="center"/>
              <w:rPr>
                <w:rFonts w:cs="Arial"/>
              </w:rPr>
            </w:pPr>
            <w:r w:rsidRPr="00161D57">
              <w:rPr>
                <w:rFonts w:cs="Arial"/>
              </w:rPr>
              <w:t>89.1</w:t>
            </w:r>
          </w:p>
        </w:tc>
        <w:tc>
          <w:tcPr>
            <w:tcW w:w="1559" w:type="dxa"/>
            <w:tcBorders>
              <w:top w:val="single" w:sz="4" w:space="0" w:color="auto"/>
              <w:left w:val="nil"/>
              <w:bottom w:val="single" w:sz="4" w:space="0" w:color="auto"/>
              <w:right w:val="single" w:sz="8" w:space="0" w:color="auto"/>
            </w:tcBorders>
            <w:vAlign w:val="center"/>
            <w:hideMark/>
          </w:tcPr>
          <w:p w14:paraId="38730C44" w14:textId="5A03B08D" w:rsidR="006215AA" w:rsidRPr="00161D57" w:rsidRDefault="006215AA" w:rsidP="00962477">
            <w:pPr>
              <w:jc w:val="center"/>
              <w:rPr>
                <w:rFonts w:cs="Arial"/>
              </w:rPr>
            </w:pPr>
            <w:r w:rsidRPr="00161D57">
              <w:rPr>
                <w:rFonts w:cs="Arial"/>
              </w:rPr>
              <w:t>-</w:t>
            </w:r>
            <w:r w:rsidR="008374E0" w:rsidRPr="00161D57">
              <w:rPr>
                <w:rFonts w:cs="Arial"/>
              </w:rPr>
              <w:t>8.4</w:t>
            </w:r>
          </w:p>
        </w:tc>
      </w:tr>
      <w:tr w:rsidR="006215AA" w:rsidRPr="00161D57" w14:paraId="4ACB23CF" w14:textId="77777777" w:rsidTr="004D4AA6">
        <w:trPr>
          <w:trHeight w:val="305"/>
        </w:trPr>
        <w:tc>
          <w:tcPr>
            <w:tcW w:w="4253" w:type="dxa"/>
            <w:tcBorders>
              <w:top w:val="single" w:sz="4" w:space="0" w:color="auto"/>
              <w:left w:val="single" w:sz="8" w:space="0" w:color="auto"/>
              <w:bottom w:val="single" w:sz="4" w:space="0" w:color="auto"/>
              <w:right w:val="single" w:sz="4" w:space="0" w:color="000000"/>
            </w:tcBorders>
            <w:shd w:val="clear" w:color="000000" w:fill="FFFFFF"/>
            <w:vAlign w:val="center"/>
            <w:hideMark/>
          </w:tcPr>
          <w:p w14:paraId="121EABD6" w14:textId="77777777" w:rsidR="006215AA" w:rsidRPr="00161D57" w:rsidRDefault="006215AA" w:rsidP="00962477">
            <w:pPr>
              <w:rPr>
                <w:rFonts w:cs="Arial"/>
              </w:rPr>
            </w:pPr>
            <w:r w:rsidRPr="00161D57">
              <w:rPr>
                <w:rFonts w:cs="Arial"/>
                <w:color w:val="000000"/>
              </w:rPr>
              <w:t xml:space="preserve">Early years block </w:t>
            </w:r>
          </w:p>
        </w:tc>
        <w:tc>
          <w:tcPr>
            <w:tcW w:w="1843" w:type="dxa"/>
            <w:tcBorders>
              <w:top w:val="single" w:sz="4" w:space="0" w:color="auto"/>
              <w:left w:val="nil"/>
              <w:bottom w:val="single" w:sz="4" w:space="0" w:color="auto"/>
              <w:right w:val="single" w:sz="4" w:space="0" w:color="auto"/>
            </w:tcBorders>
            <w:shd w:val="clear" w:color="000000" w:fill="auto"/>
            <w:noWrap/>
            <w:vAlign w:val="center"/>
            <w:hideMark/>
          </w:tcPr>
          <w:p w14:paraId="3DB2FD05" w14:textId="2B649589" w:rsidR="000F6DEB" w:rsidRPr="00161D57" w:rsidRDefault="00414466" w:rsidP="000F6DEB">
            <w:pPr>
              <w:jc w:val="center"/>
              <w:rPr>
                <w:rFonts w:cs="Arial"/>
              </w:rPr>
            </w:pPr>
            <w:r w:rsidRPr="00161D57">
              <w:rPr>
                <w:rFonts w:cs="Arial"/>
              </w:rPr>
              <w:t>39.</w:t>
            </w:r>
            <w:r w:rsidR="000F6DEB" w:rsidRPr="00161D57">
              <w:rPr>
                <w:rFonts w:cs="Arial"/>
              </w:rPr>
              <w:t>2</w:t>
            </w:r>
          </w:p>
        </w:tc>
        <w:tc>
          <w:tcPr>
            <w:tcW w:w="1843" w:type="dxa"/>
            <w:tcBorders>
              <w:top w:val="single" w:sz="4" w:space="0" w:color="auto"/>
              <w:left w:val="nil"/>
              <w:bottom w:val="single" w:sz="4" w:space="0" w:color="auto"/>
              <w:right w:val="nil"/>
            </w:tcBorders>
            <w:shd w:val="clear" w:color="000000" w:fill="FFFFFF"/>
            <w:noWrap/>
            <w:vAlign w:val="center"/>
            <w:hideMark/>
          </w:tcPr>
          <w:p w14:paraId="16A17F36" w14:textId="6DC65C24" w:rsidR="006215AA" w:rsidRPr="00161D57" w:rsidRDefault="00B4153F" w:rsidP="00962477">
            <w:pPr>
              <w:jc w:val="center"/>
              <w:rPr>
                <w:rFonts w:cs="Arial"/>
              </w:rPr>
            </w:pPr>
            <w:r w:rsidRPr="00161D57">
              <w:rPr>
                <w:rFonts w:cs="Arial"/>
              </w:rPr>
              <w:t>36.9</w:t>
            </w:r>
          </w:p>
        </w:tc>
        <w:tc>
          <w:tcPr>
            <w:tcW w:w="1559" w:type="dxa"/>
            <w:tcBorders>
              <w:top w:val="single" w:sz="4" w:space="0" w:color="auto"/>
              <w:left w:val="single" w:sz="4" w:space="0" w:color="auto"/>
              <w:bottom w:val="single" w:sz="4" w:space="0" w:color="auto"/>
              <w:right w:val="single" w:sz="8" w:space="0" w:color="auto"/>
            </w:tcBorders>
            <w:vAlign w:val="center"/>
            <w:hideMark/>
          </w:tcPr>
          <w:p w14:paraId="4C99FEA7" w14:textId="6F70424A" w:rsidR="006215AA" w:rsidRPr="00161D57" w:rsidRDefault="008374E0" w:rsidP="00962477">
            <w:pPr>
              <w:jc w:val="center"/>
              <w:rPr>
                <w:rFonts w:cs="Arial"/>
              </w:rPr>
            </w:pPr>
            <w:r w:rsidRPr="00161D57">
              <w:rPr>
                <w:rFonts w:cs="Arial"/>
              </w:rPr>
              <w:t>2.3</w:t>
            </w:r>
          </w:p>
        </w:tc>
      </w:tr>
      <w:tr w:rsidR="006215AA" w:rsidRPr="00161D57" w14:paraId="39F7149E" w14:textId="77777777" w:rsidTr="004D4AA6">
        <w:trPr>
          <w:trHeight w:val="290"/>
        </w:trPr>
        <w:tc>
          <w:tcPr>
            <w:tcW w:w="4253"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E299F8D" w14:textId="77777777" w:rsidR="006215AA" w:rsidRPr="00161D57" w:rsidRDefault="006215AA" w:rsidP="00962477">
            <w:pPr>
              <w:rPr>
                <w:rFonts w:cs="Arial"/>
                <w:b/>
                <w:bCs/>
              </w:rPr>
            </w:pPr>
            <w:r w:rsidRPr="00161D57">
              <w:rPr>
                <w:rFonts w:cs="Arial"/>
                <w:b/>
                <w:bCs/>
                <w:color w:val="000000"/>
              </w:rPr>
              <w:t xml:space="preserve">Total DSG allocation </w:t>
            </w:r>
          </w:p>
        </w:tc>
        <w:tc>
          <w:tcPr>
            <w:tcW w:w="1843" w:type="dxa"/>
            <w:tcBorders>
              <w:top w:val="single" w:sz="4" w:space="0" w:color="auto"/>
              <w:left w:val="nil"/>
              <w:bottom w:val="single" w:sz="8" w:space="0" w:color="auto"/>
              <w:right w:val="single" w:sz="4" w:space="0" w:color="auto"/>
            </w:tcBorders>
            <w:shd w:val="clear" w:color="auto" w:fill="D9D9D9" w:themeFill="background1" w:themeFillShade="D9"/>
            <w:noWrap/>
            <w:vAlign w:val="center"/>
            <w:hideMark/>
          </w:tcPr>
          <w:p w14:paraId="4DDADEE1" w14:textId="2D2DF757" w:rsidR="006215AA" w:rsidRPr="00161D57" w:rsidRDefault="00414466" w:rsidP="00962477">
            <w:pPr>
              <w:jc w:val="center"/>
              <w:rPr>
                <w:rFonts w:cs="Arial"/>
                <w:color w:val="000000"/>
              </w:rPr>
            </w:pPr>
            <w:r w:rsidRPr="00161D57">
              <w:rPr>
                <w:rFonts w:cs="Arial"/>
                <w:b/>
                <w:bCs/>
                <w:color w:val="000000"/>
              </w:rPr>
              <w:t>330.7</w:t>
            </w:r>
          </w:p>
        </w:tc>
        <w:tc>
          <w:tcPr>
            <w:tcW w:w="1843"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60A544EA" w14:textId="79B807F6" w:rsidR="006215AA" w:rsidRPr="00161D57" w:rsidRDefault="001938B0" w:rsidP="00962477">
            <w:pPr>
              <w:jc w:val="center"/>
              <w:rPr>
                <w:rFonts w:cs="Arial"/>
              </w:rPr>
            </w:pPr>
            <w:r w:rsidRPr="00161D57">
              <w:rPr>
                <w:rFonts w:cs="Arial"/>
                <w:b/>
                <w:bCs/>
              </w:rPr>
              <w:t>334.9</w:t>
            </w:r>
          </w:p>
        </w:tc>
        <w:tc>
          <w:tcPr>
            <w:tcW w:w="1559"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3F51A36B" w14:textId="4EE4D3AA" w:rsidR="006215AA" w:rsidRPr="00161D57" w:rsidRDefault="006215AA" w:rsidP="00962477">
            <w:pPr>
              <w:jc w:val="center"/>
              <w:rPr>
                <w:rFonts w:cs="Arial"/>
                <w:b/>
                <w:bCs/>
              </w:rPr>
            </w:pPr>
            <w:r w:rsidRPr="00161D57">
              <w:rPr>
                <w:rFonts w:cs="Arial"/>
                <w:b/>
                <w:bCs/>
              </w:rPr>
              <w:t>-</w:t>
            </w:r>
            <w:r w:rsidR="008374E0" w:rsidRPr="00161D57">
              <w:rPr>
                <w:rFonts w:cs="Arial"/>
                <w:b/>
                <w:bCs/>
              </w:rPr>
              <w:t>4.2</w:t>
            </w:r>
          </w:p>
        </w:tc>
      </w:tr>
    </w:tbl>
    <w:p w14:paraId="5B9122F5" w14:textId="77777777" w:rsidR="0070580B" w:rsidRPr="00161D57" w:rsidRDefault="0070580B" w:rsidP="0070580B">
      <w:pPr>
        <w:pStyle w:val="ListParagraph"/>
        <w:autoSpaceDE w:val="0"/>
        <w:autoSpaceDN w:val="0"/>
        <w:adjustRightInd w:val="0"/>
        <w:ind w:left="426"/>
        <w:rPr>
          <w:rFonts w:cs="Arial"/>
          <w:color w:val="000000"/>
        </w:rPr>
      </w:pPr>
    </w:p>
    <w:p w14:paraId="2642DB77" w14:textId="77777777" w:rsidR="005C3ACF" w:rsidRPr="00161D57" w:rsidRDefault="005C3ACF" w:rsidP="0070580B">
      <w:pPr>
        <w:pStyle w:val="ListParagraph"/>
        <w:autoSpaceDE w:val="0"/>
        <w:autoSpaceDN w:val="0"/>
        <w:adjustRightInd w:val="0"/>
        <w:ind w:left="426"/>
        <w:rPr>
          <w:rFonts w:cs="Arial"/>
          <w:color w:val="000000"/>
        </w:rPr>
      </w:pPr>
    </w:p>
    <w:p w14:paraId="7AE89311" w14:textId="77777777" w:rsidR="00C97075" w:rsidRDefault="006C2A4E" w:rsidP="00C97075">
      <w:pPr>
        <w:pStyle w:val="ListParagraph"/>
        <w:numPr>
          <w:ilvl w:val="0"/>
          <w:numId w:val="26"/>
        </w:numPr>
        <w:spacing w:after="120"/>
        <w:ind w:left="709" w:hanging="709"/>
        <w:jc w:val="both"/>
        <w:rPr>
          <w:rFonts w:cs="Arial"/>
          <w:b/>
          <w:bCs/>
          <w:color w:val="000000"/>
        </w:rPr>
      </w:pPr>
      <w:bookmarkStart w:id="0" w:name="_Hlk48735191"/>
      <w:r w:rsidRPr="00161D57">
        <w:rPr>
          <w:rFonts w:cs="Arial"/>
          <w:b/>
          <w:bCs/>
          <w:color w:val="000000"/>
        </w:rPr>
        <w:t xml:space="preserve">DSG </w:t>
      </w:r>
      <w:r w:rsidR="00B02F7D" w:rsidRPr="00161D57">
        <w:rPr>
          <w:rFonts w:cs="Arial"/>
          <w:b/>
          <w:bCs/>
          <w:color w:val="000000"/>
        </w:rPr>
        <w:t>Forecast for 2025-26</w:t>
      </w:r>
    </w:p>
    <w:p w14:paraId="4FF703BE" w14:textId="77777777" w:rsidR="00C97075" w:rsidRDefault="00C97075" w:rsidP="00C97075">
      <w:pPr>
        <w:pStyle w:val="ListParagraph"/>
        <w:spacing w:after="120"/>
        <w:ind w:left="709"/>
        <w:jc w:val="both"/>
        <w:rPr>
          <w:rFonts w:cs="Arial"/>
          <w:b/>
          <w:bCs/>
          <w:color w:val="000000"/>
        </w:rPr>
      </w:pPr>
    </w:p>
    <w:p w14:paraId="05EE398D" w14:textId="2E332393" w:rsidR="001F05B8" w:rsidRPr="00C97075" w:rsidRDefault="001F05B8" w:rsidP="00C97075">
      <w:pPr>
        <w:pStyle w:val="ListParagraph"/>
        <w:numPr>
          <w:ilvl w:val="1"/>
          <w:numId w:val="26"/>
        </w:numPr>
        <w:spacing w:after="120"/>
        <w:jc w:val="both"/>
        <w:rPr>
          <w:rFonts w:cs="Arial"/>
          <w:b/>
          <w:bCs/>
          <w:color w:val="000000"/>
        </w:rPr>
      </w:pPr>
      <w:r w:rsidRPr="00C97075">
        <w:rPr>
          <w:rFonts w:cs="Arial"/>
        </w:rPr>
        <w:t xml:space="preserve">The DSG Budget, actuals to date, projected forecast and projected variances for the financial year 2024-2025 are shown in the table below: </w:t>
      </w:r>
    </w:p>
    <w:p w14:paraId="1F227F10" w14:textId="77777777" w:rsidR="001F05B8" w:rsidRPr="00161D57" w:rsidRDefault="001F05B8" w:rsidP="001F05B8">
      <w:pPr>
        <w:pStyle w:val="ListParagraph"/>
        <w:ind w:left="567" w:hanging="567"/>
        <w:jc w:val="both"/>
        <w:rPr>
          <w:rFonts w:eastAsiaTheme="minorEastAsia" w:cs="Arial"/>
          <w:b/>
          <w:bCs/>
          <w:color w:val="319B31"/>
        </w:rPr>
      </w:pPr>
    </w:p>
    <w:tbl>
      <w:tblPr>
        <w:tblStyle w:val="TableGrid"/>
        <w:tblW w:w="9781"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81"/>
        <w:gridCol w:w="1190"/>
        <w:gridCol w:w="1083"/>
        <w:gridCol w:w="1370"/>
        <w:gridCol w:w="1857"/>
      </w:tblGrid>
      <w:tr w:rsidR="001F05B8" w:rsidRPr="00161D57" w14:paraId="2BB5924A" w14:textId="77777777" w:rsidTr="00B45E7F">
        <w:tc>
          <w:tcPr>
            <w:tcW w:w="4281" w:type="dxa"/>
            <w:tcBorders>
              <w:top w:val="single" w:sz="8" w:space="0" w:color="auto"/>
              <w:bottom w:val="single" w:sz="4" w:space="0" w:color="auto"/>
            </w:tcBorders>
            <w:shd w:val="clear" w:color="auto" w:fill="DBE5F1" w:themeFill="accent1" w:themeFillTint="33"/>
            <w:vAlign w:val="bottom"/>
          </w:tcPr>
          <w:p w14:paraId="09713C11" w14:textId="77777777" w:rsidR="001F05B8" w:rsidRPr="00161D57" w:rsidRDefault="001F05B8" w:rsidP="00962477">
            <w:pPr>
              <w:pStyle w:val="NoSpacing"/>
              <w:rPr>
                <w:rFonts w:cs="Arial"/>
                <w:b/>
                <w:bCs/>
              </w:rPr>
            </w:pPr>
            <w:r w:rsidRPr="00161D57">
              <w:rPr>
                <w:rFonts w:cs="Arial"/>
                <w:b/>
                <w:bCs/>
              </w:rPr>
              <w:t>DSG Block</w:t>
            </w:r>
          </w:p>
        </w:tc>
        <w:tc>
          <w:tcPr>
            <w:tcW w:w="1190" w:type="dxa"/>
            <w:tcBorders>
              <w:top w:val="single" w:sz="8" w:space="0" w:color="auto"/>
              <w:bottom w:val="single" w:sz="4" w:space="0" w:color="auto"/>
            </w:tcBorders>
            <w:shd w:val="clear" w:color="auto" w:fill="DBE5F1" w:themeFill="accent1" w:themeFillTint="33"/>
            <w:vAlign w:val="bottom"/>
          </w:tcPr>
          <w:p w14:paraId="581A14F1" w14:textId="77777777" w:rsidR="001F05B8" w:rsidRPr="00161D57" w:rsidRDefault="001F05B8" w:rsidP="00962477">
            <w:pPr>
              <w:pStyle w:val="NoSpacing"/>
              <w:jc w:val="center"/>
              <w:rPr>
                <w:rFonts w:cs="Arial"/>
                <w:b/>
                <w:bCs/>
              </w:rPr>
            </w:pPr>
            <w:r w:rsidRPr="00161D57">
              <w:rPr>
                <w:rFonts w:cs="Arial"/>
                <w:b/>
                <w:bCs/>
              </w:rPr>
              <w:t>Budget</w:t>
            </w:r>
          </w:p>
          <w:p w14:paraId="7BA2474D" w14:textId="77777777" w:rsidR="001F05B8" w:rsidRPr="00161D57" w:rsidRDefault="001F05B8" w:rsidP="00962477">
            <w:pPr>
              <w:pStyle w:val="NoSpacing"/>
              <w:jc w:val="center"/>
              <w:rPr>
                <w:rFonts w:cs="Arial"/>
                <w:b/>
                <w:bCs/>
              </w:rPr>
            </w:pPr>
            <w:r w:rsidRPr="00161D57">
              <w:rPr>
                <w:rFonts w:cs="Arial"/>
                <w:b/>
                <w:bCs/>
              </w:rPr>
              <w:t>£m</w:t>
            </w:r>
          </w:p>
        </w:tc>
        <w:tc>
          <w:tcPr>
            <w:tcW w:w="1083" w:type="dxa"/>
            <w:tcBorders>
              <w:top w:val="single" w:sz="8" w:space="0" w:color="auto"/>
              <w:bottom w:val="single" w:sz="4" w:space="0" w:color="auto"/>
            </w:tcBorders>
            <w:shd w:val="clear" w:color="auto" w:fill="DBE5F1" w:themeFill="accent1" w:themeFillTint="33"/>
            <w:vAlign w:val="bottom"/>
          </w:tcPr>
          <w:p w14:paraId="1B964871" w14:textId="77777777" w:rsidR="001F05B8" w:rsidRPr="00161D57" w:rsidRDefault="001F05B8" w:rsidP="00962477">
            <w:pPr>
              <w:pStyle w:val="NoSpacing"/>
              <w:jc w:val="center"/>
              <w:rPr>
                <w:rFonts w:cs="Arial"/>
                <w:b/>
                <w:bCs/>
              </w:rPr>
            </w:pPr>
            <w:r w:rsidRPr="00161D57">
              <w:rPr>
                <w:rFonts w:cs="Arial"/>
                <w:b/>
                <w:bCs/>
              </w:rPr>
              <w:t>Actuals to Date</w:t>
            </w:r>
          </w:p>
          <w:p w14:paraId="6F65C714" w14:textId="77777777" w:rsidR="001F05B8" w:rsidRPr="00161D57" w:rsidRDefault="001F05B8" w:rsidP="00962477">
            <w:pPr>
              <w:pStyle w:val="NoSpacing"/>
              <w:jc w:val="center"/>
              <w:rPr>
                <w:rFonts w:cs="Arial"/>
                <w:b/>
                <w:bCs/>
              </w:rPr>
            </w:pPr>
            <w:r w:rsidRPr="00161D57">
              <w:rPr>
                <w:rFonts w:cs="Arial"/>
                <w:b/>
                <w:bCs/>
              </w:rPr>
              <w:t>£m</w:t>
            </w:r>
          </w:p>
        </w:tc>
        <w:tc>
          <w:tcPr>
            <w:tcW w:w="1370" w:type="dxa"/>
            <w:tcBorders>
              <w:top w:val="single" w:sz="8" w:space="0" w:color="auto"/>
              <w:bottom w:val="single" w:sz="4" w:space="0" w:color="auto"/>
            </w:tcBorders>
            <w:shd w:val="clear" w:color="auto" w:fill="DBE5F1" w:themeFill="accent1" w:themeFillTint="33"/>
            <w:vAlign w:val="bottom"/>
          </w:tcPr>
          <w:p w14:paraId="2E9334AA" w14:textId="77777777" w:rsidR="001F05B8" w:rsidRPr="00161D57" w:rsidRDefault="001F05B8" w:rsidP="00962477">
            <w:pPr>
              <w:pStyle w:val="NoSpacing"/>
              <w:jc w:val="center"/>
              <w:rPr>
                <w:rFonts w:cs="Arial"/>
                <w:b/>
                <w:bCs/>
              </w:rPr>
            </w:pPr>
            <w:r w:rsidRPr="00161D57">
              <w:rPr>
                <w:rFonts w:cs="Arial"/>
                <w:b/>
                <w:bCs/>
              </w:rPr>
              <w:t>Projected Forecast to Year End</w:t>
            </w:r>
          </w:p>
          <w:p w14:paraId="605834E6" w14:textId="77777777" w:rsidR="001F05B8" w:rsidRPr="00161D57" w:rsidRDefault="001F05B8" w:rsidP="00962477">
            <w:pPr>
              <w:pStyle w:val="NoSpacing"/>
              <w:jc w:val="center"/>
              <w:rPr>
                <w:rFonts w:cs="Arial"/>
                <w:b/>
                <w:bCs/>
              </w:rPr>
            </w:pPr>
            <w:r w:rsidRPr="00161D57">
              <w:rPr>
                <w:rFonts w:cs="Arial"/>
                <w:b/>
                <w:bCs/>
              </w:rPr>
              <w:t>£m</w:t>
            </w:r>
          </w:p>
        </w:tc>
        <w:tc>
          <w:tcPr>
            <w:tcW w:w="1857" w:type="dxa"/>
            <w:tcBorders>
              <w:top w:val="single" w:sz="8" w:space="0" w:color="auto"/>
              <w:bottom w:val="single" w:sz="4" w:space="0" w:color="auto"/>
            </w:tcBorders>
            <w:shd w:val="clear" w:color="auto" w:fill="DBE5F1" w:themeFill="accent1" w:themeFillTint="33"/>
            <w:vAlign w:val="bottom"/>
          </w:tcPr>
          <w:p w14:paraId="32F23EE9" w14:textId="77777777" w:rsidR="001F05B8" w:rsidRPr="00161D57" w:rsidRDefault="001F05B8" w:rsidP="00962477">
            <w:pPr>
              <w:pStyle w:val="NoSpacing"/>
              <w:jc w:val="center"/>
              <w:rPr>
                <w:rFonts w:cs="Arial"/>
                <w:b/>
                <w:bCs/>
              </w:rPr>
            </w:pPr>
            <w:r w:rsidRPr="00161D57">
              <w:rPr>
                <w:rFonts w:cs="Arial"/>
                <w:b/>
                <w:bCs/>
              </w:rPr>
              <w:t>Projected Underspend / (Overspend)  at Year End</w:t>
            </w:r>
          </w:p>
          <w:p w14:paraId="126444F1" w14:textId="77777777" w:rsidR="001F05B8" w:rsidRPr="00161D57" w:rsidRDefault="001F05B8" w:rsidP="00962477">
            <w:pPr>
              <w:pStyle w:val="NoSpacing"/>
              <w:jc w:val="center"/>
              <w:rPr>
                <w:rFonts w:cs="Arial"/>
                <w:b/>
                <w:bCs/>
              </w:rPr>
            </w:pPr>
            <w:r w:rsidRPr="00161D57">
              <w:rPr>
                <w:rFonts w:cs="Arial"/>
                <w:b/>
                <w:bCs/>
              </w:rPr>
              <w:t>£m</w:t>
            </w:r>
          </w:p>
        </w:tc>
      </w:tr>
      <w:tr w:rsidR="001F05B8" w:rsidRPr="00161D57" w14:paraId="3D3731AD" w14:textId="77777777" w:rsidTr="00B45E7F">
        <w:tc>
          <w:tcPr>
            <w:tcW w:w="4281" w:type="dxa"/>
            <w:tcBorders>
              <w:top w:val="single" w:sz="4" w:space="0" w:color="auto"/>
            </w:tcBorders>
          </w:tcPr>
          <w:p w14:paraId="6FB9F852" w14:textId="77777777" w:rsidR="001F05B8" w:rsidRPr="00161D57" w:rsidRDefault="001F05B8" w:rsidP="00962477">
            <w:pPr>
              <w:pStyle w:val="NoSpacing"/>
              <w:rPr>
                <w:rFonts w:cs="Arial"/>
              </w:rPr>
            </w:pPr>
            <w:r w:rsidRPr="00161D57">
              <w:rPr>
                <w:rFonts w:cs="Arial"/>
              </w:rPr>
              <w:t>Schools Block</w:t>
            </w:r>
          </w:p>
        </w:tc>
        <w:tc>
          <w:tcPr>
            <w:tcW w:w="1190" w:type="dxa"/>
            <w:tcBorders>
              <w:top w:val="single" w:sz="4" w:space="0" w:color="auto"/>
            </w:tcBorders>
          </w:tcPr>
          <w:p w14:paraId="4C786104" w14:textId="12E208D2" w:rsidR="001F05B8" w:rsidRPr="00B45E7F" w:rsidRDefault="001F05B8" w:rsidP="00962477">
            <w:pPr>
              <w:pStyle w:val="NoSpacing"/>
              <w:jc w:val="center"/>
              <w:rPr>
                <w:rFonts w:cs="Arial"/>
                <w:highlight w:val="yellow"/>
              </w:rPr>
            </w:pPr>
            <w:r w:rsidRPr="003E1627">
              <w:rPr>
                <w:rFonts w:cs="Arial"/>
              </w:rPr>
              <w:t>2</w:t>
            </w:r>
            <w:r w:rsidR="0015671B" w:rsidRPr="003E1627">
              <w:rPr>
                <w:rFonts w:cs="Arial"/>
              </w:rPr>
              <w:t>06.6</w:t>
            </w:r>
          </w:p>
        </w:tc>
        <w:tc>
          <w:tcPr>
            <w:tcW w:w="1083" w:type="dxa"/>
            <w:tcBorders>
              <w:top w:val="single" w:sz="4" w:space="0" w:color="auto"/>
            </w:tcBorders>
          </w:tcPr>
          <w:p w14:paraId="412EC0C7" w14:textId="20F64975" w:rsidR="001F05B8" w:rsidRPr="00B45E7F" w:rsidRDefault="00221FB0" w:rsidP="00962477">
            <w:pPr>
              <w:pStyle w:val="NoSpacing"/>
              <w:jc w:val="center"/>
              <w:rPr>
                <w:rFonts w:cs="Arial"/>
                <w:highlight w:val="yellow"/>
              </w:rPr>
            </w:pPr>
            <w:r w:rsidRPr="003E1627">
              <w:rPr>
                <w:rFonts w:cs="Arial"/>
              </w:rPr>
              <w:t>65</w:t>
            </w:r>
            <w:r w:rsidR="001F05B8" w:rsidRPr="003E1627">
              <w:rPr>
                <w:rFonts w:cs="Arial"/>
              </w:rPr>
              <w:t>.</w:t>
            </w:r>
            <w:r w:rsidRPr="003E1627">
              <w:rPr>
                <w:rFonts w:cs="Arial"/>
              </w:rPr>
              <w:t>7</w:t>
            </w:r>
          </w:p>
        </w:tc>
        <w:tc>
          <w:tcPr>
            <w:tcW w:w="1370" w:type="dxa"/>
            <w:tcBorders>
              <w:top w:val="single" w:sz="4" w:space="0" w:color="auto"/>
            </w:tcBorders>
          </w:tcPr>
          <w:p w14:paraId="39A66278" w14:textId="1227CD6B" w:rsidR="001F05B8" w:rsidRPr="00B45E7F" w:rsidRDefault="001F05B8" w:rsidP="00962477">
            <w:pPr>
              <w:pStyle w:val="NoSpacing"/>
              <w:jc w:val="center"/>
              <w:rPr>
                <w:rFonts w:cs="Arial"/>
                <w:highlight w:val="yellow"/>
              </w:rPr>
            </w:pPr>
            <w:r w:rsidRPr="003E1627">
              <w:rPr>
                <w:rFonts w:cs="Arial"/>
              </w:rPr>
              <w:t>2</w:t>
            </w:r>
            <w:r w:rsidR="0015671B" w:rsidRPr="003E1627">
              <w:rPr>
                <w:rFonts w:cs="Arial"/>
              </w:rPr>
              <w:t>04.6</w:t>
            </w:r>
          </w:p>
        </w:tc>
        <w:tc>
          <w:tcPr>
            <w:tcW w:w="1857" w:type="dxa"/>
            <w:tcBorders>
              <w:top w:val="single" w:sz="4" w:space="0" w:color="auto"/>
            </w:tcBorders>
          </w:tcPr>
          <w:p w14:paraId="3F1C56B5" w14:textId="4E537148" w:rsidR="001F05B8" w:rsidRPr="00B45E7F" w:rsidRDefault="001F05B8" w:rsidP="00962477">
            <w:pPr>
              <w:pStyle w:val="NoSpacing"/>
              <w:jc w:val="center"/>
              <w:rPr>
                <w:rFonts w:cs="Arial"/>
                <w:highlight w:val="yellow"/>
              </w:rPr>
            </w:pPr>
            <w:r w:rsidRPr="003E1627">
              <w:rPr>
                <w:rFonts w:cs="Arial"/>
              </w:rPr>
              <w:t>2.</w:t>
            </w:r>
            <w:r w:rsidR="0015671B" w:rsidRPr="003E1627">
              <w:rPr>
                <w:rFonts w:cs="Arial"/>
              </w:rPr>
              <w:t>0</w:t>
            </w:r>
          </w:p>
        </w:tc>
      </w:tr>
      <w:tr w:rsidR="001F05B8" w:rsidRPr="00161D57" w14:paraId="09F3A9E4" w14:textId="77777777" w:rsidTr="00B45E7F">
        <w:tc>
          <w:tcPr>
            <w:tcW w:w="4281" w:type="dxa"/>
          </w:tcPr>
          <w:p w14:paraId="09797E1C" w14:textId="77777777" w:rsidR="001F05B8" w:rsidRPr="00161D57" w:rsidRDefault="001F05B8" w:rsidP="00962477">
            <w:pPr>
              <w:pStyle w:val="NoSpacing"/>
              <w:rPr>
                <w:rFonts w:cs="Arial"/>
              </w:rPr>
            </w:pPr>
            <w:r w:rsidRPr="00161D57">
              <w:rPr>
                <w:rFonts w:cs="Arial"/>
              </w:rPr>
              <w:t>Central Schools and Services Block</w:t>
            </w:r>
          </w:p>
        </w:tc>
        <w:tc>
          <w:tcPr>
            <w:tcW w:w="1190" w:type="dxa"/>
          </w:tcPr>
          <w:p w14:paraId="14E7BDDC" w14:textId="77777777" w:rsidR="001F05B8" w:rsidRPr="00494313" w:rsidRDefault="001F05B8" w:rsidP="00962477">
            <w:pPr>
              <w:pStyle w:val="NoSpacing"/>
              <w:jc w:val="center"/>
              <w:rPr>
                <w:rFonts w:cs="Arial"/>
              </w:rPr>
            </w:pPr>
            <w:r w:rsidRPr="00494313">
              <w:rPr>
                <w:rFonts w:cs="Arial"/>
              </w:rPr>
              <w:t>2.9</w:t>
            </w:r>
          </w:p>
        </w:tc>
        <w:tc>
          <w:tcPr>
            <w:tcW w:w="1083" w:type="dxa"/>
          </w:tcPr>
          <w:p w14:paraId="196B518E" w14:textId="77777777" w:rsidR="001F05B8" w:rsidRPr="00494313" w:rsidRDefault="001F05B8" w:rsidP="00962477">
            <w:pPr>
              <w:pStyle w:val="NoSpacing"/>
              <w:jc w:val="center"/>
              <w:rPr>
                <w:rFonts w:cs="Arial"/>
              </w:rPr>
            </w:pPr>
            <w:r w:rsidRPr="00494313">
              <w:rPr>
                <w:rFonts w:cs="Arial"/>
              </w:rPr>
              <w:t>1.2</w:t>
            </w:r>
          </w:p>
        </w:tc>
        <w:tc>
          <w:tcPr>
            <w:tcW w:w="1370" w:type="dxa"/>
          </w:tcPr>
          <w:p w14:paraId="452463A4" w14:textId="77777777" w:rsidR="001F05B8" w:rsidRPr="00494313" w:rsidRDefault="001F05B8" w:rsidP="00962477">
            <w:pPr>
              <w:pStyle w:val="NoSpacing"/>
              <w:jc w:val="center"/>
              <w:rPr>
                <w:rFonts w:cs="Arial"/>
              </w:rPr>
            </w:pPr>
            <w:r w:rsidRPr="00494313">
              <w:rPr>
                <w:rFonts w:cs="Arial"/>
              </w:rPr>
              <w:t>2.9</w:t>
            </w:r>
          </w:p>
        </w:tc>
        <w:tc>
          <w:tcPr>
            <w:tcW w:w="1857" w:type="dxa"/>
          </w:tcPr>
          <w:p w14:paraId="200F671E" w14:textId="77777777" w:rsidR="001F05B8" w:rsidRPr="00494313" w:rsidRDefault="001F05B8" w:rsidP="00962477">
            <w:pPr>
              <w:pStyle w:val="NoSpacing"/>
              <w:jc w:val="center"/>
              <w:rPr>
                <w:rFonts w:cs="Arial"/>
              </w:rPr>
            </w:pPr>
            <w:r w:rsidRPr="00494313">
              <w:rPr>
                <w:rFonts w:cs="Arial"/>
              </w:rPr>
              <w:t>0.0</w:t>
            </w:r>
          </w:p>
        </w:tc>
      </w:tr>
      <w:tr w:rsidR="001F05B8" w:rsidRPr="00161D57" w14:paraId="21E4C07E" w14:textId="77777777" w:rsidTr="00B45E7F">
        <w:tc>
          <w:tcPr>
            <w:tcW w:w="4281" w:type="dxa"/>
          </w:tcPr>
          <w:p w14:paraId="63C947F3" w14:textId="77777777" w:rsidR="001F05B8" w:rsidRPr="00161D57" w:rsidRDefault="001F05B8" w:rsidP="00962477">
            <w:pPr>
              <w:pStyle w:val="NoSpacing"/>
              <w:rPr>
                <w:rFonts w:cs="Arial"/>
              </w:rPr>
            </w:pPr>
            <w:r w:rsidRPr="00161D57">
              <w:rPr>
                <w:rFonts w:cs="Arial"/>
              </w:rPr>
              <w:t>High Needs Block</w:t>
            </w:r>
          </w:p>
        </w:tc>
        <w:tc>
          <w:tcPr>
            <w:tcW w:w="1190" w:type="dxa"/>
          </w:tcPr>
          <w:p w14:paraId="3BDA10FD" w14:textId="20E1CB60" w:rsidR="001F05B8" w:rsidRPr="00494313" w:rsidRDefault="001F05B8" w:rsidP="00962477">
            <w:pPr>
              <w:pStyle w:val="NoSpacing"/>
              <w:jc w:val="center"/>
              <w:rPr>
                <w:rFonts w:cs="Arial"/>
              </w:rPr>
            </w:pPr>
            <w:r w:rsidRPr="00494313">
              <w:rPr>
                <w:rFonts w:cs="Arial"/>
              </w:rPr>
              <w:t>8</w:t>
            </w:r>
            <w:r w:rsidR="0070112F" w:rsidRPr="00494313">
              <w:rPr>
                <w:rFonts w:cs="Arial"/>
              </w:rPr>
              <w:t>5</w:t>
            </w:r>
            <w:r w:rsidRPr="00494313">
              <w:rPr>
                <w:rFonts w:cs="Arial"/>
              </w:rPr>
              <w:t>.3</w:t>
            </w:r>
          </w:p>
        </w:tc>
        <w:tc>
          <w:tcPr>
            <w:tcW w:w="1083" w:type="dxa"/>
          </w:tcPr>
          <w:p w14:paraId="37CAA057" w14:textId="473AC707" w:rsidR="001F05B8" w:rsidRPr="00494313" w:rsidRDefault="00494313" w:rsidP="00962477">
            <w:pPr>
              <w:pStyle w:val="NoSpacing"/>
              <w:jc w:val="center"/>
              <w:rPr>
                <w:rFonts w:cs="Arial"/>
              </w:rPr>
            </w:pPr>
            <w:r w:rsidRPr="00494313">
              <w:rPr>
                <w:rFonts w:cs="Arial"/>
              </w:rPr>
              <w:t>45.</w:t>
            </w:r>
            <w:r w:rsidR="00221FB0">
              <w:rPr>
                <w:rFonts w:cs="Arial"/>
              </w:rPr>
              <w:t>5</w:t>
            </w:r>
          </w:p>
        </w:tc>
        <w:tc>
          <w:tcPr>
            <w:tcW w:w="1370" w:type="dxa"/>
          </w:tcPr>
          <w:p w14:paraId="7375E8B1" w14:textId="3B6522BB" w:rsidR="001F05B8" w:rsidRPr="00494313" w:rsidRDefault="00494313" w:rsidP="00962477">
            <w:pPr>
              <w:pStyle w:val="NoSpacing"/>
              <w:jc w:val="center"/>
              <w:rPr>
                <w:rFonts w:cs="Arial"/>
              </w:rPr>
            </w:pPr>
            <w:r w:rsidRPr="00494313">
              <w:rPr>
                <w:rFonts w:cs="Arial"/>
              </w:rPr>
              <w:t>96</w:t>
            </w:r>
            <w:r w:rsidR="001F05B8" w:rsidRPr="00494313">
              <w:rPr>
                <w:rFonts w:cs="Arial"/>
              </w:rPr>
              <w:t>.</w:t>
            </w:r>
            <w:r w:rsidRPr="00494313">
              <w:rPr>
                <w:rFonts w:cs="Arial"/>
              </w:rPr>
              <w:t>3</w:t>
            </w:r>
          </w:p>
        </w:tc>
        <w:tc>
          <w:tcPr>
            <w:tcW w:w="1857" w:type="dxa"/>
          </w:tcPr>
          <w:p w14:paraId="0D6CCC42" w14:textId="75D0D5D3" w:rsidR="001F05B8" w:rsidRPr="00494313" w:rsidRDefault="001F05B8" w:rsidP="00962477">
            <w:pPr>
              <w:pStyle w:val="NoSpacing"/>
              <w:jc w:val="center"/>
              <w:rPr>
                <w:rFonts w:cs="Arial"/>
              </w:rPr>
            </w:pPr>
            <w:r w:rsidRPr="00494313">
              <w:rPr>
                <w:rFonts w:cs="Arial"/>
              </w:rPr>
              <w:t>-</w:t>
            </w:r>
            <w:r w:rsidR="00494313" w:rsidRPr="00494313">
              <w:rPr>
                <w:rFonts w:cs="Arial"/>
              </w:rPr>
              <w:t>11</w:t>
            </w:r>
            <w:r w:rsidRPr="00494313">
              <w:rPr>
                <w:rFonts w:cs="Arial"/>
              </w:rPr>
              <w:t>.</w:t>
            </w:r>
            <w:r w:rsidR="00494313" w:rsidRPr="00494313">
              <w:rPr>
                <w:rFonts w:cs="Arial"/>
              </w:rPr>
              <w:t>0</w:t>
            </w:r>
          </w:p>
        </w:tc>
      </w:tr>
      <w:tr w:rsidR="001F05B8" w:rsidRPr="00161D57" w14:paraId="20556974" w14:textId="77777777" w:rsidTr="00B45E7F">
        <w:tc>
          <w:tcPr>
            <w:tcW w:w="4281" w:type="dxa"/>
          </w:tcPr>
          <w:p w14:paraId="5FB9644F" w14:textId="77777777" w:rsidR="001F05B8" w:rsidRPr="00161D57" w:rsidRDefault="001F05B8" w:rsidP="00962477">
            <w:pPr>
              <w:pStyle w:val="NoSpacing"/>
              <w:rPr>
                <w:rFonts w:cs="Arial"/>
              </w:rPr>
            </w:pPr>
            <w:r w:rsidRPr="00161D57">
              <w:rPr>
                <w:rFonts w:cs="Arial"/>
              </w:rPr>
              <w:t>Early Years Block</w:t>
            </w:r>
          </w:p>
        </w:tc>
        <w:tc>
          <w:tcPr>
            <w:tcW w:w="1190" w:type="dxa"/>
          </w:tcPr>
          <w:p w14:paraId="664A0FED" w14:textId="0378A728" w:rsidR="001F05B8" w:rsidRPr="00494313" w:rsidRDefault="001F05B8" w:rsidP="00962477">
            <w:pPr>
              <w:pStyle w:val="NoSpacing"/>
              <w:jc w:val="center"/>
              <w:rPr>
                <w:rFonts w:cs="Arial"/>
              </w:rPr>
            </w:pPr>
            <w:r w:rsidRPr="00494313">
              <w:rPr>
                <w:rFonts w:cs="Arial"/>
              </w:rPr>
              <w:t>4</w:t>
            </w:r>
            <w:r w:rsidR="00494313" w:rsidRPr="00494313">
              <w:rPr>
                <w:rFonts w:cs="Arial"/>
              </w:rPr>
              <w:t>4</w:t>
            </w:r>
            <w:r w:rsidRPr="00494313">
              <w:rPr>
                <w:rFonts w:cs="Arial"/>
              </w:rPr>
              <w:t>.</w:t>
            </w:r>
            <w:r w:rsidR="00494313" w:rsidRPr="00494313">
              <w:rPr>
                <w:rFonts w:cs="Arial"/>
              </w:rPr>
              <w:t>7</w:t>
            </w:r>
          </w:p>
        </w:tc>
        <w:tc>
          <w:tcPr>
            <w:tcW w:w="1083" w:type="dxa"/>
          </w:tcPr>
          <w:p w14:paraId="4251E026" w14:textId="0E31240A" w:rsidR="001F05B8" w:rsidRPr="00494313" w:rsidRDefault="00494313" w:rsidP="00962477">
            <w:pPr>
              <w:pStyle w:val="NoSpacing"/>
              <w:jc w:val="center"/>
              <w:rPr>
                <w:rFonts w:cs="Arial"/>
              </w:rPr>
            </w:pPr>
            <w:r w:rsidRPr="00494313">
              <w:rPr>
                <w:rFonts w:cs="Arial"/>
              </w:rPr>
              <w:t>24.7</w:t>
            </w:r>
          </w:p>
        </w:tc>
        <w:tc>
          <w:tcPr>
            <w:tcW w:w="1370" w:type="dxa"/>
          </w:tcPr>
          <w:p w14:paraId="5A10DE9B" w14:textId="3522308E" w:rsidR="001F05B8" w:rsidRPr="00494313" w:rsidRDefault="001F05B8" w:rsidP="00962477">
            <w:pPr>
              <w:pStyle w:val="NoSpacing"/>
              <w:jc w:val="center"/>
              <w:rPr>
                <w:rFonts w:cs="Arial"/>
              </w:rPr>
            </w:pPr>
            <w:r w:rsidRPr="00494313">
              <w:rPr>
                <w:rFonts w:cs="Arial"/>
              </w:rPr>
              <w:t>4</w:t>
            </w:r>
            <w:r w:rsidR="00494313" w:rsidRPr="00494313">
              <w:rPr>
                <w:rFonts w:cs="Arial"/>
              </w:rPr>
              <w:t>4</w:t>
            </w:r>
            <w:r w:rsidRPr="00494313">
              <w:rPr>
                <w:rFonts w:cs="Arial"/>
              </w:rPr>
              <w:t>.</w:t>
            </w:r>
            <w:r w:rsidR="00494313" w:rsidRPr="00494313">
              <w:rPr>
                <w:rFonts w:cs="Arial"/>
              </w:rPr>
              <w:t>7</w:t>
            </w:r>
          </w:p>
        </w:tc>
        <w:tc>
          <w:tcPr>
            <w:tcW w:w="1857" w:type="dxa"/>
          </w:tcPr>
          <w:p w14:paraId="5438C11D" w14:textId="77777777" w:rsidR="001F05B8" w:rsidRPr="00494313" w:rsidRDefault="001F05B8" w:rsidP="00962477">
            <w:pPr>
              <w:pStyle w:val="NoSpacing"/>
              <w:jc w:val="center"/>
              <w:rPr>
                <w:rFonts w:cs="Arial"/>
              </w:rPr>
            </w:pPr>
            <w:r w:rsidRPr="00494313">
              <w:rPr>
                <w:rFonts w:cs="Arial"/>
              </w:rPr>
              <w:t>0.0</w:t>
            </w:r>
          </w:p>
        </w:tc>
      </w:tr>
      <w:tr w:rsidR="001F05B8" w:rsidRPr="00161D57" w14:paraId="31BAFE86" w14:textId="77777777" w:rsidTr="00B45E7F">
        <w:tc>
          <w:tcPr>
            <w:tcW w:w="4281" w:type="dxa"/>
            <w:shd w:val="clear" w:color="auto" w:fill="D9D9D9" w:themeFill="background1" w:themeFillShade="D9"/>
          </w:tcPr>
          <w:p w14:paraId="07BB3A8C" w14:textId="77777777" w:rsidR="001F05B8" w:rsidRPr="00161D57" w:rsidRDefault="001F05B8" w:rsidP="00962477">
            <w:pPr>
              <w:pStyle w:val="NoSpacing"/>
              <w:rPr>
                <w:rFonts w:cs="Arial"/>
                <w:b/>
                <w:bCs/>
              </w:rPr>
            </w:pPr>
            <w:r w:rsidRPr="00161D57">
              <w:rPr>
                <w:rFonts w:cs="Arial"/>
                <w:b/>
                <w:bCs/>
              </w:rPr>
              <w:t>Total DSG</w:t>
            </w:r>
          </w:p>
        </w:tc>
        <w:tc>
          <w:tcPr>
            <w:tcW w:w="1190" w:type="dxa"/>
            <w:shd w:val="clear" w:color="auto" w:fill="D9D9D9" w:themeFill="background1" w:themeFillShade="D9"/>
          </w:tcPr>
          <w:p w14:paraId="34C1B133" w14:textId="77777777" w:rsidR="001F05B8" w:rsidRPr="00161D57" w:rsidRDefault="001F05B8" w:rsidP="00962477">
            <w:pPr>
              <w:pStyle w:val="NoSpacing"/>
              <w:jc w:val="center"/>
              <w:rPr>
                <w:rFonts w:cs="Arial"/>
                <w:b/>
                <w:bCs/>
              </w:rPr>
            </w:pPr>
            <w:r w:rsidRPr="00161D57">
              <w:rPr>
                <w:rFonts w:cs="Arial"/>
                <w:b/>
                <w:bCs/>
              </w:rPr>
              <w:t>337.6</w:t>
            </w:r>
          </w:p>
        </w:tc>
        <w:tc>
          <w:tcPr>
            <w:tcW w:w="1083" w:type="dxa"/>
            <w:shd w:val="clear" w:color="auto" w:fill="D9D9D9" w:themeFill="background1" w:themeFillShade="D9"/>
          </w:tcPr>
          <w:p w14:paraId="05B7CF0B" w14:textId="6A15F246" w:rsidR="001F05B8" w:rsidRPr="00161D57" w:rsidRDefault="00221FB0" w:rsidP="00962477">
            <w:pPr>
              <w:pStyle w:val="NoSpacing"/>
              <w:jc w:val="center"/>
              <w:rPr>
                <w:rFonts w:cs="Arial"/>
                <w:b/>
                <w:bCs/>
              </w:rPr>
            </w:pPr>
            <w:r>
              <w:rPr>
                <w:rFonts w:cs="Arial"/>
                <w:b/>
                <w:bCs/>
              </w:rPr>
              <w:t>127.3</w:t>
            </w:r>
          </w:p>
        </w:tc>
        <w:tc>
          <w:tcPr>
            <w:tcW w:w="1370" w:type="dxa"/>
            <w:shd w:val="clear" w:color="auto" w:fill="D9D9D9" w:themeFill="background1" w:themeFillShade="D9"/>
          </w:tcPr>
          <w:p w14:paraId="778E807B" w14:textId="77777777" w:rsidR="001F05B8" w:rsidRPr="00161D57" w:rsidRDefault="001F05B8" w:rsidP="00962477">
            <w:pPr>
              <w:pStyle w:val="NoSpacing"/>
              <w:jc w:val="center"/>
              <w:rPr>
                <w:rFonts w:cs="Arial"/>
                <w:b/>
                <w:bCs/>
              </w:rPr>
            </w:pPr>
            <w:r w:rsidRPr="00161D57">
              <w:rPr>
                <w:rFonts w:cs="Arial"/>
                <w:b/>
                <w:bCs/>
              </w:rPr>
              <w:t>340.2</w:t>
            </w:r>
          </w:p>
        </w:tc>
        <w:tc>
          <w:tcPr>
            <w:tcW w:w="1857" w:type="dxa"/>
            <w:shd w:val="clear" w:color="auto" w:fill="D9D9D9" w:themeFill="background1" w:themeFillShade="D9"/>
          </w:tcPr>
          <w:p w14:paraId="30E3E453" w14:textId="32A7FA63" w:rsidR="001F05B8" w:rsidRPr="00161D57" w:rsidRDefault="001F05B8" w:rsidP="00962477">
            <w:pPr>
              <w:pStyle w:val="NoSpacing"/>
              <w:jc w:val="center"/>
              <w:rPr>
                <w:rFonts w:cs="Arial"/>
                <w:b/>
                <w:bCs/>
              </w:rPr>
            </w:pPr>
            <w:r w:rsidRPr="00161D57">
              <w:rPr>
                <w:rFonts w:cs="Arial"/>
                <w:b/>
                <w:bCs/>
              </w:rPr>
              <w:t>-</w:t>
            </w:r>
            <w:r w:rsidR="0015671B">
              <w:rPr>
                <w:rFonts w:cs="Arial"/>
                <w:b/>
                <w:bCs/>
              </w:rPr>
              <w:t>8</w:t>
            </w:r>
            <w:r w:rsidRPr="00161D57">
              <w:rPr>
                <w:rFonts w:cs="Arial"/>
                <w:b/>
                <w:bCs/>
              </w:rPr>
              <w:t>.</w:t>
            </w:r>
            <w:r w:rsidR="0015671B">
              <w:rPr>
                <w:rFonts w:cs="Arial"/>
                <w:b/>
                <w:bCs/>
              </w:rPr>
              <w:t>9</w:t>
            </w:r>
          </w:p>
        </w:tc>
      </w:tr>
    </w:tbl>
    <w:p w14:paraId="7AD2D97B" w14:textId="6DC32142" w:rsidR="001F05B8" w:rsidRDefault="001F05B8" w:rsidP="00F93EA6">
      <w:pPr>
        <w:pStyle w:val="ListParagraph"/>
        <w:ind w:left="709"/>
        <w:jc w:val="both"/>
        <w:rPr>
          <w:rFonts w:cs="Arial"/>
        </w:rPr>
      </w:pPr>
    </w:p>
    <w:p w14:paraId="3C1142AF" w14:textId="77777777" w:rsidR="00F93EA6" w:rsidRPr="00161D57" w:rsidRDefault="00F93EA6" w:rsidP="00F93EA6">
      <w:pPr>
        <w:pStyle w:val="ListParagraph"/>
        <w:ind w:left="709"/>
        <w:jc w:val="both"/>
        <w:rPr>
          <w:rFonts w:cs="Arial"/>
        </w:rPr>
      </w:pPr>
    </w:p>
    <w:p w14:paraId="7F6D6322" w14:textId="40538FE3" w:rsidR="005C28AD" w:rsidRDefault="003F6D13" w:rsidP="004F409A">
      <w:pPr>
        <w:pStyle w:val="ListParagraph"/>
        <w:numPr>
          <w:ilvl w:val="1"/>
          <w:numId w:val="26"/>
        </w:numPr>
        <w:ind w:left="709" w:hanging="709"/>
        <w:jc w:val="both"/>
        <w:rPr>
          <w:rFonts w:cs="Arial"/>
        </w:rPr>
      </w:pPr>
      <w:r w:rsidRPr="0026731E">
        <w:rPr>
          <w:rFonts w:cs="Arial"/>
          <w:b/>
          <w:bCs/>
        </w:rPr>
        <w:t>Schools Block</w:t>
      </w:r>
    </w:p>
    <w:p w14:paraId="492DCFB7" w14:textId="77777777" w:rsidR="005C28AD" w:rsidRDefault="005C28AD" w:rsidP="005C28AD">
      <w:pPr>
        <w:pStyle w:val="ListParagraph"/>
        <w:ind w:left="709"/>
        <w:jc w:val="both"/>
        <w:rPr>
          <w:rFonts w:cs="Arial"/>
        </w:rPr>
      </w:pPr>
    </w:p>
    <w:p w14:paraId="39221BDC" w14:textId="2280FB1A" w:rsidR="0026731E" w:rsidRDefault="00940DD4" w:rsidP="005C28AD">
      <w:pPr>
        <w:pStyle w:val="ListParagraph"/>
        <w:ind w:left="709"/>
        <w:jc w:val="both"/>
        <w:rPr>
          <w:rFonts w:cs="Arial"/>
        </w:rPr>
      </w:pPr>
      <w:r>
        <w:rPr>
          <w:rFonts w:cs="Arial"/>
        </w:rPr>
        <w:t xml:space="preserve">There is a projected </w:t>
      </w:r>
      <w:r w:rsidRPr="003E1627">
        <w:rPr>
          <w:rFonts w:cs="Arial"/>
        </w:rPr>
        <w:t>underspend of £2.6</w:t>
      </w:r>
      <w:r>
        <w:rPr>
          <w:rFonts w:cs="Arial"/>
        </w:rPr>
        <w:t xml:space="preserve"> million</w:t>
      </w:r>
      <w:r w:rsidR="00A73CD8">
        <w:rPr>
          <w:rFonts w:cs="Arial"/>
        </w:rPr>
        <w:t xml:space="preserve"> wholly attributable to the Growth Fund.</w:t>
      </w:r>
    </w:p>
    <w:p w14:paraId="752F5A28" w14:textId="77777777" w:rsidR="0026731E" w:rsidRDefault="0026731E" w:rsidP="0026731E">
      <w:pPr>
        <w:pStyle w:val="ListParagraph"/>
        <w:ind w:left="709"/>
        <w:jc w:val="both"/>
        <w:rPr>
          <w:rFonts w:cs="Arial"/>
        </w:rPr>
      </w:pPr>
    </w:p>
    <w:p w14:paraId="290EC5CD" w14:textId="374F3340" w:rsidR="005C28AD" w:rsidRDefault="0026731E" w:rsidP="004F409A">
      <w:pPr>
        <w:pStyle w:val="ListParagraph"/>
        <w:numPr>
          <w:ilvl w:val="1"/>
          <w:numId w:val="26"/>
        </w:numPr>
        <w:ind w:left="709" w:hanging="709"/>
        <w:jc w:val="both"/>
        <w:rPr>
          <w:rFonts w:cs="Arial"/>
        </w:rPr>
      </w:pPr>
      <w:r w:rsidRPr="005E04D9">
        <w:rPr>
          <w:rFonts w:cs="Arial"/>
          <w:b/>
          <w:bCs/>
        </w:rPr>
        <w:t>Central Schools and Services Block</w:t>
      </w:r>
    </w:p>
    <w:p w14:paraId="16126529" w14:textId="77777777" w:rsidR="005B3B08" w:rsidRDefault="005B3B08" w:rsidP="005B3B08">
      <w:pPr>
        <w:pStyle w:val="ListParagraph"/>
        <w:ind w:left="709"/>
        <w:jc w:val="both"/>
        <w:rPr>
          <w:rFonts w:cs="Arial"/>
          <w:b/>
          <w:bCs/>
        </w:rPr>
      </w:pPr>
    </w:p>
    <w:p w14:paraId="118B2D54" w14:textId="59511152" w:rsidR="005E04D9" w:rsidRDefault="005E04D9" w:rsidP="005B3B08">
      <w:pPr>
        <w:pStyle w:val="ListParagraph"/>
        <w:ind w:left="709"/>
        <w:jc w:val="both"/>
        <w:rPr>
          <w:rFonts w:cs="Arial"/>
        </w:rPr>
      </w:pPr>
      <w:r>
        <w:rPr>
          <w:rFonts w:cs="Arial"/>
        </w:rPr>
        <w:lastRenderedPageBreak/>
        <w:t>The Central Schools and Services Block is projected to spend to budget.</w:t>
      </w:r>
    </w:p>
    <w:p w14:paraId="2356B234" w14:textId="77777777" w:rsidR="005E04D9" w:rsidRPr="005E04D9" w:rsidRDefault="005E04D9" w:rsidP="005E04D9">
      <w:pPr>
        <w:pStyle w:val="ListParagraph"/>
        <w:rPr>
          <w:rFonts w:cs="Arial"/>
        </w:rPr>
      </w:pPr>
    </w:p>
    <w:p w14:paraId="37D0D32D" w14:textId="6BA6453B" w:rsidR="005B3B08" w:rsidRDefault="009E47C3" w:rsidP="004F409A">
      <w:pPr>
        <w:pStyle w:val="ListParagraph"/>
        <w:numPr>
          <w:ilvl w:val="1"/>
          <w:numId w:val="26"/>
        </w:numPr>
        <w:ind w:left="709" w:hanging="709"/>
        <w:jc w:val="both"/>
        <w:rPr>
          <w:rFonts w:cs="Arial"/>
        </w:rPr>
      </w:pPr>
      <w:r w:rsidRPr="0053063A">
        <w:rPr>
          <w:rFonts w:cs="Arial"/>
          <w:b/>
          <w:bCs/>
        </w:rPr>
        <w:t>High N</w:t>
      </w:r>
      <w:r w:rsidR="009D2D1C" w:rsidRPr="0053063A">
        <w:rPr>
          <w:rFonts w:cs="Arial"/>
          <w:b/>
          <w:bCs/>
        </w:rPr>
        <w:t>eeds Block</w:t>
      </w:r>
    </w:p>
    <w:p w14:paraId="43C90E3F" w14:textId="77777777" w:rsidR="005B3B08" w:rsidRDefault="005B3B08" w:rsidP="005B3B08">
      <w:pPr>
        <w:pStyle w:val="ListParagraph"/>
        <w:ind w:left="709"/>
        <w:jc w:val="both"/>
        <w:rPr>
          <w:rFonts w:cs="Arial"/>
          <w:b/>
          <w:bCs/>
        </w:rPr>
      </w:pPr>
    </w:p>
    <w:p w14:paraId="33315F5A" w14:textId="7B2E975D" w:rsidR="004F409A" w:rsidRDefault="00092F33" w:rsidP="005B3B08">
      <w:pPr>
        <w:pStyle w:val="ListParagraph"/>
        <w:ind w:left="709"/>
        <w:jc w:val="both"/>
        <w:rPr>
          <w:rFonts w:cs="Arial"/>
        </w:rPr>
      </w:pPr>
      <w:r w:rsidRPr="00092F33">
        <w:t xml:space="preserve">There is a projected </w:t>
      </w:r>
      <w:r w:rsidRPr="003E1627">
        <w:t>overspend of £</w:t>
      </w:r>
      <w:r w:rsidR="00494313" w:rsidRPr="003E1627">
        <w:t>11</w:t>
      </w:r>
      <w:r w:rsidRPr="003E1627">
        <w:t>.</w:t>
      </w:r>
      <w:r w:rsidR="00494313" w:rsidRPr="003E1627">
        <w:t>0</w:t>
      </w:r>
      <w:r w:rsidRPr="003E1627">
        <w:t xml:space="preserve"> million</w:t>
      </w:r>
      <w:r w:rsidRPr="00092F33">
        <w:t xml:space="preserve"> on the High Needs Block</w:t>
      </w:r>
      <w:r w:rsidR="00216D68">
        <w:t>, which is further analysed in the table</w:t>
      </w:r>
      <w:r w:rsidR="004E7170">
        <w:t xml:space="preserve"> below:</w:t>
      </w:r>
    </w:p>
    <w:p w14:paraId="1B9EB1EB" w14:textId="77777777" w:rsidR="00D65D0B" w:rsidRDefault="00D65D0B" w:rsidP="005B3B08">
      <w:pPr>
        <w:pStyle w:val="ListParagraph"/>
        <w:ind w:left="709"/>
        <w:jc w:val="both"/>
        <w:rPr>
          <w:rFonts w:cs="Arial"/>
        </w:rPr>
      </w:pPr>
    </w:p>
    <w:tbl>
      <w:tblPr>
        <w:tblStyle w:val="TableGrid"/>
        <w:tblW w:w="8784" w:type="dxa"/>
        <w:tblInd w:w="567" w:type="dxa"/>
        <w:tblLook w:val="04A0" w:firstRow="1" w:lastRow="0" w:firstColumn="1" w:lastColumn="0" w:noHBand="0" w:noVBand="1"/>
      </w:tblPr>
      <w:tblGrid>
        <w:gridCol w:w="7225"/>
        <w:gridCol w:w="1559"/>
      </w:tblGrid>
      <w:tr w:rsidR="00126BF1" w14:paraId="0AF9E052" w14:textId="77777777" w:rsidTr="00962477">
        <w:tc>
          <w:tcPr>
            <w:tcW w:w="7225" w:type="dxa"/>
            <w:shd w:val="clear" w:color="auto" w:fill="C6D9F1" w:themeFill="text2" w:themeFillTint="33"/>
            <w:vAlign w:val="bottom"/>
          </w:tcPr>
          <w:p w14:paraId="4B6E52EE" w14:textId="77777777" w:rsidR="00126BF1" w:rsidRPr="00582151" w:rsidRDefault="00126BF1" w:rsidP="00962477">
            <w:pPr>
              <w:pStyle w:val="NoSpacing"/>
              <w:rPr>
                <w:b/>
                <w:bCs/>
                <w:sz w:val="22"/>
                <w:szCs w:val="22"/>
              </w:rPr>
            </w:pPr>
            <w:r w:rsidRPr="00582151">
              <w:rPr>
                <w:b/>
                <w:bCs/>
                <w:sz w:val="22"/>
                <w:szCs w:val="22"/>
              </w:rPr>
              <w:t>High Needs Block Area</w:t>
            </w:r>
          </w:p>
        </w:tc>
        <w:tc>
          <w:tcPr>
            <w:tcW w:w="1559" w:type="dxa"/>
            <w:shd w:val="clear" w:color="auto" w:fill="C6D9F1" w:themeFill="text2" w:themeFillTint="33"/>
          </w:tcPr>
          <w:p w14:paraId="62705857" w14:textId="0B16B2E5" w:rsidR="00126BF1" w:rsidRDefault="00126BF1" w:rsidP="00962477">
            <w:pPr>
              <w:pStyle w:val="NoSpacing"/>
              <w:jc w:val="center"/>
              <w:rPr>
                <w:sz w:val="22"/>
                <w:szCs w:val="22"/>
              </w:rPr>
            </w:pPr>
            <w:r w:rsidRPr="00582151">
              <w:rPr>
                <w:b/>
                <w:bCs/>
                <w:sz w:val="22"/>
                <w:szCs w:val="22"/>
              </w:rPr>
              <w:t>Amount of 202</w:t>
            </w:r>
            <w:r w:rsidR="004E7170">
              <w:rPr>
                <w:b/>
                <w:bCs/>
                <w:sz w:val="22"/>
                <w:szCs w:val="22"/>
              </w:rPr>
              <w:t>5</w:t>
            </w:r>
            <w:r w:rsidRPr="00582151">
              <w:rPr>
                <w:b/>
                <w:bCs/>
                <w:sz w:val="22"/>
                <w:szCs w:val="22"/>
              </w:rPr>
              <w:t>-202</w:t>
            </w:r>
            <w:r w:rsidR="004E7170">
              <w:rPr>
                <w:b/>
                <w:bCs/>
                <w:sz w:val="22"/>
                <w:szCs w:val="22"/>
              </w:rPr>
              <w:t>6</w:t>
            </w:r>
            <w:r>
              <w:rPr>
                <w:b/>
                <w:bCs/>
                <w:sz w:val="22"/>
                <w:szCs w:val="22"/>
              </w:rPr>
              <w:t xml:space="preserve"> Projected</w:t>
            </w:r>
            <w:r w:rsidRPr="00582151">
              <w:rPr>
                <w:b/>
                <w:bCs/>
                <w:sz w:val="22"/>
                <w:szCs w:val="22"/>
              </w:rPr>
              <w:t xml:space="preserve"> Overspend (£m)</w:t>
            </w:r>
          </w:p>
        </w:tc>
      </w:tr>
      <w:tr w:rsidR="00126BF1" w14:paraId="4DD5F202" w14:textId="77777777" w:rsidTr="00962477">
        <w:trPr>
          <w:trHeight w:val="567"/>
        </w:trPr>
        <w:tc>
          <w:tcPr>
            <w:tcW w:w="7225" w:type="dxa"/>
            <w:vAlign w:val="center"/>
          </w:tcPr>
          <w:p w14:paraId="2F1F4DAE" w14:textId="77777777" w:rsidR="00126BF1" w:rsidRDefault="00126BF1" w:rsidP="00962477">
            <w:pPr>
              <w:pStyle w:val="NoSpacing"/>
              <w:rPr>
                <w:sz w:val="22"/>
                <w:szCs w:val="22"/>
              </w:rPr>
            </w:pPr>
            <w:r>
              <w:rPr>
                <w:sz w:val="22"/>
                <w:szCs w:val="22"/>
              </w:rPr>
              <w:t>Children in complex needs for special equipment to support special schools.</w:t>
            </w:r>
          </w:p>
        </w:tc>
        <w:tc>
          <w:tcPr>
            <w:tcW w:w="1559" w:type="dxa"/>
            <w:vAlign w:val="center"/>
          </w:tcPr>
          <w:p w14:paraId="5EF3E646" w14:textId="75E14835" w:rsidR="00126BF1" w:rsidRPr="004E7170" w:rsidRDefault="00126BF1" w:rsidP="00962477">
            <w:pPr>
              <w:pStyle w:val="NoSpacing"/>
              <w:jc w:val="center"/>
              <w:rPr>
                <w:sz w:val="22"/>
                <w:szCs w:val="22"/>
                <w:highlight w:val="yellow"/>
              </w:rPr>
            </w:pPr>
            <w:r w:rsidRPr="003E1627">
              <w:rPr>
                <w:sz w:val="22"/>
                <w:szCs w:val="22"/>
              </w:rPr>
              <w:t>-</w:t>
            </w:r>
            <w:r w:rsidR="00494313" w:rsidRPr="003E1627">
              <w:rPr>
                <w:sz w:val="22"/>
                <w:szCs w:val="22"/>
              </w:rPr>
              <w:t>2</w:t>
            </w:r>
            <w:r w:rsidRPr="003E1627">
              <w:rPr>
                <w:sz w:val="22"/>
                <w:szCs w:val="22"/>
              </w:rPr>
              <w:t>.</w:t>
            </w:r>
            <w:r w:rsidR="00494313" w:rsidRPr="003E1627">
              <w:rPr>
                <w:sz w:val="22"/>
                <w:szCs w:val="22"/>
              </w:rPr>
              <w:t>7</w:t>
            </w:r>
          </w:p>
        </w:tc>
      </w:tr>
      <w:tr w:rsidR="00126BF1" w14:paraId="5B04E06B" w14:textId="77777777" w:rsidTr="00962477">
        <w:trPr>
          <w:trHeight w:val="567"/>
        </w:trPr>
        <w:tc>
          <w:tcPr>
            <w:tcW w:w="7225" w:type="dxa"/>
            <w:vAlign w:val="center"/>
          </w:tcPr>
          <w:p w14:paraId="367A611F" w14:textId="5355C40B" w:rsidR="00126BF1" w:rsidRDefault="00126BF1" w:rsidP="00962477">
            <w:pPr>
              <w:pStyle w:val="NoSpacing"/>
              <w:rPr>
                <w:sz w:val="22"/>
                <w:szCs w:val="22"/>
              </w:rPr>
            </w:pPr>
            <w:r>
              <w:rPr>
                <w:sz w:val="22"/>
                <w:szCs w:val="22"/>
              </w:rPr>
              <w:t xml:space="preserve">Mainstream schools including special </w:t>
            </w:r>
            <w:r w:rsidR="00221FB0">
              <w:rPr>
                <w:sz w:val="22"/>
                <w:szCs w:val="22"/>
              </w:rPr>
              <w:t>schools’</w:t>
            </w:r>
            <w:r>
              <w:rPr>
                <w:sz w:val="22"/>
                <w:szCs w:val="22"/>
              </w:rPr>
              <w:t xml:space="preserve"> placement and top up funding.  High top up funding and legacy funding requiring review.</w:t>
            </w:r>
          </w:p>
          <w:p w14:paraId="23B203C1" w14:textId="343D1FF7" w:rsidR="00494313" w:rsidRDefault="00221FB0" w:rsidP="00962477">
            <w:pPr>
              <w:pStyle w:val="NoSpacing"/>
              <w:rPr>
                <w:sz w:val="22"/>
                <w:szCs w:val="22"/>
              </w:rPr>
            </w:pPr>
            <w:r>
              <w:rPr>
                <w:sz w:val="22"/>
                <w:szCs w:val="22"/>
              </w:rPr>
              <w:t xml:space="preserve">Cost of </w:t>
            </w:r>
            <w:r w:rsidR="00494313">
              <w:rPr>
                <w:sz w:val="22"/>
                <w:szCs w:val="22"/>
              </w:rPr>
              <w:t>Phoenix Project</w:t>
            </w:r>
          </w:p>
        </w:tc>
        <w:tc>
          <w:tcPr>
            <w:tcW w:w="1559" w:type="dxa"/>
            <w:vAlign w:val="center"/>
          </w:tcPr>
          <w:p w14:paraId="7F46D275" w14:textId="2B3AE0E3" w:rsidR="00126BF1" w:rsidRPr="004E7170" w:rsidRDefault="00126BF1" w:rsidP="00962477">
            <w:pPr>
              <w:pStyle w:val="NoSpacing"/>
              <w:jc w:val="center"/>
              <w:rPr>
                <w:sz w:val="22"/>
                <w:szCs w:val="22"/>
                <w:highlight w:val="yellow"/>
              </w:rPr>
            </w:pPr>
            <w:r w:rsidRPr="003E1627">
              <w:rPr>
                <w:sz w:val="22"/>
                <w:szCs w:val="22"/>
              </w:rPr>
              <w:t>-</w:t>
            </w:r>
            <w:r w:rsidR="00494313" w:rsidRPr="003E1627">
              <w:rPr>
                <w:sz w:val="22"/>
                <w:szCs w:val="22"/>
              </w:rPr>
              <w:t>6</w:t>
            </w:r>
            <w:r w:rsidRPr="003E1627">
              <w:rPr>
                <w:sz w:val="22"/>
                <w:szCs w:val="22"/>
              </w:rPr>
              <w:t>.</w:t>
            </w:r>
            <w:r w:rsidR="00494313" w:rsidRPr="003E1627">
              <w:rPr>
                <w:sz w:val="22"/>
                <w:szCs w:val="22"/>
              </w:rPr>
              <w:t>2</w:t>
            </w:r>
          </w:p>
        </w:tc>
      </w:tr>
      <w:tr w:rsidR="00126BF1" w14:paraId="412BEA06" w14:textId="77777777" w:rsidTr="00962477">
        <w:trPr>
          <w:trHeight w:val="567"/>
        </w:trPr>
        <w:tc>
          <w:tcPr>
            <w:tcW w:w="7225" w:type="dxa"/>
            <w:vAlign w:val="center"/>
          </w:tcPr>
          <w:p w14:paraId="652243E8" w14:textId="77777777" w:rsidR="00126BF1" w:rsidRDefault="00126BF1" w:rsidP="00962477">
            <w:pPr>
              <w:pStyle w:val="NoSpacing"/>
              <w:rPr>
                <w:sz w:val="22"/>
                <w:szCs w:val="22"/>
              </w:rPr>
            </w:pPr>
            <w:r>
              <w:rPr>
                <w:sz w:val="22"/>
                <w:szCs w:val="22"/>
              </w:rPr>
              <w:t>Academies and Free Schools, increase in EHCP plans and costs</w:t>
            </w:r>
          </w:p>
        </w:tc>
        <w:tc>
          <w:tcPr>
            <w:tcW w:w="1559" w:type="dxa"/>
            <w:vAlign w:val="center"/>
          </w:tcPr>
          <w:p w14:paraId="6E940FB8" w14:textId="30EFFE09" w:rsidR="00126BF1" w:rsidRPr="004E7170" w:rsidRDefault="00126BF1" w:rsidP="00962477">
            <w:pPr>
              <w:pStyle w:val="NoSpacing"/>
              <w:jc w:val="center"/>
              <w:rPr>
                <w:sz w:val="22"/>
                <w:szCs w:val="22"/>
                <w:highlight w:val="yellow"/>
              </w:rPr>
            </w:pPr>
            <w:r w:rsidRPr="003E1627">
              <w:rPr>
                <w:sz w:val="22"/>
                <w:szCs w:val="22"/>
              </w:rPr>
              <w:t>-</w:t>
            </w:r>
            <w:r w:rsidR="00494313" w:rsidRPr="003E1627">
              <w:rPr>
                <w:sz w:val="22"/>
                <w:szCs w:val="22"/>
              </w:rPr>
              <w:t>2</w:t>
            </w:r>
            <w:r w:rsidRPr="003E1627">
              <w:rPr>
                <w:sz w:val="22"/>
                <w:szCs w:val="22"/>
              </w:rPr>
              <w:t>.1</w:t>
            </w:r>
          </w:p>
        </w:tc>
      </w:tr>
      <w:tr w:rsidR="00126BF1" w14:paraId="296FF7E4" w14:textId="77777777" w:rsidTr="00962477">
        <w:trPr>
          <w:trHeight w:val="567"/>
        </w:trPr>
        <w:tc>
          <w:tcPr>
            <w:tcW w:w="7225" w:type="dxa"/>
            <w:shd w:val="clear" w:color="auto" w:fill="D9D9D9" w:themeFill="background1" w:themeFillShade="D9"/>
            <w:vAlign w:val="center"/>
          </w:tcPr>
          <w:p w14:paraId="4CBDBC79" w14:textId="6DE1FAC1" w:rsidR="00126BF1" w:rsidRPr="00E348E1" w:rsidRDefault="00126BF1" w:rsidP="00962477">
            <w:pPr>
              <w:pStyle w:val="NoSpacing"/>
              <w:ind w:left="567" w:hanging="567"/>
              <w:rPr>
                <w:rFonts w:cs="Arial"/>
                <w:b/>
                <w:bCs/>
                <w:sz w:val="22"/>
                <w:szCs w:val="22"/>
              </w:rPr>
            </w:pPr>
            <w:r w:rsidRPr="00E348E1">
              <w:rPr>
                <w:rFonts w:cs="Arial"/>
                <w:b/>
                <w:bCs/>
                <w:sz w:val="22"/>
                <w:szCs w:val="22"/>
              </w:rPr>
              <w:t xml:space="preserve">Total DSG High Needs Block </w:t>
            </w:r>
            <w:r>
              <w:rPr>
                <w:rFonts w:cs="Arial"/>
                <w:b/>
                <w:bCs/>
                <w:sz w:val="22"/>
                <w:szCs w:val="22"/>
              </w:rPr>
              <w:t>202</w:t>
            </w:r>
            <w:r w:rsidR="00413BDA">
              <w:rPr>
                <w:rFonts w:cs="Arial"/>
                <w:b/>
                <w:bCs/>
                <w:sz w:val="22"/>
                <w:szCs w:val="22"/>
              </w:rPr>
              <w:t>5</w:t>
            </w:r>
            <w:r>
              <w:rPr>
                <w:rFonts w:cs="Arial"/>
                <w:b/>
                <w:bCs/>
                <w:sz w:val="22"/>
                <w:szCs w:val="22"/>
              </w:rPr>
              <w:t>-202</w:t>
            </w:r>
            <w:r w:rsidR="00413BDA">
              <w:rPr>
                <w:rFonts w:cs="Arial"/>
                <w:b/>
                <w:bCs/>
                <w:sz w:val="22"/>
                <w:szCs w:val="22"/>
              </w:rPr>
              <w:t>6</w:t>
            </w:r>
            <w:r>
              <w:rPr>
                <w:rFonts w:cs="Arial"/>
                <w:b/>
                <w:bCs/>
                <w:sz w:val="22"/>
                <w:szCs w:val="22"/>
              </w:rPr>
              <w:t xml:space="preserve"> projected </w:t>
            </w:r>
            <w:r w:rsidRPr="00E348E1">
              <w:rPr>
                <w:rFonts w:cs="Arial"/>
                <w:b/>
                <w:bCs/>
                <w:sz w:val="22"/>
                <w:szCs w:val="22"/>
              </w:rPr>
              <w:t>overspend</w:t>
            </w:r>
          </w:p>
        </w:tc>
        <w:tc>
          <w:tcPr>
            <w:tcW w:w="1559" w:type="dxa"/>
            <w:shd w:val="clear" w:color="auto" w:fill="D9D9D9" w:themeFill="background1" w:themeFillShade="D9"/>
            <w:vAlign w:val="center"/>
          </w:tcPr>
          <w:p w14:paraId="25F4550F" w14:textId="154D6DC8" w:rsidR="00126BF1" w:rsidRPr="00A41396" w:rsidRDefault="00126BF1" w:rsidP="00962477">
            <w:pPr>
              <w:pStyle w:val="NoSpacing"/>
              <w:ind w:left="567" w:hanging="567"/>
              <w:jc w:val="center"/>
              <w:rPr>
                <w:rFonts w:cs="Arial"/>
                <w:b/>
                <w:bCs/>
                <w:sz w:val="22"/>
                <w:szCs w:val="22"/>
              </w:rPr>
            </w:pPr>
            <w:r w:rsidRPr="00A41396">
              <w:rPr>
                <w:rFonts w:cs="Arial"/>
                <w:b/>
                <w:bCs/>
                <w:sz w:val="22"/>
                <w:szCs w:val="22"/>
              </w:rPr>
              <w:t>-</w:t>
            </w:r>
            <w:r w:rsidR="0015671B">
              <w:rPr>
                <w:rFonts w:cs="Arial"/>
                <w:b/>
                <w:bCs/>
                <w:sz w:val="22"/>
                <w:szCs w:val="22"/>
              </w:rPr>
              <w:t>11.0</w:t>
            </w:r>
          </w:p>
        </w:tc>
      </w:tr>
    </w:tbl>
    <w:p w14:paraId="00F8E19A" w14:textId="77777777" w:rsidR="00D65D0B" w:rsidRDefault="00D65D0B" w:rsidP="005B3B08">
      <w:pPr>
        <w:pStyle w:val="ListParagraph"/>
        <w:ind w:left="709"/>
        <w:jc w:val="both"/>
        <w:rPr>
          <w:rFonts w:cs="Arial"/>
        </w:rPr>
      </w:pPr>
    </w:p>
    <w:p w14:paraId="547E2C02" w14:textId="77777777" w:rsidR="0053063A" w:rsidRPr="0053063A" w:rsidRDefault="0053063A" w:rsidP="0053063A">
      <w:pPr>
        <w:pStyle w:val="ListParagraph"/>
        <w:rPr>
          <w:rFonts w:cs="Arial"/>
        </w:rPr>
      </w:pPr>
    </w:p>
    <w:p w14:paraId="4BDF66F9" w14:textId="00B1FDE0" w:rsidR="0053063A" w:rsidRDefault="0053063A" w:rsidP="0053063A">
      <w:pPr>
        <w:pStyle w:val="ListParagraph"/>
        <w:ind w:left="709"/>
        <w:jc w:val="both"/>
        <w:rPr>
          <w:rFonts w:cs="Arial"/>
        </w:rPr>
      </w:pPr>
      <w:r>
        <w:rPr>
          <w:rFonts w:cs="Arial"/>
        </w:rPr>
        <w:t xml:space="preserve">High Needs Block expenditure has grown </w:t>
      </w:r>
      <w:r w:rsidRPr="003E1627">
        <w:rPr>
          <w:rFonts w:cs="Arial"/>
        </w:rPr>
        <w:t xml:space="preserve">by </w:t>
      </w:r>
      <w:r w:rsidR="00BC53DE" w:rsidRPr="003E1627">
        <w:rPr>
          <w:rFonts w:cs="Arial"/>
        </w:rPr>
        <w:t>20%</w:t>
      </w:r>
      <w:r w:rsidR="00BC53DE">
        <w:rPr>
          <w:rFonts w:cs="Arial"/>
        </w:rPr>
        <w:t xml:space="preserve"> in Tower Ham</w:t>
      </w:r>
      <w:r w:rsidR="000D529C">
        <w:rPr>
          <w:rFonts w:cs="Arial"/>
        </w:rPr>
        <w:t>l</w:t>
      </w:r>
      <w:r w:rsidR="00BC53DE">
        <w:rPr>
          <w:rFonts w:cs="Arial"/>
        </w:rPr>
        <w:t>ets sine the 2020-21 financial year.</w:t>
      </w:r>
    </w:p>
    <w:p w14:paraId="2AE0F1BE" w14:textId="77777777" w:rsidR="000D529C" w:rsidRDefault="000D529C" w:rsidP="0053063A">
      <w:pPr>
        <w:pStyle w:val="ListParagraph"/>
        <w:ind w:left="709"/>
        <w:jc w:val="both"/>
        <w:rPr>
          <w:rFonts w:cs="Arial"/>
        </w:rPr>
      </w:pPr>
    </w:p>
    <w:p w14:paraId="26265BA0" w14:textId="51FEABF8" w:rsidR="000D529C" w:rsidRDefault="000D529C" w:rsidP="0053063A">
      <w:pPr>
        <w:pStyle w:val="ListParagraph"/>
        <w:ind w:left="709"/>
        <w:jc w:val="both"/>
        <w:rPr>
          <w:rFonts w:cs="Arial"/>
        </w:rPr>
      </w:pPr>
      <w:r w:rsidRPr="003E1627">
        <w:rPr>
          <w:rFonts w:cs="Arial"/>
        </w:rPr>
        <w:t>37%</w:t>
      </w:r>
      <w:r>
        <w:rPr>
          <w:rFonts w:cs="Arial"/>
        </w:rPr>
        <w:t xml:space="preserve"> of spend is on maintained special schools</w:t>
      </w:r>
      <w:r w:rsidRPr="003E1627">
        <w:rPr>
          <w:rFonts w:cs="Arial"/>
        </w:rPr>
        <w:t>, 34%</w:t>
      </w:r>
      <w:r w:rsidR="001F2908">
        <w:rPr>
          <w:rFonts w:cs="Arial"/>
        </w:rPr>
        <w:t xml:space="preserve"> on maintained schools, and </w:t>
      </w:r>
      <w:r w:rsidR="001F2908" w:rsidRPr="003E1627">
        <w:rPr>
          <w:rFonts w:cs="Arial"/>
        </w:rPr>
        <w:t>9%</w:t>
      </w:r>
      <w:r w:rsidR="001F2908">
        <w:rPr>
          <w:rFonts w:cs="Arial"/>
        </w:rPr>
        <w:t xml:space="preserve"> on independent settings (</w:t>
      </w:r>
      <w:r w:rsidR="001F2908" w:rsidRPr="003E1627">
        <w:rPr>
          <w:rFonts w:cs="Arial"/>
        </w:rPr>
        <w:t>Delivering Bett</w:t>
      </w:r>
      <w:r w:rsidR="009176D9" w:rsidRPr="003E1627">
        <w:rPr>
          <w:rFonts w:cs="Arial"/>
        </w:rPr>
        <w:t>er Value Report January 2024</w:t>
      </w:r>
      <w:r w:rsidR="009176D9">
        <w:rPr>
          <w:rFonts w:cs="Arial"/>
        </w:rPr>
        <w:t>).</w:t>
      </w:r>
    </w:p>
    <w:p w14:paraId="13B2FB83" w14:textId="77777777" w:rsidR="007D6F8C" w:rsidRDefault="007D6F8C" w:rsidP="0053063A">
      <w:pPr>
        <w:pStyle w:val="ListParagraph"/>
        <w:ind w:left="709"/>
        <w:jc w:val="both"/>
        <w:rPr>
          <w:rFonts w:cs="Arial"/>
        </w:rPr>
      </w:pPr>
    </w:p>
    <w:p w14:paraId="7B1063AB" w14:textId="77777777" w:rsidR="007D6F8C" w:rsidRPr="00973128" w:rsidRDefault="007D6F8C" w:rsidP="007D6F8C">
      <w:pPr>
        <w:pStyle w:val="NoSpacing"/>
        <w:ind w:left="567"/>
      </w:pPr>
      <w:r w:rsidRPr="00973128">
        <w:t>Continuous increase in the number of children and young people with Education, Health and Care Plans (EHCPs) has led to the significant overspend in the High Needs Block.</w:t>
      </w:r>
    </w:p>
    <w:p w14:paraId="3ECC9BF8" w14:textId="77777777" w:rsidR="007D6F8C" w:rsidRPr="00973128" w:rsidRDefault="007D6F8C" w:rsidP="007D6F8C">
      <w:pPr>
        <w:pStyle w:val="NoSpacing"/>
        <w:ind w:firstLine="567"/>
        <w:rPr>
          <w:u w:val="single"/>
        </w:rPr>
      </w:pPr>
    </w:p>
    <w:p w14:paraId="4A8854E1" w14:textId="77777777" w:rsidR="007D6F8C" w:rsidRPr="00973128" w:rsidRDefault="007D6F8C" w:rsidP="007D6F8C">
      <w:pPr>
        <w:pStyle w:val="NoSpacing"/>
        <w:ind w:left="567"/>
      </w:pPr>
      <w:r w:rsidRPr="00973128">
        <w:t>There are steps are in place to reduce the steep trajectory of requests for statutory assessment and resulting EHCPs including:</w:t>
      </w:r>
    </w:p>
    <w:p w14:paraId="6B2D2922" w14:textId="77777777" w:rsidR="007D6F8C" w:rsidRPr="00973128" w:rsidRDefault="007D6F8C" w:rsidP="007D6F8C">
      <w:pPr>
        <w:pStyle w:val="NoSpacing"/>
        <w:ind w:left="567"/>
      </w:pPr>
    </w:p>
    <w:p w14:paraId="3E8FDEAF" w14:textId="27FCC5DC" w:rsidR="007D6F8C" w:rsidRDefault="007D6F8C" w:rsidP="007D6F8C">
      <w:pPr>
        <w:pStyle w:val="NoSpacing"/>
        <w:numPr>
          <w:ilvl w:val="0"/>
          <w:numId w:val="30"/>
        </w:numPr>
        <w:ind w:hanging="513"/>
      </w:pPr>
      <w:r w:rsidRPr="00973128">
        <w:t>supporting early years settings and schools to manage without triggering the statutory process</w:t>
      </w:r>
      <w:r w:rsidR="00DA3A4D">
        <w:t>.</w:t>
      </w:r>
    </w:p>
    <w:p w14:paraId="3F280FEC" w14:textId="77777777" w:rsidR="004B3FC5" w:rsidRPr="00973128" w:rsidRDefault="004B3FC5" w:rsidP="004B3FC5">
      <w:pPr>
        <w:pStyle w:val="NoSpacing"/>
        <w:ind w:left="1080"/>
      </w:pPr>
    </w:p>
    <w:p w14:paraId="3ECB9387" w14:textId="18C74B80" w:rsidR="004C3B01" w:rsidRDefault="007D6F8C" w:rsidP="004C3B01">
      <w:pPr>
        <w:pStyle w:val="NoSpacing"/>
        <w:numPr>
          <w:ilvl w:val="0"/>
          <w:numId w:val="30"/>
        </w:numPr>
        <w:ind w:hanging="513"/>
      </w:pPr>
      <w:r w:rsidRPr="00973128">
        <w:t>developing an early intervention programme in pre-school, which will support stakeholders to meet need without an EHCP when they attend school</w:t>
      </w:r>
      <w:r w:rsidR="004B3FC5">
        <w:t>.</w:t>
      </w:r>
    </w:p>
    <w:p w14:paraId="42024F73" w14:textId="77777777" w:rsidR="00DA3A4D" w:rsidRDefault="00DA3A4D" w:rsidP="00DA3A4D">
      <w:pPr>
        <w:pStyle w:val="NoSpacing"/>
      </w:pPr>
    </w:p>
    <w:p w14:paraId="2198B97B" w14:textId="029CBC29" w:rsidR="007D6F8C" w:rsidRPr="004C3B01" w:rsidRDefault="00221FB0" w:rsidP="004C3B01">
      <w:pPr>
        <w:pStyle w:val="NoSpacing"/>
        <w:numPr>
          <w:ilvl w:val="0"/>
          <w:numId w:val="30"/>
        </w:numPr>
        <w:ind w:hanging="513"/>
      </w:pPr>
      <w:r>
        <w:t>i</w:t>
      </w:r>
      <w:r w:rsidR="007D6F8C" w:rsidRPr="00973128">
        <w:t>ntroducing a Tower Hamlets inclusion framework to guide schools on what is expected as ordinarily available provision and SEN support.</w:t>
      </w:r>
      <w:r w:rsidR="007D6F8C" w:rsidRPr="00973128">
        <w:br/>
      </w:r>
    </w:p>
    <w:p w14:paraId="628E01AB" w14:textId="77777777" w:rsidR="009176D9" w:rsidRDefault="009176D9" w:rsidP="0053063A">
      <w:pPr>
        <w:pStyle w:val="ListParagraph"/>
        <w:ind w:left="709"/>
        <w:jc w:val="both"/>
        <w:rPr>
          <w:rFonts w:cs="Arial"/>
        </w:rPr>
      </w:pPr>
    </w:p>
    <w:p w14:paraId="0823D02C" w14:textId="77777777" w:rsidR="004F409A" w:rsidRPr="00161D57" w:rsidRDefault="004F409A" w:rsidP="004F409A">
      <w:pPr>
        <w:pStyle w:val="ListParagraph"/>
        <w:ind w:left="567"/>
        <w:jc w:val="both"/>
        <w:rPr>
          <w:rFonts w:cs="Arial"/>
        </w:rPr>
      </w:pPr>
    </w:p>
    <w:p w14:paraId="6E598AF7" w14:textId="767B3C05" w:rsidR="005B3B08" w:rsidRDefault="005D6BF4" w:rsidP="00785420">
      <w:pPr>
        <w:pStyle w:val="ListParagraph"/>
        <w:numPr>
          <w:ilvl w:val="1"/>
          <w:numId w:val="26"/>
        </w:numPr>
        <w:ind w:left="709" w:hanging="709"/>
        <w:jc w:val="both"/>
        <w:rPr>
          <w:rFonts w:cs="Arial"/>
        </w:rPr>
      </w:pPr>
      <w:r w:rsidRPr="00DA3A4D">
        <w:rPr>
          <w:rFonts w:cs="Arial"/>
          <w:b/>
          <w:bCs/>
        </w:rPr>
        <w:t>Early Years Block</w:t>
      </w:r>
    </w:p>
    <w:p w14:paraId="6DF5E0A1" w14:textId="77777777" w:rsidR="00B45E7F" w:rsidRDefault="00B45E7F" w:rsidP="00B45E7F">
      <w:pPr>
        <w:pStyle w:val="ListParagraph"/>
        <w:ind w:left="709"/>
        <w:jc w:val="both"/>
        <w:rPr>
          <w:rFonts w:cs="Arial"/>
          <w:b/>
          <w:bCs/>
        </w:rPr>
      </w:pPr>
    </w:p>
    <w:p w14:paraId="4335DD6C" w14:textId="0B379258" w:rsidR="004F409A" w:rsidRPr="00161D57" w:rsidRDefault="00785420" w:rsidP="00B45E7F">
      <w:pPr>
        <w:pStyle w:val="ListParagraph"/>
        <w:ind w:left="709"/>
        <w:jc w:val="both"/>
        <w:rPr>
          <w:rFonts w:cs="Arial"/>
        </w:rPr>
      </w:pPr>
      <w:r>
        <w:rPr>
          <w:rFonts w:cs="Arial"/>
        </w:rPr>
        <w:t>The Early Years Block is projected to spend to budget.</w:t>
      </w:r>
    </w:p>
    <w:p w14:paraId="610B33AD" w14:textId="77777777" w:rsidR="0031268C" w:rsidRPr="00161D57" w:rsidRDefault="0031268C" w:rsidP="0031268C">
      <w:pPr>
        <w:rPr>
          <w:rFonts w:cs="Arial"/>
        </w:rPr>
      </w:pPr>
    </w:p>
    <w:p w14:paraId="0045E5DA" w14:textId="77777777" w:rsidR="00B60671" w:rsidRPr="00161D57" w:rsidRDefault="00B60671" w:rsidP="00B60671">
      <w:pPr>
        <w:spacing w:after="120"/>
        <w:jc w:val="both"/>
        <w:rPr>
          <w:rFonts w:cs="Arial"/>
          <w:color w:val="000000"/>
        </w:rPr>
      </w:pPr>
    </w:p>
    <w:p w14:paraId="148F96DE" w14:textId="77777777" w:rsidR="00B60671" w:rsidRPr="00161D57" w:rsidRDefault="00B60671" w:rsidP="00B60671">
      <w:pPr>
        <w:rPr>
          <w:rFonts w:cs="Arial"/>
        </w:rPr>
      </w:pPr>
    </w:p>
    <w:p w14:paraId="3AF60BD1" w14:textId="77777777" w:rsidR="008C5F26" w:rsidRPr="00161D57" w:rsidRDefault="008C5F26" w:rsidP="0031268C">
      <w:pPr>
        <w:jc w:val="both"/>
        <w:rPr>
          <w:rFonts w:cs="Arial"/>
          <w:b/>
          <w:bCs/>
        </w:rPr>
      </w:pPr>
    </w:p>
    <w:p w14:paraId="7FE175E8" w14:textId="77777777" w:rsidR="004F409A" w:rsidRPr="00161D57" w:rsidRDefault="004F409A" w:rsidP="004F409A">
      <w:pPr>
        <w:pStyle w:val="ListParagraph"/>
        <w:autoSpaceDE w:val="0"/>
        <w:autoSpaceDN w:val="0"/>
        <w:adjustRightInd w:val="0"/>
        <w:ind w:left="426"/>
        <w:rPr>
          <w:rFonts w:cs="Arial"/>
          <w:color w:val="000000"/>
        </w:rPr>
      </w:pPr>
    </w:p>
    <w:p w14:paraId="1E5F704A" w14:textId="07754437" w:rsidR="00894B4D" w:rsidRPr="00161D57" w:rsidRDefault="00894B4D" w:rsidP="004F409A">
      <w:pPr>
        <w:spacing w:after="120"/>
        <w:jc w:val="both"/>
        <w:rPr>
          <w:rFonts w:cs="Arial"/>
          <w:color w:val="000000"/>
        </w:rPr>
      </w:pPr>
    </w:p>
    <w:p w14:paraId="708DCD05" w14:textId="77777777" w:rsidR="0070580B" w:rsidRPr="00161D57" w:rsidRDefault="0070580B" w:rsidP="0070580B">
      <w:pPr>
        <w:pStyle w:val="ListParagraph"/>
        <w:rPr>
          <w:rFonts w:cs="Arial"/>
          <w:color w:val="000000"/>
        </w:rPr>
      </w:pPr>
    </w:p>
    <w:p w14:paraId="0AFF3640" w14:textId="77777777" w:rsidR="0070580B" w:rsidRPr="00161D57" w:rsidRDefault="0070580B" w:rsidP="0070580B">
      <w:pPr>
        <w:spacing w:after="120"/>
        <w:jc w:val="both"/>
        <w:rPr>
          <w:rFonts w:cs="Arial"/>
          <w:color w:val="000000"/>
        </w:rPr>
      </w:pPr>
    </w:p>
    <w:p w14:paraId="7BD0EB6B" w14:textId="77777777" w:rsidR="0070580B" w:rsidRPr="00161D57" w:rsidRDefault="0070580B" w:rsidP="0070580B">
      <w:pPr>
        <w:spacing w:after="120"/>
        <w:jc w:val="both"/>
        <w:rPr>
          <w:rFonts w:cs="Arial"/>
          <w:color w:val="000000"/>
        </w:rPr>
      </w:pPr>
    </w:p>
    <w:p w14:paraId="18E47497" w14:textId="77777777" w:rsidR="0070580B" w:rsidRPr="00161D57" w:rsidRDefault="0070580B" w:rsidP="0070580B">
      <w:pPr>
        <w:spacing w:after="120"/>
        <w:jc w:val="both"/>
        <w:rPr>
          <w:rFonts w:cs="Arial"/>
          <w:color w:val="000000"/>
        </w:rPr>
      </w:pPr>
    </w:p>
    <w:p w14:paraId="0F597D21" w14:textId="77777777" w:rsidR="0070580B" w:rsidRPr="00161D57" w:rsidRDefault="0070580B" w:rsidP="0070580B">
      <w:pPr>
        <w:spacing w:after="120"/>
        <w:jc w:val="both"/>
        <w:rPr>
          <w:rFonts w:cs="Arial"/>
          <w:color w:val="000000"/>
        </w:rPr>
      </w:pPr>
    </w:p>
    <w:p w14:paraId="77221E45" w14:textId="77777777" w:rsidR="0070580B" w:rsidRPr="00161D57" w:rsidRDefault="0070580B" w:rsidP="0070580B">
      <w:pPr>
        <w:spacing w:after="120"/>
        <w:jc w:val="both"/>
        <w:rPr>
          <w:rFonts w:cs="Arial"/>
          <w:color w:val="000000"/>
        </w:rPr>
      </w:pPr>
    </w:p>
    <w:p w14:paraId="72F0419D" w14:textId="77777777" w:rsidR="0070580B" w:rsidRPr="00161D57" w:rsidRDefault="0070580B" w:rsidP="0070580B">
      <w:pPr>
        <w:spacing w:after="120"/>
        <w:jc w:val="both"/>
        <w:rPr>
          <w:rFonts w:cs="Arial"/>
          <w:color w:val="000000"/>
        </w:rPr>
      </w:pPr>
    </w:p>
    <w:p w14:paraId="06120A51" w14:textId="77777777" w:rsidR="0070580B" w:rsidRPr="00161D57" w:rsidRDefault="0070580B" w:rsidP="0070580B">
      <w:pPr>
        <w:spacing w:after="120"/>
        <w:jc w:val="both"/>
        <w:rPr>
          <w:rFonts w:cs="Arial"/>
          <w:color w:val="000000"/>
        </w:rPr>
      </w:pPr>
    </w:p>
    <w:p w14:paraId="7D2276A6" w14:textId="77777777" w:rsidR="0070580B" w:rsidRPr="00161D57" w:rsidRDefault="0070580B" w:rsidP="0070580B">
      <w:pPr>
        <w:spacing w:after="120"/>
        <w:jc w:val="both"/>
        <w:rPr>
          <w:rFonts w:cs="Arial"/>
          <w:color w:val="000000"/>
        </w:rPr>
      </w:pPr>
    </w:p>
    <w:p w14:paraId="2E2ECB79" w14:textId="77777777" w:rsidR="0070580B" w:rsidRPr="00161D57" w:rsidRDefault="0070580B" w:rsidP="0070580B">
      <w:pPr>
        <w:spacing w:after="120"/>
        <w:jc w:val="both"/>
        <w:rPr>
          <w:rFonts w:cs="Arial"/>
          <w:color w:val="000000"/>
        </w:rPr>
      </w:pPr>
    </w:p>
    <w:p w14:paraId="54409C86" w14:textId="77777777" w:rsidR="0070580B" w:rsidRPr="00161D57" w:rsidRDefault="0070580B" w:rsidP="0070580B">
      <w:pPr>
        <w:spacing w:after="120"/>
        <w:jc w:val="both"/>
        <w:rPr>
          <w:rFonts w:cs="Arial"/>
          <w:color w:val="000000"/>
        </w:rPr>
      </w:pPr>
    </w:p>
    <w:p w14:paraId="4DC1AA07" w14:textId="77777777" w:rsidR="0070580B" w:rsidRPr="00161D57" w:rsidRDefault="0070580B" w:rsidP="0070580B">
      <w:pPr>
        <w:spacing w:after="120"/>
        <w:jc w:val="both"/>
        <w:rPr>
          <w:rFonts w:cs="Arial"/>
          <w:color w:val="000000"/>
        </w:rPr>
      </w:pPr>
    </w:p>
    <w:p w14:paraId="19A4B738" w14:textId="77777777" w:rsidR="0070580B" w:rsidRPr="00161D57" w:rsidRDefault="0070580B" w:rsidP="0070580B">
      <w:pPr>
        <w:spacing w:after="120"/>
        <w:jc w:val="both"/>
        <w:rPr>
          <w:rFonts w:cs="Arial"/>
          <w:color w:val="000000"/>
        </w:rPr>
      </w:pPr>
    </w:p>
    <w:p w14:paraId="5F15AFAA" w14:textId="77777777" w:rsidR="0070580B" w:rsidRPr="00161D57" w:rsidRDefault="0070580B" w:rsidP="0070580B">
      <w:pPr>
        <w:spacing w:after="120"/>
        <w:jc w:val="both"/>
        <w:rPr>
          <w:rFonts w:cs="Arial"/>
          <w:color w:val="000000"/>
        </w:rPr>
      </w:pPr>
    </w:p>
    <w:p w14:paraId="5E01022B" w14:textId="77777777" w:rsidR="0070580B" w:rsidRPr="00161D57" w:rsidRDefault="0070580B" w:rsidP="0070580B">
      <w:pPr>
        <w:spacing w:after="120"/>
        <w:jc w:val="both"/>
        <w:rPr>
          <w:rFonts w:cs="Arial"/>
          <w:color w:val="000000"/>
        </w:rPr>
      </w:pPr>
    </w:p>
    <w:p w14:paraId="67BD1DA9" w14:textId="77777777" w:rsidR="0070580B" w:rsidRPr="00161D57" w:rsidRDefault="0070580B" w:rsidP="0070580B">
      <w:pPr>
        <w:spacing w:after="120"/>
        <w:jc w:val="both"/>
        <w:rPr>
          <w:rFonts w:cs="Arial"/>
          <w:color w:val="000000"/>
        </w:rPr>
      </w:pPr>
    </w:p>
    <w:p w14:paraId="5D27C7C4" w14:textId="77777777" w:rsidR="0070580B" w:rsidRPr="00161D57" w:rsidRDefault="0070580B" w:rsidP="0070580B">
      <w:pPr>
        <w:spacing w:after="120"/>
        <w:jc w:val="both"/>
        <w:rPr>
          <w:rFonts w:cs="Arial"/>
          <w:color w:val="000000"/>
        </w:rPr>
      </w:pPr>
    </w:p>
    <w:p w14:paraId="3892E333" w14:textId="50FB5E39" w:rsidR="00A35DC5" w:rsidRPr="00161D57" w:rsidRDefault="00A35DC5" w:rsidP="0070580B">
      <w:pPr>
        <w:spacing w:after="120"/>
        <w:jc w:val="both"/>
        <w:rPr>
          <w:rFonts w:cs="Arial"/>
          <w:color w:val="000000"/>
        </w:rPr>
      </w:pPr>
    </w:p>
    <w:p w14:paraId="7133DB9B" w14:textId="77777777" w:rsidR="00364BE2" w:rsidRPr="00161D57" w:rsidRDefault="00364BE2" w:rsidP="0070580B">
      <w:pPr>
        <w:spacing w:after="120"/>
        <w:jc w:val="both"/>
        <w:rPr>
          <w:rFonts w:cs="Arial"/>
          <w:color w:val="000000"/>
        </w:rPr>
      </w:pPr>
    </w:p>
    <w:p w14:paraId="6C9ECD3C" w14:textId="77777777" w:rsidR="006D6469" w:rsidRPr="00161D57" w:rsidRDefault="006D6469" w:rsidP="0070580B">
      <w:pPr>
        <w:spacing w:after="120"/>
        <w:jc w:val="both"/>
        <w:rPr>
          <w:rFonts w:cs="Arial"/>
          <w:b/>
          <w:bCs/>
          <w:color w:val="000000"/>
        </w:rPr>
      </w:pPr>
    </w:p>
    <w:bookmarkEnd w:id="0"/>
    <w:p w14:paraId="7E86725C" w14:textId="77777777" w:rsidR="0070580B" w:rsidRPr="00161D57" w:rsidRDefault="0070580B" w:rsidP="0070580B">
      <w:pPr>
        <w:pStyle w:val="ListParagraph"/>
        <w:ind w:left="0"/>
        <w:rPr>
          <w:rFonts w:cs="Arial"/>
          <w:color w:val="000000"/>
        </w:rPr>
      </w:pPr>
    </w:p>
    <w:p w14:paraId="320E1A0A" w14:textId="77777777" w:rsidR="0070580B" w:rsidRPr="00161D57" w:rsidRDefault="0070580B" w:rsidP="0073208F">
      <w:pPr>
        <w:pStyle w:val="ListParagraph"/>
        <w:ind w:left="567"/>
        <w:jc w:val="both"/>
        <w:rPr>
          <w:rFonts w:cs="Arial"/>
        </w:rPr>
      </w:pPr>
    </w:p>
    <w:p w14:paraId="4D6D7C07" w14:textId="77777777" w:rsidR="005E0B4A" w:rsidRPr="00161D57" w:rsidRDefault="005E0B4A" w:rsidP="00F44713">
      <w:pPr>
        <w:jc w:val="both"/>
        <w:rPr>
          <w:rFonts w:cs="Arial"/>
          <w:b/>
        </w:rPr>
      </w:pPr>
    </w:p>
    <w:sectPr w:rsidR="005E0B4A" w:rsidRPr="00161D57" w:rsidSect="00F32C7A">
      <w:footerReference w:type="default" r:id="rId11"/>
      <w:headerReference w:type="first" r:id="rId12"/>
      <w:footerReference w:type="first" r:id="rId13"/>
      <w:pgSz w:w="11906" w:h="16838" w:code="9"/>
      <w:pgMar w:top="1440" w:right="1274" w:bottom="1440" w:left="1276"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5B5D" w14:textId="77777777" w:rsidR="00D405F6" w:rsidRDefault="00D405F6">
      <w:r>
        <w:separator/>
      </w:r>
    </w:p>
  </w:endnote>
  <w:endnote w:type="continuationSeparator" w:id="0">
    <w:p w14:paraId="5704BF32" w14:textId="77777777" w:rsidR="00D405F6" w:rsidRDefault="00D405F6">
      <w:r>
        <w:continuationSeparator/>
      </w:r>
    </w:p>
  </w:endnote>
  <w:endnote w:type="continuationNotice" w:id="1">
    <w:p w14:paraId="4E9F201C" w14:textId="77777777" w:rsidR="00D405F6" w:rsidRDefault="00D40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3171"/>
      <w:docPartObj>
        <w:docPartGallery w:val="Page Numbers (Bottom of Page)"/>
        <w:docPartUnique/>
      </w:docPartObj>
    </w:sdtPr>
    <w:sdtEndPr>
      <w:rPr>
        <w:noProof/>
      </w:rPr>
    </w:sdtEndPr>
    <w:sdtContent>
      <w:p w14:paraId="21B27BD1" w14:textId="06CE8B49" w:rsidR="0086240E" w:rsidRDefault="0086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F54D3" w14:textId="77777777" w:rsidR="0086240E" w:rsidRDefault="0086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15395"/>
      <w:docPartObj>
        <w:docPartGallery w:val="Page Numbers (Bottom of Page)"/>
        <w:docPartUnique/>
      </w:docPartObj>
    </w:sdtPr>
    <w:sdtEndPr>
      <w:rPr>
        <w:noProof/>
      </w:rPr>
    </w:sdtEndPr>
    <w:sdtContent>
      <w:p w14:paraId="7413E2D2" w14:textId="53631DB6" w:rsidR="00C353A6" w:rsidRDefault="00C35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4D9B3" w14:textId="77777777" w:rsidR="0086240E" w:rsidRDefault="0086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3CB6" w14:textId="77777777" w:rsidR="00D405F6" w:rsidRDefault="00D405F6">
      <w:r>
        <w:separator/>
      </w:r>
    </w:p>
  </w:footnote>
  <w:footnote w:type="continuationSeparator" w:id="0">
    <w:p w14:paraId="4F3E3EC0" w14:textId="77777777" w:rsidR="00D405F6" w:rsidRDefault="00D405F6">
      <w:r>
        <w:continuationSeparator/>
      </w:r>
    </w:p>
  </w:footnote>
  <w:footnote w:type="continuationNotice" w:id="1">
    <w:p w14:paraId="17D0DD61" w14:textId="77777777" w:rsidR="00D405F6" w:rsidRDefault="00D40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707" w14:textId="7000DBAB" w:rsidR="00883BFB" w:rsidRDefault="00883BFB">
    <w:pPr>
      <w:pStyle w:val="Header"/>
    </w:pPr>
    <w:r w:rsidRPr="00883BFB">
      <w:rPr>
        <w:rFonts w:ascii="Times New Roman" w:hAnsi="Times New Roman"/>
        <w:noProof/>
        <w:szCs w:val="20"/>
      </w:rPr>
      <w:drawing>
        <wp:anchor distT="0" distB="0" distL="114300" distR="114300" simplePos="0" relativeHeight="251658240" behindDoc="0" locked="0" layoutInCell="1" allowOverlap="1" wp14:anchorId="6BF81060" wp14:editId="0D8BA24E">
          <wp:simplePos x="0" y="0"/>
          <wp:positionH relativeFrom="column">
            <wp:posOffset>939800</wp:posOffset>
          </wp:positionH>
          <wp:positionV relativeFrom="paragraph">
            <wp:posOffset>-342900</wp:posOffset>
          </wp:positionV>
          <wp:extent cx="5731510" cy="1152525"/>
          <wp:effectExtent l="0" t="0" r="2540" b="9525"/>
          <wp:wrapThrough wrapText="bothSides">
            <wp:wrapPolygon edited="0">
              <wp:start x="0" y="0"/>
              <wp:lineTo x="0" y="21421"/>
              <wp:lineTo x="21538" y="21421"/>
              <wp:lineTo x="21538"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9CA"/>
    <w:multiLevelType w:val="hybridMultilevel"/>
    <w:tmpl w:val="298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0FC"/>
    <w:multiLevelType w:val="hybridMultilevel"/>
    <w:tmpl w:val="DB4A2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27EA9"/>
    <w:multiLevelType w:val="hybridMultilevel"/>
    <w:tmpl w:val="F8D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A4EA0"/>
    <w:multiLevelType w:val="hybridMultilevel"/>
    <w:tmpl w:val="2E20E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8C0C64"/>
    <w:multiLevelType w:val="hybridMultilevel"/>
    <w:tmpl w:val="07BAC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91A1399"/>
    <w:multiLevelType w:val="multilevel"/>
    <w:tmpl w:val="1A6CF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1172AF"/>
    <w:multiLevelType w:val="hybridMultilevel"/>
    <w:tmpl w:val="EF0C2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577ADB"/>
    <w:multiLevelType w:val="multilevel"/>
    <w:tmpl w:val="E8746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1F7A51"/>
    <w:multiLevelType w:val="hybridMultilevel"/>
    <w:tmpl w:val="A68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0040B"/>
    <w:multiLevelType w:val="hybridMultilevel"/>
    <w:tmpl w:val="95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C725B"/>
    <w:multiLevelType w:val="hybridMultilevel"/>
    <w:tmpl w:val="457E5058"/>
    <w:lvl w:ilvl="0" w:tplc="524CC7C4">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50FD5"/>
    <w:multiLevelType w:val="multilevel"/>
    <w:tmpl w:val="35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B16FA"/>
    <w:multiLevelType w:val="hybridMultilevel"/>
    <w:tmpl w:val="6FD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31C76"/>
    <w:multiLevelType w:val="hybridMultilevel"/>
    <w:tmpl w:val="2D323190"/>
    <w:lvl w:ilvl="0" w:tplc="5768B76C">
      <w:numFmt w:val="bullet"/>
      <w:lvlText w:val="-"/>
      <w:lvlJc w:val="left"/>
      <w:pPr>
        <w:ind w:left="1080" w:hanging="360"/>
      </w:pPr>
      <w:rPr>
        <w:rFonts w:ascii="Calibri" w:eastAsia="Times New Roman" w:hAnsi="Calibri" w:cs="Calibri"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B02D42"/>
    <w:multiLevelType w:val="hybridMultilevel"/>
    <w:tmpl w:val="3F4A7E4E"/>
    <w:lvl w:ilvl="0" w:tplc="51F49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F921CC"/>
    <w:multiLevelType w:val="hybridMultilevel"/>
    <w:tmpl w:val="A6FA7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4F2E5586"/>
    <w:multiLevelType w:val="hybridMultilevel"/>
    <w:tmpl w:val="94366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275A47"/>
    <w:multiLevelType w:val="multilevel"/>
    <w:tmpl w:val="311EB9AC"/>
    <w:lvl w:ilvl="0">
      <w:start w:val="1"/>
      <w:numFmt w:val="decimal"/>
      <w:lvlText w:val="%1."/>
      <w:lvlJc w:val="left"/>
      <w:pPr>
        <w:ind w:left="720" w:hanging="720"/>
      </w:pPr>
      <w:rPr>
        <w:rFonts w:hint="default"/>
        <w:b/>
        <w:bCs/>
        <w:i w:val="0"/>
        <w:iCs w:val="0"/>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A7D3358"/>
    <w:multiLevelType w:val="hybridMultilevel"/>
    <w:tmpl w:val="D8DE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21B91"/>
    <w:multiLevelType w:val="hybridMultilevel"/>
    <w:tmpl w:val="92E61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691A69"/>
    <w:multiLevelType w:val="multilevel"/>
    <w:tmpl w:val="311EB9AC"/>
    <w:lvl w:ilvl="0">
      <w:start w:val="1"/>
      <w:numFmt w:val="decimal"/>
      <w:lvlText w:val="%1."/>
      <w:lvlJc w:val="left"/>
      <w:pPr>
        <w:ind w:left="720" w:hanging="720"/>
      </w:pPr>
      <w:rPr>
        <w:rFonts w:hint="default"/>
        <w:b/>
        <w:bCs/>
        <w:i w:val="0"/>
        <w:iCs w:val="0"/>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46A7F02"/>
    <w:multiLevelType w:val="hybridMultilevel"/>
    <w:tmpl w:val="C09A4C6A"/>
    <w:lvl w:ilvl="0" w:tplc="49A6DBB8">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085FD2"/>
    <w:multiLevelType w:val="multilevel"/>
    <w:tmpl w:val="9562632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116732"/>
    <w:multiLevelType w:val="hybridMultilevel"/>
    <w:tmpl w:val="7D30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3760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E16CAC"/>
    <w:multiLevelType w:val="hybridMultilevel"/>
    <w:tmpl w:val="88C6A1B8"/>
    <w:lvl w:ilvl="0" w:tplc="08090017">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580768"/>
    <w:multiLevelType w:val="hybridMultilevel"/>
    <w:tmpl w:val="A5A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AD2CFC"/>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2344927">
    <w:abstractNumId w:val="27"/>
  </w:num>
  <w:num w:numId="2" w16cid:durableId="859008117">
    <w:abstractNumId w:val="3"/>
  </w:num>
  <w:num w:numId="3" w16cid:durableId="1128940347">
    <w:abstractNumId w:val="2"/>
  </w:num>
  <w:num w:numId="4" w16cid:durableId="961350845">
    <w:abstractNumId w:val="25"/>
  </w:num>
  <w:num w:numId="5" w16cid:durableId="2112582821">
    <w:abstractNumId w:val="0"/>
  </w:num>
  <w:num w:numId="6" w16cid:durableId="826749769">
    <w:abstractNumId w:val="28"/>
  </w:num>
  <w:num w:numId="7" w16cid:durableId="711808934">
    <w:abstractNumId w:val="21"/>
  </w:num>
  <w:num w:numId="8" w16cid:durableId="1755011723">
    <w:abstractNumId w:val="14"/>
  </w:num>
  <w:num w:numId="9" w16cid:durableId="168646490">
    <w:abstractNumId w:val="5"/>
  </w:num>
  <w:num w:numId="10" w16cid:durableId="584847387">
    <w:abstractNumId w:val="11"/>
  </w:num>
  <w:num w:numId="11" w16cid:durableId="269240368">
    <w:abstractNumId w:val="4"/>
  </w:num>
  <w:num w:numId="12" w16cid:durableId="688799310">
    <w:abstractNumId w:val="6"/>
  </w:num>
  <w:num w:numId="13" w16cid:durableId="433979666">
    <w:abstractNumId w:val="1"/>
  </w:num>
  <w:num w:numId="14" w16cid:durableId="1935017388">
    <w:abstractNumId w:val="17"/>
  </w:num>
  <w:num w:numId="15" w16cid:durableId="1560676493">
    <w:abstractNumId w:val="10"/>
  </w:num>
  <w:num w:numId="16" w16cid:durableId="833644862">
    <w:abstractNumId w:val="16"/>
  </w:num>
  <w:num w:numId="17" w16cid:durableId="1679307371">
    <w:abstractNumId w:val="29"/>
  </w:num>
  <w:num w:numId="18" w16cid:durableId="1709406665">
    <w:abstractNumId w:val="13"/>
  </w:num>
  <w:num w:numId="19" w16cid:durableId="47539915">
    <w:abstractNumId w:val="9"/>
  </w:num>
  <w:num w:numId="20" w16cid:durableId="813182328">
    <w:abstractNumId w:val="24"/>
  </w:num>
  <w:num w:numId="21" w16cid:durableId="1776166047">
    <w:abstractNumId w:val="12"/>
  </w:num>
  <w:num w:numId="22" w16cid:durableId="525096245">
    <w:abstractNumId w:val="15"/>
  </w:num>
  <w:num w:numId="23" w16cid:durableId="593055344">
    <w:abstractNumId w:val="20"/>
  </w:num>
  <w:num w:numId="24" w16cid:durableId="1753429963">
    <w:abstractNumId w:val="8"/>
  </w:num>
  <w:num w:numId="25" w16cid:durableId="514343126">
    <w:abstractNumId w:val="23"/>
  </w:num>
  <w:num w:numId="26" w16cid:durableId="1419016064">
    <w:abstractNumId w:val="22"/>
  </w:num>
  <w:num w:numId="27" w16cid:durableId="460614143">
    <w:abstractNumId w:val="26"/>
  </w:num>
  <w:num w:numId="28" w16cid:durableId="722994316">
    <w:abstractNumId w:val="19"/>
  </w:num>
  <w:num w:numId="29" w16cid:durableId="498346932">
    <w:abstractNumId w:val="7"/>
  </w:num>
  <w:num w:numId="30" w16cid:durableId="120517197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C3"/>
    <w:rsid w:val="000031CE"/>
    <w:rsid w:val="000039AD"/>
    <w:rsid w:val="000055C6"/>
    <w:rsid w:val="00005D31"/>
    <w:rsid w:val="00011A38"/>
    <w:rsid w:val="000164EC"/>
    <w:rsid w:val="0002125B"/>
    <w:rsid w:val="0002180D"/>
    <w:rsid w:val="00023434"/>
    <w:rsid w:val="00025F55"/>
    <w:rsid w:val="000261CC"/>
    <w:rsid w:val="00026A03"/>
    <w:rsid w:val="000339DC"/>
    <w:rsid w:val="0004045E"/>
    <w:rsid w:val="00041E9D"/>
    <w:rsid w:val="00042CDD"/>
    <w:rsid w:val="00044126"/>
    <w:rsid w:val="00046FCB"/>
    <w:rsid w:val="00050213"/>
    <w:rsid w:val="0005284B"/>
    <w:rsid w:val="00054F48"/>
    <w:rsid w:val="00060FED"/>
    <w:rsid w:val="000649F8"/>
    <w:rsid w:val="0007195F"/>
    <w:rsid w:val="0007256E"/>
    <w:rsid w:val="000770D5"/>
    <w:rsid w:val="00077299"/>
    <w:rsid w:val="000813DA"/>
    <w:rsid w:val="00083BBE"/>
    <w:rsid w:val="0008668C"/>
    <w:rsid w:val="000879FB"/>
    <w:rsid w:val="00090CBA"/>
    <w:rsid w:val="00092F33"/>
    <w:rsid w:val="000931A2"/>
    <w:rsid w:val="00095CEF"/>
    <w:rsid w:val="000A1CF7"/>
    <w:rsid w:val="000A6EEE"/>
    <w:rsid w:val="000A7872"/>
    <w:rsid w:val="000A78CA"/>
    <w:rsid w:val="000B09D9"/>
    <w:rsid w:val="000B24B2"/>
    <w:rsid w:val="000B62AF"/>
    <w:rsid w:val="000C12F6"/>
    <w:rsid w:val="000C1387"/>
    <w:rsid w:val="000C2B76"/>
    <w:rsid w:val="000C494D"/>
    <w:rsid w:val="000C55F2"/>
    <w:rsid w:val="000D2210"/>
    <w:rsid w:val="000D23BD"/>
    <w:rsid w:val="000D3037"/>
    <w:rsid w:val="000D529C"/>
    <w:rsid w:val="000D6C01"/>
    <w:rsid w:val="000D6FF5"/>
    <w:rsid w:val="000D7FE8"/>
    <w:rsid w:val="000E153F"/>
    <w:rsid w:val="000E5EAC"/>
    <w:rsid w:val="000E6B40"/>
    <w:rsid w:val="000E7C2D"/>
    <w:rsid w:val="000F02CD"/>
    <w:rsid w:val="000F0BCB"/>
    <w:rsid w:val="000F10FE"/>
    <w:rsid w:val="000F6CE8"/>
    <w:rsid w:val="000F6DEB"/>
    <w:rsid w:val="000F77A1"/>
    <w:rsid w:val="000F7FF0"/>
    <w:rsid w:val="00101397"/>
    <w:rsid w:val="00102CEB"/>
    <w:rsid w:val="00106EA4"/>
    <w:rsid w:val="00107D64"/>
    <w:rsid w:val="00107E40"/>
    <w:rsid w:val="0011276D"/>
    <w:rsid w:val="00115BAD"/>
    <w:rsid w:val="00115CC1"/>
    <w:rsid w:val="00117547"/>
    <w:rsid w:val="00123518"/>
    <w:rsid w:val="00123BD5"/>
    <w:rsid w:val="00124860"/>
    <w:rsid w:val="00124892"/>
    <w:rsid w:val="00126BF1"/>
    <w:rsid w:val="0013087F"/>
    <w:rsid w:val="001320A2"/>
    <w:rsid w:val="00133AC3"/>
    <w:rsid w:val="0013583F"/>
    <w:rsid w:val="001370C6"/>
    <w:rsid w:val="0013750C"/>
    <w:rsid w:val="00137E81"/>
    <w:rsid w:val="00143114"/>
    <w:rsid w:val="001445AD"/>
    <w:rsid w:val="00146529"/>
    <w:rsid w:val="00146B40"/>
    <w:rsid w:val="001479AD"/>
    <w:rsid w:val="0015158B"/>
    <w:rsid w:val="00151AD1"/>
    <w:rsid w:val="00152F4B"/>
    <w:rsid w:val="0015671B"/>
    <w:rsid w:val="001617F7"/>
    <w:rsid w:val="00161D57"/>
    <w:rsid w:val="00163648"/>
    <w:rsid w:val="001637DD"/>
    <w:rsid w:val="001638D3"/>
    <w:rsid w:val="001659C6"/>
    <w:rsid w:val="0017032B"/>
    <w:rsid w:val="00171274"/>
    <w:rsid w:val="001761E9"/>
    <w:rsid w:val="0017674E"/>
    <w:rsid w:val="00177800"/>
    <w:rsid w:val="001778B8"/>
    <w:rsid w:val="00180B04"/>
    <w:rsid w:val="001810FE"/>
    <w:rsid w:val="0018448F"/>
    <w:rsid w:val="00184A94"/>
    <w:rsid w:val="001852E5"/>
    <w:rsid w:val="001878D8"/>
    <w:rsid w:val="0019143A"/>
    <w:rsid w:val="001919B1"/>
    <w:rsid w:val="00192D3C"/>
    <w:rsid w:val="001938B0"/>
    <w:rsid w:val="00196CF1"/>
    <w:rsid w:val="00197666"/>
    <w:rsid w:val="001A09E1"/>
    <w:rsid w:val="001A2014"/>
    <w:rsid w:val="001A2886"/>
    <w:rsid w:val="001A3845"/>
    <w:rsid w:val="001A61AA"/>
    <w:rsid w:val="001A6830"/>
    <w:rsid w:val="001A73BF"/>
    <w:rsid w:val="001A74CC"/>
    <w:rsid w:val="001B1591"/>
    <w:rsid w:val="001B259F"/>
    <w:rsid w:val="001B4E89"/>
    <w:rsid w:val="001B5D5A"/>
    <w:rsid w:val="001B7088"/>
    <w:rsid w:val="001C209A"/>
    <w:rsid w:val="001C3659"/>
    <w:rsid w:val="001C48A1"/>
    <w:rsid w:val="001C4EFA"/>
    <w:rsid w:val="001C6F21"/>
    <w:rsid w:val="001D4DD6"/>
    <w:rsid w:val="001D6BA4"/>
    <w:rsid w:val="001E1422"/>
    <w:rsid w:val="001E4116"/>
    <w:rsid w:val="001E472B"/>
    <w:rsid w:val="001E5B90"/>
    <w:rsid w:val="001E7624"/>
    <w:rsid w:val="001F05B8"/>
    <w:rsid w:val="001F2908"/>
    <w:rsid w:val="001F3545"/>
    <w:rsid w:val="001F661F"/>
    <w:rsid w:val="00200347"/>
    <w:rsid w:val="00203198"/>
    <w:rsid w:val="00203597"/>
    <w:rsid w:val="00203EAA"/>
    <w:rsid w:val="002051AB"/>
    <w:rsid w:val="00205496"/>
    <w:rsid w:val="002078E3"/>
    <w:rsid w:val="00213744"/>
    <w:rsid w:val="002167D2"/>
    <w:rsid w:val="00216D68"/>
    <w:rsid w:val="002204ED"/>
    <w:rsid w:val="00221150"/>
    <w:rsid w:val="00221B84"/>
    <w:rsid w:val="00221FB0"/>
    <w:rsid w:val="0022295B"/>
    <w:rsid w:val="00223C9A"/>
    <w:rsid w:val="002246CA"/>
    <w:rsid w:val="002251FE"/>
    <w:rsid w:val="0022573B"/>
    <w:rsid w:val="00225E8D"/>
    <w:rsid w:val="0022611B"/>
    <w:rsid w:val="0022632C"/>
    <w:rsid w:val="00227C8E"/>
    <w:rsid w:val="0023028E"/>
    <w:rsid w:val="00231641"/>
    <w:rsid w:val="00231AB4"/>
    <w:rsid w:val="00241252"/>
    <w:rsid w:val="002427BF"/>
    <w:rsid w:val="00244303"/>
    <w:rsid w:val="002452BF"/>
    <w:rsid w:val="00246223"/>
    <w:rsid w:val="0024629A"/>
    <w:rsid w:val="00246829"/>
    <w:rsid w:val="00250468"/>
    <w:rsid w:val="002511E5"/>
    <w:rsid w:val="00253B34"/>
    <w:rsid w:val="00254D42"/>
    <w:rsid w:val="00254D79"/>
    <w:rsid w:val="00255AF0"/>
    <w:rsid w:val="00255B22"/>
    <w:rsid w:val="00255B4E"/>
    <w:rsid w:val="0025632D"/>
    <w:rsid w:val="0025736A"/>
    <w:rsid w:val="00261F6B"/>
    <w:rsid w:val="002623C7"/>
    <w:rsid w:val="002636ED"/>
    <w:rsid w:val="002640E1"/>
    <w:rsid w:val="00264249"/>
    <w:rsid w:val="00264B6C"/>
    <w:rsid w:val="0026505F"/>
    <w:rsid w:val="0026731E"/>
    <w:rsid w:val="002703A6"/>
    <w:rsid w:val="00273AC3"/>
    <w:rsid w:val="00274783"/>
    <w:rsid w:val="002779F6"/>
    <w:rsid w:val="002843FB"/>
    <w:rsid w:val="00286B72"/>
    <w:rsid w:val="00287DBD"/>
    <w:rsid w:val="0029022D"/>
    <w:rsid w:val="00291476"/>
    <w:rsid w:val="0029323C"/>
    <w:rsid w:val="002942EC"/>
    <w:rsid w:val="00294E1F"/>
    <w:rsid w:val="00295350"/>
    <w:rsid w:val="002958F1"/>
    <w:rsid w:val="00295A55"/>
    <w:rsid w:val="002968A5"/>
    <w:rsid w:val="002A0D9E"/>
    <w:rsid w:val="002A1BF1"/>
    <w:rsid w:val="002A1F3F"/>
    <w:rsid w:val="002A493D"/>
    <w:rsid w:val="002A5FBF"/>
    <w:rsid w:val="002A69DC"/>
    <w:rsid w:val="002B32E8"/>
    <w:rsid w:val="002B4713"/>
    <w:rsid w:val="002B4791"/>
    <w:rsid w:val="002B6C1C"/>
    <w:rsid w:val="002D55C3"/>
    <w:rsid w:val="002D7915"/>
    <w:rsid w:val="002E27CC"/>
    <w:rsid w:val="002E57C7"/>
    <w:rsid w:val="002F55A8"/>
    <w:rsid w:val="002F6FBC"/>
    <w:rsid w:val="00300DF2"/>
    <w:rsid w:val="0030490E"/>
    <w:rsid w:val="00305F74"/>
    <w:rsid w:val="00306179"/>
    <w:rsid w:val="003061B1"/>
    <w:rsid w:val="00306353"/>
    <w:rsid w:val="00307098"/>
    <w:rsid w:val="00307B81"/>
    <w:rsid w:val="0031090B"/>
    <w:rsid w:val="003115CD"/>
    <w:rsid w:val="0031268C"/>
    <w:rsid w:val="00316412"/>
    <w:rsid w:val="00322E4D"/>
    <w:rsid w:val="00325AE4"/>
    <w:rsid w:val="00326E03"/>
    <w:rsid w:val="003301FE"/>
    <w:rsid w:val="003322EA"/>
    <w:rsid w:val="003345A8"/>
    <w:rsid w:val="0034258A"/>
    <w:rsid w:val="00346D9A"/>
    <w:rsid w:val="0035001D"/>
    <w:rsid w:val="003512C7"/>
    <w:rsid w:val="0035185E"/>
    <w:rsid w:val="00351F12"/>
    <w:rsid w:val="00352768"/>
    <w:rsid w:val="003531BB"/>
    <w:rsid w:val="003536FC"/>
    <w:rsid w:val="003564B6"/>
    <w:rsid w:val="00361F94"/>
    <w:rsid w:val="003629DA"/>
    <w:rsid w:val="00364BE2"/>
    <w:rsid w:val="00365C22"/>
    <w:rsid w:val="00365E3C"/>
    <w:rsid w:val="00367965"/>
    <w:rsid w:val="00371393"/>
    <w:rsid w:val="003754E3"/>
    <w:rsid w:val="00381684"/>
    <w:rsid w:val="00382B3F"/>
    <w:rsid w:val="0038332C"/>
    <w:rsid w:val="0039134E"/>
    <w:rsid w:val="003920CB"/>
    <w:rsid w:val="00394DEA"/>
    <w:rsid w:val="00397511"/>
    <w:rsid w:val="003A12A4"/>
    <w:rsid w:val="003A14A2"/>
    <w:rsid w:val="003A7452"/>
    <w:rsid w:val="003B16A3"/>
    <w:rsid w:val="003B2548"/>
    <w:rsid w:val="003B3AEF"/>
    <w:rsid w:val="003B3B0E"/>
    <w:rsid w:val="003B656F"/>
    <w:rsid w:val="003B700C"/>
    <w:rsid w:val="003B7621"/>
    <w:rsid w:val="003C1879"/>
    <w:rsid w:val="003C1DE3"/>
    <w:rsid w:val="003C4300"/>
    <w:rsid w:val="003C622E"/>
    <w:rsid w:val="003D08B1"/>
    <w:rsid w:val="003D0EBB"/>
    <w:rsid w:val="003D3995"/>
    <w:rsid w:val="003D435E"/>
    <w:rsid w:val="003D731D"/>
    <w:rsid w:val="003E00BB"/>
    <w:rsid w:val="003E1627"/>
    <w:rsid w:val="003E1CA1"/>
    <w:rsid w:val="003E61A9"/>
    <w:rsid w:val="003E6E46"/>
    <w:rsid w:val="003F3433"/>
    <w:rsid w:val="003F5D94"/>
    <w:rsid w:val="003F6281"/>
    <w:rsid w:val="003F6D13"/>
    <w:rsid w:val="00404DAF"/>
    <w:rsid w:val="004056A4"/>
    <w:rsid w:val="00405741"/>
    <w:rsid w:val="00405B39"/>
    <w:rsid w:val="0041038E"/>
    <w:rsid w:val="00410D37"/>
    <w:rsid w:val="00411AA9"/>
    <w:rsid w:val="004130DB"/>
    <w:rsid w:val="00413BDA"/>
    <w:rsid w:val="00414466"/>
    <w:rsid w:val="00414FDB"/>
    <w:rsid w:val="00420766"/>
    <w:rsid w:val="00421266"/>
    <w:rsid w:val="00421504"/>
    <w:rsid w:val="004256EA"/>
    <w:rsid w:val="004277FE"/>
    <w:rsid w:val="00432144"/>
    <w:rsid w:val="004323CB"/>
    <w:rsid w:val="0043348C"/>
    <w:rsid w:val="00433877"/>
    <w:rsid w:val="004342D6"/>
    <w:rsid w:val="00434EDA"/>
    <w:rsid w:val="004402FA"/>
    <w:rsid w:val="00441930"/>
    <w:rsid w:val="00444C0E"/>
    <w:rsid w:val="00445236"/>
    <w:rsid w:val="00446519"/>
    <w:rsid w:val="004478AE"/>
    <w:rsid w:val="00451CF7"/>
    <w:rsid w:val="004529FF"/>
    <w:rsid w:val="00452FA3"/>
    <w:rsid w:val="00457528"/>
    <w:rsid w:val="00457C65"/>
    <w:rsid w:val="00463EB4"/>
    <w:rsid w:val="00464D42"/>
    <w:rsid w:val="00465C26"/>
    <w:rsid w:val="00466C73"/>
    <w:rsid w:val="004705A1"/>
    <w:rsid w:val="00472A92"/>
    <w:rsid w:val="00476A3C"/>
    <w:rsid w:val="0048219E"/>
    <w:rsid w:val="004838C5"/>
    <w:rsid w:val="0048399E"/>
    <w:rsid w:val="004862AC"/>
    <w:rsid w:val="004862E0"/>
    <w:rsid w:val="00486492"/>
    <w:rsid w:val="00490FA7"/>
    <w:rsid w:val="00491DC6"/>
    <w:rsid w:val="00492604"/>
    <w:rsid w:val="00493052"/>
    <w:rsid w:val="00494313"/>
    <w:rsid w:val="00496F1C"/>
    <w:rsid w:val="004A0F22"/>
    <w:rsid w:val="004A11B0"/>
    <w:rsid w:val="004A1E4C"/>
    <w:rsid w:val="004A2E13"/>
    <w:rsid w:val="004A2E94"/>
    <w:rsid w:val="004A4B6E"/>
    <w:rsid w:val="004A64C6"/>
    <w:rsid w:val="004B1220"/>
    <w:rsid w:val="004B2762"/>
    <w:rsid w:val="004B347E"/>
    <w:rsid w:val="004B3FC5"/>
    <w:rsid w:val="004B6ED7"/>
    <w:rsid w:val="004B7D19"/>
    <w:rsid w:val="004B7D3B"/>
    <w:rsid w:val="004C10C9"/>
    <w:rsid w:val="004C3B01"/>
    <w:rsid w:val="004C66F0"/>
    <w:rsid w:val="004C7C67"/>
    <w:rsid w:val="004D03E3"/>
    <w:rsid w:val="004D1C4B"/>
    <w:rsid w:val="004D27CE"/>
    <w:rsid w:val="004D4AA6"/>
    <w:rsid w:val="004D4FF7"/>
    <w:rsid w:val="004D5594"/>
    <w:rsid w:val="004D7527"/>
    <w:rsid w:val="004D79DD"/>
    <w:rsid w:val="004D7D73"/>
    <w:rsid w:val="004E357D"/>
    <w:rsid w:val="004E7170"/>
    <w:rsid w:val="004F409A"/>
    <w:rsid w:val="004F6589"/>
    <w:rsid w:val="004F67E3"/>
    <w:rsid w:val="00500576"/>
    <w:rsid w:val="00501776"/>
    <w:rsid w:val="00504A1F"/>
    <w:rsid w:val="0050651C"/>
    <w:rsid w:val="0050671F"/>
    <w:rsid w:val="0050719C"/>
    <w:rsid w:val="00510168"/>
    <w:rsid w:val="005112CE"/>
    <w:rsid w:val="00512519"/>
    <w:rsid w:val="00513EBD"/>
    <w:rsid w:val="00517934"/>
    <w:rsid w:val="0052127C"/>
    <w:rsid w:val="0053007E"/>
    <w:rsid w:val="005301D7"/>
    <w:rsid w:val="0053063A"/>
    <w:rsid w:val="0053384C"/>
    <w:rsid w:val="00534464"/>
    <w:rsid w:val="00537774"/>
    <w:rsid w:val="005400C7"/>
    <w:rsid w:val="0054015A"/>
    <w:rsid w:val="00540291"/>
    <w:rsid w:val="005404BE"/>
    <w:rsid w:val="005408C7"/>
    <w:rsid w:val="00542B00"/>
    <w:rsid w:val="00545A21"/>
    <w:rsid w:val="005520F5"/>
    <w:rsid w:val="00552A9D"/>
    <w:rsid w:val="00557BAC"/>
    <w:rsid w:val="005638F5"/>
    <w:rsid w:val="00565F48"/>
    <w:rsid w:val="005673C2"/>
    <w:rsid w:val="00567913"/>
    <w:rsid w:val="00571B84"/>
    <w:rsid w:val="005723CA"/>
    <w:rsid w:val="00572E2A"/>
    <w:rsid w:val="00573A52"/>
    <w:rsid w:val="00580113"/>
    <w:rsid w:val="00581CFC"/>
    <w:rsid w:val="005824FC"/>
    <w:rsid w:val="00582A23"/>
    <w:rsid w:val="005840FC"/>
    <w:rsid w:val="005843ED"/>
    <w:rsid w:val="00584A63"/>
    <w:rsid w:val="00587998"/>
    <w:rsid w:val="00587FAC"/>
    <w:rsid w:val="005909E9"/>
    <w:rsid w:val="005923CC"/>
    <w:rsid w:val="005934AD"/>
    <w:rsid w:val="005937F4"/>
    <w:rsid w:val="00594723"/>
    <w:rsid w:val="00596421"/>
    <w:rsid w:val="0059662E"/>
    <w:rsid w:val="00597EE4"/>
    <w:rsid w:val="005A04AF"/>
    <w:rsid w:val="005A152C"/>
    <w:rsid w:val="005A1E97"/>
    <w:rsid w:val="005A2910"/>
    <w:rsid w:val="005A29F4"/>
    <w:rsid w:val="005A2D18"/>
    <w:rsid w:val="005A3C4D"/>
    <w:rsid w:val="005A3F24"/>
    <w:rsid w:val="005A4229"/>
    <w:rsid w:val="005A4B24"/>
    <w:rsid w:val="005B36F3"/>
    <w:rsid w:val="005B3B08"/>
    <w:rsid w:val="005B488F"/>
    <w:rsid w:val="005B71A8"/>
    <w:rsid w:val="005C0D40"/>
    <w:rsid w:val="005C1322"/>
    <w:rsid w:val="005C28AD"/>
    <w:rsid w:val="005C2C39"/>
    <w:rsid w:val="005C3ACF"/>
    <w:rsid w:val="005C6C38"/>
    <w:rsid w:val="005D0E2D"/>
    <w:rsid w:val="005D57DA"/>
    <w:rsid w:val="005D61F5"/>
    <w:rsid w:val="005D6A71"/>
    <w:rsid w:val="005D6BF4"/>
    <w:rsid w:val="005E04D9"/>
    <w:rsid w:val="005E090C"/>
    <w:rsid w:val="005E0B4A"/>
    <w:rsid w:val="005E18A0"/>
    <w:rsid w:val="005E6861"/>
    <w:rsid w:val="005E73D8"/>
    <w:rsid w:val="005E7F7D"/>
    <w:rsid w:val="005F14CE"/>
    <w:rsid w:val="005F1CE0"/>
    <w:rsid w:val="005F26CE"/>
    <w:rsid w:val="005F399C"/>
    <w:rsid w:val="005F5DFA"/>
    <w:rsid w:val="005F7ECB"/>
    <w:rsid w:val="006016D4"/>
    <w:rsid w:val="00605CDF"/>
    <w:rsid w:val="0060737E"/>
    <w:rsid w:val="006077E0"/>
    <w:rsid w:val="00607D34"/>
    <w:rsid w:val="006100DA"/>
    <w:rsid w:val="00611F9B"/>
    <w:rsid w:val="00612905"/>
    <w:rsid w:val="006134FA"/>
    <w:rsid w:val="00613717"/>
    <w:rsid w:val="00614512"/>
    <w:rsid w:val="0061485C"/>
    <w:rsid w:val="00615E88"/>
    <w:rsid w:val="006215AA"/>
    <w:rsid w:val="00626E54"/>
    <w:rsid w:val="00627670"/>
    <w:rsid w:val="0063000B"/>
    <w:rsid w:val="0063063F"/>
    <w:rsid w:val="006331F0"/>
    <w:rsid w:val="00635364"/>
    <w:rsid w:val="006370C7"/>
    <w:rsid w:val="00640535"/>
    <w:rsid w:val="006413E6"/>
    <w:rsid w:val="00645430"/>
    <w:rsid w:val="0064560E"/>
    <w:rsid w:val="00646554"/>
    <w:rsid w:val="00646D3B"/>
    <w:rsid w:val="00650C89"/>
    <w:rsid w:val="00651DAF"/>
    <w:rsid w:val="0065202F"/>
    <w:rsid w:val="00652E8A"/>
    <w:rsid w:val="00653479"/>
    <w:rsid w:val="00661156"/>
    <w:rsid w:val="00663B55"/>
    <w:rsid w:val="00666073"/>
    <w:rsid w:val="00666C61"/>
    <w:rsid w:val="006706BB"/>
    <w:rsid w:val="006706D9"/>
    <w:rsid w:val="00671CCB"/>
    <w:rsid w:val="0067369D"/>
    <w:rsid w:val="00674AD4"/>
    <w:rsid w:val="006802FE"/>
    <w:rsid w:val="0068060C"/>
    <w:rsid w:val="0068212D"/>
    <w:rsid w:val="00686C23"/>
    <w:rsid w:val="00690411"/>
    <w:rsid w:val="00690471"/>
    <w:rsid w:val="00690BB3"/>
    <w:rsid w:val="00691AAE"/>
    <w:rsid w:val="00692D59"/>
    <w:rsid w:val="00693E7A"/>
    <w:rsid w:val="00695F0A"/>
    <w:rsid w:val="00697436"/>
    <w:rsid w:val="0069748F"/>
    <w:rsid w:val="006A078D"/>
    <w:rsid w:val="006A1261"/>
    <w:rsid w:val="006A32EB"/>
    <w:rsid w:val="006A34F9"/>
    <w:rsid w:val="006A48F8"/>
    <w:rsid w:val="006A62CE"/>
    <w:rsid w:val="006B68FA"/>
    <w:rsid w:val="006B69E8"/>
    <w:rsid w:val="006C1E39"/>
    <w:rsid w:val="006C2A4E"/>
    <w:rsid w:val="006C30D5"/>
    <w:rsid w:val="006C34B5"/>
    <w:rsid w:val="006C3E43"/>
    <w:rsid w:val="006C5A10"/>
    <w:rsid w:val="006C63CE"/>
    <w:rsid w:val="006C6470"/>
    <w:rsid w:val="006C75C1"/>
    <w:rsid w:val="006C7A55"/>
    <w:rsid w:val="006D478E"/>
    <w:rsid w:val="006D5261"/>
    <w:rsid w:val="006D6469"/>
    <w:rsid w:val="006D64E4"/>
    <w:rsid w:val="006E32DC"/>
    <w:rsid w:val="006E4295"/>
    <w:rsid w:val="006E4D4F"/>
    <w:rsid w:val="006E6773"/>
    <w:rsid w:val="006E6E13"/>
    <w:rsid w:val="006F0F02"/>
    <w:rsid w:val="006F119E"/>
    <w:rsid w:val="006F1734"/>
    <w:rsid w:val="006F19C4"/>
    <w:rsid w:val="006F2AAB"/>
    <w:rsid w:val="006F2E0C"/>
    <w:rsid w:val="006F44CE"/>
    <w:rsid w:val="006F4CE3"/>
    <w:rsid w:val="00700A94"/>
    <w:rsid w:val="00700E8D"/>
    <w:rsid w:val="0070112F"/>
    <w:rsid w:val="0070308B"/>
    <w:rsid w:val="007032A6"/>
    <w:rsid w:val="0070580B"/>
    <w:rsid w:val="0071067E"/>
    <w:rsid w:val="0071199C"/>
    <w:rsid w:val="00713A80"/>
    <w:rsid w:val="0071531E"/>
    <w:rsid w:val="00715428"/>
    <w:rsid w:val="00715E7F"/>
    <w:rsid w:val="00715F88"/>
    <w:rsid w:val="0072267D"/>
    <w:rsid w:val="00722B95"/>
    <w:rsid w:val="00723665"/>
    <w:rsid w:val="007245AD"/>
    <w:rsid w:val="00724C59"/>
    <w:rsid w:val="00725004"/>
    <w:rsid w:val="007254B1"/>
    <w:rsid w:val="00727022"/>
    <w:rsid w:val="00727E6B"/>
    <w:rsid w:val="0073115E"/>
    <w:rsid w:val="0073156E"/>
    <w:rsid w:val="0073208F"/>
    <w:rsid w:val="00734345"/>
    <w:rsid w:val="0073475B"/>
    <w:rsid w:val="0073697C"/>
    <w:rsid w:val="007420EE"/>
    <w:rsid w:val="00742ACC"/>
    <w:rsid w:val="007443D5"/>
    <w:rsid w:val="00744C03"/>
    <w:rsid w:val="0074574C"/>
    <w:rsid w:val="0075189C"/>
    <w:rsid w:val="007536BC"/>
    <w:rsid w:val="00753F23"/>
    <w:rsid w:val="00753F5C"/>
    <w:rsid w:val="00754A70"/>
    <w:rsid w:val="00756E82"/>
    <w:rsid w:val="00757B9F"/>
    <w:rsid w:val="00763D75"/>
    <w:rsid w:val="00764D51"/>
    <w:rsid w:val="007654C8"/>
    <w:rsid w:val="007676EE"/>
    <w:rsid w:val="007731C8"/>
    <w:rsid w:val="00774579"/>
    <w:rsid w:val="00775B48"/>
    <w:rsid w:val="007766FD"/>
    <w:rsid w:val="00776CAA"/>
    <w:rsid w:val="00777C75"/>
    <w:rsid w:val="00781D32"/>
    <w:rsid w:val="007830A0"/>
    <w:rsid w:val="007835A7"/>
    <w:rsid w:val="00785420"/>
    <w:rsid w:val="00785635"/>
    <w:rsid w:val="007868EC"/>
    <w:rsid w:val="00787C74"/>
    <w:rsid w:val="00793F85"/>
    <w:rsid w:val="00794BA9"/>
    <w:rsid w:val="00795B01"/>
    <w:rsid w:val="007976AC"/>
    <w:rsid w:val="00797C2F"/>
    <w:rsid w:val="007A0400"/>
    <w:rsid w:val="007A417B"/>
    <w:rsid w:val="007B0E4D"/>
    <w:rsid w:val="007B1595"/>
    <w:rsid w:val="007B267B"/>
    <w:rsid w:val="007C0701"/>
    <w:rsid w:val="007C0808"/>
    <w:rsid w:val="007C3603"/>
    <w:rsid w:val="007C5374"/>
    <w:rsid w:val="007C5969"/>
    <w:rsid w:val="007C693F"/>
    <w:rsid w:val="007D15CC"/>
    <w:rsid w:val="007D183D"/>
    <w:rsid w:val="007D1C3E"/>
    <w:rsid w:val="007D253B"/>
    <w:rsid w:val="007D3E13"/>
    <w:rsid w:val="007D695C"/>
    <w:rsid w:val="007D6F8C"/>
    <w:rsid w:val="007E30F1"/>
    <w:rsid w:val="007F1F70"/>
    <w:rsid w:val="007F25A5"/>
    <w:rsid w:val="007F3C18"/>
    <w:rsid w:val="007F442C"/>
    <w:rsid w:val="007F598E"/>
    <w:rsid w:val="007F68E4"/>
    <w:rsid w:val="00800A7E"/>
    <w:rsid w:val="00800D22"/>
    <w:rsid w:val="008016EC"/>
    <w:rsid w:val="0080587B"/>
    <w:rsid w:val="008059CF"/>
    <w:rsid w:val="00811614"/>
    <w:rsid w:val="00815CE2"/>
    <w:rsid w:val="00816478"/>
    <w:rsid w:val="00816807"/>
    <w:rsid w:val="00816C93"/>
    <w:rsid w:val="00816F02"/>
    <w:rsid w:val="0082163E"/>
    <w:rsid w:val="00821A96"/>
    <w:rsid w:val="00822694"/>
    <w:rsid w:val="00822F8E"/>
    <w:rsid w:val="0082686D"/>
    <w:rsid w:val="00830781"/>
    <w:rsid w:val="008311F6"/>
    <w:rsid w:val="00832669"/>
    <w:rsid w:val="008337A8"/>
    <w:rsid w:val="00833A23"/>
    <w:rsid w:val="00833F71"/>
    <w:rsid w:val="0083401A"/>
    <w:rsid w:val="008374E0"/>
    <w:rsid w:val="00837A60"/>
    <w:rsid w:val="008412AF"/>
    <w:rsid w:val="008415CA"/>
    <w:rsid w:val="00842079"/>
    <w:rsid w:val="00842A36"/>
    <w:rsid w:val="00843696"/>
    <w:rsid w:val="00843CA0"/>
    <w:rsid w:val="0084419D"/>
    <w:rsid w:val="00844D87"/>
    <w:rsid w:val="00844EFC"/>
    <w:rsid w:val="00847E1A"/>
    <w:rsid w:val="008519C8"/>
    <w:rsid w:val="00851B78"/>
    <w:rsid w:val="00851E63"/>
    <w:rsid w:val="00853377"/>
    <w:rsid w:val="0085360B"/>
    <w:rsid w:val="00853979"/>
    <w:rsid w:val="00853D65"/>
    <w:rsid w:val="008551AC"/>
    <w:rsid w:val="0086103F"/>
    <w:rsid w:val="008612D5"/>
    <w:rsid w:val="0086240E"/>
    <w:rsid w:val="00862649"/>
    <w:rsid w:val="0086287B"/>
    <w:rsid w:val="00863DDF"/>
    <w:rsid w:val="00864A20"/>
    <w:rsid w:val="00865EB7"/>
    <w:rsid w:val="0086682F"/>
    <w:rsid w:val="0087027F"/>
    <w:rsid w:val="00870AB5"/>
    <w:rsid w:val="00871172"/>
    <w:rsid w:val="00875173"/>
    <w:rsid w:val="00876D9E"/>
    <w:rsid w:val="00883BFB"/>
    <w:rsid w:val="00884588"/>
    <w:rsid w:val="00884B12"/>
    <w:rsid w:val="00884F15"/>
    <w:rsid w:val="008859CF"/>
    <w:rsid w:val="00885C96"/>
    <w:rsid w:val="00887A6A"/>
    <w:rsid w:val="008918D0"/>
    <w:rsid w:val="00893CD7"/>
    <w:rsid w:val="00894B4D"/>
    <w:rsid w:val="0089520D"/>
    <w:rsid w:val="0089533B"/>
    <w:rsid w:val="00895ACF"/>
    <w:rsid w:val="00896233"/>
    <w:rsid w:val="00897094"/>
    <w:rsid w:val="008A0721"/>
    <w:rsid w:val="008A13C3"/>
    <w:rsid w:val="008A3C5C"/>
    <w:rsid w:val="008A44F3"/>
    <w:rsid w:val="008A752B"/>
    <w:rsid w:val="008A7EA8"/>
    <w:rsid w:val="008B3720"/>
    <w:rsid w:val="008B7AEB"/>
    <w:rsid w:val="008C0499"/>
    <w:rsid w:val="008C0B93"/>
    <w:rsid w:val="008C10D0"/>
    <w:rsid w:val="008C1863"/>
    <w:rsid w:val="008C2594"/>
    <w:rsid w:val="008C4572"/>
    <w:rsid w:val="008C5F26"/>
    <w:rsid w:val="008D158A"/>
    <w:rsid w:val="008D17E2"/>
    <w:rsid w:val="008D29B6"/>
    <w:rsid w:val="008D3826"/>
    <w:rsid w:val="008D56F3"/>
    <w:rsid w:val="008D5F8E"/>
    <w:rsid w:val="008D634E"/>
    <w:rsid w:val="008D651A"/>
    <w:rsid w:val="008E3BB6"/>
    <w:rsid w:val="008E3D68"/>
    <w:rsid w:val="008E4D27"/>
    <w:rsid w:val="008E5951"/>
    <w:rsid w:val="008E620B"/>
    <w:rsid w:val="008E7125"/>
    <w:rsid w:val="008E75A7"/>
    <w:rsid w:val="008E7EB7"/>
    <w:rsid w:val="008F2F2A"/>
    <w:rsid w:val="008F308F"/>
    <w:rsid w:val="008F4037"/>
    <w:rsid w:val="008F509E"/>
    <w:rsid w:val="008F58AA"/>
    <w:rsid w:val="00901921"/>
    <w:rsid w:val="00901D67"/>
    <w:rsid w:val="0090215F"/>
    <w:rsid w:val="00902B91"/>
    <w:rsid w:val="00905AA3"/>
    <w:rsid w:val="0091068B"/>
    <w:rsid w:val="00910C13"/>
    <w:rsid w:val="009164C8"/>
    <w:rsid w:val="009176D9"/>
    <w:rsid w:val="00922F7A"/>
    <w:rsid w:val="00923CFE"/>
    <w:rsid w:val="009307DD"/>
    <w:rsid w:val="009324CE"/>
    <w:rsid w:val="009333EF"/>
    <w:rsid w:val="00933FF4"/>
    <w:rsid w:val="009340B4"/>
    <w:rsid w:val="00936C71"/>
    <w:rsid w:val="00937126"/>
    <w:rsid w:val="009376B7"/>
    <w:rsid w:val="009378DD"/>
    <w:rsid w:val="00940B24"/>
    <w:rsid w:val="00940DD4"/>
    <w:rsid w:val="0095646E"/>
    <w:rsid w:val="009632BA"/>
    <w:rsid w:val="009633C9"/>
    <w:rsid w:val="00967D19"/>
    <w:rsid w:val="00970A4A"/>
    <w:rsid w:val="00971B06"/>
    <w:rsid w:val="00974443"/>
    <w:rsid w:val="00974A50"/>
    <w:rsid w:val="00976FDF"/>
    <w:rsid w:val="00977FE3"/>
    <w:rsid w:val="009824F0"/>
    <w:rsid w:val="00982C1A"/>
    <w:rsid w:val="009854D7"/>
    <w:rsid w:val="00985875"/>
    <w:rsid w:val="009871CA"/>
    <w:rsid w:val="0099412A"/>
    <w:rsid w:val="009942D7"/>
    <w:rsid w:val="00994461"/>
    <w:rsid w:val="00995DF8"/>
    <w:rsid w:val="009A3152"/>
    <w:rsid w:val="009A6B26"/>
    <w:rsid w:val="009B0E9E"/>
    <w:rsid w:val="009B2729"/>
    <w:rsid w:val="009B5F87"/>
    <w:rsid w:val="009C195B"/>
    <w:rsid w:val="009C1B4B"/>
    <w:rsid w:val="009C6A63"/>
    <w:rsid w:val="009C7AE7"/>
    <w:rsid w:val="009D02BA"/>
    <w:rsid w:val="009D102D"/>
    <w:rsid w:val="009D16E8"/>
    <w:rsid w:val="009D22C3"/>
    <w:rsid w:val="009D2D1C"/>
    <w:rsid w:val="009D30F4"/>
    <w:rsid w:val="009E2CE1"/>
    <w:rsid w:val="009E38B3"/>
    <w:rsid w:val="009E422F"/>
    <w:rsid w:val="009E47C3"/>
    <w:rsid w:val="009E5D5A"/>
    <w:rsid w:val="009E5E0D"/>
    <w:rsid w:val="009F09E1"/>
    <w:rsid w:val="009F13F7"/>
    <w:rsid w:val="009F2321"/>
    <w:rsid w:val="009F23E8"/>
    <w:rsid w:val="009F3DBE"/>
    <w:rsid w:val="009F567C"/>
    <w:rsid w:val="009F7730"/>
    <w:rsid w:val="00A021D0"/>
    <w:rsid w:val="00A0264B"/>
    <w:rsid w:val="00A0568F"/>
    <w:rsid w:val="00A05C82"/>
    <w:rsid w:val="00A0631F"/>
    <w:rsid w:val="00A119C4"/>
    <w:rsid w:val="00A11C8C"/>
    <w:rsid w:val="00A136A7"/>
    <w:rsid w:val="00A21A67"/>
    <w:rsid w:val="00A2517F"/>
    <w:rsid w:val="00A26126"/>
    <w:rsid w:val="00A270FB"/>
    <w:rsid w:val="00A32FB7"/>
    <w:rsid w:val="00A34330"/>
    <w:rsid w:val="00A3450A"/>
    <w:rsid w:val="00A35DC5"/>
    <w:rsid w:val="00A36065"/>
    <w:rsid w:val="00A3612E"/>
    <w:rsid w:val="00A3769A"/>
    <w:rsid w:val="00A37C37"/>
    <w:rsid w:val="00A4191B"/>
    <w:rsid w:val="00A41FDD"/>
    <w:rsid w:val="00A4204B"/>
    <w:rsid w:val="00A46BC0"/>
    <w:rsid w:val="00A506EF"/>
    <w:rsid w:val="00A50D2C"/>
    <w:rsid w:val="00A548ED"/>
    <w:rsid w:val="00A5513D"/>
    <w:rsid w:val="00A60DE3"/>
    <w:rsid w:val="00A642BF"/>
    <w:rsid w:val="00A6624F"/>
    <w:rsid w:val="00A67F16"/>
    <w:rsid w:val="00A70471"/>
    <w:rsid w:val="00A70D06"/>
    <w:rsid w:val="00A715B4"/>
    <w:rsid w:val="00A718FC"/>
    <w:rsid w:val="00A71B62"/>
    <w:rsid w:val="00A73CD8"/>
    <w:rsid w:val="00A7607A"/>
    <w:rsid w:val="00A762B7"/>
    <w:rsid w:val="00A76AC6"/>
    <w:rsid w:val="00A774DE"/>
    <w:rsid w:val="00A7781C"/>
    <w:rsid w:val="00A833FE"/>
    <w:rsid w:val="00A8661F"/>
    <w:rsid w:val="00A8672B"/>
    <w:rsid w:val="00A86869"/>
    <w:rsid w:val="00A869BA"/>
    <w:rsid w:val="00A9242E"/>
    <w:rsid w:val="00A92C66"/>
    <w:rsid w:val="00A96630"/>
    <w:rsid w:val="00AA1EDE"/>
    <w:rsid w:val="00AA2398"/>
    <w:rsid w:val="00AB4D79"/>
    <w:rsid w:val="00AB5A44"/>
    <w:rsid w:val="00AB7124"/>
    <w:rsid w:val="00AC0A02"/>
    <w:rsid w:val="00AC15D3"/>
    <w:rsid w:val="00AC36C7"/>
    <w:rsid w:val="00AC481F"/>
    <w:rsid w:val="00AC5485"/>
    <w:rsid w:val="00AC6C51"/>
    <w:rsid w:val="00AC74F5"/>
    <w:rsid w:val="00AC7E50"/>
    <w:rsid w:val="00AD34DC"/>
    <w:rsid w:val="00AD3B31"/>
    <w:rsid w:val="00AD467E"/>
    <w:rsid w:val="00AD6347"/>
    <w:rsid w:val="00AD63CE"/>
    <w:rsid w:val="00AD6A4F"/>
    <w:rsid w:val="00AE2D02"/>
    <w:rsid w:val="00AE3F0D"/>
    <w:rsid w:val="00AF29ED"/>
    <w:rsid w:val="00AF2C5D"/>
    <w:rsid w:val="00AF4619"/>
    <w:rsid w:val="00AF5725"/>
    <w:rsid w:val="00AF5AC9"/>
    <w:rsid w:val="00AF72A6"/>
    <w:rsid w:val="00B006AA"/>
    <w:rsid w:val="00B00BFF"/>
    <w:rsid w:val="00B024C4"/>
    <w:rsid w:val="00B02F7D"/>
    <w:rsid w:val="00B03668"/>
    <w:rsid w:val="00B05C9E"/>
    <w:rsid w:val="00B13C22"/>
    <w:rsid w:val="00B13EFC"/>
    <w:rsid w:val="00B1514D"/>
    <w:rsid w:val="00B156F5"/>
    <w:rsid w:val="00B1657C"/>
    <w:rsid w:val="00B17274"/>
    <w:rsid w:val="00B17350"/>
    <w:rsid w:val="00B221F9"/>
    <w:rsid w:val="00B22D20"/>
    <w:rsid w:val="00B23D6A"/>
    <w:rsid w:val="00B265D3"/>
    <w:rsid w:val="00B341E8"/>
    <w:rsid w:val="00B35C52"/>
    <w:rsid w:val="00B363EA"/>
    <w:rsid w:val="00B3658A"/>
    <w:rsid w:val="00B376E0"/>
    <w:rsid w:val="00B4153F"/>
    <w:rsid w:val="00B42738"/>
    <w:rsid w:val="00B42912"/>
    <w:rsid w:val="00B432E2"/>
    <w:rsid w:val="00B44484"/>
    <w:rsid w:val="00B45E7F"/>
    <w:rsid w:val="00B477AA"/>
    <w:rsid w:val="00B51BA6"/>
    <w:rsid w:val="00B52078"/>
    <w:rsid w:val="00B57F41"/>
    <w:rsid w:val="00B57FF0"/>
    <w:rsid w:val="00B60546"/>
    <w:rsid w:val="00B60671"/>
    <w:rsid w:val="00B61F72"/>
    <w:rsid w:val="00B62473"/>
    <w:rsid w:val="00B629AF"/>
    <w:rsid w:val="00B65728"/>
    <w:rsid w:val="00B676D3"/>
    <w:rsid w:val="00B7111E"/>
    <w:rsid w:val="00B71EEA"/>
    <w:rsid w:val="00B72BE2"/>
    <w:rsid w:val="00B735C6"/>
    <w:rsid w:val="00B7462A"/>
    <w:rsid w:val="00B74988"/>
    <w:rsid w:val="00B77246"/>
    <w:rsid w:val="00B7752A"/>
    <w:rsid w:val="00B81017"/>
    <w:rsid w:val="00B83052"/>
    <w:rsid w:val="00B8485C"/>
    <w:rsid w:val="00B84A17"/>
    <w:rsid w:val="00B86D60"/>
    <w:rsid w:val="00B87DE5"/>
    <w:rsid w:val="00B91F4A"/>
    <w:rsid w:val="00B92689"/>
    <w:rsid w:val="00B92B3E"/>
    <w:rsid w:val="00B9353B"/>
    <w:rsid w:val="00BA26D0"/>
    <w:rsid w:val="00BA47E9"/>
    <w:rsid w:val="00BA7A33"/>
    <w:rsid w:val="00BA7C70"/>
    <w:rsid w:val="00BB00C3"/>
    <w:rsid w:val="00BB0A45"/>
    <w:rsid w:val="00BB2F65"/>
    <w:rsid w:val="00BB3AE3"/>
    <w:rsid w:val="00BB44BA"/>
    <w:rsid w:val="00BB4758"/>
    <w:rsid w:val="00BC23C9"/>
    <w:rsid w:val="00BC25DB"/>
    <w:rsid w:val="00BC3C8E"/>
    <w:rsid w:val="00BC4AE2"/>
    <w:rsid w:val="00BC510D"/>
    <w:rsid w:val="00BC53DE"/>
    <w:rsid w:val="00BC689D"/>
    <w:rsid w:val="00BD06F1"/>
    <w:rsid w:val="00BD085B"/>
    <w:rsid w:val="00BD1077"/>
    <w:rsid w:val="00BD13D2"/>
    <w:rsid w:val="00BD2D22"/>
    <w:rsid w:val="00BD2F97"/>
    <w:rsid w:val="00BD64A1"/>
    <w:rsid w:val="00BE1FCE"/>
    <w:rsid w:val="00BE6962"/>
    <w:rsid w:val="00BE6AB7"/>
    <w:rsid w:val="00BE7B39"/>
    <w:rsid w:val="00BF12DE"/>
    <w:rsid w:val="00BF1DDF"/>
    <w:rsid w:val="00BF2D8A"/>
    <w:rsid w:val="00BF3D67"/>
    <w:rsid w:val="00BF4A85"/>
    <w:rsid w:val="00BF6E7C"/>
    <w:rsid w:val="00BF73B5"/>
    <w:rsid w:val="00C0093A"/>
    <w:rsid w:val="00C025E6"/>
    <w:rsid w:val="00C040F5"/>
    <w:rsid w:val="00C04763"/>
    <w:rsid w:val="00C0797B"/>
    <w:rsid w:val="00C12ABE"/>
    <w:rsid w:val="00C1448D"/>
    <w:rsid w:val="00C14546"/>
    <w:rsid w:val="00C15F7A"/>
    <w:rsid w:val="00C1620E"/>
    <w:rsid w:val="00C1635C"/>
    <w:rsid w:val="00C20835"/>
    <w:rsid w:val="00C2337A"/>
    <w:rsid w:val="00C23743"/>
    <w:rsid w:val="00C26020"/>
    <w:rsid w:val="00C32ED2"/>
    <w:rsid w:val="00C33269"/>
    <w:rsid w:val="00C338CE"/>
    <w:rsid w:val="00C33AB2"/>
    <w:rsid w:val="00C34BB6"/>
    <w:rsid w:val="00C34E3E"/>
    <w:rsid w:val="00C353A6"/>
    <w:rsid w:val="00C36824"/>
    <w:rsid w:val="00C369C2"/>
    <w:rsid w:val="00C36C03"/>
    <w:rsid w:val="00C37D1C"/>
    <w:rsid w:val="00C4577C"/>
    <w:rsid w:val="00C51271"/>
    <w:rsid w:val="00C53C3E"/>
    <w:rsid w:val="00C55838"/>
    <w:rsid w:val="00C56941"/>
    <w:rsid w:val="00C576DF"/>
    <w:rsid w:val="00C57B44"/>
    <w:rsid w:val="00C60DF6"/>
    <w:rsid w:val="00C617F8"/>
    <w:rsid w:val="00C64541"/>
    <w:rsid w:val="00C64FA1"/>
    <w:rsid w:val="00C66ADE"/>
    <w:rsid w:val="00C67665"/>
    <w:rsid w:val="00C679E6"/>
    <w:rsid w:val="00C67A30"/>
    <w:rsid w:val="00C67FDD"/>
    <w:rsid w:val="00C70637"/>
    <w:rsid w:val="00C74493"/>
    <w:rsid w:val="00C775B9"/>
    <w:rsid w:val="00C80C88"/>
    <w:rsid w:val="00C81B0D"/>
    <w:rsid w:val="00C82252"/>
    <w:rsid w:val="00C830C5"/>
    <w:rsid w:val="00C84FD1"/>
    <w:rsid w:val="00C868C2"/>
    <w:rsid w:val="00C8712C"/>
    <w:rsid w:val="00C906C2"/>
    <w:rsid w:val="00C90FFA"/>
    <w:rsid w:val="00C948B3"/>
    <w:rsid w:val="00C95133"/>
    <w:rsid w:val="00C97075"/>
    <w:rsid w:val="00CA009F"/>
    <w:rsid w:val="00CA4964"/>
    <w:rsid w:val="00CB23F6"/>
    <w:rsid w:val="00CB3111"/>
    <w:rsid w:val="00CB458A"/>
    <w:rsid w:val="00CB5A97"/>
    <w:rsid w:val="00CB79B1"/>
    <w:rsid w:val="00CC3237"/>
    <w:rsid w:val="00CC3A17"/>
    <w:rsid w:val="00CC5309"/>
    <w:rsid w:val="00CC5FBC"/>
    <w:rsid w:val="00CD0D8A"/>
    <w:rsid w:val="00CD412C"/>
    <w:rsid w:val="00CD560C"/>
    <w:rsid w:val="00CE25C5"/>
    <w:rsid w:val="00CE2918"/>
    <w:rsid w:val="00CE29FC"/>
    <w:rsid w:val="00CE4522"/>
    <w:rsid w:val="00CF11EF"/>
    <w:rsid w:val="00CF121E"/>
    <w:rsid w:val="00CF1CF1"/>
    <w:rsid w:val="00CF341E"/>
    <w:rsid w:val="00CF3636"/>
    <w:rsid w:val="00CF36A1"/>
    <w:rsid w:val="00CF55B1"/>
    <w:rsid w:val="00D01B8B"/>
    <w:rsid w:val="00D059BD"/>
    <w:rsid w:val="00D12975"/>
    <w:rsid w:val="00D1423D"/>
    <w:rsid w:val="00D2018A"/>
    <w:rsid w:val="00D215A1"/>
    <w:rsid w:val="00D2305A"/>
    <w:rsid w:val="00D23DF4"/>
    <w:rsid w:val="00D23E62"/>
    <w:rsid w:val="00D25A3A"/>
    <w:rsid w:val="00D270A0"/>
    <w:rsid w:val="00D271C3"/>
    <w:rsid w:val="00D2769E"/>
    <w:rsid w:val="00D34E4C"/>
    <w:rsid w:val="00D36DF3"/>
    <w:rsid w:val="00D37306"/>
    <w:rsid w:val="00D37CAC"/>
    <w:rsid w:val="00D405F6"/>
    <w:rsid w:val="00D41132"/>
    <w:rsid w:val="00D4220A"/>
    <w:rsid w:val="00D42643"/>
    <w:rsid w:val="00D45746"/>
    <w:rsid w:val="00D45A83"/>
    <w:rsid w:val="00D46204"/>
    <w:rsid w:val="00D51007"/>
    <w:rsid w:val="00D52052"/>
    <w:rsid w:val="00D54712"/>
    <w:rsid w:val="00D55991"/>
    <w:rsid w:val="00D5776F"/>
    <w:rsid w:val="00D57CF1"/>
    <w:rsid w:val="00D60070"/>
    <w:rsid w:val="00D62A1F"/>
    <w:rsid w:val="00D65370"/>
    <w:rsid w:val="00D65D0B"/>
    <w:rsid w:val="00D67797"/>
    <w:rsid w:val="00D67851"/>
    <w:rsid w:val="00D702AB"/>
    <w:rsid w:val="00D74D27"/>
    <w:rsid w:val="00D76549"/>
    <w:rsid w:val="00D76C27"/>
    <w:rsid w:val="00D80304"/>
    <w:rsid w:val="00D80A0A"/>
    <w:rsid w:val="00D81BF6"/>
    <w:rsid w:val="00D86424"/>
    <w:rsid w:val="00D903C5"/>
    <w:rsid w:val="00D957DD"/>
    <w:rsid w:val="00D97200"/>
    <w:rsid w:val="00D97296"/>
    <w:rsid w:val="00D97BD8"/>
    <w:rsid w:val="00DA01FA"/>
    <w:rsid w:val="00DA0BF3"/>
    <w:rsid w:val="00DA1EDC"/>
    <w:rsid w:val="00DA22DF"/>
    <w:rsid w:val="00DA33CB"/>
    <w:rsid w:val="00DA3A4D"/>
    <w:rsid w:val="00DA3BAF"/>
    <w:rsid w:val="00DA6401"/>
    <w:rsid w:val="00DA6AB3"/>
    <w:rsid w:val="00DB212B"/>
    <w:rsid w:val="00DB3C20"/>
    <w:rsid w:val="00DB5723"/>
    <w:rsid w:val="00DB63FE"/>
    <w:rsid w:val="00DC08F4"/>
    <w:rsid w:val="00DC3112"/>
    <w:rsid w:val="00DC4E3F"/>
    <w:rsid w:val="00DC5FA6"/>
    <w:rsid w:val="00DC6B70"/>
    <w:rsid w:val="00DD0408"/>
    <w:rsid w:val="00DD39B8"/>
    <w:rsid w:val="00DD6DC0"/>
    <w:rsid w:val="00DE4592"/>
    <w:rsid w:val="00DE630D"/>
    <w:rsid w:val="00DE7B2D"/>
    <w:rsid w:val="00DF5B28"/>
    <w:rsid w:val="00DF798C"/>
    <w:rsid w:val="00E01E9A"/>
    <w:rsid w:val="00E02ADF"/>
    <w:rsid w:val="00E069A2"/>
    <w:rsid w:val="00E077A1"/>
    <w:rsid w:val="00E14102"/>
    <w:rsid w:val="00E164F0"/>
    <w:rsid w:val="00E16D56"/>
    <w:rsid w:val="00E21E4C"/>
    <w:rsid w:val="00E221C2"/>
    <w:rsid w:val="00E22596"/>
    <w:rsid w:val="00E267F3"/>
    <w:rsid w:val="00E31B50"/>
    <w:rsid w:val="00E332A9"/>
    <w:rsid w:val="00E3342C"/>
    <w:rsid w:val="00E337C3"/>
    <w:rsid w:val="00E33B9F"/>
    <w:rsid w:val="00E34CAB"/>
    <w:rsid w:val="00E36F58"/>
    <w:rsid w:val="00E37E7D"/>
    <w:rsid w:val="00E4575A"/>
    <w:rsid w:val="00E47329"/>
    <w:rsid w:val="00E51019"/>
    <w:rsid w:val="00E52E99"/>
    <w:rsid w:val="00E534E8"/>
    <w:rsid w:val="00E56071"/>
    <w:rsid w:val="00E56D6F"/>
    <w:rsid w:val="00E6124D"/>
    <w:rsid w:val="00E65EAE"/>
    <w:rsid w:val="00E679E5"/>
    <w:rsid w:val="00E7152D"/>
    <w:rsid w:val="00E717B4"/>
    <w:rsid w:val="00E72058"/>
    <w:rsid w:val="00E72191"/>
    <w:rsid w:val="00E73695"/>
    <w:rsid w:val="00E86163"/>
    <w:rsid w:val="00E90A54"/>
    <w:rsid w:val="00E91769"/>
    <w:rsid w:val="00E95D67"/>
    <w:rsid w:val="00E968CD"/>
    <w:rsid w:val="00E96B93"/>
    <w:rsid w:val="00EA1221"/>
    <w:rsid w:val="00EA1C80"/>
    <w:rsid w:val="00EA3656"/>
    <w:rsid w:val="00EA3863"/>
    <w:rsid w:val="00EA3D97"/>
    <w:rsid w:val="00EA4B82"/>
    <w:rsid w:val="00EA7336"/>
    <w:rsid w:val="00EA785E"/>
    <w:rsid w:val="00EB43AA"/>
    <w:rsid w:val="00EB552F"/>
    <w:rsid w:val="00EB5C45"/>
    <w:rsid w:val="00EB5DCB"/>
    <w:rsid w:val="00EB7424"/>
    <w:rsid w:val="00EC10FC"/>
    <w:rsid w:val="00EC21D9"/>
    <w:rsid w:val="00EC34C7"/>
    <w:rsid w:val="00ED15AD"/>
    <w:rsid w:val="00ED1A9B"/>
    <w:rsid w:val="00EE08DD"/>
    <w:rsid w:val="00EE3BD4"/>
    <w:rsid w:val="00EE5A0F"/>
    <w:rsid w:val="00EF05F1"/>
    <w:rsid w:val="00EF2266"/>
    <w:rsid w:val="00EF318C"/>
    <w:rsid w:val="00EF4132"/>
    <w:rsid w:val="00EF7AE5"/>
    <w:rsid w:val="00F013C6"/>
    <w:rsid w:val="00F05E02"/>
    <w:rsid w:val="00F10788"/>
    <w:rsid w:val="00F1406B"/>
    <w:rsid w:val="00F1431A"/>
    <w:rsid w:val="00F15BA1"/>
    <w:rsid w:val="00F16B59"/>
    <w:rsid w:val="00F178E9"/>
    <w:rsid w:val="00F22F45"/>
    <w:rsid w:val="00F2331E"/>
    <w:rsid w:val="00F23D39"/>
    <w:rsid w:val="00F2462F"/>
    <w:rsid w:val="00F25477"/>
    <w:rsid w:val="00F254D7"/>
    <w:rsid w:val="00F254E2"/>
    <w:rsid w:val="00F25E81"/>
    <w:rsid w:val="00F30356"/>
    <w:rsid w:val="00F3058E"/>
    <w:rsid w:val="00F3089A"/>
    <w:rsid w:val="00F32C7A"/>
    <w:rsid w:val="00F33DE2"/>
    <w:rsid w:val="00F367CD"/>
    <w:rsid w:val="00F36950"/>
    <w:rsid w:val="00F36F74"/>
    <w:rsid w:val="00F419DC"/>
    <w:rsid w:val="00F44713"/>
    <w:rsid w:val="00F467A3"/>
    <w:rsid w:val="00F474E9"/>
    <w:rsid w:val="00F503A4"/>
    <w:rsid w:val="00F503E7"/>
    <w:rsid w:val="00F50B6B"/>
    <w:rsid w:val="00F51BA2"/>
    <w:rsid w:val="00F528E3"/>
    <w:rsid w:val="00F529D7"/>
    <w:rsid w:val="00F530A2"/>
    <w:rsid w:val="00F55D03"/>
    <w:rsid w:val="00F601D7"/>
    <w:rsid w:val="00F60EC7"/>
    <w:rsid w:val="00F612B9"/>
    <w:rsid w:val="00F61A33"/>
    <w:rsid w:val="00F61F89"/>
    <w:rsid w:val="00F629D8"/>
    <w:rsid w:val="00F62AA0"/>
    <w:rsid w:val="00F63519"/>
    <w:rsid w:val="00F64D39"/>
    <w:rsid w:val="00F65CD2"/>
    <w:rsid w:val="00F6765F"/>
    <w:rsid w:val="00F67EAC"/>
    <w:rsid w:val="00F726C6"/>
    <w:rsid w:val="00F75550"/>
    <w:rsid w:val="00F814E5"/>
    <w:rsid w:val="00F81AE5"/>
    <w:rsid w:val="00F8304B"/>
    <w:rsid w:val="00F83532"/>
    <w:rsid w:val="00F85969"/>
    <w:rsid w:val="00F87A01"/>
    <w:rsid w:val="00F90455"/>
    <w:rsid w:val="00F91A57"/>
    <w:rsid w:val="00F91B58"/>
    <w:rsid w:val="00F93EA6"/>
    <w:rsid w:val="00F94AC7"/>
    <w:rsid w:val="00F95619"/>
    <w:rsid w:val="00FA42BB"/>
    <w:rsid w:val="00FA549C"/>
    <w:rsid w:val="00FB06D3"/>
    <w:rsid w:val="00FB0D80"/>
    <w:rsid w:val="00FB21CD"/>
    <w:rsid w:val="00FB5259"/>
    <w:rsid w:val="00FB5B4F"/>
    <w:rsid w:val="00FC17C0"/>
    <w:rsid w:val="00FC1F05"/>
    <w:rsid w:val="00FC31F0"/>
    <w:rsid w:val="00FC333A"/>
    <w:rsid w:val="00FC75BC"/>
    <w:rsid w:val="00FD1C96"/>
    <w:rsid w:val="00FD2097"/>
    <w:rsid w:val="00FD5864"/>
    <w:rsid w:val="00FD709A"/>
    <w:rsid w:val="00FE0176"/>
    <w:rsid w:val="00FE2F22"/>
    <w:rsid w:val="00FE323D"/>
    <w:rsid w:val="00FE3979"/>
    <w:rsid w:val="00FE4F10"/>
    <w:rsid w:val="00FE677B"/>
    <w:rsid w:val="00FF0E42"/>
    <w:rsid w:val="00FF6D53"/>
    <w:rsid w:val="0190F80D"/>
    <w:rsid w:val="07832CAB"/>
    <w:rsid w:val="0F26D96F"/>
    <w:rsid w:val="15E69286"/>
    <w:rsid w:val="18C7DCCD"/>
    <w:rsid w:val="1B792ABC"/>
    <w:rsid w:val="1C23C685"/>
    <w:rsid w:val="1DEA92A0"/>
    <w:rsid w:val="22086057"/>
    <w:rsid w:val="34D5DD47"/>
    <w:rsid w:val="36239875"/>
    <w:rsid w:val="3D378B28"/>
    <w:rsid w:val="42313CE2"/>
    <w:rsid w:val="465E9585"/>
    <w:rsid w:val="479C78EE"/>
    <w:rsid w:val="4A842167"/>
    <w:rsid w:val="5DEB1779"/>
    <w:rsid w:val="607588E2"/>
    <w:rsid w:val="62C75A34"/>
    <w:rsid w:val="67E50457"/>
    <w:rsid w:val="72B0A672"/>
    <w:rsid w:val="7369B435"/>
    <w:rsid w:val="7D0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92436"/>
  <w15:docId w15:val="{4C02BE47-C0A7-40B5-A3E8-719D4860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8"/>
    <w:rPr>
      <w:rFonts w:ascii="Arial" w:hAnsi="Arial"/>
      <w:sz w:val="24"/>
      <w:szCs w:val="24"/>
    </w:rPr>
  </w:style>
  <w:style w:type="paragraph" w:styleId="Heading1">
    <w:name w:val="heading 1"/>
    <w:aliases w:val="Numbered - 1"/>
    <w:basedOn w:val="Normal"/>
    <w:next w:val="Normal"/>
    <w:link w:val="Heading1Char"/>
    <w:uiPriority w:val="99"/>
    <w:qFormat/>
    <w:rsid w:val="003322EA"/>
    <w:pPr>
      <w:keepNext/>
      <w:keepLines/>
      <w:widowControl w:val="0"/>
      <w:spacing w:before="240" w:after="240"/>
      <w:outlineLvl w:val="0"/>
    </w:pPr>
    <w:rPr>
      <w:b/>
      <w:kern w:val="28"/>
      <w:sz w:val="22"/>
      <w:szCs w:val="20"/>
      <w:lang w:eastAsia="en-US"/>
    </w:rPr>
  </w:style>
  <w:style w:type="paragraph" w:styleId="Heading2">
    <w:name w:val="heading 2"/>
    <w:basedOn w:val="Normal"/>
    <w:next w:val="Normal"/>
    <w:link w:val="Heading2Char"/>
    <w:unhideWhenUsed/>
    <w:qFormat/>
    <w:locked/>
    <w:rsid w:val="007058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4373AE"/>
    <w:rPr>
      <w:rFonts w:asciiTheme="majorHAnsi" w:eastAsiaTheme="majorEastAsia" w:hAnsiTheme="majorHAnsi" w:cstheme="majorBidi"/>
      <w:b/>
      <w:bCs/>
      <w:kern w:val="32"/>
      <w:sz w:val="32"/>
      <w:szCs w:val="32"/>
    </w:rPr>
  </w:style>
  <w:style w:type="table" w:styleId="TableGrid">
    <w:name w:val="Table Grid"/>
    <w:basedOn w:val="TableNormal"/>
    <w:rsid w:val="00E534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34E8"/>
    <w:pPr>
      <w:tabs>
        <w:tab w:val="center" w:pos="4153"/>
        <w:tab w:val="right" w:pos="8306"/>
      </w:tabs>
    </w:pPr>
  </w:style>
  <w:style w:type="character" w:customStyle="1" w:styleId="HeaderChar">
    <w:name w:val="Header Char"/>
    <w:basedOn w:val="DefaultParagraphFont"/>
    <w:link w:val="Header"/>
    <w:uiPriority w:val="99"/>
    <w:semiHidden/>
    <w:rsid w:val="004373AE"/>
    <w:rPr>
      <w:rFonts w:ascii="Arial" w:hAnsi="Arial"/>
      <w:sz w:val="24"/>
      <w:szCs w:val="24"/>
    </w:rPr>
  </w:style>
  <w:style w:type="paragraph" w:styleId="Footer">
    <w:name w:val="footer"/>
    <w:basedOn w:val="Normal"/>
    <w:link w:val="FooterChar"/>
    <w:uiPriority w:val="99"/>
    <w:rsid w:val="00E534E8"/>
    <w:pPr>
      <w:tabs>
        <w:tab w:val="center" w:pos="4153"/>
        <w:tab w:val="right" w:pos="8306"/>
      </w:tabs>
    </w:pPr>
  </w:style>
  <w:style w:type="character" w:customStyle="1" w:styleId="FooterChar">
    <w:name w:val="Footer Char"/>
    <w:basedOn w:val="DefaultParagraphFont"/>
    <w:link w:val="Footer"/>
    <w:uiPriority w:val="99"/>
    <w:locked/>
    <w:rsid w:val="000F7FF0"/>
    <w:rPr>
      <w:rFonts w:ascii="Arial" w:hAnsi="Arial" w:cs="Times New Roman"/>
      <w:sz w:val="24"/>
      <w:szCs w:val="24"/>
    </w:rPr>
  </w:style>
  <w:style w:type="character" w:styleId="PageNumber">
    <w:name w:val="page number"/>
    <w:basedOn w:val="DefaultParagraphFont"/>
    <w:uiPriority w:val="99"/>
    <w:rsid w:val="00E534E8"/>
    <w:rPr>
      <w:rFonts w:cs="Times New Roman"/>
    </w:rPr>
  </w:style>
  <w:style w:type="paragraph" w:styleId="BalloonText">
    <w:name w:val="Balloon Text"/>
    <w:basedOn w:val="Normal"/>
    <w:link w:val="BalloonTextChar"/>
    <w:uiPriority w:val="99"/>
    <w:semiHidden/>
    <w:rsid w:val="00E534E8"/>
    <w:rPr>
      <w:rFonts w:ascii="Tahoma" w:hAnsi="Tahoma" w:cs="Tahoma"/>
      <w:sz w:val="16"/>
      <w:szCs w:val="16"/>
    </w:rPr>
  </w:style>
  <w:style w:type="character" w:customStyle="1" w:styleId="BalloonTextChar">
    <w:name w:val="Balloon Text Char"/>
    <w:basedOn w:val="DefaultParagraphFont"/>
    <w:link w:val="BalloonText"/>
    <w:uiPriority w:val="99"/>
    <w:semiHidden/>
    <w:rsid w:val="004373AE"/>
    <w:rPr>
      <w:sz w:val="0"/>
      <w:szCs w:val="0"/>
    </w:rPr>
  </w:style>
  <w:style w:type="paragraph" w:customStyle="1" w:styleId="StyleArial">
    <w:name w:val="Style Arial"/>
    <w:basedOn w:val="Normal"/>
    <w:uiPriority w:val="99"/>
    <w:rsid w:val="002246CA"/>
    <w:pPr>
      <w:spacing w:after="120"/>
    </w:pPr>
    <w:rPr>
      <w:rFonts w:cs="Arial"/>
      <w:sz w:val="28"/>
      <w:szCs w:val="20"/>
      <w:lang w:eastAsia="en-US"/>
    </w:rPr>
  </w:style>
  <w:style w:type="paragraph" w:customStyle="1" w:styleId="Default">
    <w:name w:val="Default"/>
    <w:uiPriority w:val="99"/>
    <w:rsid w:val="00CD0D8A"/>
    <w:pPr>
      <w:autoSpaceDE w:val="0"/>
      <w:autoSpaceDN w:val="0"/>
      <w:adjustRightInd w:val="0"/>
    </w:pPr>
    <w:rPr>
      <w:color w:val="000000"/>
      <w:sz w:val="24"/>
      <w:szCs w:val="24"/>
    </w:rPr>
  </w:style>
  <w:style w:type="paragraph" w:customStyle="1" w:styleId="DfESOutNumbered">
    <w:name w:val="DfESOutNumbered"/>
    <w:basedOn w:val="Normal"/>
    <w:uiPriority w:val="99"/>
    <w:rsid w:val="00FE323D"/>
    <w:pPr>
      <w:widowControl w:val="0"/>
      <w:numPr>
        <w:numId w:val="2"/>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link w:val="BodyTextIndentChar"/>
    <w:uiPriority w:val="99"/>
    <w:rsid w:val="003D08B1"/>
    <w:pPr>
      <w:tabs>
        <w:tab w:val="left" w:pos="360"/>
      </w:tabs>
      <w:spacing w:after="120"/>
      <w:ind w:left="360" w:hanging="360"/>
    </w:pPr>
    <w:rPr>
      <w:sz w:val="22"/>
      <w:szCs w:val="20"/>
      <w:lang w:val="en-US" w:eastAsia="en-US"/>
    </w:rPr>
  </w:style>
  <w:style w:type="character" w:customStyle="1" w:styleId="BodyTextIndentChar">
    <w:name w:val="Body Text Indent Char"/>
    <w:basedOn w:val="DefaultParagraphFont"/>
    <w:link w:val="BodyTextIndent"/>
    <w:uiPriority w:val="99"/>
    <w:semiHidden/>
    <w:rsid w:val="004373AE"/>
    <w:rPr>
      <w:rFonts w:ascii="Arial" w:hAnsi="Arial"/>
      <w:sz w:val="24"/>
      <w:szCs w:val="24"/>
    </w:rPr>
  </w:style>
  <w:style w:type="character" w:styleId="Strong">
    <w:name w:val="Strong"/>
    <w:basedOn w:val="DefaultParagraphFont"/>
    <w:uiPriority w:val="99"/>
    <w:qFormat/>
    <w:rsid w:val="00D46204"/>
    <w:rPr>
      <w:rFonts w:cs="Times New Roman"/>
      <w:b/>
      <w:bCs/>
    </w:rPr>
  </w:style>
  <w:style w:type="paragraph" w:styleId="BodyText">
    <w:name w:val="Body Text"/>
    <w:basedOn w:val="Normal"/>
    <w:link w:val="BodyTextChar"/>
    <w:uiPriority w:val="99"/>
    <w:rsid w:val="003322EA"/>
    <w:pPr>
      <w:spacing w:after="120"/>
    </w:pPr>
  </w:style>
  <w:style w:type="character" w:customStyle="1" w:styleId="BodyTextChar">
    <w:name w:val="Body Text Char"/>
    <w:basedOn w:val="DefaultParagraphFont"/>
    <w:link w:val="BodyText"/>
    <w:uiPriority w:val="99"/>
    <w:semiHidden/>
    <w:rsid w:val="004373AE"/>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4838C5"/>
    <w:pPr>
      <w:ind w:left="720"/>
      <w:contextualSpacing/>
    </w:pPr>
  </w:style>
  <w:style w:type="table" w:customStyle="1" w:styleId="TableGrid1">
    <w:name w:val="Table Grid1"/>
    <w:basedOn w:val="TableNormal"/>
    <w:next w:val="TableGrid"/>
    <w:uiPriority w:val="59"/>
    <w:rsid w:val="00AA1ED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7C"/>
    <w:rPr>
      <w:sz w:val="16"/>
      <w:szCs w:val="16"/>
    </w:rPr>
  </w:style>
  <w:style w:type="paragraph" w:styleId="CommentText">
    <w:name w:val="annotation text"/>
    <w:basedOn w:val="Normal"/>
    <w:link w:val="CommentTextChar"/>
    <w:uiPriority w:val="99"/>
    <w:unhideWhenUsed/>
    <w:rsid w:val="00C4577C"/>
    <w:rPr>
      <w:sz w:val="20"/>
      <w:szCs w:val="20"/>
    </w:rPr>
  </w:style>
  <w:style w:type="character" w:customStyle="1" w:styleId="CommentTextChar">
    <w:name w:val="Comment Text Char"/>
    <w:basedOn w:val="DefaultParagraphFont"/>
    <w:link w:val="CommentText"/>
    <w:uiPriority w:val="99"/>
    <w:rsid w:val="00C457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577C"/>
    <w:rPr>
      <w:b/>
      <w:bCs/>
    </w:rPr>
  </w:style>
  <w:style w:type="character" w:customStyle="1" w:styleId="CommentSubjectChar">
    <w:name w:val="Comment Subject Char"/>
    <w:basedOn w:val="CommentTextChar"/>
    <w:link w:val="CommentSubject"/>
    <w:uiPriority w:val="99"/>
    <w:semiHidden/>
    <w:rsid w:val="00C4577C"/>
    <w:rPr>
      <w:rFonts w:ascii="Arial" w:hAnsi="Arial"/>
      <w:b/>
      <w:bCs/>
      <w:sz w:val="20"/>
      <w:szCs w:val="20"/>
    </w:rPr>
  </w:style>
  <w:style w:type="paragraph" w:styleId="NormalWeb">
    <w:name w:val="Normal (Web)"/>
    <w:basedOn w:val="Normal"/>
    <w:uiPriority w:val="99"/>
    <w:semiHidden/>
    <w:unhideWhenUsed/>
    <w:rsid w:val="00FB5B4F"/>
    <w:pPr>
      <w:spacing w:before="100" w:beforeAutospacing="1" w:after="100" w:afterAutospacing="1"/>
    </w:pPr>
    <w:rPr>
      <w:rFonts w:ascii="Times New Roman" w:hAnsi="Times New Roman"/>
    </w:rPr>
  </w:style>
  <w:style w:type="table" w:styleId="GridTable2-Accent5">
    <w:name w:val="Grid Table 2 Accent 5"/>
    <w:basedOn w:val="TableNormal"/>
    <w:uiPriority w:val="47"/>
    <w:rsid w:val="00722B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locked/>
    <w:rsid w:val="00C353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53A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70580B"/>
    <w:rPr>
      <w:rFonts w:asciiTheme="majorHAnsi" w:eastAsiaTheme="majorEastAsia" w:hAnsiTheme="majorHAnsi" w:cstheme="majorBidi"/>
      <w:color w:val="365F91" w:themeColor="accent1" w:themeShade="BF"/>
      <w:sz w:val="26"/>
      <w:szCs w:val="26"/>
    </w:rPr>
  </w:style>
  <w:style w:type="paragraph" w:customStyle="1" w:styleId="Headersfooters">
    <w:name w:val="Headers &amp; footers"/>
    <w:basedOn w:val="Title"/>
    <w:link w:val="HeadersfootersChar"/>
    <w:qFormat/>
    <w:rsid w:val="0070580B"/>
    <w:pPr>
      <w:contextualSpacing w:val="0"/>
    </w:pPr>
    <w:rPr>
      <w:rFonts w:ascii="Arial" w:hAnsi="Arial" w:cs="Arial"/>
      <w:bCs/>
      <w:noProof/>
      <w:sz w:val="20"/>
    </w:rPr>
  </w:style>
  <w:style w:type="character" w:customStyle="1" w:styleId="HeadersfootersChar">
    <w:name w:val="Headers &amp; footers Char"/>
    <w:basedOn w:val="TitleChar"/>
    <w:link w:val="Headersfooters"/>
    <w:rsid w:val="0070580B"/>
    <w:rPr>
      <w:rFonts w:ascii="Arial" w:eastAsiaTheme="majorEastAsia" w:hAnsi="Arial" w:cs="Arial"/>
      <w:bCs/>
      <w:noProof/>
      <w:spacing w:val="-10"/>
      <w:kern w:val="28"/>
      <w:sz w:val="20"/>
      <w:szCs w:val="56"/>
    </w:rPr>
  </w:style>
  <w:style w:type="paragraph" w:styleId="NoSpacing">
    <w:name w:val="No Spacing"/>
    <w:uiPriority w:val="1"/>
    <w:qFormat/>
    <w:rsid w:val="001F05B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327">
      <w:bodyDiv w:val="1"/>
      <w:marLeft w:val="0"/>
      <w:marRight w:val="0"/>
      <w:marTop w:val="0"/>
      <w:marBottom w:val="0"/>
      <w:divBdr>
        <w:top w:val="none" w:sz="0" w:space="0" w:color="auto"/>
        <w:left w:val="none" w:sz="0" w:space="0" w:color="auto"/>
        <w:bottom w:val="none" w:sz="0" w:space="0" w:color="auto"/>
        <w:right w:val="none" w:sz="0" w:space="0" w:color="auto"/>
      </w:divBdr>
    </w:div>
    <w:div w:id="55858401">
      <w:bodyDiv w:val="1"/>
      <w:marLeft w:val="0"/>
      <w:marRight w:val="0"/>
      <w:marTop w:val="0"/>
      <w:marBottom w:val="0"/>
      <w:divBdr>
        <w:top w:val="none" w:sz="0" w:space="0" w:color="auto"/>
        <w:left w:val="none" w:sz="0" w:space="0" w:color="auto"/>
        <w:bottom w:val="none" w:sz="0" w:space="0" w:color="auto"/>
        <w:right w:val="none" w:sz="0" w:space="0" w:color="auto"/>
      </w:divBdr>
    </w:div>
    <w:div w:id="101850300">
      <w:bodyDiv w:val="1"/>
      <w:marLeft w:val="0"/>
      <w:marRight w:val="0"/>
      <w:marTop w:val="0"/>
      <w:marBottom w:val="0"/>
      <w:divBdr>
        <w:top w:val="none" w:sz="0" w:space="0" w:color="auto"/>
        <w:left w:val="none" w:sz="0" w:space="0" w:color="auto"/>
        <w:bottom w:val="none" w:sz="0" w:space="0" w:color="auto"/>
        <w:right w:val="none" w:sz="0" w:space="0" w:color="auto"/>
      </w:divBdr>
    </w:div>
    <w:div w:id="241567866">
      <w:bodyDiv w:val="1"/>
      <w:marLeft w:val="0"/>
      <w:marRight w:val="0"/>
      <w:marTop w:val="0"/>
      <w:marBottom w:val="0"/>
      <w:divBdr>
        <w:top w:val="none" w:sz="0" w:space="0" w:color="auto"/>
        <w:left w:val="none" w:sz="0" w:space="0" w:color="auto"/>
        <w:bottom w:val="none" w:sz="0" w:space="0" w:color="auto"/>
        <w:right w:val="none" w:sz="0" w:space="0" w:color="auto"/>
      </w:divBdr>
    </w:div>
    <w:div w:id="343824346">
      <w:bodyDiv w:val="1"/>
      <w:marLeft w:val="0"/>
      <w:marRight w:val="0"/>
      <w:marTop w:val="0"/>
      <w:marBottom w:val="0"/>
      <w:divBdr>
        <w:top w:val="none" w:sz="0" w:space="0" w:color="auto"/>
        <w:left w:val="none" w:sz="0" w:space="0" w:color="auto"/>
        <w:bottom w:val="none" w:sz="0" w:space="0" w:color="auto"/>
        <w:right w:val="none" w:sz="0" w:space="0" w:color="auto"/>
      </w:divBdr>
    </w:div>
    <w:div w:id="350960575">
      <w:bodyDiv w:val="1"/>
      <w:marLeft w:val="0"/>
      <w:marRight w:val="0"/>
      <w:marTop w:val="0"/>
      <w:marBottom w:val="0"/>
      <w:divBdr>
        <w:top w:val="none" w:sz="0" w:space="0" w:color="auto"/>
        <w:left w:val="none" w:sz="0" w:space="0" w:color="auto"/>
        <w:bottom w:val="none" w:sz="0" w:space="0" w:color="auto"/>
        <w:right w:val="none" w:sz="0" w:space="0" w:color="auto"/>
      </w:divBdr>
    </w:div>
    <w:div w:id="353927043">
      <w:bodyDiv w:val="1"/>
      <w:marLeft w:val="0"/>
      <w:marRight w:val="0"/>
      <w:marTop w:val="0"/>
      <w:marBottom w:val="0"/>
      <w:divBdr>
        <w:top w:val="none" w:sz="0" w:space="0" w:color="auto"/>
        <w:left w:val="none" w:sz="0" w:space="0" w:color="auto"/>
        <w:bottom w:val="none" w:sz="0" w:space="0" w:color="auto"/>
        <w:right w:val="none" w:sz="0" w:space="0" w:color="auto"/>
      </w:divBdr>
    </w:div>
    <w:div w:id="389964278">
      <w:bodyDiv w:val="1"/>
      <w:marLeft w:val="0"/>
      <w:marRight w:val="0"/>
      <w:marTop w:val="0"/>
      <w:marBottom w:val="0"/>
      <w:divBdr>
        <w:top w:val="none" w:sz="0" w:space="0" w:color="auto"/>
        <w:left w:val="none" w:sz="0" w:space="0" w:color="auto"/>
        <w:bottom w:val="none" w:sz="0" w:space="0" w:color="auto"/>
        <w:right w:val="none" w:sz="0" w:space="0" w:color="auto"/>
      </w:divBdr>
    </w:div>
    <w:div w:id="408356801">
      <w:bodyDiv w:val="1"/>
      <w:marLeft w:val="0"/>
      <w:marRight w:val="0"/>
      <w:marTop w:val="0"/>
      <w:marBottom w:val="0"/>
      <w:divBdr>
        <w:top w:val="none" w:sz="0" w:space="0" w:color="auto"/>
        <w:left w:val="none" w:sz="0" w:space="0" w:color="auto"/>
        <w:bottom w:val="none" w:sz="0" w:space="0" w:color="auto"/>
        <w:right w:val="none" w:sz="0" w:space="0" w:color="auto"/>
      </w:divBdr>
    </w:div>
    <w:div w:id="418722092">
      <w:bodyDiv w:val="1"/>
      <w:marLeft w:val="0"/>
      <w:marRight w:val="0"/>
      <w:marTop w:val="0"/>
      <w:marBottom w:val="0"/>
      <w:divBdr>
        <w:top w:val="none" w:sz="0" w:space="0" w:color="auto"/>
        <w:left w:val="none" w:sz="0" w:space="0" w:color="auto"/>
        <w:bottom w:val="none" w:sz="0" w:space="0" w:color="auto"/>
        <w:right w:val="none" w:sz="0" w:space="0" w:color="auto"/>
      </w:divBdr>
    </w:div>
    <w:div w:id="439952982">
      <w:bodyDiv w:val="1"/>
      <w:marLeft w:val="0"/>
      <w:marRight w:val="0"/>
      <w:marTop w:val="0"/>
      <w:marBottom w:val="0"/>
      <w:divBdr>
        <w:top w:val="none" w:sz="0" w:space="0" w:color="auto"/>
        <w:left w:val="none" w:sz="0" w:space="0" w:color="auto"/>
        <w:bottom w:val="none" w:sz="0" w:space="0" w:color="auto"/>
        <w:right w:val="none" w:sz="0" w:space="0" w:color="auto"/>
      </w:divBdr>
    </w:div>
    <w:div w:id="445778068">
      <w:bodyDiv w:val="1"/>
      <w:marLeft w:val="0"/>
      <w:marRight w:val="0"/>
      <w:marTop w:val="0"/>
      <w:marBottom w:val="0"/>
      <w:divBdr>
        <w:top w:val="none" w:sz="0" w:space="0" w:color="auto"/>
        <w:left w:val="none" w:sz="0" w:space="0" w:color="auto"/>
        <w:bottom w:val="none" w:sz="0" w:space="0" w:color="auto"/>
        <w:right w:val="none" w:sz="0" w:space="0" w:color="auto"/>
      </w:divBdr>
    </w:div>
    <w:div w:id="544146613">
      <w:bodyDiv w:val="1"/>
      <w:marLeft w:val="0"/>
      <w:marRight w:val="0"/>
      <w:marTop w:val="0"/>
      <w:marBottom w:val="0"/>
      <w:divBdr>
        <w:top w:val="none" w:sz="0" w:space="0" w:color="auto"/>
        <w:left w:val="none" w:sz="0" w:space="0" w:color="auto"/>
        <w:bottom w:val="none" w:sz="0" w:space="0" w:color="auto"/>
        <w:right w:val="none" w:sz="0" w:space="0" w:color="auto"/>
      </w:divBdr>
    </w:div>
    <w:div w:id="551037041">
      <w:bodyDiv w:val="1"/>
      <w:marLeft w:val="0"/>
      <w:marRight w:val="0"/>
      <w:marTop w:val="0"/>
      <w:marBottom w:val="0"/>
      <w:divBdr>
        <w:top w:val="none" w:sz="0" w:space="0" w:color="auto"/>
        <w:left w:val="none" w:sz="0" w:space="0" w:color="auto"/>
        <w:bottom w:val="none" w:sz="0" w:space="0" w:color="auto"/>
        <w:right w:val="none" w:sz="0" w:space="0" w:color="auto"/>
      </w:divBdr>
    </w:div>
    <w:div w:id="566767925">
      <w:bodyDiv w:val="1"/>
      <w:marLeft w:val="0"/>
      <w:marRight w:val="0"/>
      <w:marTop w:val="0"/>
      <w:marBottom w:val="0"/>
      <w:divBdr>
        <w:top w:val="none" w:sz="0" w:space="0" w:color="auto"/>
        <w:left w:val="none" w:sz="0" w:space="0" w:color="auto"/>
        <w:bottom w:val="none" w:sz="0" w:space="0" w:color="auto"/>
        <w:right w:val="none" w:sz="0" w:space="0" w:color="auto"/>
      </w:divBdr>
    </w:div>
    <w:div w:id="600797495">
      <w:bodyDiv w:val="1"/>
      <w:marLeft w:val="0"/>
      <w:marRight w:val="0"/>
      <w:marTop w:val="0"/>
      <w:marBottom w:val="0"/>
      <w:divBdr>
        <w:top w:val="none" w:sz="0" w:space="0" w:color="auto"/>
        <w:left w:val="none" w:sz="0" w:space="0" w:color="auto"/>
        <w:bottom w:val="none" w:sz="0" w:space="0" w:color="auto"/>
        <w:right w:val="none" w:sz="0" w:space="0" w:color="auto"/>
      </w:divBdr>
    </w:div>
    <w:div w:id="608243764">
      <w:bodyDiv w:val="1"/>
      <w:marLeft w:val="0"/>
      <w:marRight w:val="0"/>
      <w:marTop w:val="0"/>
      <w:marBottom w:val="0"/>
      <w:divBdr>
        <w:top w:val="none" w:sz="0" w:space="0" w:color="auto"/>
        <w:left w:val="none" w:sz="0" w:space="0" w:color="auto"/>
        <w:bottom w:val="none" w:sz="0" w:space="0" w:color="auto"/>
        <w:right w:val="none" w:sz="0" w:space="0" w:color="auto"/>
      </w:divBdr>
    </w:div>
    <w:div w:id="615331853">
      <w:bodyDiv w:val="1"/>
      <w:marLeft w:val="0"/>
      <w:marRight w:val="0"/>
      <w:marTop w:val="0"/>
      <w:marBottom w:val="0"/>
      <w:divBdr>
        <w:top w:val="none" w:sz="0" w:space="0" w:color="auto"/>
        <w:left w:val="none" w:sz="0" w:space="0" w:color="auto"/>
        <w:bottom w:val="none" w:sz="0" w:space="0" w:color="auto"/>
        <w:right w:val="none" w:sz="0" w:space="0" w:color="auto"/>
      </w:divBdr>
    </w:div>
    <w:div w:id="704020346">
      <w:bodyDiv w:val="1"/>
      <w:marLeft w:val="0"/>
      <w:marRight w:val="0"/>
      <w:marTop w:val="0"/>
      <w:marBottom w:val="0"/>
      <w:divBdr>
        <w:top w:val="none" w:sz="0" w:space="0" w:color="auto"/>
        <w:left w:val="none" w:sz="0" w:space="0" w:color="auto"/>
        <w:bottom w:val="none" w:sz="0" w:space="0" w:color="auto"/>
        <w:right w:val="none" w:sz="0" w:space="0" w:color="auto"/>
      </w:divBdr>
    </w:div>
    <w:div w:id="766197728">
      <w:bodyDiv w:val="1"/>
      <w:marLeft w:val="0"/>
      <w:marRight w:val="0"/>
      <w:marTop w:val="0"/>
      <w:marBottom w:val="0"/>
      <w:divBdr>
        <w:top w:val="none" w:sz="0" w:space="0" w:color="auto"/>
        <w:left w:val="none" w:sz="0" w:space="0" w:color="auto"/>
        <w:bottom w:val="none" w:sz="0" w:space="0" w:color="auto"/>
        <w:right w:val="none" w:sz="0" w:space="0" w:color="auto"/>
      </w:divBdr>
    </w:div>
    <w:div w:id="822043081">
      <w:bodyDiv w:val="1"/>
      <w:marLeft w:val="0"/>
      <w:marRight w:val="0"/>
      <w:marTop w:val="0"/>
      <w:marBottom w:val="0"/>
      <w:divBdr>
        <w:top w:val="none" w:sz="0" w:space="0" w:color="auto"/>
        <w:left w:val="none" w:sz="0" w:space="0" w:color="auto"/>
        <w:bottom w:val="none" w:sz="0" w:space="0" w:color="auto"/>
        <w:right w:val="none" w:sz="0" w:space="0" w:color="auto"/>
      </w:divBdr>
    </w:div>
    <w:div w:id="874005774">
      <w:bodyDiv w:val="1"/>
      <w:marLeft w:val="0"/>
      <w:marRight w:val="0"/>
      <w:marTop w:val="0"/>
      <w:marBottom w:val="0"/>
      <w:divBdr>
        <w:top w:val="none" w:sz="0" w:space="0" w:color="auto"/>
        <w:left w:val="none" w:sz="0" w:space="0" w:color="auto"/>
        <w:bottom w:val="none" w:sz="0" w:space="0" w:color="auto"/>
        <w:right w:val="none" w:sz="0" w:space="0" w:color="auto"/>
      </w:divBdr>
    </w:div>
    <w:div w:id="893933984">
      <w:bodyDiv w:val="1"/>
      <w:marLeft w:val="0"/>
      <w:marRight w:val="0"/>
      <w:marTop w:val="0"/>
      <w:marBottom w:val="0"/>
      <w:divBdr>
        <w:top w:val="none" w:sz="0" w:space="0" w:color="auto"/>
        <w:left w:val="none" w:sz="0" w:space="0" w:color="auto"/>
        <w:bottom w:val="none" w:sz="0" w:space="0" w:color="auto"/>
        <w:right w:val="none" w:sz="0" w:space="0" w:color="auto"/>
      </w:divBdr>
    </w:div>
    <w:div w:id="936521166">
      <w:bodyDiv w:val="1"/>
      <w:marLeft w:val="0"/>
      <w:marRight w:val="0"/>
      <w:marTop w:val="0"/>
      <w:marBottom w:val="0"/>
      <w:divBdr>
        <w:top w:val="none" w:sz="0" w:space="0" w:color="auto"/>
        <w:left w:val="none" w:sz="0" w:space="0" w:color="auto"/>
        <w:bottom w:val="none" w:sz="0" w:space="0" w:color="auto"/>
        <w:right w:val="none" w:sz="0" w:space="0" w:color="auto"/>
      </w:divBdr>
    </w:div>
    <w:div w:id="951129034">
      <w:bodyDiv w:val="1"/>
      <w:marLeft w:val="0"/>
      <w:marRight w:val="0"/>
      <w:marTop w:val="0"/>
      <w:marBottom w:val="0"/>
      <w:divBdr>
        <w:top w:val="none" w:sz="0" w:space="0" w:color="auto"/>
        <w:left w:val="none" w:sz="0" w:space="0" w:color="auto"/>
        <w:bottom w:val="none" w:sz="0" w:space="0" w:color="auto"/>
        <w:right w:val="none" w:sz="0" w:space="0" w:color="auto"/>
      </w:divBdr>
    </w:div>
    <w:div w:id="957024075">
      <w:marLeft w:val="0"/>
      <w:marRight w:val="0"/>
      <w:marTop w:val="0"/>
      <w:marBottom w:val="0"/>
      <w:divBdr>
        <w:top w:val="none" w:sz="0" w:space="0" w:color="auto"/>
        <w:left w:val="none" w:sz="0" w:space="0" w:color="auto"/>
        <w:bottom w:val="none" w:sz="0" w:space="0" w:color="auto"/>
        <w:right w:val="none" w:sz="0" w:space="0" w:color="auto"/>
      </w:divBdr>
    </w:div>
    <w:div w:id="957024076">
      <w:marLeft w:val="0"/>
      <w:marRight w:val="0"/>
      <w:marTop w:val="0"/>
      <w:marBottom w:val="0"/>
      <w:divBdr>
        <w:top w:val="none" w:sz="0" w:space="0" w:color="auto"/>
        <w:left w:val="none" w:sz="0" w:space="0" w:color="auto"/>
        <w:bottom w:val="none" w:sz="0" w:space="0" w:color="auto"/>
        <w:right w:val="none" w:sz="0" w:space="0" w:color="auto"/>
      </w:divBdr>
    </w:div>
    <w:div w:id="957024077">
      <w:marLeft w:val="0"/>
      <w:marRight w:val="0"/>
      <w:marTop w:val="0"/>
      <w:marBottom w:val="0"/>
      <w:divBdr>
        <w:top w:val="none" w:sz="0" w:space="0" w:color="auto"/>
        <w:left w:val="none" w:sz="0" w:space="0" w:color="auto"/>
        <w:bottom w:val="none" w:sz="0" w:space="0" w:color="auto"/>
        <w:right w:val="none" w:sz="0" w:space="0" w:color="auto"/>
      </w:divBdr>
    </w:div>
    <w:div w:id="957024078">
      <w:marLeft w:val="0"/>
      <w:marRight w:val="0"/>
      <w:marTop w:val="0"/>
      <w:marBottom w:val="0"/>
      <w:divBdr>
        <w:top w:val="none" w:sz="0" w:space="0" w:color="auto"/>
        <w:left w:val="none" w:sz="0" w:space="0" w:color="auto"/>
        <w:bottom w:val="none" w:sz="0" w:space="0" w:color="auto"/>
        <w:right w:val="none" w:sz="0" w:space="0" w:color="auto"/>
      </w:divBdr>
    </w:div>
    <w:div w:id="957024079">
      <w:marLeft w:val="0"/>
      <w:marRight w:val="0"/>
      <w:marTop w:val="0"/>
      <w:marBottom w:val="0"/>
      <w:divBdr>
        <w:top w:val="none" w:sz="0" w:space="0" w:color="auto"/>
        <w:left w:val="none" w:sz="0" w:space="0" w:color="auto"/>
        <w:bottom w:val="none" w:sz="0" w:space="0" w:color="auto"/>
        <w:right w:val="none" w:sz="0" w:space="0" w:color="auto"/>
      </w:divBdr>
    </w:div>
    <w:div w:id="957024080">
      <w:marLeft w:val="0"/>
      <w:marRight w:val="0"/>
      <w:marTop w:val="0"/>
      <w:marBottom w:val="0"/>
      <w:divBdr>
        <w:top w:val="none" w:sz="0" w:space="0" w:color="auto"/>
        <w:left w:val="none" w:sz="0" w:space="0" w:color="auto"/>
        <w:bottom w:val="none" w:sz="0" w:space="0" w:color="auto"/>
        <w:right w:val="none" w:sz="0" w:space="0" w:color="auto"/>
      </w:divBdr>
    </w:div>
    <w:div w:id="957024081">
      <w:marLeft w:val="0"/>
      <w:marRight w:val="0"/>
      <w:marTop w:val="0"/>
      <w:marBottom w:val="0"/>
      <w:divBdr>
        <w:top w:val="none" w:sz="0" w:space="0" w:color="auto"/>
        <w:left w:val="none" w:sz="0" w:space="0" w:color="auto"/>
        <w:bottom w:val="none" w:sz="0" w:space="0" w:color="auto"/>
        <w:right w:val="none" w:sz="0" w:space="0" w:color="auto"/>
      </w:divBdr>
    </w:div>
    <w:div w:id="957024082">
      <w:marLeft w:val="0"/>
      <w:marRight w:val="0"/>
      <w:marTop w:val="0"/>
      <w:marBottom w:val="0"/>
      <w:divBdr>
        <w:top w:val="none" w:sz="0" w:space="0" w:color="auto"/>
        <w:left w:val="none" w:sz="0" w:space="0" w:color="auto"/>
        <w:bottom w:val="none" w:sz="0" w:space="0" w:color="auto"/>
        <w:right w:val="none" w:sz="0" w:space="0" w:color="auto"/>
      </w:divBdr>
    </w:div>
    <w:div w:id="957024083">
      <w:marLeft w:val="0"/>
      <w:marRight w:val="0"/>
      <w:marTop w:val="0"/>
      <w:marBottom w:val="0"/>
      <w:divBdr>
        <w:top w:val="none" w:sz="0" w:space="0" w:color="auto"/>
        <w:left w:val="none" w:sz="0" w:space="0" w:color="auto"/>
        <w:bottom w:val="none" w:sz="0" w:space="0" w:color="auto"/>
        <w:right w:val="none" w:sz="0" w:space="0" w:color="auto"/>
      </w:divBdr>
    </w:div>
    <w:div w:id="957024084">
      <w:marLeft w:val="0"/>
      <w:marRight w:val="0"/>
      <w:marTop w:val="0"/>
      <w:marBottom w:val="0"/>
      <w:divBdr>
        <w:top w:val="none" w:sz="0" w:space="0" w:color="auto"/>
        <w:left w:val="none" w:sz="0" w:space="0" w:color="auto"/>
        <w:bottom w:val="none" w:sz="0" w:space="0" w:color="auto"/>
        <w:right w:val="none" w:sz="0" w:space="0" w:color="auto"/>
      </w:divBdr>
    </w:div>
    <w:div w:id="957024085">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957024087">
      <w:marLeft w:val="0"/>
      <w:marRight w:val="0"/>
      <w:marTop w:val="0"/>
      <w:marBottom w:val="0"/>
      <w:divBdr>
        <w:top w:val="none" w:sz="0" w:space="0" w:color="auto"/>
        <w:left w:val="none" w:sz="0" w:space="0" w:color="auto"/>
        <w:bottom w:val="none" w:sz="0" w:space="0" w:color="auto"/>
        <w:right w:val="none" w:sz="0" w:space="0" w:color="auto"/>
      </w:divBdr>
    </w:div>
    <w:div w:id="957024088">
      <w:marLeft w:val="0"/>
      <w:marRight w:val="0"/>
      <w:marTop w:val="0"/>
      <w:marBottom w:val="0"/>
      <w:divBdr>
        <w:top w:val="none" w:sz="0" w:space="0" w:color="auto"/>
        <w:left w:val="none" w:sz="0" w:space="0" w:color="auto"/>
        <w:bottom w:val="none" w:sz="0" w:space="0" w:color="auto"/>
        <w:right w:val="none" w:sz="0" w:space="0" w:color="auto"/>
      </w:divBdr>
    </w:div>
    <w:div w:id="957024089">
      <w:marLeft w:val="0"/>
      <w:marRight w:val="0"/>
      <w:marTop w:val="0"/>
      <w:marBottom w:val="0"/>
      <w:divBdr>
        <w:top w:val="none" w:sz="0" w:space="0" w:color="auto"/>
        <w:left w:val="none" w:sz="0" w:space="0" w:color="auto"/>
        <w:bottom w:val="none" w:sz="0" w:space="0" w:color="auto"/>
        <w:right w:val="none" w:sz="0" w:space="0" w:color="auto"/>
      </w:divBdr>
    </w:div>
    <w:div w:id="958532898">
      <w:bodyDiv w:val="1"/>
      <w:marLeft w:val="0"/>
      <w:marRight w:val="0"/>
      <w:marTop w:val="0"/>
      <w:marBottom w:val="0"/>
      <w:divBdr>
        <w:top w:val="none" w:sz="0" w:space="0" w:color="auto"/>
        <w:left w:val="none" w:sz="0" w:space="0" w:color="auto"/>
        <w:bottom w:val="none" w:sz="0" w:space="0" w:color="auto"/>
        <w:right w:val="none" w:sz="0" w:space="0" w:color="auto"/>
      </w:divBdr>
    </w:div>
    <w:div w:id="1083069953">
      <w:bodyDiv w:val="1"/>
      <w:marLeft w:val="0"/>
      <w:marRight w:val="0"/>
      <w:marTop w:val="0"/>
      <w:marBottom w:val="0"/>
      <w:divBdr>
        <w:top w:val="none" w:sz="0" w:space="0" w:color="auto"/>
        <w:left w:val="none" w:sz="0" w:space="0" w:color="auto"/>
        <w:bottom w:val="none" w:sz="0" w:space="0" w:color="auto"/>
        <w:right w:val="none" w:sz="0" w:space="0" w:color="auto"/>
      </w:divBdr>
    </w:div>
    <w:div w:id="1116679786">
      <w:bodyDiv w:val="1"/>
      <w:marLeft w:val="0"/>
      <w:marRight w:val="0"/>
      <w:marTop w:val="0"/>
      <w:marBottom w:val="0"/>
      <w:divBdr>
        <w:top w:val="none" w:sz="0" w:space="0" w:color="auto"/>
        <w:left w:val="none" w:sz="0" w:space="0" w:color="auto"/>
        <w:bottom w:val="none" w:sz="0" w:space="0" w:color="auto"/>
        <w:right w:val="none" w:sz="0" w:space="0" w:color="auto"/>
      </w:divBdr>
    </w:div>
    <w:div w:id="1129711288">
      <w:bodyDiv w:val="1"/>
      <w:marLeft w:val="0"/>
      <w:marRight w:val="0"/>
      <w:marTop w:val="0"/>
      <w:marBottom w:val="0"/>
      <w:divBdr>
        <w:top w:val="none" w:sz="0" w:space="0" w:color="auto"/>
        <w:left w:val="none" w:sz="0" w:space="0" w:color="auto"/>
        <w:bottom w:val="none" w:sz="0" w:space="0" w:color="auto"/>
        <w:right w:val="none" w:sz="0" w:space="0" w:color="auto"/>
      </w:divBdr>
    </w:div>
    <w:div w:id="1139150265">
      <w:bodyDiv w:val="1"/>
      <w:marLeft w:val="0"/>
      <w:marRight w:val="0"/>
      <w:marTop w:val="0"/>
      <w:marBottom w:val="0"/>
      <w:divBdr>
        <w:top w:val="none" w:sz="0" w:space="0" w:color="auto"/>
        <w:left w:val="none" w:sz="0" w:space="0" w:color="auto"/>
        <w:bottom w:val="none" w:sz="0" w:space="0" w:color="auto"/>
        <w:right w:val="none" w:sz="0" w:space="0" w:color="auto"/>
      </w:divBdr>
    </w:div>
    <w:div w:id="1262110590">
      <w:bodyDiv w:val="1"/>
      <w:marLeft w:val="0"/>
      <w:marRight w:val="0"/>
      <w:marTop w:val="0"/>
      <w:marBottom w:val="0"/>
      <w:divBdr>
        <w:top w:val="none" w:sz="0" w:space="0" w:color="auto"/>
        <w:left w:val="none" w:sz="0" w:space="0" w:color="auto"/>
        <w:bottom w:val="none" w:sz="0" w:space="0" w:color="auto"/>
        <w:right w:val="none" w:sz="0" w:space="0" w:color="auto"/>
      </w:divBdr>
    </w:div>
    <w:div w:id="1301955164">
      <w:bodyDiv w:val="1"/>
      <w:marLeft w:val="0"/>
      <w:marRight w:val="0"/>
      <w:marTop w:val="0"/>
      <w:marBottom w:val="0"/>
      <w:divBdr>
        <w:top w:val="none" w:sz="0" w:space="0" w:color="auto"/>
        <w:left w:val="none" w:sz="0" w:space="0" w:color="auto"/>
        <w:bottom w:val="none" w:sz="0" w:space="0" w:color="auto"/>
        <w:right w:val="none" w:sz="0" w:space="0" w:color="auto"/>
      </w:divBdr>
    </w:div>
    <w:div w:id="1302619218">
      <w:bodyDiv w:val="1"/>
      <w:marLeft w:val="0"/>
      <w:marRight w:val="0"/>
      <w:marTop w:val="0"/>
      <w:marBottom w:val="0"/>
      <w:divBdr>
        <w:top w:val="none" w:sz="0" w:space="0" w:color="auto"/>
        <w:left w:val="none" w:sz="0" w:space="0" w:color="auto"/>
        <w:bottom w:val="none" w:sz="0" w:space="0" w:color="auto"/>
        <w:right w:val="none" w:sz="0" w:space="0" w:color="auto"/>
      </w:divBdr>
    </w:div>
    <w:div w:id="1552381313">
      <w:bodyDiv w:val="1"/>
      <w:marLeft w:val="0"/>
      <w:marRight w:val="0"/>
      <w:marTop w:val="0"/>
      <w:marBottom w:val="0"/>
      <w:divBdr>
        <w:top w:val="none" w:sz="0" w:space="0" w:color="auto"/>
        <w:left w:val="none" w:sz="0" w:space="0" w:color="auto"/>
        <w:bottom w:val="none" w:sz="0" w:space="0" w:color="auto"/>
        <w:right w:val="none" w:sz="0" w:space="0" w:color="auto"/>
      </w:divBdr>
    </w:div>
    <w:div w:id="1585263470">
      <w:bodyDiv w:val="1"/>
      <w:marLeft w:val="0"/>
      <w:marRight w:val="0"/>
      <w:marTop w:val="0"/>
      <w:marBottom w:val="0"/>
      <w:divBdr>
        <w:top w:val="none" w:sz="0" w:space="0" w:color="auto"/>
        <w:left w:val="none" w:sz="0" w:space="0" w:color="auto"/>
        <w:bottom w:val="none" w:sz="0" w:space="0" w:color="auto"/>
        <w:right w:val="none" w:sz="0" w:space="0" w:color="auto"/>
      </w:divBdr>
    </w:div>
    <w:div w:id="1604797396">
      <w:bodyDiv w:val="1"/>
      <w:marLeft w:val="0"/>
      <w:marRight w:val="0"/>
      <w:marTop w:val="0"/>
      <w:marBottom w:val="0"/>
      <w:divBdr>
        <w:top w:val="none" w:sz="0" w:space="0" w:color="auto"/>
        <w:left w:val="none" w:sz="0" w:space="0" w:color="auto"/>
        <w:bottom w:val="none" w:sz="0" w:space="0" w:color="auto"/>
        <w:right w:val="none" w:sz="0" w:space="0" w:color="auto"/>
      </w:divBdr>
    </w:div>
    <w:div w:id="1665665379">
      <w:bodyDiv w:val="1"/>
      <w:marLeft w:val="0"/>
      <w:marRight w:val="0"/>
      <w:marTop w:val="0"/>
      <w:marBottom w:val="0"/>
      <w:divBdr>
        <w:top w:val="none" w:sz="0" w:space="0" w:color="auto"/>
        <w:left w:val="none" w:sz="0" w:space="0" w:color="auto"/>
        <w:bottom w:val="none" w:sz="0" w:space="0" w:color="auto"/>
        <w:right w:val="none" w:sz="0" w:space="0" w:color="auto"/>
      </w:divBdr>
    </w:div>
    <w:div w:id="1695109413">
      <w:bodyDiv w:val="1"/>
      <w:marLeft w:val="0"/>
      <w:marRight w:val="0"/>
      <w:marTop w:val="0"/>
      <w:marBottom w:val="0"/>
      <w:divBdr>
        <w:top w:val="none" w:sz="0" w:space="0" w:color="auto"/>
        <w:left w:val="none" w:sz="0" w:space="0" w:color="auto"/>
        <w:bottom w:val="none" w:sz="0" w:space="0" w:color="auto"/>
        <w:right w:val="none" w:sz="0" w:space="0" w:color="auto"/>
      </w:divBdr>
    </w:div>
    <w:div w:id="1799840486">
      <w:bodyDiv w:val="1"/>
      <w:marLeft w:val="0"/>
      <w:marRight w:val="0"/>
      <w:marTop w:val="0"/>
      <w:marBottom w:val="0"/>
      <w:divBdr>
        <w:top w:val="none" w:sz="0" w:space="0" w:color="auto"/>
        <w:left w:val="none" w:sz="0" w:space="0" w:color="auto"/>
        <w:bottom w:val="none" w:sz="0" w:space="0" w:color="auto"/>
        <w:right w:val="none" w:sz="0" w:space="0" w:color="auto"/>
      </w:divBdr>
    </w:div>
    <w:div w:id="1799950952">
      <w:bodyDiv w:val="1"/>
      <w:marLeft w:val="0"/>
      <w:marRight w:val="0"/>
      <w:marTop w:val="0"/>
      <w:marBottom w:val="0"/>
      <w:divBdr>
        <w:top w:val="none" w:sz="0" w:space="0" w:color="auto"/>
        <w:left w:val="none" w:sz="0" w:space="0" w:color="auto"/>
        <w:bottom w:val="none" w:sz="0" w:space="0" w:color="auto"/>
        <w:right w:val="none" w:sz="0" w:space="0" w:color="auto"/>
      </w:divBdr>
    </w:div>
    <w:div w:id="1801070935">
      <w:bodyDiv w:val="1"/>
      <w:marLeft w:val="0"/>
      <w:marRight w:val="0"/>
      <w:marTop w:val="0"/>
      <w:marBottom w:val="0"/>
      <w:divBdr>
        <w:top w:val="none" w:sz="0" w:space="0" w:color="auto"/>
        <w:left w:val="none" w:sz="0" w:space="0" w:color="auto"/>
        <w:bottom w:val="none" w:sz="0" w:space="0" w:color="auto"/>
        <w:right w:val="none" w:sz="0" w:space="0" w:color="auto"/>
      </w:divBdr>
    </w:div>
    <w:div w:id="1819303817">
      <w:bodyDiv w:val="1"/>
      <w:marLeft w:val="0"/>
      <w:marRight w:val="0"/>
      <w:marTop w:val="0"/>
      <w:marBottom w:val="0"/>
      <w:divBdr>
        <w:top w:val="none" w:sz="0" w:space="0" w:color="auto"/>
        <w:left w:val="none" w:sz="0" w:space="0" w:color="auto"/>
        <w:bottom w:val="none" w:sz="0" w:space="0" w:color="auto"/>
        <w:right w:val="none" w:sz="0" w:space="0" w:color="auto"/>
      </w:divBdr>
    </w:div>
    <w:div w:id="1829322114">
      <w:bodyDiv w:val="1"/>
      <w:marLeft w:val="0"/>
      <w:marRight w:val="0"/>
      <w:marTop w:val="0"/>
      <w:marBottom w:val="0"/>
      <w:divBdr>
        <w:top w:val="none" w:sz="0" w:space="0" w:color="auto"/>
        <w:left w:val="none" w:sz="0" w:space="0" w:color="auto"/>
        <w:bottom w:val="none" w:sz="0" w:space="0" w:color="auto"/>
        <w:right w:val="none" w:sz="0" w:space="0" w:color="auto"/>
      </w:divBdr>
    </w:div>
    <w:div w:id="1843082610">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882011703">
      <w:bodyDiv w:val="1"/>
      <w:marLeft w:val="0"/>
      <w:marRight w:val="0"/>
      <w:marTop w:val="0"/>
      <w:marBottom w:val="0"/>
      <w:divBdr>
        <w:top w:val="none" w:sz="0" w:space="0" w:color="auto"/>
        <w:left w:val="none" w:sz="0" w:space="0" w:color="auto"/>
        <w:bottom w:val="none" w:sz="0" w:space="0" w:color="auto"/>
        <w:right w:val="none" w:sz="0" w:space="0" w:color="auto"/>
      </w:divBdr>
    </w:div>
    <w:div w:id="1891377283">
      <w:bodyDiv w:val="1"/>
      <w:marLeft w:val="0"/>
      <w:marRight w:val="0"/>
      <w:marTop w:val="0"/>
      <w:marBottom w:val="0"/>
      <w:divBdr>
        <w:top w:val="none" w:sz="0" w:space="0" w:color="auto"/>
        <w:left w:val="none" w:sz="0" w:space="0" w:color="auto"/>
        <w:bottom w:val="none" w:sz="0" w:space="0" w:color="auto"/>
        <w:right w:val="none" w:sz="0" w:space="0" w:color="auto"/>
      </w:divBdr>
    </w:div>
    <w:div w:id="1901477713">
      <w:bodyDiv w:val="1"/>
      <w:marLeft w:val="0"/>
      <w:marRight w:val="0"/>
      <w:marTop w:val="0"/>
      <w:marBottom w:val="0"/>
      <w:divBdr>
        <w:top w:val="none" w:sz="0" w:space="0" w:color="auto"/>
        <w:left w:val="none" w:sz="0" w:space="0" w:color="auto"/>
        <w:bottom w:val="none" w:sz="0" w:space="0" w:color="auto"/>
        <w:right w:val="none" w:sz="0" w:space="0" w:color="auto"/>
      </w:divBdr>
    </w:div>
    <w:div w:id="1995833409">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 w:id="20887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56dd2197-b210-47fb-97e9-4b8d7abdc0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5ACFA63E171B4796BB76CE18D9E99A" ma:contentTypeVersion="14" ma:contentTypeDescription="Create a new document." ma:contentTypeScope="" ma:versionID="64e1d61dd2026e8b48acff0bd826518b">
  <xsd:schema xmlns:xsd="http://www.w3.org/2001/XMLSchema" xmlns:xs="http://www.w3.org/2001/XMLSchema" xmlns:p="http://schemas.microsoft.com/office/2006/metadata/properties" xmlns:ns2="30d79745-92fc-4b4e-a213-f975f2a6d945" xmlns:ns3="56dd2197-b210-47fb-97e9-4b8d7abdc0bc" targetNamespace="http://schemas.microsoft.com/office/2006/metadata/properties" ma:root="true" ma:fieldsID="0f0611980e988c893bd06832b16632b5" ns2:_="" ns3:_="">
    <xsd:import namespace="30d79745-92fc-4b4e-a213-f975f2a6d945"/>
    <xsd:import namespace="56dd2197-b210-47fb-97e9-4b8d7abdc0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2197-b210-47fb-97e9-4b8d7abdc0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E6F4B-E6AC-4916-B7C0-F05BBEA28AA9}">
  <ds:schemaRefs>
    <ds:schemaRef ds:uri="http://schemas.microsoft.com/office/2006/metadata/properties"/>
    <ds:schemaRef ds:uri="http://schemas.microsoft.com/office/infopath/2007/PartnerControls"/>
    <ds:schemaRef ds:uri="30d79745-92fc-4b4e-a213-f975f2a6d945"/>
    <ds:schemaRef ds:uri="56dd2197-b210-47fb-97e9-4b8d7abdc0bc"/>
  </ds:schemaRefs>
</ds:datastoreItem>
</file>

<file path=customXml/itemProps2.xml><?xml version="1.0" encoding="utf-8"?>
<ds:datastoreItem xmlns:ds="http://schemas.openxmlformats.org/officeDocument/2006/customXml" ds:itemID="{41C1DB67-EB6F-45DD-A4F2-BD4A2FB2C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79745-92fc-4b4e-a213-f975f2a6d945"/>
    <ds:schemaRef ds:uri="56dd2197-b210-47fb-97e9-4b8d7abdc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51D67-1DF6-46BA-A546-3630BF22C073}">
  <ds:schemaRefs>
    <ds:schemaRef ds:uri="http://schemas.microsoft.com/sharepoint/v3/contenttype/forms"/>
  </ds:schemaRefs>
</ds:datastoreItem>
</file>

<file path=customXml/itemProps4.xml><?xml version="1.0" encoding="utf-8"?>
<ds:datastoreItem xmlns:ds="http://schemas.openxmlformats.org/officeDocument/2006/customXml" ds:itemID="{5E1FE425-D26A-4774-8DBB-474784AC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School balances and DSG outturn 2024-25</vt:lpstr>
    </vt:vector>
  </TitlesOfParts>
  <Company>London Borough of Tower Hamlets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balances and DSG outturn 2024-25</dc:title>
  <dc:creator>David Tully</dc:creator>
  <cp:lastModifiedBy>Phillip Nduoyo</cp:lastModifiedBy>
  <cp:revision>4</cp:revision>
  <cp:lastPrinted>2019-06-12T14:32:00Z</cp:lastPrinted>
  <dcterms:created xsi:type="dcterms:W3CDTF">2025-09-30T13:22:00Z</dcterms:created>
  <dcterms:modified xsi:type="dcterms:W3CDTF">2025-10-03T15:38:00Z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0x010100615ACFA63E171B4796BB76CE18D9E99A</vt:lpwstr>
  </property>
  <property fmtid="{D5CDD505-2E9C-101B-9397-08002B2CF9AE}" pid="3" name="Order">
    <vt:r8>6048200</vt:r8>
  </property>
  <property fmtid="{D5CDD505-2E9C-101B-9397-08002B2CF9AE}" pid="4" name="MediaServiceImageTags">
    <vt:lpwstr/>
  </property>
</Properties>
</file>