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319D4B60" w:rsidR="00AA79F3" w:rsidRPr="007C4F08" w:rsidRDefault="00C12CC1"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982055">
            <w:t>School grants</w:t>
          </w:r>
        </w:sdtContent>
      </w:sdt>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2-03-09T00:00:00Z">
          <w:dateFormat w:val="dd/MM/yyyy"/>
          <w:lid w:val="en-GB"/>
          <w:storeMappedDataAs w:val="dateTime"/>
          <w:calendar w:val="gregorian"/>
        </w:date>
      </w:sdtPr>
      <w:sdtEndPr/>
      <w:sdtContent>
        <w:p w14:paraId="491545AC" w14:textId="6B541BE0" w:rsidR="00CC4CE1" w:rsidRPr="00CC4CE1" w:rsidRDefault="00907DA0" w:rsidP="00101F8B">
          <w:r>
            <w:t>09/03/2022</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09F7BA76" w14:textId="4F31553F" w:rsidR="00C12CC1" w:rsidRDefault="00101F8B">
          <w:pPr>
            <w:pStyle w:val="TOC2"/>
            <w:tabs>
              <w:tab w:val="left" w:pos="880"/>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98168460" w:history="1">
            <w:r w:rsidR="00C12CC1" w:rsidRPr="000A3393">
              <w:rPr>
                <w:rStyle w:val="Hyperlink"/>
                <w:noProof/>
              </w:rPr>
              <w:t>1.</w:t>
            </w:r>
            <w:r w:rsidR="00C12CC1">
              <w:rPr>
                <w:rFonts w:asciiTheme="minorHAnsi" w:hAnsiTheme="minorHAnsi" w:cstheme="minorBidi"/>
                <w:noProof/>
                <w:sz w:val="22"/>
                <w:szCs w:val="22"/>
              </w:rPr>
              <w:tab/>
            </w:r>
            <w:r w:rsidR="00C12CC1" w:rsidRPr="000A3393">
              <w:rPr>
                <w:rStyle w:val="Hyperlink"/>
                <w:noProof/>
              </w:rPr>
              <w:t>Background</w:t>
            </w:r>
            <w:r w:rsidR="00C12CC1">
              <w:rPr>
                <w:noProof/>
                <w:webHidden/>
              </w:rPr>
              <w:tab/>
            </w:r>
            <w:r w:rsidR="00C12CC1">
              <w:rPr>
                <w:noProof/>
                <w:webHidden/>
              </w:rPr>
              <w:fldChar w:fldCharType="begin"/>
            </w:r>
            <w:r w:rsidR="00C12CC1">
              <w:rPr>
                <w:noProof/>
                <w:webHidden/>
              </w:rPr>
              <w:instrText xml:space="preserve"> PAGEREF _Toc98168460 \h </w:instrText>
            </w:r>
            <w:r w:rsidR="00C12CC1">
              <w:rPr>
                <w:noProof/>
                <w:webHidden/>
              </w:rPr>
            </w:r>
            <w:r w:rsidR="00C12CC1">
              <w:rPr>
                <w:noProof/>
                <w:webHidden/>
              </w:rPr>
              <w:fldChar w:fldCharType="separate"/>
            </w:r>
            <w:r w:rsidR="00C12CC1">
              <w:rPr>
                <w:noProof/>
                <w:webHidden/>
              </w:rPr>
              <w:t>3</w:t>
            </w:r>
            <w:r w:rsidR="00C12CC1">
              <w:rPr>
                <w:noProof/>
                <w:webHidden/>
              </w:rPr>
              <w:fldChar w:fldCharType="end"/>
            </w:r>
          </w:hyperlink>
        </w:p>
        <w:p w14:paraId="7FB8E4E7" w14:textId="33A0B2E9" w:rsidR="00C12CC1" w:rsidRDefault="00C12CC1">
          <w:pPr>
            <w:pStyle w:val="TOC2"/>
            <w:tabs>
              <w:tab w:val="left" w:pos="880"/>
              <w:tab w:val="right" w:leader="dot" w:pos="9016"/>
            </w:tabs>
            <w:rPr>
              <w:rFonts w:asciiTheme="minorHAnsi" w:hAnsiTheme="minorHAnsi" w:cstheme="minorBidi"/>
              <w:noProof/>
              <w:sz w:val="22"/>
              <w:szCs w:val="22"/>
            </w:rPr>
          </w:pPr>
          <w:hyperlink w:anchor="_Toc98168461" w:history="1">
            <w:r w:rsidRPr="000A3393">
              <w:rPr>
                <w:rStyle w:val="Hyperlink"/>
                <w:noProof/>
              </w:rPr>
              <w:t>2.</w:t>
            </w:r>
            <w:r>
              <w:rPr>
                <w:rFonts w:asciiTheme="minorHAnsi" w:hAnsiTheme="minorHAnsi" w:cstheme="minorBidi"/>
                <w:noProof/>
                <w:sz w:val="22"/>
                <w:szCs w:val="22"/>
              </w:rPr>
              <w:tab/>
            </w:r>
            <w:r w:rsidRPr="000A3393">
              <w:rPr>
                <w:rStyle w:val="Hyperlink"/>
                <w:noProof/>
              </w:rPr>
              <w:t>Grant payment arrangements</w:t>
            </w:r>
            <w:r>
              <w:rPr>
                <w:noProof/>
                <w:webHidden/>
              </w:rPr>
              <w:tab/>
            </w:r>
            <w:r>
              <w:rPr>
                <w:noProof/>
                <w:webHidden/>
              </w:rPr>
              <w:fldChar w:fldCharType="begin"/>
            </w:r>
            <w:r>
              <w:rPr>
                <w:noProof/>
                <w:webHidden/>
              </w:rPr>
              <w:instrText xml:space="preserve"> PAGEREF _Toc98168461 \h </w:instrText>
            </w:r>
            <w:r>
              <w:rPr>
                <w:noProof/>
                <w:webHidden/>
              </w:rPr>
            </w:r>
            <w:r>
              <w:rPr>
                <w:noProof/>
                <w:webHidden/>
              </w:rPr>
              <w:fldChar w:fldCharType="separate"/>
            </w:r>
            <w:r>
              <w:rPr>
                <w:noProof/>
                <w:webHidden/>
              </w:rPr>
              <w:t>3</w:t>
            </w:r>
            <w:r>
              <w:rPr>
                <w:noProof/>
                <w:webHidden/>
              </w:rPr>
              <w:fldChar w:fldCharType="end"/>
            </w:r>
          </w:hyperlink>
        </w:p>
        <w:p w14:paraId="73328047" w14:textId="17F4954F" w:rsidR="00C12CC1" w:rsidRDefault="00C12CC1">
          <w:pPr>
            <w:pStyle w:val="TOC2"/>
            <w:tabs>
              <w:tab w:val="left" w:pos="880"/>
              <w:tab w:val="right" w:leader="dot" w:pos="9016"/>
            </w:tabs>
            <w:rPr>
              <w:rFonts w:asciiTheme="minorHAnsi" w:hAnsiTheme="minorHAnsi" w:cstheme="minorBidi"/>
              <w:noProof/>
              <w:sz w:val="22"/>
              <w:szCs w:val="22"/>
            </w:rPr>
          </w:pPr>
          <w:hyperlink w:anchor="_Toc98168462" w:history="1">
            <w:r w:rsidRPr="000A3393">
              <w:rPr>
                <w:rStyle w:val="Hyperlink"/>
                <w:noProof/>
              </w:rPr>
              <w:t>3.</w:t>
            </w:r>
            <w:r>
              <w:rPr>
                <w:rFonts w:asciiTheme="minorHAnsi" w:hAnsiTheme="minorHAnsi" w:cstheme="minorBidi"/>
                <w:noProof/>
                <w:sz w:val="22"/>
                <w:szCs w:val="22"/>
              </w:rPr>
              <w:tab/>
            </w:r>
            <w:r w:rsidRPr="000A3393">
              <w:rPr>
                <w:rStyle w:val="Hyperlink"/>
                <w:noProof/>
              </w:rPr>
              <w:t>Revenue recurring grants – paid through the monthly advances</w:t>
            </w:r>
            <w:r>
              <w:rPr>
                <w:noProof/>
                <w:webHidden/>
              </w:rPr>
              <w:tab/>
            </w:r>
            <w:r>
              <w:rPr>
                <w:noProof/>
                <w:webHidden/>
              </w:rPr>
              <w:fldChar w:fldCharType="begin"/>
            </w:r>
            <w:r>
              <w:rPr>
                <w:noProof/>
                <w:webHidden/>
              </w:rPr>
              <w:instrText xml:space="preserve"> PAGEREF _Toc98168462 \h </w:instrText>
            </w:r>
            <w:r>
              <w:rPr>
                <w:noProof/>
                <w:webHidden/>
              </w:rPr>
            </w:r>
            <w:r>
              <w:rPr>
                <w:noProof/>
                <w:webHidden/>
              </w:rPr>
              <w:fldChar w:fldCharType="separate"/>
            </w:r>
            <w:r>
              <w:rPr>
                <w:noProof/>
                <w:webHidden/>
              </w:rPr>
              <w:t>4</w:t>
            </w:r>
            <w:r>
              <w:rPr>
                <w:noProof/>
                <w:webHidden/>
              </w:rPr>
              <w:fldChar w:fldCharType="end"/>
            </w:r>
          </w:hyperlink>
        </w:p>
        <w:p w14:paraId="7370287D" w14:textId="11FDFE73" w:rsidR="00C12CC1" w:rsidRDefault="00C12CC1">
          <w:pPr>
            <w:pStyle w:val="TOC2"/>
            <w:tabs>
              <w:tab w:val="left" w:pos="880"/>
              <w:tab w:val="right" w:leader="dot" w:pos="9016"/>
            </w:tabs>
            <w:rPr>
              <w:rFonts w:asciiTheme="minorHAnsi" w:hAnsiTheme="minorHAnsi" w:cstheme="minorBidi"/>
              <w:noProof/>
              <w:sz w:val="22"/>
              <w:szCs w:val="22"/>
            </w:rPr>
          </w:pPr>
          <w:hyperlink w:anchor="_Toc98168463" w:history="1">
            <w:r w:rsidRPr="000A3393">
              <w:rPr>
                <w:rStyle w:val="Hyperlink"/>
                <w:noProof/>
              </w:rPr>
              <w:t>4.</w:t>
            </w:r>
            <w:r>
              <w:rPr>
                <w:rFonts w:asciiTheme="minorHAnsi" w:hAnsiTheme="minorHAnsi" w:cstheme="minorBidi"/>
                <w:noProof/>
                <w:sz w:val="22"/>
                <w:szCs w:val="22"/>
              </w:rPr>
              <w:tab/>
            </w:r>
            <w:r w:rsidRPr="000A3393">
              <w:rPr>
                <w:rStyle w:val="Hyperlink"/>
                <w:noProof/>
              </w:rPr>
              <w:t>Revenue recurrent grants – paid through quarterly Ad-hoc transfer</w:t>
            </w:r>
            <w:r>
              <w:rPr>
                <w:noProof/>
                <w:webHidden/>
              </w:rPr>
              <w:tab/>
            </w:r>
            <w:r>
              <w:rPr>
                <w:noProof/>
                <w:webHidden/>
              </w:rPr>
              <w:fldChar w:fldCharType="begin"/>
            </w:r>
            <w:r>
              <w:rPr>
                <w:noProof/>
                <w:webHidden/>
              </w:rPr>
              <w:instrText xml:space="preserve"> PAGEREF _Toc98168463 \h </w:instrText>
            </w:r>
            <w:r>
              <w:rPr>
                <w:noProof/>
                <w:webHidden/>
              </w:rPr>
            </w:r>
            <w:r>
              <w:rPr>
                <w:noProof/>
                <w:webHidden/>
              </w:rPr>
              <w:fldChar w:fldCharType="separate"/>
            </w:r>
            <w:r>
              <w:rPr>
                <w:noProof/>
                <w:webHidden/>
              </w:rPr>
              <w:t>5</w:t>
            </w:r>
            <w:r>
              <w:rPr>
                <w:noProof/>
                <w:webHidden/>
              </w:rPr>
              <w:fldChar w:fldCharType="end"/>
            </w:r>
          </w:hyperlink>
        </w:p>
        <w:p w14:paraId="30CE37A0" w14:textId="57180CAC" w:rsidR="00C12CC1" w:rsidRDefault="00C12CC1">
          <w:pPr>
            <w:pStyle w:val="TOC2"/>
            <w:tabs>
              <w:tab w:val="left" w:pos="880"/>
              <w:tab w:val="right" w:leader="dot" w:pos="9016"/>
            </w:tabs>
            <w:rPr>
              <w:rFonts w:asciiTheme="minorHAnsi" w:hAnsiTheme="minorHAnsi" w:cstheme="minorBidi"/>
              <w:noProof/>
              <w:sz w:val="22"/>
              <w:szCs w:val="22"/>
            </w:rPr>
          </w:pPr>
          <w:hyperlink w:anchor="_Toc98168464" w:history="1">
            <w:r w:rsidRPr="000A3393">
              <w:rPr>
                <w:rStyle w:val="Hyperlink"/>
                <w:noProof/>
              </w:rPr>
              <w:t>5.</w:t>
            </w:r>
            <w:r>
              <w:rPr>
                <w:rFonts w:asciiTheme="minorHAnsi" w:hAnsiTheme="minorHAnsi" w:cstheme="minorBidi"/>
                <w:noProof/>
                <w:sz w:val="22"/>
                <w:szCs w:val="22"/>
              </w:rPr>
              <w:tab/>
            </w:r>
            <w:r w:rsidRPr="000A3393">
              <w:rPr>
                <w:rStyle w:val="Hyperlink"/>
                <w:noProof/>
              </w:rPr>
              <w:t>Non-recurring and / or application grants</w:t>
            </w:r>
            <w:r>
              <w:rPr>
                <w:noProof/>
                <w:webHidden/>
              </w:rPr>
              <w:tab/>
            </w:r>
            <w:r>
              <w:rPr>
                <w:noProof/>
                <w:webHidden/>
              </w:rPr>
              <w:fldChar w:fldCharType="begin"/>
            </w:r>
            <w:r>
              <w:rPr>
                <w:noProof/>
                <w:webHidden/>
              </w:rPr>
              <w:instrText xml:space="preserve"> PAGEREF _Toc98168464 \h </w:instrText>
            </w:r>
            <w:r>
              <w:rPr>
                <w:noProof/>
                <w:webHidden/>
              </w:rPr>
            </w:r>
            <w:r>
              <w:rPr>
                <w:noProof/>
                <w:webHidden/>
              </w:rPr>
              <w:fldChar w:fldCharType="separate"/>
            </w:r>
            <w:r>
              <w:rPr>
                <w:noProof/>
                <w:webHidden/>
              </w:rPr>
              <w:t>6</w:t>
            </w:r>
            <w:r>
              <w:rPr>
                <w:noProof/>
                <w:webHidden/>
              </w:rPr>
              <w:fldChar w:fldCharType="end"/>
            </w:r>
          </w:hyperlink>
        </w:p>
        <w:p w14:paraId="7238C479" w14:textId="57C8F9FD" w:rsidR="00C12CC1" w:rsidRDefault="00C12CC1">
          <w:pPr>
            <w:pStyle w:val="TOC2"/>
            <w:tabs>
              <w:tab w:val="left" w:pos="880"/>
              <w:tab w:val="right" w:leader="dot" w:pos="9016"/>
            </w:tabs>
            <w:rPr>
              <w:rFonts w:asciiTheme="minorHAnsi" w:hAnsiTheme="minorHAnsi" w:cstheme="minorBidi"/>
              <w:noProof/>
              <w:sz w:val="22"/>
              <w:szCs w:val="22"/>
            </w:rPr>
          </w:pPr>
          <w:hyperlink w:anchor="_Toc98168465" w:history="1">
            <w:r w:rsidRPr="000A3393">
              <w:rPr>
                <w:rStyle w:val="Hyperlink"/>
                <w:noProof/>
              </w:rPr>
              <w:t>6.</w:t>
            </w:r>
            <w:r>
              <w:rPr>
                <w:rFonts w:asciiTheme="minorHAnsi" w:hAnsiTheme="minorHAnsi" w:cstheme="minorBidi"/>
                <w:noProof/>
                <w:sz w:val="22"/>
                <w:szCs w:val="22"/>
              </w:rPr>
              <w:tab/>
            </w:r>
            <w:r w:rsidRPr="000A3393">
              <w:rPr>
                <w:rStyle w:val="Hyperlink"/>
                <w:noProof/>
              </w:rPr>
              <w:t>New grants for 2022-21</w:t>
            </w:r>
            <w:r>
              <w:rPr>
                <w:noProof/>
                <w:webHidden/>
              </w:rPr>
              <w:tab/>
            </w:r>
            <w:r>
              <w:rPr>
                <w:noProof/>
                <w:webHidden/>
              </w:rPr>
              <w:fldChar w:fldCharType="begin"/>
            </w:r>
            <w:r>
              <w:rPr>
                <w:noProof/>
                <w:webHidden/>
              </w:rPr>
              <w:instrText xml:space="preserve"> PAGEREF _Toc98168465 \h </w:instrText>
            </w:r>
            <w:r>
              <w:rPr>
                <w:noProof/>
                <w:webHidden/>
              </w:rPr>
            </w:r>
            <w:r>
              <w:rPr>
                <w:noProof/>
                <w:webHidden/>
              </w:rPr>
              <w:fldChar w:fldCharType="separate"/>
            </w:r>
            <w:r>
              <w:rPr>
                <w:noProof/>
                <w:webHidden/>
              </w:rPr>
              <w:t>8</w:t>
            </w:r>
            <w:r>
              <w:rPr>
                <w:noProof/>
                <w:webHidden/>
              </w:rPr>
              <w:fldChar w:fldCharType="end"/>
            </w:r>
          </w:hyperlink>
        </w:p>
        <w:p w14:paraId="06D63D83" w14:textId="7BEB591A" w:rsidR="00C12CC1" w:rsidRDefault="00C12CC1">
          <w:pPr>
            <w:pStyle w:val="TOC2"/>
            <w:tabs>
              <w:tab w:val="left" w:pos="880"/>
              <w:tab w:val="right" w:leader="dot" w:pos="9016"/>
            </w:tabs>
            <w:rPr>
              <w:rFonts w:asciiTheme="minorHAnsi" w:hAnsiTheme="minorHAnsi" w:cstheme="minorBidi"/>
              <w:noProof/>
              <w:sz w:val="22"/>
              <w:szCs w:val="22"/>
            </w:rPr>
          </w:pPr>
          <w:hyperlink w:anchor="_Toc98168466" w:history="1">
            <w:r w:rsidRPr="000A3393">
              <w:rPr>
                <w:rStyle w:val="Hyperlink"/>
                <w:noProof/>
              </w:rPr>
              <w:t>7.</w:t>
            </w:r>
            <w:r>
              <w:rPr>
                <w:rFonts w:asciiTheme="minorHAnsi" w:hAnsiTheme="minorHAnsi" w:cstheme="minorBidi"/>
                <w:noProof/>
                <w:sz w:val="22"/>
                <w:szCs w:val="22"/>
              </w:rPr>
              <w:tab/>
            </w:r>
            <w:r w:rsidRPr="000A3393">
              <w:rPr>
                <w:rStyle w:val="Hyperlink"/>
                <w:noProof/>
              </w:rPr>
              <w:t>Impact on academies and free schools</w:t>
            </w:r>
            <w:r>
              <w:rPr>
                <w:noProof/>
                <w:webHidden/>
              </w:rPr>
              <w:tab/>
            </w:r>
            <w:r>
              <w:rPr>
                <w:noProof/>
                <w:webHidden/>
              </w:rPr>
              <w:fldChar w:fldCharType="begin"/>
            </w:r>
            <w:r>
              <w:rPr>
                <w:noProof/>
                <w:webHidden/>
              </w:rPr>
              <w:instrText xml:space="preserve"> PAGEREF _Toc98168466 \h </w:instrText>
            </w:r>
            <w:r>
              <w:rPr>
                <w:noProof/>
                <w:webHidden/>
              </w:rPr>
            </w:r>
            <w:r>
              <w:rPr>
                <w:noProof/>
                <w:webHidden/>
              </w:rPr>
              <w:fldChar w:fldCharType="separate"/>
            </w:r>
            <w:r>
              <w:rPr>
                <w:noProof/>
                <w:webHidden/>
              </w:rPr>
              <w:t>9</w:t>
            </w:r>
            <w:r>
              <w:rPr>
                <w:noProof/>
                <w:webHidden/>
              </w:rPr>
              <w:fldChar w:fldCharType="end"/>
            </w:r>
          </w:hyperlink>
        </w:p>
        <w:p w14:paraId="00772E5A" w14:textId="64027F43" w:rsidR="00101F8B" w:rsidRDefault="00101F8B">
          <w:r>
            <w:rPr>
              <w:b/>
              <w:bCs/>
              <w:noProof/>
            </w:rPr>
            <w:fldChar w:fldCharType="end"/>
          </w:r>
        </w:p>
      </w:sdtContent>
    </w:sdt>
    <w:p w14:paraId="301BBC8B" w14:textId="77777777" w:rsidR="008158A3" w:rsidRDefault="008158A3" w:rsidP="00101F8B"/>
    <w:p w14:paraId="3D6C92A7" w14:textId="77777777" w:rsidR="00907DA0" w:rsidRDefault="00907DA0" w:rsidP="00101F8B"/>
    <w:p w14:paraId="6622DACB" w14:textId="77777777" w:rsidR="00907DA0" w:rsidRDefault="00907DA0" w:rsidP="00101F8B"/>
    <w:p w14:paraId="7D6A8D7B" w14:textId="77777777" w:rsidR="00907DA0" w:rsidRDefault="00907DA0" w:rsidP="00101F8B"/>
    <w:p w14:paraId="76227C09" w14:textId="77777777" w:rsidR="00907DA0" w:rsidRDefault="00907DA0" w:rsidP="00101F8B"/>
    <w:p w14:paraId="4A72ACFB" w14:textId="77777777" w:rsidR="00907DA0" w:rsidRDefault="00907DA0" w:rsidP="00101F8B"/>
    <w:p w14:paraId="5D792C09" w14:textId="23FD60AE" w:rsidR="00907DA0" w:rsidRPr="008158A3" w:rsidRDefault="00907DA0" w:rsidP="00101F8B">
      <w:pPr>
        <w:sectPr w:rsidR="00907DA0" w:rsidRPr="008158A3">
          <w:headerReference w:type="default" r:id="rId13"/>
          <w:footerReference w:type="default" r:id="rId14"/>
          <w:pgSz w:w="11906" w:h="16838"/>
          <w:pgMar w:top="1440" w:right="1440" w:bottom="1440" w:left="1440" w:header="708" w:footer="708" w:gutter="0"/>
          <w:cols w:space="708"/>
          <w:docGrid w:linePitch="360"/>
        </w:sectPr>
      </w:pPr>
    </w:p>
    <w:p w14:paraId="2771C290" w14:textId="6898B15D" w:rsidR="00C07C3C" w:rsidRPr="00C07C3C" w:rsidRDefault="00C07C3C" w:rsidP="00C07C3C">
      <w:r w:rsidRPr="00846287">
        <w:rPr>
          <w:b/>
          <w:bCs/>
          <w:sz w:val="28"/>
          <w:szCs w:val="28"/>
        </w:rPr>
        <w:lastRenderedPageBreak/>
        <w:t>Author of the paper:</w:t>
      </w:r>
      <w:r w:rsidRPr="00846287">
        <w:rPr>
          <w:sz w:val="28"/>
          <w:szCs w:val="28"/>
        </w:rPr>
        <w:t xml:space="preserve"> </w:t>
      </w:r>
      <w:r w:rsidRPr="004838AB">
        <w:t>Sara Walsingham</w:t>
      </w:r>
    </w:p>
    <w:p w14:paraId="40FBE550" w14:textId="11E28D07" w:rsidR="00C07C3C" w:rsidRPr="00C07C3C" w:rsidRDefault="00C07C3C" w:rsidP="00C07C3C">
      <w:r>
        <w:rPr>
          <w:b/>
          <w:bCs/>
        </w:rPr>
        <w:br/>
      </w:r>
      <w:r w:rsidRPr="00DC5006">
        <w:rPr>
          <w:b/>
          <w:bCs/>
        </w:rPr>
        <w:t>Officer to present the paper to Schools Forum:</w:t>
      </w:r>
      <w:r>
        <w:t xml:space="preserve"> Sara Walsingham</w:t>
      </w:r>
      <w:r>
        <w:br/>
      </w:r>
    </w:p>
    <w:p w14:paraId="7A558BA8" w14:textId="6E80FF4C" w:rsidR="00C07C3C" w:rsidRPr="00C07C3C" w:rsidRDefault="00C07C3C" w:rsidP="00C07C3C">
      <w:r w:rsidRPr="00DC5006">
        <w:rPr>
          <w:b/>
          <w:bCs/>
        </w:rPr>
        <w:t>Details of who has been consulted with on this paper to date:</w:t>
      </w:r>
      <w:r>
        <w:t xml:space="preserve"> n/a</w:t>
      </w:r>
    </w:p>
    <w:p w14:paraId="0D62806D" w14:textId="64BCA083" w:rsidR="00C07C3C" w:rsidRPr="002168FD" w:rsidRDefault="00C07C3C" w:rsidP="00C07C3C">
      <w:r w:rsidRPr="00DC5006">
        <w:rPr>
          <w:b/>
          <w:bCs/>
        </w:rPr>
        <w:t>Executive Summary:</w:t>
      </w:r>
      <w:r>
        <w:t xml:space="preserve"> </w:t>
      </w:r>
      <w:r w:rsidRPr="002168FD">
        <w:t xml:space="preserve">Schools Forum review of </w:t>
      </w:r>
      <w:proofErr w:type="gramStart"/>
      <w:r w:rsidRPr="002168FD">
        <w:t>schools</w:t>
      </w:r>
      <w:proofErr w:type="gramEnd"/>
      <w:r w:rsidRPr="002168FD">
        <w:t xml:space="preserve"> grant administration arrangements</w:t>
      </w:r>
      <w:r>
        <w:t>.</w:t>
      </w:r>
    </w:p>
    <w:p w14:paraId="16E58674" w14:textId="77777777" w:rsidR="00C07C3C" w:rsidRPr="00DC5006" w:rsidRDefault="00C07C3C" w:rsidP="00C07C3C">
      <w:pPr>
        <w:rPr>
          <w:b/>
          <w:bCs/>
        </w:rPr>
      </w:pPr>
      <w:r w:rsidRPr="00DC5006">
        <w:rPr>
          <w:b/>
          <w:bCs/>
        </w:rPr>
        <w:t xml:space="preserve">Details of recommendations and timescales for decisions: </w:t>
      </w:r>
    </w:p>
    <w:p w14:paraId="7E63D419" w14:textId="77777777" w:rsidR="00C07C3C" w:rsidRPr="000D1B2F" w:rsidRDefault="00C07C3C" w:rsidP="00C07C3C">
      <w:r w:rsidRPr="000D1B2F">
        <w:t>Schools Forum is asked to agree the grant administration arrangements explained in section 2, and not the grants currently available.</w:t>
      </w:r>
    </w:p>
    <w:p w14:paraId="56CCB99E" w14:textId="77777777" w:rsidR="00C07C3C" w:rsidRPr="002D4064" w:rsidRDefault="00C07C3C" w:rsidP="00C07C3C">
      <w:pPr>
        <w:rPr>
          <w:b/>
          <w:sz w:val="22"/>
          <w:szCs w:val="22"/>
        </w:rPr>
      </w:pPr>
    </w:p>
    <w:p w14:paraId="06F9CA07" w14:textId="77777777" w:rsidR="00C07C3C" w:rsidRPr="002D4064" w:rsidRDefault="00C07C3C" w:rsidP="00C07C3C">
      <w:pPr>
        <w:pStyle w:val="Heading2"/>
        <w:numPr>
          <w:ilvl w:val="0"/>
          <w:numId w:val="21"/>
        </w:numPr>
        <w:ind w:left="284" w:hanging="284"/>
      </w:pPr>
      <w:bookmarkStart w:id="0" w:name="_Toc98168460"/>
      <w:r w:rsidRPr="002D4064">
        <w:t>Background</w:t>
      </w:r>
      <w:bookmarkEnd w:id="0"/>
    </w:p>
    <w:p w14:paraId="37C82A09" w14:textId="77777777" w:rsidR="00C07C3C" w:rsidRPr="002D4064" w:rsidRDefault="00C07C3C" w:rsidP="00C07C3C">
      <w:pPr>
        <w:rPr>
          <w:b/>
          <w:sz w:val="22"/>
          <w:szCs w:val="22"/>
        </w:rPr>
      </w:pPr>
    </w:p>
    <w:p w14:paraId="15017DA7" w14:textId="5219C1AE" w:rsidR="00C07C3C" w:rsidRPr="002D4064" w:rsidRDefault="00C07C3C" w:rsidP="00C07C3C">
      <w:pPr>
        <w:pStyle w:val="ListParagraph"/>
        <w:numPr>
          <w:ilvl w:val="1"/>
          <w:numId w:val="21"/>
        </w:numPr>
        <w:ind w:left="567" w:hanging="573"/>
        <w:rPr>
          <w:rFonts w:cs="Arial"/>
          <w:sz w:val="22"/>
          <w:szCs w:val="22"/>
        </w:rPr>
      </w:pPr>
      <w:r w:rsidRPr="002D4064">
        <w:rPr>
          <w:rFonts w:cs="Arial"/>
          <w:sz w:val="22"/>
          <w:szCs w:val="22"/>
        </w:rPr>
        <w:t xml:space="preserve">The </w:t>
      </w:r>
      <w:r w:rsidR="00EF166B">
        <w:rPr>
          <w:rFonts w:cs="Arial"/>
          <w:sz w:val="22"/>
          <w:szCs w:val="22"/>
        </w:rPr>
        <w:t>c</w:t>
      </w:r>
      <w:r w:rsidRPr="002D4064">
        <w:rPr>
          <w:rFonts w:cs="Arial"/>
          <w:sz w:val="22"/>
          <w:szCs w:val="22"/>
        </w:rPr>
        <w:t xml:space="preserve">ouncil are responsible for pass-porting several grants to schools as issued by </w:t>
      </w:r>
      <w:r>
        <w:rPr>
          <w:rFonts w:cs="Arial"/>
          <w:sz w:val="22"/>
          <w:szCs w:val="22"/>
        </w:rPr>
        <w:t xml:space="preserve">the government under the Department for Education (DfE), via the </w:t>
      </w:r>
      <w:r w:rsidRPr="002D4064">
        <w:rPr>
          <w:rFonts w:cs="Arial"/>
          <w:sz w:val="22"/>
          <w:szCs w:val="22"/>
        </w:rPr>
        <w:t xml:space="preserve">Education Skills Funding Agency (ESFA) and Teacher Reward and Incentives Division. </w:t>
      </w:r>
    </w:p>
    <w:p w14:paraId="753E3619" w14:textId="77777777" w:rsidR="00C07C3C" w:rsidRPr="002D4064" w:rsidRDefault="00C07C3C" w:rsidP="00C07C3C">
      <w:pPr>
        <w:pStyle w:val="ListParagraph"/>
        <w:ind w:left="567"/>
        <w:rPr>
          <w:rFonts w:cs="Arial"/>
          <w:sz w:val="22"/>
          <w:szCs w:val="22"/>
        </w:rPr>
      </w:pPr>
    </w:p>
    <w:p w14:paraId="6EAE5364" w14:textId="77777777" w:rsidR="00C07C3C" w:rsidRDefault="00C07C3C" w:rsidP="00C07C3C">
      <w:pPr>
        <w:pStyle w:val="ListParagraph"/>
        <w:numPr>
          <w:ilvl w:val="1"/>
          <w:numId w:val="21"/>
        </w:numPr>
        <w:ind w:left="567" w:hanging="573"/>
        <w:rPr>
          <w:rFonts w:cs="Arial"/>
          <w:sz w:val="22"/>
          <w:szCs w:val="22"/>
        </w:rPr>
      </w:pPr>
      <w:r w:rsidRPr="002D4064">
        <w:rPr>
          <w:rFonts w:cs="Arial"/>
          <w:sz w:val="22"/>
          <w:szCs w:val="22"/>
        </w:rPr>
        <w:t>The</w:t>
      </w:r>
      <w:r>
        <w:rPr>
          <w:rFonts w:cs="Arial"/>
          <w:sz w:val="22"/>
          <w:szCs w:val="22"/>
        </w:rPr>
        <w:t xml:space="preserve"> </w:t>
      </w:r>
      <w:r w:rsidRPr="002D4064">
        <w:rPr>
          <w:rFonts w:cs="Arial"/>
          <w:sz w:val="22"/>
          <w:szCs w:val="22"/>
        </w:rPr>
        <w:t xml:space="preserve">grants are determined using government criteria largely based on </w:t>
      </w:r>
      <w:r>
        <w:rPr>
          <w:rFonts w:cs="Arial"/>
          <w:sz w:val="22"/>
          <w:szCs w:val="22"/>
        </w:rPr>
        <w:t xml:space="preserve">data provided by </w:t>
      </w:r>
      <w:r w:rsidRPr="002D4064">
        <w:rPr>
          <w:rFonts w:cs="Arial"/>
          <w:sz w:val="22"/>
          <w:szCs w:val="22"/>
        </w:rPr>
        <w:t>schools</w:t>
      </w:r>
      <w:r>
        <w:rPr>
          <w:rFonts w:cs="Arial"/>
          <w:sz w:val="22"/>
          <w:szCs w:val="22"/>
        </w:rPr>
        <w:t>, usually via school census’</w:t>
      </w:r>
      <w:r w:rsidRPr="002D4064">
        <w:rPr>
          <w:rFonts w:cs="Arial"/>
          <w:sz w:val="22"/>
          <w:szCs w:val="22"/>
        </w:rPr>
        <w:t xml:space="preserve">.  These are generally agreed at the beginning of each period (either financial or academic year).  </w:t>
      </w:r>
    </w:p>
    <w:p w14:paraId="30C21C57" w14:textId="77777777" w:rsidR="00C07C3C" w:rsidRPr="00C37597" w:rsidRDefault="00C07C3C" w:rsidP="00C07C3C">
      <w:pPr>
        <w:pStyle w:val="ListParagraph"/>
        <w:rPr>
          <w:rFonts w:cs="Arial"/>
          <w:sz w:val="22"/>
          <w:szCs w:val="22"/>
        </w:rPr>
      </w:pPr>
    </w:p>
    <w:p w14:paraId="21C5F692" w14:textId="77777777" w:rsidR="00C07C3C" w:rsidRPr="004427AF" w:rsidRDefault="00C07C3C" w:rsidP="00C07C3C">
      <w:pPr>
        <w:pStyle w:val="ListParagraph"/>
        <w:numPr>
          <w:ilvl w:val="1"/>
          <w:numId w:val="21"/>
        </w:numPr>
        <w:ind w:left="567" w:hanging="573"/>
        <w:rPr>
          <w:rFonts w:cs="Arial"/>
          <w:sz w:val="22"/>
          <w:szCs w:val="22"/>
        </w:rPr>
      </w:pPr>
      <w:r w:rsidRPr="004427AF">
        <w:rPr>
          <w:rFonts w:cs="Arial"/>
          <w:sz w:val="22"/>
          <w:szCs w:val="22"/>
        </w:rPr>
        <w:t xml:space="preserve">The Chief Finance Officer of the Council is primarily responsible for signing the grant claim and providing assurance that the income has been transferred to schools as per the grant conditions, from this point the responsibility for grant compliance usually sits with the schools.  For selected grants the responsibility for compliance and associated risk of non-compliance falls to individual schools.  </w:t>
      </w:r>
    </w:p>
    <w:p w14:paraId="42910506" w14:textId="77777777" w:rsidR="00C07C3C" w:rsidRPr="002D4064" w:rsidRDefault="00C07C3C" w:rsidP="00C07C3C">
      <w:pPr>
        <w:pStyle w:val="ListParagraph"/>
        <w:rPr>
          <w:rFonts w:cs="Arial"/>
          <w:sz w:val="22"/>
          <w:szCs w:val="22"/>
        </w:rPr>
      </w:pPr>
    </w:p>
    <w:p w14:paraId="507A83AE" w14:textId="77777777" w:rsidR="00C07C3C" w:rsidRPr="004427AF" w:rsidRDefault="00C07C3C" w:rsidP="00C07C3C">
      <w:pPr>
        <w:pStyle w:val="ListParagraph"/>
        <w:numPr>
          <w:ilvl w:val="1"/>
          <w:numId w:val="21"/>
        </w:numPr>
        <w:ind w:left="567" w:hanging="573"/>
        <w:rPr>
          <w:sz w:val="22"/>
          <w:szCs w:val="22"/>
        </w:rPr>
      </w:pPr>
      <w:r w:rsidRPr="004427AF">
        <w:rPr>
          <w:rFonts w:cs="Arial"/>
          <w:sz w:val="22"/>
          <w:szCs w:val="22"/>
        </w:rPr>
        <w:t>The initial teacher training (ITT) grant is administered by the Teacher Reward and Incentives Division of the Department for Education and is allocated according to a direct contract with the schools receiving the grants.  The</w:t>
      </w:r>
      <w:r w:rsidRPr="004427AF">
        <w:rPr>
          <w:sz w:val="22"/>
          <w:szCs w:val="22"/>
        </w:rPr>
        <w:t xml:space="preserve"> local authority transfers grant income to the relevant schools only. </w:t>
      </w:r>
    </w:p>
    <w:p w14:paraId="071A9583" w14:textId="77777777" w:rsidR="00C07C3C" w:rsidRPr="004427AF" w:rsidRDefault="00C07C3C" w:rsidP="00C07C3C">
      <w:pPr>
        <w:rPr>
          <w:sz w:val="22"/>
          <w:szCs w:val="22"/>
        </w:rPr>
      </w:pPr>
    </w:p>
    <w:p w14:paraId="21E67A44" w14:textId="77777777" w:rsidR="00C07C3C" w:rsidRPr="002D4064" w:rsidRDefault="00C07C3C" w:rsidP="00C07C3C">
      <w:pPr>
        <w:pStyle w:val="ListParagraph"/>
        <w:numPr>
          <w:ilvl w:val="1"/>
          <w:numId w:val="21"/>
        </w:numPr>
        <w:ind w:left="567" w:hanging="573"/>
        <w:rPr>
          <w:rFonts w:cs="Arial"/>
          <w:sz w:val="22"/>
          <w:szCs w:val="22"/>
        </w:rPr>
      </w:pPr>
      <w:r w:rsidRPr="002D4064">
        <w:rPr>
          <w:rFonts w:cs="Arial"/>
          <w:sz w:val="22"/>
          <w:szCs w:val="22"/>
        </w:rPr>
        <w:t xml:space="preserve">This paper does not include reference to the Dedicated Schools Grant (DSG) which forms the ‘delegated’ funding available to schools and is subject to other monitoring and control systems.  </w:t>
      </w:r>
    </w:p>
    <w:p w14:paraId="21ED349C" w14:textId="77777777" w:rsidR="00C07C3C" w:rsidRPr="002D4064" w:rsidRDefault="00C07C3C" w:rsidP="00C07C3C">
      <w:pPr>
        <w:pStyle w:val="ListParagraph"/>
        <w:rPr>
          <w:rFonts w:cs="Arial"/>
          <w:sz w:val="22"/>
          <w:szCs w:val="22"/>
        </w:rPr>
      </w:pPr>
    </w:p>
    <w:p w14:paraId="2407F71A" w14:textId="77777777" w:rsidR="00C07C3C" w:rsidRPr="002D4064" w:rsidRDefault="00C07C3C" w:rsidP="00C07C3C">
      <w:pPr>
        <w:pStyle w:val="ListParagraph"/>
        <w:numPr>
          <w:ilvl w:val="1"/>
          <w:numId w:val="21"/>
        </w:numPr>
        <w:ind w:left="567" w:hanging="573"/>
        <w:rPr>
          <w:rFonts w:cs="Arial"/>
          <w:sz w:val="22"/>
          <w:szCs w:val="22"/>
        </w:rPr>
      </w:pPr>
      <w:r w:rsidRPr="002D4064">
        <w:rPr>
          <w:rFonts w:cs="Arial"/>
          <w:sz w:val="22"/>
          <w:szCs w:val="22"/>
        </w:rPr>
        <w:t xml:space="preserve">All grants listed below are ‘devolved’ to schools and have specific funding and reporting requirements, which should be considered when planning expenditure and monitoring income received.  </w:t>
      </w:r>
      <w:r>
        <w:rPr>
          <w:rFonts w:cs="Arial"/>
          <w:sz w:val="22"/>
          <w:szCs w:val="22"/>
        </w:rPr>
        <w:t>At the end of each financial year, schools should ensure accurate reporting of grant income received according to the Consistent Financial Reporting framework (CFR).</w:t>
      </w:r>
    </w:p>
    <w:p w14:paraId="609F5D49" w14:textId="23C012CE" w:rsidR="00C07C3C" w:rsidRPr="002D4064" w:rsidRDefault="00C07C3C" w:rsidP="00C07C3C">
      <w:pPr>
        <w:pStyle w:val="ListParagraph"/>
        <w:ind w:left="567"/>
        <w:rPr>
          <w:rFonts w:cs="Arial"/>
          <w:sz w:val="22"/>
          <w:szCs w:val="22"/>
        </w:rPr>
      </w:pPr>
      <w:r>
        <w:rPr>
          <w:rFonts w:cs="Arial"/>
          <w:sz w:val="22"/>
          <w:szCs w:val="22"/>
        </w:rPr>
        <w:br/>
      </w:r>
      <w:r>
        <w:rPr>
          <w:rFonts w:cs="Arial"/>
          <w:sz w:val="22"/>
          <w:szCs w:val="22"/>
        </w:rPr>
        <w:br/>
      </w:r>
    </w:p>
    <w:p w14:paraId="5CCAA63D" w14:textId="77777777" w:rsidR="00C07C3C" w:rsidRPr="002D4064" w:rsidRDefault="00C07C3C" w:rsidP="00C07C3C">
      <w:pPr>
        <w:rPr>
          <w:bCs/>
          <w:sz w:val="22"/>
          <w:szCs w:val="22"/>
        </w:rPr>
      </w:pPr>
    </w:p>
    <w:p w14:paraId="65586180" w14:textId="77777777" w:rsidR="00C07C3C" w:rsidRPr="002D4064" w:rsidRDefault="00C07C3C" w:rsidP="00C07C3C">
      <w:pPr>
        <w:pStyle w:val="Heading2"/>
        <w:numPr>
          <w:ilvl w:val="0"/>
          <w:numId w:val="21"/>
        </w:numPr>
        <w:ind w:left="284" w:hanging="284"/>
      </w:pPr>
      <w:bookmarkStart w:id="1" w:name="_Toc98168461"/>
      <w:r w:rsidRPr="002D4064">
        <w:t>Grant payment arrangements</w:t>
      </w:r>
      <w:bookmarkEnd w:id="1"/>
    </w:p>
    <w:p w14:paraId="0AA1688F" w14:textId="77777777" w:rsidR="00C07C3C" w:rsidRPr="002D4064" w:rsidRDefault="00C07C3C" w:rsidP="00C07C3C">
      <w:pPr>
        <w:rPr>
          <w:bCs/>
          <w:sz w:val="22"/>
          <w:szCs w:val="22"/>
        </w:rPr>
      </w:pPr>
    </w:p>
    <w:p w14:paraId="6CA45E28" w14:textId="5069D6E7" w:rsidR="00C07C3C" w:rsidRPr="002D4064" w:rsidRDefault="00C07C3C" w:rsidP="00C07C3C">
      <w:pPr>
        <w:ind w:left="-6"/>
        <w:rPr>
          <w:bCs/>
          <w:sz w:val="22"/>
          <w:szCs w:val="22"/>
        </w:rPr>
      </w:pPr>
      <w:r w:rsidRPr="002D4064">
        <w:rPr>
          <w:bCs/>
          <w:sz w:val="22"/>
          <w:szCs w:val="22"/>
        </w:rPr>
        <w:t xml:space="preserve">The local authority will pay the income due to schools for </w:t>
      </w:r>
      <w:r>
        <w:rPr>
          <w:bCs/>
          <w:sz w:val="22"/>
          <w:szCs w:val="22"/>
        </w:rPr>
        <w:t xml:space="preserve">the </w:t>
      </w:r>
      <w:r w:rsidRPr="002D4064">
        <w:rPr>
          <w:bCs/>
          <w:sz w:val="22"/>
          <w:szCs w:val="22"/>
        </w:rPr>
        <w:t>grants in two ways:</w:t>
      </w:r>
    </w:p>
    <w:p w14:paraId="524FCDAC" w14:textId="77777777" w:rsidR="00C07C3C" w:rsidRPr="002D4064" w:rsidRDefault="00C07C3C" w:rsidP="00C07C3C">
      <w:pPr>
        <w:pStyle w:val="ListParagraph"/>
        <w:numPr>
          <w:ilvl w:val="1"/>
          <w:numId w:val="21"/>
        </w:numPr>
        <w:ind w:left="567" w:hanging="573"/>
        <w:rPr>
          <w:rFonts w:cs="Arial"/>
          <w:bCs/>
          <w:sz w:val="22"/>
          <w:szCs w:val="22"/>
        </w:rPr>
      </w:pPr>
      <w:r w:rsidRPr="002D4064">
        <w:rPr>
          <w:rFonts w:cs="Arial"/>
          <w:bCs/>
          <w:sz w:val="22"/>
          <w:szCs w:val="22"/>
        </w:rPr>
        <w:t xml:space="preserve">The </w:t>
      </w:r>
      <w:r>
        <w:rPr>
          <w:rFonts w:cs="Arial"/>
          <w:bCs/>
          <w:sz w:val="22"/>
          <w:szCs w:val="22"/>
        </w:rPr>
        <w:t>s</w:t>
      </w:r>
      <w:r w:rsidRPr="002D4064">
        <w:rPr>
          <w:rFonts w:cs="Arial"/>
          <w:bCs/>
          <w:sz w:val="22"/>
          <w:szCs w:val="22"/>
        </w:rPr>
        <w:t xml:space="preserve">chool sixth form and pupil premium allocations are paid through the monthly advances, due </w:t>
      </w:r>
      <w:r>
        <w:rPr>
          <w:rFonts w:cs="Arial"/>
          <w:bCs/>
          <w:sz w:val="22"/>
          <w:szCs w:val="22"/>
        </w:rPr>
        <w:t xml:space="preserve">to </w:t>
      </w:r>
      <w:r w:rsidRPr="002D4064">
        <w:rPr>
          <w:rFonts w:cs="Arial"/>
          <w:bCs/>
          <w:sz w:val="22"/>
          <w:szCs w:val="22"/>
        </w:rPr>
        <w:t xml:space="preserve">the significant </w:t>
      </w:r>
      <w:r>
        <w:rPr>
          <w:rFonts w:cs="Arial"/>
          <w:bCs/>
          <w:sz w:val="22"/>
          <w:szCs w:val="22"/>
        </w:rPr>
        <w:t xml:space="preserve">values </w:t>
      </w:r>
      <w:r w:rsidRPr="002D4064">
        <w:rPr>
          <w:rFonts w:cs="Arial"/>
          <w:bCs/>
          <w:sz w:val="22"/>
          <w:szCs w:val="22"/>
        </w:rPr>
        <w:t xml:space="preserve">involved.  Before confirmation they are paid as estimates, following confirmation the amount is adjusted, </w:t>
      </w:r>
      <w:r>
        <w:rPr>
          <w:rFonts w:cs="Arial"/>
          <w:bCs/>
          <w:sz w:val="22"/>
          <w:szCs w:val="22"/>
        </w:rPr>
        <w:t>reconciled at the end of the financial year to ensure the grant is fully transferred</w:t>
      </w:r>
      <w:r w:rsidRPr="002D4064">
        <w:rPr>
          <w:rFonts w:cs="Arial"/>
          <w:bCs/>
          <w:sz w:val="22"/>
          <w:szCs w:val="22"/>
        </w:rPr>
        <w:t>.</w:t>
      </w:r>
    </w:p>
    <w:p w14:paraId="5A923306" w14:textId="77777777" w:rsidR="00C07C3C" w:rsidRPr="002D4064" w:rsidRDefault="00C07C3C" w:rsidP="00C07C3C">
      <w:pPr>
        <w:pStyle w:val="ListParagraph"/>
        <w:ind w:left="567"/>
        <w:rPr>
          <w:rFonts w:cs="Arial"/>
          <w:bCs/>
          <w:sz w:val="22"/>
          <w:szCs w:val="22"/>
        </w:rPr>
      </w:pPr>
    </w:p>
    <w:p w14:paraId="35BC4A77" w14:textId="77777777" w:rsidR="00C07C3C" w:rsidRDefault="00C07C3C" w:rsidP="00C07C3C">
      <w:pPr>
        <w:pStyle w:val="ListParagraph"/>
        <w:numPr>
          <w:ilvl w:val="1"/>
          <w:numId w:val="21"/>
        </w:numPr>
        <w:ind w:left="567" w:hanging="573"/>
        <w:rPr>
          <w:rFonts w:cs="Arial"/>
          <w:bCs/>
          <w:sz w:val="22"/>
          <w:szCs w:val="22"/>
        </w:rPr>
      </w:pPr>
      <w:r w:rsidRPr="002D4064">
        <w:rPr>
          <w:rFonts w:cs="Arial"/>
          <w:bCs/>
          <w:sz w:val="22"/>
          <w:szCs w:val="22"/>
        </w:rPr>
        <w:t xml:space="preserve">Remaining ad-hoc grant payments are made in the quarterly schedule following receipt of the income.  </w:t>
      </w:r>
    </w:p>
    <w:p w14:paraId="1381968B" w14:textId="77777777" w:rsidR="00C07C3C" w:rsidRPr="002D4064" w:rsidRDefault="00C07C3C" w:rsidP="00C07C3C">
      <w:pPr>
        <w:pStyle w:val="ListParagraph"/>
        <w:ind w:left="567"/>
        <w:rPr>
          <w:rFonts w:cs="Arial"/>
          <w:bCs/>
          <w:sz w:val="22"/>
          <w:szCs w:val="22"/>
        </w:rPr>
      </w:pPr>
    </w:p>
    <w:tbl>
      <w:tblPr>
        <w:tblStyle w:val="TableGrid"/>
        <w:tblW w:w="7995" w:type="dxa"/>
        <w:tblInd w:w="647" w:type="dxa"/>
        <w:tblLook w:val="04A0" w:firstRow="1" w:lastRow="0" w:firstColumn="1" w:lastColumn="0" w:noHBand="0" w:noVBand="1"/>
      </w:tblPr>
      <w:tblGrid>
        <w:gridCol w:w="1616"/>
        <w:gridCol w:w="3544"/>
        <w:gridCol w:w="2835"/>
      </w:tblGrid>
      <w:tr w:rsidR="00C07C3C" w14:paraId="6D9D2612" w14:textId="77777777" w:rsidTr="006D5B04">
        <w:tc>
          <w:tcPr>
            <w:tcW w:w="1616" w:type="dxa"/>
          </w:tcPr>
          <w:p w14:paraId="6D7907C5" w14:textId="77777777" w:rsidR="00C07C3C" w:rsidRDefault="00C07C3C" w:rsidP="006D5B04">
            <w:pPr>
              <w:rPr>
                <w:bCs/>
                <w:sz w:val="22"/>
                <w:szCs w:val="22"/>
              </w:rPr>
            </w:pPr>
          </w:p>
        </w:tc>
        <w:tc>
          <w:tcPr>
            <w:tcW w:w="3544" w:type="dxa"/>
          </w:tcPr>
          <w:p w14:paraId="572BF006" w14:textId="77777777" w:rsidR="00C07C3C" w:rsidRDefault="00C07C3C" w:rsidP="006D5B04">
            <w:pPr>
              <w:rPr>
                <w:bCs/>
                <w:sz w:val="22"/>
                <w:szCs w:val="22"/>
              </w:rPr>
            </w:pPr>
            <w:r>
              <w:rPr>
                <w:bCs/>
                <w:sz w:val="22"/>
                <w:szCs w:val="22"/>
              </w:rPr>
              <w:t>Income received (LA</w:t>
            </w:r>
          </w:p>
        </w:tc>
        <w:tc>
          <w:tcPr>
            <w:tcW w:w="2835" w:type="dxa"/>
            <w:vAlign w:val="center"/>
          </w:tcPr>
          <w:p w14:paraId="4BA3FFE7" w14:textId="77777777" w:rsidR="00C07C3C" w:rsidRDefault="00C07C3C" w:rsidP="006D5B04">
            <w:pPr>
              <w:jc w:val="center"/>
              <w:rPr>
                <w:bCs/>
                <w:sz w:val="22"/>
                <w:szCs w:val="22"/>
              </w:rPr>
            </w:pPr>
            <w:r>
              <w:rPr>
                <w:bCs/>
                <w:sz w:val="22"/>
                <w:szCs w:val="22"/>
              </w:rPr>
              <w:t>Income transferred to schools</w:t>
            </w:r>
          </w:p>
        </w:tc>
      </w:tr>
      <w:tr w:rsidR="00C07C3C" w14:paraId="13C0A7B1" w14:textId="77777777" w:rsidTr="006D5B04">
        <w:tc>
          <w:tcPr>
            <w:tcW w:w="1616" w:type="dxa"/>
          </w:tcPr>
          <w:p w14:paraId="40CA629F" w14:textId="77777777" w:rsidR="00C07C3C" w:rsidRDefault="00C07C3C" w:rsidP="006D5B04">
            <w:pPr>
              <w:rPr>
                <w:bCs/>
                <w:sz w:val="22"/>
                <w:szCs w:val="22"/>
              </w:rPr>
            </w:pPr>
            <w:r>
              <w:rPr>
                <w:bCs/>
                <w:sz w:val="22"/>
                <w:szCs w:val="22"/>
              </w:rPr>
              <w:t>Quarter 1</w:t>
            </w:r>
          </w:p>
        </w:tc>
        <w:tc>
          <w:tcPr>
            <w:tcW w:w="3544" w:type="dxa"/>
          </w:tcPr>
          <w:p w14:paraId="2F363EC3" w14:textId="77777777" w:rsidR="00C07C3C" w:rsidRDefault="00C07C3C" w:rsidP="006D5B04">
            <w:pPr>
              <w:rPr>
                <w:bCs/>
                <w:sz w:val="22"/>
                <w:szCs w:val="22"/>
              </w:rPr>
            </w:pPr>
            <w:r>
              <w:rPr>
                <w:bCs/>
                <w:sz w:val="22"/>
                <w:szCs w:val="22"/>
              </w:rPr>
              <w:t>April – mid-June</w:t>
            </w:r>
          </w:p>
        </w:tc>
        <w:tc>
          <w:tcPr>
            <w:tcW w:w="2835" w:type="dxa"/>
            <w:vAlign w:val="center"/>
          </w:tcPr>
          <w:p w14:paraId="4F127FE1" w14:textId="77777777" w:rsidR="00C07C3C" w:rsidRDefault="00C07C3C" w:rsidP="006D5B04">
            <w:pPr>
              <w:jc w:val="center"/>
              <w:rPr>
                <w:bCs/>
                <w:sz w:val="22"/>
                <w:szCs w:val="22"/>
              </w:rPr>
            </w:pPr>
            <w:r>
              <w:rPr>
                <w:bCs/>
                <w:sz w:val="22"/>
                <w:szCs w:val="22"/>
              </w:rPr>
              <w:t>End of June</w:t>
            </w:r>
          </w:p>
        </w:tc>
      </w:tr>
      <w:tr w:rsidR="00C07C3C" w14:paraId="11BE9410" w14:textId="77777777" w:rsidTr="006D5B04">
        <w:tc>
          <w:tcPr>
            <w:tcW w:w="1616" w:type="dxa"/>
          </w:tcPr>
          <w:p w14:paraId="60EDF9AE" w14:textId="77777777" w:rsidR="00C07C3C" w:rsidRDefault="00C07C3C" w:rsidP="006D5B04">
            <w:pPr>
              <w:rPr>
                <w:bCs/>
                <w:sz w:val="22"/>
                <w:szCs w:val="22"/>
              </w:rPr>
            </w:pPr>
            <w:r>
              <w:rPr>
                <w:bCs/>
                <w:sz w:val="22"/>
                <w:szCs w:val="22"/>
              </w:rPr>
              <w:t>Quarter 2</w:t>
            </w:r>
          </w:p>
        </w:tc>
        <w:tc>
          <w:tcPr>
            <w:tcW w:w="3544" w:type="dxa"/>
          </w:tcPr>
          <w:p w14:paraId="249073E3" w14:textId="77777777" w:rsidR="00C07C3C" w:rsidRDefault="00C07C3C" w:rsidP="006D5B04">
            <w:pPr>
              <w:rPr>
                <w:bCs/>
                <w:sz w:val="22"/>
                <w:szCs w:val="22"/>
              </w:rPr>
            </w:pPr>
            <w:r>
              <w:rPr>
                <w:bCs/>
                <w:sz w:val="22"/>
                <w:szCs w:val="22"/>
              </w:rPr>
              <w:t>Late June to mid-September</w:t>
            </w:r>
          </w:p>
        </w:tc>
        <w:tc>
          <w:tcPr>
            <w:tcW w:w="2835" w:type="dxa"/>
            <w:vAlign w:val="center"/>
          </w:tcPr>
          <w:p w14:paraId="54BA7F9D" w14:textId="77777777" w:rsidR="00C07C3C" w:rsidRDefault="00C07C3C" w:rsidP="006D5B04">
            <w:pPr>
              <w:jc w:val="center"/>
              <w:rPr>
                <w:bCs/>
                <w:sz w:val="22"/>
                <w:szCs w:val="22"/>
              </w:rPr>
            </w:pPr>
            <w:r>
              <w:rPr>
                <w:bCs/>
                <w:sz w:val="22"/>
                <w:szCs w:val="22"/>
              </w:rPr>
              <w:t>End of September</w:t>
            </w:r>
          </w:p>
        </w:tc>
      </w:tr>
      <w:tr w:rsidR="00C07C3C" w14:paraId="47A2D047" w14:textId="77777777" w:rsidTr="006D5B04">
        <w:tc>
          <w:tcPr>
            <w:tcW w:w="1616" w:type="dxa"/>
          </w:tcPr>
          <w:p w14:paraId="5742DE1D" w14:textId="77777777" w:rsidR="00C07C3C" w:rsidRDefault="00C07C3C" w:rsidP="006D5B04">
            <w:pPr>
              <w:rPr>
                <w:bCs/>
                <w:sz w:val="22"/>
                <w:szCs w:val="22"/>
              </w:rPr>
            </w:pPr>
            <w:r>
              <w:rPr>
                <w:bCs/>
                <w:sz w:val="22"/>
                <w:szCs w:val="22"/>
              </w:rPr>
              <w:t>Quarter 3</w:t>
            </w:r>
          </w:p>
        </w:tc>
        <w:tc>
          <w:tcPr>
            <w:tcW w:w="3544" w:type="dxa"/>
          </w:tcPr>
          <w:p w14:paraId="3B4FD022" w14:textId="77777777" w:rsidR="00C07C3C" w:rsidRDefault="00C07C3C" w:rsidP="006D5B04">
            <w:pPr>
              <w:rPr>
                <w:bCs/>
                <w:sz w:val="22"/>
                <w:szCs w:val="22"/>
              </w:rPr>
            </w:pPr>
            <w:r>
              <w:rPr>
                <w:bCs/>
                <w:sz w:val="22"/>
                <w:szCs w:val="22"/>
              </w:rPr>
              <w:t>Late September to mid-December</w:t>
            </w:r>
          </w:p>
        </w:tc>
        <w:tc>
          <w:tcPr>
            <w:tcW w:w="2835" w:type="dxa"/>
          </w:tcPr>
          <w:p w14:paraId="7FF07AC5" w14:textId="77777777" w:rsidR="00C07C3C" w:rsidRDefault="00C07C3C" w:rsidP="006D5B04">
            <w:pPr>
              <w:jc w:val="center"/>
              <w:rPr>
                <w:bCs/>
                <w:sz w:val="22"/>
                <w:szCs w:val="22"/>
              </w:rPr>
            </w:pPr>
            <w:r w:rsidRPr="00AB3827">
              <w:rPr>
                <w:bCs/>
                <w:sz w:val="22"/>
                <w:szCs w:val="22"/>
              </w:rPr>
              <w:t xml:space="preserve">End of </w:t>
            </w:r>
            <w:r>
              <w:rPr>
                <w:bCs/>
                <w:sz w:val="22"/>
                <w:szCs w:val="22"/>
              </w:rPr>
              <w:t>Dec</w:t>
            </w:r>
            <w:r w:rsidRPr="00AB3827">
              <w:rPr>
                <w:bCs/>
                <w:sz w:val="22"/>
                <w:szCs w:val="22"/>
              </w:rPr>
              <w:t>ember</w:t>
            </w:r>
          </w:p>
        </w:tc>
      </w:tr>
      <w:tr w:rsidR="00C07C3C" w14:paraId="60AEE8D5" w14:textId="77777777" w:rsidTr="006D5B04">
        <w:tc>
          <w:tcPr>
            <w:tcW w:w="1616" w:type="dxa"/>
          </w:tcPr>
          <w:p w14:paraId="4C1CFF3F" w14:textId="77777777" w:rsidR="00C07C3C" w:rsidRDefault="00C07C3C" w:rsidP="006D5B04">
            <w:pPr>
              <w:rPr>
                <w:bCs/>
                <w:sz w:val="22"/>
                <w:szCs w:val="22"/>
              </w:rPr>
            </w:pPr>
            <w:r>
              <w:rPr>
                <w:bCs/>
                <w:sz w:val="22"/>
                <w:szCs w:val="22"/>
              </w:rPr>
              <w:t>Quarter 4</w:t>
            </w:r>
          </w:p>
        </w:tc>
        <w:tc>
          <w:tcPr>
            <w:tcW w:w="3544" w:type="dxa"/>
          </w:tcPr>
          <w:p w14:paraId="0F78EA5B" w14:textId="77777777" w:rsidR="00C07C3C" w:rsidRDefault="00C07C3C" w:rsidP="006D5B04">
            <w:pPr>
              <w:rPr>
                <w:bCs/>
                <w:sz w:val="22"/>
                <w:szCs w:val="22"/>
              </w:rPr>
            </w:pPr>
            <w:r>
              <w:rPr>
                <w:bCs/>
                <w:sz w:val="22"/>
                <w:szCs w:val="22"/>
              </w:rPr>
              <w:t>Late December to March</w:t>
            </w:r>
          </w:p>
        </w:tc>
        <w:tc>
          <w:tcPr>
            <w:tcW w:w="2835" w:type="dxa"/>
          </w:tcPr>
          <w:p w14:paraId="2CC37010" w14:textId="77777777" w:rsidR="00C07C3C" w:rsidRDefault="00C07C3C" w:rsidP="006D5B04">
            <w:pPr>
              <w:jc w:val="center"/>
              <w:rPr>
                <w:bCs/>
                <w:sz w:val="22"/>
                <w:szCs w:val="22"/>
              </w:rPr>
            </w:pPr>
            <w:r w:rsidRPr="00AB3827">
              <w:rPr>
                <w:bCs/>
                <w:sz w:val="22"/>
                <w:szCs w:val="22"/>
              </w:rPr>
              <w:t xml:space="preserve">End of </w:t>
            </w:r>
            <w:r>
              <w:rPr>
                <w:bCs/>
                <w:sz w:val="22"/>
                <w:szCs w:val="22"/>
              </w:rPr>
              <w:t>March</w:t>
            </w:r>
          </w:p>
        </w:tc>
      </w:tr>
    </w:tbl>
    <w:p w14:paraId="3127171C" w14:textId="77777777" w:rsidR="00C07C3C" w:rsidRPr="002D4064" w:rsidRDefault="00C07C3C" w:rsidP="00C07C3C">
      <w:pPr>
        <w:ind w:left="-6" w:firstLine="573"/>
        <w:rPr>
          <w:bCs/>
          <w:sz w:val="22"/>
          <w:szCs w:val="22"/>
        </w:rPr>
      </w:pPr>
    </w:p>
    <w:p w14:paraId="43AE5DF2" w14:textId="77777777" w:rsidR="00C07C3C" w:rsidRPr="002D4064" w:rsidRDefault="00C07C3C" w:rsidP="00C07C3C">
      <w:pPr>
        <w:pStyle w:val="ListParagraph"/>
        <w:numPr>
          <w:ilvl w:val="1"/>
          <w:numId w:val="21"/>
        </w:numPr>
        <w:ind w:left="567" w:hanging="573"/>
        <w:rPr>
          <w:rFonts w:cs="Arial"/>
          <w:bCs/>
          <w:sz w:val="22"/>
          <w:szCs w:val="22"/>
        </w:rPr>
      </w:pPr>
      <w:r w:rsidRPr="002D4064">
        <w:rPr>
          <w:rFonts w:cs="Arial"/>
          <w:bCs/>
          <w:sz w:val="22"/>
          <w:szCs w:val="22"/>
        </w:rPr>
        <w:t>Those grants the local authority anticipate are continuing in 2022-23 are listed below with values to be updated.   To assist schools, the terms and conditions for these grants are available on individual gov.uk web pages specific to each grant. All schools can access this information to assist the management of the grant income.</w:t>
      </w:r>
    </w:p>
    <w:p w14:paraId="1356DF6A" w14:textId="77777777" w:rsidR="00C07C3C" w:rsidRPr="002D4064" w:rsidRDefault="00C07C3C" w:rsidP="00C07C3C">
      <w:pPr>
        <w:pStyle w:val="ListParagraph"/>
        <w:rPr>
          <w:rFonts w:cs="Arial"/>
          <w:bCs/>
          <w:sz w:val="22"/>
          <w:szCs w:val="22"/>
        </w:rPr>
      </w:pPr>
    </w:p>
    <w:p w14:paraId="06C59876" w14:textId="77777777" w:rsidR="00C07C3C" w:rsidRPr="002D4064" w:rsidRDefault="00C07C3C" w:rsidP="00C07C3C">
      <w:pPr>
        <w:pStyle w:val="ListParagraph"/>
        <w:numPr>
          <w:ilvl w:val="1"/>
          <w:numId w:val="21"/>
        </w:numPr>
        <w:ind w:left="567" w:hanging="573"/>
        <w:rPr>
          <w:rFonts w:cs="Arial"/>
          <w:bCs/>
          <w:sz w:val="22"/>
          <w:szCs w:val="22"/>
        </w:rPr>
      </w:pPr>
      <w:r w:rsidRPr="002D4064">
        <w:rPr>
          <w:rFonts w:cs="Arial"/>
          <w:bCs/>
          <w:sz w:val="22"/>
          <w:szCs w:val="22"/>
        </w:rPr>
        <w:t xml:space="preserve">Most </w:t>
      </w:r>
      <w:r>
        <w:rPr>
          <w:rFonts w:cs="Arial"/>
          <w:bCs/>
          <w:sz w:val="22"/>
          <w:szCs w:val="22"/>
        </w:rPr>
        <w:t xml:space="preserve">continuous </w:t>
      </w:r>
      <w:r w:rsidRPr="002D4064">
        <w:rPr>
          <w:rFonts w:cs="Arial"/>
          <w:bCs/>
          <w:sz w:val="22"/>
          <w:szCs w:val="22"/>
        </w:rPr>
        <w:t>grants are allocated on pupil numbers, or pupil</w:t>
      </w:r>
      <w:r>
        <w:rPr>
          <w:rFonts w:cs="Arial"/>
          <w:bCs/>
          <w:sz w:val="22"/>
          <w:szCs w:val="22"/>
        </w:rPr>
        <w:t>-</w:t>
      </w:r>
      <w:r w:rsidRPr="002D4064">
        <w:rPr>
          <w:rFonts w:cs="Arial"/>
          <w:bCs/>
          <w:sz w:val="22"/>
          <w:szCs w:val="22"/>
        </w:rPr>
        <w:t xml:space="preserve">based data.  Provided the pupil numbers remain </w:t>
      </w:r>
      <w:r>
        <w:rPr>
          <w:rFonts w:cs="Arial"/>
          <w:bCs/>
          <w:sz w:val="22"/>
          <w:szCs w:val="22"/>
        </w:rPr>
        <w:t>consistent</w:t>
      </w:r>
      <w:r w:rsidRPr="002D4064">
        <w:rPr>
          <w:rFonts w:cs="Arial"/>
          <w:bCs/>
          <w:sz w:val="22"/>
          <w:szCs w:val="22"/>
        </w:rPr>
        <w:t xml:space="preserve"> to 2021-22, the grant is likely to have similar value in 2022-23.  Should pupil numbers (or the relevant </w:t>
      </w:r>
      <w:r>
        <w:rPr>
          <w:rFonts w:cs="Arial"/>
          <w:bCs/>
          <w:sz w:val="22"/>
          <w:szCs w:val="22"/>
        </w:rPr>
        <w:t>pupil characteristics</w:t>
      </w:r>
      <w:r w:rsidRPr="002D4064">
        <w:rPr>
          <w:rFonts w:cs="Arial"/>
          <w:bCs/>
          <w:sz w:val="22"/>
          <w:szCs w:val="22"/>
        </w:rPr>
        <w:t>) vary significantly, schools should take this into account when estimating expected grant income.</w:t>
      </w:r>
    </w:p>
    <w:p w14:paraId="6576AE1F" w14:textId="77777777" w:rsidR="00C07C3C" w:rsidRPr="002D4064" w:rsidRDefault="00C07C3C" w:rsidP="00C07C3C">
      <w:pPr>
        <w:pStyle w:val="ListParagraph"/>
        <w:rPr>
          <w:rFonts w:cs="Arial"/>
          <w:bCs/>
          <w:sz w:val="22"/>
          <w:szCs w:val="22"/>
        </w:rPr>
      </w:pPr>
    </w:p>
    <w:p w14:paraId="1502D180" w14:textId="77777777" w:rsidR="00C07C3C" w:rsidRPr="002D4064" w:rsidRDefault="00C07C3C" w:rsidP="00C07C3C">
      <w:pPr>
        <w:pStyle w:val="ListParagraph"/>
        <w:ind w:left="0"/>
        <w:rPr>
          <w:rFonts w:cs="Arial"/>
          <w:bCs/>
          <w:sz w:val="22"/>
          <w:szCs w:val="22"/>
        </w:rPr>
      </w:pPr>
      <w:r w:rsidRPr="002D4064">
        <w:rPr>
          <w:rFonts w:cs="Arial"/>
          <w:bCs/>
          <w:sz w:val="22"/>
          <w:szCs w:val="22"/>
        </w:rPr>
        <w:t xml:space="preserve">Individual grants and arrangements to passport is listed below paragraphs 3 and 4 below. An appendix to this report summarises the main grant information for reference  </w:t>
      </w:r>
    </w:p>
    <w:p w14:paraId="282BE71B" w14:textId="77777777" w:rsidR="00C07C3C" w:rsidRPr="002D4064" w:rsidRDefault="00C07C3C" w:rsidP="00C07C3C">
      <w:pPr>
        <w:ind w:left="-6"/>
        <w:rPr>
          <w:bCs/>
          <w:sz w:val="22"/>
          <w:szCs w:val="22"/>
        </w:rPr>
      </w:pPr>
    </w:p>
    <w:p w14:paraId="374DB4DA" w14:textId="77777777" w:rsidR="00C07C3C" w:rsidRPr="002D4064" w:rsidRDefault="00C07C3C" w:rsidP="00C07C3C">
      <w:pPr>
        <w:pStyle w:val="ListParagraph"/>
        <w:keepNext/>
        <w:ind w:left="360"/>
        <w:rPr>
          <w:rFonts w:cs="Arial"/>
          <w:b/>
          <w:sz w:val="22"/>
          <w:szCs w:val="22"/>
          <w:highlight w:val="yellow"/>
        </w:rPr>
      </w:pPr>
    </w:p>
    <w:p w14:paraId="3B1FD1F5" w14:textId="77777777" w:rsidR="00C07C3C" w:rsidRPr="002D4064" w:rsidRDefault="00C07C3C" w:rsidP="00C07C3C">
      <w:pPr>
        <w:pStyle w:val="Heading2"/>
        <w:numPr>
          <w:ilvl w:val="0"/>
          <w:numId w:val="21"/>
        </w:numPr>
        <w:ind w:left="284" w:hanging="284"/>
      </w:pPr>
      <w:bookmarkStart w:id="2" w:name="_Toc98168462"/>
      <w:r w:rsidRPr="002D4064">
        <w:t>Revenue recurring grants – paid through the monthly advances</w:t>
      </w:r>
      <w:bookmarkEnd w:id="2"/>
    </w:p>
    <w:p w14:paraId="4EC677C6" w14:textId="77777777" w:rsidR="00C07C3C" w:rsidRPr="002D4064" w:rsidRDefault="00C07C3C" w:rsidP="00C07C3C">
      <w:pPr>
        <w:pStyle w:val="ListParagraph"/>
        <w:ind w:left="567"/>
        <w:rPr>
          <w:rFonts w:cs="Arial"/>
          <w:b/>
          <w:sz w:val="22"/>
          <w:szCs w:val="22"/>
        </w:rPr>
      </w:pPr>
    </w:p>
    <w:p w14:paraId="2EEDC39E" w14:textId="45981C7E" w:rsidR="00C07C3C" w:rsidRPr="002D4064" w:rsidRDefault="00C07C3C" w:rsidP="00C07C3C">
      <w:pPr>
        <w:pStyle w:val="ListParagraph"/>
        <w:numPr>
          <w:ilvl w:val="1"/>
          <w:numId w:val="21"/>
        </w:numPr>
        <w:ind w:left="567" w:hanging="573"/>
        <w:rPr>
          <w:sz w:val="22"/>
          <w:szCs w:val="22"/>
        </w:rPr>
      </w:pPr>
      <w:hyperlink r:id="rId15" w:history="1">
        <w:r w:rsidRPr="002D4064">
          <w:rPr>
            <w:rStyle w:val="Hyperlink"/>
            <w:rFonts w:cs="Arial"/>
            <w:b/>
            <w:bCs/>
            <w:sz w:val="22"/>
            <w:szCs w:val="22"/>
          </w:rPr>
          <w:t>Pupil Premium</w:t>
        </w:r>
      </w:hyperlink>
      <w:r w:rsidRPr="002D4064">
        <w:rPr>
          <w:rFonts w:cs="Arial"/>
          <w:b/>
          <w:bCs/>
          <w:sz w:val="22"/>
          <w:szCs w:val="22"/>
        </w:rPr>
        <w:t>.</w:t>
      </w:r>
      <w:r w:rsidRPr="002D4064">
        <w:rPr>
          <w:rFonts w:cs="Arial"/>
          <w:bCs/>
          <w:sz w:val="22"/>
          <w:szCs w:val="22"/>
        </w:rPr>
        <w:t xml:space="preserve">  Allocated on a fixed rate on the annual October census, for all </w:t>
      </w:r>
      <w:r>
        <w:rPr>
          <w:rFonts w:cs="Arial"/>
          <w:bCs/>
          <w:sz w:val="22"/>
          <w:szCs w:val="22"/>
        </w:rPr>
        <w:t xml:space="preserve">statutory school age </w:t>
      </w:r>
      <w:r w:rsidRPr="002D4064">
        <w:rPr>
          <w:rFonts w:cs="Arial"/>
          <w:bCs/>
          <w:sz w:val="22"/>
          <w:szCs w:val="22"/>
        </w:rPr>
        <w:t xml:space="preserve">pupils registering as eligible for free school meals or have ever been in the previous </w:t>
      </w:r>
      <w:r w:rsidR="002F7D38">
        <w:rPr>
          <w:rFonts w:cs="Arial"/>
          <w:bCs/>
          <w:sz w:val="22"/>
          <w:szCs w:val="22"/>
        </w:rPr>
        <w:t>six</w:t>
      </w:r>
      <w:r w:rsidRPr="002D4064">
        <w:rPr>
          <w:rFonts w:cs="Arial"/>
          <w:bCs/>
          <w:sz w:val="22"/>
          <w:szCs w:val="22"/>
        </w:rPr>
        <w:t xml:space="preserve"> years in maintained primary, secondary &amp; special schools.  The grant is intended to raise the attainment of disadvantaged pupils of all abilities to reach their potential.  </w:t>
      </w:r>
      <w:r w:rsidRPr="002D4064">
        <w:rPr>
          <w:sz w:val="22"/>
          <w:szCs w:val="22"/>
        </w:rPr>
        <w:t xml:space="preserve">All schools should post on their websites, a report on how this grant is used to make a difference to the pupil cohort targeted.  </w:t>
      </w:r>
      <w:r>
        <w:rPr>
          <w:sz w:val="22"/>
          <w:szCs w:val="22"/>
        </w:rPr>
        <w:t>Schools also receive funding for post-</w:t>
      </w:r>
      <w:r w:rsidRPr="002D4064">
        <w:rPr>
          <w:sz w:val="22"/>
          <w:szCs w:val="22"/>
        </w:rPr>
        <w:t>Looked After Children (LAC)</w:t>
      </w:r>
      <w:r>
        <w:rPr>
          <w:sz w:val="22"/>
          <w:szCs w:val="22"/>
        </w:rPr>
        <w:t xml:space="preserve"> and adopted from care pupils reported in the census.</w:t>
      </w:r>
    </w:p>
    <w:p w14:paraId="72765252" w14:textId="77777777" w:rsidR="00C07C3C" w:rsidRPr="002D4064" w:rsidRDefault="00C07C3C" w:rsidP="00C07C3C">
      <w:pPr>
        <w:ind w:left="561" w:right="176"/>
        <w:rPr>
          <w:sz w:val="22"/>
          <w:szCs w:val="22"/>
        </w:rPr>
      </w:pPr>
    </w:p>
    <w:p w14:paraId="40411065" w14:textId="77C5B68C" w:rsidR="00C07C3C" w:rsidRPr="002D4064" w:rsidRDefault="00C07C3C" w:rsidP="00C07C3C">
      <w:pPr>
        <w:ind w:left="566" w:right="176"/>
        <w:rPr>
          <w:sz w:val="22"/>
          <w:szCs w:val="22"/>
        </w:rPr>
      </w:pPr>
      <w:r w:rsidRPr="002D4064">
        <w:rPr>
          <w:sz w:val="22"/>
          <w:szCs w:val="22"/>
        </w:rPr>
        <w:t xml:space="preserve">In December each year, an adjustment is made to remove double funding of pupils, </w:t>
      </w:r>
      <w:proofErr w:type="gramStart"/>
      <w:r w:rsidRPr="002D4064">
        <w:rPr>
          <w:sz w:val="22"/>
          <w:szCs w:val="22"/>
        </w:rPr>
        <w:t>i.e.</w:t>
      </w:r>
      <w:proofErr w:type="gramEnd"/>
      <w:r w:rsidRPr="002D4064">
        <w:rPr>
          <w:sz w:val="22"/>
          <w:szCs w:val="22"/>
        </w:rPr>
        <w:t xml:space="preserve"> those funded </w:t>
      </w:r>
      <w:r>
        <w:rPr>
          <w:sz w:val="22"/>
          <w:szCs w:val="22"/>
        </w:rPr>
        <w:t xml:space="preserve">from the schools census and individual </w:t>
      </w:r>
      <w:r w:rsidRPr="002D4064">
        <w:rPr>
          <w:sz w:val="22"/>
          <w:szCs w:val="22"/>
        </w:rPr>
        <w:t>LAC pupil</w:t>
      </w:r>
      <w:r>
        <w:rPr>
          <w:sz w:val="22"/>
          <w:szCs w:val="22"/>
        </w:rPr>
        <w:t>s</w:t>
      </w:r>
      <w:r w:rsidRPr="002D4064">
        <w:rPr>
          <w:sz w:val="22"/>
          <w:szCs w:val="22"/>
        </w:rPr>
        <w:t xml:space="preserve"> </w:t>
      </w:r>
      <w:r>
        <w:rPr>
          <w:sz w:val="22"/>
          <w:szCs w:val="22"/>
        </w:rPr>
        <w:t>funded by the local authority</w:t>
      </w:r>
      <w:r w:rsidRPr="002D4064">
        <w:rPr>
          <w:sz w:val="22"/>
          <w:szCs w:val="22"/>
        </w:rPr>
        <w:t>.</w:t>
      </w:r>
      <w:r w:rsidR="00D05DCF">
        <w:rPr>
          <w:sz w:val="22"/>
          <w:szCs w:val="22"/>
        </w:rPr>
        <w:t xml:space="preserve"> </w:t>
      </w:r>
      <w:r w:rsidRPr="002D4064">
        <w:rPr>
          <w:sz w:val="22"/>
          <w:szCs w:val="22"/>
        </w:rPr>
        <w:t>This is the only element of the grant that can lead to an in-year change in allocation.</w:t>
      </w:r>
      <w:r w:rsidR="00EF166B">
        <w:rPr>
          <w:sz w:val="22"/>
          <w:szCs w:val="22"/>
        </w:rPr>
        <w:t xml:space="preserve"> </w:t>
      </w:r>
      <w:r w:rsidRPr="002D4064">
        <w:rPr>
          <w:sz w:val="22"/>
          <w:szCs w:val="22"/>
        </w:rPr>
        <w:t xml:space="preserve">The pupil premium </w:t>
      </w:r>
      <w:r>
        <w:rPr>
          <w:sz w:val="22"/>
          <w:szCs w:val="22"/>
        </w:rPr>
        <w:t xml:space="preserve">individual </w:t>
      </w:r>
      <w:r w:rsidRPr="002D4064">
        <w:rPr>
          <w:sz w:val="22"/>
          <w:szCs w:val="22"/>
        </w:rPr>
        <w:t>LAC pupil</w:t>
      </w:r>
      <w:r>
        <w:rPr>
          <w:sz w:val="22"/>
          <w:szCs w:val="22"/>
        </w:rPr>
        <w:t xml:space="preserve">s remain with the responsible local authority and </w:t>
      </w:r>
      <w:r w:rsidRPr="002D4064">
        <w:rPr>
          <w:sz w:val="22"/>
          <w:szCs w:val="22"/>
        </w:rPr>
        <w:t xml:space="preserve">is paid to relevant schools subject to the conditions imposed by the individual authority responsible for the pupil.  </w:t>
      </w:r>
    </w:p>
    <w:p w14:paraId="1B1ECF3B" w14:textId="77777777" w:rsidR="00C07C3C" w:rsidRPr="002D4064" w:rsidRDefault="00C07C3C" w:rsidP="00C07C3C">
      <w:pPr>
        <w:ind w:left="561" w:right="176"/>
        <w:rPr>
          <w:sz w:val="22"/>
          <w:szCs w:val="22"/>
        </w:rPr>
      </w:pPr>
    </w:p>
    <w:p w14:paraId="0800CA6D" w14:textId="77777777" w:rsidR="00C07C3C" w:rsidRPr="002D4064" w:rsidRDefault="00C07C3C" w:rsidP="00C07C3C">
      <w:pPr>
        <w:ind w:left="566" w:right="176"/>
        <w:rPr>
          <w:sz w:val="22"/>
          <w:szCs w:val="22"/>
        </w:rPr>
      </w:pPr>
      <w:r>
        <w:rPr>
          <w:sz w:val="22"/>
          <w:szCs w:val="22"/>
        </w:rPr>
        <w:lastRenderedPageBreak/>
        <w:t>F</w:t>
      </w:r>
      <w:r w:rsidRPr="002D4064">
        <w:rPr>
          <w:sz w:val="22"/>
          <w:szCs w:val="22"/>
        </w:rPr>
        <w:t>or 2022-23</w:t>
      </w:r>
      <w:r>
        <w:rPr>
          <w:sz w:val="22"/>
          <w:szCs w:val="22"/>
        </w:rPr>
        <w:t xml:space="preserve"> t</w:t>
      </w:r>
      <w:r w:rsidRPr="002D4064">
        <w:rPr>
          <w:sz w:val="22"/>
          <w:szCs w:val="22"/>
        </w:rPr>
        <w:t xml:space="preserve">he local authority is not building in an estimated reduction in grant, as the difference in the number of pupils that are eligible and claiming FSM each year does not appear to have reduced since last year.  If a pupil was eligible in any phase in October 2018, they will retain the eligibility until they leave that phase of education, thereby protecting numbers. </w:t>
      </w:r>
    </w:p>
    <w:p w14:paraId="21626FB9" w14:textId="77777777" w:rsidR="00C07C3C" w:rsidRPr="002D4064" w:rsidRDefault="00C07C3C" w:rsidP="00C07C3C">
      <w:pPr>
        <w:ind w:left="566" w:right="176"/>
        <w:rPr>
          <w:sz w:val="22"/>
          <w:szCs w:val="22"/>
        </w:rPr>
      </w:pPr>
      <w:r w:rsidRPr="002D4064">
        <w:rPr>
          <w:sz w:val="22"/>
          <w:szCs w:val="22"/>
        </w:rPr>
        <w:t xml:space="preserve"> </w:t>
      </w:r>
    </w:p>
    <w:tbl>
      <w:tblPr>
        <w:tblStyle w:val="TableGrid"/>
        <w:tblW w:w="0" w:type="auto"/>
        <w:tblInd w:w="1129" w:type="dxa"/>
        <w:tblLook w:val="04A0" w:firstRow="1" w:lastRow="0" w:firstColumn="1" w:lastColumn="0" w:noHBand="0" w:noVBand="1"/>
      </w:tblPr>
      <w:tblGrid>
        <w:gridCol w:w="5103"/>
        <w:gridCol w:w="1694"/>
      </w:tblGrid>
      <w:tr w:rsidR="00C07C3C" w:rsidRPr="002D4064" w14:paraId="51E4978B" w14:textId="77777777" w:rsidTr="006D5B04">
        <w:tc>
          <w:tcPr>
            <w:tcW w:w="5103" w:type="dxa"/>
          </w:tcPr>
          <w:p w14:paraId="5864C18E" w14:textId="77777777" w:rsidR="00C07C3C" w:rsidRPr="002D4064" w:rsidRDefault="00C07C3C" w:rsidP="006D5B04">
            <w:pPr>
              <w:rPr>
                <w:sz w:val="22"/>
                <w:szCs w:val="22"/>
              </w:rPr>
            </w:pPr>
            <w:r w:rsidRPr="002D4064">
              <w:rPr>
                <w:sz w:val="22"/>
                <w:szCs w:val="22"/>
              </w:rPr>
              <w:t>Funding per pupil per phase/characteristics</w:t>
            </w:r>
          </w:p>
        </w:tc>
        <w:tc>
          <w:tcPr>
            <w:tcW w:w="1694" w:type="dxa"/>
            <w:vAlign w:val="center"/>
          </w:tcPr>
          <w:p w14:paraId="2C624B04" w14:textId="77777777" w:rsidR="00C07C3C" w:rsidRPr="002D4064" w:rsidRDefault="00C07C3C" w:rsidP="006D5B04">
            <w:pPr>
              <w:jc w:val="center"/>
              <w:rPr>
                <w:sz w:val="22"/>
                <w:szCs w:val="22"/>
              </w:rPr>
            </w:pPr>
            <w:r w:rsidRPr="002D4064">
              <w:rPr>
                <w:sz w:val="22"/>
                <w:szCs w:val="22"/>
              </w:rPr>
              <w:t>£</w:t>
            </w:r>
          </w:p>
        </w:tc>
      </w:tr>
      <w:tr w:rsidR="00C07C3C" w:rsidRPr="002D4064" w14:paraId="795476AD" w14:textId="77777777" w:rsidTr="006D5B04">
        <w:tc>
          <w:tcPr>
            <w:tcW w:w="5103" w:type="dxa"/>
          </w:tcPr>
          <w:p w14:paraId="49968716" w14:textId="77777777" w:rsidR="00C07C3C" w:rsidRPr="002D4064" w:rsidRDefault="00C07C3C" w:rsidP="006D5B04">
            <w:pPr>
              <w:rPr>
                <w:sz w:val="22"/>
                <w:szCs w:val="22"/>
              </w:rPr>
            </w:pPr>
            <w:r w:rsidRPr="002D4064">
              <w:rPr>
                <w:sz w:val="22"/>
                <w:szCs w:val="22"/>
              </w:rPr>
              <w:t>primary phase</w:t>
            </w:r>
          </w:p>
        </w:tc>
        <w:tc>
          <w:tcPr>
            <w:tcW w:w="1694" w:type="dxa"/>
            <w:vAlign w:val="center"/>
          </w:tcPr>
          <w:p w14:paraId="2EC93DCC" w14:textId="77777777" w:rsidR="00C07C3C" w:rsidRPr="002D4064" w:rsidRDefault="00C07C3C" w:rsidP="006D5B04">
            <w:pPr>
              <w:jc w:val="center"/>
              <w:rPr>
                <w:sz w:val="22"/>
                <w:szCs w:val="22"/>
              </w:rPr>
            </w:pPr>
            <w:r w:rsidRPr="002D4064">
              <w:rPr>
                <w:sz w:val="22"/>
                <w:szCs w:val="22"/>
              </w:rPr>
              <w:t>£1,345</w:t>
            </w:r>
          </w:p>
        </w:tc>
      </w:tr>
      <w:tr w:rsidR="00C07C3C" w:rsidRPr="002D4064" w14:paraId="3D122A2C" w14:textId="77777777" w:rsidTr="006D5B04">
        <w:tc>
          <w:tcPr>
            <w:tcW w:w="5103" w:type="dxa"/>
          </w:tcPr>
          <w:p w14:paraId="3859B433" w14:textId="77777777" w:rsidR="00C07C3C" w:rsidRPr="002D4064" w:rsidRDefault="00C07C3C" w:rsidP="006D5B04">
            <w:pPr>
              <w:rPr>
                <w:sz w:val="22"/>
                <w:szCs w:val="22"/>
              </w:rPr>
            </w:pPr>
            <w:r w:rsidRPr="002D4064">
              <w:rPr>
                <w:sz w:val="22"/>
                <w:szCs w:val="22"/>
              </w:rPr>
              <w:t>secondary phase</w:t>
            </w:r>
          </w:p>
        </w:tc>
        <w:tc>
          <w:tcPr>
            <w:tcW w:w="1694" w:type="dxa"/>
            <w:vAlign w:val="center"/>
          </w:tcPr>
          <w:p w14:paraId="6462CAFD" w14:textId="77777777" w:rsidR="00C07C3C" w:rsidRPr="002D4064" w:rsidRDefault="00C07C3C" w:rsidP="006D5B04">
            <w:pPr>
              <w:jc w:val="center"/>
              <w:rPr>
                <w:sz w:val="22"/>
                <w:szCs w:val="22"/>
              </w:rPr>
            </w:pPr>
            <w:r w:rsidRPr="002D4064">
              <w:rPr>
                <w:sz w:val="22"/>
                <w:szCs w:val="22"/>
              </w:rPr>
              <w:t>£955</w:t>
            </w:r>
          </w:p>
        </w:tc>
      </w:tr>
      <w:tr w:rsidR="00C07C3C" w:rsidRPr="002D4064" w14:paraId="68670337" w14:textId="77777777" w:rsidTr="006D5B04">
        <w:tc>
          <w:tcPr>
            <w:tcW w:w="5103" w:type="dxa"/>
          </w:tcPr>
          <w:p w14:paraId="7CE8A0CA" w14:textId="77777777" w:rsidR="00C07C3C" w:rsidRPr="002D4064" w:rsidRDefault="00C07C3C" w:rsidP="006D5B04">
            <w:pPr>
              <w:rPr>
                <w:sz w:val="22"/>
                <w:szCs w:val="22"/>
              </w:rPr>
            </w:pPr>
            <w:r w:rsidRPr="002D4064">
              <w:rPr>
                <w:sz w:val="22"/>
                <w:szCs w:val="22"/>
              </w:rPr>
              <w:t>Looked After Child, post adoption, special guardianship order or a child arrangement order</w:t>
            </w:r>
          </w:p>
        </w:tc>
        <w:tc>
          <w:tcPr>
            <w:tcW w:w="1694" w:type="dxa"/>
            <w:vAlign w:val="center"/>
          </w:tcPr>
          <w:p w14:paraId="036D582D" w14:textId="77777777" w:rsidR="00C07C3C" w:rsidRPr="002D4064" w:rsidRDefault="00C07C3C" w:rsidP="006D5B04">
            <w:pPr>
              <w:jc w:val="center"/>
              <w:rPr>
                <w:sz w:val="22"/>
                <w:szCs w:val="22"/>
              </w:rPr>
            </w:pPr>
            <w:r w:rsidRPr="002D4064">
              <w:rPr>
                <w:sz w:val="22"/>
                <w:szCs w:val="22"/>
              </w:rPr>
              <w:t>£2,345</w:t>
            </w:r>
          </w:p>
          <w:p w14:paraId="14DC7451" w14:textId="77777777" w:rsidR="00C07C3C" w:rsidRPr="002D4064" w:rsidRDefault="00C07C3C" w:rsidP="006D5B04">
            <w:pPr>
              <w:jc w:val="center"/>
              <w:rPr>
                <w:sz w:val="22"/>
                <w:szCs w:val="22"/>
              </w:rPr>
            </w:pPr>
          </w:p>
        </w:tc>
      </w:tr>
      <w:tr w:rsidR="00C07C3C" w:rsidRPr="002D4064" w14:paraId="62B0609E" w14:textId="77777777" w:rsidTr="006D5B04">
        <w:tc>
          <w:tcPr>
            <w:tcW w:w="5103" w:type="dxa"/>
          </w:tcPr>
          <w:p w14:paraId="52F3533C" w14:textId="77777777" w:rsidR="00C07C3C" w:rsidRPr="002D4064" w:rsidRDefault="00C07C3C" w:rsidP="006D5B04">
            <w:pPr>
              <w:rPr>
                <w:sz w:val="22"/>
                <w:szCs w:val="22"/>
              </w:rPr>
            </w:pPr>
            <w:r w:rsidRPr="002D4064">
              <w:rPr>
                <w:sz w:val="22"/>
                <w:szCs w:val="22"/>
              </w:rPr>
              <w:t xml:space="preserve">Ever 6 service </w:t>
            </w:r>
            <w:proofErr w:type="gramStart"/>
            <w:r w:rsidRPr="002D4064">
              <w:rPr>
                <w:sz w:val="22"/>
                <w:szCs w:val="22"/>
              </w:rPr>
              <w:t>child</w:t>
            </w:r>
            <w:proofErr w:type="gramEnd"/>
          </w:p>
        </w:tc>
        <w:tc>
          <w:tcPr>
            <w:tcW w:w="1694" w:type="dxa"/>
            <w:vAlign w:val="center"/>
          </w:tcPr>
          <w:p w14:paraId="5BCD011B" w14:textId="77777777" w:rsidR="00C07C3C" w:rsidRPr="002D4064" w:rsidRDefault="00C07C3C" w:rsidP="006D5B04">
            <w:pPr>
              <w:jc w:val="center"/>
              <w:rPr>
                <w:sz w:val="22"/>
                <w:szCs w:val="22"/>
              </w:rPr>
            </w:pPr>
            <w:r w:rsidRPr="002D4064">
              <w:rPr>
                <w:sz w:val="22"/>
                <w:szCs w:val="22"/>
              </w:rPr>
              <w:t>£310</w:t>
            </w:r>
          </w:p>
        </w:tc>
      </w:tr>
    </w:tbl>
    <w:p w14:paraId="23777840" w14:textId="77777777" w:rsidR="00C07C3C" w:rsidRPr="002D4064" w:rsidRDefault="00C07C3C" w:rsidP="00C07C3C">
      <w:pPr>
        <w:shd w:val="clear" w:color="auto" w:fill="FFFFFF"/>
        <w:spacing w:after="75"/>
        <w:ind w:left="567"/>
        <w:rPr>
          <w:color w:val="0B0C0C"/>
          <w:sz w:val="22"/>
          <w:szCs w:val="22"/>
        </w:rPr>
      </w:pPr>
    </w:p>
    <w:p w14:paraId="394CE37A" w14:textId="1992D17C" w:rsidR="00C07C3C" w:rsidRPr="002D4064" w:rsidRDefault="00C07C3C" w:rsidP="00C07C3C">
      <w:pPr>
        <w:pStyle w:val="ListParagraph"/>
        <w:numPr>
          <w:ilvl w:val="1"/>
          <w:numId w:val="21"/>
        </w:numPr>
        <w:ind w:left="567" w:hanging="567"/>
        <w:rPr>
          <w:sz w:val="22"/>
          <w:szCs w:val="22"/>
        </w:rPr>
      </w:pPr>
      <w:r w:rsidRPr="002D4064">
        <w:rPr>
          <w:rFonts w:cs="Arial"/>
          <w:bCs/>
          <w:sz w:val="22"/>
          <w:szCs w:val="22"/>
        </w:rPr>
        <w:t>The</w:t>
      </w:r>
      <w:r w:rsidRPr="002D4064">
        <w:rPr>
          <w:rFonts w:cs="Arial"/>
          <w:b/>
          <w:sz w:val="22"/>
          <w:szCs w:val="22"/>
        </w:rPr>
        <w:t xml:space="preserve"> </w:t>
      </w:r>
      <w:hyperlink r:id="rId16" w:history="1">
        <w:r w:rsidRPr="002D4064">
          <w:rPr>
            <w:rStyle w:val="Hyperlink"/>
            <w:b/>
            <w:bCs/>
            <w:sz w:val="22"/>
            <w:szCs w:val="22"/>
          </w:rPr>
          <w:t>School Sixth form funding</w:t>
        </w:r>
      </w:hyperlink>
      <w:r w:rsidRPr="002D4064">
        <w:rPr>
          <w:rFonts w:cs="Arial"/>
          <w:b/>
          <w:sz w:val="22"/>
          <w:szCs w:val="22"/>
        </w:rPr>
        <w:t xml:space="preserve"> </w:t>
      </w:r>
      <w:r w:rsidRPr="002D4064">
        <w:rPr>
          <w:sz w:val="22"/>
          <w:szCs w:val="22"/>
        </w:rPr>
        <w:t xml:space="preserve">allocations are made on basis of a national formula to derive the basic funding for institutions using national funding rates, which depend on the size of their students’ study programmes and as available in school sixth forms.  The formula </w:t>
      </w:r>
      <w:r w:rsidRPr="002D4064">
        <w:rPr>
          <w:rFonts w:cs="Arial"/>
          <w:bCs/>
          <w:sz w:val="22"/>
          <w:szCs w:val="22"/>
        </w:rPr>
        <w:t>includes weighting for student support, and premiums for high value and advanced maths courses.</w:t>
      </w:r>
      <w:r w:rsidR="002F7D38">
        <w:rPr>
          <w:rFonts w:cs="Arial"/>
          <w:bCs/>
          <w:sz w:val="22"/>
          <w:szCs w:val="22"/>
        </w:rPr>
        <w:br/>
      </w:r>
      <w:r w:rsidR="002F7D38">
        <w:rPr>
          <w:rFonts w:cs="Arial"/>
          <w:bCs/>
          <w:sz w:val="22"/>
          <w:szCs w:val="22"/>
        </w:rPr>
        <w:br/>
      </w:r>
      <w:r w:rsidRPr="002D4064">
        <w:rPr>
          <w:sz w:val="22"/>
          <w:szCs w:val="22"/>
        </w:rPr>
        <w:t xml:space="preserve">The grant is set up for payment in advance at the beginning of each financial year and is paid through monthly advances. </w:t>
      </w:r>
      <w:r w:rsidR="002F7D38">
        <w:rPr>
          <w:sz w:val="22"/>
          <w:szCs w:val="22"/>
        </w:rPr>
        <w:t>Reconciliation</w:t>
      </w:r>
      <w:r w:rsidRPr="002D4064">
        <w:rPr>
          <w:sz w:val="22"/>
          <w:szCs w:val="22"/>
        </w:rPr>
        <w:t xml:space="preserve"> takes place at the end of both the financial year and academic year to make sure schools have received the correct funding per period.   </w:t>
      </w:r>
    </w:p>
    <w:p w14:paraId="55BF89F3" w14:textId="77777777" w:rsidR="00C07C3C" w:rsidRPr="002D4064" w:rsidRDefault="00C07C3C" w:rsidP="00C07C3C">
      <w:pPr>
        <w:pStyle w:val="ListParagraph"/>
        <w:rPr>
          <w:sz w:val="22"/>
          <w:szCs w:val="22"/>
        </w:rPr>
      </w:pPr>
    </w:p>
    <w:p w14:paraId="301C05D2" w14:textId="77777777" w:rsidR="00C07C3C" w:rsidRPr="002D4064" w:rsidRDefault="00C07C3C" w:rsidP="00C07C3C">
      <w:pPr>
        <w:pStyle w:val="ListParagraph"/>
        <w:ind w:left="567"/>
        <w:rPr>
          <w:sz w:val="22"/>
          <w:szCs w:val="22"/>
        </w:rPr>
      </w:pPr>
      <w:r w:rsidRPr="002D4064">
        <w:rPr>
          <w:sz w:val="22"/>
          <w:szCs w:val="22"/>
        </w:rPr>
        <w:t xml:space="preserve"> </w:t>
      </w:r>
    </w:p>
    <w:p w14:paraId="3E181B43" w14:textId="77777777" w:rsidR="00C07C3C" w:rsidRPr="002D4064" w:rsidRDefault="00C07C3C" w:rsidP="00C07C3C">
      <w:pPr>
        <w:pStyle w:val="Heading2"/>
        <w:numPr>
          <w:ilvl w:val="0"/>
          <w:numId w:val="21"/>
        </w:numPr>
        <w:ind w:left="426" w:hanging="426"/>
      </w:pPr>
      <w:bookmarkStart w:id="3" w:name="_Toc98168463"/>
      <w:r w:rsidRPr="002D4064">
        <w:t>Revenue recurrent grants – paid through quarterly Ad-hoc transfer</w:t>
      </w:r>
      <w:bookmarkEnd w:id="3"/>
    </w:p>
    <w:p w14:paraId="3DDAA83D" w14:textId="77777777" w:rsidR="00C07C3C" w:rsidRPr="002D4064" w:rsidRDefault="00C07C3C" w:rsidP="00C07C3C">
      <w:pPr>
        <w:spacing w:line="259" w:lineRule="auto"/>
        <w:rPr>
          <w:sz w:val="22"/>
          <w:szCs w:val="22"/>
        </w:rPr>
      </w:pPr>
    </w:p>
    <w:p w14:paraId="08751045" w14:textId="6BD00F07" w:rsidR="00C07C3C" w:rsidRPr="002D4064" w:rsidRDefault="00C07C3C" w:rsidP="00C07C3C">
      <w:pPr>
        <w:pStyle w:val="ListParagraph"/>
        <w:numPr>
          <w:ilvl w:val="1"/>
          <w:numId w:val="21"/>
        </w:numPr>
        <w:spacing w:line="259" w:lineRule="auto"/>
        <w:ind w:left="567" w:hanging="567"/>
        <w:rPr>
          <w:rFonts w:ascii="Times New Roman" w:hAnsi="Times New Roman"/>
          <w:sz w:val="22"/>
          <w:szCs w:val="22"/>
        </w:rPr>
      </w:pPr>
      <w:r w:rsidRPr="002D4064">
        <w:rPr>
          <w:sz w:val="22"/>
          <w:szCs w:val="22"/>
        </w:rPr>
        <w:t xml:space="preserve">The </w:t>
      </w:r>
      <w:r w:rsidRPr="002D4064">
        <w:rPr>
          <w:b/>
          <w:bCs/>
          <w:sz w:val="22"/>
          <w:szCs w:val="22"/>
        </w:rPr>
        <w:t>Teachers Pay Grant</w:t>
      </w:r>
      <w:r w:rsidRPr="002D4064">
        <w:rPr>
          <w:sz w:val="22"/>
          <w:szCs w:val="22"/>
        </w:rPr>
        <w:t xml:space="preserve"> and </w:t>
      </w:r>
      <w:r w:rsidRPr="002D4064">
        <w:rPr>
          <w:b/>
          <w:bCs/>
          <w:sz w:val="22"/>
          <w:szCs w:val="22"/>
        </w:rPr>
        <w:t>Teachers Pension Employer Contribution grant</w:t>
      </w:r>
      <w:r w:rsidRPr="002D4064">
        <w:rPr>
          <w:sz w:val="22"/>
          <w:szCs w:val="22"/>
        </w:rPr>
        <w:t xml:space="preserve"> (TPECG) for statutory aged pupils was transferred to the core National Funding Formula in 2020-21.</w:t>
      </w:r>
      <w:r w:rsidR="002F7D38">
        <w:rPr>
          <w:rFonts w:ascii="Times New Roman" w:hAnsi="Times New Roman"/>
          <w:sz w:val="22"/>
          <w:szCs w:val="22"/>
        </w:rPr>
        <w:t xml:space="preserve"> </w:t>
      </w:r>
      <w:r w:rsidRPr="002D4064">
        <w:rPr>
          <w:sz w:val="22"/>
          <w:szCs w:val="22"/>
        </w:rPr>
        <w:t>The grants support the teachers’ pay awards that came into effect in September 2018 and September 2019, and additional cost burden for teachers delivering to non-statutory age groups remain allocated as a grant.</w:t>
      </w:r>
      <w:r w:rsidR="002F7D38">
        <w:rPr>
          <w:sz w:val="22"/>
          <w:szCs w:val="22"/>
        </w:rPr>
        <w:t xml:space="preserve"> </w:t>
      </w:r>
      <w:r w:rsidRPr="002D4064">
        <w:rPr>
          <w:sz w:val="22"/>
          <w:szCs w:val="22"/>
        </w:rPr>
        <w:t xml:space="preserve">The pupil numbers used for early years is the January census, and for post 16: a </w:t>
      </w:r>
      <w:r w:rsidR="00D05DCF">
        <w:rPr>
          <w:sz w:val="22"/>
          <w:szCs w:val="22"/>
        </w:rPr>
        <w:t>full-time</w:t>
      </w:r>
      <w:r w:rsidRPr="002D4064">
        <w:rPr>
          <w:sz w:val="22"/>
          <w:szCs w:val="22"/>
        </w:rPr>
        <w:t xml:space="preserve"> equivalent of the hours attended.</w:t>
      </w:r>
    </w:p>
    <w:p w14:paraId="0DFDCDF5" w14:textId="77777777" w:rsidR="00C07C3C" w:rsidRPr="002D4064" w:rsidRDefault="00C07C3C" w:rsidP="00C07C3C">
      <w:pPr>
        <w:spacing w:line="259" w:lineRule="auto"/>
        <w:rPr>
          <w:sz w:val="22"/>
          <w:szCs w:val="22"/>
        </w:rPr>
      </w:pPr>
    </w:p>
    <w:p w14:paraId="5CD2EDE5" w14:textId="0886E655" w:rsidR="00C07C3C" w:rsidRPr="002D4064" w:rsidRDefault="00C07C3C" w:rsidP="00C07C3C">
      <w:pPr>
        <w:pStyle w:val="ListParagraph"/>
        <w:numPr>
          <w:ilvl w:val="2"/>
          <w:numId w:val="21"/>
        </w:numPr>
        <w:ind w:left="993" w:right="176" w:hanging="993"/>
        <w:rPr>
          <w:sz w:val="22"/>
          <w:szCs w:val="22"/>
        </w:rPr>
      </w:pPr>
      <w:hyperlink r:id="rId17">
        <w:r w:rsidRPr="002D4064">
          <w:rPr>
            <w:rFonts w:eastAsia="Arial" w:cs="Arial"/>
            <w:b/>
            <w:color w:val="0000FF"/>
            <w:sz w:val="22"/>
            <w:szCs w:val="22"/>
            <w:u w:val="single" w:color="0000FF"/>
          </w:rPr>
          <w:t>Teachers Pay grant (TPG</w:t>
        </w:r>
      </w:hyperlink>
      <w:hyperlink r:id="rId18">
        <w:r w:rsidRPr="002D4064">
          <w:rPr>
            <w:color w:val="0000FF"/>
            <w:sz w:val="22"/>
            <w:szCs w:val="22"/>
            <w:u w:val="single" w:color="0000FF"/>
          </w:rPr>
          <w:t>)</w:t>
        </w:r>
      </w:hyperlink>
      <w:hyperlink r:id="rId19">
        <w:r w:rsidRPr="002D4064">
          <w:rPr>
            <w:rFonts w:ascii="Times New Roman" w:hAnsi="Times New Roman"/>
            <w:sz w:val="22"/>
            <w:szCs w:val="22"/>
          </w:rPr>
          <w:t xml:space="preserve"> </w:t>
        </w:r>
      </w:hyperlink>
      <w:r w:rsidRPr="002D4064">
        <w:rPr>
          <w:sz w:val="22"/>
          <w:szCs w:val="22"/>
        </w:rPr>
        <w:t>is paid per academic year, announced each October, for all  early years pupils in schools and post 16 pupils in sixth forms It is intended to fund the difference between an expected increase of 1</w:t>
      </w:r>
      <w:r w:rsidR="002F7D38">
        <w:rPr>
          <w:sz w:val="22"/>
          <w:szCs w:val="22"/>
        </w:rPr>
        <w:t xml:space="preserve"> per cent</w:t>
      </w:r>
      <w:r w:rsidRPr="002D4064">
        <w:rPr>
          <w:sz w:val="22"/>
          <w:szCs w:val="22"/>
        </w:rPr>
        <w:t xml:space="preserve"> in teacher’s pay, and the actual increase.  The grant is allocated to schools on a fixed per pupil basis, weighted for inner London costs </w:t>
      </w:r>
    </w:p>
    <w:p w14:paraId="22FD4562" w14:textId="77777777" w:rsidR="00C07C3C" w:rsidRPr="002D4064" w:rsidRDefault="00C07C3C" w:rsidP="00C07C3C">
      <w:pPr>
        <w:pStyle w:val="ListParagraph"/>
        <w:ind w:left="567" w:right="176"/>
        <w:rPr>
          <w:sz w:val="22"/>
          <w:szCs w:val="22"/>
        </w:rPr>
      </w:pPr>
    </w:p>
    <w:p w14:paraId="695B763F" w14:textId="77777777" w:rsidR="00C07C3C" w:rsidRPr="002D4064" w:rsidRDefault="00C07C3C" w:rsidP="00C07C3C">
      <w:pPr>
        <w:pStyle w:val="ListParagraph"/>
        <w:pBdr>
          <w:bottom w:val="single" w:sz="4" w:space="1" w:color="auto"/>
        </w:pBdr>
        <w:tabs>
          <w:tab w:val="left" w:pos="2835"/>
          <w:tab w:val="left" w:pos="4253"/>
        </w:tabs>
        <w:ind w:left="993" w:right="176"/>
        <w:rPr>
          <w:sz w:val="22"/>
          <w:szCs w:val="22"/>
        </w:rPr>
      </w:pPr>
      <w:r w:rsidRPr="002D4064">
        <w:rPr>
          <w:sz w:val="22"/>
          <w:szCs w:val="22"/>
        </w:rPr>
        <w:t>Per pupil rates</w:t>
      </w:r>
      <w:r w:rsidRPr="002D4064">
        <w:rPr>
          <w:sz w:val="22"/>
          <w:szCs w:val="22"/>
        </w:rPr>
        <w:tab/>
      </w:r>
      <w:r w:rsidRPr="002D4064">
        <w:rPr>
          <w:sz w:val="22"/>
          <w:szCs w:val="22"/>
        </w:rPr>
        <w:tab/>
        <w:t>Sept-Mar</w:t>
      </w:r>
      <w:r w:rsidRPr="002D4064">
        <w:rPr>
          <w:sz w:val="22"/>
          <w:szCs w:val="22"/>
        </w:rPr>
        <w:tab/>
        <w:t>April-Aug</w:t>
      </w:r>
    </w:p>
    <w:p w14:paraId="74D4512F" w14:textId="77777777" w:rsidR="00C07C3C" w:rsidRPr="002D4064" w:rsidRDefault="00C07C3C" w:rsidP="00C07C3C">
      <w:pPr>
        <w:pStyle w:val="ListParagraph"/>
        <w:ind w:left="993" w:right="176"/>
        <w:rPr>
          <w:sz w:val="22"/>
          <w:szCs w:val="22"/>
        </w:rPr>
      </w:pPr>
      <w:r w:rsidRPr="002D4064">
        <w:rPr>
          <w:sz w:val="22"/>
          <w:szCs w:val="22"/>
        </w:rPr>
        <w:t xml:space="preserve">Primary (EYS) </w:t>
      </w:r>
      <w:r w:rsidRPr="002D4064">
        <w:rPr>
          <w:sz w:val="22"/>
          <w:szCs w:val="22"/>
        </w:rPr>
        <w:tab/>
      </w:r>
      <w:r w:rsidRPr="002D4064">
        <w:rPr>
          <w:sz w:val="22"/>
          <w:szCs w:val="22"/>
        </w:rPr>
        <w:tab/>
      </w:r>
      <w:r w:rsidRPr="002D4064">
        <w:rPr>
          <w:sz w:val="22"/>
          <w:szCs w:val="22"/>
        </w:rPr>
        <w:tab/>
        <w:t>£32.62</w:t>
      </w:r>
      <w:r>
        <w:rPr>
          <w:sz w:val="22"/>
          <w:szCs w:val="22"/>
        </w:rPr>
        <w:tab/>
      </w:r>
      <w:r w:rsidRPr="002D4064">
        <w:rPr>
          <w:sz w:val="22"/>
          <w:szCs w:val="22"/>
        </w:rPr>
        <w:tab/>
        <w:t>£23.31</w:t>
      </w:r>
    </w:p>
    <w:p w14:paraId="103B7369" w14:textId="77777777" w:rsidR="00C07C3C" w:rsidRPr="002D4064" w:rsidRDefault="00C07C3C" w:rsidP="00C07C3C">
      <w:pPr>
        <w:pStyle w:val="ListParagraph"/>
        <w:ind w:left="993" w:right="176"/>
        <w:rPr>
          <w:sz w:val="22"/>
          <w:szCs w:val="22"/>
        </w:rPr>
      </w:pPr>
      <w:r w:rsidRPr="002D4064">
        <w:rPr>
          <w:sz w:val="22"/>
          <w:szCs w:val="22"/>
        </w:rPr>
        <w:t>Secondary (6</w:t>
      </w:r>
      <w:r w:rsidRPr="002D4064">
        <w:rPr>
          <w:sz w:val="22"/>
          <w:szCs w:val="22"/>
          <w:vertAlign w:val="superscript"/>
        </w:rPr>
        <w:t>th</w:t>
      </w:r>
      <w:r w:rsidRPr="002D4064">
        <w:rPr>
          <w:sz w:val="22"/>
          <w:szCs w:val="22"/>
        </w:rPr>
        <w:t xml:space="preserve"> form)</w:t>
      </w:r>
      <w:r w:rsidRPr="002D4064">
        <w:rPr>
          <w:sz w:val="22"/>
          <w:szCs w:val="22"/>
        </w:rPr>
        <w:tab/>
      </w:r>
      <w:r w:rsidRPr="002D4064">
        <w:rPr>
          <w:sz w:val="22"/>
          <w:szCs w:val="22"/>
        </w:rPr>
        <w:tab/>
        <w:t>£48.03</w:t>
      </w:r>
      <w:r w:rsidRPr="002D4064">
        <w:rPr>
          <w:sz w:val="22"/>
          <w:szCs w:val="22"/>
        </w:rPr>
        <w:tab/>
      </w:r>
      <w:r>
        <w:rPr>
          <w:sz w:val="22"/>
          <w:szCs w:val="22"/>
        </w:rPr>
        <w:tab/>
      </w:r>
      <w:r w:rsidRPr="002D4064">
        <w:rPr>
          <w:sz w:val="22"/>
          <w:szCs w:val="22"/>
        </w:rPr>
        <w:t>£34.31</w:t>
      </w:r>
    </w:p>
    <w:p w14:paraId="53C73605" w14:textId="77777777" w:rsidR="00C07C3C" w:rsidRPr="002D4064" w:rsidRDefault="00C07C3C" w:rsidP="00C07C3C">
      <w:pPr>
        <w:pStyle w:val="ListParagraph"/>
        <w:ind w:left="993" w:right="176"/>
        <w:rPr>
          <w:sz w:val="22"/>
          <w:szCs w:val="22"/>
        </w:rPr>
      </w:pPr>
      <w:r w:rsidRPr="002D4064">
        <w:rPr>
          <w:sz w:val="22"/>
          <w:szCs w:val="22"/>
        </w:rPr>
        <w:t>Special and AP</w:t>
      </w:r>
      <w:r w:rsidRPr="002D4064">
        <w:rPr>
          <w:sz w:val="22"/>
          <w:szCs w:val="22"/>
        </w:rPr>
        <w:tab/>
      </w:r>
      <w:r w:rsidRPr="002D4064">
        <w:rPr>
          <w:sz w:val="22"/>
          <w:szCs w:val="22"/>
        </w:rPr>
        <w:tab/>
      </w:r>
      <w:r w:rsidRPr="002D4064">
        <w:rPr>
          <w:sz w:val="22"/>
          <w:szCs w:val="22"/>
        </w:rPr>
        <w:tab/>
        <w:t>£121.44</w:t>
      </w:r>
      <w:r w:rsidRPr="002D4064">
        <w:rPr>
          <w:sz w:val="22"/>
          <w:szCs w:val="22"/>
        </w:rPr>
        <w:tab/>
        <w:t>£86.74</w:t>
      </w:r>
    </w:p>
    <w:p w14:paraId="1C704478" w14:textId="77777777" w:rsidR="00C07C3C" w:rsidRPr="002D4064" w:rsidRDefault="00C07C3C" w:rsidP="00C07C3C">
      <w:pPr>
        <w:pStyle w:val="NormalWeb"/>
        <w:shd w:val="clear" w:color="auto" w:fill="FFFFFF"/>
        <w:spacing w:before="300" w:beforeAutospacing="0" w:after="300" w:afterAutospacing="0"/>
        <w:ind w:left="993"/>
        <w:rPr>
          <w:rFonts w:ascii="Arial" w:hAnsi="Arial"/>
          <w:sz w:val="22"/>
          <w:szCs w:val="22"/>
        </w:rPr>
      </w:pPr>
      <w:r w:rsidRPr="002D4064">
        <w:rPr>
          <w:rFonts w:ascii="Arial" w:hAnsi="Arial"/>
          <w:sz w:val="22"/>
          <w:szCs w:val="22"/>
        </w:rPr>
        <w:t xml:space="preserve">Rates for the 5-month period from April to August have been calculated as five-sevenths of the 7-month rates for September to March.  </w:t>
      </w:r>
    </w:p>
    <w:p w14:paraId="19FF8397" w14:textId="77777777" w:rsidR="00C07C3C" w:rsidRPr="002D4064" w:rsidRDefault="00C07C3C" w:rsidP="00C07C3C">
      <w:pPr>
        <w:pStyle w:val="ListParagraph"/>
        <w:numPr>
          <w:ilvl w:val="2"/>
          <w:numId w:val="21"/>
        </w:numPr>
        <w:ind w:left="993" w:right="176" w:hanging="993"/>
        <w:rPr>
          <w:sz w:val="22"/>
          <w:szCs w:val="22"/>
        </w:rPr>
      </w:pPr>
      <w:r w:rsidRPr="002D4064">
        <w:rPr>
          <w:sz w:val="22"/>
          <w:szCs w:val="22"/>
        </w:rPr>
        <w:lastRenderedPageBreak/>
        <w:t xml:space="preserve">The </w:t>
      </w:r>
      <w:hyperlink r:id="rId20">
        <w:proofErr w:type="spellStart"/>
        <w:r w:rsidRPr="002D4064">
          <w:rPr>
            <w:rFonts w:eastAsia="Arial" w:cs="Arial"/>
            <w:b/>
            <w:color w:val="0000FF"/>
            <w:sz w:val="22"/>
            <w:szCs w:val="22"/>
            <w:u w:val="single" w:color="0000FF"/>
          </w:rPr>
          <w:t>Teachers</w:t>
        </w:r>
        <w:proofErr w:type="spellEnd"/>
        <w:r w:rsidRPr="002D4064">
          <w:rPr>
            <w:rFonts w:eastAsia="Arial" w:cs="Arial"/>
            <w:b/>
            <w:color w:val="0000FF"/>
            <w:sz w:val="22"/>
            <w:szCs w:val="22"/>
            <w:u w:val="single" w:color="0000FF"/>
          </w:rPr>
          <w:t xml:space="preserve"> Pension Employer Contribution grant (TPECG)</w:t>
        </w:r>
      </w:hyperlink>
      <w:hyperlink r:id="rId21">
        <w:r w:rsidRPr="002D4064">
          <w:rPr>
            <w:sz w:val="22"/>
            <w:szCs w:val="22"/>
          </w:rPr>
          <w:t xml:space="preserve"> </w:t>
        </w:r>
      </w:hyperlink>
      <w:r w:rsidRPr="002D4064">
        <w:rPr>
          <w:sz w:val="22"/>
          <w:szCs w:val="22"/>
        </w:rPr>
        <w:t xml:space="preserve">is also issued on an academic year basis, intended to fund the additional cost to the employer (a school) for the increase in the percentage on-cost of teacher’s pensions.  As with the TPG, it is allocated to schools on a per pupil basis. </w:t>
      </w:r>
    </w:p>
    <w:p w14:paraId="7A680315" w14:textId="77777777" w:rsidR="00C07C3C" w:rsidRPr="002D4064" w:rsidRDefault="00C07C3C" w:rsidP="00C07C3C">
      <w:pPr>
        <w:rPr>
          <w:sz w:val="22"/>
          <w:szCs w:val="22"/>
        </w:rPr>
      </w:pPr>
    </w:p>
    <w:p w14:paraId="034B248F" w14:textId="77777777" w:rsidR="00C07C3C" w:rsidRPr="002D4064" w:rsidRDefault="00C07C3C" w:rsidP="00C07C3C">
      <w:pPr>
        <w:pStyle w:val="ListParagraph"/>
        <w:pBdr>
          <w:bottom w:val="single" w:sz="4" w:space="1" w:color="auto"/>
        </w:pBdr>
        <w:tabs>
          <w:tab w:val="left" w:pos="2835"/>
          <w:tab w:val="left" w:pos="4253"/>
        </w:tabs>
        <w:ind w:left="993" w:right="176"/>
        <w:rPr>
          <w:sz w:val="22"/>
          <w:szCs w:val="22"/>
        </w:rPr>
      </w:pPr>
      <w:r w:rsidRPr="002D4064">
        <w:rPr>
          <w:sz w:val="22"/>
          <w:szCs w:val="22"/>
        </w:rPr>
        <w:t>Per pupil rates</w:t>
      </w:r>
      <w:r w:rsidRPr="002D4064">
        <w:rPr>
          <w:sz w:val="22"/>
          <w:szCs w:val="22"/>
        </w:rPr>
        <w:tab/>
      </w:r>
      <w:r w:rsidRPr="002D4064">
        <w:rPr>
          <w:sz w:val="22"/>
          <w:szCs w:val="22"/>
        </w:rPr>
        <w:tab/>
        <w:t>Sept-Mar</w:t>
      </w:r>
      <w:r w:rsidRPr="002D4064">
        <w:rPr>
          <w:sz w:val="22"/>
          <w:szCs w:val="22"/>
        </w:rPr>
        <w:tab/>
        <w:t>April-Aug</w:t>
      </w:r>
    </w:p>
    <w:p w14:paraId="74C63306" w14:textId="77777777" w:rsidR="00C07C3C" w:rsidRPr="002D4064" w:rsidRDefault="00C07C3C" w:rsidP="00C07C3C">
      <w:pPr>
        <w:pStyle w:val="ListParagraph"/>
        <w:ind w:left="993" w:right="176"/>
        <w:rPr>
          <w:sz w:val="22"/>
          <w:szCs w:val="22"/>
        </w:rPr>
      </w:pPr>
      <w:r w:rsidRPr="002D4064">
        <w:rPr>
          <w:sz w:val="22"/>
          <w:szCs w:val="22"/>
        </w:rPr>
        <w:t xml:space="preserve">Primary (EYS) </w:t>
      </w:r>
      <w:r w:rsidRPr="002D4064">
        <w:rPr>
          <w:sz w:val="22"/>
          <w:szCs w:val="22"/>
        </w:rPr>
        <w:tab/>
      </w:r>
      <w:r w:rsidRPr="002D4064">
        <w:rPr>
          <w:sz w:val="22"/>
          <w:szCs w:val="22"/>
        </w:rPr>
        <w:tab/>
      </w:r>
      <w:r w:rsidRPr="002D4064">
        <w:rPr>
          <w:sz w:val="22"/>
          <w:szCs w:val="22"/>
        </w:rPr>
        <w:tab/>
        <w:t>£92.20</w:t>
      </w:r>
      <w:r w:rsidRPr="002D4064">
        <w:rPr>
          <w:sz w:val="22"/>
          <w:szCs w:val="22"/>
        </w:rPr>
        <w:tab/>
      </w:r>
      <w:r>
        <w:rPr>
          <w:sz w:val="22"/>
          <w:szCs w:val="22"/>
        </w:rPr>
        <w:tab/>
      </w:r>
      <w:r w:rsidRPr="002D4064">
        <w:rPr>
          <w:sz w:val="22"/>
          <w:szCs w:val="22"/>
        </w:rPr>
        <w:t>£65.86</w:t>
      </w:r>
    </w:p>
    <w:p w14:paraId="72A06C68" w14:textId="77777777" w:rsidR="00C07C3C" w:rsidRPr="002D4064" w:rsidRDefault="00C07C3C" w:rsidP="00C07C3C">
      <w:pPr>
        <w:pStyle w:val="ListParagraph"/>
        <w:ind w:left="993" w:right="176"/>
        <w:rPr>
          <w:sz w:val="22"/>
          <w:szCs w:val="22"/>
        </w:rPr>
      </w:pPr>
      <w:r w:rsidRPr="002D4064">
        <w:rPr>
          <w:sz w:val="22"/>
          <w:szCs w:val="22"/>
        </w:rPr>
        <w:t>Secondary (6</w:t>
      </w:r>
      <w:r w:rsidRPr="002D4064">
        <w:rPr>
          <w:sz w:val="22"/>
          <w:szCs w:val="22"/>
          <w:vertAlign w:val="superscript"/>
        </w:rPr>
        <w:t>th</w:t>
      </w:r>
      <w:r w:rsidRPr="002D4064">
        <w:rPr>
          <w:sz w:val="22"/>
          <w:szCs w:val="22"/>
        </w:rPr>
        <w:t xml:space="preserve"> form)</w:t>
      </w:r>
      <w:r w:rsidRPr="002D4064">
        <w:rPr>
          <w:sz w:val="22"/>
          <w:szCs w:val="22"/>
        </w:rPr>
        <w:tab/>
      </w:r>
      <w:r w:rsidRPr="002D4064">
        <w:rPr>
          <w:sz w:val="22"/>
          <w:szCs w:val="22"/>
        </w:rPr>
        <w:tab/>
        <w:t>£135.71</w:t>
      </w:r>
      <w:r w:rsidRPr="002D4064">
        <w:rPr>
          <w:sz w:val="22"/>
          <w:szCs w:val="22"/>
        </w:rPr>
        <w:tab/>
        <w:t>£96.94</w:t>
      </w:r>
    </w:p>
    <w:p w14:paraId="0F6BD309" w14:textId="77777777" w:rsidR="00C07C3C" w:rsidRPr="002D4064" w:rsidRDefault="00C07C3C" w:rsidP="00C07C3C">
      <w:pPr>
        <w:pStyle w:val="ListParagraph"/>
        <w:ind w:left="993" w:right="176"/>
        <w:rPr>
          <w:sz w:val="22"/>
          <w:szCs w:val="22"/>
        </w:rPr>
      </w:pPr>
      <w:r w:rsidRPr="002D4064">
        <w:rPr>
          <w:sz w:val="22"/>
          <w:szCs w:val="22"/>
        </w:rPr>
        <w:t>Special and AP</w:t>
      </w:r>
      <w:r w:rsidRPr="002D4064">
        <w:rPr>
          <w:sz w:val="22"/>
          <w:szCs w:val="22"/>
        </w:rPr>
        <w:tab/>
      </w:r>
      <w:r w:rsidRPr="002D4064">
        <w:rPr>
          <w:sz w:val="22"/>
          <w:szCs w:val="22"/>
        </w:rPr>
        <w:tab/>
      </w:r>
      <w:r w:rsidRPr="002D4064">
        <w:rPr>
          <w:sz w:val="22"/>
          <w:szCs w:val="22"/>
        </w:rPr>
        <w:tab/>
        <w:t>£336.53</w:t>
      </w:r>
      <w:r w:rsidRPr="002D4064">
        <w:rPr>
          <w:sz w:val="22"/>
          <w:szCs w:val="22"/>
        </w:rPr>
        <w:tab/>
        <w:t>£240.38</w:t>
      </w:r>
    </w:p>
    <w:p w14:paraId="368BC07C" w14:textId="77777777" w:rsidR="00C07C3C" w:rsidRPr="002D4064" w:rsidRDefault="00C07C3C" w:rsidP="00C07C3C">
      <w:pPr>
        <w:pStyle w:val="NormalWeb"/>
        <w:shd w:val="clear" w:color="auto" w:fill="FFFFFF"/>
        <w:spacing w:before="300" w:beforeAutospacing="0" w:after="300" w:afterAutospacing="0"/>
        <w:ind w:left="993"/>
        <w:rPr>
          <w:rFonts w:ascii="Arial" w:hAnsi="Arial"/>
          <w:sz w:val="22"/>
          <w:szCs w:val="22"/>
        </w:rPr>
      </w:pPr>
      <w:r w:rsidRPr="002D4064">
        <w:rPr>
          <w:rFonts w:ascii="Arial" w:hAnsi="Arial"/>
          <w:sz w:val="22"/>
          <w:szCs w:val="22"/>
        </w:rPr>
        <w:t xml:space="preserve">Rates for the 5-month period from April to August have been calculated as five-sevenths of the 7-month rates for September to March.  </w:t>
      </w:r>
    </w:p>
    <w:p w14:paraId="2A642213" w14:textId="77777777" w:rsidR="00C07C3C" w:rsidRPr="002D4064" w:rsidRDefault="00C07C3C" w:rsidP="00C07C3C">
      <w:pPr>
        <w:pStyle w:val="ListParagraph"/>
        <w:ind w:left="360"/>
        <w:rPr>
          <w:rFonts w:cs="Arial"/>
          <w:b/>
          <w:sz w:val="22"/>
          <w:szCs w:val="22"/>
        </w:rPr>
      </w:pPr>
    </w:p>
    <w:p w14:paraId="5E7C0240" w14:textId="5F2F284C" w:rsidR="00C07C3C" w:rsidRPr="002D4064" w:rsidRDefault="00C07C3C" w:rsidP="00C07C3C">
      <w:pPr>
        <w:pStyle w:val="ListParagraph"/>
        <w:numPr>
          <w:ilvl w:val="1"/>
          <w:numId w:val="21"/>
        </w:numPr>
        <w:ind w:left="567" w:hanging="567"/>
        <w:rPr>
          <w:sz w:val="22"/>
          <w:szCs w:val="22"/>
        </w:rPr>
      </w:pPr>
      <w:hyperlink r:id="rId22" w:history="1">
        <w:r w:rsidRPr="002D4064">
          <w:rPr>
            <w:rStyle w:val="Hyperlink"/>
            <w:rFonts w:cs="Arial"/>
            <w:b/>
            <w:sz w:val="22"/>
            <w:szCs w:val="22"/>
          </w:rPr>
          <w:t>PE &amp; Sport premium</w:t>
        </w:r>
      </w:hyperlink>
      <w:r w:rsidRPr="002D4064">
        <w:rPr>
          <w:rFonts w:cs="Arial"/>
          <w:b/>
          <w:sz w:val="22"/>
          <w:szCs w:val="22"/>
        </w:rPr>
        <w:t xml:space="preserve"> </w:t>
      </w:r>
      <w:r w:rsidRPr="002D4064">
        <w:rPr>
          <w:rFonts w:cs="Arial"/>
          <w:bCs/>
          <w:sz w:val="22"/>
          <w:szCs w:val="22"/>
        </w:rPr>
        <w:t>is</w:t>
      </w:r>
      <w:r w:rsidRPr="002D4064">
        <w:rPr>
          <w:rFonts w:eastAsia="Arial" w:cs="Arial"/>
          <w:b/>
          <w:sz w:val="22"/>
          <w:szCs w:val="22"/>
        </w:rPr>
        <w:t xml:space="preserve"> </w:t>
      </w:r>
      <w:r w:rsidRPr="002D4064">
        <w:rPr>
          <w:sz w:val="22"/>
          <w:szCs w:val="22"/>
        </w:rPr>
        <w:t>awarded to primary schools and primary phase pupils in special schools.  It is issued on an academic year basis, confirmed in each October, fixed in value for the year.  The grant is calculated on a £16,000 lump sum per school, plus £10 per pupil, using the January census.  Income is received in October and April and transferred to schools in the next quarterly transfer.</w:t>
      </w:r>
      <w:r w:rsidR="00AE061D">
        <w:rPr>
          <w:sz w:val="22"/>
          <w:szCs w:val="22"/>
        </w:rPr>
        <w:t xml:space="preserve"> </w:t>
      </w:r>
      <w:r w:rsidRPr="002D4064">
        <w:rPr>
          <w:sz w:val="22"/>
          <w:szCs w:val="22"/>
        </w:rPr>
        <w:t>For example, the April 2022 allocation (</w:t>
      </w:r>
      <w:proofErr w:type="gramStart"/>
      <w:r w:rsidRPr="002D4064">
        <w:rPr>
          <w:sz w:val="22"/>
          <w:szCs w:val="22"/>
        </w:rPr>
        <w:t>i.e.</w:t>
      </w:r>
      <w:proofErr w:type="gramEnd"/>
      <w:r w:rsidRPr="002D4064">
        <w:rPr>
          <w:sz w:val="22"/>
          <w:szCs w:val="22"/>
        </w:rPr>
        <w:t xml:space="preserve"> the remainder of the 2021-22 academic year), has been confirmed and will be paid in June 2022. </w:t>
      </w:r>
    </w:p>
    <w:p w14:paraId="566F38CD" w14:textId="77777777" w:rsidR="00C07C3C" w:rsidRPr="002D4064" w:rsidRDefault="00C07C3C" w:rsidP="00C07C3C">
      <w:pPr>
        <w:pStyle w:val="ListParagraph"/>
        <w:ind w:left="567"/>
        <w:rPr>
          <w:sz w:val="22"/>
          <w:szCs w:val="22"/>
        </w:rPr>
      </w:pPr>
    </w:p>
    <w:p w14:paraId="03E2EB5D" w14:textId="77777777" w:rsidR="00C07C3C" w:rsidRPr="002D4064" w:rsidRDefault="00C07C3C" w:rsidP="00C07C3C">
      <w:pPr>
        <w:pStyle w:val="ListParagraph"/>
        <w:ind w:left="567"/>
        <w:rPr>
          <w:rFonts w:cs="Arial"/>
          <w:b/>
          <w:sz w:val="22"/>
          <w:szCs w:val="22"/>
        </w:rPr>
      </w:pPr>
      <w:r w:rsidRPr="002D4064">
        <w:rPr>
          <w:sz w:val="22"/>
          <w:szCs w:val="22"/>
        </w:rPr>
        <w:t>The grant must be used to fund additional and sustainable improvements to the provision of PE and sport, to encourage the development of healthy, active lifestyles.  Schools should post a report on how this grant is used on their website</w:t>
      </w:r>
    </w:p>
    <w:p w14:paraId="336C0EED" w14:textId="77777777" w:rsidR="00C07C3C" w:rsidRPr="002D4064" w:rsidRDefault="00C07C3C" w:rsidP="00C07C3C">
      <w:pPr>
        <w:pStyle w:val="ListParagraph"/>
        <w:ind w:left="851"/>
        <w:rPr>
          <w:rFonts w:cs="Arial"/>
          <w:b/>
          <w:sz w:val="22"/>
          <w:szCs w:val="22"/>
        </w:rPr>
      </w:pPr>
    </w:p>
    <w:p w14:paraId="53856028" w14:textId="40C0DD4D" w:rsidR="00C07C3C" w:rsidRPr="002D4064" w:rsidRDefault="00C07C3C" w:rsidP="00C07C3C">
      <w:pPr>
        <w:pStyle w:val="ListParagraph"/>
        <w:numPr>
          <w:ilvl w:val="1"/>
          <w:numId w:val="21"/>
        </w:numPr>
        <w:ind w:left="567" w:right="176" w:hanging="567"/>
        <w:rPr>
          <w:sz w:val="22"/>
          <w:szCs w:val="22"/>
        </w:rPr>
      </w:pPr>
      <w:hyperlink r:id="rId23" w:anchor="universal-infant-free-school-meals-(uifsm)" w:history="1">
        <w:r w:rsidRPr="002D4064">
          <w:rPr>
            <w:rStyle w:val="Hyperlink"/>
            <w:rFonts w:cs="Arial"/>
            <w:b/>
            <w:bCs/>
            <w:sz w:val="22"/>
            <w:szCs w:val="22"/>
          </w:rPr>
          <w:t>Universal Infant Free School Meals (</w:t>
        </w:r>
        <w:proofErr w:type="spellStart"/>
        <w:r w:rsidRPr="002D4064">
          <w:rPr>
            <w:rStyle w:val="Hyperlink"/>
            <w:rFonts w:cs="Arial"/>
            <w:b/>
            <w:bCs/>
            <w:sz w:val="22"/>
            <w:szCs w:val="22"/>
          </w:rPr>
          <w:t>uifsm</w:t>
        </w:r>
        <w:proofErr w:type="spellEnd"/>
        <w:r w:rsidRPr="002D4064">
          <w:rPr>
            <w:rStyle w:val="Hyperlink"/>
            <w:rFonts w:cs="Arial"/>
            <w:b/>
            <w:bCs/>
            <w:sz w:val="22"/>
            <w:szCs w:val="22"/>
          </w:rPr>
          <w:t>)</w:t>
        </w:r>
      </w:hyperlink>
      <w:r w:rsidRPr="002D4064">
        <w:rPr>
          <w:rFonts w:cs="Arial"/>
          <w:bCs/>
          <w:sz w:val="22"/>
          <w:szCs w:val="22"/>
        </w:rPr>
        <w:t xml:space="preserve"> </w:t>
      </w:r>
      <w:r w:rsidRPr="002D4064">
        <w:rPr>
          <w:rFonts w:cs="Arial"/>
          <w:b/>
          <w:sz w:val="22"/>
          <w:szCs w:val="22"/>
        </w:rPr>
        <w:t xml:space="preserve"> </w:t>
      </w:r>
      <w:r w:rsidRPr="002D4064">
        <w:rPr>
          <w:sz w:val="22"/>
          <w:szCs w:val="22"/>
        </w:rPr>
        <w:t xml:space="preserve">Is allocated for infant phase pupils in all schools on an academic year basis.  A fixed amount (£444.60) per pupil (or £2.34 per meal) is allocated for the number of pupils that took a meal, less those that are eligible for a free school meal in the same cohort.  Schools receive a </w:t>
      </w:r>
      <w:r w:rsidR="00AE061D">
        <w:rPr>
          <w:sz w:val="22"/>
          <w:szCs w:val="22"/>
        </w:rPr>
        <w:t>12-month</w:t>
      </w:r>
      <w:r w:rsidRPr="002D4064">
        <w:rPr>
          <w:sz w:val="22"/>
          <w:szCs w:val="22"/>
        </w:rPr>
        <w:t xml:space="preserve"> allocation in July of each year, which represents an advance estimate of the take up in the academic year, and a retrospective adjustment for actual take up in both the October and January census’. </w:t>
      </w:r>
    </w:p>
    <w:p w14:paraId="3EC6B200" w14:textId="77777777" w:rsidR="00C07C3C" w:rsidRPr="002D4064" w:rsidRDefault="00C07C3C" w:rsidP="00C07C3C">
      <w:pPr>
        <w:pStyle w:val="ListParagraph"/>
        <w:ind w:left="851"/>
        <w:rPr>
          <w:rFonts w:cs="Arial"/>
          <w:bCs/>
          <w:sz w:val="22"/>
          <w:szCs w:val="22"/>
          <w:highlight w:val="yellow"/>
        </w:rPr>
      </w:pPr>
    </w:p>
    <w:p w14:paraId="67A7912D" w14:textId="77777777" w:rsidR="00C07C3C" w:rsidRPr="002D4064" w:rsidRDefault="00C07C3C" w:rsidP="00C07C3C">
      <w:pPr>
        <w:pStyle w:val="ListParagraph"/>
        <w:keepNext/>
        <w:ind w:left="360"/>
        <w:rPr>
          <w:rFonts w:cs="Arial"/>
          <w:b/>
          <w:sz w:val="22"/>
          <w:szCs w:val="22"/>
          <w:highlight w:val="yellow"/>
        </w:rPr>
      </w:pPr>
    </w:p>
    <w:p w14:paraId="227949C2" w14:textId="77777777" w:rsidR="00C07C3C" w:rsidRPr="002D4064" w:rsidRDefault="00C07C3C" w:rsidP="00C07C3C">
      <w:pPr>
        <w:pStyle w:val="Heading2"/>
        <w:numPr>
          <w:ilvl w:val="0"/>
          <w:numId w:val="21"/>
        </w:numPr>
        <w:ind w:left="426" w:hanging="426"/>
      </w:pPr>
      <w:bookmarkStart w:id="4" w:name="_Toc98168464"/>
      <w:r w:rsidRPr="002D4064">
        <w:t>Non-recurring and / or application grants</w:t>
      </w:r>
      <w:bookmarkEnd w:id="4"/>
    </w:p>
    <w:p w14:paraId="220F6C39" w14:textId="77777777" w:rsidR="00C07C3C" w:rsidRPr="002D4064" w:rsidRDefault="00C07C3C" w:rsidP="00C07C3C">
      <w:pPr>
        <w:pStyle w:val="ListParagraph"/>
        <w:ind w:left="567"/>
        <w:rPr>
          <w:rStyle w:val="Hyperlink"/>
          <w:rFonts w:cs="Arial"/>
          <w:b/>
          <w:sz w:val="22"/>
          <w:szCs w:val="22"/>
        </w:rPr>
      </w:pPr>
    </w:p>
    <w:p w14:paraId="44B78AE4" w14:textId="77777777" w:rsidR="00C07C3C" w:rsidRPr="002D4064" w:rsidRDefault="00C07C3C" w:rsidP="00C07C3C">
      <w:pPr>
        <w:pStyle w:val="ListParagraph"/>
        <w:numPr>
          <w:ilvl w:val="1"/>
          <w:numId w:val="21"/>
        </w:numPr>
        <w:ind w:left="567" w:hanging="567"/>
        <w:rPr>
          <w:sz w:val="22"/>
          <w:szCs w:val="22"/>
        </w:rPr>
      </w:pPr>
      <w:hyperlink r:id="rId24" w:history="1">
        <w:r w:rsidRPr="002D4064">
          <w:rPr>
            <w:rStyle w:val="Hyperlink"/>
            <w:b/>
            <w:bCs/>
            <w:sz w:val="22"/>
            <w:szCs w:val="22"/>
          </w:rPr>
          <w:t>16-19 Bursary fund</w:t>
        </w:r>
      </w:hyperlink>
      <w:r w:rsidRPr="002D4064">
        <w:rPr>
          <w:sz w:val="22"/>
          <w:szCs w:val="22"/>
        </w:rPr>
        <w:t xml:space="preserve"> All schools with sixth forms can also apply on behalf of vulnerable pupils for additional bursary grant, in addition to the programme and discretionary bursary funding in the main grant. </w:t>
      </w:r>
    </w:p>
    <w:p w14:paraId="505831E8" w14:textId="77777777" w:rsidR="00C07C3C" w:rsidRPr="002D4064" w:rsidRDefault="00C07C3C" w:rsidP="00C07C3C">
      <w:pPr>
        <w:pStyle w:val="ListParagraph"/>
        <w:ind w:left="567"/>
        <w:rPr>
          <w:sz w:val="22"/>
          <w:szCs w:val="22"/>
        </w:rPr>
      </w:pPr>
    </w:p>
    <w:p w14:paraId="627F6C64" w14:textId="4118D900" w:rsidR="00C07C3C" w:rsidRPr="002D4064" w:rsidRDefault="00C07C3C" w:rsidP="00C07C3C">
      <w:pPr>
        <w:pStyle w:val="ListParagraph"/>
        <w:numPr>
          <w:ilvl w:val="1"/>
          <w:numId w:val="21"/>
        </w:numPr>
        <w:ind w:left="567" w:right="176" w:hanging="567"/>
        <w:rPr>
          <w:sz w:val="22"/>
          <w:szCs w:val="22"/>
        </w:rPr>
      </w:pPr>
      <w:r w:rsidRPr="002D4064">
        <w:rPr>
          <w:sz w:val="22"/>
          <w:szCs w:val="22"/>
        </w:rPr>
        <w:t xml:space="preserve">The </w:t>
      </w:r>
      <w:r w:rsidRPr="002D4064">
        <w:rPr>
          <w:rFonts w:eastAsia="Arial" w:cs="Arial"/>
          <w:b/>
          <w:color w:val="0000FF"/>
          <w:sz w:val="22"/>
          <w:szCs w:val="22"/>
          <w:u w:val="single" w:color="0000FF"/>
        </w:rPr>
        <w:t xml:space="preserve">Schools Direct Salary </w:t>
      </w:r>
      <w:hyperlink r:id="rId25">
        <w:r w:rsidRPr="002D4064">
          <w:rPr>
            <w:rFonts w:eastAsia="Arial" w:cs="Arial"/>
            <w:b/>
            <w:color w:val="0000FF"/>
            <w:sz w:val="22"/>
            <w:szCs w:val="22"/>
            <w:u w:val="single" w:color="0000FF"/>
          </w:rPr>
          <w:t>Initial teacher Training grant (ITT)</w:t>
        </w:r>
      </w:hyperlink>
      <w:hyperlink r:id="rId26">
        <w:r w:rsidRPr="002D4064">
          <w:rPr>
            <w:rFonts w:eastAsia="Arial" w:cs="Arial"/>
            <w:b/>
            <w:sz w:val="22"/>
            <w:szCs w:val="22"/>
          </w:rPr>
          <w:t xml:space="preserve"> </w:t>
        </w:r>
      </w:hyperlink>
      <w:r w:rsidRPr="002D4064">
        <w:rPr>
          <w:sz w:val="22"/>
          <w:szCs w:val="22"/>
        </w:rPr>
        <w:t>grant allocations depend on individual agreements made between the DFE, a teaching school and a sponsoring university.</w:t>
      </w:r>
      <w:r w:rsidR="002F7D38">
        <w:rPr>
          <w:sz w:val="22"/>
          <w:szCs w:val="22"/>
        </w:rPr>
        <w:t xml:space="preserve"> </w:t>
      </w:r>
      <w:r w:rsidRPr="002D4064">
        <w:rPr>
          <w:sz w:val="22"/>
          <w:szCs w:val="22"/>
        </w:rPr>
        <w:t>Candidates recruited can be employed by a single school or a wider partnership of schools.</w:t>
      </w:r>
      <w:r w:rsidR="002F7D38">
        <w:rPr>
          <w:sz w:val="22"/>
          <w:szCs w:val="22"/>
        </w:rPr>
        <w:t xml:space="preserve"> </w:t>
      </w:r>
      <w:r w:rsidRPr="002D4064">
        <w:rPr>
          <w:sz w:val="22"/>
          <w:szCs w:val="22"/>
        </w:rPr>
        <w:t xml:space="preserve">It is administered by the ITT Funding Team, with income received on an academic year basis. Schools must arrange for an independent audit each autumn before the new allocations are confirmed. Currently one school is funded under this scheme.  </w:t>
      </w:r>
    </w:p>
    <w:p w14:paraId="4D6E33BC" w14:textId="77777777" w:rsidR="00C07C3C" w:rsidRPr="002D4064" w:rsidRDefault="00C07C3C" w:rsidP="00C07C3C">
      <w:pPr>
        <w:pStyle w:val="ListParagraph"/>
        <w:rPr>
          <w:sz w:val="22"/>
          <w:szCs w:val="22"/>
        </w:rPr>
      </w:pPr>
    </w:p>
    <w:p w14:paraId="17C3935C" w14:textId="7BCCA866" w:rsidR="00C07C3C" w:rsidRPr="002D4064" w:rsidRDefault="00C07C3C" w:rsidP="00C07C3C">
      <w:pPr>
        <w:pStyle w:val="ListParagraph"/>
        <w:numPr>
          <w:ilvl w:val="1"/>
          <w:numId w:val="21"/>
        </w:numPr>
        <w:shd w:val="clear" w:color="auto" w:fill="FFFFFF"/>
        <w:spacing w:before="300" w:after="300"/>
        <w:ind w:left="567" w:hanging="567"/>
        <w:rPr>
          <w:sz w:val="22"/>
          <w:szCs w:val="22"/>
        </w:rPr>
      </w:pPr>
      <w:r w:rsidRPr="002D4064">
        <w:rPr>
          <w:sz w:val="22"/>
          <w:szCs w:val="22"/>
        </w:rPr>
        <w:t xml:space="preserve">The </w:t>
      </w:r>
      <w:hyperlink r:id="rId27" w:history="1">
        <w:r w:rsidRPr="002D4064">
          <w:rPr>
            <w:rStyle w:val="Hyperlink"/>
            <w:b/>
            <w:bCs/>
            <w:sz w:val="22"/>
            <w:szCs w:val="22"/>
          </w:rPr>
          <w:t>Summer schools</w:t>
        </w:r>
        <w:r w:rsidRPr="002D4064">
          <w:rPr>
            <w:rStyle w:val="Hyperlink"/>
            <w:sz w:val="22"/>
            <w:szCs w:val="22"/>
          </w:rPr>
          <w:t xml:space="preserve"> </w:t>
        </w:r>
      </w:hyperlink>
      <w:r w:rsidRPr="002D4064">
        <w:rPr>
          <w:sz w:val="22"/>
          <w:szCs w:val="22"/>
        </w:rPr>
        <w:t xml:space="preserve"> </w:t>
      </w:r>
      <w:r w:rsidRPr="002D4064">
        <w:rPr>
          <w:rFonts w:cs="Arial"/>
          <w:color w:val="0B0C0C"/>
          <w:sz w:val="22"/>
          <w:szCs w:val="22"/>
        </w:rPr>
        <w:t>programme is to deliver a short summer school with a blend of academic education and enrichment activities.</w:t>
      </w:r>
      <w:r w:rsidR="00AE061D">
        <w:rPr>
          <w:rFonts w:cs="Arial"/>
          <w:color w:val="0B0C0C"/>
          <w:sz w:val="22"/>
          <w:szCs w:val="22"/>
        </w:rPr>
        <w:t xml:space="preserve"> </w:t>
      </w:r>
      <w:r w:rsidRPr="002D4064">
        <w:rPr>
          <w:rFonts w:cs="Arial"/>
          <w:color w:val="0B0C0C"/>
          <w:sz w:val="22"/>
          <w:szCs w:val="22"/>
        </w:rPr>
        <w:t xml:space="preserve">This funding must be used for provision delivered during the school summer holidays. </w:t>
      </w:r>
      <w:r w:rsidRPr="002D4064">
        <w:rPr>
          <w:sz w:val="22"/>
          <w:szCs w:val="22"/>
        </w:rPr>
        <w:t xml:space="preserve">The funding allocates £597 per </w:t>
      </w:r>
      <w:proofErr w:type="gramStart"/>
      <w:r w:rsidR="00AE061D">
        <w:rPr>
          <w:sz w:val="22"/>
          <w:szCs w:val="22"/>
        </w:rPr>
        <w:t xml:space="preserve">two </w:t>
      </w:r>
      <w:r w:rsidRPr="002D4064">
        <w:rPr>
          <w:sz w:val="22"/>
          <w:szCs w:val="22"/>
        </w:rPr>
        <w:lastRenderedPageBreak/>
        <w:t>week</w:t>
      </w:r>
      <w:proofErr w:type="gramEnd"/>
      <w:r w:rsidRPr="002D4064">
        <w:rPr>
          <w:sz w:val="22"/>
          <w:szCs w:val="22"/>
        </w:rPr>
        <w:t xml:space="preserve"> place secondary schools, and £1,791 per 2-week place for pupils in special schools.  </w:t>
      </w:r>
    </w:p>
    <w:p w14:paraId="44F8DEA7" w14:textId="77777777" w:rsidR="00C07C3C" w:rsidRPr="002D4064" w:rsidRDefault="00C07C3C" w:rsidP="00C07C3C">
      <w:pPr>
        <w:pStyle w:val="ListParagraph"/>
        <w:shd w:val="clear" w:color="auto" w:fill="FFFFFF"/>
        <w:spacing w:before="300" w:after="300"/>
        <w:ind w:left="567"/>
        <w:rPr>
          <w:sz w:val="22"/>
          <w:szCs w:val="22"/>
        </w:rPr>
      </w:pPr>
    </w:p>
    <w:p w14:paraId="1A828948" w14:textId="77777777" w:rsidR="00C07C3C" w:rsidRPr="002D4064" w:rsidRDefault="00C07C3C" w:rsidP="00C07C3C">
      <w:pPr>
        <w:pStyle w:val="ListParagraph"/>
        <w:shd w:val="clear" w:color="auto" w:fill="FFFFFF"/>
        <w:spacing w:before="300" w:after="300"/>
        <w:ind w:left="567"/>
        <w:rPr>
          <w:sz w:val="22"/>
          <w:szCs w:val="22"/>
        </w:rPr>
      </w:pPr>
      <w:r w:rsidRPr="002D4064">
        <w:rPr>
          <w:rFonts w:cs="Arial"/>
          <w:color w:val="0B0C0C"/>
          <w:sz w:val="22"/>
          <w:szCs w:val="22"/>
        </w:rPr>
        <w:t xml:space="preserve">Schools must keep a record of attendance, and must read the conditions, as they will be held accountable for the use of funds.  Should the programme not take </w:t>
      </w:r>
      <w:proofErr w:type="gramStart"/>
      <w:r w:rsidRPr="002D4064">
        <w:rPr>
          <w:rFonts w:cs="Arial"/>
          <w:color w:val="0B0C0C"/>
          <w:sz w:val="22"/>
          <w:szCs w:val="22"/>
        </w:rPr>
        <w:t>place</w:t>
      </w:r>
      <w:proofErr w:type="gramEnd"/>
      <w:r w:rsidRPr="002D4064">
        <w:rPr>
          <w:rFonts w:cs="Arial"/>
          <w:color w:val="0B0C0C"/>
          <w:sz w:val="22"/>
          <w:szCs w:val="22"/>
        </w:rPr>
        <w:t xml:space="preserve"> or a school not comply with the conditions, funding can be withdrawn</w:t>
      </w:r>
    </w:p>
    <w:p w14:paraId="1CD9561E" w14:textId="77777777" w:rsidR="00C07C3C" w:rsidRPr="002D4064" w:rsidRDefault="00C07C3C" w:rsidP="00C07C3C">
      <w:pPr>
        <w:pStyle w:val="ListParagraph"/>
        <w:ind w:left="567" w:right="176"/>
        <w:rPr>
          <w:sz w:val="22"/>
          <w:szCs w:val="22"/>
        </w:rPr>
      </w:pPr>
    </w:p>
    <w:p w14:paraId="58C970E6" w14:textId="77777777" w:rsidR="00C07C3C" w:rsidRPr="002D4064" w:rsidRDefault="00C07C3C" w:rsidP="00C07C3C">
      <w:pPr>
        <w:pStyle w:val="govuk-body-m"/>
        <w:numPr>
          <w:ilvl w:val="1"/>
          <w:numId w:val="21"/>
        </w:numPr>
        <w:shd w:val="clear" w:color="auto" w:fill="FFFFFF"/>
        <w:spacing w:before="0" w:beforeAutospacing="0" w:after="300" w:afterAutospacing="0"/>
        <w:ind w:left="567" w:hanging="567"/>
        <w:rPr>
          <w:rFonts w:ascii="Arial" w:hAnsi="Arial" w:cs="Arial"/>
          <w:color w:val="0B0C0C"/>
          <w:sz w:val="22"/>
          <w:szCs w:val="22"/>
        </w:rPr>
      </w:pPr>
      <w:hyperlink r:id="rId28" w:anchor="about-the-programme" w:history="1">
        <w:r w:rsidRPr="002D4064">
          <w:rPr>
            <w:rStyle w:val="Hyperlink"/>
            <w:rFonts w:ascii="Arial" w:hAnsi="Arial"/>
            <w:b/>
            <w:bCs/>
            <w:sz w:val="22"/>
            <w:szCs w:val="22"/>
          </w:rPr>
          <w:t>Digital Education Platforms</w:t>
        </w:r>
      </w:hyperlink>
      <w:r w:rsidRPr="002D4064">
        <w:rPr>
          <w:sz w:val="22"/>
          <w:szCs w:val="22"/>
        </w:rPr>
        <w:t xml:space="preserve">  </w:t>
      </w:r>
      <w:r w:rsidRPr="002D4064">
        <w:rPr>
          <w:rFonts w:ascii="Arial" w:hAnsi="Arial" w:cs="Arial"/>
          <w:color w:val="0B0C0C"/>
          <w:sz w:val="22"/>
          <w:szCs w:val="22"/>
        </w:rPr>
        <w:t xml:space="preserve">Schools can apply for support to get set up on one of two free-to-use digital education platforms, provided they do not have one in place.  Either: </w:t>
      </w:r>
    </w:p>
    <w:p w14:paraId="42FD03A4" w14:textId="77777777" w:rsidR="00C07C3C" w:rsidRPr="002D4064" w:rsidRDefault="00C07C3C" w:rsidP="00C07C3C">
      <w:pPr>
        <w:numPr>
          <w:ilvl w:val="0"/>
          <w:numId w:val="22"/>
        </w:numPr>
        <w:shd w:val="clear" w:color="auto" w:fill="FFFFFF"/>
        <w:spacing w:before="100" w:beforeAutospacing="1" w:after="75"/>
        <w:rPr>
          <w:color w:val="0B0C0C"/>
          <w:sz w:val="22"/>
          <w:szCs w:val="22"/>
        </w:rPr>
      </w:pPr>
      <w:r w:rsidRPr="002D4064">
        <w:rPr>
          <w:color w:val="0B0C0C"/>
          <w:sz w:val="22"/>
          <w:szCs w:val="22"/>
        </w:rPr>
        <w:t>Google Workspace for Education Fundamentals (formerly G Suite for Education)</w:t>
      </w:r>
    </w:p>
    <w:p w14:paraId="7F818D7B" w14:textId="77777777" w:rsidR="00C07C3C" w:rsidRPr="002D4064" w:rsidRDefault="00C07C3C" w:rsidP="00C07C3C">
      <w:pPr>
        <w:numPr>
          <w:ilvl w:val="0"/>
          <w:numId w:val="22"/>
        </w:numPr>
        <w:shd w:val="clear" w:color="auto" w:fill="FFFFFF"/>
        <w:spacing w:before="100" w:beforeAutospacing="1" w:after="75"/>
        <w:rPr>
          <w:color w:val="0B0C0C"/>
          <w:sz w:val="22"/>
          <w:szCs w:val="22"/>
        </w:rPr>
      </w:pPr>
      <w:r w:rsidRPr="002D4064">
        <w:rPr>
          <w:color w:val="0B0C0C"/>
          <w:sz w:val="22"/>
          <w:szCs w:val="22"/>
        </w:rPr>
        <w:t>Microsoft 365 Education (formerly Office 365 Education).</w:t>
      </w:r>
    </w:p>
    <w:p w14:paraId="281D9EE5" w14:textId="77777777" w:rsidR="00C07C3C" w:rsidRPr="002D4064" w:rsidRDefault="00C07C3C" w:rsidP="00C07C3C">
      <w:pPr>
        <w:pStyle w:val="ListParagraph"/>
        <w:ind w:left="360" w:right="176"/>
        <w:rPr>
          <w:sz w:val="22"/>
          <w:szCs w:val="22"/>
        </w:rPr>
      </w:pPr>
    </w:p>
    <w:p w14:paraId="136590BC" w14:textId="77777777" w:rsidR="00C07C3C" w:rsidRPr="002D4064" w:rsidRDefault="00C07C3C" w:rsidP="00C07C3C">
      <w:pPr>
        <w:pStyle w:val="govuk-body-m"/>
        <w:shd w:val="clear" w:color="auto" w:fill="FFFFFF"/>
        <w:spacing w:before="0" w:beforeAutospacing="0" w:after="300" w:afterAutospacing="0"/>
        <w:ind w:left="567"/>
        <w:rPr>
          <w:rFonts w:ascii="Arial" w:hAnsi="Arial" w:cs="Arial"/>
          <w:color w:val="0B0C0C"/>
          <w:sz w:val="22"/>
          <w:szCs w:val="22"/>
        </w:rPr>
      </w:pPr>
      <w:r w:rsidRPr="002D4064">
        <w:rPr>
          <w:rFonts w:ascii="Arial" w:hAnsi="Arial" w:cs="Arial"/>
          <w:color w:val="0B0C0C"/>
          <w:sz w:val="22"/>
          <w:szCs w:val="22"/>
        </w:rPr>
        <w:t>Grants support the establishment of online virtual classrooms, up to a value of £1,500 and are purpose-built for remote learning in a way that a school or college website is not.</w:t>
      </w:r>
    </w:p>
    <w:p w14:paraId="3A6E3219" w14:textId="51E4B20A" w:rsidR="00C07C3C" w:rsidRPr="002D4064" w:rsidRDefault="00C07C3C" w:rsidP="00C07C3C">
      <w:pPr>
        <w:ind w:right="176"/>
        <w:rPr>
          <w:sz w:val="22"/>
          <w:szCs w:val="22"/>
        </w:rPr>
      </w:pPr>
      <w:r w:rsidRPr="002D4064">
        <w:rPr>
          <w:sz w:val="22"/>
          <w:szCs w:val="22"/>
        </w:rPr>
        <w:t>Grants seeking to support schools dealing with the effects the national Covid-19 pandemic are time limited and issued as one-off targeted support.</w:t>
      </w:r>
      <w:r w:rsidR="00AE061D">
        <w:rPr>
          <w:sz w:val="22"/>
          <w:szCs w:val="22"/>
        </w:rPr>
        <w:t xml:space="preserve"> </w:t>
      </w:r>
      <w:r w:rsidRPr="002D4064">
        <w:rPr>
          <w:sz w:val="22"/>
          <w:szCs w:val="22"/>
        </w:rPr>
        <w:t>They are listed due to the possibility of extension depending on circumstances.</w:t>
      </w:r>
      <w:r w:rsidR="00AE061D">
        <w:rPr>
          <w:sz w:val="22"/>
          <w:szCs w:val="22"/>
        </w:rPr>
        <w:t xml:space="preserve"> </w:t>
      </w:r>
      <w:r w:rsidRPr="002D4064">
        <w:rPr>
          <w:sz w:val="22"/>
          <w:szCs w:val="22"/>
        </w:rPr>
        <w:t xml:space="preserve">Current main sources of support income are: </w:t>
      </w:r>
    </w:p>
    <w:p w14:paraId="3084AC98" w14:textId="77777777" w:rsidR="00C07C3C" w:rsidRPr="002D4064" w:rsidRDefault="00C07C3C" w:rsidP="00C07C3C">
      <w:pPr>
        <w:ind w:right="176"/>
        <w:rPr>
          <w:sz w:val="22"/>
          <w:szCs w:val="22"/>
        </w:rPr>
      </w:pPr>
    </w:p>
    <w:p w14:paraId="6CDE0FF1" w14:textId="5154922C" w:rsidR="00C07C3C" w:rsidRPr="002D4064" w:rsidRDefault="00C07C3C" w:rsidP="00C07C3C">
      <w:pPr>
        <w:pStyle w:val="ListParagraph"/>
        <w:numPr>
          <w:ilvl w:val="1"/>
          <w:numId w:val="21"/>
        </w:numPr>
        <w:ind w:left="567" w:right="176" w:hanging="567"/>
        <w:rPr>
          <w:sz w:val="22"/>
          <w:szCs w:val="22"/>
        </w:rPr>
      </w:pPr>
      <w:r w:rsidRPr="002D4064">
        <w:rPr>
          <w:sz w:val="22"/>
          <w:szCs w:val="22"/>
        </w:rPr>
        <w:t xml:space="preserve">The </w:t>
      </w:r>
      <w:hyperlink r:id="rId29" w:history="1">
        <w:r w:rsidRPr="002D4064">
          <w:rPr>
            <w:rStyle w:val="Hyperlink"/>
            <w:b/>
            <w:bCs/>
            <w:sz w:val="22"/>
            <w:szCs w:val="22"/>
          </w:rPr>
          <w:t xml:space="preserve">Covid- workforce fund </w:t>
        </w:r>
      </w:hyperlink>
      <w:r w:rsidRPr="002D4064">
        <w:rPr>
          <w:sz w:val="22"/>
          <w:szCs w:val="22"/>
        </w:rPr>
        <w:t xml:space="preserve">grant initially ran for a limited period in the winter of 2020, and has been resurrected for a similar period in 2021 to support schools facing significant staff absences and financial pressures with the costs of staff cover for the period from 22 November 2021 to 18 February 2022. It contains a </w:t>
      </w:r>
      <w:proofErr w:type="gramStart"/>
      <w:r w:rsidRPr="002D4064">
        <w:rPr>
          <w:sz w:val="22"/>
          <w:szCs w:val="22"/>
        </w:rPr>
        <w:t>financial reserves criteria</w:t>
      </w:r>
      <w:proofErr w:type="gramEnd"/>
      <w:r w:rsidRPr="002D4064">
        <w:rPr>
          <w:sz w:val="22"/>
          <w:szCs w:val="22"/>
        </w:rPr>
        <w:t>, limiting applications to schools with a less than 4</w:t>
      </w:r>
      <w:r w:rsidR="00AE061D">
        <w:rPr>
          <w:sz w:val="22"/>
          <w:szCs w:val="22"/>
        </w:rPr>
        <w:t xml:space="preserve"> per cent</w:t>
      </w:r>
      <w:r w:rsidRPr="002D4064">
        <w:rPr>
          <w:sz w:val="22"/>
          <w:szCs w:val="22"/>
        </w:rPr>
        <w:t xml:space="preserve"> surplus balance.</w:t>
      </w:r>
    </w:p>
    <w:p w14:paraId="1E1690C1" w14:textId="77777777" w:rsidR="00C07C3C" w:rsidRPr="002D4064" w:rsidRDefault="00C07C3C" w:rsidP="00C07C3C">
      <w:pPr>
        <w:pStyle w:val="ListParagraph"/>
        <w:ind w:left="567" w:right="176"/>
        <w:rPr>
          <w:sz w:val="22"/>
          <w:szCs w:val="22"/>
        </w:rPr>
      </w:pPr>
    </w:p>
    <w:p w14:paraId="62BC0DDC" w14:textId="76480731" w:rsidR="00C07C3C" w:rsidRPr="002D4064" w:rsidRDefault="00C07C3C" w:rsidP="00C07C3C">
      <w:pPr>
        <w:pStyle w:val="ListParagraph"/>
        <w:numPr>
          <w:ilvl w:val="1"/>
          <w:numId w:val="21"/>
        </w:numPr>
        <w:ind w:left="567" w:hanging="567"/>
        <w:rPr>
          <w:sz w:val="22"/>
          <w:szCs w:val="22"/>
        </w:rPr>
      </w:pPr>
      <w:hyperlink r:id="rId30" w:history="1">
        <w:r w:rsidRPr="002D4064">
          <w:rPr>
            <w:rStyle w:val="Hyperlink"/>
            <w:b/>
            <w:bCs/>
            <w:sz w:val="22"/>
            <w:szCs w:val="22"/>
          </w:rPr>
          <w:t>Covid-19 National testing</w:t>
        </w:r>
      </w:hyperlink>
      <w:r w:rsidRPr="002D4064">
        <w:rPr>
          <w:sz w:val="22"/>
          <w:szCs w:val="22"/>
        </w:rPr>
        <w:t xml:space="preserve">  Schools </w:t>
      </w:r>
      <w:proofErr w:type="gramStart"/>
      <w:r w:rsidRPr="002D4064">
        <w:rPr>
          <w:sz w:val="22"/>
          <w:szCs w:val="22"/>
        </w:rPr>
        <w:t>are able to</w:t>
      </w:r>
      <w:proofErr w:type="gramEnd"/>
      <w:r w:rsidRPr="002D4064">
        <w:rPr>
          <w:sz w:val="22"/>
          <w:szCs w:val="22"/>
        </w:rPr>
        <w:t xml:space="preserve"> c</w:t>
      </w:r>
      <w:r w:rsidRPr="002D4064">
        <w:rPr>
          <w:rFonts w:cs="Arial"/>
          <w:color w:val="0B0C0C"/>
          <w:sz w:val="22"/>
          <w:szCs w:val="22"/>
        </w:rPr>
        <w:t>laim exceptional costs related to coronavirus (COVID-19) mass testing direct to the DfE, provided these costs exceed other formulaic allocations made.</w:t>
      </w:r>
      <w:r w:rsidR="002F7D38">
        <w:rPr>
          <w:rFonts w:cs="Arial"/>
          <w:color w:val="0B0C0C"/>
          <w:sz w:val="22"/>
          <w:szCs w:val="22"/>
        </w:rPr>
        <w:t xml:space="preserve"> </w:t>
      </w:r>
      <w:r w:rsidRPr="002D4064">
        <w:rPr>
          <w:rFonts w:cs="Arial"/>
          <w:color w:val="0B0C0C"/>
          <w:sz w:val="22"/>
          <w:szCs w:val="22"/>
        </w:rPr>
        <w:t>Claims for exceptional costs related to coronavirus (COVID-19) mass testing can be made up until 12 May 2021. It will not be possible to grant any extensions to the deadline.</w:t>
      </w:r>
    </w:p>
    <w:p w14:paraId="636C9147" w14:textId="77777777" w:rsidR="00C07C3C" w:rsidRPr="002D4064" w:rsidRDefault="00C07C3C" w:rsidP="00C07C3C">
      <w:pPr>
        <w:pStyle w:val="ListParagraph"/>
        <w:ind w:left="567" w:right="176"/>
        <w:rPr>
          <w:sz w:val="22"/>
          <w:szCs w:val="22"/>
        </w:rPr>
      </w:pPr>
    </w:p>
    <w:p w14:paraId="570E4142" w14:textId="77777777" w:rsidR="00C07C3C" w:rsidRPr="002D4064" w:rsidRDefault="00C07C3C" w:rsidP="00C07C3C">
      <w:pPr>
        <w:pStyle w:val="ListParagraph"/>
        <w:numPr>
          <w:ilvl w:val="1"/>
          <w:numId w:val="21"/>
        </w:numPr>
        <w:ind w:left="567" w:right="176" w:hanging="567"/>
        <w:rPr>
          <w:sz w:val="22"/>
          <w:szCs w:val="22"/>
        </w:rPr>
      </w:pPr>
      <w:r w:rsidRPr="002D4064">
        <w:rPr>
          <w:sz w:val="22"/>
          <w:szCs w:val="22"/>
        </w:rPr>
        <w:t xml:space="preserve">The </w:t>
      </w:r>
      <w:hyperlink r:id="rId31" w:history="1">
        <w:r w:rsidRPr="002D4064">
          <w:rPr>
            <w:rStyle w:val="Hyperlink"/>
            <w:b/>
            <w:bCs/>
            <w:sz w:val="22"/>
            <w:szCs w:val="22"/>
          </w:rPr>
          <w:t>Covid Catch-up-premium</w:t>
        </w:r>
      </w:hyperlink>
      <w:r w:rsidRPr="002D4064">
        <w:rPr>
          <w:sz w:val="22"/>
          <w:szCs w:val="22"/>
        </w:rPr>
        <w:t xml:space="preserve"> grant is allocated for 2020-21 academic year only and allocated to all schools on a head count basis (from the Oct 2020 census).  </w:t>
      </w:r>
      <w:r w:rsidRPr="002D4064">
        <w:rPr>
          <w:rFonts w:cs="Arial"/>
          <w:color w:val="0B0C0C"/>
          <w:sz w:val="22"/>
          <w:szCs w:val="22"/>
          <w:shd w:val="clear" w:color="auto" w:fill="FFFFFF"/>
        </w:rPr>
        <w:t>Similar to the </w:t>
      </w:r>
      <w:hyperlink r:id="rId32" w:anchor="use-of-the-pupil-premium" w:history="1">
        <w:r w:rsidRPr="002D4064">
          <w:rPr>
            <w:rStyle w:val="Hyperlink"/>
            <w:rFonts w:cs="Arial"/>
            <w:color w:val="1D70B8"/>
            <w:sz w:val="22"/>
            <w:szCs w:val="22"/>
            <w:shd w:val="clear" w:color="auto" w:fill="FFFFFF"/>
          </w:rPr>
          <w:t>pupil premium</w:t>
        </w:r>
      </w:hyperlink>
      <w:r w:rsidRPr="002D4064">
        <w:rPr>
          <w:sz w:val="22"/>
          <w:szCs w:val="22"/>
        </w:rPr>
        <w:t>, schools should use the sum available to them as a single total.</w:t>
      </w:r>
    </w:p>
    <w:p w14:paraId="58EA7377" w14:textId="2FB03635" w:rsidR="00C07C3C" w:rsidRPr="002D4064" w:rsidRDefault="00C07C3C" w:rsidP="00C07C3C">
      <w:pPr>
        <w:pStyle w:val="NormalWeb"/>
        <w:numPr>
          <w:ilvl w:val="1"/>
          <w:numId w:val="21"/>
        </w:numPr>
        <w:shd w:val="clear" w:color="auto" w:fill="FFFFFF"/>
        <w:spacing w:before="300" w:beforeAutospacing="0" w:after="300" w:afterAutospacing="0"/>
        <w:ind w:left="567" w:hanging="567"/>
        <w:rPr>
          <w:rFonts w:ascii="Arial" w:hAnsi="Arial" w:cs="Arial"/>
          <w:color w:val="0B0C0C"/>
          <w:sz w:val="22"/>
          <w:szCs w:val="22"/>
        </w:rPr>
      </w:pPr>
      <w:hyperlink r:id="rId33" w:history="1">
        <w:r w:rsidRPr="002D4064">
          <w:rPr>
            <w:rStyle w:val="Hyperlink"/>
            <w:rFonts w:ascii="Arial" w:hAnsi="Arial"/>
            <w:b/>
            <w:bCs/>
            <w:sz w:val="22"/>
            <w:szCs w:val="22"/>
          </w:rPr>
          <w:t>Covid-19 Recovery Premium Funding</w:t>
        </w:r>
      </w:hyperlink>
      <w:r w:rsidRPr="002D4064">
        <w:rPr>
          <w:sz w:val="22"/>
          <w:szCs w:val="22"/>
        </w:rPr>
        <w:t xml:space="preserve"> </w:t>
      </w:r>
      <w:r w:rsidRPr="002D4064">
        <w:rPr>
          <w:rFonts w:ascii="Arial" w:hAnsi="Arial" w:cs="Arial"/>
          <w:color w:val="0B0C0C"/>
          <w:sz w:val="22"/>
          <w:szCs w:val="22"/>
        </w:rPr>
        <w:t>was announced in Feb 2021 as a one-off package of funding to support education recovery.</w:t>
      </w:r>
      <w:r w:rsidR="002F7D38">
        <w:rPr>
          <w:rFonts w:ascii="Arial" w:hAnsi="Arial" w:cs="Arial"/>
          <w:color w:val="0B0C0C"/>
          <w:sz w:val="22"/>
          <w:szCs w:val="22"/>
        </w:rPr>
        <w:t xml:space="preserve"> </w:t>
      </w:r>
      <w:r w:rsidRPr="002D4064">
        <w:rPr>
          <w:rFonts w:ascii="Arial" w:hAnsi="Arial" w:cs="Arial"/>
          <w:color w:val="0B0C0C"/>
          <w:sz w:val="22"/>
          <w:szCs w:val="22"/>
        </w:rPr>
        <w:t xml:space="preserve">The grants </w:t>
      </w:r>
      <w:proofErr w:type="gramStart"/>
      <w:r w:rsidRPr="002D4064">
        <w:rPr>
          <w:rFonts w:ascii="Arial" w:hAnsi="Arial" w:cs="Arial"/>
          <w:color w:val="0B0C0C"/>
          <w:sz w:val="22"/>
          <w:szCs w:val="22"/>
        </w:rPr>
        <w:t>runs</w:t>
      </w:r>
      <w:proofErr w:type="gramEnd"/>
      <w:r w:rsidRPr="002D4064">
        <w:rPr>
          <w:rFonts w:ascii="Arial" w:hAnsi="Arial" w:cs="Arial"/>
          <w:color w:val="0B0C0C"/>
          <w:sz w:val="22"/>
          <w:szCs w:val="22"/>
        </w:rPr>
        <w:t xml:space="preserve"> for the 2021-2022 academic year</w:t>
      </w:r>
    </w:p>
    <w:tbl>
      <w:tblPr>
        <w:tblStyle w:val="TableGrid"/>
        <w:tblW w:w="0" w:type="auto"/>
        <w:tblInd w:w="1129" w:type="dxa"/>
        <w:tblLook w:val="04A0" w:firstRow="1" w:lastRow="0" w:firstColumn="1" w:lastColumn="0" w:noHBand="0" w:noVBand="1"/>
      </w:tblPr>
      <w:tblGrid>
        <w:gridCol w:w="5103"/>
        <w:gridCol w:w="1694"/>
      </w:tblGrid>
      <w:tr w:rsidR="00C07C3C" w:rsidRPr="002D4064" w14:paraId="0D0A5C65" w14:textId="77777777" w:rsidTr="006D5B04">
        <w:tc>
          <w:tcPr>
            <w:tcW w:w="5103" w:type="dxa"/>
          </w:tcPr>
          <w:p w14:paraId="355C8B0D" w14:textId="77777777" w:rsidR="00C07C3C" w:rsidRPr="002D4064" w:rsidRDefault="00C07C3C" w:rsidP="006D5B04">
            <w:pPr>
              <w:rPr>
                <w:sz w:val="22"/>
                <w:szCs w:val="22"/>
              </w:rPr>
            </w:pPr>
            <w:r w:rsidRPr="002D4064">
              <w:rPr>
                <w:sz w:val="22"/>
                <w:szCs w:val="22"/>
              </w:rPr>
              <w:t>Funding per pupil per phase/characteristics</w:t>
            </w:r>
          </w:p>
        </w:tc>
        <w:tc>
          <w:tcPr>
            <w:tcW w:w="1694" w:type="dxa"/>
            <w:vAlign w:val="center"/>
          </w:tcPr>
          <w:p w14:paraId="3A4F3E00" w14:textId="77777777" w:rsidR="00C07C3C" w:rsidRPr="002D4064" w:rsidRDefault="00C07C3C" w:rsidP="006D5B04">
            <w:pPr>
              <w:jc w:val="center"/>
              <w:rPr>
                <w:sz w:val="22"/>
                <w:szCs w:val="22"/>
              </w:rPr>
            </w:pPr>
            <w:r w:rsidRPr="002D4064">
              <w:rPr>
                <w:sz w:val="22"/>
                <w:szCs w:val="22"/>
              </w:rPr>
              <w:t>£</w:t>
            </w:r>
          </w:p>
        </w:tc>
      </w:tr>
      <w:tr w:rsidR="00C07C3C" w:rsidRPr="002D4064" w14:paraId="2CBFA979" w14:textId="77777777" w:rsidTr="006D5B04">
        <w:tc>
          <w:tcPr>
            <w:tcW w:w="5103" w:type="dxa"/>
          </w:tcPr>
          <w:p w14:paraId="618752B9" w14:textId="77777777" w:rsidR="00C07C3C" w:rsidRPr="002D4064" w:rsidRDefault="00C07C3C" w:rsidP="006D5B04">
            <w:pPr>
              <w:rPr>
                <w:sz w:val="22"/>
                <w:szCs w:val="22"/>
              </w:rPr>
            </w:pPr>
            <w:r w:rsidRPr="002D4064">
              <w:rPr>
                <w:sz w:val="22"/>
                <w:szCs w:val="22"/>
              </w:rPr>
              <w:t>primary &amp; secondary mainstream</w:t>
            </w:r>
          </w:p>
        </w:tc>
        <w:tc>
          <w:tcPr>
            <w:tcW w:w="1694" w:type="dxa"/>
            <w:vAlign w:val="center"/>
          </w:tcPr>
          <w:p w14:paraId="1F7D80B7" w14:textId="77777777" w:rsidR="00C07C3C" w:rsidRPr="002D4064" w:rsidRDefault="00C07C3C" w:rsidP="006D5B04">
            <w:pPr>
              <w:jc w:val="center"/>
              <w:rPr>
                <w:sz w:val="22"/>
                <w:szCs w:val="22"/>
              </w:rPr>
            </w:pPr>
            <w:r w:rsidRPr="002D4064">
              <w:rPr>
                <w:sz w:val="22"/>
                <w:szCs w:val="22"/>
              </w:rPr>
              <w:t>£145</w:t>
            </w:r>
          </w:p>
        </w:tc>
      </w:tr>
      <w:tr w:rsidR="00C07C3C" w:rsidRPr="002D4064" w14:paraId="60AD8D23" w14:textId="77777777" w:rsidTr="006D5B04">
        <w:tc>
          <w:tcPr>
            <w:tcW w:w="5103" w:type="dxa"/>
          </w:tcPr>
          <w:p w14:paraId="4FD55B40" w14:textId="77777777" w:rsidR="00C07C3C" w:rsidRPr="002D4064" w:rsidRDefault="00C07C3C" w:rsidP="006D5B04">
            <w:pPr>
              <w:rPr>
                <w:sz w:val="22"/>
                <w:szCs w:val="22"/>
              </w:rPr>
            </w:pPr>
            <w:r w:rsidRPr="002D4064">
              <w:rPr>
                <w:sz w:val="22"/>
                <w:szCs w:val="22"/>
              </w:rPr>
              <w:t>Special unit/school</w:t>
            </w:r>
          </w:p>
        </w:tc>
        <w:tc>
          <w:tcPr>
            <w:tcW w:w="1694" w:type="dxa"/>
            <w:vAlign w:val="center"/>
          </w:tcPr>
          <w:p w14:paraId="471A8D5A" w14:textId="77777777" w:rsidR="00C07C3C" w:rsidRPr="002D4064" w:rsidRDefault="00C07C3C" w:rsidP="006D5B04">
            <w:pPr>
              <w:jc w:val="center"/>
              <w:rPr>
                <w:sz w:val="22"/>
                <w:szCs w:val="22"/>
              </w:rPr>
            </w:pPr>
            <w:r w:rsidRPr="002D4064">
              <w:rPr>
                <w:sz w:val="22"/>
                <w:szCs w:val="22"/>
              </w:rPr>
              <w:t>£290</w:t>
            </w:r>
          </w:p>
        </w:tc>
      </w:tr>
    </w:tbl>
    <w:p w14:paraId="7D0C5094" w14:textId="77777777" w:rsidR="00C07C3C" w:rsidRPr="002D4064" w:rsidRDefault="00C07C3C" w:rsidP="00C07C3C">
      <w:pPr>
        <w:pStyle w:val="NormalWeb"/>
        <w:shd w:val="clear" w:color="auto" w:fill="FFFFFF"/>
        <w:spacing w:before="300" w:beforeAutospacing="0" w:after="300" w:afterAutospacing="0"/>
        <w:ind w:left="567"/>
        <w:rPr>
          <w:rFonts w:ascii="Arial" w:hAnsi="Arial" w:cs="Arial"/>
          <w:color w:val="0B0C0C"/>
          <w:sz w:val="22"/>
          <w:szCs w:val="22"/>
        </w:rPr>
      </w:pPr>
      <w:r w:rsidRPr="002D4064">
        <w:rPr>
          <w:rFonts w:ascii="Arial" w:hAnsi="Arial" w:cs="Arial"/>
          <w:color w:val="0B0C0C"/>
          <w:sz w:val="22"/>
          <w:szCs w:val="22"/>
        </w:rPr>
        <w:t>Schools should spend this premium on evidence-based approaches to support pupils. In line with the </w:t>
      </w:r>
      <w:hyperlink r:id="rId34" w:history="1">
        <w:r w:rsidRPr="002D4064">
          <w:rPr>
            <w:rStyle w:val="Hyperlink"/>
            <w:rFonts w:ascii="Arial" w:hAnsi="Arial" w:cs="Arial"/>
            <w:color w:val="1D70B8"/>
            <w:sz w:val="22"/>
            <w:szCs w:val="22"/>
            <w:shd w:val="clear" w:color="auto" w:fill="FFFFFF"/>
          </w:rPr>
          <w:t>Education Endowment Foundation’s pupil premium guide</w:t>
        </w:r>
      </w:hyperlink>
      <w:r w:rsidRPr="002D4064">
        <w:rPr>
          <w:rFonts w:ascii="Arial" w:hAnsi="Arial" w:cs="Arial"/>
          <w:color w:val="0B0C0C"/>
          <w:sz w:val="22"/>
          <w:szCs w:val="22"/>
          <w:shd w:val="clear" w:color="auto" w:fill="FFFFFF"/>
        </w:rPr>
        <w:t>. </w:t>
      </w:r>
      <w:r w:rsidRPr="002D4064">
        <w:rPr>
          <w:rFonts w:ascii="Arial" w:hAnsi="Arial" w:cs="Arial"/>
          <w:color w:val="0B0C0C"/>
          <w:sz w:val="22"/>
          <w:szCs w:val="22"/>
        </w:rPr>
        <w:t>The grant builds on the </w:t>
      </w:r>
      <w:hyperlink r:id="rId35" w:history="1">
        <w:r w:rsidRPr="002D4064">
          <w:rPr>
            <w:rStyle w:val="Hyperlink"/>
            <w:rFonts w:ascii="Arial" w:hAnsi="Arial" w:cs="Arial"/>
            <w:sz w:val="22"/>
            <w:szCs w:val="22"/>
          </w:rPr>
          <w:t>pupil premium</w:t>
        </w:r>
      </w:hyperlink>
      <w:r w:rsidRPr="002D4064">
        <w:rPr>
          <w:rFonts w:ascii="Arial" w:hAnsi="Arial" w:cs="Arial"/>
          <w:color w:val="0B0C0C"/>
          <w:sz w:val="22"/>
          <w:szCs w:val="22"/>
        </w:rPr>
        <w:t xml:space="preserve">  principles, which should be used as a guide.</w:t>
      </w:r>
    </w:p>
    <w:p w14:paraId="5C7C27F0" w14:textId="77777777" w:rsidR="00C07C3C" w:rsidRDefault="00C07C3C" w:rsidP="00C07C3C">
      <w:pPr>
        <w:pStyle w:val="NormalWeb"/>
        <w:numPr>
          <w:ilvl w:val="1"/>
          <w:numId w:val="21"/>
        </w:numPr>
        <w:shd w:val="clear" w:color="auto" w:fill="FFFFFF"/>
        <w:spacing w:before="0" w:beforeAutospacing="0" w:after="0" w:afterAutospacing="0"/>
        <w:ind w:left="567" w:hanging="567"/>
        <w:rPr>
          <w:rFonts w:ascii="Arial" w:hAnsi="Arial" w:cs="Arial"/>
          <w:color w:val="0B0C0C"/>
          <w:sz w:val="22"/>
          <w:szCs w:val="22"/>
        </w:rPr>
      </w:pPr>
      <w:r w:rsidRPr="002D4064">
        <w:rPr>
          <w:rFonts w:ascii="Arial" w:hAnsi="Arial" w:cs="Arial"/>
          <w:sz w:val="22"/>
          <w:szCs w:val="22"/>
        </w:rPr>
        <w:lastRenderedPageBreak/>
        <w:t>The</w:t>
      </w:r>
      <w:r w:rsidRPr="002D4064">
        <w:rPr>
          <w:rFonts w:ascii="Arial" w:hAnsi="Arial" w:cs="Arial"/>
          <w:b/>
          <w:bCs/>
          <w:sz w:val="22"/>
          <w:szCs w:val="22"/>
        </w:rPr>
        <w:t xml:space="preserve"> </w:t>
      </w:r>
      <w:hyperlink r:id="rId36" w:history="1">
        <w:r w:rsidRPr="002D4064">
          <w:rPr>
            <w:rStyle w:val="Hyperlink"/>
            <w:rFonts w:ascii="Arial" w:hAnsi="Arial" w:cs="Arial"/>
            <w:b/>
            <w:bCs/>
            <w:sz w:val="22"/>
            <w:szCs w:val="22"/>
          </w:rPr>
          <w:t>National Tutoring Programme (NTP)</w:t>
        </w:r>
      </w:hyperlink>
      <w:r w:rsidRPr="002D4064">
        <w:rPr>
          <w:rFonts w:ascii="Arial" w:hAnsi="Arial" w:cs="Arial"/>
          <w:sz w:val="22"/>
          <w:szCs w:val="22"/>
        </w:rPr>
        <w:t xml:space="preserve">  </w:t>
      </w:r>
      <w:r w:rsidRPr="002D4064">
        <w:rPr>
          <w:rFonts w:ascii="Arial" w:hAnsi="Arial" w:cs="Arial"/>
          <w:color w:val="0B0C0C"/>
          <w:sz w:val="22"/>
          <w:szCs w:val="22"/>
        </w:rPr>
        <w:t xml:space="preserve">programme was initially a two year intervention intended to provide additional, targeted support for those children and young people in schools who have been most affected by disruption to their education as a result of the coronavirus (COVID-19) pandemic.  </w:t>
      </w:r>
    </w:p>
    <w:p w14:paraId="22150ADD" w14:textId="77777777" w:rsidR="00C07C3C" w:rsidRDefault="00C07C3C" w:rsidP="00C07C3C">
      <w:pPr>
        <w:pStyle w:val="NormalWeb"/>
        <w:shd w:val="clear" w:color="auto" w:fill="FFFFFF"/>
        <w:spacing w:before="0" w:beforeAutospacing="0" w:after="0" w:afterAutospacing="0"/>
        <w:ind w:left="567"/>
        <w:rPr>
          <w:rFonts w:ascii="Arial" w:hAnsi="Arial" w:cs="Arial"/>
          <w:color w:val="0B0C0C"/>
          <w:sz w:val="22"/>
          <w:szCs w:val="22"/>
        </w:rPr>
      </w:pPr>
    </w:p>
    <w:p w14:paraId="1C4E909C" w14:textId="77777777" w:rsidR="00C07C3C" w:rsidRPr="002D4064" w:rsidRDefault="00C07C3C" w:rsidP="00C07C3C">
      <w:pPr>
        <w:pStyle w:val="NormalWeb"/>
        <w:shd w:val="clear" w:color="auto" w:fill="FFFFFF"/>
        <w:spacing w:before="0" w:beforeAutospacing="0" w:after="0" w:afterAutospacing="0"/>
        <w:ind w:left="567"/>
        <w:rPr>
          <w:rFonts w:ascii="Arial" w:hAnsi="Arial" w:cs="Arial"/>
          <w:color w:val="0B0C0C"/>
          <w:sz w:val="22"/>
          <w:szCs w:val="22"/>
        </w:rPr>
      </w:pPr>
      <w:r w:rsidRPr="005443E6">
        <w:rPr>
          <w:rFonts w:ascii="Arial" w:hAnsi="Arial" w:cs="Arial"/>
          <w:color w:val="0B0C0C"/>
          <w:sz w:val="22"/>
          <w:szCs w:val="22"/>
        </w:rPr>
        <w:t>In June 2021, it was announced the programme would be extend for a further 3 years</w:t>
      </w:r>
      <w:r>
        <w:rPr>
          <w:rFonts w:ascii="Arial" w:hAnsi="Arial" w:cs="Arial"/>
          <w:color w:val="0B0C0C"/>
          <w:sz w:val="22"/>
          <w:szCs w:val="22"/>
        </w:rPr>
        <w:t xml:space="preserve">, and the </w:t>
      </w:r>
      <w:r w:rsidRPr="002D4064">
        <w:rPr>
          <w:rFonts w:ascii="Arial" w:hAnsi="Arial" w:cs="Arial"/>
          <w:color w:val="0B0C0C"/>
          <w:sz w:val="22"/>
          <w:szCs w:val="22"/>
        </w:rPr>
        <w:t>programme was widened in 2021-22 (academic year) to include:</w:t>
      </w:r>
    </w:p>
    <w:p w14:paraId="0D0E7FBA" w14:textId="24B69754" w:rsidR="00C07C3C" w:rsidRPr="004427AF" w:rsidRDefault="00C07C3C" w:rsidP="00C07C3C">
      <w:pPr>
        <w:pStyle w:val="ListParagraph"/>
        <w:numPr>
          <w:ilvl w:val="0"/>
          <w:numId w:val="24"/>
        </w:numPr>
        <w:ind w:left="993"/>
        <w:contextualSpacing w:val="0"/>
        <w:rPr>
          <w:rFonts w:ascii="Calibri" w:hAnsi="Calibri"/>
          <w:sz w:val="22"/>
          <w:szCs w:val="22"/>
        </w:rPr>
      </w:pPr>
      <w:r w:rsidRPr="004427AF">
        <w:rPr>
          <w:sz w:val="22"/>
          <w:szCs w:val="22"/>
        </w:rPr>
        <w:t>Tuition Partners (</w:t>
      </w:r>
      <w:r>
        <w:rPr>
          <w:sz w:val="22"/>
          <w:szCs w:val="22"/>
        </w:rPr>
        <w:t xml:space="preserve">Match funded: </w:t>
      </w:r>
      <w:r w:rsidRPr="004427AF">
        <w:rPr>
          <w:sz w:val="22"/>
          <w:szCs w:val="22"/>
        </w:rPr>
        <w:t>Grant 70</w:t>
      </w:r>
      <w:r w:rsidR="002F7D38">
        <w:rPr>
          <w:sz w:val="22"/>
          <w:szCs w:val="22"/>
        </w:rPr>
        <w:t xml:space="preserve"> per cent</w:t>
      </w:r>
      <w:r>
        <w:rPr>
          <w:sz w:val="22"/>
          <w:szCs w:val="22"/>
        </w:rPr>
        <w:t xml:space="preserve"> / </w:t>
      </w:r>
      <w:r w:rsidRPr="004427AF">
        <w:rPr>
          <w:sz w:val="22"/>
          <w:szCs w:val="22"/>
        </w:rPr>
        <w:t>Sch</w:t>
      </w:r>
      <w:r>
        <w:rPr>
          <w:sz w:val="22"/>
          <w:szCs w:val="22"/>
        </w:rPr>
        <w:t>ool</w:t>
      </w:r>
      <w:r w:rsidRPr="004427AF">
        <w:rPr>
          <w:sz w:val="22"/>
          <w:szCs w:val="22"/>
        </w:rPr>
        <w:t xml:space="preserve"> 30</w:t>
      </w:r>
      <w:r w:rsidR="002F7D38">
        <w:rPr>
          <w:sz w:val="22"/>
          <w:szCs w:val="22"/>
        </w:rPr>
        <w:t xml:space="preserve"> per cent</w:t>
      </w:r>
      <w:r w:rsidRPr="004427AF">
        <w:rPr>
          <w:sz w:val="22"/>
          <w:szCs w:val="22"/>
        </w:rPr>
        <w:t xml:space="preserve"> - Apply on NTP web site) </w:t>
      </w:r>
    </w:p>
    <w:p w14:paraId="0046A7E4" w14:textId="352C223E" w:rsidR="00C07C3C" w:rsidRDefault="00C07C3C" w:rsidP="00C07C3C">
      <w:pPr>
        <w:pStyle w:val="ListParagraph"/>
        <w:numPr>
          <w:ilvl w:val="0"/>
          <w:numId w:val="24"/>
        </w:numPr>
        <w:ind w:left="993"/>
        <w:contextualSpacing w:val="0"/>
        <w:rPr>
          <w:sz w:val="22"/>
          <w:szCs w:val="22"/>
        </w:rPr>
      </w:pPr>
      <w:r w:rsidRPr="004427AF">
        <w:rPr>
          <w:sz w:val="22"/>
          <w:szCs w:val="22"/>
        </w:rPr>
        <w:t>Academic Mentors (</w:t>
      </w:r>
      <w:r>
        <w:rPr>
          <w:sz w:val="22"/>
          <w:szCs w:val="22"/>
        </w:rPr>
        <w:t>Match funded</w:t>
      </w:r>
      <w:r w:rsidRPr="004427AF">
        <w:rPr>
          <w:sz w:val="22"/>
          <w:szCs w:val="22"/>
        </w:rPr>
        <w:t xml:space="preserve"> Grant 95</w:t>
      </w:r>
      <w:r w:rsidR="002F7D38">
        <w:rPr>
          <w:sz w:val="22"/>
          <w:szCs w:val="22"/>
        </w:rPr>
        <w:t xml:space="preserve"> per cent</w:t>
      </w:r>
      <w:r w:rsidRPr="004427AF">
        <w:rPr>
          <w:sz w:val="22"/>
          <w:szCs w:val="22"/>
        </w:rPr>
        <w:t>, Sch</w:t>
      </w:r>
      <w:r>
        <w:rPr>
          <w:sz w:val="22"/>
          <w:szCs w:val="22"/>
        </w:rPr>
        <w:t>ool</w:t>
      </w:r>
      <w:r w:rsidRPr="004427AF">
        <w:rPr>
          <w:sz w:val="22"/>
          <w:szCs w:val="22"/>
        </w:rPr>
        <w:t xml:space="preserve"> 5</w:t>
      </w:r>
      <w:r w:rsidR="002F7D38">
        <w:rPr>
          <w:sz w:val="22"/>
          <w:szCs w:val="22"/>
        </w:rPr>
        <w:t xml:space="preserve"> per cent</w:t>
      </w:r>
      <w:r w:rsidRPr="004427AF">
        <w:rPr>
          <w:sz w:val="22"/>
          <w:szCs w:val="22"/>
        </w:rPr>
        <w:t xml:space="preserve"> - Apply on NTP web site)</w:t>
      </w:r>
    </w:p>
    <w:p w14:paraId="31A3747A" w14:textId="77777777" w:rsidR="00C07C3C" w:rsidRPr="004427AF" w:rsidRDefault="00C07C3C" w:rsidP="00C07C3C">
      <w:pPr>
        <w:pStyle w:val="ListParagraph"/>
        <w:ind w:left="993"/>
        <w:contextualSpacing w:val="0"/>
        <w:rPr>
          <w:sz w:val="22"/>
          <w:szCs w:val="22"/>
        </w:rPr>
      </w:pPr>
      <w:r>
        <w:rPr>
          <w:sz w:val="22"/>
          <w:szCs w:val="22"/>
        </w:rPr>
        <w:t>and</w:t>
      </w:r>
    </w:p>
    <w:p w14:paraId="66B82AF6" w14:textId="08A9EE55" w:rsidR="00C07C3C" w:rsidRPr="004427AF" w:rsidRDefault="00C07C3C" w:rsidP="00C07C3C">
      <w:pPr>
        <w:pStyle w:val="ListParagraph"/>
        <w:numPr>
          <w:ilvl w:val="0"/>
          <w:numId w:val="24"/>
        </w:numPr>
        <w:ind w:left="993"/>
        <w:contextualSpacing w:val="0"/>
        <w:rPr>
          <w:sz w:val="22"/>
          <w:szCs w:val="22"/>
        </w:rPr>
      </w:pPr>
      <w:r w:rsidRPr="004427AF">
        <w:rPr>
          <w:sz w:val="22"/>
          <w:szCs w:val="22"/>
        </w:rPr>
        <w:t>School led Tutoring (</w:t>
      </w:r>
      <w:r>
        <w:rPr>
          <w:sz w:val="22"/>
          <w:szCs w:val="22"/>
        </w:rPr>
        <w:t>Match funded</w:t>
      </w:r>
      <w:r w:rsidRPr="004427AF">
        <w:rPr>
          <w:sz w:val="22"/>
          <w:szCs w:val="22"/>
        </w:rPr>
        <w:t xml:space="preserve"> Grant 75</w:t>
      </w:r>
      <w:r w:rsidR="002F7D38">
        <w:rPr>
          <w:sz w:val="22"/>
          <w:szCs w:val="22"/>
        </w:rPr>
        <w:t xml:space="preserve"> per cent</w:t>
      </w:r>
      <w:r w:rsidRPr="004427AF">
        <w:rPr>
          <w:sz w:val="22"/>
          <w:szCs w:val="22"/>
        </w:rPr>
        <w:t>, Sch</w:t>
      </w:r>
      <w:r>
        <w:rPr>
          <w:sz w:val="22"/>
          <w:szCs w:val="22"/>
        </w:rPr>
        <w:t>ool</w:t>
      </w:r>
      <w:r w:rsidRPr="004427AF">
        <w:rPr>
          <w:sz w:val="22"/>
          <w:szCs w:val="22"/>
        </w:rPr>
        <w:t xml:space="preserve"> 25</w:t>
      </w:r>
      <w:r w:rsidR="002F7D38">
        <w:rPr>
          <w:sz w:val="22"/>
          <w:szCs w:val="22"/>
        </w:rPr>
        <w:t xml:space="preserve"> per cent</w:t>
      </w:r>
      <w:r w:rsidRPr="004427AF">
        <w:rPr>
          <w:sz w:val="22"/>
          <w:szCs w:val="22"/>
        </w:rPr>
        <w:t xml:space="preserve">) </w:t>
      </w:r>
      <w:proofErr w:type="gramStart"/>
      <w:r w:rsidRPr="004427AF">
        <w:rPr>
          <w:sz w:val="22"/>
          <w:szCs w:val="22"/>
        </w:rPr>
        <w:t>an</w:t>
      </w:r>
      <w:proofErr w:type="gramEnd"/>
      <w:r w:rsidRPr="004427AF">
        <w:rPr>
          <w:sz w:val="22"/>
          <w:szCs w:val="22"/>
        </w:rPr>
        <w:t xml:space="preserve"> match fund from ISB or PPG)</w:t>
      </w:r>
    </w:p>
    <w:p w14:paraId="425501E6" w14:textId="77777777" w:rsidR="00C07C3C" w:rsidRDefault="00C07C3C" w:rsidP="00C07C3C">
      <w:pPr>
        <w:pStyle w:val="ListParagraph"/>
        <w:ind w:left="993" w:right="176"/>
        <w:rPr>
          <w:sz w:val="22"/>
          <w:szCs w:val="22"/>
        </w:rPr>
      </w:pPr>
    </w:p>
    <w:p w14:paraId="5236A8EC" w14:textId="39E92939" w:rsidR="00C07C3C" w:rsidRDefault="00C07C3C" w:rsidP="00C07C3C">
      <w:pPr>
        <w:pStyle w:val="ListParagraph"/>
        <w:ind w:left="993" w:right="176"/>
        <w:rPr>
          <w:sz w:val="22"/>
          <w:szCs w:val="22"/>
        </w:rPr>
      </w:pPr>
      <w:r>
        <w:rPr>
          <w:sz w:val="22"/>
          <w:szCs w:val="22"/>
        </w:rPr>
        <w:t>The school led tutoring is allocated on a p</w:t>
      </w:r>
      <w:r>
        <w:t xml:space="preserve">er pupil </w:t>
      </w:r>
      <w:proofErr w:type="gramStart"/>
      <w:r>
        <w:t>formula, and</w:t>
      </w:r>
      <w:proofErr w:type="gramEnd"/>
      <w:r>
        <w:t xml:space="preserve"> p</w:t>
      </w:r>
      <w:r w:rsidRPr="005443E6">
        <w:rPr>
          <w:sz w:val="22"/>
          <w:szCs w:val="22"/>
        </w:rPr>
        <w:t xml:space="preserve">aid in 3 instalments </w:t>
      </w:r>
      <w:r>
        <w:rPr>
          <w:sz w:val="22"/>
          <w:szCs w:val="22"/>
        </w:rPr>
        <w:t>over the academic year.  It is a r</w:t>
      </w:r>
      <w:r w:rsidRPr="005443E6">
        <w:rPr>
          <w:sz w:val="22"/>
          <w:szCs w:val="22"/>
        </w:rPr>
        <w:t xml:space="preserve">ingfenced grant </w:t>
      </w:r>
      <w:r>
        <w:rPr>
          <w:sz w:val="22"/>
          <w:szCs w:val="22"/>
        </w:rPr>
        <w:t>to be spend in the</w:t>
      </w:r>
      <w:r w:rsidRPr="005443E6">
        <w:rPr>
          <w:sz w:val="22"/>
          <w:szCs w:val="22"/>
        </w:rPr>
        <w:t xml:space="preserve"> 2021-22 academic year; cannot reallocate to other priorities; spend on staff costs only</w:t>
      </w:r>
      <w:r>
        <w:rPr>
          <w:sz w:val="22"/>
          <w:szCs w:val="22"/>
        </w:rPr>
        <w:t>.  The match funding can</w:t>
      </w:r>
      <w:r w:rsidRPr="005443E6">
        <w:rPr>
          <w:sz w:val="22"/>
          <w:szCs w:val="22"/>
        </w:rPr>
        <w:t xml:space="preserve">not </w:t>
      </w:r>
      <w:r>
        <w:rPr>
          <w:sz w:val="22"/>
          <w:szCs w:val="22"/>
        </w:rPr>
        <w:t xml:space="preserve">include elements </w:t>
      </w:r>
      <w:r w:rsidRPr="005443E6">
        <w:rPr>
          <w:sz w:val="22"/>
          <w:szCs w:val="22"/>
        </w:rPr>
        <w:t>1 &amp; 2</w:t>
      </w:r>
      <w:r>
        <w:rPr>
          <w:sz w:val="22"/>
          <w:szCs w:val="22"/>
        </w:rPr>
        <w:t xml:space="preserve"> of the same </w:t>
      </w:r>
      <w:proofErr w:type="gramStart"/>
      <w:r>
        <w:rPr>
          <w:sz w:val="22"/>
          <w:szCs w:val="22"/>
        </w:rPr>
        <w:t>grant,</w:t>
      </w:r>
      <w:r w:rsidR="002F7D38">
        <w:rPr>
          <w:sz w:val="22"/>
          <w:szCs w:val="22"/>
        </w:rPr>
        <w:t xml:space="preserve"> </w:t>
      </w:r>
      <w:r>
        <w:rPr>
          <w:sz w:val="22"/>
          <w:szCs w:val="22"/>
        </w:rPr>
        <w:t>but</w:t>
      </w:r>
      <w:proofErr w:type="gramEnd"/>
      <w:r>
        <w:rPr>
          <w:sz w:val="22"/>
          <w:szCs w:val="22"/>
        </w:rPr>
        <w:t xml:space="preserve"> can include pupil premium as well as the core schools budget.</w:t>
      </w:r>
    </w:p>
    <w:p w14:paraId="15FB53CF" w14:textId="77777777" w:rsidR="00C07C3C" w:rsidRPr="005443E6" w:rsidRDefault="00C07C3C" w:rsidP="00C07C3C">
      <w:pPr>
        <w:pStyle w:val="ListParagraph"/>
        <w:ind w:left="993" w:right="176"/>
        <w:rPr>
          <w:sz w:val="22"/>
          <w:szCs w:val="22"/>
        </w:rPr>
      </w:pPr>
      <w:r w:rsidRPr="005443E6">
        <w:rPr>
          <w:sz w:val="22"/>
          <w:szCs w:val="22"/>
        </w:rPr>
        <w:t xml:space="preserve"> </w:t>
      </w:r>
    </w:p>
    <w:p w14:paraId="65CAD927" w14:textId="77777777" w:rsidR="00C07C3C" w:rsidRDefault="00C07C3C" w:rsidP="00C07C3C">
      <w:pPr>
        <w:pStyle w:val="ListParagraph"/>
        <w:ind w:left="993" w:right="176"/>
        <w:rPr>
          <w:b/>
          <w:bCs/>
        </w:rPr>
      </w:pPr>
      <w:r>
        <w:rPr>
          <w:sz w:val="22"/>
          <w:szCs w:val="22"/>
        </w:rPr>
        <w:t>E</w:t>
      </w:r>
      <w:r w:rsidRPr="005443E6">
        <w:rPr>
          <w:sz w:val="22"/>
          <w:szCs w:val="22"/>
        </w:rPr>
        <w:t xml:space="preserve">xpenditure should </w:t>
      </w:r>
      <w:r>
        <w:rPr>
          <w:sz w:val="22"/>
          <w:szCs w:val="22"/>
        </w:rPr>
        <w:t xml:space="preserve">include the match funding, and </w:t>
      </w:r>
      <w:r w:rsidRPr="005443E6">
        <w:rPr>
          <w:sz w:val="22"/>
          <w:szCs w:val="22"/>
        </w:rPr>
        <w:t>be reported on schools census’, and online form at academic year end</w:t>
      </w:r>
      <w:r>
        <w:rPr>
          <w:sz w:val="22"/>
          <w:szCs w:val="22"/>
        </w:rPr>
        <w:t>.  It could be r</w:t>
      </w:r>
      <w:r w:rsidRPr="005443E6">
        <w:rPr>
          <w:sz w:val="22"/>
          <w:szCs w:val="22"/>
        </w:rPr>
        <w:t>ecovered if not fully spen</w:t>
      </w:r>
      <w:r>
        <w:rPr>
          <w:sz w:val="22"/>
          <w:szCs w:val="22"/>
        </w:rPr>
        <w:t>t</w:t>
      </w:r>
      <w:r w:rsidRPr="005443E6">
        <w:rPr>
          <w:sz w:val="22"/>
          <w:szCs w:val="22"/>
        </w:rPr>
        <w:t xml:space="preserve"> </w:t>
      </w:r>
      <w:r>
        <w:rPr>
          <w:sz w:val="22"/>
          <w:szCs w:val="22"/>
        </w:rPr>
        <w:t xml:space="preserve">and in </w:t>
      </w:r>
      <w:r w:rsidRPr="005443E6">
        <w:rPr>
          <w:sz w:val="22"/>
          <w:szCs w:val="22"/>
        </w:rPr>
        <w:t>accord</w:t>
      </w:r>
      <w:r>
        <w:rPr>
          <w:sz w:val="22"/>
          <w:szCs w:val="22"/>
        </w:rPr>
        <w:t xml:space="preserve">ance with the </w:t>
      </w:r>
      <w:r w:rsidRPr="005443E6">
        <w:rPr>
          <w:sz w:val="22"/>
          <w:szCs w:val="22"/>
        </w:rPr>
        <w:t>grant conditions</w:t>
      </w:r>
      <w:r>
        <w:rPr>
          <w:sz w:val="22"/>
          <w:szCs w:val="22"/>
        </w:rPr>
        <w:t>.</w:t>
      </w:r>
    </w:p>
    <w:p w14:paraId="31F9ACC6" w14:textId="77777777" w:rsidR="00C07C3C" w:rsidRPr="002D4064" w:rsidRDefault="00C07C3C" w:rsidP="00C07C3C">
      <w:pPr>
        <w:rPr>
          <w:sz w:val="22"/>
          <w:szCs w:val="22"/>
        </w:rPr>
      </w:pPr>
    </w:p>
    <w:p w14:paraId="5265E838" w14:textId="77777777" w:rsidR="00C07C3C" w:rsidRPr="002D4064" w:rsidRDefault="00C07C3C" w:rsidP="00C07C3C">
      <w:pPr>
        <w:pStyle w:val="NormalWeb"/>
        <w:numPr>
          <w:ilvl w:val="1"/>
          <w:numId w:val="21"/>
        </w:numPr>
        <w:shd w:val="clear" w:color="auto" w:fill="FFFFFF"/>
        <w:spacing w:before="0" w:beforeAutospacing="0" w:after="0" w:afterAutospacing="0"/>
        <w:ind w:left="567" w:hanging="567"/>
        <w:rPr>
          <w:rFonts w:ascii="Arial" w:hAnsi="Arial" w:cs="Arial"/>
          <w:color w:val="0B0C0C"/>
          <w:sz w:val="22"/>
          <w:szCs w:val="22"/>
        </w:rPr>
      </w:pPr>
      <w:r w:rsidRPr="002D4064">
        <w:rPr>
          <w:rFonts w:ascii="Arial" w:hAnsi="Arial" w:cs="Arial"/>
          <w:sz w:val="22"/>
          <w:szCs w:val="22"/>
        </w:rPr>
        <w:t>The</w:t>
      </w:r>
      <w:r w:rsidRPr="002D4064">
        <w:rPr>
          <w:sz w:val="22"/>
          <w:szCs w:val="22"/>
        </w:rPr>
        <w:t xml:space="preserve"> </w:t>
      </w:r>
      <w:hyperlink r:id="rId37" w:history="1">
        <w:r w:rsidRPr="002D4064">
          <w:rPr>
            <w:rStyle w:val="Hyperlink"/>
            <w:rFonts w:ascii="Arial" w:hAnsi="Arial" w:cs="Arial"/>
            <w:b/>
            <w:bCs/>
            <w:sz w:val="22"/>
            <w:szCs w:val="22"/>
          </w:rPr>
          <w:t>Covid 2021 qualifications funding</w:t>
        </w:r>
      </w:hyperlink>
      <w:r w:rsidRPr="002D4064">
        <w:rPr>
          <w:rStyle w:val="Hyperlink"/>
          <w:rFonts w:ascii="Arial" w:hAnsi="Arial" w:cs="Arial"/>
          <w:b/>
          <w:bCs/>
          <w:sz w:val="22"/>
          <w:szCs w:val="22"/>
        </w:rPr>
        <w:t xml:space="preserve"> </w:t>
      </w:r>
      <w:r w:rsidRPr="002D4064">
        <w:rPr>
          <w:rFonts w:ascii="Arial" w:hAnsi="Arial" w:cs="Arial"/>
          <w:color w:val="0B0C0C"/>
          <w:sz w:val="22"/>
          <w:szCs w:val="22"/>
        </w:rPr>
        <w:t>is to help eligible schools claim  financial support through the 2021 qualifications funding claim service online form. This form allows you to claim for any or all these grants:</w:t>
      </w:r>
    </w:p>
    <w:p w14:paraId="2A8A8057" w14:textId="77777777" w:rsidR="00C07C3C" w:rsidRPr="002D4064" w:rsidRDefault="00C07C3C" w:rsidP="00C07C3C">
      <w:pPr>
        <w:numPr>
          <w:ilvl w:val="0"/>
          <w:numId w:val="23"/>
        </w:numPr>
        <w:shd w:val="clear" w:color="auto" w:fill="FFFFFF"/>
        <w:spacing w:after="75"/>
        <w:ind w:left="1020"/>
        <w:rPr>
          <w:color w:val="0B0C0C"/>
          <w:sz w:val="22"/>
          <w:szCs w:val="22"/>
        </w:rPr>
      </w:pPr>
      <w:hyperlink r:id="rId38" w:history="1">
        <w:r w:rsidRPr="002D4064">
          <w:rPr>
            <w:rStyle w:val="Hyperlink"/>
            <w:color w:val="1D70B8"/>
            <w:sz w:val="22"/>
            <w:szCs w:val="22"/>
          </w:rPr>
          <w:t>private candidate support grant</w:t>
        </w:r>
      </w:hyperlink>
    </w:p>
    <w:p w14:paraId="1E6A54D6" w14:textId="77777777" w:rsidR="00C07C3C" w:rsidRPr="002D4064" w:rsidRDefault="00C07C3C" w:rsidP="00C07C3C">
      <w:pPr>
        <w:numPr>
          <w:ilvl w:val="0"/>
          <w:numId w:val="23"/>
        </w:numPr>
        <w:shd w:val="clear" w:color="auto" w:fill="FFFFFF"/>
        <w:spacing w:after="75"/>
        <w:ind w:left="1020"/>
        <w:rPr>
          <w:color w:val="0B0C0C"/>
          <w:sz w:val="22"/>
          <w:szCs w:val="22"/>
        </w:rPr>
      </w:pPr>
      <w:hyperlink r:id="rId39" w:history="1">
        <w:r w:rsidRPr="002D4064">
          <w:rPr>
            <w:rStyle w:val="Hyperlink"/>
            <w:color w:val="1D70B8"/>
            <w:sz w:val="22"/>
            <w:szCs w:val="22"/>
          </w:rPr>
          <w:t>priority appeals</w:t>
        </w:r>
      </w:hyperlink>
    </w:p>
    <w:p w14:paraId="7045574D" w14:textId="77777777" w:rsidR="00C07C3C" w:rsidRPr="002D4064" w:rsidRDefault="00C07C3C" w:rsidP="00C07C3C">
      <w:pPr>
        <w:numPr>
          <w:ilvl w:val="0"/>
          <w:numId w:val="23"/>
        </w:numPr>
        <w:shd w:val="clear" w:color="auto" w:fill="FFFFFF"/>
        <w:spacing w:after="75"/>
        <w:ind w:left="1020"/>
        <w:rPr>
          <w:color w:val="0B0C0C"/>
          <w:sz w:val="22"/>
          <w:szCs w:val="22"/>
        </w:rPr>
      </w:pPr>
      <w:hyperlink r:id="rId40" w:history="1">
        <w:r w:rsidRPr="002D4064">
          <w:rPr>
            <w:rStyle w:val="Hyperlink"/>
            <w:color w:val="003078"/>
            <w:sz w:val="22"/>
            <w:szCs w:val="22"/>
          </w:rPr>
          <w:t>autumn 2021 exam series</w:t>
        </w:r>
      </w:hyperlink>
    </w:p>
    <w:p w14:paraId="2F3322B4" w14:textId="77777777" w:rsidR="00C07C3C" w:rsidRDefault="00C07C3C" w:rsidP="00C07C3C">
      <w:pPr>
        <w:pStyle w:val="NormalWeb"/>
        <w:shd w:val="clear" w:color="auto" w:fill="FFFFFF"/>
        <w:spacing w:before="0" w:beforeAutospacing="0" w:after="0" w:afterAutospacing="0"/>
        <w:ind w:left="567"/>
        <w:rPr>
          <w:rFonts w:ascii="Arial" w:hAnsi="Arial" w:cs="Arial"/>
          <w:color w:val="0B0C0C"/>
          <w:sz w:val="22"/>
          <w:szCs w:val="22"/>
        </w:rPr>
      </w:pPr>
      <w:r w:rsidRPr="002D4064">
        <w:rPr>
          <w:rFonts w:ascii="Arial" w:hAnsi="Arial" w:cs="Arial"/>
          <w:color w:val="0B0C0C"/>
          <w:sz w:val="22"/>
          <w:szCs w:val="22"/>
        </w:rPr>
        <w:t>Eligibility for each grant is detailed in the guidance links above.</w:t>
      </w:r>
    </w:p>
    <w:p w14:paraId="57C72570" w14:textId="77777777" w:rsidR="00C07C3C" w:rsidRDefault="00C07C3C" w:rsidP="00C07C3C">
      <w:pPr>
        <w:pStyle w:val="NormalWeb"/>
        <w:shd w:val="clear" w:color="auto" w:fill="FFFFFF"/>
        <w:spacing w:before="0" w:beforeAutospacing="0" w:after="0" w:afterAutospacing="0"/>
        <w:ind w:left="567"/>
        <w:rPr>
          <w:rFonts w:ascii="Arial" w:hAnsi="Arial" w:cs="Arial"/>
          <w:color w:val="0B0C0C"/>
          <w:sz w:val="22"/>
          <w:szCs w:val="22"/>
        </w:rPr>
      </w:pPr>
    </w:p>
    <w:p w14:paraId="0DF40F8F" w14:textId="77777777" w:rsidR="00C07C3C" w:rsidRPr="002D4064" w:rsidRDefault="00C07C3C" w:rsidP="00C07C3C">
      <w:pPr>
        <w:pStyle w:val="ListParagraph"/>
        <w:numPr>
          <w:ilvl w:val="1"/>
          <w:numId w:val="21"/>
        </w:numPr>
        <w:ind w:left="567" w:hanging="567"/>
        <w:rPr>
          <w:b/>
          <w:bCs/>
          <w:sz w:val="22"/>
          <w:szCs w:val="22"/>
        </w:rPr>
      </w:pPr>
      <w:r w:rsidRPr="002D4064">
        <w:rPr>
          <w:b/>
          <w:bCs/>
          <w:sz w:val="22"/>
          <w:szCs w:val="22"/>
        </w:rPr>
        <w:t>Devolved Formula Capital Grant</w:t>
      </w:r>
    </w:p>
    <w:p w14:paraId="67059A91" w14:textId="77777777" w:rsidR="00C07C3C" w:rsidRPr="002D4064" w:rsidRDefault="00C07C3C" w:rsidP="00C07C3C">
      <w:pPr>
        <w:pStyle w:val="NormalWeb"/>
        <w:shd w:val="clear" w:color="auto" w:fill="FFFFFF"/>
        <w:spacing w:before="300" w:beforeAutospacing="0" w:after="300" w:afterAutospacing="0"/>
        <w:ind w:left="567"/>
        <w:rPr>
          <w:rFonts w:ascii="Arial" w:hAnsi="Arial" w:cs="Arial"/>
          <w:color w:val="0B0C0C"/>
          <w:sz w:val="22"/>
          <w:szCs w:val="22"/>
        </w:rPr>
      </w:pPr>
      <w:r w:rsidRPr="002D4064">
        <w:rPr>
          <w:rFonts w:ascii="Arial" w:hAnsi="Arial" w:cs="Arial"/>
          <w:color w:val="0B0C0C"/>
          <w:sz w:val="22"/>
          <w:szCs w:val="22"/>
        </w:rPr>
        <w:t>Devolved formula capital (DFC) is allocated for individual schools and other eligible institutions to spend on capital projects that meet their own priorities.</w:t>
      </w:r>
    </w:p>
    <w:tbl>
      <w:tblPr>
        <w:tblStyle w:val="TableGrid"/>
        <w:tblW w:w="0" w:type="auto"/>
        <w:tblInd w:w="1135" w:type="dxa"/>
        <w:tblLook w:val="04A0" w:firstRow="1" w:lastRow="0" w:firstColumn="1" w:lastColumn="0" w:noHBand="0" w:noVBand="1"/>
      </w:tblPr>
      <w:tblGrid>
        <w:gridCol w:w="5103"/>
        <w:gridCol w:w="1694"/>
      </w:tblGrid>
      <w:tr w:rsidR="00C07C3C" w:rsidRPr="002D4064" w14:paraId="3586FA5B" w14:textId="77777777" w:rsidTr="006D5B04">
        <w:tc>
          <w:tcPr>
            <w:tcW w:w="5103" w:type="dxa"/>
          </w:tcPr>
          <w:p w14:paraId="5D07A0AA" w14:textId="77777777" w:rsidR="00C07C3C" w:rsidRPr="002D4064" w:rsidRDefault="00C07C3C" w:rsidP="006D5B04">
            <w:pPr>
              <w:rPr>
                <w:sz w:val="22"/>
                <w:szCs w:val="22"/>
              </w:rPr>
            </w:pPr>
            <w:r w:rsidRPr="002D4064">
              <w:rPr>
                <w:sz w:val="22"/>
                <w:szCs w:val="22"/>
              </w:rPr>
              <w:t xml:space="preserve">Funding per pupil / school </w:t>
            </w:r>
          </w:p>
        </w:tc>
        <w:tc>
          <w:tcPr>
            <w:tcW w:w="1694" w:type="dxa"/>
            <w:vAlign w:val="center"/>
          </w:tcPr>
          <w:p w14:paraId="08AB7A7E" w14:textId="77777777" w:rsidR="00C07C3C" w:rsidRPr="002D4064" w:rsidRDefault="00C07C3C" w:rsidP="006D5B04">
            <w:pPr>
              <w:jc w:val="center"/>
              <w:rPr>
                <w:sz w:val="22"/>
                <w:szCs w:val="22"/>
              </w:rPr>
            </w:pPr>
            <w:r w:rsidRPr="002D4064">
              <w:rPr>
                <w:sz w:val="22"/>
                <w:szCs w:val="22"/>
              </w:rPr>
              <w:t>£</w:t>
            </w:r>
          </w:p>
        </w:tc>
      </w:tr>
      <w:tr w:rsidR="00C07C3C" w:rsidRPr="002D4064" w14:paraId="293DA38F" w14:textId="77777777" w:rsidTr="006D5B04">
        <w:tc>
          <w:tcPr>
            <w:tcW w:w="5103" w:type="dxa"/>
          </w:tcPr>
          <w:p w14:paraId="163F52F2" w14:textId="77777777" w:rsidR="00C07C3C" w:rsidRPr="002D4064" w:rsidRDefault="00C07C3C" w:rsidP="006D5B04">
            <w:pPr>
              <w:rPr>
                <w:sz w:val="22"/>
                <w:szCs w:val="22"/>
              </w:rPr>
            </w:pPr>
            <w:r w:rsidRPr="002D4064">
              <w:rPr>
                <w:sz w:val="22"/>
                <w:szCs w:val="22"/>
              </w:rPr>
              <w:t>All schools – per school</w:t>
            </w:r>
          </w:p>
        </w:tc>
        <w:tc>
          <w:tcPr>
            <w:tcW w:w="1694" w:type="dxa"/>
            <w:vAlign w:val="center"/>
          </w:tcPr>
          <w:p w14:paraId="165DD83F" w14:textId="77777777" w:rsidR="00C07C3C" w:rsidRPr="002D4064" w:rsidRDefault="00C07C3C" w:rsidP="006D5B04">
            <w:pPr>
              <w:jc w:val="center"/>
              <w:rPr>
                <w:sz w:val="22"/>
                <w:szCs w:val="22"/>
              </w:rPr>
            </w:pPr>
            <w:r w:rsidRPr="002D4064">
              <w:rPr>
                <w:sz w:val="22"/>
                <w:szCs w:val="22"/>
              </w:rPr>
              <w:t>£4,000</w:t>
            </w:r>
          </w:p>
        </w:tc>
      </w:tr>
      <w:tr w:rsidR="00C07C3C" w:rsidRPr="002D4064" w14:paraId="3FCF04E2" w14:textId="77777777" w:rsidTr="006D5B04">
        <w:tc>
          <w:tcPr>
            <w:tcW w:w="5103" w:type="dxa"/>
          </w:tcPr>
          <w:p w14:paraId="3CB8610B" w14:textId="77777777" w:rsidR="00C07C3C" w:rsidRPr="002D4064" w:rsidRDefault="00C07C3C" w:rsidP="006D5B04">
            <w:pPr>
              <w:rPr>
                <w:sz w:val="22"/>
                <w:szCs w:val="22"/>
              </w:rPr>
            </w:pPr>
            <w:r w:rsidRPr="002D4064">
              <w:rPr>
                <w:sz w:val="22"/>
                <w:szCs w:val="22"/>
              </w:rPr>
              <w:t>All pupils – per pupil</w:t>
            </w:r>
          </w:p>
        </w:tc>
        <w:tc>
          <w:tcPr>
            <w:tcW w:w="1694" w:type="dxa"/>
            <w:vAlign w:val="center"/>
          </w:tcPr>
          <w:p w14:paraId="086FB067" w14:textId="77777777" w:rsidR="00C07C3C" w:rsidRPr="002D4064" w:rsidRDefault="00C07C3C" w:rsidP="006D5B04">
            <w:pPr>
              <w:jc w:val="center"/>
              <w:rPr>
                <w:sz w:val="22"/>
                <w:szCs w:val="22"/>
              </w:rPr>
            </w:pPr>
            <w:r w:rsidRPr="002D4064">
              <w:rPr>
                <w:sz w:val="22"/>
                <w:szCs w:val="22"/>
              </w:rPr>
              <w:t>£11.25</w:t>
            </w:r>
          </w:p>
        </w:tc>
      </w:tr>
      <w:tr w:rsidR="00C07C3C" w:rsidRPr="002D4064" w14:paraId="54C91A1F" w14:textId="77777777" w:rsidTr="006D5B04">
        <w:tc>
          <w:tcPr>
            <w:tcW w:w="6797" w:type="dxa"/>
            <w:gridSpan w:val="2"/>
          </w:tcPr>
          <w:p w14:paraId="03FB250D" w14:textId="100B4C5C" w:rsidR="00C07C3C" w:rsidRPr="002D4064" w:rsidRDefault="00C07C3C" w:rsidP="006D5B04">
            <w:pPr>
              <w:rPr>
                <w:sz w:val="22"/>
                <w:szCs w:val="22"/>
              </w:rPr>
            </w:pPr>
            <w:r w:rsidRPr="002D4064">
              <w:rPr>
                <w:sz w:val="22"/>
                <w:szCs w:val="22"/>
              </w:rPr>
              <w:t>VA schools' per-pupil and per-school rates are 8</w:t>
            </w:r>
            <w:r w:rsidR="002F7D38">
              <w:rPr>
                <w:sz w:val="22"/>
                <w:szCs w:val="22"/>
              </w:rPr>
              <w:t xml:space="preserve"> per cent</w:t>
            </w:r>
            <w:r w:rsidRPr="002D4064">
              <w:rPr>
                <w:sz w:val="22"/>
                <w:szCs w:val="22"/>
              </w:rPr>
              <w:t xml:space="preserve"> higher </w:t>
            </w:r>
          </w:p>
        </w:tc>
      </w:tr>
    </w:tbl>
    <w:p w14:paraId="41FBEC28" w14:textId="77777777" w:rsidR="00C07C3C" w:rsidRPr="002D4064" w:rsidRDefault="00C07C3C" w:rsidP="00C07C3C">
      <w:pPr>
        <w:pStyle w:val="ListParagraph"/>
        <w:ind w:left="851"/>
        <w:rPr>
          <w:rFonts w:cs="Arial"/>
          <w:bCs/>
          <w:sz w:val="22"/>
          <w:szCs w:val="22"/>
          <w:highlight w:val="yellow"/>
        </w:rPr>
      </w:pPr>
    </w:p>
    <w:p w14:paraId="789F8CA6" w14:textId="77777777" w:rsidR="00C07C3C" w:rsidRPr="002D4064" w:rsidRDefault="00C07C3C" w:rsidP="00C07C3C">
      <w:pPr>
        <w:pStyle w:val="ListParagraph"/>
        <w:keepNext/>
        <w:ind w:left="360"/>
        <w:rPr>
          <w:rFonts w:cs="Arial"/>
          <w:b/>
          <w:sz w:val="22"/>
          <w:szCs w:val="22"/>
          <w:highlight w:val="yellow"/>
        </w:rPr>
      </w:pPr>
    </w:p>
    <w:p w14:paraId="1BE3BF82" w14:textId="77777777" w:rsidR="00C07C3C" w:rsidRPr="002D4064" w:rsidRDefault="00C07C3C" w:rsidP="00C07C3C">
      <w:pPr>
        <w:pStyle w:val="Heading2"/>
        <w:numPr>
          <w:ilvl w:val="0"/>
          <w:numId w:val="21"/>
        </w:numPr>
        <w:ind w:left="284" w:hanging="284"/>
      </w:pPr>
      <w:bookmarkStart w:id="5" w:name="_Toc98168465"/>
      <w:r w:rsidRPr="002D4064">
        <w:t>N</w:t>
      </w:r>
      <w:r>
        <w:t>ew grants for 2022-21</w:t>
      </w:r>
      <w:bookmarkEnd w:id="5"/>
    </w:p>
    <w:p w14:paraId="0B3693CE" w14:textId="77777777" w:rsidR="00C07C3C" w:rsidRDefault="00C07C3C" w:rsidP="00C07C3C">
      <w:pPr>
        <w:pStyle w:val="NormalWeb"/>
        <w:shd w:val="clear" w:color="auto" w:fill="FFFFFF"/>
        <w:spacing w:before="0" w:beforeAutospacing="0" w:after="0" w:afterAutospacing="0"/>
        <w:ind w:left="567"/>
        <w:rPr>
          <w:rFonts w:ascii="Arial" w:hAnsi="Arial" w:cs="Arial"/>
          <w:color w:val="0B0C0C"/>
          <w:sz w:val="22"/>
          <w:szCs w:val="22"/>
        </w:rPr>
      </w:pPr>
    </w:p>
    <w:p w14:paraId="47D0F471" w14:textId="77777777" w:rsidR="00C07C3C" w:rsidRDefault="00C07C3C" w:rsidP="00C07C3C">
      <w:pPr>
        <w:pStyle w:val="ListParagraph"/>
        <w:numPr>
          <w:ilvl w:val="1"/>
          <w:numId w:val="21"/>
        </w:numPr>
        <w:shd w:val="clear" w:color="auto" w:fill="FFFFFF"/>
        <w:ind w:left="567" w:hanging="567"/>
        <w:rPr>
          <w:rFonts w:cs="Arial"/>
          <w:color w:val="0B0C0C"/>
          <w:sz w:val="22"/>
          <w:szCs w:val="22"/>
        </w:rPr>
      </w:pPr>
      <w:r w:rsidRPr="006251A1">
        <w:rPr>
          <w:sz w:val="22"/>
          <w:szCs w:val="22"/>
        </w:rPr>
        <w:t xml:space="preserve">The </w:t>
      </w:r>
      <w:hyperlink r:id="rId41" w:history="1">
        <w:r w:rsidRPr="006251A1">
          <w:rPr>
            <w:rStyle w:val="Hyperlink"/>
            <w:rFonts w:cs="Arial"/>
            <w:b/>
            <w:bCs/>
            <w:sz w:val="22"/>
            <w:szCs w:val="22"/>
          </w:rPr>
          <w:t>COVID 12 to 15 vaccination programme</w:t>
        </w:r>
        <w:r w:rsidRPr="006251A1">
          <w:rPr>
            <w:rStyle w:val="Hyperlink"/>
            <w:sz w:val="22"/>
            <w:szCs w:val="22"/>
          </w:rPr>
          <w:t xml:space="preserve"> </w:t>
        </w:r>
      </w:hyperlink>
      <w:r w:rsidRPr="006251A1">
        <w:rPr>
          <w:rFonts w:cs="Arial"/>
          <w:color w:val="0B0C0C"/>
          <w:sz w:val="22"/>
          <w:szCs w:val="22"/>
        </w:rPr>
        <w:t>is awarded to all schools with a 12 -15 cohort (secondary phase), in April 2022.  Participating schools that engage with the School Age Immunisation Service (SAIS) or local health teams will receive the funding, which will be monitored by NHS England and the DFE.  All relevant schools will receive £1,000 lump sum + £1.14 per pupil of relevant age in the January 2022 census.</w:t>
      </w:r>
    </w:p>
    <w:p w14:paraId="363E6C24" w14:textId="77777777" w:rsidR="00C07C3C" w:rsidRPr="006251A1" w:rsidRDefault="00C07C3C" w:rsidP="00C07C3C">
      <w:pPr>
        <w:shd w:val="clear" w:color="auto" w:fill="FFFFFF"/>
        <w:rPr>
          <w:sz w:val="22"/>
          <w:szCs w:val="22"/>
        </w:rPr>
      </w:pPr>
    </w:p>
    <w:p w14:paraId="13C779CC" w14:textId="77777777" w:rsidR="00C07C3C" w:rsidRPr="00D9578F" w:rsidRDefault="00C07C3C" w:rsidP="00C07C3C">
      <w:pPr>
        <w:pStyle w:val="ListParagraph"/>
        <w:numPr>
          <w:ilvl w:val="1"/>
          <w:numId w:val="21"/>
        </w:numPr>
        <w:shd w:val="clear" w:color="auto" w:fill="FFFFFF"/>
        <w:ind w:left="567" w:hanging="567"/>
      </w:pPr>
      <w:r>
        <w:t xml:space="preserve">The </w:t>
      </w:r>
      <w:hyperlink r:id="rId42" w:history="1">
        <w:r w:rsidRPr="006251A1">
          <w:rPr>
            <w:rStyle w:val="Hyperlink"/>
            <w:rFonts w:cs="Arial"/>
            <w:b/>
            <w:bCs/>
            <w:sz w:val="22"/>
            <w:szCs w:val="22"/>
          </w:rPr>
          <w:t>schools supplementary grant</w:t>
        </w:r>
      </w:hyperlink>
      <w:r>
        <w:rPr>
          <w:rStyle w:val="Hyperlink"/>
          <w:rFonts w:cs="Arial"/>
          <w:b/>
          <w:bCs/>
          <w:sz w:val="22"/>
          <w:szCs w:val="22"/>
        </w:rPr>
        <w:t xml:space="preserve"> </w:t>
      </w:r>
      <w:r w:rsidRPr="006251A1">
        <w:rPr>
          <w:rFonts w:cs="Arial"/>
          <w:color w:val="0B0C0C"/>
          <w:sz w:val="22"/>
          <w:szCs w:val="22"/>
        </w:rPr>
        <w:t>has been introduced to provide support for the costs of the Health and Social Care Levy and wider costs</w:t>
      </w:r>
      <w:r>
        <w:rPr>
          <w:rFonts w:cs="Arial"/>
          <w:color w:val="0B0C0C"/>
          <w:sz w:val="22"/>
          <w:szCs w:val="22"/>
        </w:rPr>
        <w:t>, (i.e. funding to meet the National Insurance uplift due next year).  It is due to be transferred to the core school budget in 2023-24, but for early years and post schools, could continue as a grant (see TPG &amp; TPECG).  The use of this grant is flexible, to be prioritised by schools.</w:t>
      </w:r>
    </w:p>
    <w:p w14:paraId="66983CFB" w14:textId="77777777" w:rsidR="00C07C3C" w:rsidRDefault="00C07C3C" w:rsidP="00C07C3C">
      <w:pPr>
        <w:pStyle w:val="ListParagraph"/>
      </w:pPr>
    </w:p>
    <w:p w14:paraId="79685A06" w14:textId="77777777" w:rsidR="00C07C3C" w:rsidRPr="0065522F" w:rsidRDefault="00C07C3C" w:rsidP="00C07C3C">
      <w:pPr>
        <w:pStyle w:val="ListParagraph"/>
        <w:shd w:val="clear" w:color="auto" w:fill="FFFFFF"/>
        <w:ind w:left="567"/>
      </w:pPr>
      <w:r>
        <w:t>The formula values are subject to an area cost adjustment (ACA) uplift of 1.18623 (consistent with the DSG and other relevant grants).</w:t>
      </w:r>
    </w:p>
    <w:p w14:paraId="33528726" w14:textId="77777777" w:rsidR="00C07C3C" w:rsidRPr="0065522F" w:rsidRDefault="00C07C3C" w:rsidP="00C07C3C">
      <w:pPr>
        <w:pStyle w:val="ListParagraph"/>
        <w:rPr>
          <w:rFonts w:cs="Arial"/>
          <w:color w:val="0B0C0C"/>
          <w:sz w:val="22"/>
          <w:szCs w:val="22"/>
        </w:rPr>
      </w:pPr>
    </w:p>
    <w:tbl>
      <w:tblPr>
        <w:tblStyle w:val="TableGrid"/>
        <w:tblW w:w="0" w:type="auto"/>
        <w:tblInd w:w="570" w:type="dxa"/>
        <w:tblLook w:val="04A0" w:firstRow="1" w:lastRow="0" w:firstColumn="1" w:lastColumn="0" w:noHBand="0" w:noVBand="1"/>
      </w:tblPr>
      <w:tblGrid>
        <w:gridCol w:w="2661"/>
        <w:gridCol w:w="1590"/>
        <w:gridCol w:w="1413"/>
        <w:gridCol w:w="1413"/>
      </w:tblGrid>
      <w:tr w:rsidR="00C07C3C" w:rsidRPr="002D4064" w14:paraId="52FD5457" w14:textId="77777777" w:rsidTr="006D5B04">
        <w:tc>
          <w:tcPr>
            <w:tcW w:w="2661" w:type="dxa"/>
          </w:tcPr>
          <w:p w14:paraId="00179719" w14:textId="77777777" w:rsidR="00C07C3C" w:rsidRPr="002D4064" w:rsidRDefault="00C07C3C" w:rsidP="006D5B04">
            <w:pPr>
              <w:rPr>
                <w:sz w:val="22"/>
                <w:szCs w:val="22"/>
              </w:rPr>
            </w:pPr>
            <w:r>
              <w:rPr>
                <w:sz w:val="22"/>
                <w:szCs w:val="22"/>
              </w:rPr>
              <w:t>Formula values (including ACA)</w:t>
            </w:r>
          </w:p>
        </w:tc>
        <w:tc>
          <w:tcPr>
            <w:tcW w:w="1590" w:type="dxa"/>
          </w:tcPr>
          <w:p w14:paraId="240C48D7" w14:textId="77777777" w:rsidR="00C07C3C" w:rsidRDefault="00C07C3C" w:rsidP="006D5B04">
            <w:pPr>
              <w:jc w:val="center"/>
              <w:rPr>
                <w:sz w:val="22"/>
                <w:szCs w:val="22"/>
              </w:rPr>
            </w:pPr>
            <w:r>
              <w:rPr>
                <w:sz w:val="22"/>
                <w:szCs w:val="22"/>
              </w:rPr>
              <w:t>P</w:t>
            </w:r>
            <w:r w:rsidRPr="002D4064">
              <w:rPr>
                <w:sz w:val="22"/>
                <w:szCs w:val="22"/>
              </w:rPr>
              <w:t>er pupil</w:t>
            </w:r>
          </w:p>
          <w:p w14:paraId="065320C6" w14:textId="77777777" w:rsidR="00C07C3C" w:rsidRPr="002D4064" w:rsidRDefault="00C07C3C" w:rsidP="006D5B04">
            <w:pPr>
              <w:jc w:val="center"/>
              <w:rPr>
                <w:sz w:val="22"/>
                <w:szCs w:val="22"/>
              </w:rPr>
            </w:pPr>
            <w:r>
              <w:rPr>
                <w:sz w:val="22"/>
                <w:szCs w:val="22"/>
              </w:rPr>
              <w:t>£</w:t>
            </w:r>
          </w:p>
        </w:tc>
        <w:tc>
          <w:tcPr>
            <w:tcW w:w="1413" w:type="dxa"/>
          </w:tcPr>
          <w:p w14:paraId="3E1D03AD" w14:textId="77777777" w:rsidR="00C07C3C" w:rsidRDefault="00C07C3C" w:rsidP="006D5B04">
            <w:pPr>
              <w:jc w:val="center"/>
              <w:rPr>
                <w:sz w:val="22"/>
                <w:szCs w:val="22"/>
              </w:rPr>
            </w:pPr>
            <w:r>
              <w:rPr>
                <w:sz w:val="22"/>
                <w:szCs w:val="22"/>
              </w:rPr>
              <w:t>Per FSM</w:t>
            </w:r>
          </w:p>
          <w:p w14:paraId="7A22E314" w14:textId="77777777" w:rsidR="00C07C3C" w:rsidRPr="002D4064" w:rsidRDefault="00C07C3C" w:rsidP="006D5B04">
            <w:pPr>
              <w:jc w:val="center"/>
              <w:rPr>
                <w:sz w:val="22"/>
                <w:szCs w:val="22"/>
              </w:rPr>
            </w:pPr>
            <w:r>
              <w:rPr>
                <w:sz w:val="22"/>
                <w:szCs w:val="22"/>
              </w:rPr>
              <w:t>£</w:t>
            </w:r>
          </w:p>
        </w:tc>
        <w:tc>
          <w:tcPr>
            <w:tcW w:w="1413" w:type="dxa"/>
          </w:tcPr>
          <w:p w14:paraId="276E714D" w14:textId="77777777" w:rsidR="00C07C3C" w:rsidRPr="002D4064" w:rsidRDefault="00C07C3C" w:rsidP="006D5B04">
            <w:pPr>
              <w:jc w:val="center"/>
              <w:rPr>
                <w:sz w:val="22"/>
                <w:szCs w:val="22"/>
              </w:rPr>
            </w:pPr>
            <w:r>
              <w:rPr>
                <w:sz w:val="22"/>
                <w:szCs w:val="22"/>
              </w:rPr>
              <w:t>Lump sum per school</w:t>
            </w:r>
          </w:p>
        </w:tc>
      </w:tr>
      <w:tr w:rsidR="00C07C3C" w:rsidRPr="002D4064" w14:paraId="566AD51E" w14:textId="77777777" w:rsidTr="006D5B04">
        <w:trPr>
          <w:trHeight w:val="189"/>
        </w:trPr>
        <w:tc>
          <w:tcPr>
            <w:tcW w:w="2661" w:type="dxa"/>
            <w:vAlign w:val="center"/>
          </w:tcPr>
          <w:p w14:paraId="5B995E60" w14:textId="77777777" w:rsidR="00C07C3C" w:rsidRPr="002376F2" w:rsidRDefault="00C07C3C" w:rsidP="006D5B04">
            <w:pPr>
              <w:rPr>
                <w:sz w:val="22"/>
                <w:szCs w:val="22"/>
              </w:rPr>
            </w:pPr>
            <w:r w:rsidRPr="002376F2">
              <w:rPr>
                <w:sz w:val="22"/>
                <w:szCs w:val="22"/>
              </w:rPr>
              <w:t>Early Years</w:t>
            </w:r>
          </w:p>
        </w:tc>
        <w:tc>
          <w:tcPr>
            <w:tcW w:w="1590" w:type="dxa"/>
            <w:vAlign w:val="center"/>
          </w:tcPr>
          <w:p w14:paraId="25C681BC" w14:textId="77777777" w:rsidR="00C07C3C" w:rsidRPr="002376F2" w:rsidRDefault="00C07C3C" w:rsidP="006D5B04">
            <w:pPr>
              <w:jc w:val="center"/>
              <w:rPr>
                <w:sz w:val="22"/>
                <w:szCs w:val="22"/>
              </w:rPr>
            </w:pPr>
            <w:r w:rsidRPr="002376F2">
              <w:rPr>
                <w:sz w:val="22"/>
                <w:szCs w:val="22"/>
              </w:rPr>
              <w:t>£28</w:t>
            </w:r>
          </w:p>
        </w:tc>
        <w:tc>
          <w:tcPr>
            <w:tcW w:w="1413" w:type="dxa"/>
            <w:vAlign w:val="center"/>
          </w:tcPr>
          <w:p w14:paraId="4B6BE29C" w14:textId="77777777" w:rsidR="00C07C3C" w:rsidRPr="002376F2" w:rsidRDefault="00C07C3C" w:rsidP="006D5B04">
            <w:pPr>
              <w:jc w:val="center"/>
              <w:rPr>
                <w:sz w:val="22"/>
                <w:szCs w:val="22"/>
              </w:rPr>
            </w:pPr>
          </w:p>
        </w:tc>
        <w:tc>
          <w:tcPr>
            <w:tcW w:w="1413" w:type="dxa"/>
            <w:vAlign w:val="center"/>
          </w:tcPr>
          <w:p w14:paraId="04E1684C" w14:textId="77777777" w:rsidR="00C07C3C" w:rsidRPr="002376F2" w:rsidRDefault="00C07C3C" w:rsidP="006D5B04">
            <w:pPr>
              <w:jc w:val="center"/>
              <w:rPr>
                <w:sz w:val="22"/>
                <w:szCs w:val="22"/>
              </w:rPr>
            </w:pPr>
          </w:p>
        </w:tc>
      </w:tr>
      <w:tr w:rsidR="00C07C3C" w:rsidRPr="002D4064" w14:paraId="73F3E1D0" w14:textId="77777777" w:rsidTr="006D5B04">
        <w:tc>
          <w:tcPr>
            <w:tcW w:w="2661" w:type="dxa"/>
          </w:tcPr>
          <w:p w14:paraId="5B7ED1DD" w14:textId="77777777" w:rsidR="00C07C3C" w:rsidRPr="002376F2" w:rsidRDefault="00C07C3C" w:rsidP="006D5B04">
            <w:pPr>
              <w:rPr>
                <w:sz w:val="22"/>
                <w:szCs w:val="22"/>
              </w:rPr>
            </w:pPr>
            <w:r w:rsidRPr="002376F2">
              <w:rPr>
                <w:sz w:val="22"/>
                <w:szCs w:val="22"/>
              </w:rPr>
              <w:t>Primary</w:t>
            </w:r>
          </w:p>
        </w:tc>
        <w:tc>
          <w:tcPr>
            <w:tcW w:w="1590" w:type="dxa"/>
            <w:vAlign w:val="center"/>
          </w:tcPr>
          <w:p w14:paraId="2B45EFB1" w14:textId="77777777" w:rsidR="00C07C3C" w:rsidRPr="002376F2" w:rsidRDefault="00C07C3C" w:rsidP="006D5B04">
            <w:pPr>
              <w:jc w:val="center"/>
              <w:rPr>
                <w:sz w:val="22"/>
                <w:szCs w:val="22"/>
              </w:rPr>
            </w:pPr>
            <w:r w:rsidRPr="002376F2">
              <w:rPr>
                <w:sz w:val="22"/>
                <w:szCs w:val="22"/>
              </w:rPr>
              <w:t>£115</w:t>
            </w:r>
          </w:p>
        </w:tc>
        <w:tc>
          <w:tcPr>
            <w:tcW w:w="1413" w:type="dxa"/>
          </w:tcPr>
          <w:p w14:paraId="35091C10" w14:textId="77777777" w:rsidR="00C07C3C" w:rsidRPr="002376F2" w:rsidRDefault="00C07C3C" w:rsidP="006D5B04">
            <w:pPr>
              <w:jc w:val="center"/>
              <w:rPr>
                <w:sz w:val="22"/>
                <w:szCs w:val="22"/>
              </w:rPr>
            </w:pPr>
            <w:r w:rsidRPr="002376F2">
              <w:rPr>
                <w:sz w:val="22"/>
                <w:szCs w:val="22"/>
              </w:rPr>
              <w:t>£100</w:t>
            </w:r>
          </w:p>
        </w:tc>
        <w:tc>
          <w:tcPr>
            <w:tcW w:w="1413" w:type="dxa"/>
          </w:tcPr>
          <w:p w14:paraId="39866595" w14:textId="77777777" w:rsidR="00C07C3C" w:rsidRPr="002376F2" w:rsidRDefault="00C07C3C" w:rsidP="006D5B04">
            <w:pPr>
              <w:jc w:val="center"/>
              <w:rPr>
                <w:sz w:val="22"/>
                <w:szCs w:val="22"/>
              </w:rPr>
            </w:pPr>
            <w:r w:rsidRPr="002376F2">
              <w:rPr>
                <w:sz w:val="22"/>
                <w:szCs w:val="22"/>
              </w:rPr>
              <w:t>£</w:t>
            </w:r>
            <w:r>
              <w:rPr>
                <w:sz w:val="22"/>
                <w:szCs w:val="22"/>
              </w:rPr>
              <w:t>4</w:t>
            </w:r>
            <w:r w:rsidRPr="002376F2">
              <w:rPr>
                <w:sz w:val="22"/>
                <w:szCs w:val="22"/>
              </w:rPr>
              <w:t>,</w:t>
            </w:r>
            <w:r>
              <w:rPr>
                <w:sz w:val="22"/>
                <w:szCs w:val="22"/>
              </w:rPr>
              <w:t>365</w:t>
            </w:r>
          </w:p>
        </w:tc>
      </w:tr>
      <w:tr w:rsidR="00C07C3C" w:rsidRPr="002D4064" w14:paraId="7FE6B8CD" w14:textId="77777777" w:rsidTr="006D5B04">
        <w:tc>
          <w:tcPr>
            <w:tcW w:w="2661" w:type="dxa"/>
          </w:tcPr>
          <w:p w14:paraId="6E2ADCD9" w14:textId="77777777" w:rsidR="00C07C3C" w:rsidRPr="002376F2" w:rsidRDefault="00C07C3C" w:rsidP="006D5B04">
            <w:pPr>
              <w:rPr>
                <w:sz w:val="22"/>
                <w:szCs w:val="22"/>
              </w:rPr>
            </w:pPr>
            <w:r w:rsidRPr="002376F2">
              <w:rPr>
                <w:sz w:val="22"/>
                <w:szCs w:val="22"/>
              </w:rPr>
              <w:t>Secondary</w:t>
            </w:r>
          </w:p>
        </w:tc>
        <w:tc>
          <w:tcPr>
            <w:tcW w:w="1590" w:type="dxa"/>
            <w:vAlign w:val="center"/>
          </w:tcPr>
          <w:p w14:paraId="7D676D6F" w14:textId="77777777" w:rsidR="00C07C3C" w:rsidRPr="002376F2" w:rsidRDefault="00C07C3C" w:rsidP="006D5B04">
            <w:pPr>
              <w:jc w:val="center"/>
              <w:rPr>
                <w:sz w:val="22"/>
                <w:szCs w:val="22"/>
              </w:rPr>
            </w:pPr>
          </w:p>
        </w:tc>
        <w:tc>
          <w:tcPr>
            <w:tcW w:w="1413" w:type="dxa"/>
          </w:tcPr>
          <w:p w14:paraId="03DE3E3A" w14:textId="77777777" w:rsidR="00C07C3C" w:rsidRPr="002376F2" w:rsidRDefault="00C07C3C" w:rsidP="006D5B04">
            <w:pPr>
              <w:jc w:val="center"/>
              <w:rPr>
                <w:sz w:val="22"/>
                <w:szCs w:val="22"/>
              </w:rPr>
            </w:pPr>
            <w:r w:rsidRPr="002376F2">
              <w:rPr>
                <w:sz w:val="22"/>
                <w:szCs w:val="22"/>
              </w:rPr>
              <w:t>£147</w:t>
            </w:r>
          </w:p>
        </w:tc>
        <w:tc>
          <w:tcPr>
            <w:tcW w:w="1413" w:type="dxa"/>
          </w:tcPr>
          <w:p w14:paraId="0005F723" w14:textId="77777777" w:rsidR="00C07C3C" w:rsidRPr="002376F2" w:rsidRDefault="00C07C3C" w:rsidP="006D5B04">
            <w:pPr>
              <w:jc w:val="center"/>
              <w:rPr>
                <w:sz w:val="22"/>
                <w:szCs w:val="22"/>
              </w:rPr>
            </w:pPr>
            <w:r w:rsidRPr="002376F2">
              <w:rPr>
                <w:sz w:val="22"/>
                <w:szCs w:val="22"/>
              </w:rPr>
              <w:t>£</w:t>
            </w:r>
            <w:r>
              <w:rPr>
                <w:sz w:val="22"/>
                <w:szCs w:val="22"/>
              </w:rPr>
              <w:t>4,365</w:t>
            </w:r>
          </w:p>
        </w:tc>
      </w:tr>
      <w:tr w:rsidR="00C07C3C" w:rsidRPr="002D4064" w14:paraId="0D78CAE2" w14:textId="77777777" w:rsidTr="006D5B04">
        <w:tc>
          <w:tcPr>
            <w:tcW w:w="2661" w:type="dxa"/>
          </w:tcPr>
          <w:p w14:paraId="514C8E6E" w14:textId="77777777" w:rsidR="00C07C3C" w:rsidRPr="002376F2" w:rsidRDefault="00C07C3C" w:rsidP="006D5B04">
            <w:pPr>
              <w:rPr>
                <w:sz w:val="22"/>
                <w:szCs w:val="22"/>
              </w:rPr>
            </w:pPr>
            <w:r w:rsidRPr="002376F2">
              <w:rPr>
                <w:sz w:val="22"/>
                <w:szCs w:val="22"/>
              </w:rPr>
              <w:t>Secondary (KS3)</w:t>
            </w:r>
          </w:p>
        </w:tc>
        <w:tc>
          <w:tcPr>
            <w:tcW w:w="1590" w:type="dxa"/>
            <w:vAlign w:val="center"/>
          </w:tcPr>
          <w:p w14:paraId="0100E044" w14:textId="77777777" w:rsidR="00C07C3C" w:rsidRPr="002376F2" w:rsidRDefault="00C07C3C" w:rsidP="006D5B04">
            <w:pPr>
              <w:jc w:val="center"/>
              <w:rPr>
                <w:sz w:val="22"/>
                <w:szCs w:val="22"/>
              </w:rPr>
            </w:pPr>
            <w:r w:rsidRPr="002376F2">
              <w:rPr>
                <w:sz w:val="22"/>
                <w:szCs w:val="22"/>
              </w:rPr>
              <w:t>£162</w:t>
            </w:r>
          </w:p>
        </w:tc>
        <w:tc>
          <w:tcPr>
            <w:tcW w:w="1413" w:type="dxa"/>
          </w:tcPr>
          <w:p w14:paraId="19A83D10" w14:textId="77777777" w:rsidR="00C07C3C" w:rsidRPr="002376F2" w:rsidRDefault="00C07C3C" w:rsidP="006D5B04">
            <w:pPr>
              <w:jc w:val="center"/>
              <w:rPr>
                <w:sz w:val="22"/>
                <w:szCs w:val="22"/>
              </w:rPr>
            </w:pPr>
          </w:p>
        </w:tc>
        <w:tc>
          <w:tcPr>
            <w:tcW w:w="1413" w:type="dxa"/>
          </w:tcPr>
          <w:p w14:paraId="663B56AB" w14:textId="77777777" w:rsidR="00C07C3C" w:rsidRPr="002376F2" w:rsidRDefault="00C07C3C" w:rsidP="006D5B04">
            <w:pPr>
              <w:jc w:val="center"/>
              <w:rPr>
                <w:sz w:val="22"/>
                <w:szCs w:val="22"/>
              </w:rPr>
            </w:pPr>
          </w:p>
        </w:tc>
      </w:tr>
      <w:tr w:rsidR="00C07C3C" w:rsidRPr="002D4064" w14:paraId="503DE7D4" w14:textId="77777777" w:rsidTr="006D5B04">
        <w:tc>
          <w:tcPr>
            <w:tcW w:w="2661" w:type="dxa"/>
          </w:tcPr>
          <w:p w14:paraId="6E0BF958" w14:textId="77777777" w:rsidR="00C07C3C" w:rsidRPr="002376F2" w:rsidRDefault="00C07C3C" w:rsidP="006D5B04">
            <w:pPr>
              <w:rPr>
                <w:sz w:val="22"/>
                <w:szCs w:val="22"/>
              </w:rPr>
            </w:pPr>
            <w:r w:rsidRPr="002376F2">
              <w:rPr>
                <w:sz w:val="22"/>
                <w:szCs w:val="22"/>
              </w:rPr>
              <w:t>Secondary (KS4)</w:t>
            </w:r>
          </w:p>
        </w:tc>
        <w:tc>
          <w:tcPr>
            <w:tcW w:w="1590" w:type="dxa"/>
            <w:vAlign w:val="center"/>
          </w:tcPr>
          <w:p w14:paraId="5C699C7A" w14:textId="77777777" w:rsidR="00C07C3C" w:rsidRPr="002376F2" w:rsidRDefault="00C07C3C" w:rsidP="006D5B04">
            <w:pPr>
              <w:jc w:val="center"/>
              <w:rPr>
                <w:sz w:val="22"/>
                <w:szCs w:val="22"/>
              </w:rPr>
            </w:pPr>
            <w:r w:rsidRPr="002376F2">
              <w:rPr>
                <w:sz w:val="22"/>
                <w:szCs w:val="22"/>
              </w:rPr>
              <w:t>£184</w:t>
            </w:r>
          </w:p>
        </w:tc>
        <w:tc>
          <w:tcPr>
            <w:tcW w:w="1413" w:type="dxa"/>
          </w:tcPr>
          <w:p w14:paraId="5AA4E9BB" w14:textId="77777777" w:rsidR="00C07C3C" w:rsidRPr="002376F2" w:rsidRDefault="00C07C3C" w:rsidP="006D5B04">
            <w:pPr>
              <w:jc w:val="center"/>
              <w:rPr>
                <w:sz w:val="22"/>
                <w:szCs w:val="22"/>
              </w:rPr>
            </w:pPr>
          </w:p>
        </w:tc>
        <w:tc>
          <w:tcPr>
            <w:tcW w:w="1413" w:type="dxa"/>
          </w:tcPr>
          <w:p w14:paraId="03A79CFA" w14:textId="77777777" w:rsidR="00C07C3C" w:rsidRPr="002376F2" w:rsidRDefault="00C07C3C" w:rsidP="006D5B04">
            <w:pPr>
              <w:jc w:val="center"/>
              <w:rPr>
                <w:sz w:val="22"/>
                <w:szCs w:val="22"/>
              </w:rPr>
            </w:pPr>
          </w:p>
        </w:tc>
      </w:tr>
      <w:tr w:rsidR="00C07C3C" w:rsidRPr="002D4064" w14:paraId="1F62BB84" w14:textId="77777777" w:rsidTr="006D5B04">
        <w:tc>
          <w:tcPr>
            <w:tcW w:w="2661" w:type="dxa"/>
          </w:tcPr>
          <w:p w14:paraId="71F39504" w14:textId="77777777" w:rsidR="00C07C3C" w:rsidRPr="002376F2" w:rsidRDefault="00C07C3C" w:rsidP="006D5B04">
            <w:pPr>
              <w:rPr>
                <w:sz w:val="22"/>
                <w:szCs w:val="22"/>
              </w:rPr>
            </w:pPr>
            <w:r w:rsidRPr="002376F2">
              <w:rPr>
                <w:sz w:val="22"/>
                <w:szCs w:val="22"/>
              </w:rPr>
              <w:t>Post 16</w:t>
            </w:r>
          </w:p>
        </w:tc>
        <w:tc>
          <w:tcPr>
            <w:tcW w:w="1590" w:type="dxa"/>
            <w:vAlign w:val="center"/>
          </w:tcPr>
          <w:p w14:paraId="28A8B4F6" w14:textId="77777777" w:rsidR="00C07C3C" w:rsidRPr="002376F2" w:rsidRDefault="00C07C3C" w:rsidP="006D5B04">
            <w:pPr>
              <w:jc w:val="center"/>
              <w:rPr>
                <w:sz w:val="22"/>
                <w:szCs w:val="22"/>
              </w:rPr>
            </w:pPr>
            <w:r w:rsidRPr="002376F2">
              <w:rPr>
                <w:sz w:val="22"/>
                <w:szCs w:val="22"/>
              </w:rPr>
              <w:t>£41</w:t>
            </w:r>
          </w:p>
        </w:tc>
        <w:tc>
          <w:tcPr>
            <w:tcW w:w="1413" w:type="dxa"/>
          </w:tcPr>
          <w:p w14:paraId="6B331A9B" w14:textId="77777777" w:rsidR="00C07C3C" w:rsidRPr="002376F2" w:rsidRDefault="00C07C3C" w:rsidP="006D5B04">
            <w:pPr>
              <w:jc w:val="center"/>
              <w:rPr>
                <w:sz w:val="22"/>
                <w:szCs w:val="22"/>
              </w:rPr>
            </w:pPr>
          </w:p>
        </w:tc>
        <w:tc>
          <w:tcPr>
            <w:tcW w:w="1413" w:type="dxa"/>
          </w:tcPr>
          <w:p w14:paraId="229092F6" w14:textId="77777777" w:rsidR="00C07C3C" w:rsidRPr="002376F2" w:rsidRDefault="00C07C3C" w:rsidP="006D5B04">
            <w:pPr>
              <w:jc w:val="center"/>
              <w:rPr>
                <w:sz w:val="22"/>
                <w:szCs w:val="22"/>
              </w:rPr>
            </w:pPr>
          </w:p>
        </w:tc>
      </w:tr>
    </w:tbl>
    <w:p w14:paraId="29C069C2" w14:textId="77777777" w:rsidR="00C07C3C" w:rsidRPr="0065522F" w:rsidRDefault="00C07C3C" w:rsidP="00C07C3C">
      <w:pPr>
        <w:pStyle w:val="ListParagraph"/>
        <w:shd w:val="clear" w:color="auto" w:fill="FFFFFF"/>
        <w:ind w:left="567"/>
      </w:pPr>
    </w:p>
    <w:p w14:paraId="55A5F0CC" w14:textId="77777777" w:rsidR="00C07C3C" w:rsidRDefault="00C07C3C" w:rsidP="00C07C3C">
      <w:pPr>
        <w:pStyle w:val="ListParagraph"/>
        <w:shd w:val="clear" w:color="auto" w:fill="FFFFFF"/>
        <w:ind w:left="567"/>
      </w:pPr>
      <w:r>
        <w:rPr>
          <w:rFonts w:cs="Arial"/>
          <w:color w:val="0B0C0C"/>
          <w:sz w:val="22"/>
          <w:szCs w:val="22"/>
        </w:rPr>
        <w:t xml:space="preserve">Funding has been added to the High Needs block to include the </w:t>
      </w:r>
      <w:r w:rsidRPr="006251A1">
        <w:rPr>
          <w:rFonts w:cs="Arial"/>
          <w:color w:val="0B0C0C"/>
          <w:sz w:val="22"/>
          <w:szCs w:val="22"/>
        </w:rPr>
        <w:t>Health and Social Care Levy</w:t>
      </w:r>
      <w:r>
        <w:rPr>
          <w:rFonts w:cs="Arial"/>
          <w:color w:val="0B0C0C"/>
          <w:sz w:val="22"/>
          <w:szCs w:val="22"/>
        </w:rPr>
        <w:t xml:space="preserve">.  The rate of transfer is to be agreed with special schools and other specialist providers. </w:t>
      </w:r>
    </w:p>
    <w:p w14:paraId="5A139A39" w14:textId="77777777" w:rsidR="00C07C3C" w:rsidRDefault="00C07C3C" w:rsidP="00C07C3C"/>
    <w:p w14:paraId="3D106DED" w14:textId="407397EA" w:rsidR="00C07C3C" w:rsidRPr="002D4064" w:rsidRDefault="00C07C3C" w:rsidP="00C07C3C">
      <w:pPr>
        <w:pStyle w:val="Heading2"/>
        <w:numPr>
          <w:ilvl w:val="0"/>
          <w:numId w:val="21"/>
        </w:numPr>
        <w:ind w:left="567" w:hanging="425"/>
      </w:pPr>
      <w:bookmarkStart w:id="6" w:name="_Toc98168466"/>
      <w:r w:rsidRPr="002D4064">
        <w:t xml:space="preserve">Impact on </w:t>
      </w:r>
      <w:r w:rsidR="002F7D38">
        <w:t>a</w:t>
      </w:r>
      <w:r w:rsidRPr="002D4064">
        <w:t xml:space="preserve">cademies and </w:t>
      </w:r>
      <w:r w:rsidR="002F7D38">
        <w:t>f</w:t>
      </w:r>
      <w:r w:rsidRPr="002D4064">
        <w:t xml:space="preserve">ree </w:t>
      </w:r>
      <w:r w:rsidR="002F7D38">
        <w:t>sc</w:t>
      </w:r>
      <w:r w:rsidRPr="002D4064">
        <w:t>hools</w:t>
      </w:r>
      <w:bookmarkEnd w:id="6"/>
      <w:r w:rsidRPr="002D4064">
        <w:t xml:space="preserve"> </w:t>
      </w:r>
    </w:p>
    <w:p w14:paraId="3A55E22F" w14:textId="77777777" w:rsidR="00C07C3C" w:rsidRPr="002D4064" w:rsidRDefault="00C07C3C" w:rsidP="00C07C3C">
      <w:pPr>
        <w:ind w:left="561" w:right="176"/>
        <w:rPr>
          <w:sz w:val="22"/>
          <w:szCs w:val="22"/>
        </w:rPr>
      </w:pPr>
    </w:p>
    <w:p w14:paraId="0BD2EAB0" w14:textId="18C04763" w:rsidR="00C07C3C" w:rsidRDefault="00C07C3C" w:rsidP="00C07C3C">
      <w:pPr>
        <w:ind w:left="561" w:right="176"/>
        <w:rPr>
          <w:sz w:val="22"/>
          <w:szCs w:val="22"/>
        </w:rPr>
      </w:pPr>
      <w:r w:rsidRPr="002D4064">
        <w:rPr>
          <w:sz w:val="22"/>
          <w:szCs w:val="22"/>
        </w:rPr>
        <w:t>All academies and free schools are equally eligible for the grants referred to in this report, provided they fit the criteria.</w:t>
      </w:r>
      <w:r w:rsidR="002F7D38">
        <w:rPr>
          <w:sz w:val="22"/>
          <w:szCs w:val="22"/>
        </w:rPr>
        <w:t xml:space="preserve"> </w:t>
      </w:r>
      <w:r w:rsidRPr="002D4064">
        <w:rPr>
          <w:sz w:val="22"/>
          <w:szCs w:val="22"/>
        </w:rPr>
        <w:t xml:space="preserve">The non-maintained schools receive the funding direct from the government department responsible.  </w:t>
      </w:r>
    </w:p>
    <w:p w14:paraId="237F71AA" w14:textId="6B385249" w:rsidR="0071745E" w:rsidRDefault="0071745E" w:rsidP="00C07C3C">
      <w:pPr>
        <w:ind w:left="561" w:right="176"/>
        <w:rPr>
          <w:sz w:val="22"/>
          <w:szCs w:val="22"/>
        </w:rPr>
      </w:pPr>
    </w:p>
    <w:p w14:paraId="6AB997F4" w14:textId="6D0758F5" w:rsidR="0071745E" w:rsidRDefault="0071745E" w:rsidP="00C07C3C">
      <w:pPr>
        <w:ind w:left="561" w:right="176"/>
        <w:rPr>
          <w:sz w:val="22"/>
          <w:szCs w:val="22"/>
        </w:rPr>
      </w:pPr>
    </w:p>
    <w:p w14:paraId="4DECAFBB" w14:textId="0C1E752C" w:rsidR="0071745E" w:rsidRDefault="0071745E" w:rsidP="00C07C3C">
      <w:pPr>
        <w:ind w:left="561" w:right="176"/>
        <w:rPr>
          <w:sz w:val="22"/>
          <w:szCs w:val="22"/>
        </w:rPr>
      </w:pPr>
    </w:p>
    <w:p w14:paraId="0781E378" w14:textId="1D0014D7" w:rsidR="0071745E" w:rsidRPr="002D4064" w:rsidRDefault="0071745E" w:rsidP="00C07C3C">
      <w:pPr>
        <w:ind w:left="561" w:right="176"/>
        <w:rPr>
          <w:sz w:val="22"/>
          <w:szCs w:val="22"/>
        </w:rPr>
      </w:pPr>
      <w:r w:rsidRPr="00034C15">
        <w:rPr>
          <w:noProof/>
        </w:rPr>
        <w:lastRenderedPageBreak/>
        <w:drawing>
          <wp:inline distT="0" distB="0" distL="0" distR="0" wp14:anchorId="272C2FF5" wp14:editId="520D703E">
            <wp:extent cx="5731510" cy="3786800"/>
            <wp:effectExtent l="0" t="0" r="2540" b="4445"/>
            <wp:docPr id="2" name="Picture 2" descr="Appendix A, Summary of Grants for schools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endix A, Summary of Grants for schools for informati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3786800"/>
                    </a:xfrm>
                    <a:prstGeom prst="rect">
                      <a:avLst/>
                    </a:prstGeom>
                    <a:noFill/>
                    <a:ln>
                      <a:noFill/>
                    </a:ln>
                  </pic:spPr>
                </pic:pic>
              </a:graphicData>
            </a:graphic>
          </wp:inline>
        </w:drawing>
      </w:r>
    </w:p>
    <w:p w14:paraId="1E2D58F5" w14:textId="77777777" w:rsidR="00C07C3C" w:rsidRPr="00C07C3C" w:rsidRDefault="00C07C3C" w:rsidP="00C07C3C"/>
    <w:p w14:paraId="663455AE" w14:textId="2EA78815" w:rsidR="007842F4" w:rsidRDefault="007842F4" w:rsidP="007842F4">
      <w:pPr>
        <w:tabs>
          <w:tab w:val="left" w:pos="540"/>
        </w:tabs>
      </w:pPr>
    </w:p>
    <w:p w14:paraId="3D2BE8DC" w14:textId="77777777" w:rsidR="00101F8B" w:rsidRPr="00080CA2" w:rsidRDefault="00101F8B" w:rsidP="00101F8B"/>
    <w:sectPr w:rsidR="00101F8B" w:rsidRPr="00080CA2" w:rsidSect="00DC0596">
      <w:head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90B0" w14:textId="77777777" w:rsidR="002C2A46" w:rsidRDefault="002C2A46" w:rsidP="00101F8B">
      <w:r>
        <w:separator/>
      </w:r>
    </w:p>
    <w:p w14:paraId="7094A31A" w14:textId="77777777" w:rsidR="002C2A46" w:rsidRDefault="002C2A46" w:rsidP="00101F8B"/>
    <w:p w14:paraId="1141FD55" w14:textId="77777777" w:rsidR="002C2A46" w:rsidRDefault="002C2A46" w:rsidP="00101F8B"/>
    <w:p w14:paraId="2BA0541C" w14:textId="77777777" w:rsidR="002C2A46" w:rsidRDefault="002C2A46" w:rsidP="00101F8B"/>
    <w:p w14:paraId="40C792C9" w14:textId="77777777" w:rsidR="002C2A46" w:rsidRDefault="002C2A46" w:rsidP="00101F8B"/>
    <w:p w14:paraId="4356EFFA" w14:textId="77777777" w:rsidR="002C2A46" w:rsidRDefault="002C2A46" w:rsidP="00101F8B"/>
  </w:endnote>
  <w:endnote w:type="continuationSeparator" w:id="0">
    <w:p w14:paraId="5315FB29" w14:textId="77777777" w:rsidR="002C2A46" w:rsidRDefault="002C2A46" w:rsidP="00101F8B">
      <w:r>
        <w:continuationSeparator/>
      </w:r>
    </w:p>
    <w:p w14:paraId="0D5136E1" w14:textId="77777777" w:rsidR="002C2A46" w:rsidRDefault="002C2A46" w:rsidP="00101F8B"/>
    <w:p w14:paraId="7FB30730" w14:textId="77777777" w:rsidR="002C2A46" w:rsidRDefault="002C2A46" w:rsidP="00101F8B"/>
    <w:p w14:paraId="1227B826" w14:textId="77777777" w:rsidR="002C2A46" w:rsidRDefault="002C2A46" w:rsidP="00101F8B"/>
    <w:p w14:paraId="18D03916" w14:textId="77777777" w:rsidR="002C2A46" w:rsidRDefault="002C2A46" w:rsidP="00101F8B"/>
    <w:p w14:paraId="072ACC13" w14:textId="77777777" w:rsidR="002C2A46" w:rsidRDefault="002C2A46" w:rsidP="00101F8B"/>
  </w:endnote>
  <w:endnote w:type="continuationNotice" w:id="1">
    <w:p w14:paraId="2BC522A7" w14:textId="77777777" w:rsidR="002C2A46" w:rsidRDefault="002C2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2-03-09T00:00:00Z">
        <w:dateFormat w:val="dd/MM/yyyy"/>
        <w:lid w:val="en-GB"/>
        <w:storeMappedDataAs w:val="dateTime"/>
        <w:calendar w:val="gregorian"/>
      </w:date>
    </w:sdtPr>
    <w:sdtEndPr/>
    <w:sdtContent>
      <w:p w14:paraId="0B17A5A9" w14:textId="63C5DF61" w:rsidR="00114878" w:rsidRPr="00CC4CE1" w:rsidRDefault="00907DA0" w:rsidP="007C4F08">
        <w:pPr>
          <w:pStyle w:val="Headersfooters"/>
        </w:pPr>
        <w:r>
          <w:t>09/03/2022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5DA9" w14:textId="77777777" w:rsidR="002C2A46" w:rsidRDefault="002C2A46" w:rsidP="00101F8B">
      <w:r>
        <w:separator/>
      </w:r>
    </w:p>
    <w:p w14:paraId="3024F81C" w14:textId="77777777" w:rsidR="002C2A46" w:rsidRDefault="002C2A46" w:rsidP="00101F8B"/>
    <w:p w14:paraId="154F0A3D" w14:textId="77777777" w:rsidR="002C2A46" w:rsidRDefault="002C2A46" w:rsidP="00101F8B"/>
    <w:p w14:paraId="14488541" w14:textId="77777777" w:rsidR="002C2A46" w:rsidRDefault="002C2A46" w:rsidP="00101F8B"/>
    <w:p w14:paraId="3D2CBFD7" w14:textId="77777777" w:rsidR="002C2A46" w:rsidRDefault="002C2A46" w:rsidP="00101F8B"/>
    <w:p w14:paraId="78C881E7" w14:textId="77777777" w:rsidR="002C2A46" w:rsidRDefault="002C2A46" w:rsidP="00101F8B"/>
  </w:footnote>
  <w:footnote w:type="continuationSeparator" w:id="0">
    <w:p w14:paraId="29B2980B" w14:textId="77777777" w:rsidR="002C2A46" w:rsidRDefault="002C2A46" w:rsidP="00101F8B">
      <w:r>
        <w:continuationSeparator/>
      </w:r>
    </w:p>
    <w:p w14:paraId="437FA747" w14:textId="77777777" w:rsidR="002C2A46" w:rsidRDefault="002C2A46" w:rsidP="00101F8B"/>
    <w:p w14:paraId="13411B00" w14:textId="77777777" w:rsidR="002C2A46" w:rsidRDefault="002C2A46" w:rsidP="00101F8B"/>
    <w:p w14:paraId="43B57810" w14:textId="77777777" w:rsidR="002C2A46" w:rsidRDefault="002C2A46" w:rsidP="00101F8B"/>
    <w:p w14:paraId="23CBC5F8" w14:textId="77777777" w:rsidR="002C2A46" w:rsidRDefault="002C2A46" w:rsidP="00101F8B"/>
    <w:p w14:paraId="5B7691DC" w14:textId="77777777" w:rsidR="002C2A46" w:rsidRDefault="002C2A46" w:rsidP="00101F8B"/>
  </w:footnote>
  <w:footnote w:type="continuationNotice" w:id="1">
    <w:p w14:paraId="51EDFA02" w14:textId="77777777" w:rsidR="002C2A46" w:rsidRDefault="002C2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07E837C3" w:rsidR="00114878" w:rsidRPr="007B40D8" w:rsidRDefault="00982055" w:rsidP="007C4F08">
        <w:pPr>
          <w:pStyle w:val="Headersfooters"/>
        </w:pPr>
        <w:r>
          <w:t>School grants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F34"/>
    <w:multiLevelType w:val="hybridMultilevel"/>
    <w:tmpl w:val="E3EC75B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 w15:restartNumberingAfterBreak="0">
    <w:nsid w:val="0B213568"/>
    <w:multiLevelType w:val="hybridMultilevel"/>
    <w:tmpl w:val="3D625848"/>
    <w:lvl w:ilvl="0" w:tplc="0106B3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20084"/>
    <w:multiLevelType w:val="hybridMultilevel"/>
    <w:tmpl w:val="EF3668E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3817400"/>
    <w:multiLevelType w:val="multilevel"/>
    <w:tmpl w:val="0958BBE6"/>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36CF3"/>
    <w:multiLevelType w:val="hybridMultilevel"/>
    <w:tmpl w:val="D6F6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53B16"/>
    <w:multiLevelType w:val="hybridMultilevel"/>
    <w:tmpl w:val="FAE6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93229"/>
    <w:multiLevelType w:val="multilevel"/>
    <w:tmpl w:val="FA84644E"/>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4"/>
        <w:szCs w:val="24"/>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E251C4"/>
    <w:multiLevelType w:val="hybridMultilevel"/>
    <w:tmpl w:val="42E48448"/>
    <w:lvl w:ilvl="0" w:tplc="4CF0E9DE">
      <w:start w:val="1"/>
      <w:numFmt w:val="decimal"/>
      <w:lvlText w:val="%1."/>
      <w:lvlJc w:val="left"/>
      <w:pPr>
        <w:ind w:left="720" w:hanging="360"/>
      </w:pPr>
      <w:rPr>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36B3C"/>
    <w:multiLevelType w:val="hybridMultilevel"/>
    <w:tmpl w:val="310A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83A07"/>
    <w:multiLevelType w:val="hybridMultilevel"/>
    <w:tmpl w:val="B4C8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44230"/>
    <w:multiLevelType w:val="hybridMultilevel"/>
    <w:tmpl w:val="E8942A38"/>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8C17652"/>
    <w:multiLevelType w:val="multilevel"/>
    <w:tmpl w:val="EAFE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3332F"/>
    <w:multiLevelType w:val="hybridMultilevel"/>
    <w:tmpl w:val="8F88F5E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3EAA387E"/>
    <w:multiLevelType w:val="hybridMultilevel"/>
    <w:tmpl w:val="107E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37E9F"/>
    <w:multiLevelType w:val="hybridMultilevel"/>
    <w:tmpl w:val="D8C0CC3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48FF17BC"/>
    <w:multiLevelType w:val="hybridMultilevel"/>
    <w:tmpl w:val="62F4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B3BB7"/>
    <w:multiLevelType w:val="hybridMultilevel"/>
    <w:tmpl w:val="1570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31098"/>
    <w:multiLevelType w:val="hybridMultilevel"/>
    <w:tmpl w:val="B19A14F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4C7D17FE"/>
    <w:multiLevelType w:val="hybridMultilevel"/>
    <w:tmpl w:val="2B5A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8321B"/>
    <w:multiLevelType w:val="hybridMultilevel"/>
    <w:tmpl w:val="E5849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F1493"/>
    <w:multiLevelType w:val="hybridMultilevel"/>
    <w:tmpl w:val="15385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629D5"/>
    <w:multiLevelType w:val="hybridMultilevel"/>
    <w:tmpl w:val="29B2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04542"/>
    <w:multiLevelType w:val="hybridMultilevel"/>
    <w:tmpl w:val="6476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0560E"/>
    <w:multiLevelType w:val="multilevel"/>
    <w:tmpl w:val="60CC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9"/>
  </w:num>
  <w:num w:numId="4">
    <w:abstractNumId w:val="15"/>
  </w:num>
  <w:num w:numId="5">
    <w:abstractNumId w:val="2"/>
  </w:num>
  <w:num w:numId="6">
    <w:abstractNumId w:val="17"/>
  </w:num>
  <w:num w:numId="7">
    <w:abstractNumId w:val="14"/>
  </w:num>
  <w:num w:numId="8">
    <w:abstractNumId w:val="12"/>
  </w:num>
  <w:num w:numId="9">
    <w:abstractNumId w:val="10"/>
  </w:num>
  <w:num w:numId="10">
    <w:abstractNumId w:val="20"/>
  </w:num>
  <w:num w:numId="11">
    <w:abstractNumId w:val="16"/>
  </w:num>
  <w:num w:numId="12">
    <w:abstractNumId w:val="1"/>
  </w:num>
  <w:num w:numId="13">
    <w:abstractNumId w:val="19"/>
  </w:num>
  <w:num w:numId="14">
    <w:abstractNumId w:val="5"/>
  </w:num>
  <w:num w:numId="15">
    <w:abstractNumId w:val="21"/>
  </w:num>
  <w:num w:numId="16">
    <w:abstractNumId w:val="8"/>
  </w:num>
  <w:num w:numId="17">
    <w:abstractNumId w:val="4"/>
  </w:num>
  <w:num w:numId="18">
    <w:abstractNumId w:val="22"/>
  </w:num>
  <w:num w:numId="19">
    <w:abstractNumId w:val="18"/>
  </w:num>
  <w:num w:numId="20">
    <w:abstractNumId w:val="13"/>
  </w:num>
  <w:num w:numId="21">
    <w:abstractNumId w:val="6"/>
  </w:num>
  <w:num w:numId="22">
    <w:abstractNumId w:val="11"/>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5EE1"/>
    <w:rsid w:val="000070CB"/>
    <w:rsid w:val="00007E33"/>
    <w:rsid w:val="00020537"/>
    <w:rsid w:val="00040731"/>
    <w:rsid w:val="00043A2F"/>
    <w:rsid w:val="00065611"/>
    <w:rsid w:val="000674E0"/>
    <w:rsid w:val="00070438"/>
    <w:rsid w:val="00074B45"/>
    <w:rsid w:val="00074FA5"/>
    <w:rsid w:val="00080CA2"/>
    <w:rsid w:val="00087310"/>
    <w:rsid w:val="000A3764"/>
    <w:rsid w:val="000A5444"/>
    <w:rsid w:val="000A7608"/>
    <w:rsid w:val="000C30B7"/>
    <w:rsid w:val="000C380D"/>
    <w:rsid w:val="000C4765"/>
    <w:rsid w:val="000C67FB"/>
    <w:rsid w:val="000D2741"/>
    <w:rsid w:val="000E51B6"/>
    <w:rsid w:val="000F3970"/>
    <w:rsid w:val="000F6279"/>
    <w:rsid w:val="000F6E8C"/>
    <w:rsid w:val="00101F8B"/>
    <w:rsid w:val="00101FA2"/>
    <w:rsid w:val="001036F9"/>
    <w:rsid w:val="00104F41"/>
    <w:rsid w:val="00114301"/>
    <w:rsid w:val="00114878"/>
    <w:rsid w:val="00125F67"/>
    <w:rsid w:val="00126019"/>
    <w:rsid w:val="00126350"/>
    <w:rsid w:val="00126A44"/>
    <w:rsid w:val="00126F88"/>
    <w:rsid w:val="0013006A"/>
    <w:rsid w:val="001357FA"/>
    <w:rsid w:val="00145399"/>
    <w:rsid w:val="001515DA"/>
    <w:rsid w:val="00156F0C"/>
    <w:rsid w:val="00167749"/>
    <w:rsid w:val="001702A6"/>
    <w:rsid w:val="00173D7C"/>
    <w:rsid w:val="0017764D"/>
    <w:rsid w:val="001855F8"/>
    <w:rsid w:val="0018596F"/>
    <w:rsid w:val="00186DD3"/>
    <w:rsid w:val="0019011F"/>
    <w:rsid w:val="00194E0A"/>
    <w:rsid w:val="00197B45"/>
    <w:rsid w:val="001A50C8"/>
    <w:rsid w:val="001A5496"/>
    <w:rsid w:val="001A5CF9"/>
    <w:rsid w:val="001B026E"/>
    <w:rsid w:val="001B5086"/>
    <w:rsid w:val="001C0C30"/>
    <w:rsid w:val="001C10D1"/>
    <w:rsid w:val="001C7D21"/>
    <w:rsid w:val="001D1CD9"/>
    <w:rsid w:val="001D2580"/>
    <w:rsid w:val="001E4FD3"/>
    <w:rsid w:val="001F1483"/>
    <w:rsid w:val="001F6B6E"/>
    <w:rsid w:val="00207805"/>
    <w:rsid w:val="00222062"/>
    <w:rsid w:val="00223510"/>
    <w:rsid w:val="0023206C"/>
    <w:rsid w:val="002321AE"/>
    <w:rsid w:val="00232765"/>
    <w:rsid w:val="0024038C"/>
    <w:rsid w:val="00243C90"/>
    <w:rsid w:val="00247CD7"/>
    <w:rsid w:val="00252C9E"/>
    <w:rsid w:val="00254523"/>
    <w:rsid w:val="002553F9"/>
    <w:rsid w:val="00260104"/>
    <w:rsid w:val="00263332"/>
    <w:rsid w:val="0026700D"/>
    <w:rsid w:val="00280F3B"/>
    <w:rsid w:val="002811C5"/>
    <w:rsid w:val="00284556"/>
    <w:rsid w:val="0028558C"/>
    <w:rsid w:val="002946AD"/>
    <w:rsid w:val="00297396"/>
    <w:rsid w:val="002A298E"/>
    <w:rsid w:val="002A61FA"/>
    <w:rsid w:val="002A63DF"/>
    <w:rsid w:val="002A75C9"/>
    <w:rsid w:val="002C220C"/>
    <w:rsid w:val="002C2A46"/>
    <w:rsid w:val="002C3B60"/>
    <w:rsid w:val="002D020F"/>
    <w:rsid w:val="002D08BA"/>
    <w:rsid w:val="002E65CA"/>
    <w:rsid w:val="002E6661"/>
    <w:rsid w:val="002F24D7"/>
    <w:rsid w:val="002F5660"/>
    <w:rsid w:val="002F7D38"/>
    <w:rsid w:val="00306223"/>
    <w:rsid w:val="00306A52"/>
    <w:rsid w:val="003127E5"/>
    <w:rsid w:val="00322CD4"/>
    <w:rsid w:val="00331F00"/>
    <w:rsid w:val="003322AF"/>
    <w:rsid w:val="0033588B"/>
    <w:rsid w:val="00336368"/>
    <w:rsid w:val="00345E3F"/>
    <w:rsid w:val="00351A73"/>
    <w:rsid w:val="00353A3C"/>
    <w:rsid w:val="00354736"/>
    <w:rsid w:val="003576F5"/>
    <w:rsid w:val="00363471"/>
    <w:rsid w:val="00366792"/>
    <w:rsid w:val="00366A0B"/>
    <w:rsid w:val="0037482E"/>
    <w:rsid w:val="00390725"/>
    <w:rsid w:val="00392DA0"/>
    <w:rsid w:val="003956FB"/>
    <w:rsid w:val="003A4055"/>
    <w:rsid w:val="003C4A1F"/>
    <w:rsid w:val="003D7DE6"/>
    <w:rsid w:val="003E1E3B"/>
    <w:rsid w:val="003F1191"/>
    <w:rsid w:val="0040079A"/>
    <w:rsid w:val="00416ECD"/>
    <w:rsid w:val="00417A06"/>
    <w:rsid w:val="0043619C"/>
    <w:rsid w:val="004369A3"/>
    <w:rsid w:val="00437B1E"/>
    <w:rsid w:val="00447812"/>
    <w:rsid w:val="00447D74"/>
    <w:rsid w:val="004522A4"/>
    <w:rsid w:val="00454C4D"/>
    <w:rsid w:val="00456DF1"/>
    <w:rsid w:val="00457345"/>
    <w:rsid w:val="004628B2"/>
    <w:rsid w:val="00465A7A"/>
    <w:rsid w:val="0047742A"/>
    <w:rsid w:val="00486DB0"/>
    <w:rsid w:val="004B16D6"/>
    <w:rsid w:val="004B648E"/>
    <w:rsid w:val="004B76DF"/>
    <w:rsid w:val="004C0C0B"/>
    <w:rsid w:val="004D7246"/>
    <w:rsid w:val="004E2324"/>
    <w:rsid w:val="004F25B4"/>
    <w:rsid w:val="004F2D27"/>
    <w:rsid w:val="004F2FE4"/>
    <w:rsid w:val="005049F9"/>
    <w:rsid w:val="00505176"/>
    <w:rsid w:val="0050762B"/>
    <w:rsid w:val="00513A71"/>
    <w:rsid w:val="00523058"/>
    <w:rsid w:val="005320F0"/>
    <w:rsid w:val="0053348A"/>
    <w:rsid w:val="00534043"/>
    <w:rsid w:val="00537856"/>
    <w:rsid w:val="00546CD5"/>
    <w:rsid w:val="0055025B"/>
    <w:rsid w:val="00554B08"/>
    <w:rsid w:val="00564716"/>
    <w:rsid w:val="00597607"/>
    <w:rsid w:val="005A4167"/>
    <w:rsid w:val="005A47E3"/>
    <w:rsid w:val="005A6EFB"/>
    <w:rsid w:val="005B1D03"/>
    <w:rsid w:val="005B59B4"/>
    <w:rsid w:val="005B68A7"/>
    <w:rsid w:val="005B7FC3"/>
    <w:rsid w:val="005C0619"/>
    <w:rsid w:val="005D1E13"/>
    <w:rsid w:val="005D417B"/>
    <w:rsid w:val="005D7455"/>
    <w:rsid w:val="005E20F3"/>
    <w:rsid w:val="005E3319"/>
    <w:rsid w:val="005E3519"/>
    <w:rsid w:val="005E48FC"/>
    <w:rsid w:val="005E57A5"/>
    <w:rsid w:val="005E61F3"/>
    <w:rsid w:val="005E62B4"/>
    <w:rsid w:val="005F2463"/>
    <w:rsid w:val="005F24B4"/>
    <w:rsid w:val="00605F8B"/>
    <w:rsid w:val="00614E67"/>
    <w:rsid w:val="00615F0C"/>
    <w:rsid w:val="00615F9B"/>
    <w:rsid w:val="0062161D"/>
    <w:rsid w:val="00630E26"/>
    <w:rsid w:val="00632D1A"/>
    <w:rsid w:val="00646372"/>
    <w:rsid w:val="0064727B"/>
    <w:rsid w:val="00652321"/>
    <w:rsid w:val="00654C0A"/>
    <w:rsid w:val="0065627D"/>
    <w:rsid w:val="00661604"/>
    <w:rsid w:val="00664612"/>
    <w:rsid w:val="006725D0"/>
    <w:rsid w:val="006747CB"/>
    <w:rsid w:val="006A031C"/>
    <w:rsid w:val="006A3FB4"/>
    <w:rsid w:val="006A5289"/>
    <w:rsid w:val="006A6700"/>
    <w:rsid w:val="006B05B8"/>
    <w:rsid w:val="006D1344"/>
    <w:rsid w:val="006D4501"/>
    <w:rsid w:val="006D7B22"/>
    <w:rsid w:val="006E7357"/>
    <w:rsid w:val="006F1BED"/>
    <w:rsid w:val="006F2E56"/>
    <w:rsid w:val="007029F1"/>
    <w:rsid w:val="00707242"/>
    <w:rsid w:val="00714B68"/>
    <w:rsid w:val="0071745E"/>
    <w:rsid w:val="007401A9"/>
    <w:rsid w:val="0074646F"/>
    <w:rsid w:val="00752197"/>
    <w:rsid w:val="007579AE"/>
    <w:rsid w:val="00760026"/>
    <w:rsid w:val="00761A69"/>
    <w:rsid w:val="00761BE5"/>
    <w:rsid w:val="00774185"/>
    <w:rsid w:val="007744A5"/>
    <w:rsid w:val="00774DC3"/>
    <w:rsid w:val="0078419C"/>
    <w:rsid w:val="007842F4"/>
    <w:rsid w:val="007850A6"/>
    <w:rsid w:val="0079108D"/>
    <w:rsid w:val="007A0A77"/>
    <w:rsid w:val="007B398D"/>
    <w:rsid w:val="007B40D8"/>
    <w:rsid w:val="007C4A01"/>
    <w:rsid w:val="007C4F08"/>
    <w:rsid w:val="007D1106"/>
    <w:rsid w:val="007D4138"/>
    <w:rsid w:val="007E3B08"/>
    <w:rsid w:val="007F4173"/>
    <w:rsid w:val="007F7721"/>
    <w:rsid w:val="0080418D"/>
    <w:rsid w:val="00804351"/>
    <w:rsid w:val="00810B5E"/>
    <w:rsid w:val="008158A3"/>
    <w:rsid w:val="008165BD"/>
    <w:rsid w:val="00822DDA"/>
    <w:rsid w:val="008230E5"/>
    <w:rsid w:val="008512D5"/>
    <w:rsid w:val="00853574"/>
    <w:rsid w:val="0085574E"/>
    <w:rsid w:val="0085727C"/>
    <w:rsid w:val="00870925"/>
    <w:rsid w:val="00871F56"/>
    <w:rsid w:val="00872D91"/>
    <w:rsid w:val="00880E77"/>
    <w:rsid w:val="00880FFC"/>
    <w:rsid w:val="00885B3E"/>
    <w:rsid w:val="008875FF"/>
    <w:rsid w:val="00897E7A"/>
    <w:rsid w:val="008A3D01"/>
    <w:rsid w:val="008A65E8"/>
    <w:rsid w:val="008B70E7"/>
    <w:rsid w:val="008D429A"/>
    <w:rsid w:val="008D5ECC"/>
    <w:rsid w:val="008E3739"/>
    <w:rsid w:val="008E3AC8"/>
    <w:rsid w:val="008E7FF3"/>
    <w:rsid w:val="00903AF5"/>
    <w:rsid w:val="00907DA0"/>
    <w:rsid w:val="00910C59"/>
    <w:rsid w:val="0093181C"/>
    <w:rsid w:val="00933A58"/>
    <w:rsid w:val="00945C8A"/>
    <w:rsid w:val="009567FE"/>
    <w:rsid w:val="00957240"/>
    <w:rsid w:val="009653FC"/>
    <w:rsid w:val="00966D99"/>
    <w:rsid w:val="009709BA"/>
    <w:rsid w:val="009711CF"/>
    <w:rsid w:val="00977DE8"/>
    <w:rsid w:val="00982055"/>
    <w:rsid w:val="009824AA"/>
    <w:rsid w:val="009936C9"/>
    <w:rsid w:val="009953F5"/>
    <w:rsid w:val="009A089F"/>
    <w:rsid w:val="009A251E"/>
    <w:rsid w:val="009A29A1"/>
    <w:rsid w:val="009B020A"/>
    <w:rsid w:val="009B5975"/>
    <w:rsid w:val="009C1214"/>
    <w:rsid w:val="009C6A0D"/>
    <w:rsid w:val="009D2E56"/>
    <w:rsid w:val="009D3201"/>
    <w:rsid w:val="009D5492"/>
    <w:rsid w:val="009D7DB9"/>
    <w:rsid w:val="009E2A12"/>
    <w:rsid w:val="009E2DA5"/>
    <w:rsid w:val="009E5199"/>
    <w:rsid w:val="009E5F42"/>
    <w:rsid w:val="009F0BE5"/>
    <w:rsid w:val="009F3687"/>
    <w:rsid w:val="00A01AB6"/>
    <w:rsid w:val="00A027FF"/>
    <w:rsid w:val="00A041FE"/>
    <w:rsid w:val="00A41D21"/>
    <w:rsid w:val="00A45210"/>
    <w:rsid w:val="00A4524C"/>
    <w:rsid w:val="00A51DDE"/>
    <w:rsid w:val="00A55F0B"/>
    <w:rsid w:val="00A616B7"/>
    <w:rsid w:val="00A66B96"/>
    <w:rsid w:val="00A66CAE"/>
    <w:rsid w:val="00A70F08"/>
    <w:rsid w:val="00A809C3"/>
    <w:rsid w:val="00A818C7"/>
    <w:rsid w:val="00A93B95"/>
    <w:rsid w:val="00A94AB7"/>
    <w:rsid w:val="00AA292C"/>
    <w:rsid w:val="00AA551A"/>
    <w:rsid w:val="00AA79F3"/>
    <w:rsid w:val="00AB0847"/>
    <w:rsid w:val="00AB2E43"/>
    <w:rsid w:val="00AC0806"/>
    <w:rsid w:val="00AC1085"/>
    <w:rsid w:val="00AC36D3"/>
    <w:rsid w:val="00AC36DE"/>
    <w:rsid w:val="00AC4227"/>
    <w:rsid w:val="00AC5E87"/>
    <w:rsid w:val="00AD3F9B"/>
    <w:rsid w:val="00AE061D"/>
    <w:rsid w:val="00AE1AD6"/>
    <w:rsid w:val="00AE6687"/>
    <w:rsid w:val="00AE6926"/>
    <w:rsid w:val="00AF3CF6"/>
    <w:rsid w:val="00AF612F"/>
    <w:rsid w:val="00B03217"/>
    <w:rsid w:val="00B06480"/>
    <w:rsid w:val="00B11827"/>
    <w:rsid w:val="00B13507"/>
    <w:rsid w:val="00B15F05"/>
    <w:rsid w:val="00B16CCF"/>
    <w:rsid w:val="00B217DD"/>
    <w:rsid w:val="00B23D46"/>
    <w:rsid w:val="00B271BC"/>
    <w:rsid w:val="00B45785"/>
    <w:rsid w:val="00B53CE0"/>
    <w:rsid w:val="00B560D6"/>
    <w:rsid w:val="00B62AAE"/>
    <w:rsid w:val="00B66E46"/>
    <w:rsid w:val="00B76A27"/>
    <w:rsid w:val="00B776C8"/>
    <w:rsid w:val="00B77855"/>
    <w:rsid w:val="00B806A5"/>
    <w:rsid w:val="00B82078"/>
    <w:rsid w:val="00B82728"/>
    <w:rsid w:val="00B830FD"/>
    <w:rsid w:val="00BA1CF8"/>
    <w:rsid w:val="00BA2322"/>
    <w:rsid w:val="00BA63ED"/>
    <w:rsid w:val="00BE2B28"/>
    <w:rsid w:val="00BE6FB3"/>
    <w:rsid w:val="00C02C6D"/>
    <w:rsid w:val="00C06905"/>
    <w:rsid w:val="00C06C54"/>
    <w:rsid w:val="00C07C3C"/>
    <w:rsid w:val="00C12CC1"/>
    <w:rsid w:val="00C1377D"/>
    <w:rsid w:val="00C16A8D"/>
    <w:rsid w:val="00C21513"/>
    <w:rsid w:val="00C26EEB"/>
    <w:rsid w:val="00C3040C"/>
    <w:rsid w:val="00C323C1"/>
    <w:rsid w:val="00C37EAD"/>
    <w:rsid w:val="00C46D81"/>
    <w:rsid w:val="00C53CFC"/>
    <w:rsid w:val="00C60F51"/>
    <w:rsid w:val="00C65874"/>
    <w:rsid w:val="00C65EA4"/>
    <w:rsid w:val="00C67811"/>
    <w:rsid w:val="00C67F28"/>
    <w:rsid w:val="00C83FC9"/>
    <w:rsid w:val="00C85DF0"/>
    <w:rsid w:val="00C909D8"/>
    <w:rsid w:val="00C95186"/>
    <w:rsid w:val="00C967EF"/>
    <w:rsid w:val="00C96879"/>
    <w:rsid w:val="00C96AAC"/>
    <w:rsid w:val="00CB06A7"/>
    <w:rsid w:val="00CC2D61"/>
    <w:rsid w:val="00CC4CE1"/>
    <w:rsid w:val="00CD03B5"/>
    <w:rsid w:val="00CD2A0B"/>
    <w:rsid w:val="00CD2DF0"/>
    <w:rsid w:val="00CD4765"/>
    <w:rsid w:val="00CE58AC"/>
    <w:rsid w:val="00CE7B73"/>
    <w:rsid w:val="00CF5166"/>
    <w:rsid w:val="00CF7E90"/>
    <w:rsid w:val="00D02556"/>
    <w:rsid w:val="00D05180"/>
    <w:rsid w:val="00D05DCF"/>
    <w:rsid w:val="00D12F08"/>
    <w:rsid w:val="00D37E76"/>
    <w:rsid w:val="00D53FA0"/>
    <w:rsid w:val="00D6225C"/>
    <w:rsid w:val="00D653DF"/>
    <w:rsid w:val="00D8113B"/>
    <w:rsid w:val="00D82CA3"/>
    <w:rsid w:val="00D92B41"/>
    <w:rsid w:val="00DA18F2"/>
    <w:rsid w:val="00DA59A6"/>
    <w:rsid w:val="00DC0596"/>
    <w:rsid w:val="00DC28C8"/>
    <w:rsid w:val="00DC7563"/>
    <w:rsid w:val="00DC7F8A"/>
    <w:rsid w:val="00DD019E"/>
    <w:rsid w:val="00DD19D6"/>
    <w:rsid w:val="00DD5E89"/>
    <w:rsid w:val="00DE7C4B"/>
    <w:rsid w:val="00DF64CA"/>
    <w:rsid w:val="00E01F2A"/>
    <w:rsid w:val="00E05437"/>
    <w:rsid w:val="00E056E4"/>
    <w:rsid w:val="00E069F0"/>
    <w:rsid w:val="00E13AB9"/>
    <w:rsid w:val="00E14B4F"/>
    <w:rsid w:val="00E210B6"/>
    <w:rsid w:val="00E231CC"/>
    <w:rsid w:val="00E232F5"/>
    <w:rsid w:val="00E23BCE"/>
    <w:rsid w:val="00E26E8E"/>
    <w:rsid w:val="00E30DC0"/>
    <w:rsid w:val="00E45DAD"/>
    <w:rsid w:val="00E510A3"/>
    <w:rsid w:val="00E51C33"/>
    <w:rsid w:val="00E520C4"/>
    <w:rsid w:val="00E52B81"/>
    <w:rsid w:val="00E660DC"/>
    <w:rsid w:val="00E70C0F"/>
    <w:rsid w:val="00E752D1"/>
    <w:rsid w:val="00E810C3"/>
    <w:rsid w:val="00E93CD2"/>
    <w:rsid w:val="00E948C5"/>
    <w:rsid w:val="00E97562"/>
    <w:rsid w:val="00EB39B3"/>
    <w:rsid w:val="00EB7C66"/>
    <w:rsid w:val="00EC20C7"/>
    <w:rsid w:val="00EC277C"/>
    <w:rsid w:val="00ED1179"/>
    <w:rsid w:val="00ED129F"/>
    <w:rsid w:val="00ED69AA"/>
    <w:rsid w:val="00ED7E5E"/>
    <w:rsid w:val="00EE69C5"/>
    <w:rsid w:val="00EF166B"/>
    <w:rsid w:val="00EF1CF9"/>
    <w:rsid w:val="00EF7326"/>
    <w:rsid w:val="00F05F91"/>
    <w:rsid w:val="00F15C95"/>
    <w:rsid w:val="00F25DCF"/>
    <w:rsid w:val="00F27FAC"/>
    <w:rsid w:val="00F30F0B"/>
    <w:rsid w:val="00F31B7F"/>
    <w:rsid w:val="00F35326"/>
    <w:rsid w:val="00F414C0"/>
    <w:rsid w:val="00F41746"/>
    <w:rsid w:val="00F5083F"/>
    <w:rsid w:val="00F51384"/>
    <w:rsid w:val="00F57EA6"/>
    <w:rsid w:val="00F614A8"/>
    <w:rsid w:val="00F6770B"/>
    <w:rsid w:val="00F90C17"/>
    <w:rsid w:val="00F946FE"/>
    <w:rsid w:val="00F954BA"/>
    <w:rsid w:val="00F96841"/>
    <w:rsid w:val="00FB543D"/>
    <w:rsid w:val="00FB659E"/>
    <w:rsid w:val="00FB6753"/>
    <w:rsid w:val="00FC0C97"/>
    <w:rsid w:val="00FC2E81"/>
    <w:rsid w:val="00FC6BDD"/>
    <w:rsid w:val="00FD0CC7"/>
    <w:rsid w:val="00FE2D5F"/>
    <w:rsid w:val="00FE6691"/>
    <w:rsid w:val="00FF102C"/>
    <w:rsid w:val="0D84A407"/>
    <w:rsid w:val="0F9C4405"/>
    <w:rsid w:val="2EA96EDF"/>
    <w:rsid w:val="3BD379A7"/>
    <w:rsid w:val="4057CC03"/>
    <w:rsid w:val="57807F08"/>
    <w:rsid w:val="5DD5A6A8"/>
    <w:rsid w:val="62CE28C2"/>
    <w:rsid w:val="6BA8DE2A"/>
    <w:rsid w:val="6EE07EEC"/>
    <w:rsid w:val="7F9D8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2C817"/>
  <w15:chartTrackingRefBased/>
  <w15:docId w15:val="{5F757C9F-C339-42A8-B14D-718B1979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06480"/>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C67811"/>
    <w:rPr>
      <w:color w:val="605E5C"/>
      <w:shd w:val="clear" w:color="auto" w:fill="E1DFDD"/>
    </w:rPr>
  </w:style>
  <w:style w:type="paragraph" w:styleId="CommentText">
    <w:name w:val="annotation text"/>
    <w:basedOn w:val="Normal"/>
    <w:link w:val="CommentTextChar"/>
    <w:uiPriority w:val="99"/>
    <w:semiHidden/>
    <w:unhideWhenUsed/>
    <w:rsid w:val="005B1D03"/>
    <w:rPr>
      <w:sz w:val="20"/>
      <w:szCs w:val="20"/>
    </w:rPr>
  </w:style>
  <w:style w:type="character" w:customStyle="1" w:styleId="CommentTextChar">
    <w:name w:val="Comment Text Char"/>
    <w:basedOn w:val="DefaultParagraphFont"/>
    <w:link w:val="CommentText"/>
    <w:uiPriority w:val="99"/>
    <w:semiHidden/>
    <w:rsid w:val="005B1D03"/>
    <w:rPr>
      <w:rFonts w:ascii="Arial" w:eastAsiaTheme="minorEastAsia" w:hAnsi="Arial" w:cs="Arial"/>
      <w:sz w:val="20"/>
      <w:szCs w:val="20"/>
      <w:lang w:eastAsia="en-GB"/>
    </w:rPr>
  </w:style>
  <w:style w:type="character" w:styleId="CommentReference">
    <w:name w:val="annotation reference"/>
    <w:basedOn w:val="DefaultParagraphFont"/>
    <w:uiPriority w:val="99"/>
    <w:semiHidden/>
    <w:unhideWhenUsed/>
    <w:rsid w:val="005B1D03"/>
    <w:rPr>
      <w:sz w:val="16"/>
      <w:szCs w:val="16"/>
    </w:rPr>
  </w:style>
  <w:style w:type="table" w:styleId="TableGrid">
    <w:name w:val="Table Grid"/>
    <w:basedOn w:val="TableNormal"/>
    <w:rsid w:val="00C07C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uk-body-m">
    <w:name w:val="govuk-body-m"/>
    <w:basedOn w:val="Normal"/>
    <w:rsid w:val="00C07C3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C07C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teachers-pay-grant-methodology/teachers-pay-grant-methodologyT" TargetMode="External"/><Relationship Id="rId26" Type="http://schemas.openxmlformats.org/officeDocument/2006/relationships/hyperlink" Target="https://www.gov.uk/guidance/funding-initial-teacher-training-itt-academic-year-2019-to-2020" TargetMode="External"/><Relationship Id="rId39" Type="http://schemas.openxmlformats.org/officeDocument/2006/relationships/hyperlink" Target="https://www.gov.uk/government/publications/priority-appeals-centre-payments/priority-appeals-centre-payments" TargetMode="External"/><Relationship Id="rId21" Type="http://schemas.openxmlformats.org/officeDocument/2006/relationships/hyperlink" Target="https://www.gov.uk/government/publications/teachers-pension-employer-contribution-grant-tpecg" TargetMode="External"/><Relationship Id="rId34" Type="http://schemas.openxmlformats.org/officeDocument/2006/relationships/hyperlink" Target="https://educationendowmentfoundation.org.uk/evidence-summaries/pupil-premium-guide/" TargetMode="External"/><Relationship Id="rId42" Type="http://schemas.openxmlformats.org/officeDocument/2006/relationships/hyperlink" Target="https://gbr01.safelinks.protection.outlook.com/?url=https%3A%2F%2Fwww.gov.uk%2Fgovernment%2Fpublications%2Fschools-supplementary-grant-2022-to-2023%2Fschools-supplementary-grant-2022-to-2023-methodology&amp;data=04%7C01%7CSara.Walsingham%40towerhamlets.gov.uk%7C8eef5b8710f84c1b8fe408d9efd8984b%7C3c0aec87f983418fb3dcd35db83fb5d2%7C0%7C0%7C637804535804378557%7CUnknown%7CTWFpbGZsb3d8eyJWIjoiMC4wLjAwMDAiLCJQIjoiV2luMzIiLCJBTiI6Ik1haWwiLCJXVCI6Mn0%3D%7C3000&amp;sdata=tP5txnANj4L5%2BCPaz0dliW5CsUk7%2FH%2BlJqHkKWQ1%2FqA%3D&amp;reserved=0"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uidance/16-to-19-funding-how-it-works" TargetMode="External"/><Relationship Id="rId29" Type="http://schemas.openxmlformats.org/officeDocument/2006/relationships/hyperlink" Target="https://www.gov.uk/government/publications/coronavirus-covid-19-workforce-fund-for-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owerhamlets2.sharepoint.com/sites/Team_FinanceService/Shared%20Documents/Strategic%20Finance%20-%20Children%20and%20Culture/School%20Forum/2021/f%201st%20December%202021%20-%20CANCELLED/5.%20School%20Grants/16-19%20Bursary%20fund" TargetMode="External"/><Relationship Id="rId32" Type="http://schemas.openxmlformats.org/officeDocument/2006/relationships/hyperlink" Target="https://www.gov.uk/government/publications/pupil-premium/pupil-premium" TargetMode="External"/><Relationship Id="rId37" Type="http://schemas.openxmlformats.org/officeDocument/2006/relationships/hyperlink" Target="https://www.gov.uk/government/publications/dfe-exam-support-service-claiming-costs/coronavirus-covid-19-dfe-2021-qualifications-funding-form-guidance" TargetMode="External"/><Relationship Id="rId40" Type="http://schemas.openxmlformats.org/officeDocument/2006/relationships/hyperlink" Target="https://www.gov.uk/government/publications/responsibility-for-autumn-gcse-as-and-a-level-exam-series/dfe-exam-support-service-autumn-exam-fees-sites-and-invigilator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pupil-premium-allocations-and-conditions-of-grant-2021-to-2022/pupil-premium-conditions-of-grant-2021-to-2022-for-local-authorities" TargetMode="External"/><Relationship Id="rId23" Type="http://schemas.openxmlformats.org/officeDocument/2006/relationships/hyperlink" Target="https://www.gov.uk/government/collections/local-authorities-pre-16-schools-funding" TargetMode="External"/><Relationship Id="rId28" Type="http://schemas.openxmlformats.org/officeDocument/2006/relationships/hyperlink" Target="https://get-help-with-tech.education.gov.uk/digital-platforms" TargetMode="External"/><Relationship Id="rId36" Type="http://schemas.openxmlformats.org/officeDocument/2006/relationships/hyperlink" Target="https://www.gov.uk/government/publications/national-tutoring-programme-ntp" TargetMode="External"/><Relationship Id="rId10" Type="http://schemas.openxmlformats.org/officeDocument/2006/relationships/footnotes" Target="footnotes.xml"/><Relationship Id="rId19" Type="http://schemas.openxmlformats.org/officeDocument/2006/relationships/hyperlink" Target="https://www.gov.uk/government/publications/teachers-pay-grant-methodology/teachers-pay-grant-methodologyT" TargetMode="External"/><Relationship Id="rId31" Type="http://schemas.openxmlformats.org/officeDocument/2006/relationships/hyperlink" Target="https://www.gov.uk/government/publications/coronavirus-covid-19-catch-up-premium-provisional-allocation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publications/pe-and-sport-premium-conditions-of-grant-2021-to-2022" TargetMode="External"/><Relationship Id="rId27" Type="http://schemas.openxmlformats.org/officeDocument/2006/relationships/hyperlink" Target="https://www.gov.uk/government/publications/summer-schools-programme" TargetMode="External"/><Relationship Id="rId30" Type="http://schemas.openxmlformats.org/officeDocument/2006/relationships/hyperlink" Target="https://www.gov.uk/government/publications/coronavirus-covid-19-national-testing-programme-conditions-of-grant-from-august-2021" TargetMode="External"/><Relationship Id="rId35" Type="http://schemas.openxmlformats.org/officeDocument/2006/relationships/hyperlink" Target="https://www.gov.uk/guidance/pupil-premium-effective-use-and-accountability" TargetMode="External"/><Relationship Id="rId43" Type="http://schemas.openxmlformats.org/officeDocument/2006/relationships/image" Target="media/image2.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publications/teachers-pay-grant-methodology/teachers-pay-grant-methodologyT" TargetMode="External"/><Relationship Id="rId25" Type="http://schemas.openxmlformats.org/officeDocument/2006/relationships/hyperlink" Target="https://www.gov.uk/guidance/funding-initial-teacher-training-itt-academic-year-2019-to-2020" TargetMode="External"/><Relationship Id="rId33" Type="http://schemas.openxmlformats.org/officeDocument/2006/relationships/hyperlink" Target="https://www.gov.uk/government/publications/coronavirus-covid-19-recovery-premium-funding-allocations" TargetMode="External"/><Relationship Id="rId38" Type="http://schemas.openxmlformats.org/officeDocument/2006/relationships/hyperlink" Target="https://www.gov.uk/government/publications/private-candidate-support-grant-information-for-exam-centres/private-candidate-support-grant" TargetMode="External"/><Relationship Id="rId46" Type="http://schemas.openxmlformats.org/officeDocument/2006/relationships/glossaryDocument" Target="glossary/document.xml"/><Relationship Id="rId20" Type="http://schemas.openxmlformats.org/officeDocument/2006/relationships/hyperlink" Target="https://www.gov.uk/government/publications/teachers-pension-employer-contribution-grant-tpecg" TargetMode="External"/><Relationship Id="rId41" Type="http://schemas.openxmlformats.org/officeDocument/2006/relationships/hyperlink" Target="https://assets.publishing.service.gov.uk/government/uploads/system/uploads/attachment_data/file/1052221/COVID-19_12_to_15_vaccination_programme_funding_for_schools_conditions_of_fund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051CC"/>
    <w:rsid w:val="003873F8"/>
    <w:rsid w:val="00397593"/>
    <w:rsid w:val="00417A06"/>
    <w:rsid w:val="00AA13CD"/>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2022-03-09T00:00:00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f22d7286-dd96-43f1-addf-1aa01b23943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4" ma:contentTypeDescription="Create a new document." ma:contentTypeScope="" ma:versionID="2429378b962831cd14f7ae2aee829619">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d151a229925b50245adf02d015a814dc"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4.xml><?xml version="1.0" encoding="utf-8"?>
<ds:datastoreItem xmlns:ds="http://schemas.openxmlformats.org/officeDocument/2006/customXml" ds:itemID="{51535BB0-DC53-48EC-828C-DC21853A3766}">
  <ds:schemaRefs>
    <ds:schemaRef ds:uri="http://schemas.microsoft.com/office/2006/documentManagement/types"/>
    <ds:schemaRef ds:uri="http://www.w3.org/XML/1998/namespace"/>
    <ds:schemaRef ds:uri="c0f1eab8-3903-44ec-b09e-06dd9dbdfde0"/>
    <ds:schemaRef ds:uri="http://schemas.microsoft.com/office/infopath/2007/PartnerControls"/>
    <ds:schemaRef ds:uri="http://purl.org/dc/elements/1.1/"/>
    <ds:schemaRef ds:uri="http://schemas.openxmlformats.org/package/2006/metadata/core-properties"/>
    <ds:schemaRef ds:uri="http://purl.org/dc/terms/"/>
    <ds:schemaRef ds:uri="f22d7286-dd96-43f1-addf-1aa01b23943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161FAB9-59D0-4A91-A441-2DBFD8A06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Brief, Preliminaries and Specification</vt:lpstr>
    </vt:vector>
  </TitlesOfParts>
  <Company>Tower Hamlets</Company>
  <LinksUpToDate>false</LinksUpToDate>
  <CharactersWithSpaces>21541</CharactersWithSpaces>
  <SharedDoc>false</SharedDoc>
  <HLinks>
    <vt:vector size="108" baseType="variant">
      <vt:variant>
        <vt:i4>3211387</vt:i4>
      </vt:variant>
      <vt:variant>
        <vt:i4>84</vt:i4>
      </vt:variant>
      <vt:variant>
        <vt:i4>0</vt:i4>
      </vt:variant>
      <vt:variant>
        <vt:i4>5</vt:i4>
      </vt:variant>
      <vt:variant>
        <vt:lpwstr>http://www.towerhamlets.gov.uk/communitysafety</vt:lpwstr>
      </vt:variant>
      <vt:variant>
        <vt:lpwstr/>
      </vt:variant>
      <vt:variant>
        <vt:i4>4915287</vt:i4>
      </vt:variant>
      <vt:variant>
        <vt:i4>81</vt:i4>
      </vt:variant>
      <vt:variant>
        <vt:i4>0</vt:i4>
      </vt:variant>
      <vt:variant>
        <vt:i4>5</vt:i4>
      </vt:variant>
      <vt:variant>
        <vt:lpwstr>https://thames.towerhamlets.gov.uk/Home.aspx</vt:lpwstr>
      </vt:variant>
      <vt:variant>
        <vt:lpwstr/>
      </vt:variant>
      <vt:variant>
        <vt:i4>3473509</vt:i4>
      </vt:variant>
      <vt:variant>
        <vt:i4>78</vt:i4>
      </vt:variant>
      <vt:variant>
        <vt:i4>0</vt:i4>
      </vt:variant>
      <vt:variant>
        <vt:i4>5</vt:i4>
      </vt:variant>
      <vt:variant>
        <vt:lpwstr>http://preview.commercialwaste.lbtower.contensis.cloud/</vt:lpwstr>
      </vt:variant>
      <vt:variant>
        <vt:lpwstr/>
      </vt:variant>
      <vt:variant>
        <vt:i4>3145774</vt:i4>
      </vt:variant>
      <vt:variant>
        <vt:i4>75</vt:i4>
      </vt:variant>
      <vt:variant>
        <vt:i4>0</vt:i4>
      </vt:variant>
      <vt:variant>
        <vt:i4>5</vt:i4>
      </vt:variant>
      <vt:variant>
        <vt:lpwstr>https://www.thebridge.towerhamlets.gov.uk/</vt:lpwstr>
      </vt:variant>
      <vt:variant>
        <vt:lpwstr/>
      </vt:variant>
      <vt:variant>
        <vt:i4>6619261</vt:i4>
      </vt:variant>
      <vt:variant>
        <vt:i4>72</vt:i4>
      </vt:variant>
      <vt:variant>
        <vt:i4>0</vt:i4>
      </vt:variant>
      <vt:variant>
        <vt:i4>5</vt:i4>
      </vt:variant>
      <vt:variant>
        <vt:lpwstr>https://www.thvenues.co.uk/</vt:lpwstr>
      </vt:variant>
      <vt:variant>
        <vt:lpwstr/>
      </vt:variant>
      <vt:variant>
        <vt:i4>6619185</vt:i4>
      </vt:variant>
      <vt:variant>
        <vt:i4>69</vt:i4>
      </vt:variant>
      <vt:variant>
        <vt:i4>0</vt:i4>
      </vt:variant>
      <vt:variant>
        <vt:i4>5</vt:i4>
      </vt:variant>
      <vt:variant>
        <vt:lpwstr>https://virtualschool.towerhamlets.gov.uk/</vt:lpwstr>
      </vt:variant>
      <vt:variant>
        <vt:lpwstr/>
      </vt:variant>
      <vt:variant>
        <vt:i4>4325443</vt:i4>
      </vt:variant>
      <vt:variant>
        <vt:i4>66</vt:i4>
      </vt:variant>
      <vt:variant>
        <vt:i4>0</vt:i4>
      </vt:variant>
      <vt:variant>
        <vt:i4>5</vt:i4>
      </vt:variant>
      <vt:variant>
        <vt:lpwstr>https://www.towerhamletshomes.org.uk/</vt:lpwstr>
      </vt:variant>
      <vt:variant>
        <vt:lpwstr/>
      </vt:variant>
      <vt:variant>
        <vt:i4>2555949</vt:i4>
      </vt:variant>
      <vt:variant>
        <vt:i4>63</vt:i4>
      </vt:variant>
      <vt:variant>
        <vt:i4>0</vt:i4>
      </vt:variant>
      <vt:variant>
        <vt:i4>5</vt:i4>
      </vt:variant>
      <vt:variant>
        <vt:lpwstr>http://www.towerhamlets.gov.uk/</vt:lpwstr>
      </vt:variant>
      <vt:variant>
        <vt:lpwstr/>
      </vt:variant>
      <vt:variant>
        <vt:i4>1638462</vt:i4>
      </vt:variant>
      <vt:variant>
        <vt:i4>56</vt:i4>
      </vt:variant>
      <vt:variant>
        <vt:i4>0</vt:i4>
      </vt:variant>
      <vt:variant>
        <vt:i4>5</vt:i4>
      </vt:variant>
      <vt:variant>
        <vt:lpwstr/>
      </vt:variant>
      <vt:variant>
        <vt:lpwstr>_Toc82612825</vt:lpwstr>
      </vt:variant>
      <vt:variant>
        <vt:i4>1572926</vt:i4>
      </vt:variant>
      <vt:variant>
        <vt:i4>50</vt:i4>
      </vt:variant>
      <vt:variant>
        <vt:i4>0</vt:i4>
      </vt:variant>
      <vt:variant>
        <vt:i4>5</vt:i4>
      </vt:variant>
      <vt:variant>
        <vt:lpwstr/>
      </vt:variant>
      <vt:variant>
        <vt:lpwstr>_Toc82612824</vt:lpwstr>
      </vt:variant>
      <vt:variant>
        <vt:i4>2031678</vt:i4>
      </vt:variant>
      <vt:variant>
        <vt:i4>44</vt:i4>
      </vt:variant>
      <vt:variant>
        <vt:i4>0</vt:i4>
      </vt:variant>
      <vt:variant>
        <vt:i4>5</vt:i4>
      </vt:variant>
      <vt:variant>
        <vt:lpwstr/>
      </vt:variant>
      <vt:variant>
        <vt:lpwstr>_Toc82612823</vt:lpwstr>
      </vt:variant>
      <vt:variant>
        <vt:i4>1966142</vt:i4>
      </vt:variant>
      <vt:variant>
        <vt:i4>38</vt:i4>
      </vt:variant>
      <vt:variant>
        <vt:i4>0</vt:i4>
      </vt:variant>
      <vt:variant>
        <vt:i4>5</vt:i4>
      </vt:variant>
      <vt:variant>
        <vt:lpwstr/>
      </vt:variant>
      <vt:variant>
        <vt:lpwstr>_Toc82612822</vt:lpwstr>
      </vt:variant>
      <vt:variant>
        <vt:i4>1900606</vt:i4>
      </vt:variant>
      <vt:variant>
        <vt:i4>32</vt:i4>
      </vt:variant>
      <vt:variant>
        <vt:i4>0</vt:i4>
      </vt:variant>
      <vt:variant>
        <vt:i4>5</vt:i4>
      </vt:variant>
      <vt:variant>
        <vt:lpwstr/>
      </vt:variant>
      <vt:variant>
        <vt:lpwstr>_Toc82612821</vt:lpwstr>
      </vt:variant>
      <vt:variant>
        <vt:i4>1835070</vt:i4>
      </vt:variant>
      <vt:variant>
        <vt:i4>26</vt:i4>
      </vt:variant>
      <vt:variant>
        <vt:i4>0</vt:i4>
      </vt:variant>
      <vt:variant>
        <vt:i4>5</vt:i4>
      </vt:variant>
      <vt:variant>
        <vt:lpwstr/>
      </vt:variant>
      <vt:variant>
        <vt:lpwstr>_Toc82612820</vt:lpwstr>
      </vt:variant>
      <vt:variant>
        <vt:i4>1376317</vt:i4>
      </vt:variant>
      <vt:variant>
        <vt:i4>20</vt:i4>
      </vt:variant>
      <vt:variant>
        <vt:i4>0</vt:i4>
      </vt:variant>
      <vt:variant>
        <vt:i4>5</vt:i4>
      </vt:variant>
      <vt:variant>
        <vt:lpwstr/>
      </vt:variant>
      <vt:variant>
        <vt:lpwstr>_Toc82612819</vt:lpwstr>
      </vt:variant>
      <vt:variant>
        <vt:i4>1310781</vt:i4>
      </vt:variant>
      <vt:variant>
        <vt:i4>14</vt:i4>
      </vt:variant>
      <vt:variant>
        <vt:i4>0</vt:i4>
      </vt:variant>
      <vt:variant>
        <vt:i4>5</vt:i4>
      </vt:variant>
      <vt:variant>
        <vt:lpwstr/>
      </vt:variant>
      <vt:variant>
        <vt:lpwstr>_Toc82612818</vt:lpwstr>
      </vt:variant>
      <vt:variant>
        <vt:i4>1769533</vt:i4>
      </vt:variant>
      <vt:variant>
        <vt:i4>8</vt:i4>
      </vt:variant>
      <vt:variant>
        <vt:i4>0</vt:i4>
      </vt:variant>
      <vt:variant>
        <vt:i4>5</vt:i4>
      </vt:variant>
      <vt:variant>
        <vt:lpwstr/>
      </vt:variant>
      <vt:variant>
        <vt:lpwstr>_Toc82612817</vt:lpwstr>
      </vt:variant>
      <vt:variant>
        <vt:i4>1703997</vt:i4>
      </vt:variant>
      <vt:variant>
        <vt:i4>2</vt:i4>
      </vt:variant>
      <vt:variant>
        <vt:i4>0</vt:i4>
      </vt:variant>
      <vt:variant>
        <vt:i4>5</vt:i4>
      </vt:variant>
      <vt:variant>
        <vt:lpwstr/>
      </vt:variant>
      <vt:variant>
        <vt:lpwstr>_Toc82612816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grants</dc:title>
  <dc:subject/>
  <dc:creator>Phillip Nduoyo</dc:creator>
  <cp:keywords/>
  <dc:description/>
  <cp:lastModifiedBy>Phillip Nduoyo</cp:lastModifiedBy>
  <cp:revision>17</cp:revision>
  <dcterms:created xsi:type="dcterms:W3CDTF">2022-03-14T16:04:00Z</dcterms:created>
  <dcterms:modified xsi:type="dcterms:W3CDTF">2022-03-14T16:40:00Z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