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E460C" w14:textId="7972ECD2" w:rsidR="00AA79F3" w:rsidRPr="007C4F08" w:rsidRDefault="00CA5145" w:rsidP="0093644A">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t>Dedicated Schools Grant Final Outturn 2020/21</w:t>
          </w:r>
        </w:sdtContent>
      </w:sdt>
    </w:p>
    <w:p w14:paraId="2AC24CBA" w14:textId="1D7EFD9E" w:rsidR="001D5881" w:rsidRPr="00BE6FB3" w:rsidRDefault="00475045" w:rsidP="001D5881">
      <w:pPr>
        <w:pStyle w:val="Heading1"/>
      </w:pPr>
      <w:r>
        <w:t xml:space="preserve">Title of Report: </w:t>
      </w:r>
      <w:r w:rsidRPr="00475045">
        <w:t>Dedicated Schools Grant Final Outturn 2020/21</w:t>
      </w:r>
    </w:p>
    <w:p w14:paraId="7B063AA8" w14:textId="77777777" w:rsidR="001D5881" w:rsidRDefault="001D5881" w:rsidP="001D5881">
      <w:pPr>
        <w:pStyle w:val="Heading2"/>
      </w:pPr>
    </w:p>
    <w:p w14:paraId="1CA893E1" w14:textId="6D3DF821" w:rsidR="00475045" w:rsidRPr="00947F14" w:rsidRDefault="007A1F89" w:rsidP="00947F14">
      <w:pPr>
        <w:pStyle w:val="Headersfooters"/>
        <w:rPr>
          <w:b/>
          <w:bCs w:val="0"/>
          <w:caps/>
          <w:color w:val="319B31"/>
        </w:rPr>
      </w:pPr>
      <w:r w:rsidRPr="00947F14">
        <w:rPr>
          <w:b/>
          <w:bCs w:val="0"/>
        </w:rPr>
        <w:t>AUTHOR OF THE PAPER: KAY GOODACRE</w:t>
      </w:r>
      <w:r w:rsidR="00CA5145">
        <w:rPr>
          <w:b/>
          <w:bCs w:val="0"/>
        </w:rPr>
        <w:br/>
      </w:r>
    </w:p>
    <w:tbl>
      <w:tblPr>
        <w:tblStyle w:val="PlainTable3"/>
        <w:tblW w:w="0" w:type="auto"/>
        <w:tblLook w:val="04A0" w:firstRow="1" w:lastRow="0" w:firstColumn="1" w:lastColumn="0" w:noHBand="0" w:noVBand="1"/>
      </w:tblPr>
      <w:tblGrid>
        <w:gridCol w:w="9010"/>
      </w:tblGrid>
      <w:tr w:rsidR="00475045" w:rsidRPr="00475045" w14:paraId="270EEB57" w14:textId="77777777" w:rsidTr="00947F14">
        <w:trPr>
          <w:cnfStyle w:val="100000000000" w:firstRow="1" w:lastRow="0" w:firstColumn="0" w:lastColumn="0" w:oddVBand="0" w:evenVBand="0" w:oddHBand="0" w:evenHBand="0" w:firstRowFirstColumn="0" w:firstRowLastColumn="0" w:lastRowFirstColumn="0" w:lastRowLastColumn="0"/>
          <w:trHeight w:val="1920"/>
        </w:trPr>
        <w:tc>
          <w:tcPr>
            <w:cnfStyle w:val="001000000100" w:firstRow="0" w:lastRow="0" w:firstColumn="1" w:lastColumn="0" w:oddVBand="0" w:evenVBand="0" w:oddHBand="0" w:evenHBand="0" w:firstRowFirstColumn="1" w:firstRowLastColumn="0" w:lastRowFirstColumn="0" w:lastRowLastColumn="0"/>
            <w:tcW w:w="9010" w:type="dxa"/>
            <w:tcBorders>
              <w:bottom w:val="none" w:sz="0" w:space="0" w:color="auto"/>
              <w:right w:val="none" w:sz="0" w:space="0" w:color="auto"/>
            </w:tcBorders>
          </w:tcPr>
          <w:p w14:paraId="02098A65" w14:textId="77777777" w:rsidR="00475045" w:rsidRPr="00CA5145" w:rsidRDefault="00475045" w:rsidP="00475045">
            <w:pPr>
              <w:rPr>
                <w:b w:val="0"/>
              </w:rPr>
            </w:pPr>
          </w:p>
          <w:p w14:paraId="430F0428" w14:textId="77777777" w:rsidR="00475045" w:rsidRPr="00CA5145" w:rsidRDefault="00475045" w:rsidP="00947F14">
            <w:pPr>
              <w:pStyle w:val="Headersfooters"/>
              <w:rPr>
                <w:b w:val="0"/>
                <w:bCs/>
              </w:rPr>
            </w:pPr>
            <w:r w:rsidRPr="00CA5145">
              <w:rPr>
                <w:b w:val="0"/>
                <w:bCs/>
              </w:rPr>
              <w:t>Details on who has been consulted with on this paper to date: n/a</w:t>
            </w:r>
          </w:p>
          <w:p w14:paraId="321F469B" w14:textId="77777777" w:rsidR="00475045" w:rsidRPr="00475045" w:rsidRDefault="00475045" w:rsidP="00475045"/>
          <w:p w14:paraId="74E46B24" w14:textId="33C74F1E" w:rsidR="00475045" w:rsidRPr="00CA5145" w:rsidRDefault="00475045" w:rsidP="00947F14">
            <w:pPr>
              <w:pStyle w:val="Headersfooters"/>
              <w:rPr>
                <w:caps w:val="0"/>
                <w:sz w:val="24"/>
                <w:szCs w:val="96"/>
              </w:rPr>
            </w:pPr>
            <w:r w:rsidRPr="00CA5145">
              <w:rPr>
                <w:sz w:val="24"/>
                <w:szCs w:val="96"/>
              </w:rPr>
              <w:t>Executive Summary</w:t>
            </w:r>
          </w:p>
          <w:p w14:paraId="0032FACF" w14:textId="77777777" w:rsidR="00947F14" w:rsidRPr="00947F14" w:rsidRDefault="00947F14" w:rsidP="00947F14">
            <w:pPr>
              <w:pStyle w:val="Headersfooters"/>
              <w:rPr>
                <w:u w:val="single"/>
              </w:rPr>
            </w:pPr>
          </w:p>
          <w:p w14:paraId="79EF452D" w14:textId="66E0A6C9" w:rsidR="00475045" w:rsidRPr="00CA5145" w:rsidRDefault="00947F14" w:rsidP="00947F14">
            <w:pPr>
              <w:spacing w:after="120"/>
              <w:jc w:val="both"/>
              <w:rPr>
                <w:b w:val="0"/>
                <w:bCs w:val="0"/>
              </w:rPr>
            </w:pPr>
            <w:r w:rsidRPr="00CA5145">
              <w:rPr>
                <w:b w:val="0"/>
                <w:bCs w:val="0"/>
                <w:caps w:val="0"/>
              </w:rPr>
              <w:t>This report sets out the outturn position (excluding individual schools) for Tower Hamlets’ DSG budget for 2020-21</w:t>
            </w:r>
          </w:p>
          <w:p w14:paraId="6B3DCE59" w14:textId="307441BA" w:rsidR="00475045" w:rsidRPr="00CA5145" w:rsidRDefault="00947F14" w:rsidP="00947F14">
            <w:pPr>
              <w:spacing w:after="120"/>
              <w:jc w:val="both"/>
              <w:rPr>
                <w:b w:val="0"/>
                <w:bCs w:val="0"/>
              </w:rPr>
            </w:pPr>
            <w:r w:rsidRPr="00CA5145">
              <w:rPr>
                <w:b w:val="0"/>
                <w:bCs w:val="0"/>
                <w:caps w:val="0"/>
              </w:rPr>
              <w:t xml:space="preserve">The net </w:t>
            </w:r>
            <w:proofErr w:type="gramStart"/>
            <w:r w:rsidRPr="00CA5145">
              <w:rPr>
                <w:b w:val="0"/>
                <w:bCs w:val="0"/>
                <w:caps w:val="0"/>
              </w:rPr>
              <w:t>overspend</w:t>
            </w:r>
            <w:proofErr w:type="gramEnd"/>
            <w:r w:rsidRPr="00CA5145">
              <w:rPr>
                <w:b w:val="0"/>
                <w:bCs w:val="0"/>
                <w:caps w:val="0"/>
              </w:rPr>
              <w:t xml:space="preserve"> of £0.09m is set out in table 1 and the cumulative position in table 2.</w:t>
            </w:r>
          </w:p>
          <w:p w14:paraId="3D22280A" w14:textId="567BC3BB" w:rsidR="00475045" w:rsidRPr="00CA5145" w:rsidRDefault="00947F14" w:rsidP="00947F14">
            <w:pPr>
              <w:spacing w:after="120"/>
              <w:jc w:val="both"/>
              <w:rPr>
                <w:b w:val="0"/>
                <w:bCs w:val="0"/>
              </w:rPr>
            </w:pPr>
            <w:r w:rsidRPr="00CA5145">
              <w:rPr>
                <w:b w:val="0"/>
                <w:bCs w:val="0"/>
                <w:caps w:val="0"/>
              </w:rPr>
              <w:t>Forum is asked to note the position as an update to the June forum report.</w:t>
            </w:r>
          </w:p>
          <w:p w14:paraId="6266DD46" w14:textId="295F8014" w:rsidR="00475045" w:rsidRPr="00CA5145" w:rsidRDefault="00475045" w:rsidP="00947F14">
            <w:pPr>
              <w:spacing w:after="120"/>
              <w:jc w:val="both"/>
              <w:rPr>
                <w:b w:val="0"/>
                <w:bCs w:val="0"/>
              </w:rPr>
            </w:pPr>
            <w:r w:rsidRPr="00CA5145">
              <w:rPr>
                <w:b w:val="0"/>
                <w:bCs w:val="0"/>
              </w:rPr>
              <w:t>D</w:t>
            </w:r>
            <w:r w:rsidR="00947F14" w:rsidRPr="00CA5145">
              <w:rPr>
                <w:b w:val="0"/>
                <w:bCs w:val="0"/>
                <w:caps w:val="0"/>
              </w:rPr>
              <w:t>etails of recommendations and timescales for decisions:</w:t>
            </w:r>
          </w:p>
          <w:p w14:paraId="1F43B7E0" w14:textId="77777777" w:rsidR="00475045" w:rsidRPr="00CA5145" w:rsidRDefault="00475045" w:rsidP="00947F14">
            <w:pPr>
              <w:spacing w:after="120"/>
              <w:jc w:val="both"/>
              <w:rPr>
                <w:b w:val="0"/>
                <w:bCs w:val="0"/>
              </w:rPr>
            </w:pPr>
          </w:p>
          <w:p w14:paraId="03F1C001" w14:textId="5170CB5D" w:rsidR="00475045" w:rsidRPr="00CA5145" w:rsidRDefault="00947F14" w:rsidP="00947F14">
            <w:pPr>
              <w:spacing w:after="120"/>
              <w:jc w:val="both"/>
              <w:rPr>
                <w:b w:val="0"/>
                <w:bCs w:val="0"/>
              </w:rPr>
            </w:pPr>
            <w:r w:rsidRPr="00CA5145">
              <w:rPr>
                <w:b w:val="0"/>
                <w:bCs w:val="0"/>
                <w:caps w:val="0"/>
              </w:rPr>
              <w:t xml:space="preserve">Schools Forum is asked to: </w:t>
            </w:r>
          </w:p>
          <w:p w14:paraId="6C5F9F9B" w14:textId="204F723C" w:rsidR="00475045" w:rsidRPr="00CA5145" w:rsidRDefault="00947F14" w:rsidP="00947F14">
            <w:pPr>
              <w:spacing w:after="120"/>
              <w:jc w:val="both"/>
              <w:rPr>
                <w:b w:val="0"/>
                <w:bCs w:val="0"/>
              </w:rPr>
            </w:pPr>
            <w:r w:rsidRPr="00CA5145">
              <w:rPr>
                <w:b w:val="0"/>
                <w:bCs w:val="0"/>
                <w:caps w:val="0"/>
              </w:rPr>
              <w:t xml:space="preserve">A) to note the outturn position </w:t>
            </w:r>
          </w:p>
          <w:p w14:paraId="2B7AF4D2" w14:textId="77777777" w:rsidR="00475045" w:rsidRPr="00475045" w:rsidRDefault="00475045" w:rsidP="00475045"/>
        </w:tc>
      </w:tr>
    </w:tbl>
    <w:p w14:paraId="4C4D9987" w14:textId="77777777" w:rsidR="00475045" w:rsidRPr="00475045" w:rsidRDefault="00475045" w:rsidP="00475045">
      <w:pPr>
        <w:spacing w:line="259" w:lineRule="auto"/>
      </w:pPr>
    </w:p>
    <w:p w14:paraId="5807B50C" w14:textId="6F36858D" w:rsidR="00475045" w:rsidRPr="00947F14" w:rsidRDefault="00475045" w:rsidP="00CA5145">
      <w:pPr>
        <w:pStyle w:val="Heading2"/>
      </w:pPr>
      <w:r w:rsidRPr="00947F14">
        <w:t>1.  2020/21 Dedicated Schools Grant Provisional Outturn - Overview</w:t>
      </w:r>
    </w:p>
    <w:p w14:paraId="3AB97882" w14:textId="77777777" w:rsidR="00475045" w:rsidRPr="00475045" w:rsidRDefault="00475045" w:rsidP="00475045">
      <w:pPr>
        <w:jc w:val="both"/>
      </w:pPr>
    </w:p>
    <w:p w14:paraId="7850E352" w14:textId="77777777" w:rsidR="00475045" w:rsidRPr="00475045" w:rsidRDefault="00475045" w:rsidP="00475045">
      <w:pPr>
        <w:numPr>
          <w:ilvl w:val="1"/>
          <w:numId w:val="1"/>
        </w:numPr>
        <w:spacing w:after="0"/>
        <w:ind w:left="567" w:hanging="567"/>
        <w:contextualSpacing/>
        <w:jc w:val="both"/>
        <w:rPr>
          <w:rFonts w:eastAsia="Times New Roman" w:cs="Times New Roman"/>
        </w:rPr>
      </w:pPr>
      <w:r w:rsidRPr="00475045">
        <w:rPr>
          <w:rFonts w:eastAsia="Times New Roman" w:cs="Times New Roman"/>
        </w:rPr>
        <w:t xml:space="preserve"> The Dedicated Schools Grant (DSG) is distributed by the Department for Education (DfE) on a national formulaic basis.</w:t>
      </w:r>
      <w:r w:rsidRPr="00475045">
        <w:rPr>
          <w:rFonts w:ascii="ArialMT" w:eastAsia="Times New Roman" w:hAnsi="ArialMT" w:cs="ArialMT"/>
        </w:rPr>
        <w:t xml:space="preserve"> </w:t>
      </w:r>
      <w:r w:rsidRPr="00475045">
        <w:rPr>
          <w:rFonts w:eastAsia="Times New Roman" w:cs="Times New Roman"/>
        </w:rPr>
        <w:t>The DSG 2020-21 is allocated to local authorities in four blocks: Schools Block (SB), Early Years Block (EYB), High Needs Block (HNB) and the Central Schools Services Block (CSSB).</w:t>
      </w:r>
    </w:p>
    <w:p w14:paraId="522DC7A9" w14:textId="77777777" w:rsidR="00475045" w:rsidRPr="00475045" w:rsidRDefault="00475045" w:rsidP="00475045">
      <w:pPr>
        <w:spacing w:after="0"/>
        <w:ind w:left="567"/>
        <w:contextualSpacing/>
        <w:jc w:val="both"/>
        <w:rPr>
          <w:rFonts w:eastAsia="Times New Roman" w:cs="Times New Roman"/>
        </w:rPr>
      </w:pPr>
    </w:p>
    <w:p w14:paraId="4151766F" w14:textId="2D84E47E" w:rsidR="00475045" w:rsidRPr="00475045" w:rsidRDefault="00475045" w:rsidP="00475045">
      <w:pPr>
        <w:numPr>
          <w:ilvl w:val="1"/>
          <w:numId w:val="1"/>
        </w:numPr>
        <w:spacing w:after="0"/>
        <w:ind w:left="567" w:hanging="567"/>
        <w:contextualSpacing/>
        <w:jc w:val="both"/>
        <w:rPr>
          <w:rFonts w:eastAsia="Times New Roman" w:cs="Times New Roman"/>
        </w:rPr>
      </w:pPr>
      <w:r w:rsidRPr="00475045">
        <w:rPr>
          <w:rFonts w:eastAsia="Times New Roman" w:cs="Times New Roman"/>
        </w:rPr>
        <w:t>Table 1 gives an overview of the outturn position for 2020-2021. DSG budgets are shown after deductions have been made for direct payments to academies, and takes account of the EYB accrual, which is confirmed in each June.</w:t>
      </w:r>
      <w:r w:rsidR="00CA5145">
        <w:rPr>
          <w:rFonts w:eastAsia="Times New Roman" w:cs="Times New Roman"/>
        </w:rPr>
        <w:t xml:space="preserve"> See table</w:t>
      </w:r>
      <w:r w:rsidRPr="00475045">
        <w:rPr>
          <w:rFonts w:eastAsia="Times New Roman" w:cs="Times New Roman"/>
        </w:rPr>
        <w:t xml:space="preserve"> 2.2)</w:t>
      </w:r>
    </w:p>
    <w:p w14:paraId="5CFFEFFB" w14:textId="74040D46" w:rsidR="00475045" w:rsidRPr="00475045" w:rsidRDefault="00475045" w:rsidP="00CA5145">
      <w:pPr>
        <w:pStyle w:val="Heading2"/>
        <w:rPr>
          <w:highlight w:val="yellow"/>
        </w:rPr>
      </w:pPr>
    </w:p>
    <w:p w14:paraId="61A64AB2" w14:textId="143209A6" w:rsidR="00475045" w:rsidRPr="00CA5145" w:rsidRDefault="00CA5145" w:rsidP="00CA5145">
      <w:pPr>
        <w:pStyle w:val="Heading2"/>
      </w:pPr>
      <w:r>
        <w:br/>
      </w:r>
      <w:r>
        <w:br/>
      </w:r>
      <w:r>
        <w:br/>
      </w:r>
      <w:r>
        <w:br/>
      </w:r>
      <w:r w:rsidR="00475045" w:rsidRPr="00CA5145">
        <w:lastRenderedPageBreak/>
        <w:t>Table 1:</w:t>
      </w:r>
      <w:r w:rsidRPr="00CA5145">
        <w:t xml:space="preserve"> </w:t>
      </w:r>
      <w:r w:rsidR="00475045" w:rsidRPr="00CA5145">
        <w:rPr>
          <w:rStyle w:val="HeadersfootersChar"/>
          <w:rFonts w:eastAsiaTheme="minorEastAsia"/>
          <w:bCs/>
          <w:noProof w:val="0"/>
          <w:sz w:val="28"/>
          <w:szCs w:val="28"/>
        </w:rPr>
        <w:t>Net DSG Budgets, Provisional Net Expenditure and Provisional Under/Overspends 2020-21</w:t>
      </w:r>
    </w:p>
    <w:p w14:paraId="438C78B0" w14:textId="77777777" w:rsidR="00475045" w:rsidRPr="00475045" w:rsidRDefault="00475045" w:rsidP="00475045">
      <w:pPr>
        <w:ind w:left="480"/>
        <w:jc w:val="both"/>
      </w:pPr>
    </w:p>
    <w:tbl>
      <w:tblPr>
        <w:tblStyle w:val="TableGrid"/>
        <w:tblW w:w="0" w:type="auto"/>
        <w:tblInd w:w="534" w:type="dxa"/>
        <w:tblLook w:val="04A0" w:firstRow="1" w:lastRow="0" w:firstColumn="1" w:lastColumn="0" w:noHBand="0" w:noVBand="1"/>
      </w:tblPr>
      <w:tblGrid>
        <w:gridCol w:w="2551"/>
        <w:gridCol w:w="1842"/>
        <w:gridCol w:w="1843"/>
        <w:gridCol w:w="1843"/>
      </w:tblGrid>
      <w:tr w:rsidR="00475045" w:rsidRPr="00475045" w14:paraId="50544E1D" w14:textId="77777777" w:rsidTr="006347DF">
        <w:tc>
          <w:tcPr>
            <w:tcW w:w="2551" w:type="dxa"/>
          </w:tcPr>
          <w:p w14:paraId="7EFED299" w14:textId="77777777" w:rsidR="00475045" w:rsidRPr="00475045" w:rsidRDefault="00475045" w:rsidP="00475045">
            <w:pPr>
              <w:jc w:val="both"/>
              <w:rPr>
                <w:sz w:val="22"/>
                <w:szCs w:val="22"/>
              </w:rPr>
            </w:pPr>
            <w:r w:rsidRPr="00475045">
              <w:rPr>
                <w:sz w:val="22"/>
                <w:szCs w:val="22"/>
              </w:rPr>
              <w:t>Block</w:t>
            </w:r>
          </w:p>
        </w:tc>
        <w:tc>
          <w:tcPr>
            <w:tcW w:w="1842" w:type="dxa"/>
          </w:tcPr>
          <w:p w14:paraId="10E22F8C" w14:textId="77777777" w:rsidR="00475045" w:rsidRPr="00475045" w:rsidRDefault="00475045" w:rsidP="00475045">
            <w:pPr>
              <w:jc w:val="center"/>
              <w:rPr>
                <w:sz w:val="22"/>
                <w:szCs w:val="22"/>
              </w:rPr>
            </w:pPr>
            <w:r w:rsidRPr="00475045">
              <w:rPr>
                <w:sz w:val="22"/>
                <w:szCs w:val="22"/>
              </w:rPr>
              <w:t>Net DSG Budgets</w:t>
            </w:r>
            <w:r w:rsidRPr="00475045">
              <w:rPr>
                <w:sz w:val="22"/>
                <w:szCs w:val="22"/>
                <w:vertAlign w:val="superscript"/>
              </w:rPr>
              <w:t>1</w:t>
            </w:r>
          </w:p>
        </w:tc>
        <w:tc>
          <w:tcPr>
            <w:tcW w:w="1843" w:type="dxa"/>
          </w:tcPr>
          <w:p w14:paraId="5046B9FE" w14:textId="77777777" w:rsidR="00475045" w:rsidRPr="00475045" w:rsidRDefault="00475045" w:rsidP="00475045">
            <w:pPr>
              <w:jc w:val="center"/>
              <w:rPr>
                <w:sz w:val="22"/>
                <w:szCs w:val="22"/>
              </w:rPr>
            </w:pPr>
            <w:r w:rsidRPr="00475045">
              <w:rPr>
                <w:sz w:val="22"/>
                <w:szCs w:val="22"/>
              </w:rPr>
              <w:t>Net Expenditure</w:t>
            </w:r>
            <w:r w:rsidRPr="00475045">
              <w:rPr>
                <w:sz w:val="22"/>
                <w:szCs w:val="22"/>
                <w:vertAlign w:val="superscript"/>
              </w:rPr>
              <w:t>2</w:t>
            </w:r>
          </w:p>
        </w:tc>
        <w:tc>
          <w:tcPr>
            <w:tcW w:w="1843" w:type="dxa"/>
          </w:tcPr>
          <w:p w14:paraId="445A1E97" w14:textId="77777777" w:rsidR="00475045" w:rsidRPr="00475045" w:rsidRDefault="00475045" w:rsidP="00475045">
            <w:pPr>
              <w:jc w:val="center"/>
              <w:rPr>
                <w:sz w:val="22"/>
                <w:szCs w:val="22"/>
              </w:rPr>
            </w:pPr>
            <w:r w:rsidRPr="00475045">
              <w:rPr>
                <w:sz w:val="22"/>
                <w:szCs w:val="22"/>
              </w:rPr>
              <w:t>Under (-) / Overspend</w:t>
            </w:r>
          </w:p>
        </w:tc>
      </w:tr>
      <w:tr w:rsidR="00475045" w:rsidRPr="00475045" w14:paraId="7A6760FE" w14:textId="77777777" w:rsidTr="006347DF">
        <w:tc>
          <w:tcPr>
            <w:tcW w:w="2551" w:type="dxa"/>
            <w:shd w:val="clear" w:color="auto" w:fill="auto"/>
          </w:tcPr>
          <w:p w14:paraId="4D457E69" w14:textId="77777777" w:rsidR="00475045" w:rsidRPr="00475045" w:rsidRDefault="00475045" w:rsidP="00475045">
            <w:pPr>
              <w:jc w:val="both"/>
              <w:rPr>
                <w:sz w:val="22"/>
                <w:szCs w:val="22"/>
              </w:rPr>
            </w:pPr>
          </w:p>
        </w:tc>
        <w:tc>
          <w:tcPr>
            <w:tcW w:w="1842" w:type="dxa"/>
          </w:tcPr>
          <w:p w14:paraId="7E0F4DBE" w14:textId="77777777" w:rsidR="00475045" w:rsidRPr="00475045" w:rsidRDefault="00475045" w:rsidP="00475045">
            <w:pPr>
              <w:jc w:val="center"/>
              <w:rPr>
                <w:sz w:val="22"/>
                <w:szCs w:val="22"/>
              </w:rPr>
            </w:pPr>
            <w:r w:rsidRPr="00475045">
              <w:rPr>
                <w:sz w:val="22"/>
                <w:szCs w:val="22"/>
              </w:rPr>
              <w:t>£m</w:t>
            </w:r>
          </w:p>
        </w:tc>
        <w:tc>
          <w:tcPr>
            <w:tcW w:w="1843" w:type="dxa"/>
          </w:tcPr>
          <w:p w14:paraId="2C267CCB" w14:textId="77777777" w:rsidR="00475045" w:rsidRPr="00475045" w:rsidRDefault="00475045" w:rsidP="00475045">
            <w:pPr>
              <w:jc w:val="center"/>
              <w:rPr>
                <w:sz w:val="22"/>
                <w:szCs w:val="22"/>
              </w:rPr>
            </w:pPr>
            <w:r w:rsidRPr="00475045">
              <w:rPr>
                <w:sz w:val="22"/>
                <w:szCs w:val="22"/>
              </w:rPr>
              <w:t>£m</w:t>
            </w:r>
          </w:p>
        </w:tc>
        <w:tc>
          <w:tcPr>
            <w:tcW w:w="1843" w:type="dxa"/>
          </w:tcPr>
          <w:p w14:paraId="5B8E3A81" w14:textId="77777777" w:rsidR="00475045" w:rsidRPr="00475045" w:rsidRDefault="00475045" w:rsidP="00475045">
            <w:pPr>
              <w:jc w:val="center"/>
              <w:rPr>
                <w:sz w:val="22"/>
                <w:szCs w:val="22"/>
              </w:rPr>
            </w:pPr>
            <w:r w:rsidRPr="00475045">
              <w:rPr>
                <w:sz w:val="22"/>
                <w:szCs w:val="22"/>
              </w:rPr>
              <w:t>£m</w:t>
            </w:r>
          </w:p>
        </w:tc>
      </w:tr>
      <w:tr w:rsidR="00475045" w:rsidRPr="00475045" w14:paraId="068C6A6B" w14:textId="77777777" w:rsidTr="006347DF">
        <w:tc>
          <w:tcPr>
            <w:tcW w:w="2551" w:type="dxa"/>
            <w:shd w:val="clear" w:color="auto" w:fill="auto"/>
            <w:vAlign w:val="center"/>
          </w:tcPr>
          <w:p w14:paraId="6B00F352" w14:textId="77777777" w:rsidR="00475045" w:rsidRPr="00475045" w:rsidRDefault="00475045" w:rsidP="00475045">
            <w:pPr>
              <w:jc w:val="both"/>
              <w:rPr>
                <w:sz w:val="22"/>
                <w:szCs w:val="22"/>
              </w:rPr>
            </w:pPr>
            <w:r w:rsidRPr="00475045">
              <w:rPr>
                <w:color w:val="000000"/>
                <w:sz w:val="22"/>
                <w:szCs w:val="22"/>
              </w:rPr>
              <w:t>Schools Block</w:t>
            </w:r>
          </w:p>
        </w:tc>
        <w:tc>
          <w:tcPr>
            <w:tcW w:w="1842" w:type="dxa"/>
            <w:vAlign w:val="center"/>
          </w:tcPr>
          <w:p w14:paraId="1E838528" w14:textId="77777777" w:rsidR="00475045" w:rsidRPr="00475045" w:rsidRDefault="00475045" w:rsidP="00475045">
            <w:pPr>
              <w:jc w:val="center"/>
              <w:rPr>
                <w:sz w:val="22"/>
                <w:szCs w:val="22"/>
              </w:rPr>
            </w:pPr>
            <w:r w:rsidRPr="00475045">
              <w:rPr>
                <w:color w:val="000000"/>
                <w:sz w:val="22"/>
                <w:szCs w:val="22"/>
              </w:rPr>
              <w:t>199.61</w:t>
            </w:r>
          </w:p>
        </w:tc>
        <w:tc>
          <w:tcPr>
            <w:tcW w:w="1843" w:type="dxa"/>
            <w:vAlign w:val="center"/>
          </w:tcPr>
          <w:p w14:paraId="36980674" w14:textId="77777777" w:rsidR="00475045" w:rsidRPr="00475045" w:rsidRDefault="00475045" w:rsidP="00475045">
            <w:pPr>
              <w:jc w:val="center"/>
              <w:rPr>
                <w:sz w:val="22"/>
                <w:szCs w:val="22"/>
              </w:rPr>
            </w:pPr>
            <w:r w:rsidRPr="00475045">
              <w:rPr>
                <w:color w:val="000000"/>
                <w:sz w:val="22"/>
                <w:szCs w:val="22"/>
              </w:rPr>
              <w:t>198.61</w:t>
            </w:r>
          </w:p>
        </w:tc>
        <w:tc>
          <w:tcPr>
            <w:tcW w:w="1843" w:type="dxa"/>
            <w:vAlign w:val="center"/>
          </w:tcPr>
          <w:p w14:paraId="013C6F74" w14:textId="77777777" w:rsidR="00475045" w:rsidRPr="00475045" w:rsidRDefault="00475045" w:rsidP="00475045">
            <w:pPr>
              <w:jc w:val="center"/>
              <w:rPr>
                <w:sz w:val="22"/>
                <w:szCs w:val="22"/>
              </w:rPr>
            </w:pPr>
            <w:r w:rsidRPr="00475045">
              <w:rPr>
                <w:color w:val="000000"/>
                <w:sz w:val="22"/>
                <w:szCs w:val="22"/>
              </w:rPr>
              <w:t xml:space="preserve">(1.00) </w:t>
            </w:r>
          </w:p>
        </w:tc>
      </w:tr>
      <w:tr w:rsidR="00475045" w:rsidRPr="00475045" w14:paraId="01AA703D" w14:textId="77777777" w:rsidTr="006347DF">
        <w:tc>
          <w:tcPr>
            <w:tcW w:w="2551" w:type="dxa"/>
            <w:vAlign w:val="center"/>
          </w:tcPr>
          <w:p w14:paraId="53DB43F7" w14:textId="77777777" w:rsidR="00475045" w:rsidRPr="00475045" w:rsidRDefault="00475045" w:rsidP="00475045">
            <w:pPr>
              <w:jc w:val="both"/>
              <w:rPr>
                <w:sz w:val="22"/>
                <w:szCs w:val="22"/>
              </w:rPr>
            </w:pPr>
            <w:r w:rsidRPr="00475045">
              <w:rPr>
                <w:color w:val="000000"/>
                <w:sz w:val="22"/>
                <w:szCs w:val="22"/>
              </w:rPr>
              <w:t>CSSB</w:t>
            </w:r>
          </w:p>
        </w:tc>
        <w:tc>
          <w:tcPr>
            <w:tcW w:w="1842" w:type="dxa"/>
            <w:vAlign w:val="center"/>
          </w:tcPr>
          <w:p w14:paraId="1DCB4FCE" w14:textId="77777777" w:rsidR="00475045" w:rsidRPr="00475045" w:rsidRDefault="00475045" w:rsidP="00475045">
            <w:pPr>
              <w:jc w:val="center"/>
              <w:rPr>
                <w:sz w:val="22"/>
                <w:szCs w:val="22"/>
              </w:rPr>
            </w:pPr>
            <w:r w:rsidRPr="00475045">
              <w:rPr>
                <w:color w:val="000000"/>
                <w:sz w:val="22"/>
                <w:szCs w:val="22"/>
              </w:rPr>
              <w:t>4.20</w:t>
            </w:r>
          </w:p>
        </w:tc>
        <w:tc>
          <w:tcPr>
            <w:tcW w:w="1843" w:type="dxa"/>
            <w:vAlign w:val="center"/>
          </w:tcPr>
          <w:p w14:paraId="1BC149BC" w14:textId="77777777" w:rsidR="00475045" w:rsidRPr="00475045" w:rsidRDefault="00475045" w:rsidP="00475045">
            <w:pPr>
              <w:jc w:val="center"/>
              <w:rPr>
                <w:sz w:val="22"/>
                <w:szCs w:val="22"/>
              </w:rPr>
            </w:pPr>
            <w:r w:rsidRPr="00475045">
              <w:rPr>
                <w:color w:val="000000"/>
                <w:sz w:val="22"/>
                <w:szCs w:val="22"/>
              </w:rPr>
              <w:t>3.25</w:t>
            </w:r>
          </w:p>
        </w:tc>
        <w:tc>
          <w:tcPr>
            <w:tcW w:w="1843" w:type="dxa"/>
            <w:vAlign w:val="center"/>
          </w:tcPr>
          <w:p w14:paraId="6136781A" w14:textId="77777777" w:rsidR="00475045" w:rsidRPr="00475045" w:rsidRDefault="00475045" w:rsidP="00475045">
            <w:pPr>
              <w:jc w:val="center"/>
              <w:rPr>
                <w:sz w:val="22"/>
                <w:szCs w:val="22"/>
              </w:rPr>
            </w:pPr>
            <w:r w:rsidRPr="00475045">
              <w:rPr>
                <w:color w:val="000000"/>
                <w:sz w:val="22"/>
                <w:szCs w:val="22"/>
              </w:rPr>
              <w:t xml:space="preserve">(0.95) </w:t>
            </w:r>
          </w:p>
        </w:tc>
      </w:tr>
      <w:tr w:rsidR="00475045" w:rsidRPr="00475045" w14:paraId="41577345" w14:textId="77777777" w:rsidTr="006347DF">
        <w:tc>
          <w:tcPr>
            <w:tcW w:w="2551" w:type="dxa"/>
            <w:vAlign w:val="center"/>
          </w:tcPr>
          <w:p w14:paraId="02A09221" w14:textId="77777777" w:rsidR="00475045" w:rsidRPr="00475045" w:rsidRDefault="00475045" w:rsidP="00475045">
            <w:pPr>
              <w:jc w:val="both"/>
              <w:rPr>
                <w:sz w:val="22"/>
                <w:szCs w:val="22"/>
              </w:rPr>
            </w:pPr>
            <w:r w:rsidRPr="00475045">
              <w:rPr>
                <w:color w:val="000000"/>
                <w:sz w:val="22"/>
                <w:szCs w:val="22"/>
              </w:rPr>
              <w:t>High Needs Block</w:t>
            </w:r>
          </w:p>
        </w:tc>
        <w:tc>
          <w:tcPr>
            <w:tcW w:w="1842" w:type="dxa"/>
            <w:vAlign w:val="center"/>
          </w:tcPr>
          <w:p w14:paraId="6512B7C8" w14:textId="77777777" w:rsidR="00475045" w:rsidRPr="00475045" w:rsidRDefault="00475045" w:rsidP="00475045">
            <w:pPr>
              <w:jc w:val="center"/>
              <w:rPr>
                <w:sz w:val="22"/>
                <w:szCs w:val="22"/>
              </w:rPr>
            </w:pPr>
            <w:r w:rsidRPr="00475045">
              <w:rPr>
                <w:color w:val="000000"/>
                <w:sz w:val="22"/>
                <w:szCs w:val="22"/>
              </w:rPr>
              <w:t>54.71</w:t>
            </w:r>
          </w:p>
        </w:tc>
        <w:tc>
          <w:tcPr>
            <w:tcW w:w="1843" w:type="dxa"/>
            <w:vAlign w:val="center"/>
          </w:tcPr>
          <w:p w14:paraId="1A21628C" w14:textId="77777777" w:rsidR="00475045" w:rsidRPr="00475045" w:rsidRDefault="00475045" w:rsidP="00475045">
            <w:pPr>
              <w:jc w:val="center"/>
              <w:rPr>
                <w:sz w:val="22"/>
                <w:szCs w:val="22"/>
              </w:rPr>
            </w:pPr>
            <w:r w:rsidRPr="00475045">
              <w:rPr>
                <w:color w:val="000000"/>
                <w:sz w:val="22"/>
                <w:szCs w:val="22"/>
              </w:rPr>
              <w:t>58.47</w:t>
            </w:r>
          </w:p>
        </w:tc>
        <w:tc>
          <w:tcPr>
            <w:tcW w:w="1843" w:type="dxa"/>
            <w:vAlign w:val="center"/>
          </w:tcPr>
          <w:p w14:paraId="0DCE6077" w14:textId="77777777" w:rsidR="00475045" w:rsidRPr="00475045" w:rsidRDefault="00475045" w:rsidP="00475045">
            <w:pPr>
              <w:jc w:val="center"/>
              <w:rPr>
                <w:sz w:val="22"/>
                <w:szCs w:val="22"/>
              </w:rPr>
            </w:pPr>
            <w:r w:rsidRPr="00475045">
              <w:rPr>
                <w:color w:val="000000"/>
                <w:sz w:val="22"/>
                <w:szCs w:val="22"/>
              </w:rPr>
              <w:t xml:space="preserve">3.76 </w:t>
            </w:r>
          </w:p>
        </w:tc>
      </w:tr>
      <w:tr w:rsidR="00475045" w:rsidRPr="00475045" w14:paraId="0C85AA62" w14:textId="77777777" w:rsidTr="006347DF">
        <w:tc>
          <w:tcPr>
            <w:tcW w:w="2551" w:type="dxa"/>
            <w:vAlign w:val="center"/>
          </w:tcPr>
          <w:p w14:paraId="52EE0731" w14:textId="77777777" w:rsidR="00475045" w:rsidRPr="00475045" w:rsidRDefault="00475045" w:rsidP="00475045">
            <w:pPr>
              <w:jc w:val="both"/>
              <w:rPr>
                <w:sz w:val="22"/>
                <w:szCs w:val="22"/>
              </w:rPr>
            </w:pPr>
            <w:r w:rsidRPr="00475045">
              <w:rPr>
                <w:color w:val="000000"/>
                <w:sz w:val="22"/>
                <w:szCs w:val="22"/>
              </w:rPr>
              <w:t>Early Years Block</w:t>
            </w:r>
          </w:p>
        </w:tc>
        <w:tc>
          <w:tcPr>
            <w:tcW w:w="1842" w:type="dxa"/>
            <w:vAlign w:val="center"/>
          </w:tcPr>
          <w:p w14:paraId="1096B693" w14:textId="77777777" w:rsidR="00475045" w:rsidRPr="00475045" w:rsidRDefault="00475045" w:rsidP="00475045">
            <w:pPr>
              <w:jc w:val="center"/>
              <w:rPr>
                <w:sz w:val="22"/>
                <w:szCs w:val="22"/>
              </w:rPr>
            </w:pPr>
            <w:r w:rsidRPr="00475045">
              <w:rPr>
                <w:color w:val="000000"/>
                <w:sz w:val="22"/>
                <w:szCs w:val="22"/>
              </w:rPr>
              <w:t>31.10</w:t>
            </w:r>
          </w:p>
        </w:tc>
        <w:tc>
          <w:tcPr>
            <w:tcW w:w="1843" w:type="dxa"/>
            <w:vAlign w:val="center"/>
          </w:tcPr>
          <w:p w14:paraId="00E6DBBB" w14:textId="77777777" w:rsidR="00475045" w:rsidRPr="00475045" w:rsidRDefault="00475045" w:rsidP="00475045">
            <w:pPr>
              <w:jc w:val="center"/>
              <w:rPr>
                <w:sz w:val="22"/>
                <w:szCs w:val="22"/>
              </w:rPr>
            </w:pPr>
            <w:r w:rsidRPr="00475045">
              <w:rPr>
                <w:color w:val="000000"/>
                <w:sz w:val="22"/>
                <w:szCs w:val="22"/>
              </w:rPr>
              <w:t>29.38</w:t>
            </w:r>
          </w:p>
        </w:tc>
        <w:tc>
          <w:tcPr>
            <w:tcW w:w="1843" w:type="dxa"/>
            <w:vAlign w:val="center"/>
          </w:tcPr>
          <w:p w14:paraId="33883C7F" w14:textId="77777777" w:rsidR="00475045" w:rsidRPr="00475045" w:rsidRDefault="00475045" w:rsidP="00475045">
            <w:pPr>
              <w:jc w:val="center"/>
              <w:rPr>
                <w:sz w:val="22"/>
                <w:szCs w:val="22"/>
              </w:rPr>
            </w:pPr>
            <w:r w:rsidRPr="00475045">
              <w:rPr>
                <w:color w:val="000000"/>
                <w:sz w:val="22"/>
                <w:szCs w:val="22"/>
              </w:rPr>
              <w:t xml:space="preserve">(1.72) </w:t>
            </w:r>
          </w:p>
        </w:tc>
      </w:tr>
      <w:tr w:rsidR="00475045" w:rsidRPr="00475045" w14:paraId="667BD3EA" w14:textId="77777777" w:rsidTr="006347DF">
        <w:tc>
          <w:tcPr>
            <w:tcW w:w="2551" w:type="dxa"/>
            <w:vAlign w:val="center"/>
          </w:tcPr>
          <w:p w14:paraId="7EE63333" w14:textId="77777777" w:rsidR="00475045" w:rsidRPr="00475045" w:rsidRDefault="00475045" w:rsidP="00475045">
            <w:pPr>
              <w:jc w:val="both"/>
              <w:rPr>
                <w:sz w:val="22"/>
                <w:szCs w:val="22"/>
              </w:rPr>
            </w:pPr>
            <w:r w:rsidRPr="00475045">
              <w:rPr>
                <w:color w:val="000000"/>
                <w:sz w:val="22"/>
                <w:szCs w:val="22"/>
              </w:rPr>
              <w:t>Total</w:t>
            </w:r>
          </w:p>
        </w:tc>
        <w:tc>
          <w:tcPr>
            <w:tcW w:w="1842" w:type="dxa"/>
            <w:vAlign w:val="center"/>
          </w:tcPr>
          <w:p w14:paraId="6047198F" w14:textId="77777777" w:rsidR="00475045" w:rsidRPr="00475045" w:rsidRDefault="00475045" w:rsidP="00475045">
            <w:pPr>
              <w:jc w:val="center"/>
              <w:rPr>
                <w:sz w:val="22"/>
                <w:szCs w:val="22"/>
              </w:rPr>
            </w:pPr>
            <w:r w:rsidRPr="00475045">
              <w:rPr>
                <w:b/>
                <w:bCs/>
                <w:color w:val="000000"/>
                <w:sz w:val="22"/>
                <w:szCs w:val="22"/>
              </w:rPr>
              <w:t>289.62</w:t>
            </w:r>
          </w:p>
        </w:tc>
        <w:tc>
          <w:tcPr>
            <w:tcW w:w="1843" w:type="dxa"/>
            <w:vAlign w:val="center"/>
          </w:tcPr>
          <w:p w14:paraId="22AC6615" w14:textId="77777777" w:rsidR="00475045" w:rsidRPr="00475045" w:rsidRDefault="00475045" w:rsidP="00475045">
            <w:pPr>
              <w:jc w:val="center"/>
              <w:rPr>
                <w:sz w:val="22"/>
                <w:szCs w:val="22"/>
              </w:rPr>
            </w:pPr>
            <w:r w:rsidRPr="00475045">
              <w:rPr>
                <w:b/>
                <w:bCs/>
                <w:color w:val="000000"/>
                <w:sz w:val="22"/>
                <w:szCs w:val="22"/>
              </w:rPr>
              <w:t>289.71</w:t>
            </w:r>
          </w:p>
        </w:tc>
        <w:tc>
          <w:tcPr>
            <w:tcW w:w="1843" w:type="dxa"/>
            <w:vAlign w:val="center"/>
          </w:tcPr>
          <w:p w14:paraId="4AD4F305" w14:textId="77777777" w:rsidR="00475045" w:rsidRPr="00475045" w:rsidRDefault="00475045" w:rsidP="00475045">
            <w:pPr>
              <w:jc w:val="center"/>
              <w:rPr>
                <w:sz w:val="22"/>
                <w:szCs w:val="22"/>
              </w:rPr>
            </w:pPr>
            <w:r w:rsidRPr="00475045">
              <w:rPr>
                <w:b/>
                <w:bCs/>
                <w:color w:val="000000"/>
                <w:sz w:val="22"/>
                <w:szCs w:val="22"/>
              </w:rPr>
              <w:t xml:space="preserve">0.09 </w:t>
            </w:r>
          </w:p>
        </w:tc>
      </w:tr>
    </w:tbl>
    <w:p w14:paraId="377DB4B0" w14:textId="77777777" w:rsidR="00475045" w:rsidRPr="00475045" w:rsidRDefault="00475045" w:rsidP="00475045">
      <w:pPr>
        <w:numPr>
          <w:ilvl w:val="0"/>
          <w:numId w:val="2"/>
        </w:numPr>
        <w:spacing w:after="0"/>
        <w:ind w:left="851" w:hanging="425"/>
        <w:contextualSpacing/>
        <w:jc w:val="both"/>
        <w:rPr>
          <w:rFonts w:eastAsia="Times New Roman" w:cs="Times New Roman"/>
          <w:sz w:val="18"/>
          <w:szCs w:val="18"/>
        </w:rPr>
      </w:pPr>
      <w:r w:rsidRPr="00475045">
        <w:rPr>
          <w:rFonts w:eastAsia="Times New Roman" w:cs="Times New Roman"/>
          <w:sz w:val="18"/>
          <w:szCs w:val="18"/>
        </w:rPr>
        <w:t>Net DSG excludes the recoupment of amounts due to academies</w:t>
      </w:r>
    </w:p>
    <w:p w14:paraId="6C89A75D" w14:textId="77777777" w:rsidR="00475045" w:rsidRPr="00475045" w:rsidRDefault="00475045" w:rsidP="00475045">
      <w:pPr>
        <w:numPr>
          <w:ilvl w:val="0"/>
          <w:numId w:val="2"/>
        </w:numPr>
        <w:spacing w:after="0"/>
        <w:ind w:left="851" w:hanging="425"/>
        <w:contextualSpacing/>
        <w:jc w:val="both"/>
        <w:rPr>
          <w:rFonts w:eastAsia="Times New Roman" w:cs="Times New Roman"/>
          <w:sz w:val="18"/>
          <w:szCs w:val="18"/>
        </w:rPr>
      </w:pPr>
      <w:r w:rsidRPr="00475045">
        <w:rPr>
          <w:rFonts w:eastAsia="Times New Roman" w:cs="Times New Roman"/>
          <w:sz w:val="18"/>
          <w:szCs w:val="18"/>
        </w:rPr>
        <w:t xml:space="preserve">Net expenditure takes delegated budgets as allocated. Under or overspends on delegated budgets are recorded as individual school balances. </w:t>
      </w:r>
    </w:p>
    <w:p w14:paraId="77E69C68" w14:textId="77777777" w:rsidR="00475045" w:rsidRPr="00475045" w:rsidRDefault="00475045" w:rsidP="00475045">
      <w:pPr>
        <w:numPr>
          <w:ilvl w:val="0"/>
          <w:numId w:val="2"/>
        </w:numPr>
        <w:spacing w:after="0"/>
        <w:ind w:left="851" w:hanging="425"/>
        <w:contextualSpacing/>
        <w:jc w:val="both"/>
        <w:rPr>
          <w:rFonts w:eastAsia="Times New Roman" w:cs="Times New Roman"/>
          <w:sz w:val="18"/>
          <w:szCs w:val="18"/>
        </w:rPr>
      </w:pPr>
      <w:r w:rsidRPr="00475045">
        <w:rPr>
          <w:rFonts w:eastAsia="Times New Roman" w:cs="Times New Roman"/>
          <w:sz w:val="18"/>
          <w:szCs w:val="18"/>
        </w:rPr>
        <w:t>EYB is shown before clawback</w:t>
      </w:r>
    </w:p>
    <w:p w14:paraId="650B4B46" w14:textId="77777777" w:rsidR="00475045" w:rsidRPr="00475045" w:rsidRDefault="00475045" w:rsidP="00475045">
      <w:pPr>
        <w:jc w:val="both"/>
        <w:rPr>
          <w:color w:val="000000" w:themeColor="text1"/>
          <w:highlight w:val="yellow"/>
        </w:rPr>
      </w:pPr>
    </w:p>
    <w:p w14:paraId="7D53A241" w14:textId="77777777" w:rsidR="00475045" w:rsidRPr="00475045" w:rsidRDefault="00475045" w:rsidP="00475045">
      <w:pPr>
        <w:numPr>
          <w:ilvl w:val="1"/>
          <w:numId w:val="1"/>
        </w:numPr>
        <w:spacing w:after="0"/>
        <w:ind w:left="567" w:hanging="567"/>
        <w:contextualSpacing/>
        <w:jc w:val="both"/>
        <w:rPr>
          <w:rFonts w:eastAsia="Times New Roman" w:cs="Times New Roman"/>
        </w:rPr>
      </w:pPr>
      <w:r w:rsidRPr="00475045">
        <w:rPr>
          <w:rFonts w:eastAsia="Times New Roman" w:cs="Times New Roman"/>
        </w:rPr>
        <w:t>In summary, the position of the total DSG spend shows a slight overspend with the major component of this being high needs spend offset by underspends in the other 3 blocks (see section 2 below).</w:t>
      </w:r>
    </w:p>
    <w:p w14:paraId="0C84920D" w14:textId="77777777" w:rsidR="00475045" w:rsidRPr="00475045" w:rsidRDefault="00475045" w:rsidP="00475045">
      <w:pPr>
        <w:spacing w:after="0"/>
        <w:ind w:left="567"/>
        <w:contextualSpacing/>
        <w:jc w:val="both"/>
        <w:rPr>
          <w:rFonts w:eastAsia="Times New Roman" w:cs="Times New Roman"/>
        </w:rPr>
      </w:pPr>
    </w:p>
    <w:p w14:paraId="54E3A8B4" w14:textId="77777777" w:rsidR="00475045" w:rsidRPr="00475045" w:rsidRDefault="00475045" w:rsidP="00475045">
      <w:pPr>
        <w:numPr>
          <w:ilvl w:val="1"/>
          <w:numId w:val="1"/>
        </w:numPr>
        <w:spacing w:after="0"/>
        <w:ind w:left="567" w:hanging="567"/>
        <w:contextualSpacing/>
        <w:jc w:val="both"/>
        <w:rPr>
          <w:rFonts w:eastAsia="Times New Roman" w:cs="Times New Roman"/>
        </w:rPr>
      </w:pPr>
      <w:r w:rsidRPr="00475045">
        <w:rPr>
          <w:rFonts w:eastAsia="Times New Roman" w:cs="Times New Roman"/>
        </w:rPr>
        <w:t xml:space="preserve">The in-year position needs to be added to balances brought forward as shown in Table 2. </w:t>
      </w:r>
    </w:p>
    <w:p w14:paraId="3CCBF322" w14:textId="77777777" w:rsidR="00475045" w:rsidRPr="00475045" w:rsidRDefault="00475045" w:rsidP="00475045">
      <w:pPr>
        <w:spacing w:after="0"/>
        <w:ind w:left="360"/>
        <w:contextualSpacing/>
        <w:jc w:val="both"/>
        <w:rPr>
          <w:rFonts w:eastAsia="Times New Roman" w:cs="Times New Roman"/>
          <w:color w:val="FF0000"/>
        </w:rPr>
      </w:pPr>
    </w:p>
    <w:p w14:paraId="773B2ED9" w14:textId="1AE10CEC" w:rsidR="00475045" w:rsidRPr="00475045" w:rsidRDefault="00475045" w:rsidP="00CA5145">
      <w:pPr>
        <w:pStyle w:val="Heading2"/>
      </w:pPr>
      <w:r w:rsidRPr="00475045">
        <w:t>Table 2: Cumulative Position on Balances Brought Forward</w:t>
      </w:r>
    </w:p>
    <w:p w14:paraId="34813052" w14:textId="77777777" w:rsidR="00475045" w:rsidRPr="00475045" w:rsidRDefault="00475045" w:rsidP="00475045">
      <w:pPr>
        <w:keepNext/>
        <w:ind w:left="720"/>
        <w:jc w:val="both"/>
      </w:pPr>
    </w:p>
    <w:tbl>
      <w:tblPr>
        <w:tblStyle w:val="TableGrid"/>
        <w:tblW w:w="7821" w:type="dxa"/>
        <w:tblInd w:w="792" w:type="dxa"/>
        <w:tblLook w:val="04A0" w:firstRow="1" w:lastRow="0" w:firstColumn="1" w:lastColumn="0" w:noHBand="0" w:noVBand="1"/>
      </w:tblPr>
      <w:tblGrid>
        <w:gridCol w:w="2293"/>
        <w:gridCol w:w="1843"/>
        <w:gridCol w:w="1843"/>
        <w:gridCol w:w="1842"/>
      </w:tblGrid>
      <w:tr w:rsidR="00475045" w:rsidRPr="00475045" w14:paraId="5858D8B7" w14:textId="77777777" w:rsidTr="006347DF">
        <w:tc>
          <w:tcPr>
            <w:tcW w:w="2293" w:type="dxa"/>
          </w:tcPr>
          <w:p w14:paraId="5B278C6F" w14:textId="77777777" w:rsidR="00475045" w:rsidRPr="00475045" w:rsidRDefault="00475045" w:rsidP="00475045">
            <w:pPr>
              <w:keepNext/>
              <w:contextualSpacing/>
              <w:jc w:val="both"/>
              <w:rPr>
                <w:rFonts w:eastAsia="Times New Roman" w:cs="Times New Roman"/>
                <w:color w:val="FF0000"/>
              </w:rPr>
            </w:pPr>
            <w:r w:rsidRPr="00475045">
              <w:rPr>
                <w:rFonts w:eastAsia="Times New Roman" w:cs="Times New Roman"/>
                <w:sz w:val="22"/>
                <w:szCs w:val="22"/>
              </w:rPr>
              <w:t>Block</w:t>
            </w:r>
          </w:p>
        </w:tc>
        <w:tc>
          <w:tcPr>
            <w:tcW w:w="1843" w:type="dxa"/>
            <w:shd w:val="clear" w:color="auto" w:fill="auto"/>
          </w:tcPr>
          <w:p w14:paraId="17436594" w14:textId="77777777" w:rsidR="00475045" w:rsidRPr="00475045" w:rsidRDefault="00475045" w:rsidP="00475045">
            <w:pPr>
              <w:keepNext/>
              <w:jc w:val="center"/>
              <w:rPr>
                <w:sz w:val="22"/>
                <w:szCs w:val="22"/>
              </w:rPr>
            </w:pPr>
            <w:r w:rsidRPr="00475045">
              <w:rPr>
                <w:sz w:val="22"/>
                <w:szCs w:val="22"/>
              </w:rPr>
              <w:t>B/F prior years</w:t>
            </w:r>
          </w:p>
        </w:tc>
        <w:tc>
          <w:tcPr>
            <w:tcW w:w="1843" w:type="dxa"/>
          </w:tcPr>
          <w:p w14:paraId="0F9C9DC9" w14:textId="77777777" w:rsidR="00475045" w:rsidRPr="00475045" w:rsidRDefault="00475045" w:rsidP="00475045">
            <w:pPr>
              <w:keepNext/>
              <w:jc w:val="center"/>
              <w:rPr>
                <w:sz w:val="22"/>
                <w:szCs w:val="22"/>
              </w:rPr>
            </w:pPr>
            <w:r w:rsidRPr="00475045">
              <w:rPr>
                <w:sz w:val="22"/>
                <w:szCs w:val="22"/>
              </w:rPr>
              <w:t>2020-21</w:t>
            </w:r>
          </w:p>
        </w:tc>
        <w:tc>
          <w:tcPr>
            <w:tcW w:w="1842" w:type="dxa"/>
          </w:tcPr>
          <w:p w14:paraId="065DD248" w14:textId="77777777" w:rsidR="00475045" w:rsidRPr="00475045" w:rsidRDefault="00475045" w:rsidP="00475045">
            <w:pPr>
              <w:keepNext/>
              <w:jc w:val="center"/>
              <w:rPr>
                <w:sz w:val="22"/>
                <w:szCs w:val="22"/>
              </w:rPr>
            </w:pPr>
            <w:r w:rsidRPr="00475045">
              <w:rPr>
                <w:sz w:val="22"/>
                <w:szCs w:val="22"/>
              </w:rPr>
              <w:t>Cumulative</w:t>
            </w:r>
          </w:p>
        </w:tc>
      </w:tr>
      <w:tr w:rsidR="00475045" w:rsidRPr="00475045" w14:paraId="275754BA" w14:textId="77777777" w:rsidTr="006347DF">
        <w:tc>
          <w:tcPr>
            <w:tcW w:w="2293" w:type="dxa"/>
          </w:tcPr>
          <w:p w14:paraId="637EC609" w14:textId="77777777" w:rsidR="00475045" w:rsidRPr="00475045" w:rsidRDefault="00475045" w:rsidP="00475045">
            <w:pPr>
              <w:keepNext/>
              <w:contextualSpacing/>
              <w:jc w:val="both"/>
              <w:rPr>
                <w:rFonts w:eastAsia="Times New Roman" w:cs="Times New Roman"/>
                <w:color w:val="FF0000"/>
              </w:rPr>
            </w:pPr>
          </w:p>
        </w:tc>
        <w:tc>
          <w:tcPr>
            <w:tcW w:w="1843" w:type="dxa"/>
          </w:tcPr>
          <w:p w14:paraId="11803425" w14:textId="77777777" w:rsidR="00475045" w:rsidRPr="00475045" w:rsidRDefault="00475045" w:rsidP="00475045">
            <w:pPr>
              <w:keepNext/>
              <w:jc w:val="center"/>
              <w:rPr>
                <w:sz w:val="22"/>
                <w:szCs w:val="22"/>
              </w:rPr>
            </w:pPr>
            <w:r w:rsidRPr="00475045">
              <w:rPr>
                <w:sz w:val="22"/>
                <w:szCs w:val="22"/>
              </w:rPr>
              <w:t>£m</w:t>
            </w:r>
          </w:p>
        </w:tc>
        <w:tc>
          <w:tcPr>
            <w:tcW w:w="1843" w:type="dxa"/>
          </w:tcPr>
          <w:p w14:paraId="7E5D1FFE" w14:textId="77777777" w:rsidR="00475045" w:rsidRPr="00475045" w:rsidRDefault="00475045" w:rsidP="00475045">
            <w:pPr>
              <w:keepNext/>
              <w:jc w:val="center"/>
              <w:rPr>
                <w:sz w:val="22"/>
                <w:szCs w:val="22"/>
              </w:rPr>
            </w:pPr>
            <w:r w:rsidRPr="00475045">
              <w:rPr>
                <w:sz w:val="22"/>
                <w:szCs w:val="22"/>
              </w:rPr>
              <w:t>£m</w:t>
            </w:r>
          </w:p>
        </w:tc>
        <w:tc>
          <w:tcPr>
            <w:tcW w:w="1842" w:type="dxa"/>
          </w:tcPr>
          <w:p w14:paraId="55A14816" w14:textId="77777777" w:rsidR="00475045" w:rsidRPr="00475045" w:rsidRDefault="00475045" w:rsidP="00475045">
            <w:pPr>
              <w:keepNext/>
              <w:jc w:val="center"/>
              <w:rPr>
                <w:sz w:val="22"/>
                <w:szCs w:val="22"/>
              </w:rPr>
            </w:pPr>
            <w:r w:rsidRPr="00475045">
              <w:rPr>
                <w:sz w:val="22"/>
                <w:szCs w:val="22"/>
              </w:rPr>
              <w:t>£m</w:t>
            </w:r>
          </w:p>
        </w:tc>
      </w:tr>
      <w:tr w:rsidR="00475045" w:rsidRPr="00475045" w14:paraId="66DD7A96" w14:textId="77777777" w:rsidTr="006347DF">
        <w:tc>
          <w:tcPr>
            <w:tcW w:w="2293" w:type="dxa"/>
            <w:shd w:val="clear" w:color="auto" w:fill="auto"/>
            <w:vAlign w:val="center"/>
          </w:tcPr>
          <w:p w14:paraId="5C5A2A27" w14:textId="77777777" w:rsidR="00475045" w:rsidRPr="00475045" w:rsidRDefault="00475045" w:rsidP="00475045">
            <w:pPr>
              <w:keepNext/>
              <w:contextualSpacing/>
              <w:rPr>
                <w:rFonts w:eastAsia="Times New Roman" w:cs="Times New Roman"/>
                <w:color w:val="FF0000"/>
              </w:rPr>
            </w:pPr>
            <w:r w:rsidRPr="00475045">
              <w:rPr>
                <w:rFonts w:eastAsia="Times New Roman"/>
                <w:color w:val="000000"/>
                <w:sz w:val="22"/>
                <w:szCs w:val="22"/>
              </w:rPr>
              <w:t>SB Central</w:t>
            </w:r>
          </w:p>
        </w:tc>
        <w:tc>
          <w:tcPr>
            <w:tcW w:w="1843" w:type="dxa"/>
            <w:shd w:val="clear" w:color="auto" w:fill="auto"/>
            <w:vAlign w:val="center"/>
          </w:tcPr>
          <w:p w14:paraId="0A0FF80F" w14:textId="77777777" w:rsidR="00475045" w:rsidRPr="00475045" w:rsidRDefault="00475045" w:rsidP="00475045">
            <w:pPr>
              <w:keepNext/>
              <w:jc w:val="center"/>
              <w:rPr>
                <w:sz w:val="22"/>
                <w:szCs w:val="22"/>
              </w:rPr>
            </w:pPr>
            <w:r w:rsidRPr="00475045">
              <w:rPr>
                <w:color w:val="000000"/>
                <w:sz w:val="22"/>
                <w:szCs w:val="22"/>
              </w:rPr>
              <w:t xml:space="preserve">(1.00) </w:t>
            </w:r>
          </w:p>
        </w:tc>
        <w:tc>
          <w:tcPr>
            <w:tcW w:w="1843" w:type="dxa"/>
            <w:shd w:val="clear" w:color="auto" w:fill="auto"/>
            <w:vAlign w:val="center"/>
          </w:tcPr>
          <w:p w14:paraId="21ABFB6B" w14:textId="77777777" w:rsidR="00475045" w:rsidRPr="00475045" w:rsidRDefault="00475045" w:rsidP="00475045">
            <w:pPr>
              <w:keepNext/>
              <w:jc w:val="center"/>
              <w:rPr>
                <w:sz w:val="22"/>
                <w:szCs w:val="22"/>
              </w:rPr>
            </w:pPr>
            <w:r w:rsidRPr="00475045">
              <w:rPr>
                <w:color w:val="000000"/>
                <w:sz w:val="22"/>
                <w:szCs w:val="22"/>
              </w:rPr>
              <w:t xml:space="preserve">(1.00) </w:t>
            </w:r>
          </w:p>
        </w:tc>
        <w:tc>
          <w:tcPr>
            <w:tcW w:w="1842" w:type="dxa"/>
            <w:shd w:val="clear" w:color="auto" w:fill="auto"/>
            <w:vAlign w:val="center"/>
          </w:tcPr>
          <w:p w14:paraId="5DD8F28A" w14:textId="77777777" w:rsidR="00475045" w:rsidRPr="00475045" w:rsidRDefault="00475045" w:rsidP="00475045">
            <w:pPr>
              <w:keepNext/>
              <w:jc w:val="center"/>
              <w:rPr>
                <w:sz w:val="22"/>
                <w:szCs w:val="22"/>
              </w:rPr>
            </w:pPr>
            <w:r w:rsidRPr="00475045">
              <w:rPr>
                <w:color w:val="000000"/>
                <w:sz w:val="22"/>
                <w:szCs w:val="22"/>
              </w:rPr>
              <w:t xml:space="preserve">(2.00) </w:t>
            </w:r>
          </w:p>
        </w:tc>
      </w:tr>
      <w:tr w:rsidR="00475045" w:rsidRPr="00475045" w14:paraId="6E3F62EA" w14:textId="77777777" w:rsidTr="006347DF">
        <w:tc>
          <w:tcPr>
            <w:tcW w:w="2293" w:type="dxa"/>
            <w:shd w:val="clear" w:color="auto" w:fill="auto"/>
            <w:vAlign w:val="center"/>
          </w:tcPr>
          <w:p w14:paraId="59B4C041" w14:textId="77777777" w:rsidR="00475045" w:rsidRPr="00475045" w:rsidRDefault="00475045" w:rsidP="00475045">
            <w:pPr>
              <w:keepNext/>
              <w:contextualSpacing/>
              <w:rPr>
                <w:rFonts w:eastAsia="Times New Roman" w:cs="Times New Roman"/>
                <w:color w:val="FF0000"/>
              </w:rPr>
            </w:pPr>
            <w:r w:rsidRPr="00475045">
              <w:rPr>
                <w:rFonts w:eastAsia="Times New Roman"/>
                <w:color w:val="000000"/>
                <w:sz w:val="22"/>
                <w:szCs w:val="22"/>
              </w:rPr>
              <w:t>CSSB</w:t>
            </w:r>
          </w:p>
        </w:tc>
        <w:tc>
          <w:tcPr>
            <w:tcW w:w="1843" w:type="dxa"/>
            <w:shd w:val="clear" w:color="auto" w:fill="auto"/>
            <w:vAlign w:val="center"/>
          </w:tcPr>
          <w:p w14:paraId="06406FCF" w14:textId="77777777" w:rsidR="00475045" w:rsidRPr="00475045" w:rsidRDefault="00475045" w:rsidP="00475045">
            <w:pPr>
              <w:keepNext/>
              <w:jc w:val="center"/>
              <w:rPr>
                <w:sz w:val="22"/>
                <w:szCs w:val="22"/>
              </w:rPr>
            </w:pPr>
            <w:r w:rsidRPr="00475045">
              <w:rPr>
                <w:color w:val="000000"/>
                <w:sz w:val="22"/>
                <w:szCs w:val="22"/>
              </w:rPr>
              <w:t xml:space="preserve">(0.40) </w:t>
            </w:r>
          </w:p>
        </w:tc>
        <w:tc>
          <w:tcPr>
            <w:tcW w:w="1843" w:type="dxa"/>
            <w:shd w:val="clear" w:color="auto" w:fill="auto"/>
            <w:vAlign w:val="center"/>
          </w:tcPr>
          <w:p w14:paraId="710E04C7" w14:textId="77777777" w:rsidR="00475045" w:rsidRPr="00475045" w:rsidRDefault="00475045" w:rsidP="00475045">
            <w:pPr>
              <w:keepNext/>
              <w:jc w:val="center"/>
              <w:rPr>
                <w:sz w:val="22"/>
                <w:szCs w:val="22"/>
              </w:rPr>
            </w:pPr>
            <w:r w:rsidRPr="00475045">
              <w:rPr>
                <w:color w:val="000000"/>
                <w:sz w:val="22"/>
                <w:szCs w:val="22"/>
              </w:rPr>
              <w:t xml:space="preserve">(0.95) </w:t>
            </w:r>
          </w:p>
        </w:tc>
        <w:tc>
          <w:tcPr>
            <w:tcW w:w="1842" w:type="dxa"/>
            <w:shd w:val="clear" w:color="auto" w:fill="auto"/>
            <w:vAlign w:val="center"/>
          </w:tcPr>
          <w:p w14:paraId="41DA496B" w14:textId="77777777" w:rsidR="00475045" w:rsidRPr="00475045" w:rsidRDefault="00475045" w:rsidP="00475045">
            <w:pPr>
              <w:keepNext/>
              <w:jc w:val="center"/>
              <w:rPr>
                <w:sz w:val="22"/>
                <w:szCs w:val="22"/>
              </w:rPr>
            </w:pPr>
            <w:r w:rsidRPr="00475045">
              <w:rPr>
                <w:color w:val="000000"/>
                <w:sz w:val="22"/>
                <w:szCs w:val="22"/>
              </w:rPr>
              <w:t xml:space="preserve">(1.35) </w:t>
            </w:r>
          </w:p>
        </w:tc>
      </w:tr>
      <w:tr w:rsidR="00475045" w:rsidRPr="00475045" w14:paraId="1EF486E4" w14:textId="77777777" w:rsidTr="006347DF">
        <w:tc>
          <w:tcPr>
            <w:tcW w:w="2293" w:type="dxa"/>
            <w:shd w:val="clear" w:color="auto" w:fill="auto"/>
            <w:vAlign w:val="center"/>
          </w:tcPr>
          <w:p w14:paraId="10C28B12" w14:textId="77777777" w:rsidR="00475045" w:rsidRPr="00475045" w:rsidRDefault="00475045" w:rsidP="00475045">
            <w:pPr>
              <w:keepNext/>
              <w:contextualSpacing/>
              <w:rPr>
                <w:rFonts w:eastAsia="Times New Roman" w:cs="Times New Roman"/>
                <w:color w:val="FF0000"/>
              </w:rPr>
            </w:pPr>
            <w:r w:rsidRPr="00475045">
              <w:rPr>
                <w:rFonts w:eastAsia="Times New Roman"/>
                <w:color w:val="000000"/>
                <w:sz w:val="22"/>
                <w:szCs w:val="22"/>
              </w:rPr>
              <w:t>High Needs Block</w:t>
            </w:r>
          </w:p>
        </w:tc>
        <w:tc>
          <w:tcPr>
            <w:tcW w:w="1843" w:type="dxa"/>
            <w:shd w:val="clear" w:color="auto" w:fill="auto"/>
            <w:vAlign w:val="center"/>
          </w:tcPr>
          <w:p w14:paraId="125DDFEC" w14:textId="77777777" w:rsidR="00475045" w:rsidRPr="00475045" w:rsidRDefault="00475045" w:rsidP="00475045">
            <w:pPr>
              <w:keepNext/>
              <w:jc w:val="center"/>
              <w:rPr>
                <w:sz w:val="22"/>
                <w:szCs w:val="22"/>
              </w:rPr>
            </w:pPr>
            <w:r w:rsidRPr="00475045">
              <w:rPr>
                <w:color w:val="000000"/>
                <w:sz w:val="22"/>
                <w:szCs w:val="22"/>
              </w:rPr>
              <w:t xml:space="preserve">11.80 </w:t>
            </w:r>
          </w:p>
        </w:tc>
        <w:tc>
          <w:tcPr>
            <w:tcW w:w="1843" w:type="dxa"/>
            <w:shd w:val="clear" w:color="auto" w:fill="auto"/>
            <w:vAlign w:val="center"/>
          </w:tcPr>
          <w:p w14:paraId="366424EC" w14:textId="77777777" w:rsidR="00475045" w:rsidRPr="00475045" w:rsidRDefault="00475045" w:rsidP="00475045">
            <w:pPr>
              <w:keepNext/>
              <w:jc w:val="center"/>
              <w:rPr>
                <w:sz w:val="22"/>
                <w:szCs w:val="22"/>
              </w:rPr>
            </w:pPr>
            <w:r w:rsidRPr="00475045">
              <w:rPr>
                <w:color w:val="000000"/>
                <w:sz w:val="22"/>
                <w:szCs w:val="22"/>
              </w:rPr>
              <w:t xml:space="preserve">3.76 </w:t>
            </w:r>
          </w:p>
        </w:tc>
        <w:tc>
          <w:tcPr>
            <w:tcW w:w="1842" w:type="dxa"/>
            <w:shd w:val="clear" w:color="auto" w:fill="auto"/>
            <w:vAlign w:val="center"/>
          </w:tcPr>
          <w:p w14:paraId="3AE93073" w14:textId="77777777" w:rsidR="00475045" w:rsidRPr="00475045" w:rsidRDefault="00475045" w:rsidP="00475045">
            <w:pPr>
              <w:keepNext/>
              <w:jc w:val="center"/>
              <w:rPr>
                <w:sz w:val="22"/>
                <w:szCs w:val="22"/>
              </w:rPr>
            </w:pPr>
            <w:r w:rsidRPr="00475045">
              <w:rPr>
                <w:color w:val="000000"/>
                <w:sz w:val="22"/>
                <w:szCs w:val="22"/>
              </w:rPr>
              <w:t xml:space="preserve">15.56 </w:t>
            </w:r>
          </w:p>
        </w:tc>
      </w:tr>
      <w:tr w:rsidR="00475045" w:rsidRPr="00475045" w14:paraId="560A21B0" w14:textId="77777777" w:rsidTr="006347DF">
        <w:tc>
          <w:tcPr>
            <w:tcW w:w="2293" w:type="dxa"/>
            <w:shd w:val="clear" w:color="auto" w:fill="auto"/>
            <w:vAlign w:val="center"/>
          </w:tcPr>
          <w:p w14:paraId="25E7ADE0" w14:textId="77777777" w:rsidR="00475045" w:rsidRPr="00475045" w:rsidRDefault="00475045" w:rsidP="00475045">
            <w:pPr>
              <w:keepNext/>
              <w:contextualSpacing/>
              <w:rPr>
                <w:rFonts w:eastAsia="Times New Roman" w:cs="Times New Roman"/>
                <w:color w:val="FF0000"/>
              </w:rPr>
            </w:pPr>
            <w:r w:rsidRPr="00475045">
              <w:rPr>
                <w:rFonts w:eastAsia="Times New Roman"/>
                <w:color w:val="000000"/>
                <w:sz w:val="22"/>
                <w:szCs w:val="22"/>
              </w:rPr>
              <w:t>Early Years Block</w:t>
            </w:r>
          </w:p>
        </w:tc>
        <w:tc>
          <w:tcPr>
            <w:tcW w:w="1843" w:type="dxa"/>
            <w:shd w:val="clear" w:color="auto" w:fill="auto"/>
            <w:vAlign w:val="center"/>
          </w:tcPr>
          <w:p w14:paraId="44062412" w14:textId="77777777" w:rsidR="00475045" w:rsidRPr="00475045" w:rsidRDefault="00475045" w:rsidP="00475045">
            <w:pPr>
              <w:keepNext/>
              <w:jc w:val="center"/>
              <w:rPr>
                <w:sz w:val="22"/>
                <w:szCs w:val="22"/>
              </w:rPr>
            </w:pPr>
            <w:r w:rsidRPr="00475045">
              <w:rPr>
                <w:color w:val="000000"/>
                <w:sz w:val="22"/>
                <w:szCs w:val="22"/>
              </w:rPr>
              <w:t xml:space="preserve">0.70 </w:t>
            </w:r>
          </w:p>
        </w:tc>
        <w:tc>
          <w:tcPr>
            <w:tcW w:w="1843" w:type="dxa"/>
            <w:shd w:val="clear" w:color="auto" w:fill="auto"/>
            <w:vAlign w:val="center"/>
          </w:tcPr>
          <w:p w14:paraId="3AA29B22" w14:textId="77777777" w:rsidR="00475045" w:rsidRPr="00475045" w:rsidRDefault="00475045" w:rsidP="00475045">
            <w:pPr>
              <w:keepNext/>
              <w:jc w:val="center"/>
              <w:rPr>
                <w:sz w:val="22"/>
                <w:szCs w:val="22"/>
              </w:rPr>
            </w:pPr>
            <w:r w:rsidRPr="00475045">
              <w:rPr>
                <w:color w:val="000000"/>
                <w:sz w:val="22"/>
                <w:szCs w:val="22"/>
              </w:rPr>
              <w:t xml:space="preserve">(1.72) </w:t>
            </w:r>
          </w:p>
        </w:tc>
        <w:tc>
          <w:tcPr>
            <w:tcW w:w="1842" w:type="dxa"/>
            <w:shd w:val="clear" w:color="auto" w:fill="auto"/>
            <w:vAlign w:val="center"/>
          </w:tcPr>
          <w:p w14:paraId="0B2643F7" w14:textId="77777777" w:rsidR="00475045" w:rsidRPr="00475045" w:rsidRDefault="00475045" w:rsidP="00475045">
            <w:pPr>
              <w:keepNext/>
              <w:jc w:val="center"/>
              <w:rPr>
                <w:sz w:val="22"/>
                <w:szCs w:val="22"/>
              </w:rPr>
            </w:pPr>
            <w:r w:rsidRPr="00475045">
              <w:rPr>
                <w:color w:val="000000"/>
                <w:sz w:val="22"/>
                <w:szCs w:val="22"/>
              </w:rPr>
              <w:t xml:space="preserve">(1.02) </w:t>
            </w:r>
          </w:p>
        </w:tc>
      </w:tr>
      <w:tr w:rsidR="00475045" w:rsidRPr="00475045" w14:paraId="0BFBFBC0" w14:textId="77777777" w:rsidTr="006347DF">
        <w:tc>
          <w:tcPr>
            <w:tcW w:w="2293" w:type="dxa"/>
            <w:shd w:val="clear" w:color="auto" w:fill="auto"/>
            <w:vAlign w:val="center"/>
          </w:tcPr>
          <w:p w14:paraId="5DBB374D" w14:textId="77777777" w:rsidR="00475045" w:rsidRPr="00475045" w:rsidRDefault="00475045" w:rsidP="00475045">
            <w:pPr>
              <w:keepNext/>
              <w:contextualSpacing/>
              <w:rPr>
                <w:rFonts w:eastAsia="Times New Roman" w:cs="Times New Roman"/>
                <w:b/>
                <w:bCs/>
                <w:color w:val="FF0000"/>
              </w:rPr>
            </w:pPr>
            <w:r w:rsidRPr="00475045">
              <w:rPr>
                <w:rFonts w:eastAsia="Times New Roman"/>
                <w:b/>
                <w:bCs/>
                <w:color w:val="000000"/>
                <w:sz w:val="22"/>
                <w:szCs w:val="22"/>
              </w:rPr>
              <w:t>Total</w:t>
            </w:r>
          </w:p>
        </w:tc>
        <w:tc>
          <w:tcPr>
            <w:tcW w:w="1843" w:type="dxa"/>
            <w:shd w:val="clear" w:color="auto" w:fill="auto"/>
            <w:vAlign w:val="center"/>
          </w:tcPr>
          <w:p w14:paraId="7245610F" w14:textId="77777777" w:rsidR="00475045" w:rsidRPr="00475045" w:rsidRDefault="00475045" w:rsidP="00475045">
            <w:pPr>
              <w:keepNext/>
              <w:jc w:val="center"/>
              <w:rPr>
                <w:b/>
                <w:bCs/>
                <w:sz w:val="22"/>
                <w:szCs w:val="22"/>
              </w:rPr>
            </w:pPr>
            <w:r w:rsidRPr="00475045">
              <w:rPr>
                <w:b/>
                <w:bCs/>
                <w:color w:val="000000"/>
                <w:sz w:val="22"/>
                <w:szCs w:val="22"/>
              </w:rPr>
              <w:t>11.10</w:t>
            </w:r>
          </w:p>
        </w:tc>
        <w:tc>
          <w:tcPr>
            <w:tcW w:w="1843" w:type="dxa"/>
            <w:shd w:val="clear" w:color="auto" w:fill="auto"/>
            <w:vAlign w:val="center"/>
          </w:tcPr>
          <w:p w14:paraId="6AA95F5A" w14:textId="77777777" w:rsidR="00475045" w:rsidRPr="00475045" w:rsidRDefault="00475045" w:rsidP="00475045">
            <w:pPr>
              <w:keepNext/>
              <w:jc w:val="center"/>
              <w:rPr>
                <w:b/>
                <w:bCs/>
                <w:sz w:val="22"/>
                <w:szCs w:val="22"/>
              </w:rPr>
            </w:pPr>
            <w:r w:rsidRPr="00475045">
              <w:rPr>
                <w:b/>
                <w:bCs/>
                <w:color w:val="000000"/>
                <w:sz w:val="22"/>
                <w:szCs w:val="22"/>
              </w:rPr>
              <w:t>0.09</w:t>
            </w:r>
          </w:p>
        </w:tc>
        <w:tc>
          <w:tcPr>
            <w:tcW w:w="1842" w:type="dxa"/>
            <w:shd w:val="clear" w:color="auto" w:fill="auto"/>
            <w:vAlign w:val="center"/>
          </w:tcPr>
          <w:p w14:paraId="7EBBF6E7" w14:textId="77777777" w:rsidR="00475045" w:rsidRPr="00475045" w:rsidRDefault="00475045" w:rsidP="00475045">
            <w:pPr>
              <w:keepNext/>
              <w:jc w:val="center"/>
              <w:rPr>
                <w:b/>
                <w:bCs/>
                <w:sz w:val="22"/>
                <w:szCs w:val="22"/>
              </w:rPr>
            </w:pPr>
            <w:r w:rsidRPr="00475045">
              <w:rPr>
                <w:b/>
                <w:bCs/>
                <w:color w:val="000000"/>
                <w:sz w:val="22"/>
                <w:szCs w:val="22"/>
              </w:rPr>
              <w:t>11.19</w:t>
            </w:r>
          </w:p>
        </w:tc>
      </w:tr>
    </w:tbl>
    <w:p w14:paraId="5CF5A3BB" w14:textId="77777777" w:rsidR="00475045" w:rsidRPr="00475045" w:rsidRDefault="00475045" w:rsidP="00475045">
      <w:pPr>
        <w:spacing w:after="0"/>
        <w:ind w:left="851"/>
        <w:contextualSpacing/>
        <w:jc w:val="both"/>
        <w:rPr>
          <w:rFonts w:eastAsia="Times New Roman" w:cs="Times New Roman"/>
          <w:sz w:val="20"/>
          <w:szCs w:val="20"/>
          <w:highlight w:val="yellow"/>
        </w:rPr>
      </w:pPr>
    </w:p>
    <w:p w14:paraId="56971280" w14:textId="77777777" w:rsidR="00475045" w:rsidRPr="00475045" w:rsidRDefault="00475045" w:rsidP="00475045">
      <w:pPr>
        <w:jc w:val="both"/>
        <w:rPr>
          <w:color w:val="FF0000"/>
        </w:rPr>
      </w:pPr>
    </w:p>
    <w:p w14:paraId="7CADA2F8" w14:textId="71908C82" w:rsidR="00475045" w:rsidRPr="00475045" w:rsidRDefault="00475045" w:rsidP="00CA5145">
      <w:pPr>
        <w:pStyle w:val="Heading2"/>
        <w:rPr>
          <w:rFonts w:eastAsia="Times New Roman"/>
        </w:rPr>
      </w:pPr>
      <w:r w:rsidRPr="00475045">
        <w:rPr>
          <w:rFonts w:eastAsia="Times New Roman"/>
        </w:rPr>
        <w:t>Analysis of Year-end outturn for 2020/21 (as shown in tables 1 and 2)</w:t>
      </w:r>
    </w:p>
    <w:p w14:paraId="2C520892" w14:textId="77777777" w:rsidR="00475045" w:rsidRPr="00475045" w:rsidRDefault="00475045" w:rsidP="00475045">
      <w:pPr>
        <w:jc w:val="both"/>
        <w:rPr>
          <w:color w:val="000000" w:themeColor="text1"/>
          <w:highlight w:val="yellow"/>
        </w:rPr>
      </w:pPr>
    </w:p>
    <w:p w14:paraId="621F81E8" w14:textId="77777777" w:rsidR="00475045" w:rsidRPr="00475045" w:rsidRDefault="00475045" w:rsidP="00475045">
      <w:pPr>
        <w:numPr>
          <w:ilvl w:val="1"/>
          <w:numId w:val="1"/>
        </w:numPr>
        <w:spacing w:after="0"/>
        <w:ind w:left="567" w:hanging="567"/>
        <w:contextualSpacing/>
        <w:jc w:val="both"/>
        <w:rPr>
          <w:rFonts w:eastAsia="Times New Roman" w:cs="Times New Roman"/>
          <w:b/>
          <w:bCs/>
        </w:rPr>
      </w:pPr>
      <w:r w:rsidRPr="00475045">
        <w:rPr>
          <w:rFonts w:eastAsia="Times New Roman" w:cs="Times New Roman"/>
          <w:b/>
          <w:bCs/>
        </w:rPr>
        <w:t>Centrally Retained Schools Block and Central School Services Block.</w:t>
      </w:r>
    </w:p>
    <w:p w14:paraId="6DC79C50" w14:textId="77777777" w:rsidR="00475045" w:rsidRPr="00475045" w:rsidRDefault="00475045" w:rsidP="00475045">
      <w:pPr>
        <w:spacing w:after="0"/>
        <w:ind w:left="567"/>
        <w:contextualSpacing/>
        <w:jc w:val="both"/>
        <w:rPr>
          <w:rFonts w:eastAsia="Times New Roman" w:cs="Times New Roman"/>
          <w:b/>
          <w:bCs/>
        </w:rPr>
      </w:pPr>
    </w:p>
    <w:p w14:paraId="1DC48CA5" w14:textId="77777777" w:rsidR="00475045" w:rsidRPr="00475045" w:rsidRDefault="00475045" w:rsidP="00475045">
      <w:pPr>
        <w:numPr>
          <w:ilvl w:val="2"/>
          <w:numId w:val="1"/>
        </w:numPr>
        <w:spacing w:after="0"/>
        <w:ind w:left="851" w:hanging="851"/>
        <w:contextualSpacing/>
        <w:jc w:val="both"/>
        <w:rPr>
          <w:rFonts w:eastAsia="Times New Roman" w:cs="Times New Roman"/>
        </w:rPr>
      </w:pPr>
      <w:r w:rsidRPr="00475045">
        <w:rPr>
          <w:rFonts w:eastAsia="Times New Roman" w:cs="Times New Roman"/>
          <w:b/>
          <w:bCs/>
        </w:rPr>
        <w:t>The Schools Block</w:t>
      </w:r>
      <w:r w:rsidRPr="00475045">
        <w:rPr>
          <w:rFonts w:eastAsia="Times New Roman" w:cs="Times New Roman"/>
        </w:rPr>
        <w:t xml:space="preserve"> underspend represents the agreed transfer of budget to the HNB agreed by School’s forum at the beginning of the year (£-1.03m), netted off against other variances, notably the de-delegated budget of £0.26m mostly attributable to Trade Union Supply cover, and the school growth fund underspent by £0.29m where planned growth in schools did not materialise.  </w:t>
      </w:r>
      <w:r w:rsidRPr="00475045">
        <w:rPr>
          <w:rFonts w:eastAsia="Times New Roman" w:cs="Times New Roman"/>
        </w:rPr>
        <w:lastRenderedPageBreak/>
        <w:t xml:space="preserve">The </w:t>
      </w:r>
      <w:proofErr w:type="gramStart"/>
      <w:r w:rsidRPr="00475045">
        <w:rPr>
          <w:rFonts w:eastAsia="Times New Roman" w:cs="Times New Roman"/>
        </w:rPr>
        <w:t>Schools</w:t>
      </w:r>
      <w:proofErr w:type="gramEnd"/>
      <w:r w:rsidRPr="00475045">
        <w:rPr>
          <w:rFonts w:eastAsia="Times New Roman" w:cs="Times New Roman"/>
        </w:rPr>
        <w:t xml:space="preserve"> delegated budgets are committed and transferred to schools as budgeted. </w:t>
      </w:r>
    </w:p>
    <w:p w14:paraId="185458DB" w14:textId="77777777" w:rsidR="00475045" w:rsidRPr="00475045" w:rsidRDefault="00475045" w:rsidP="00475045">
      <w:pPr>
        <w:spacing w:after="0"/>
        <w:ind w:left="851"/>
        <w:contextualSpacing/>
        <w:jc w:val="both"/>
        <w:rPr>
          <w:rFonts w:eastAsia="Times New Roman" w:cs="Times New Roman"/>
        </w:rPr>
      </w:pPr>
    </w:p>
    <w:p w14:paraId="76E184E6" w14:textId="77777777" w:rsidR="00475045" w:rsidRPr="00475045" w:rsidRDefault="00475045" w:rsidP="00475045">
      <w:pPr>
        <w:numPr>
          <w:ilvl w:val="2"/>
          <w:numId w:val="1"/>
        </w:numPr>
        <w:spacing w:after="0"/>
        <w:ind w:left="851" w:hanging="851"/>
        <w:contextualSpacing/>
        <w:jc w:val="both"/>
        <w:rPr>
          <w:rFonts w:eastAsia="Times New Roman" w:cs="Times New Roman"/>
        </w:rPr>
      </w:pPr>
      <w:r w:rsidRPr="00475045">
        <w:rPr>
          <w:rFonts w:eastAsia="Times New Roman" w:cs="Times New Roman"/>
          <w:b/>
          <w:bCs/>
        </w:rPr>
        <w:t>Central School Services Block (CSSB).</w:t>
      </w:r>
      <w:r w:rsidRPr="00475045">
        <w:rPr>
          <w:rFonts w:eastAsia="Times New Roman" w:cs="Times New Roman"/>
        </w:rPr>
        <w:t xml:space="preserve">  The termination of employment costs in schools overspent by £0.48m.  However, as many of these budgets contribute to wider budget areas, they benefitted from savings made across the council in those central services.  The overall underspend of £0.95 million contributed to the HNB overspend.</w:t>
      </w:r>
    </w:p>
    <w:p w14:paraId="57C7CC89" w14:textId="77777777" w:rsidR="00475045" w:rsidRPr="00475045" w:rsidRDefault="00475045" w:rsidP="00475045">
      <w:pPr>
        <w:jc w:val="both"/>
        <w:rPr>
          <w:b/>
          <w:color w:val="000000" w:themeColor="text1"/>
        </w:rPr>
      </w:pPr>
    </w:p>
    <w:p w14:paraId="26FE79F0" w14:textId="23DDFE3F" w:rsidR="00475045" w:rsidRPr="00475045" w:rsidRDefault="00475045" w:rsidP="00475045">
      <w:pPr>
        <w:numPr>
          <w:ilvl w:val="1"/>
          <w:numId w:val="1"/>
        </w:numPr>
        <w:spacing w:after="0"/>
        <w:ind w:left="851" w:hanging="851"/>
        <w:contextualSpacing/>
        <w:jc w:val="both"/>
        <w:rPr>
          <w:rFonts w:eastAsia="Times New Roman" w:cs="Times New Roman"/>
          <w:b/>
          <w:color w:val="000000" w:themeColor="text1"/>
        </w:rPr>
      </w:pPr>
      <w:r w:rsidRPr="00475045">
        <w:rPr>
          <w:rFonts w:eastAsia="Times New Roman" w:cs="Times New Roman"/>
          <w:b/>
          <w:color w:val="000000" w:themeColor="text1"/>
        </w:rPr>
        <w:t>Early Years Block</w:t>
      </w:r>
    </w:p>
    <w:p w14:paraId="0B98C1AF" w14:textId="77777777" w:rsidR="00475045" w:rsidRPr="00475045" w:rsidRDefault="00475045" w:rsidP="00475045">
      <w:pPr>
        <w:spacing w:after="0"/>
        <w:ind w:left="851"/>
        <w:contextualSpacing/>
        <w:jc w:val="both"/>
        <w:rPr>
          <w:rFonts w:eastAsia="Times New Roman" w:cs="Times New Roman"/>
          <w:b/>
          <w:color w:val="000000" w:themeColor="text1"/>
        </w:rPr>
      </w:pPr>
    </w:p>
    <w:p w14:paraId="7E4B13B6" w14:textId="77777777" w:rsidR="00475045" w:rsidRPr="00475045" w:rsidRDefault="00475045" w:rsidP="00475045">
      <w:pPr>
        <w:numPr>
          <w:ilvl w:val="2"/>
          <w:numId w:val="1"/>
        </w:numPr>
        <w:spacing w:after="0"/>
        <w:ind w:left="851" w:hanging="851"/>
        <w:contextualSpacing/>
        <w:jc w:val="both"/>
        <w:rPr>
          <w:rFonts w:eastAsia="Times New Roman" w:cs="Times New Roman"/>
          <w:b/>
          <w:color w:val="000000" w:themeColor="text1"/>
        </w:rPr>
      </w:pPr>
      <w:r w:rsidRPr="00475045">
        <w:rPr>
          <w:rFonts w:eastAsia="Times New Roman" w:cs="Times New Roman"/>
        </w:rPr>
        <w:t xml:space="preserve">The EYB is funded according to termly census’ recording pupil take up in settings.  It is the most volatile block, with retrospective adjustments made each year. The DSG allocation in 2021-22 was announced in November, accounting for the 2020-21 underspend caused by a reduction in pupil attendance in early years settings.  This reduction was implemented after budget protection during 2019-20 and 2020-21 and represents a “return to normal” position taken in the January 2021 census.  </w:t>
      </w:r>
    </w:p>
    <w:p w14:paraId="214035B7" w14:textId="77777777" w:rsidR="00475045" w:rsidRPr="00475045" w:rsidRDefault="00475045" w:rsidP="00475045">
      <w:pPr>
        <w:spacing w:after="0"/>
        <w:ind w:left="851"/>
        <w:contextualSpacing/>
        <w:jc w:val="both"/>
        <w:rPr>
          <w:rFonts w:eastAsia="Times New Roman" w:cs="Times New Roman"/>
          <w:b/>
          <w:color w:val="000000" w:themeColor="text1"/>
        </w:rPr>
      </w:pPr>
    </w:p>
    <w:p w14:paraId="3759660D" w14:textId="77777777" w:rsidR="00475045" w:rsidRPr="00475045" w:rsidRDefault="00475045" w:rsidP="00475045">
      <w:pPr>
        <w:numPr>
          <w:ilvl w:val="2"/>
          <w:numId w:val="1"/>
        </w:numPr>
        <w:spacing w:after="0"/>
        <w:ind w:left="851" w:hanging="851"/>
        <w:contextualSpacing/>
        <w:jc w:val="both"/>
        <w:rPr>
          <w:rFonts w:eastAsia="Times New Roman" w:cs="Times New Roman"/>
          <w:b/>
          <w:color w:val="000000" w:themeColor="text1"/>
        </w:rPr>
      </w:pPr>
      <w:r w:rsidRPr="00475045">
        <w:rPr>
          <w:rFonts w:eastAsia="Times New Roman" w:cs="Times New Roman"/>
          <w:bCs/>
          <w:color w:val="000000" w:themeColor="text1"/>
        </w:rPr>
        <w:t xml:space="preserve">The clawback in table 3 is slightly less than anticipated, as the council calculated the effect to be </w:t>
      </w:r>
      <w:r w:rsidRPr="00475045">
        <w:rPr>
          <w:rFonts w:eastAsia="Times New Roman" w:cs="Times New Roman"/>
          <w:bCs/>
        </w:rPr>
        <w:t>-£0.82m check</w:t>
      </w:r>
      <w:r w:rsidRPr="00475045">
        <w:rPr>
          <w:rFonts w:eastAsia="Times New Roman" w:cs="Times New Roman"/>
          <w:bCs/>
          <w:color w:val="000000" w:themeColor="text1"/>
        </w:rPr>
        <w:t xml:space="preserve">  </w:t>
      </w:r>
    </w:p>
    <w:p w14:paraId="7BACDFE1" w14:textId="77777777" w:rsidR="00475045" w:rsidRPr="00475045" w:rsidRDefault="00475045" w:rsidP="00475045">
      <w:pPr>
        <w:spacing w:after="0"/>
        <w:ind w:left="720"/>
        <w:contextualSpacing/>
        <w:rPr>
          <w:rFonts w:eastAsia="Times New Roman" w:cs="Times New Roman"/>
          <w:b/>
          <w:color w:val="000000" w:themeColor="text1"/>
        </w:rPr>
      </w:pPr>
    </w:p>
    <w:p w14:paraId="3215AECE" w14:textId="77777777" w:rsidR="00475045" w:rsidRPr="00475045" w:rsidRDefault="00475045" w:rsidP="00475045">
      <w:pPr>
        <w:spacing w:after="0"/>
        <w:ind w:left="851"/>
        <w:contextualSpacing/>
        <w:jc w:val="both"/>
        <w:rPr>
          <w:rFonts w:eastAsia="Times New Roman" w:cs="Times New Roman"/>
          <w:b/>
          <w:color w:val="000000" w:themeColor="text1"/>
        </w:rPr>
      </w:pPr>
    </w:p>
    <w:p w14:paraId="04DFD641" w14:textId="77777777" w:rsidR="00475045" w:rsidRPr="00475045" w:rsidRDefault="00475045" w:rsidP="00CA5145">
      <w:pPr>
        <w:pStyle w:val="Heading2"/>
        <w:rPr>
          <w:rFonts w:eastAsia="Times New Roman"/>
        </w:rPr>
      </w:pPr>
      <w:r w:rsidRPr="00475045">
        <w:rPr>
          <w:rFonts w:eastAsia="Times New Roman"/>
        </w:rPr>
        <w:t>Table 3. Early Years 2020-21 Funding adjustment (November 2021)</w:t>
      </w:r>
    </w:p>
    <w:p w14:paraId="1A2B1EAF" w14:textId="77777777" w:rsidR="00475045" w:rsidRPr="00475045" w:rsidRDefault="00475045" w:rsidP="00475045">
      <w:pPr>
        <w:spacing w:after="0"/>
        <w:ind w:left="851"/>
        <w:contextualSpacing/>
        <w:jc w:val="both"/>
        <w:rPr>
          <w:rFonts w:eastAsia="Times New Roman" w:cs="Times New Roman"/>
          <w:b/>
          <w:bCs/>
          <w:color w:val="000000" w:themeColor="text1"/>
        </w:rPr>
      </w:pPr>
    </w:p>
    <w:tbl>
      <w:tblPr>
        <w:tblStyle w:val="TableGridLight"/>
        <w:tblW w:w="9503" w:type="dxa"/>
        <w:tblLook w:val="04A0" w:firstRow="1" w:lastRow="0" w:firstColumn="1" w:lastColumn="0" w:noHBand="0" w:noVBand="1"/>
      </w:tblPr>
      <w:tblGrid>
        <w:gridCol w:w="1418"/>
        <w:gridCol w:w="1293"/>
        <w:gridCol w:w="1185"/>
        <w:gridCol w:w="924"/>
        <w:gridCol w:w="1097"/>
        <w:gridCol w:w="1097"/>
        <w:gridCol w:w="1354"/>
        <w:gridCol w:w="1144"/>
      </w:tblGrid>
      <w:tr w:rsidR="00475045" w:rsidRPr="00475045" w14:paraId="43E18ED9" w14:textId="77777777" w:rsidTr="006347DF">
        <w:trPr>
          <w:trHeight w:val="1103"/>
        </w:trPr>
        <w:tc>
          <w:tcPr>
            <w:tcW w:w="1418" w:type="dxa"/>
            <w:noWrap/>
            <w:hideMark/>
          </w:tcPr>
          <w:p w14:paraId="0344D35B" w14:textId="77777777" w:rsidR="00475045" w:rsidRPr="00475045" w:rsidRDefault="00475045" w:rsidP="00475045">
            <w:pPr>
              <w:keepNext/>
              <w:contextualSpacing/>
              <w:rPr>
                <w:rFonts w:eastAsia="Times New Roman"/>
                <w:color w:val="000000"/>
                <w:sz w:val="22"/>
                <w:szCs w:val="22"/>
              </w:rPr>
            </w:pPr>
          </w:p>
        </w:tc>
        <w:tc>
          <w:tcPr>
            <w:tcW w:w="1293" w:type="dxa"/>
            <w:hideMark/>
          </w:tcPr>
          <w:p w14:paraId="026CEAE2"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Universal 3-4 YO entitlement</w:t>
            </w:r>
          </w:p>
          <w:p w14:paraId="277B82A6"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 xml:space="preserve"> £m</w:t>
            </w:r>
          </w:p>
        </w:tc>
        <w:tc>
          <w:tcPr>
            <w:tcW w:w="1185" w:type="dxa"/>
            <w:hideMark/>
          </w:tcPr>
          <w:p w14:paraId="484FDAAA"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Additional hours for 3-4 YO</w:t>
            </w:r>
          </w:p>
          <w:p w14:paraId="3A847F14"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£m</w:t>
            </w:r>
          </w:p>
        </w:tc>
        <w:tc>
          <w:tcPr>
            <w:tcW w:w="924" w:type="dxa"/>
            <w:hideMark/>
          </w:tcPr>
          <w:p w14:paraId="080BFB82"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2-YO</w:t>
            </w:r>
          </w:p>
          <w:p w14:paraId="4EBC6A84" w14:textId="77777777" w:rsidR="00475045" w:rsidRPr="00475045" w:rsidRDefault="00475045" w:rsidP="00475045">
            <w:pPr>
              <w:keepNext/>
              <w:contextualSpacing/>
              <w:jc w:val="center"/>
              <w:rPr>
                <w:rFonts w:eastAsia="Times New Roman"/>
                <w:color w:val="000000"/>
                <w:sz w:val="22"/>
                <w:szCs w:val="22"/>
              </w:rPr>
            </w:pPr>
          </w:p>
          <w:p w14:paraId="2D4F1DF3" w14:textId="77777777" w:rsidR="00475045" w:rsidRPr="00475045" w:rsidRDefault="00475045" w:rsidP="00475045">
            <w:pPr>
              <w:keepNext/>
              <w:contextualSpacing/>
              <w:jc w:val="center"/>
              <w:rPr>
                <w:rFonts w:eastAsia="Times New Roman"/>
                <w:color w:val="000000"/>
                <w:sz w:val="22"/>
                <w:szCs w:val="22"/>
              </w:rPr>
            </w:pPr>
          </w:p>
          <w:p w14:paraId="4F3CBE81"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£m</w:t>
            </w:r>
          </w:p>
        </w:tc>
        <w:tc>
          <w:tcPr>
            <w:tcW w:w="1097" w:type="dxa"/>
            <w:hideMark/>
          </w:tcPr>
          <w:p w14:paraId="686542C9"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EY Pupil Premium</w:t>
            </w:r>
          </w:p>
          <w:p w14:paraId="0FC016C1" w14:textId="77777777" w:rsidR="00475045" w:rsidRPr="00475045" w:rsidRDefault="00475045" w:rsidP="00475045">
            <w:pPr>
              <w:keepNext/>
              <w:contextualSpacing/>
              <w:jc w:val="center"/>
              <w:rPr>
                <w:rFonts w:eastAsia="Times New Roman"/>
                <w:color w:val="000000"/>
                <w:sz w:val="22"/>
                <w:szCs w:val="22"/>
              </w:rPr>
            </w:pPr>
          </w:p>
          <w:p w14:paraId="573595A5"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£m</w:t>
            </w:r>
          </w:p>
        </w:tc>
        <w:tc>
          <w:tcPr>
            <w:tcW w:w="1097" w:type="dxa"/>
            <w:hideMark/>
          </w:tcPr>
          <w:p w14:paraId="3DBAC93C"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Disability Access Fund</w:t>
            </w:r>
          </w:p>
          <w:p w14:paraId="41C6EB06"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£m</w:t>
            </w:r>
          </w:p>
        </w:tc>
        <w:tc>
          <w:tcPr>
            <w:tcW w:w="1345" w:type="dxa"/>
            <w:hideMark/>
          </w:tcPr>
          <w:p w14:paraId="0733120F"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 xml:space="preserve">Maintained nursery </w:t>
            </w:r>
            <w:proofErr w:type="spellStart"/>
            <w:r w:rsidRPr="00475045">
              <w:rPr>
                <w:rFonts w:eastAsia="Times New Roman"/>
                <w:color w:val="000000"/>
                <w:sz w:val="22"/>
                <w:szCs w:val="22"/>
              </w:rPr>
              <w:t>sch</w:t>
            </w:r>
            <w:proofErr w:type="spellEnd"/>
            <w:r w:rsidRPr="00475045">
              <w:rPr>
                <w:rFonts w:eastAsia="Times New Roman"/>
                <w:color w:val="000000"/>
                <w:sz w:val="22"/>
                <w:szCs w:val="22"/>
              </w:rPr>
              <w:t xml:space="preserve"> supplement</w:t>
            </w:r>
          </w:p>
          <w:p w14:paraId="4D488ADC"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color w:val="000000"/>
                <w:sz w:val="22"/>
                <w:szCs w:val="22"/>
              </w:rPr>
              <w:t>£m</w:t>
            </w:r>
          </w:p>
        </w:tc>
        <w:tc>
          <w:tcPr>
            <w:tcW w:w="1144" w:type="dxa"/>
            <w:hideMark/>
          </w:tcPr>
          <w:p w14:paraId="730409B6" w14:textId="77777777" w:rsidR="00475045" w:rsidRPr="00475045" w:rsidRDefault="00475045" w:rsidP="00475045">
            <w:pPr>
              <w:keepNext/>
              <w:contextualSpacing/>
              <w:jc w:val="center"/>
              <w:rPr>
                <w:rFonts w:eastAsia="Times New Roman"/>
                <w:b/>
                <w:bCs/>
                <w:color w:val="000000"/>
                <w:sz w:val="22"/>
                <w:szCs w:val="22"/>
              </w:rPr>
            </w:pPr>
            <w:r w:rsidRPr="00475045">
              <w:rPr>
                <w:rFonts w:eastAsia="Times New Roman"/>
                <w:b/>
                <w:bCs/>
                <w:color w:val="000000"/>
                <w:sz w:val="22"/>
                <w:szCs w:val="22"/>
              </w:rPr>
              <w:t>Total</w:t>
            </w:r>
          </w:p>
          <w:p w14:paraId="7CF58B9E" w14:textId="77777777" w:rsidR="00475045" w:rsidRPr="00475045" w:rsidRDefault="00475045" w:rsidP="00475045">
            <w:pPr>
              <w:keepNext/>
              <w:contextualSpacing/>
              <w:jc w:val="center"/>
              <w:rPr>
                <w:rFonts w:eastAsia="Times New Roman"/>
                <w:b/>
                <w:bCs/>
                <w:color w:val="000000"/>
                <w:sz w:val="22"/>
                <w:szCs w:val="22"/>
              </w:rPr>
            </w:pPr>
          </w:p>
          <w:p w14:paraId="72FA1A04" w14:textId="77777777" w:rsidR="00475045" w:rsidRPr="00475045" w:rsidRDefault="00475045" w:rsidP="00475045">
            <w:pPr>
              <w:keepNext/>
              <w:contextualSpacing/>
              <w:jc w:val="center"/>
              <w:rPr>
                <w:rFonts w:eastAsia="Times New Roman"/>
                <w:b/>
                <w:bCs/>
                <w:color w:val="000000"/>
                <w:sz w:val="22"/>
                <w:szCs w:val="22"/>
              </w:rPr>
            </w:pPr>
          </w:p>
          <w:p w14:paraId="7FC501C3" w14:textId="77777777" w:rsidR="00475045" w:rsidRPr="00475045" w:rsidRDefault="00475045" w:rsidP="00475045">
            <w:pPr>
              <w:keepNext/>
              <w:contextualSpacing/>
              <w:jc w:val="center"/>
              <w:rPr>
                <w:rFonts w:eastAsia="Times New Roman"/>
                <w:b/>
                <w:bCs/>
                <w:color w:val="000000"/>
                <w:sz w:val="22"/>
                <w:szCs w:val="22"/>
              </w:rPr>
            </w:pPr>
            <w:r w:rsidRPr="00475045">
              <w:rPr>
                <w:rFonts w:eastAsia="Times New Roman"/>
                <w:b/>
                <w:bCs/>
                <w:color w:val="000000"/>
                <w:sz w:val="22"/>
                <w:szCs w:val="22"/>
              </w:rPr>
              <w:t>£m</w:t>
            </w:r>
          </w:p>
        </w:tc>
      </w:tr>
      <w:tr w:rsidR="00475045" w:rsidRPr="00475045" w14:paraId="206A9B1D" w14:textId="77777777" w:rsidTr="006347DF">
        <w:trPr>
          <w:trHeight w:val="290"/>
        </w:trPr>
        <w:tc>
          <w:tcPr>
            <w:tcW w:w="1418" w:type="dxa"/>
            <w:noWrap/>
            <w:hideMark/>
          </w:tcPr>
          <w:p w14:paraId="3F320229" w14:textId="77777777" w:rsidR="00475045" w:rsidRPr="00475045" w:rsidRDefault="00475045" w:rsidP="00475045">
            <w:pPr>
              <w:keepNext/>
              <w:contextualSpacing/>
              <w:rPr>
                <w:rFonts w:eastAsia="Times New Roman"/>
                <w:color w:val="000000"/>
                <w:sz w:val="22"/>
                <w:szCs w:val="22"/>
              </w:rPr>
            </w:pPr>
            <w:r w:rsidRPr="00475045">
              <w:rPr>
                <w:rFonts w:eastAsia="Times New Roman"/>
                <w:color w:val="000000"/>
                <w:sz w:val="22"/>
                <w:szCs w:val="22"/>
              </w:rPr>
              <w:t>Initial EYB 2020-21</w:t>
            </w:r>
          </w:p>
        </w:tc>
        <w:tc>
          <w:tcPr>
            <w:tcW w:w="1293" w:type="dxa"/>
            <w:noWrap/>
            <w:hideMark/>
          </w:tcPr>
          <w:p w14:paraId="7C89A4E0"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£21.89</w:t>
            </w:r>
          </w:p>
        </w:tc>
        <w:tc>
          <w:tcPr>
            <w:tcW w:w="1185" w:type="dxa"/>
            <w:noWrap/>
            <w:hideMark/>
          </w:tcPr>
          <w:p w14:paraId="4787183D"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£5.17</w:t>
            </w:r>
          </w:p>
        </w:tc>
        <w:tc>
          <w:tcPr>
            <w:tcW w:w="924" w:type="dxa"/>
            <w:noWrap/>
            <w:hideMark/>
          </w:tcPr>
          <w:p w14:paraId="24B9C789"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£3.14</w:t>
            </w:r>
          </w:p>
        </w:tc>
        <w:tc>
          <w:tcPr>
            <w:tcW w:w="1097" w:type="dxa"/>
            <w:noWrap/>
            <w:hideMark/>
          </w:tcPr>
          <w:p w14:paraId="0628916A"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£0.22</w:t>
            </w:r>
          </w:p>
        </w:tc>
        <w:tc>
          <w:tcPr>
            <w:tcW w:w="1097" w:type="dxa"/>
            <w:noWrap/>
            <w:hideMark/>
          </w:tcPr>
          <w:p w14:paraId="5D5F3D4A"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£0.10</w:t>
            </w:r>
          </w:p>
        </w:tc>
        <w:tc>
          <w:tcPr>
            <w:tcW w:w="1345" w:type="dxa"/>
            <w:noWrap/>
            <w:hideMark/>
          </w:tcPr>
          <w:p w14:paraId="29BF190D"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£0.58</w:t>
            </w:r>
          </w:p>
        </w:tc>
        <w:tc>
          <w:tcPr>
            <w:tcW w:w="1144" w:type="dxa"/>
            <w:noWrap/>
            <w:hideMark/>
          </w:tcPr>
          <w:p w14:paraId="2330C10B" w14:textId="77777777" w:rsidR="00475045" w:rsidRPr="00475045" w:rsidRDefault="00475045" w:rsidP="00475045">
            <w:pPr>
              <w:keepNext/>
              <w:contextualSpacing/>
              <w:jc w:val="center"/>
              <w:rPr>
                <w:rFonts w:eastAsia="Times New Roman"/>
                <w:b/>
                <w:bCs/>
                <w:color w:val="000000"/>
                <w:sz w:val="22"/>
                <w:szCs w:val="22"/>
              </w:rPr>
            </w:pPr>
            <w:r w:rsidRPr="00475045">
              <w:rPr>
                <w:rFonts w:eastAsia="Times New Roman"/>
                <w:b/>
                <w:bCs/>
                <w:sz w:val="22"/>
                <w:szCs w:val="22"/>
              </w:rPr>
              <w:t>£31.10</w:t>
            </w:r>
          </w:p>
        </w:tc>
      </w:tr>
      <w:tr w:rsidR="00475045" w:rsidRPr="00475045" w14:paraId="1D8AEA70" w14:textId="77777777" w:rsidTr="006347DF">
        <w:trPr>
          <w:trHeight w:val="290"/>
        </w:trPr>
        <w:tc>
          <w:tcPr>
            <w:tcW w:w="1418" w:type="dxa"/>
            <w:noWrap/>
            <w:hideMark/>
          </w:tcPr>
          <w:p w14:paraId="34CD7264" w14:textId="77777777" w:rsidR="00475045" w:rsidRPr="00475045" w:rsidRDefault="00475045" w:rsidP="00475045">
            <w:pPr>
              <w:keepNext/>
              <w:contextualSpacing/>
              <w:rPr>
                <w:rFonts w:eastAsia="Times New Roman"/>
                <w:color w:val="000000"/>
                <w:sz w:val="22"/>
                <w:szCs w:val="22"/>
              </w:rPr>
            </w:pPr>
            <w:r w:rsidRPr="00475045">
              <w:rPr>
                <w:rFonts w:eastAsia="Times New Roman"/>
                <w:color w:val="000000"/>
                <w:sz w:val="22"/>
                <w:szCs w:val="22"/>
              </w:rPr>
              <w:t>Final EYB 2020-21</w:t>
            </w:r>
          </w:p>
        </w:tc>
        <w:tc>
          <w:tcPr>
            <w:tcW w:w="1293" w:type="dxa"/>
            <w:noWrap/>
            <w:hideMark/>
          </w:tcPr>
          <w:p w14:paraId="48AA2B69"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£21.51</w:t>
            </w:r>
          </w:p>
        </w:tc>
        <w:tc>
          <w:tcPr>
            <w:tcW w:w="1185" w:type="dxa"/>
            <w:noWrap/>
            <w:hideMark/>
          </w:tcPr>
          <w:p w14:paraId="4350471E"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£4.97</w:t>
            </w:r>
          </w:p>
        </w:tc>
        <w:tc>
          <w:tcPr>
            <w:tcW w:w="924" w:type="dxa"/>
            <w:noWrap/>
            <w:hideMark/>
          </w:tcPr>
          <w:p w14:paraId="79C519EB"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£2.98</w:t>
            </w:r>
          </w:p>
        </w:tc>
        <w:tc>
          <w:tcPr>
            <w:tcW w:w="1097" w:type="dxa"/>
            <w:noWrap/>
            <w:hideMark/>
          </w:tcPr>
          <w:p w14:paraId="19804C47"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£0.24</w:t>
            </w:r>
          </w:p>
        </w:tc>
        <w:tc>
          <w:tcPr>
            <w:tcW w:w="1097" w:type="dxa"/>
            <w:noWrap/>
            <w:hideMark/>
          </w:tcPr>
          <w:p w14:paraId="69FAF5AA"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£0.10</w:t>
            </w:r>
          </w:p>
        </w:tc>
        <w:tc>
          <w:tcPr>
            <w:tcW w:w="1345" w:type="dxa"/>
            <w:noWrap/>
            <w:hideMark/>
          </w:tcPr>
          <w:p w14:paraId="5BAF6B99" w14:textId="77777777" w:rsidR="00475045" w:rsidRPr="00475045" w:rsidRDefault="00475045" w:rsidP="00475045">
            <w:pPr>
              <w:keepNext/>
              <w:contextualSpacing/>
              <w:jc w:val="center"/>
              <w:rPr>
                <w:rFonts w:eastAsia="Times New Roman"/>
                <w:color w:val="000000"/>
                <w:sz w:val="22"/>
                <w:szCs w:val="22"/>
              </w:rPr>
            </w:pPr>
            <w:r w:rsidRPr="00475045">
              <w:rPr>
                <w:rFonts w:eastAsia="Times New Roman"/>
                <w:sz w:val="22"/>
                <w:szCs w:val="22"/>
              </w:rPr>
              <w:t>£0.56</w:t>
            </w:r>
          </w:p>
        </w:tc>
        <w:tc>
          <w:tcPr>
            <w:tcW w:w="1144" w:type="dxa"/>
            <w:noWrap/>
            <w:hideMark/>
          </w:tcPr>
          <w:p w14:paraId="73BFBB8C" w14:textId="77777777" w:rsidR="00475045" w:rsidRPr="00475045" w:rsidRDefault="00475045" w:rsidP="00475045">
            <w:pPr>
              <w:keepNext/>
              <w:contextualSpacing/>
              <w:jc w:val="center"/>
              <w:rPr>
                <w:rFonts w:eastAsia="Times New Roman"/>
                <w:b/>
                <w:bCs/>
                <w:color w:val="000000"/>
                <w:sz w:val="22"/>
                <w:szCs w:val="22"/>
              </w:rPr>
            </w:pPr>
            <w:r w:rsidRPr="00475045">
              <w:rPr>
                <w:rFonts w:eastAsia="Times New Roman"/>
                <w:b/>
                <w:bCs/>
                <w:sz w:val="22"/>
                <w:szCs w:val="22"/>
              </w:rPr>
              <w:t>£30.36</w:t>
            </w:r>
          </w:p>
        </w:tc>
      </w:tr>
      <w:tr w:rsidR="00475045" w:rsidRPr="00475045" w14:paraId="6A109D2C" w14:textId="77777777" w:rsidTr="006347DF">
        <w:trPr>
          <w:trHeight w:val="290"/>
        </w:trPr>
        <w:tc>
          <w:tcPr>
            <w:tcW w:w="1418" w:type="dxa"/>
            <w:noWrap/>
            <w:hideMark/>
          </w:tcPr>
          <w:p w14:paraId="755098D6" w14:textId="77777777" w:rsidR="00475045" w:rsidRPr="00475045" w:rsidRDefault="00475045" w:rsidP="00475045">
            <w:pPr>
              <w:rPr>
                <w:rFonts w:ascii="Calibri" w:hAnsi="Calibri" w:cs="Calibri"/>
                <w:b/>
                <w:bCs/>
                <w:sz w:val="22"/>
                <w:szCs w:val="22"/>
              </w:rPr>
            </w:pPr>
            <w:r w:rsidRPr="00475045">
              <w:rPr>
                <w:rFonts w:ascii="Calibri" w:hAnsi="Calibri" w:cs="Calibri"/>
                <w:b/>
                <w:bCs/>
                <w:sz w:val="22"/>
                <w:szCs w:val="22"/>
              </w:rPr>
              <w:t xml:space="preserve">Adjustment </w:t>
            </w:r>
          </w:p>
        </w:tc>
        <w:tc>
          <w:tcPr>
            <w:tcW w:w="1293" w:type="dxa"/>
            <w:noWrap/>
            <w:hideMark/>
          </w:tcPr>
          <w:p w14:paraId="300434E4" w14:textId="77777777" w:rsidR="00475045" w:rsidRPr="00475045" w:rsidRDefault="00475045" w:rsidP="00475045">
            <w:pPr>
              <w:jc w:val="center"/>
              <w:rPr>
                <w:b/>
                <w:bCs/>
                <w:sz w:val="22"/>
                <w:szCs w:val="22"/>
              </w:rPr>
            </w:pPr>
            <w:r w:rsidRPr="00475045">
              <w:rPr>
                <w:b/>
                <w:bCs/>
                <w:sz w:val="22"/>
                <w:szCs w:val="22"/>
              </w:rPr>
              <w:t>-£0.39</w:t>
            </w:r>
          </w:p>
        </w:tc>
        <w:tc>
          <w:tcPr>
            <w:tcW w:w="1185" w:type="dxa"/>
            <w:noWrap/>
            <w:hideMark/>
          </w:tcPr>
          <w:p w14:paraId="2C6DDF14" w14:textId="77777777" w:rsidR="00475045" w:rsidRPr="00475045" w:rsidRDefault="00475045" w:rsidP="00475045">
            <w:pPr>
              <w:jc w:val="center"/>
              <w:rPr>
                <w:b/>
                <w:bCs/>
                <w:sz w:val="22"/>
                <w:szCs w:val="22"/>
              </w:rPr>
            </w:pPr>
            <w:r w:rsidRPr="00475045">
              <w:rPr>
                <w:b/>
                <w:bCs/>
                <w:sz w:val="22"/>
                <w:szCs w:val="22"/>
              </w:rPr>
              <w:t>-£0.19</w:t>
            </w:r>
          </w:p>
        </w:tc>
        <w:tc>
          <w:tcPr>
            <w:tcW w:w="924" w:type="dxa"/>
            <w:noWrap/>
            <w:hideMark/>
          </w:tcPr>
          <w:p w14:paraId="0E13CA5A" w14:textId="77777777" w:rsidR="00475045" w:rsidRPr="00475045" w:rsidRDefault="00475045" w:rsidP="00475045">
            <w:pPr>
              <w:jc w:val="center"/>
              <w:rPr>
                <w:b/>
                <w:bCs/>
                <w:sz w:val="22"/>
                <w:szCs w:val="22"/>
              </w:rPr>
            </w:pPr>
            <w:r w:rsidRPr="00475045">
              <w:rPr>
                <w:b/>
                <w:bCs/>
                <w:sz w:val="22"/>
                <w:szCs w:val="22"/>
              </w:rPr>
              <w:t>-£0.16</w:t>
            </w:r>
          </w:p>
        </w:tc>
        <w:tc>
          <w:tcPr>
            <w:tcW w:w="1097" w:type="dxa"/>
            <w:noWrap/>
            <w:hideMark/>
          </w:tcPr>
          <w:p w14:paraId="28468822" w14:textId="77777777" w:rsidR="00475045" w:rsidRPr="00475045" w:rsidRDefault="00475045" w:rsidP="00475045">
            <w:pPr>
              <w:jc w:val="center"/>
              <w:rPr>
                <w:b/>
                <w:bCs/>
                <w:sz w:val="22"/>
                <w:szCs w:val="22"/>
              </w:rPr>
            </w:pPr>
            <w:r w:rsidRPr="00475045">
              <w:rPr>
                <w:b/>
                <w:bCs/>
                <w:sz w:val="22"/>
                <w:szCs w:val="22"/>
              </w:rPr>
              <w:t>£0.01</w:t>
            </w:r>
          </w:p>
        </w:tc>
        <w:tc>
          <w:tcPr>
            <w:tcW w:w="1097" w:type="dxa"/>
            <w:noWrap/>
            <w:hideMark/>
          </w:tcPr>
          <w:p w14:paraId="34E144FD" w14:textId="77777777" w:rsidR="00475045" w:rsidRPr="00475045" w:rsidRDefault="00475045" w:rsidP="00475045">
            <w:pPr>
              <w:jc w:val="center"/>
              <w:rPr>
                <w:b/>
                <w:bCs/>
                <w:sz w:val="22"/>
                <w:szCs w:val="22"/>
              </w:rPr>
            </w:pPr>
            <w:r w:rsidRPr="00475045">
              <w:rPr>
                <w:b/>
                <w:bCs/>
                <w:sz w:val="22"/>
                <w:szCs w:val="22"/>
              </w:rPr>
              <w:t>£0.00</w:t>
            </w:r>
          </w:p>
        </w:tc>
        <w:tc>
          <w:tcPr>
            <w:tcW w:w="1345" w:type="dxa"/>
            <w:noWrap/>
            <w:hideMark/>
          </w:tcPr>
          <w:p w14:paraId="41206012" w14:textId="77777777" w:rsidR="00475045" w:rsidRPr="00475045" w:rsidRDefault="00475045" w:rsidP="00475045">
            <w:pPr>
              <w:jc w:val="center"/>
              <w:rPr>
                <w:b/>
                <w:bCs/>
                <w:sz w:val="22"/>
                <w:szCs w:val="22"/>
              </w:rPr>
            </w:pPr>
            <w:r w:rsidRPr="00475045">
              <w:rPr>
                <w:b/>
                <w:bCs/>
                <w:sz w:val="22"/>
                <w:szCs w:val="22"/>
              </w:rPr>
              <w:t>-£0.02</w:t>
            </w:r>
          </w:p>
        </w:tc>
        <w:tc>
          <w:tcPr>
            <w:tcW w:w="1144" w:type="dxa"/>
            <w:noWrap/>
            <w:hideMark/>
          </w:tcPr>
          <w:p w14:paraId="12127B4B" w14:textId="77777777" w:rsidR="00475045" w:rsidRPr="00475045" w:rsidRDefault="00475045" w:rsidP="00475045">
            <w:pPr>
              <w:jc w:val="center"/>
              <w:rPr>
                <w:b/>
                <w:bCs/>
                <w:sz w:val="22"/>
                <w:szCs w:val="22"/>
              </w:rPr>
            </w:pPr>
            <w:r w:rsidRPr="00475045">
              <w:rPr>
                <w:b/>
                <w:bCs/>
                <w:sz w:val="22"/>
                <w:szCs w:val="22"/>
              </w:rPr>
              <w:t>-£0.74</w:t>
            </w:r>
          </w:p>
        </w:tc>
      </w:tr>
    </w:tbl>
    <w:p w14:paraId="1A6A9247" w14:textId="77777777" w:rsidR="00475045" w:rsidRPr="00475045" w:rsidRDefault="00475045" w:rsidP="00475045">
      <w:pPr>
        <w:spacing w:after="0"/>
        <w:ind w:left="851"/>
        <w:contextualSpacing/>
        <w:jc w:val="both"/>
        <w:rPr>
          <w:rFonts w:eastAsia="Times New Roman" w:cs="Times New Roman"/>
          <w:b/>
          <w:color w:val="000000" w:themeColor="text1"/>
        </w:rPr>
      </w:pPr>
    </w:p>
    <w:p w14:paraId="057A79D9" w14:textId="77777777" w:rsidR="00475045" w:rsidRPr="00475045" w:rsidRDefault="00475045" w:rsidP="00475045">
      <w:pPr>
        <w:spacing w:after="0"/>
        <w:ind w:left="851"/>
        <w:contextualSpacing/>
        <w:jc w:val="both"/>
        <w:rPr>
          <w:rFonts w:eastAsia="Times New Roman" w:cs="Times New Roman"/>
          <w:b/>
          <w:color w:val="000000" w:themeColor="text1"/>
        </w:rPr>
      </w:pPr>
    </w:p>
    <w:p w14:paraId="46A13B52" w14:textId="77777777" w:rsidR="00475045" w:rsidRPr="00475045" w:rsidRDefault="00475045" w:rsidP="00475045">
      <w:pPr>
        <w:numPr>
          <w:ilvl w:val="1"/>
          <w:numId w:val="1"/>
        </w:numPr>
        <w:spacing w:after="0"/>
        <w:ind w:left="993" w:hanging="993"/>
        <w:contextualSpacing/>
        <w:jc w:val="both"/>
        <w:rPr>
          <w:rFonts w:eastAsia="Times New Roman" w:cs="Times New Roman"/>
          <w:b/>
          <w:bCs/>
        </w:rPr>
      </w:pPr>
      <w:r w:rsidRPr="00475045">
        <w:rPr>
          <w:rFonts w:eastAsia="Times New Roman" w:cs="Times New Roman"/>
          <w:b/>
          <w:bCs/>
        </w:rPr>
        <w:t>High Needs Block.</w:t>
      </w:r>
    </w:p>
    <w:p w14:paraId="326D8930" w14:textId="77777777" w:rsidR="00475045" w:rsidRPr="00475045" w:rsidRDefault="00475045" w:rsidP="00475045">
      <w:pPr>
        <w:spacing w:after="0"/>
        <w:ind w:left="567"/>
        <w:contextualSpacing/>
        <w:jc w:val="both"/>
        <w:rPr>
          <w:rFonts w:eastAsia="Times New Roman" w:cs="Times New Roman"/>
          <w:b/>
          <w:bCs/>
        </w:rPr>
      </w:pPr>
    </w:p>
    <w:p w14:paraId="2F34CC75" w14:textId="77777777" w:rsidR="00475045" w:rsidRPr="00475045" w:rsidRDefault="00475045" w:rsidP="00475045">
      <w:pPr>
        <w:numPr>
          <w:ilvl w:val="2"/>
          <w:numId w:val="1"/>
        </w:numPr>
        <w:spacing w:after="0"/>
        <w:ind w:left="993" w:hanging="993"/>
        <w:contextualSpacing/>
        <w:jc w:val="both"/>
        <w:rPr>
          <w:rFonts w:eastAsia="Times New Roman" w:cs="Times New Roman"/>
          <w:color w:val="000000" w:themeColor="text1"/>
        </w:rPr>
      </w:pPr>
      <w:r w:rsidRPr="00475045">
        <w:rPr>
          <w:rFonts w:eastAsia="Times New Roman" w:cs="Times New Roman"/>
          <w:b/>
          <w:bCs/>
        </w:rPr>
        <w:t>A High Needs</w:t>
      </w:r>
      <w:r w:rsidRPr="00475045">
        <w:rPr>
          <w:rFonts w:eastAsia="Times New Roman" w:cs="Times New Roman"/>
          <w:color w:val="000000" w:themeColor="text1"/>
        </w:rPr>
        <w:t xml:space="preserve"> working group has been set up of the Schools Forum and an several </w:t>
      </w:r>
      <w:proofErr w:type="gramStart"/>
      <w:r w:rsidRPr="00475045">
        <w:rPr>
          <w:rFonts w:eastAsia="Times New Roman" w:cs="Times New Roman"/>
          <w:color w:val="000000" w:themeColor="text1"/>
        </w:rPr>
        <w:t>meeting</w:t>
      </w:r>
      <w:proofErr w:type="gramEnd"/>
      <w:r w:rsidRPr="00475045">
        <w:rPr>
          <w:rFonts w:eastAsia="Times New Roman" w:cs="Times New Roman"/>
          <w:color w:val="000000" w:themeColor="text1"/>
        </w:rPr>
        <w:t xml:space="preserve"> have taken place. The draft management plan will be reviewed with both the working group and the full Schools Forum early in the new year.</w:t>
      </w:r>
    </w:p>
    <w:p w14:paraId="17946C10" w14:textId="77777777" w:rsidR="00475045" w:rsidRPr="00475045" w:rsidRDefault="00475045" w:rsidP="00475045">
      <w:pPr>
        <w:spacing w:after="0"/>
        <w:ind w:left="792"/>
        <w:contextualSpacing/>
        <w:rPr>
          <w:rFonts w:eastAsia="Times New Roman" w:cs="Times New Roman"/>
          <w:color w:val="000000" w:themeColor="text1"/>
          <w:highlight w:val="yellow"/>
        </w:rPr>
      </w:pPr>
    </w:p>
    <w:p w14:paraId="34026732" w14:textId="77777777" w:rsidR="00475045" w:rsidRPr="00475045" w:rsidRDefault="00475045" w:rsidP="00475045">
      <w:pPr>
        <w:numPr>
          <w:ilvl w:val="2"/>
          <w:numId w:val="1"/>
        </w:numPr>
        <w:spacing w:after="0"/>
        <w:ind w:left="993" w:hanging="993"/>
        <w:contextualSpacing/>
        <w:jc w:val="both"/>
        <w:rPr>
          <w:rFonts w:eastAsia="Times New Roman" w:cs="Times New Roman"/>
          <w:b/>
          <w:color w:val="000000" w:themeColor="text1"/>
        </w:rPr>
      </w:pPr>
      <w:r w:rsidRPr="00475045">
        <w:rPr>
          <w:rFonts w:eastAsia="Times New Roman" w:cs="Times New Roman"/>
          <w:bCs/>
          <w:color w:val="000000" w:themeColor="text1"/>
        </w:rPr>
        <w:t xml:space="preserve">The overspend on this block represents the increase in numbers and costs for delivering an education to pupils with High Needs in schools and other settings.  It is also a result of local authorities not having the freedom to </w:t>
      </w:r>
      <w:r w:rsidRPr="00475045">
        <w:rPr>
          <w:rFonts w:eastAsia="Times New Roman" w:cs="Times New Roman"/>
          <w:bCs/>
          <w:color w:val="000000" w:themeColor="text1"/>
        </w:rPr>
        <w:lastRenderedPageBreak/>
        <w:t xml:space="preserve">manage the budgets within the DSG.  The increase in direct provision costs puts pressure on the preventative support services managed by the authority and schools, which compound the expenditure risk in the future. </w:t>
      </w:r>
    </w:p>
    <w:p w14:paraId="5B3DCAA5" w14:textId="77777777" w:rsidR="00475045" w:rsidRPr="00475045" w:rsidRDefault="00475045" w:rsidP="00475045">
      <w:pPr>
        <w:spacing w:after="0"/>
        <w:ind w:left="720"/>
        <w:contextualSpacing/>
        <w:rPr>
          <w:rFonts w:eastAsia="Times New Roman" w:cs="Times New Roman"/>
          <w:bCs/>
          <w:color w:val="000000" w:themeColor="text1"/>
        </w:rPr>
      </w:pPr>
    </w:p>
    <w:p w14:paraId="6C9401D7" w14:textId="77777777" w:rsidR="00475045" w:rsidRPr="00475045" w:rsidRDefault="00475045" w:rsidP="00475045">
      <w:pPr>
        <w:numPr>
          <w:ilvl w:val="2"/>
          <w:numId w:val="1"/>
        </w:numPr>
        <w:spacing w:after="0"/>
        <w:ind w:left="993" w:hanging="993"/>
        <w:contextualSpacing/>
        <w:jc w:val="both"/>
        <w:rPr>
          <w:rFonts w:eastAsia="Times New Roman" w:cs="Times New Roman"/>
          <w:color w:val="000000" w:themeColor="text1"/>
        </w:rPr>
      </w:pPr>
      <w:r w:rsidRPr="00475045">
        <w:rPr>
          <w:rFonts w:eastAsia="Times New Roman" w:cs="Times New Roman"/>
          <w:bCs/>
          <w:color w:val="000000" w:themeColor="text1"/>
        </w:rPr>
        <w:t xml:space="preserve">DSG funding has been locked into baselines set is 2017-18, which do not necessarily reflect the current funding pattern, and increasing pressure on the HNB.  In the last 3-year spending review, the DfE targeted additional funding to High Needs in response to the national overspending position, which is managing to reduce the in-year negative variance but has done nothing to redress the historic accumulated deficit.  </w:t>
      </w:r>
    </w:p>
    <w:p w14:paraId="05179683" w14:textId="77777777" w:rsidR="00475045" w:rsidRPr="00475045" w:rsidRDefault="00475045" w:rsidP="00475045">
      <w:pPr>
        <w:jc w:val="both"/>
        <w:rPr>
          <w:color w:val="000000" w:themeColor="text1"/>
          <w:highlight w:val="yellow"/>
        </w:rPr>
      </w:pPr>
    </w:p>
    <w:p w14:paraId="74F5C760" w14:textId="7D7163CC" w:rsidR="00475045" w:rsidRPr="00CA5145" w:rsidRDefault="00475045" w:rsidP="00CA5145">
      <w:pPr>
        <w:pStyle w:val="Heading2"/>
      </w:pPr>
      <w:r w:rsidRPr="00CA5145">
        <w:t xml:space="preserve">Carry Forward/Transfer of </w:t>
      </w:r>
      <w:r w:rsidR="00CA5145">
        <w:t>b</w:t>
      </w:r>
      <w:r w:rsidRPr="00CA5145">
        <w:t xml:space="preserve">alances </w:t>
      </w:r>
    </w:p>
    <w:p w14:paraId="13EE9907" w14:textId="77777777" w:rsidR="00475045" w:rsidRPr="00475045" w:rsidRDefault="00475045" w:rsidP="00475045">
      <w:pPr>
        <w:spacing w:after="0"/>
        <w:ind w:left="360"/>
        <w:contextualSpacing/>
        <w:jc w:val="both"/>
        <w:rPr>
          <w:rFonts w:eastAsia="Times New Roman" w:cs="Times New Roman"/>
          <w:b/>
          <w:bCs/>
          <w:color w:val="000000" w:themeColor="text1"/>
          <w:highlight w:val="yellow"/>
        </w:rPr>
      </w:pPr>
    </w:p>
    <w:p w14:paraId="43714B6E" w14:textId="77777777" w:rsidR="00475045" w:rsidRPr="00475045" w:rsidRDefault="00475045" w:rsidP="00475045">
      <w:pPr>
        <w:numPr>
          <w:ilvl w:val="1"/>
          <w:numId w:val="4"/>
        </w:numPr>
        <w:spacing w:after="0"/>
        <w:ind w:left="993" w:hanging="993"/>
        <w:contextualSpacing/>
        <w:jc w:val="both"/>
        <w:rPr>
          <w:rFonts w:eastAsia="Times New Roman" w:cs="Times New Roman"/>
          <w:bCs/>
          <w:color w:val="000000" w:themeColor="text1"/>
        </w:rPr>
      </w:pPr>
      <w:r w:rsidRPr="00475045">
        <w:rPr>
          <w:rFonts w:eastAsia="Times New Roman" w:cs="Times New Roman"/>
          <w:bCs/>
          <w:color w:val="000000" w:themeColor="text1"/>
        </w:rPr>
        <w:t xml:space="preserve">Introduced in 2020, a deficit must be carried forward to be dealt with from future DSG income, unless the Secretary of State authorises the LA not to do this.  The impact of these statutory provisions means that an LA with a DSG deficit from the previous year must either: </w:t>
      </w:r>
    </w:p>
    <w:p w14:paraId="6C67830A" w14:textId="77777777" w:rsidR="00475045" w:rsidRPr="00475045" w:rsidRDefault="00475045" w:rsidP="00475045">
      <w:pPr>
        <w:spacing w:after="0"/>
        <w:ind w:left="993"/>
        <w:contextualSpacing/>
        <w:jc w:val="both"/>
        <w:rPr>
          <w:rFonts w:eastAsia="Times New Roman" w:cs="Times New Roman"/>
          <w:bCs/>
          <w:color w:val="000000" w:themeColor="text1"/>
        </w:rPr>
      </w:pPr>
    </w:p>
    <w:p w14:paraId="5A1B0CCB" w14:textId="77777777" w:rsidR="00475045" w:rsidRPr="00475045" w:rsidRDefault="00475045" w:rsidP="00475045">
      <w:pPr>
        <w:ind w:left="1560" w:hanging="567"/>
        <w:jc w:val="both"/>
        <w:rPr>
          <w:bCs/>
          <w:color w:val="000000" w:themeColor="text1"/>
        </w:rPr>
      </w:pPr>
      <w:r w:rsidRPr="00475045">
        <w:rPr>
          <w:bCs/>
          <w:color w:val="000000" w:themeColor="text1"/>
        </w:rPr>
        <w:t>(1)</w:t>
      </w:r>
      <w:r w:rsidRPr="00475045">
        <w:rPr>
          <w:bCs/>
          <w:color w:val="000000" w:themeColor="text1"/>
        </w:rPr>
        <w:tab/>
        <w:t xml:space="preserve">carry the whole of the deficit forward to be dealt with in the </w:t>
      </w:r>
      <w:proofErr w:type="gramStart"/>
      <w:r w:rsidRPr="00475045">
        <w:rPr>
          <w:bCs/>
          <w:color w:val="000000" w:themeColor="text1"/>
        </w:rPr>
        <w:t>schools</w:t>
      </w:r>
      <w:proofErr w:type="gramEnd"/>
      <w:r w:rsidRPr="00475045">
        <w:rPr>
          <w:bCs/>
          <w:color w:val="000000" w:themeColor="text1"/>
        </w:rPr>
        <w:t xml:space="preserve"> budget for the new financial year </w:t>
      </w:r>
    </w:p>
    <w:p w14:paraId="5AC6B2D1" w14:textId="77777777" w:rsidR="00475045" w:rsidRPr="00475045" w:rsidRDefault="00475045" w:rsidP="00475045">
      <w:pPr>
        <w:ind w:left="1560" w:hanging="567"/>
        <w:jc w:val="both"/>
        <w:rPr>
          <w:bCs/>
          <w:color w:val="000000" w:themeColor="text1"/>
        </w:rPr>
      </w:pPr>
      <w:r w:rsidRPr="00475045">
        <w:rPr>
          <w:bCs/>
          <w:color w:val="000000" w:themeColor="text1"/>
        </w:rPr>
        <w:t>(2)</w:t>
      </w:r>
      <w:r w:rsidRPr="00475045">
        <w:rPr>
          <w:bCs/>
          <w:color w:val="000000" w:themeColor="text1"/>
        </w:rPr>
        <w:tab/>
        <w:t xml:space="preserve">carry part of it forward into the new financial year and the rest of it into the following financial year </w:t>
      </w:r>
    </w:p>
    <w:p w14:paraId="13C6EB6C" w14:textId="77777777" w:rsidR="00475045" w:rsidRPr="00475045" w:rsidRDefault="00475045" w:rsidP="00475045">
      <w:pPr>
        <w:ind w:left="1560" w:hanging="567"/>
        <w:jc w:val="both"/>
        <w:rPr>
          <w:bCs/>
          <w:color w:val="000000" w:themeColor="text1"/>
        </w:rPr>
      </w:pPr>
      <w:r w:rsidRPr="00475045">
        <w:rPr>
          <w:bCs/>
          <w:color w:val="000000" w:themeColor="text1"/>
        </w:rPr>
        <w:t xml:space="preserve">(3) </w:t>
      </w:r>
      <w:r w:rsidRPr="00475045">
        <w:rPr>
          <w:bCs/>
          <w:color w:val="000000" w:themeColor="text1"/>
        </w:rPr>
        <w:tab/>
        <w:t xml:space="preserve">carry all of it into the following financial year </w:t>
      </w:r>
    </w:p>
    <w:p w14:paraId="51424C80" w14:textId="77777777" w:rsidR="00475045" w:rsidRPr="00475045" w:rsidRDefault="00475045" w:rsidP="00475045">
      <w:pPr>
        <w:ind w:left="1560" w:hanging="567"/>
        <w:jc w:val="both"/>
        <w:rPr>
          <w:bCs/>
          <w:color w:val="000000" w:themeColor="text1"/>
        </w:rPr>
      </w:pPr>
      <w:r w:rsidRPr="00475045">
        <w:rPr>
          <w:bCs/>
          <w:color w:val="000000" w:themeColor="text1"/>
        </w:rPr>
        <w:t xml:space="preserve">(4) </w:t>
      </w:r>
      <w:r w:rsidRPr="00475045">
        <w:rPr>
          <w:bCs/>
          <w:color w:val="000000" w:themeColor="text1"/>
        </w:rPr>
        <w:tab/>
        <w:t>apply to the Secretary of State under for authorisation to disregard the requirements in Schedule 2 relating to deficits if it wishes to fund any part of the deficit from a source other than the DSG</w:t>
      </w:r>
    </w:p>
    <w:p w14:paraId="777DA22A" w14:textId="77777777" w:rsidR="00475045" w:rsidRPr="00475045" w:rsidRDefault="00475045" w:rsidP="00475045">
      <w:pPr>
        <w:ind w:left="1560" w:hanging="567"/>
        <w:jc w:val="both"/>
        <w:rPr>
          <w:bCs/>
          <w:color w:val="000000" w:themeColor="text1"/>
        </w:rPr>
      </w:pPr>
    </w:p>
    <w:p w14:paraId="29C31308" w14:textId="77777777" w:rsidR="00475045" w:rsidRPr="00475045" w:rsidRDefault="00475045" w:rsidP="00475045">
      <w:pPr>
        <w:numPr>
          <w:ilvl w:val="1"/>
          <w:numId w:val="4"/>
        </w:numPr>
        <w:spacing w:after="0"/>
        <w:ind w:left="993" w:hanging="993"/>
        <w:contextualSpacing/>
        <w:jc w:val="both"/>
        <w:rPr>
          <w:rFonts w:eastAsia="Times New Roman" w:cs="Times New Roman"/>
          <w:bCs/>
          <w:color w:val="000000" w:themeColor="text1"/>
        </w:rPr>
      </w:pPr>
      <w:r w:rsidRPr="00475045">
        <w:rPr>
          <w:rFonts w:eastAsia="Times New Roman" w:cs="Times New Roman"/>
          <w:bCs/>
          <w:color w:val="000000" w:themeColor="text1"/>
        </w:rPr>
        <w:t>Any local authority that has an overall deficit on its DSG account at the end of the 2020 to 2021 financial year, or whose DSG surplus has substantially reduced during the year, must co-operate with the Department for Education in handling that situation. In particular, the authority must:</w:t>
      </w:r>
    </w:p>
    <w:p w14:paraId="3BBDD16E" w14:textId="77777777" w:rsidR="00475045" w:rsidRPr="00475045" w:rsidRDefault="00475045" w:rsidP="00475045">
      <w:pPr>
        <w:numPr>
          <w:ilvl w:val="0"/>
          <w:numId w:val="3"/>
        </w:numPr>
        <w:shd w:val="clear" w:color="auto" w:fill="FFFFFF"/>
        <w:spacing w:after="75"/>
        <w:ind w:left="1418"/>
        <w:rPr>
          <w:color w:val="0B0C0C"/>
        </w:rPr>
      </w:pPr>
      <w:r w:rsidRPr="00475045">
        <w:rPr>
          <w:color w:val="0B0C0C"/>
        </w:rPr>
        <w:t>provide information as and when requested by the department about its plans for managing its DSG account in the 2021 to 2022 financial year and subsequently</w:t>
      </w:r>
    </w:p>
    <w:p w14:paraId="7C183349" w14:textId="77777777" w:rsidR="00475045" w:rsidRPr="00475045" w:rsidRDefault="00475045" w:rsidP="00475045">
      <w:pPr>
        <w:numPr>
          <w:ilvl w:val="0"/>
          <w:numId w:val="3"/>
        </w:numPr>
        <w:shd w:val="clear" w:color="auto" w:fill="FFFFFF"/>
        <w:spacing w:after="75"/>
        <w:ind w:left="1418"/>
        <w:rPr>
          <w:color w:val="0B0C0C"/>
        </w:rPr>
      </w:pPr>
      <w:r w:rsidRPr="00475045">
        <w:rPr>
          <w:color w:val="0B0C0C"/>
        </w:rPr>
        <w:t>provide information as and when requested by the department about pressures and potential savings on its high needs budget</w:t>
      </w:r>
    </w:p>
    <w:p w14:paraId="47747EEA" w14:textId="77777777" w:rsidR="00475045" w:rsidRPr="00475045" w:rsidRDefault="00475045" w:rsidP="00475045">
      <w:pPr>
        <w:numPr>
          <w:ilvl w:val="0"/>
          <w:numId w:val="3"/>
        </w:numPr>
        <w:shd w:val="clear" w:color="auto" w:fill="FFFFFF"/>
        <w:spacing w:after="75"/>
        <w:ind w:left="1418"/>
        <w:rPr>
          <w:color w:val="0B0C0C"/>
        </w:rPr>
      </w:pPr>
      <w:r w:rsidRPr="00475045">
        <w:rPr>
          <w:color w:val="0B0C0C"/>
        </w:rPr>
        <w:t>meet with officials of the department as and when they request to discuss the authority’s plans and financial situation</w:t>
      </w:r>
    </w:p>
    <w:p w14:paraId="3F4EFDBD" w14:textId="12BBB25A" w:rsidR="00475045" w:rsidRPr="007A1F89" w:rsidRDefault="00475045" w:rsidP="001D5881">
      <w:pPr>
        <w:numPr>
          <w:ilvl w:val="0"/>
          <w:numId w:val="3"/>
        </w:numPr>
        <w:spacing w:after="75"/>
        <w:ind w:left="1418"/>
        <w:rPr>
          <w:color w:val="0B0C0C"/>
        </w:rPr>
        <w:sectPr w:rsidR="00475045" w:rsidRPr="007A1F89" w:rsidSect="00BA0597">
          <w:headerReference w:type="default" r:id="rId12"/>
          <w:footerReference w:type="default" r:id="rId13"/>
          <w:footerReference w:type="first" r:id="rId14"/>
          <w:pgSz w:w="11906" w:h="16838"/>
          <w:pgMar w:top="2410" w:right="1440" w:bottom="1440" w:left="1440" w:header="708" w:footer="708" w:gutter="0"/>
          <w:cols w:space="708"/>
          <w:docGrid w:linePitch="360"/>
        </w:sectPr>
      </w:pPr>
      <w:r w:rsidRPr="00475045">
        <w:rPr>
          <w:color w:val="0B0C0C"/>
        </w:rPr>
        <w:t xml:space="preserve">keep the </w:t>
      </w:r>
      <w:proofErr w:type="gramStart"/>
      <w:r w:rsidRPr="00475045">
        <w:rPr>
          <w:color w:val="0B0C0C"/>
        </w:rPr>
        <w:t>schools</w:t>
      </w:r>
      <w:proofErr w:type="gramEnd"/>
      <w:r w:rsidRPr="00475045">
        <w:rPr>
          <w:color w:val="0B0C0C"/>
        </w:rPr>
        <w:t xml:space="preserve"> forum regularly updated about the authority’s DSG account and plans for handling it, including high needs pressures and potential savin</w:t>
      </w:r>
      <w:r w:rsidR="00CA5145">
        <w:rPr>
          <w:color w:val="0B0C0C"/>
        </w:rPr>
        <w:t>g</w:t>
      </w:r>
    </w:p>
    <w:p w14:paraId="1B683A3A" w14:textId="6F247959" w:rsidR="00DF3C2C" w:rsidRPr="00080CA2" w:rsidRDefault="00DF3C2C" w:rsidP="00DF3C2C">
      <w:pPr>
        <w:spacing w:line="259" w:lineRule="auto"/>
      </w:pPr>
    </w:p>
    <w:sectPr w:rsidR="00DF3C2C" w:rsidRPr="00080CA2" w:rsidSect="00363A4D">
      <w:head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8C3D1" w14:textId="77777777" w:rsidR="00D93DEF" w:rsidRDefault="00D93DEF" w:rsidP="00101F8B">
      <w:r>
        <w:separator/>
      </w:r>
    </w:p>
    <w:p w14:paraId="33CD19FE" w14:textId="77777777" w:rsidR="00D93DEF" w:rsidRDefault="00D93DEF" w:rsidP="00101F8B"/>
    <w:p w14:paraId="5E6B02C8" w14:textId="77777777" w:rsidR="00D93DEF" w:rsidRDefault="00D93DEF" w:rsidP="00101F8B"/>
    <w:p w14:paraId="4A56A6DF" w14:textId="77777777" w:rsidR="00D93DEF" w:rsidRDefault="00D93DEF" w:rsidP="00101F8B"/>
    <w:p w14:paraId="794C8848" w14:textId="77777777" w:rsidR="00D93DEF" w:rsidRDefault="00D93DEF" w:rsidP="00101F8B"/>
    <w:p w14:paraId="0815391B" w14:textId="77777777" w:rsidR="00D93DEF" w:rsidRDefault="00D93DEF" w:rsidP="00101F8B"/>
  </w:endnote>
  <w:endnote w:type="continuationSeparator" w:id="0">
    <w:p w14:paraId="780F1D23" w14:textId="77777777" w:rsidR="00D93DEF" w:rsidRDefault="00D93DEF" w:rsidP="00101F8B">
      <w:r>
        <w:continuationSeparator/>
      </w:r>
    </w:p>
    <w:p w14:paraId="76DDB389" w14:textId="77777777" w:rsidR="00D93DEF" w:rsidRDefault="00D93DEF" w:rsidP="00101F8B"/>
    <w:p w14:paraId="323D774C" w14:textId="77777777" w:rsidR="00D93DEF" w:rsidRDefault="00D93DEF" w:rsidP="00101F8B"/>
    <w:p w14:paraId="7B166111" w14:textId="77777777" w:rsidR="00D93DEF" w:rsidRDefault="00D93DEF" w:rsidP="00101F8B"/>
    <w:p w14:paraId="2496CDCD" w14:textId="77777777" w:rsidR="00D93DEF" w:rsidRDefault="00D93DEF" w:rsidP="00101F8B"/>
    <w:p w14:paraId="4861F86E" w14:textId="77777777" w:rsidR="00D93DEF" w:rsidRDefault="00D93DEF"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66BAB" w14:textId="2AF749E6" w:rsidR="007604B3" w:rsidRPr="00CC4CE1" w:rsidRDefault="007604B3" w:rsidP="007604B3">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7D4B7F8E" w14:textId="77777777" w:rsidR="007604B3" w:rsidRDefault="007604B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33C6B" w14:textId="77777777" w:rsidR="0093644A" w:rsidRPr="00CC4CE1" w:rsidRDefault="0093644A" w:rsidP="0093644A">
    <w:pPr>
      <w:pStyle w:val="Headersfooters"/>
      <w:jc w:val="right"/>
    </w:pPr>
    <w:r w:rsidRPr="00CC4CE1">
      <w:t xml:space="preserve">Page </w:t>
    </w:r>
    <w:r w:rsidRPr="00CC4CE1">
      <w:fldChar w:fldCharType="begin"/>
    </w:r>
    <w:r w:rsidRPr="00CC4CE1">
      <w:instrText xml:space="preserve"> PAGE  \* Arabic  \* MERGEFORMAT </w:instrText>
    </w:r>
    <w:r w:rsidRPr="00CC4CE1">
      <w:fldChar w:fldCharType="separate"/>
    </w:r>
    <w:r>
      <w:t>3</w:t>
    </w:r>
    <w:r w:rsidRPr="00CC4CE1">
      <w:fldChar w:fldCharType="end"/>
    </w:r>
    <w:r w:rsidRPr="00CC4CE1">
      <w:t xml:space="preserve"> of </w:t>
    </w:r>
    <w:fldSimple w:instr=" NUMPAGES  \* Arabic  \* MERGEFORMAT ">
      <w:r>
        <w:t>3</w:t>
      </w:r>
    </w:fldSimple>
  </w:p>
  <w:p w14:paraId="221C8D5E" w14:textId="77777777" w:rsidR="0093644A" w:rsidRDefault="009364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1006D" w14:textId="77777777" w:rsidR="00D93DEF" w:rsidRDefault="00D93DEF" w:rsidP="00101F8B">
      <w:r>
        <w:separator/>
      </w:r>
    </w:p>
    <w:p w14:paraId="23FA2C97" w14:textId="77777777" w:rsidR="00D93DEF" w:rsidRDefault="00D93DEF" w:rsidP="00101F8B"/>
    <w:p w14:paraId="4F8D7246" w14:textId="77777777" w:rsidR="00D93DEF" w:rsidRDefault="00D93DEF" w:rsidP="00101F8B"/>
    <w:p w14:paraId="0065C3F8" w14:textId="77777777" w:rsidR="00D93DEF" w:rsidRDefault="00D93DEF" w:rsidP="00101F8B"/>
    <w:p w14:paraId="5B1BC115" w14:textId="77777777" w:rsidR="00D93DEF" w:rsidRDefault="00D93DEF" w:rsidP="00101F8B"/>
    <w:p w14:paraId="52CB211D" w14:textId="77777777" w:rsidR="00D93DEF" w:rsidRDefault="00D93DEF" w:rsidP="00101F8B"/>
  </w:footnote>
  <w:footnote w:type="continuationSeparator" w:id="0">
    <w:p w14:paraId="18100B7C" w14:textId="77777777" w:rsidR="00D93DEF" w:rsidRDefault="00D93DEF" w:rsidP="00101F8B">
      <w:r>
        <w:continuationSeparator/>
      </w:r>
    </w:p>
    <w:p w14:paraId="3A956186" w14:textId="77777777" w:rsidR="00D93DEF" w:rsidRDefault="00D93DEF" w:rsidP="00101F8B"/>
    <w:p w14:paraId="0FCB247B" w14:textId="77777777" w:rsidR="00D93DEF" w:rsidRDefault="00D93DEF" w:rsidP="00101F8B"/>
    <w:p w14:paraId="7F432B24" w14:textId="77777777" w:rsidR="00D93DEF" w:rsidRDefault="00D93DEF" w:rsidP="00101F8B"/>
    <w:p w14:paraId="4EDB0794" w14:textId="77777777" w:rsidR="00D93DEF" w:rsidRDefault="00D93DEF" w:rsidP="00101F8B"/>
    <w:p w14:paraId="43BE8A36" w14:textId="77777777" w:rsidR="00D93DEF" w:rsidRDefault="00D93DEF"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9C4F" w14:textId="5C784BEA" w:rsidR="00BA0597" w:rsidRDefault="00F05C51">
    <w:pPr>
      <w:pStyle w:val="Header"/>
    </w:pPr>
    <w:r>
      <w:rPr>
        <w:noProof/>
      </w:rPr>
      <w:drawing>
        <wp:anchor distT="0" distB="0" distL="114300" distR="114300" simplePos="0" relativeHeight="251659264" behindDoc="1" locked="0" layoutInCell="1" allowOverlap="1" wp14:anchorId="0E0529ED" wp14:editId="75E81C24">
          <wp:simplePos x="0" y="0"/>
          <wp:positionH relativeFrom="page">
            <wp:align>left</wp:align>
          </wp:positionH>
          <wp:positionV relativeFrom="paragraph">
            <wp:posOffset>-450215</wp:posOffset>
          </wp:positionV>
          <wp:extent cx="7551420" cy="1521071"/>
          <wp:effectExtent l="0" t="0" r="0" b="317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alias w:val="Title"/>
      <w:tag w:val=""/>
      <w:id w:val="-236788552"/>
      <w:placeholder>
        <w:docPart w:val="492FDD029EBA414EBA389685C1224D77"/>
      </w:placeholder>
      <w:dataBinding w:prefixMappings="xmlns:ns0='http://purl.org/dc/elements/1.1/' xmlns:ns1='http://schemas.openxmlformats.org/package/2006/metadata/core-properties' " w:xpath="/ns1:coreProperties[1]/ns0:title[1]" w:storeItemID="{6C3C8BC8-F283-45AE-878A-BAB7291924A1}"/>
      <w:text/>
    </w:sdtPr>
    <w:sdtEndPr/>
    <w:sdtContent>
      <w:p w14:paraId="650719DE" w14:textId="2F7DDFE1" w:rsidR="00F05C51" w:rsidRDefault="00CA5145">
        <w:pPr>
          <w:pStyle w:val="Header"/>
        </w:pPr>
        <w:r>
          <w:t>Dedicated Schools Grant Final Outturn 2020/21</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554CB6"/>
    <w:multiLevelType w:val="multilevel"/>
    <w:tmpl w:val="746CC27C"/>
    <w:lvl w:ilvl="0">
      <w:start w:val="1"/>
      <w:numFmt w:val="decimal"/>
      <w:lvlText w:val="%1."/>
      <w:lvlJc w:val="left"/>
      <w:pPr>
        <w:ind w:left="360" w:hanging="360"/>
      </w:pPr>
      <w:rPr>
        <w:rFonts w:hint="default"/>
      </w:rPr>
    </w:lvl>
    <w:lvl w:ilvl="1">
      <w:start w:val="1"/>
      <w:numFmt w:val="decimal"/>
      <w:lvlText w:val="%1.%2."/>
      <w:lvlJc w:val="left"/>
      <w:pPr>
        <w:ind w:left="999" w:hanging="432"/>
      </w:pPr>
      <w:rPr>
        <w:rFonts w:hint="default"/>
        <w:b w:val="0"/>
        <w:bCs/>
        <w:color w:val="auto"/>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2577ADB"/>
    <w:multiLevelType w:val="multilevel"/>
    <w:tmpl w:val="E8746B5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C350FD5"/>
    <w:multiLevelType w:val="multilevel"/>
    <w:tmpl w:val="35AEC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5B02D42"/>
    <w:multiLevelType w:val="hybridMultilevel"/>
    <w:tmpl w:val="3F4A7E4E"/>
    <w:lvl w:ilvl="0" w:tplc="51F497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357FA"/>
    <w:rsid w:val="001702A6"/>
    <w:rsid w:val="00173D7C"/>
    <w:rsid w:val="001D5881"/>
    <w:rsid w:val="002609D8"/>
    <w:rsid w:val="00284556"/>
    <w:rsid w:val="00297396"/>
    <w:rsid w:val="00363A4D"/>
    <w:rsid w:val="004362E7"/>
    <w:rsid w:val="004369A3"/>
    <w:rsid w:val="00475045"/>
    <w:rsid w:val="00534043"/>
    <w:rsid w:val="005E57A5"/>
    <w:rsid w:val="005F24B4"/>
    <w:rsid w:val="006A6700"/>
    <w:rsid w:val="00706F60"/>
    <w:rsid w:val="007604B3"/>
    <w:rsid w:val="00774185"/>
    <w:rsid w:val="007A1F89"/>
    <w:rsid w:val="007B40D8"/>
    <w:rsid w:val="007C4F08"/>
    <w:rsid w:val="007C7CCE"/>
    <w:rsid w:val="007E1728"/>
    <w:rsid w:val="008158A3"/>
    <w:rsid w:val="00880FFC"/>
    <w:rsid w:val="008B42DB"/>
    <w:rsid w:val="008B70E7"/>
    <w:rsid w:val="008D6F80"/>
    <w:rsid w:val="0093644A"/>
    <w:rsid w:val="00947F14"/>
    <w:rsid w:val="009E4C47"/>
    <w:rsid w:val="00AA79F3"/>
    <w:rsid w:val="00BA0597"/>
    <w:rsid w:val="00BA63ED"/>
    <w:rsid w:val="00BE6FB3"/>
    <w:rsid w:val="00C967EF"/>
    <w:rsid w:val="00CA5145"/>
    <w:rsid w:val="00CC4CE1"/>
    <w:rsid w:val="00D82CA3"/>
    <w:rsid w:val="00D93DEF"/>
    <w:rsid w:val="00D9499F"/>
    <w:rsid w:val="00DC0596"/>
    <w:rsid w:val="00DF3C2C"/>
    <w:rsid w:val="00E056E4"/>
    <w:rsid w:val="00F05C51"/>
    <w:rsid w:val="00F27FAC"/>
    <w:rsid w:val="00F5083F"/>
    <w:rsid w:val="00F81947"/>
    <w:rsid w:val="00FD735E"/>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BE6FB3"/>
    <w:pPr>
      <w:spacing w:after="0"/>
      <w:outlineLvl w:val="0"/>
    </w:pPr>
    <w:rPr>
      <w:b/>
      <w:bCs/>
      <w:color w:val="0062AE"/>
      <w:sz w:val="36"/>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BE6FB3"/>
    <w:rPr>
      <w:rFonts w:ascii="Arial" w:eastAsiaTheme="minorEastAsia" w:hAnsi="Arial" w:cs="Arial"/>
      <w:b/>
      <w:bCs/>
      <w:color w:val="0062AE"/>
      <w:sz w:val="36"/>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iPriority w:val="99"/>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table" w:styleId="TableGrid">
    <w:name w:val="Table Grid"/>
    <w:basedOn w:val="TableNormal"/>
    <w:uiPriority w:val="59"/>
    <w:rsid w:val="004750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47504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GridLight">
    <w:name w:val="Grid Table Light"/>
    <w:basedOn w:val="TableNormal"/>
    <w:uiPriority w:val="40"/>
    <w:rsid w:val="0047504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
      <w:docPartPr>
        <w:name w:val="492FDD029EBA414EBA389685C1224D77"/>
        <w:category>
          <w:name w:val="General"/>
          <w:gallery w:val="placeholder"/>
        </w:category>
        <w:types>
          <w:type w:val="bbPlcHdr"/>
        </w:types>
        <w:behaviors>
          <w:behavior w:val="content"/>
        </w:behaviors>
        <w:guid w:val="{8ED3A11E-8614-4B7C-93E2-C3F8BBC53C2E}"/>
      </w:docPartPr>
      <w:docPartBody>
        <w:p w:rsidR="00046BAA" w:rsidRDefault="00CE5774">
          <w:r w:rsidRPr="0032526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141249"/>
    <w:rsid w:val="001A0130"/>
    <w:rsid w:val="003873F8"/>
    <w:rsid w:val="00417A06"/>
    <w:rsid w:val="00830089"/>
    <w:rsid w:val="00944B7C"/>
    <w:rsid w:val="00CE5774"/>
    <w:rsid w:val="00D107AD"/>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1535BB0-DC53-48EC-828C-DC21853A3766}">
  <ds:schemaRefs>
    <ds:schemaRef ds:uri="http://schemas.microsoft.com/office/infopath/2007/PartnerControls"/>
    <ds:schemaRef ds:uri="2a4cc58a-d66d-45cf-b590-f56250971858"/>
    <ds:schemaRef ds:uri="http://purl.org/dc/dcmitype/"/>
    <ds:schemaRef ds:uri="http://www.w3.org/XML/1998/namespace"/>
    <ds:schemaRef ds:uri="http://schemas.microsoft.com/office/2006/documentManagement/types"/>
    <ds:schemaRef ds:uri="http://purl.org/dc/terms/"/>
    <ds:schemaRef ds:uri="http://schemas.microsoft.com/office/2006/metadata/properties"/>
    <ds:schemaRef ds:uri="http://purl.org/dc/elements/1.1/"/>
    <ds:schemaRef ds:uri="http://schemas.openxmlformats.org/package/2006/metadata/core-properties"/>
    <ds:schemaRef ds:uri="46c37b34-2409-4c5e-90c0-b948f1353365"/>
  </ds:schemaRefs>
</ds:datastoreItem>
</file>

<file path=customXml/itemProps4.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5.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1062</Words>
  <Characters>6057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Agenda Item 4</vt:lpstr>
    </vt:vector>
  </TitlesOfParts>
  <Company>Tower Hamlets</Company>
  <LinksUpToDate>false</LinksUpToDate>
  <CharactersWithSpaces>7105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Dedicated Schools Grant Final Outturn 2020/21</dc:title>
  <dc:subject>
  </dc:subject>
  <dc:creator>Mike Pickin</dc:creator>
  <cp:keywords>
  </cp:keywords>
  <dc:description>
  </dc:description>
  <cp:lastModifiedBy>Phillip Nduoyo</cp:lastModifiedBy>
  <cp:revision>2</cp:revision>
  <dcterms:created xsi:type="dcterms:W3CDTF">2022-02-14T11:29:00Z</dcterms:created>
  <dcterms:modified xsi:type="dcterms:W3CDTF">2022-02-14T11:29:00Z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ies>
</file>